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780C8">
      <w:pPr>
        <w:widowControl w:val="0"/>
        <w:jc w:val="center"/>
        <w:rPr>
          <w:rFonts w:ascii="宋体" w:hAnsi="宋体" w:eastAsia="宋体" w:cs="宋体"/>
          <w:color w:val="FF0000"/>
          <w:kern w:val="2"/>
          <w:sz w:val="21"/>
          <w:szCs w:val="21"/>
          <w:lang w:eastAsia="zh-CN"/>
        </w:rPr>
      </w:pPr>
      <w:bookmarkStart w:id="0" w:name="_Hlk73564573"/>
      <w:r>
        <w:rPr>
          <w:rFonts w:hint="eastAsia" w:ascii="宋体" w:hAnsi="宋体" w:eastAsia="黑体" w:cs="宋体"/>
          <w:b/>
          <w:bCs/>
          <w:color w:val="FF0000"/>
          <w:kern w:val="44"/>
          <w:sz w:val="28"/>
          <w:szCs w:val="44"/>
          <w:lang w:eastAsia="zh-CN"/>
        </w:rPr>
        <w:t>特别警示条款</w:t>
      </w:r>
    </w:p>
    <w:bookmarkEnd w:id="0"/>
    <w:p w14:paraId="3B5806B4">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013"/>
      </w:tblGrid>
      <w:tr w14:paraId="644E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68FCA31A">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vAlign w:val="center"/>
          </w:tcPr>
          <w:p w14:paraId="4965393F">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346C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782BFF08">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vAlign w:val="center"/>
          </w:tcPr>
          <w:p w14:paraId="034685B8">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2C51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680BE603">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vAlign w:val="center"/>
          </w:tcPr>
          <w:p w14:paraId="5692DA15">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04BE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18F99AA9">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vAlign w:val="center"/>
          </w:tcPr>
          <w:p w14:paraId="41D26D43">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0C88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33CB8C60">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vAlign w:val="center"/>
          </w:tcPr>
          <w:p w14:paraId="5D69465D">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11D6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54988566">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vAlign w:val="center"/>
          </w:tcPr>
          <w:p w14:paraId="350589D3">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17F2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6666FA0C">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vAlign w:val="center"/>
          </w:tcPr>
          <w:p w14:paraId="67008CEE">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7097EF91">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一、</w:t>
      </w:r>
      <w:r>
        <w:rPr>
          <w:rFonts w:hint="eastAsia" w:ascii="宋体" w:hAnsi="宋体" w:eastAsia="宋体" w:cs="宋体"/>
          <w:b/>
          <w:bCs/>
          <w:color w:val="FF0000"/>
          <w:kern w:val="2"/>
          <w:sz w:val="20"/>
          <w:szCs w:val="20"/>
          <w:lang w:eastAsia="zh-CN"/>
        </w:rPr>
        <w:t>《深圳经济特区政府采购条例》第五十七条</w:t>
      </w:r>
      <w:r>
        <w:rPr>
          <w:rFonts w:hint="eastAsia" w:ascii="宋体" w:hAnsi="宋体" w:eastAsia="宋体" w:cs="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0A501F98">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（一）在采购活动中应当回避而未回避的；</w:t>
      </w:r>
    </w:p>
    <w:p w14:paraId="68FC83DC">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（二）未按本条例规定签订、履行采购合同，造成严重后果的；</w:t>
      </w:r>
    </w:p>
    <w:p w14:paraId="5B717493">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（三）隐瞒真实情况，提供虚假资料的；</w:t>
      </w:r>
    </w:p>
    <w:p w14:paraId="5B19D642">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（四）以非法手段排斥其他供应商参与竞争的；</w:t>
      </w:r>
    </w:p>
    <w:p w14:paraId="042828F5">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（五）与其他采购参加人串通投标的；</w:t>
      </w:r>
    </w:p>
    <w:p w14:paraId="14D36996">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（六）恶意投诉的；</w:t>
      </w:r>
    </w:p>
    <w:p w14:paraId="580ED600">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（七）向采购项目相关人行贿或者提供其他不当利益的；</w:t>
      </w:r>
    </w:p>
    <w:p w14:paraId="5269BA5B">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（八）阻碍、抗拒主管部门监督检查的；</w:t>
      </w:r>
    </w:p>
    <w:p w14:paraId="16A3A6E3">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（九）其他违反本条例规定的行为。</w:t>
      </w:r>
    </w:p>
    <w:p w14:paraId="3329F555">
      <w:pPr>
        <w:widowControl w:val="0"/>
        <w:spacing w:line="280" w:lineRule="exact"/>
        <w:ind w:firstLine="402" w:firstLineChars="200"/>
        <w:jc w:val="both"/>
        <w:rPr>
          <w:rFonts w:ascii="宋体" w:hAnsi="宋体" w:eastAsia="宋体" w:cs="宋体"/>
          <w:color w:val="FF0000"/>
          <w:kern w:val="2"/>
          <w:sz w:val="20"/>
          <w:szCs w:val="20"/>
          <w:lang w:eastAsia="zh-CN"/>
        </w:rPr>
      </w:pPr>
      <w:r>
        <w:rPr>
          <w:rFonts w:hint="eastAsia" w:ascii="宋体" w:hAnsi="宋体" w:eastAsia="宋体" w:cs="宋体"/>
          <w:b/>
          <w:bCs/>
          <w:color w:val="FF0000"/>
          <w:kern w:val="2"/>
          <w:sz w:val="20"/>
          <w:szCs w:val="20"/>
          <w:lang w:eastAsia="zh-CN"/>
        </w:rPr>
        <w:t xml:space="preserve">二、《深圳经济特区政府采购条例实施细则》第七十五条 </w:t>
      </w:r>
      <w:r>
        <w:rPr>
          <w:rFonts w:hint="eastAsia" w:ascii="宋体" w:hAnsi="宋体" w:eastAsia="宋体" w:cs="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56DC7074">
      <w:pPr>
        <w:widowControl w:val="0"/>
        <w:spacing w:line="280" w:lineRule="exact"/>
        <w:ind w:firstLine="402" w:firstLineChars="200"/>
        <w:jc w:val="both"/>
        <w:rPr>
          <w:rFonts w:ascii="宋体" w:hAnsi="宋体" w:eastAsia="宋体" w:cs="宋体"/>
          <w:color w:val="FF0000"/>
          <w:kern w:val="2"/>
          <w:sz w:val="20"/>
          <w:szCs w:val="20"/>
          <w:lang w:eastAsia="zh-CN"/>
        </w:rPr>
      </w:pPr>
      <w:r>
        <w:rPr>
          <w:rFonts w:hint="eastAsia" w:ascii="宋体" w:hAnsi="宋体" w:eastAsia="宋体" w:cs="宋体"/>
          <w:b/>
          <w:bCs/>
          <w:color w:val="FF0000"/>
          <w:kern w:val="2"/>
          <w:sz w:val="20"/>
          <w:szCs w:val="20"/>
          <w:lang w:eastAsia="zh-CN"/>
        </w:rPr>
        <w:t xml:space="preserve">三、《深圳经济特区政府采购条例实施细则》第七十七条 </w:t>
      </w:r>
      <w:r>
        <w:rPr>
          <w:rFonts w:hint="eastAsia" w:ascii="宋体" w:hAnsi="宋体" w:eastAsia="宋体" w:cs="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F3BC395">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投标供应商不能提供项目负责人或者主要技术人员的劳动合同、社会保险等劳动关系证明材料的，视为存在前款第（三）项规定的情形。</w:t>
      </w:r>
    </w:p>
    <w:p w14:paraId="7539811E">
      <w:pPr>
        <w:widowControl w:val="0"/>
        <w:spacing w:line="280" w:lineRule="exact"/>
        <w:ind w:firstLine="422" w:firstLineChars="200"/>
        <w:jc w:val="both"/>
        <w:rPr>
          <w:rFonts w:ascii="Calibri" w:hAnsi="Calibri" w:eastAsia="宋体" w:cs="宋体"/>
          <w:b/>
          <w:color w:val="FF0000"/>
          <w:kern w:val="2"/>
          <w:sz w:val="21"/>
          <w:szCs w:val="22"/>
          <w:lang w:eastAsia="zh-CN"/>
        </w:rPr>
      </w:pPr>
      <w:r>
        <w:rPr>
          <w:rFonts w:hint="eastAsia" w:ascii="Calibri" w:hAnsi="Calibri" w:eastAsia="宋体" w:cs="宋体"/>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358523BB">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五、供应商在使用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68A9334C">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24AAADC6">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0"/>
          <w:szCs w:val="20"/>
          <w:lang w:eastAsia="zh-CN"/>
        </w:rPr>
        <w:t>取消参与本市政府采购资格、依法吊销其营业执照等行政处罚，构成犯罪的，依法追究刑事责任</w:t>
      </w:r>
      <w:r>
        <w:rPr>
          <w:rFonts w:hint="eastAsia" w:ascii="宋体" w:hAnsi="宋体" w:eastAsia="宋体" w:cs="宋体"/>
          <w:bCs/>
          <w:color w:val="FF0000"/>
          <w:kern w:val="2"/>
          <w:sz w:val="20"/>
          <w:szCs w:val="20"/>
          <w:lang w:eastAsia="zh-CN"/>
        </w:rPr>
        <w:t>，请各供应商独立编制、上传投标文件，妥善保管和使用电子秘钥。</w:t>
      </w:r>
    </w:p>
    <w:p w14:paraId="143E03EC">
      <w:pPr>
        <w:widowControl w:val="0"/>
        <w:jc w:val="both"/>
        <w:rPr>
          <w:rFonts w:ascii="Calibri" w:hAnsi="Calibri" w:eastAsia="宋体" w:cs="宋体"/>
          <w:kern w:val="2"/>
          <w:sz w:val="21"/>
          <w:szCs w:val="22"/>
          <w:lang w:eastAsia="zh-CN"/>
        </w:rPr>
      </w:pPr>
    </w:p>
    <w:p w14:paraId="7FBA6EF1">
      <w:pPr>
        <w:widowControl w:val="0"/>
        <w:jc w:val="both"/>
        <w:rPr>
          <w:rFonts w:ascii="Calibri" w:hAnsi="Calibri" w:eastAsia="宋体" w:cs="宋体"/>
          <w:kern w:val="2"/>
          <w:sz w:val="21"/>
          <w:szCs w:val="22"/>
          <w:lang w:eastAsia="zh-CN"/>
        </w:rPr>
      </w:pPr>
    </w:p>
    <w:p w14:paraId="6D0E8A52">
      <w:pPr>
        <w:widowControl w:val="0"/>
        <w:jc w:val="both"/>
        <w:rPr>
          <w:rFonts w:ascii="Calibri" w:hAnsi="Calibri" w:eastAsia="宋体" w:cs="宋体"/>
          <w:kern w:val="2"/>
          <w:sz w:val="21"/>
          <w:szCs w:val="22"/>
          <w:lang w:eastAsia="zh-CN"/>
        </w:rPr>
      </w:pPr>
    </w:p>
    <w:p w14:paraId="348EB732">
      <w:pPr>
        <w:widowControl w:val="0"/>
        <w:jc w:val="both"/>
        <w:rPr>
          <w:rFonts w:ascii="Calibri" w:hAnsi="Calibri" w:eastAsia="宋体" w:cs="宋体"/>
          <w:kern w:val="2"/>
          <w:sz w:val="21"/>
          <w:szCs w:val="22"/>
          <w:lang w:eastAsia="zh-CN"/>
        </w:rPr>
      </w:pPr>
    </w:p>
    <w:p w14:paraId="53072541">
      <w:pPr>
        <w:widowControl w:val="0"/>
        <w:jc w:val="both"/>
        <w:rPr>
          <w:rFonts w:ascii="Calibri" w:hAnsi="Calibri" w:eastAsia="宋体" w:cs="宋体"/>
          <w:kern w:val="2"/>
          <w:sz w:val="21"/>
          <w:szCs w:val="22"/>
          <w:lang w:eastAsia="zh-CN"/>
        </w:rPr>
      </w:pPr>
    </w:p>
    <w:p w14:paraId="1C2CA555">
      <w:pPr>
        <w:widowControl w:val="0"/>
        <w:jc w:val="both"/>
        <w:rPr>
          <w:rFonts w:ascii="Calibri" w:hAnsi="Calibri" w:eastAsia="宋体" w:cs="宋体"/>
          <w:kern w:val="2"/>
          <w:sz w:val="21"/>
          <w:szCs w:val="22"/>
          <w:lang w:eastAsia="zh-CN"/>
        </w:rPr>
      </w:pPr>
    </w:p>
    <w:p w14:paraId="5D74687C">
      <w:pPr>
        <w:widowControl w:val="0"/>
        <w:jc w:val="both"/>
        <w:rPr>
          <w:rFonts w:ascii="Calibri" w:hAnsi="Calibri" w:eastAsia="宋体" w:cs="宋体"/>
          <w:kern w:val="2"/>
          <w:sz w:val="21"/>
          <w:szCs w:val="22"/>
          <w:lang w:eastAsia="zh-CN"/>
        </w:rPr>
      </w:pPr>
    </w:p>
    <w:p w14:paraId="30578DA8">
      <w:pPr>
        <w:widowControl w:val="0"/>
        <w:jc w:val="both"/>
        <w:rPr>
          <w:rFonts w:ascii="Calibri" w:hAnsi="Calibri" w:eastAsia="宋体" w:cs="宋体"/>
          <w:kern w:val="2"/>
          <w:sz w:val="21"/>
          <w:szCs w:val="22"/>
          <w:lang w:eastAsia="zh-CN"/>
        </w:rPr>
      </w:pPr>
    </w:p>
    <w:p w14:paraId="2514FE84">
      <w:pPr>
        <w:widowControl w:val="0"/>
        <w:jc w:val="both"/>
        <w:rPr>
          <w:rFonts w:ascii="Calibri" w:hAnsi="Calibri" w:eastAsia="宋体" w:cs="宋体"/>
          <w:kern w:val="2"/>
          <w:sz w:val="21"/>
          <w:szCs w:val="22"/>
          <w:lang w:eastAsia="zh-CN"/>
        </w:rPr>
      </w:pPr>
    </w:p>
    <w:p w14:paraId="3851195E">
      <w:pPr>
        <w:widowControl w:val="0"/>
        <w:jc w:val="both"/>
        <w:rPr>
          <w:rFonts w:ascii="Calibri" w:hAnsi="Calibri" w:eastAsia="宋体" w:cs="宋体"/>
          <w:kern w:val="2"/>
          <w:sz w:val="21"/>
          <w:szCs w:val="22"/>
          <w:lang w:eastAsia="zh-CN"/>
        </w:rPr>
      </w:pPr>
    </w:p>
    <w:p w14:paraId="0485DABA">
      <w:pPr>
        <w:widowControl w:val="0"/>
        <w:jc w:val="both"/>
        <w:rPr>
          <w:rFonts w:ascii="Calibri" w:hAnsi="Calibri" w:eastAsia="宋体" w:cs="宋体"/>
          <w:kern w:val="2"/>
          <w:sz w:val="21"/>
          <w:szCs w:val="22"/>
          <w:lang w:eastAsia="zh-CN"/>
        </w:rPr>
      </w:pPr>
    </w:p>
    <w:p w14:paraId="313A885A">
      <w:pPr>
        <w:widowControl w:val="0"/>
        <w:jc w:val="both"/>
        <w:rPr>
          <w:rFonts w:ascii="Calibri" w:hAnsi="Calibri" w:eastAsia="宋体" w:cs="宋体"/>
          <w:kern w:val="2"/>
          <w:sz w:val="21"/>
          <w:szCs w:val="22"/>
          <w:lang w:eastAsia="zh-CN"/>
        </w:rPr>
      </w:pPr>
    </w:p>
    <w:p w14:paraId="3B0BA1F9">
      <w:pPr>
        <w:widowControl w:val="0"/>
        <w:jc w:val="both"/>
        <w:rPr>
          <w:rFonts w:ascii="Calibri" w:hAnsi="Calibri" w:eastAsia="宋体" w:cs="宋体"/>
          <w:kern w:val="2"/>
          <w:sz w:val="21"/>
          <w:szCs w:val="22"/>
          <w:lang w:eastAsia="zh-CN"/>
        </w:rPr>
      </w:pPr>
    </w:p>
    <w:p w14:paraId="52FB1E1F">
      <w:pPr>
        <w:widowControl w:val="0"/>
        <w:jc w:val="both"/>
        <w:rPr>
          <w:rFonts w:ascii="Calibri" w:hAnsi="Calibri" w:eastAsia="宋体" w:cs="宋体"/>
          <w:kern w:val="2"/>
          <w:sz w:val="21"/>
          <w:szCs w:val="22"/>
          <w:lang w:eastAsia="zh-CN"/>
        </w:rPr>
      </w:pPr>
    </w:p>
    <w:p w14:paraId="303D36D2">
      <w:pPr>
        <w:widowControl w:val="0"/>
        <w:jc w:val="both"/>
        <w:rPr>
          <w:rFonts w:ascii="Calibri" w:hAnsi="Calibri" w:eastAsia="宋体" w:cs="宋体"/>
          <w:kern w:val="2"/>
          <w:sz w:val="21"/>
          <w:szCs w:val="22"/>
          <w:lang w:eastAsia="zh-CN"/>
        </w:rPr>
      </w:pPr>
    </w:p>
    <w:p w14:paraId="4213BE18">
      <w:pPr>
        <w:widowControl w:val="0"/>
        <w:jc w:val="both"/>
        <w:rPr>
          <w:rFonts w:ascii="Calibri" w:hAnsi="Calibri" w:eastAsia="宋体" w:cs="宋体"/>
          <w:kern w:val="2"/>
          <w:sz w:val="21"/>
          <w:szCs w:val="22"/>
          <w:lang w:eastAsia="zh-CN"/>
        </w:rPr>
      </w:pPr>
    </w:p>
    <w:p w14:paraId="0BC831DF">
      <w:pPr>
        <w:widowControl w:val="0"/>
        <w:jc w:val="both"/>
        <w:rPr>
          <w:rFonts w:ascii="Calibri" w:hAnsi="Calibri" w:eastAsia="宋体" w:cs="宋体"/>
          <w:kern w:val="2"/>
          <w:sz w:val="21"/>
          <w:szCs w:val="22"/>
          <w:lang w:eastAsia="zh-CN"/>
        </w:rPr>
      </w:pPr>
    </w:p>
    <w:p w14:paraId="6CE92EDB">
      <w:pPr>
        <w:widowControl w:val="0"/>
        <w:jc w:val="both"/>
        <w:rPr>
          <w:rFonts w:ascii="Calibri" w:hAnsi="Calibri" w:eastAsia="宋体" w:cs="宋体"/>
          <w:kern w:val="2"/>
          <w:sz w:val="21"/>
          <w:szCs w:val="22"/>
          <w:lang w:eastAsia="zh-CN"/>
        </w:rPr>
      </w:pPr>
    </w:p>
    <w:p w14:paraId="3B714BF6">
      <w:pPr>
        <w:widowControl w:val="0"/>
        <w:jc w:val="both"/>
        <w:rPr>
          <w:rFonts w:ascii="Calibri" w:hAnsi="Calibri" w:eastAsia="宋体" w:cs="宋体"/>
          <w:kern w:val="2"/>
          <w:sz w:val="21"/>
          <w:szCs w:val="22"/>
          <w:lang w:eastAsia="zh-CN"/>
        </w:rPr>
      </w:pPr>
    </w:p>
    <w:p w14:paraId="55D67DE3">
      <w:pPr>
        <w:widowControl w:val="0"/>
        <w:jc w:val="both"/>
        <w:rPr>
          <w:rFonts w:ascii="Calibri" w:hAnsi="Calibri" w:eastAsia="宋体" w:cs="宋体"/>
          <w:kern w:val="2"/>
          <w:sz w:val="21"/>
          <w:szCs w:val="22"/>
          <w:lang w:eastAsia="zh-CN"/>
        </w:rPr>
      </w:pPr>
    </w:p>
    <w:p w14:paraId="1F2CCAEF">
      <w:pPr>
        <w:widowControl w:val="0"/>
        <w:jc w:val="both"/>
        <w:rPr>
          <w:rFonts w:ascii="Calibri" w:hAnsi="Calibri" w:eastAsia="宋体" w:cs="宋体"/>
          <w:kern w:val="2"/>
          <w:sz w:val="21"/>
          <w:szCs w:val="22"/>
          <w:lang w:eastAsia="zh-CN"/>
        </w:rPr>
      </w:pPr>
    </w:p>
    <w:p w14:paraId="6621C5F1">
      <w:pPr>
        <w:spacing w:beforeAutospacing="1" w:afterAutospacing="1"/>
        <w:jc w:val="center"/>
        <w:outlineLvl w:val="0"/>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p w14:paraId="59A3B532">
      <w:pPr>
        <w:rPr>
          <w:rFonts w:hint="default" w:ascii="宋体" w:hAnsi="宋体" w:eastAsia="宋体"/>
          <w:color w:val="auto"/>
          <w:kern w:val="2"/>
          <w:sz w:val="32"/>
          <w:szCs w:val="32"/>
          <w:lang w:val="en-US" w:eastAsia="zh-CN"/>
        </w:rPr>
      </w:pPr>
      <w:r>
        <w:rPr>
          <w:rFonts w:hint="eastAsia" w:ascii="宋体" w:hAnsi="宋体" w:eastAsia="宋体"/>
          <w:color w:val="auto"/>
          <w:kern w:val="2"/>
          <w:sz w:val="32"/>
          <w:szCs w:val="32"/>
          <w:lang w:eastAsia="zh-CN"/>
        </w:rPr>
        <w:t>项目编号：</w:t>
      </w:r>
      <w:r>
        <w:rPr>
          <w:rFonts w:hint="eastAsia" w:ascii="宋体" w:hAnsi="宋体" w:eastAsia="宋体"/>
          <w:color w:val="auto"/>
          <w:kern w:val="2"/>
          <w:sz w:val="32"/>
          <w:szCs w:val="32"/>
          <w:lang w:eastAsia="zh-CN"/>
        </w:rPr>
        <w:tab/>
      </w:r>
      <w:r>
        <w:rPr>
          <w:rFonts w:hint="eastAsia" w:ascii="宋体" w:hAnsi="宋体" w:eastAsia="宋体"/>
          <w:color w:val="auto"/>
          <w:kern w:val="2"/>
          <w:sz w:val="32"/>
          <w:szCs w:val="32"/>
          <w:lang w:eastAsia="zh-CN"/>
        </w:rPr>
        <w:t>QTZXDL-2025-001</w:t>
      </w:r>
      <w:r>
        <w:rPr>
          <w:rFonts w:hint="eastAsia" w:ascii="宋体" w:hAnsi="宋体" w:eastAsia="宋体"/>
          <w:color w:val="auto"/>
          <w:kern w:val="2"/>
          <w:sz w:val="32"/>
          <w:szCs w:val="32"/>
          <w:lang w:val="en-US" w:eastAsia="zh-CN"/>
        </w:rPr>
        <w:t>50</w:t>
      </w:r>
    </w:p>
    <w:p w14:paraId="3CAF9307">
      <w:pPr>
        <w:ind w:left="2240" w:hanging="2240" w:hangingChars="700"/>
        <w:rPr>
          <w:rFonts w:ascii="宋体" w:hAnsi="宋体" w:eastAsia="宋体" w:cs="宋体"/>
          <w:kern w:val="2"/>
          <w:sz w:val="30"/>
          <w:szCs w:val="30"/>
          <w:lang w:eastAsia="zh-CN" w:bidi="ar"/>
        </w:rPr>
      </w:pPr>
      <w:r>
        <w:rPr>
          <w:rFonts w:hint="eastAsia" w:ascii="宋体" w:hAnsi="宋体" w:eastAsia="宋体"/>
          <w:color w:val="auto"/>
          <w:kern w:val="2"/>
          <w:sz w:val="32"/>
          <w:szCs w:val="32"/>
          <w:lang w:eastAsia="zh-CN"/>
        </w:rPr>
        <w:t xml:space="preserve">项目名称：   </w:t>
      </w:r>
      <w:r>
        <w:rPr>
          <w:rFonts w:hint="eastAsia" w:ascii="宋体" w:hAnsi="宋体" w:cs="宋体"/>
          <w:color w:val="auto"/>
          <w:sz w:val="30"/>
          <w:szCs w:val="30"/>
          <w:lang w:eastAsia="zh-CN" w:bidi="ar"/>
        </w:rPr>
        <w:t>深圳市第二</w:t>
      </w:r>
      <w:r>
        <w:rPr>
          <w:rFonts w:hint="eastAsia" w:ascii="宋体" w:hAnsi="宋体" w:cs="宋体"/>
          <w:sz w:val="30"/>
          <w:szCs w:val="30"/>
          <w:lang w:eastAsia="zh-CN" w:bidi="ar"/>
        </w:rPr>
        <w:t>高级中学深汕学校食堂运营服务项目</w:t>
      </w:r>
    </w:p>
    <w:p w14:paraId="129EF765">
      <w:pPr>
        <w:rPr>
          <w:rFonts w:ascii="宋体" w:hAnsi="宋体" w:eastAsia="宋体"/>
          <w:kern w:val="2"/>
          <w:sz w:val="32"/>
          <w:szCs w:val="32"/>
          <w:lang w:eastAsia="zh-CN"/>
        </w:rPr>
      </w:pPr>
      <w:r>
        <w:rPr>
          <w:rFonts w:hint="eastAsia" w:ascii="宋体" w:hAnsi="宋体" w:eastAsia="宋体"/>
          <w:kern w:val="2"/>
          <w:sz w:val="32"/>
          <w:szCs w:val="32"/>
          <w:lang w:eastAsia="zh-CN"/>
        </w:rPr>
        <w:t>包    号：</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A</w:t>
      </w:r>
    </w:p>
    <w:p w14:paraId="31E7C5B3">
      <w:pPr>
        <w:rPr>
          <w:rFonts w:ascii="宋体" w:hAnsi="宋体" w:eastAsia="宋体"/>
          <w:kern w:val="2"/>
          <w:sz w:val="32"/>
          <w:szCs w:val="32"/>
          <w:lang w:eastAsia="zh-CN"/>
        </w:rPr>
      </w:pPr>
      <w:r>
        <w:rPr>
          <w:rFonts w:hint="eastAsia" w:ascii="宋体" w:hAnsi="宋体" w:eastAsia="宋体"/>
          <w:kern w:val="2"/>
          <w:sz w:val="32"/>
          <w:szCs w:val="32"/>
          <w:lang w:eastAsia="zh-CN"/>
        </w:rPr>
        <w:t>项目类型：</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服务类</w:t>
      </w:r>
    </w:p>
    <w:p w14:paraId="010323EB">
      <w:pPr>
        <w:rPr>
          <w:rFonts w:ascii="宋体" w:hAnsi="宋体" w:eastAsia="宋体"/>
          <w:kern w:val="2"/>
          <w:sz w:val="32"/>
          <w:szCs w:val="32"/>
          <w:lang w:eastAsia="zh-CN"/>
        </w:rPr>
      </w:pPr>
      <w:r>
        <w:rPr>
          <w:rFonts w:hint="eastAsia" w:ascii="宋体" w:hAnsi="宋体" w:eastAsia="宋体"/>
          <w:kern w:val="2"/>
          <w:sz w:val="32"/>
          <w:szCs w:val="32"/>
          <w:lang w:eastAsia="zh-CN"/>
        </w:rPr>
        <w:t>采购方式：</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公开招标</w:t>
      </w:r>
    </w:p>
    <w:p w14:paraId="11F08C6B">
      <w:pPr>
        <w:rPr>
          <w:rFonts w:ascii="宋体" w:hAnsi="宋体" w:eastAsia="宋体"/>
          <w:kern w:val="2"/>
          <w:sz w:val="32"/>
          <w:szCs w:val="32"/>
          <w:lang w:eastAsia="zh-CN"/>
        </w:rPr>
      </w:pPr>
      <w:r>
        <w:rPr>
          <w:rFonts w:hint="eastAsia" w:ascii="宋体" w:hAnsi="宋体" w:eastAsia="宋体"/>
          <w:kern w:val="2"/>
          <w:sz w:val="32"/>
          <w:szCs w:val="32"/>
          <w:lang w:eastAsia="zh-CN"/>
        </w:rPr>
        <w:t>货币类型：</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人民币</w:t>
      </w:r>
    </w:p>
    <w:p w14:paraId="7020DE5F">
      <w:pPr>
        <w:rPr>
          <w:rFonts w:ascii="宋体" w:hAnsi="宋体" w:eastAsia="宋体"/>
          <w:kern w:val="2"/>
          <w:sz w:val="32"/>
          <w:szCs w:val="32"/>
          <w:lang w:eastAsia="zh-CN"/>
        </w:rPr>
      </w:pPr>
      <w:r>
        <w:rPr>
          <w:rFonts w:hint="eastAsia" w:ascii="宋体" w:hAnsi="宋体" w:eastAsia="宋体"/>
          <w:kern w:val="2"/>
          <w:sz w:val="32"/>
          <w:szCs w:val="32"/>
          <w:lang w:eastAsia="zh-CN"/>
        </w:rPr>
        <w:t>评标方法：</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综合评分法</w:t>
      </w:r>
    </w:p>
    <w:p w14:paraId="2B32104B">
      <w:pPr>
        <w:rPr>
          <w:rFonts w:ascii="黑体" w:hAnsi="黑体" w:eastAsia="黑体"/>
          <w:kern w:val="2"/>
          <w:sz w:val="40"/>
          <w:szCs w:val="40"/>
          <w:lang w:eastAsia="zh-CN"/>
        </w:rPr>
      </w:pPr>
      <w:r>
        <w:rPr>
          <w:rFonts w:ascii="黑体" w:hAnsi="黑体" w:eastAsia="黑体"/>
          <w:kern w:val="2"/>
          <w:sz w:val="40"/>
          <w:szCs w:val="40"/>
          <w:lang w:eastAsia="zh-CN"/>
        </w:rPr>
        <w:br w:type="page"/>
      </w:r>
    </w:p>
    <w:p w14:paraId="107A4867">
      <w:pPr>
        <w:rPr>
          <w:rFonts w:ascii="黑体" w:hAnsi="黑体" w:eastAsia="黑体"/>
          <w:kern w:val="2"/>
          <w:sz w:val="40"/>
          <w:szCs w:val="40"/>
          <w:lang w:eastAsia="zh-CN"/>
        </w:rPr>
      </w:pPr>
    </w:p>
    <w:p w14:paraId="70FEB759">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62"/>
        <w:gridCol w:w="8094"/>
      </w:tblGrid>
      <w:tr w14:paraId="52604C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1C5DF7F">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45055F8">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52989D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9341783">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0578E66C">
            <w:pPr>
              <w:widowControl w:val="0"/>
              <w:spacing w:line="290" w:lineRule="exact"/>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rPr>
              <w:t>）。</w:t>
            </w:r>
          </w:p>
        </w:tc>
      </w:tr>
    </w:tbl>
    <w:p w14:paraId="45BB32E3">
      <w:pPr>
        <w:widowControl w:val="0"/>
        <w:tabs>
          <w:tab w:val="left" w:pos="2790"/>
        </w:tabs>
        <w:snapToGrid w:val="0"/>
        <w:jc w:val="center"/>
        <w:rPr>
          <w:rFonts w:ascii="黑体" w:hAnsi="黑体" w:eastAsia="黑体"/>
          <w:kern w:val="2"/>
          <w:sz w:val="40"/>
          <w:szCs w:val="40"/>
          <w:lang w:eastAsia="zh-CN"/>
        </w:rPr>
      </w:pPr>
    </w:p>
    <w:p w14:paraId="7ABADFEA">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60"/>
        <w:gridCol w:w="8096"/>
      </w:tblGrid>
      <w:tr w14:paraId="1AEA7F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7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3C56B8D">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39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CAE3F36">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3455D8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4F611851">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1</w:t>
            </w:r>
          </w:p>
        </w:tc>
        <w:tc>
          <w:tcPr>
            <w:tcW w:w="8399" w:type="dxa"/>
            <w:tcBorders>
              <w:top w:val="single" w:color="000000" w:sz="8" w:space="0"/>
              <w:left w:val="single" w:color="000000" w:sz="8" w:space="0"/>
              <w:bottom w:val="single" w:color="000000" w:sz="8" w:space="0"/>
              <w:right w:val="single" w:color="000000" w:sz="8" w:space="0"/>
            </w:tcBorders>
          </w:tcPr>
          <w:p w14:paraId="7C590DDD">
            <w:pPr>
              <w:widowControl w:val="0"/>
              <w:spacing w:line="290" w:lineRule="exact"/>
              <w:jc w:val="both"/>
              <w:rPr>
                <w:rFonts w:ascii="Calibri" w:hAnsi="Calibri" w:eastAsia="宋体"/>
                <w:b/>
                <w:kern w:val="2"/>
                <w:sz w:val="21"/>
                <w:szCs w:val="22"/>
                <w:highlight w:val="yellow"/>
                <w:lang w:eastAsia="zh-CN"/>
              </w:rPr>
            </w:pPr>
            <w:r>
              <w:rPr>
                <w:rFonts w:hint="eastAsia" w:ascii="Calibri" w:hAnsi="Calibri" w:eastAsia="宋体" w:cs="宋体"/>
                <w:kern w:val="2"/>
                <w:sz w:val="21"/>
                <w:szCs w:val="22"/>
                <w:lang w:eastAsia="zh-CN"/>
              </w:rPr>
              <w:t>不得将一个包的内容拆开投标；</w:t>
            </w:r>
          </w:p>
        </w:tc>
      </w:tr>
      <w:tr w14:paraId="5E25E2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249B02C0">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2</w:t>
            </w:r>
          </w:p>
        </w:tc>
        <w:tc>
          <w:tcPr>
            <w:tcW w:w="8399" w:type="dxa"/>
            <w:tcBorders>
              <w:top w:val="single" w:color="000000" w:sz="8" w:space="0"/>
              <w:left w:val="single" w:color="000000" w:sz="8" w:space="0"/>
              <w:bottom w:val="single" w:color="000000" w:sz="8" w:space="0"/>
              <w:right w:val="single" w:color="000000" w:sz="8" w:space="0"/>
            </w:tcBorders>
          </w:tcPr>
          <w:p w14:paraId="31C9B26B">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对同一项目投标时，不得提供两套以上的投标方案（招标文件另有规定的除外）；</w:t>
            </w:r>
          </w:p>
        </w:tc>
      </w:tr>
      <w:tr w14:paraId="2E1622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6F120659">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3</w:t>
            </w:r>
          </w:p>
        </w:tc>
        <w:tc>
          <w:tcPr>
            <w:tcW w:w="8399" w:type="dxa"/>
            <w:tcBorders>
              <w:top w:val="single" w:color="000000" w:sz="8" w:space="0"/>
              <w:left w:val="single" w:color="000000" w:sz="8" w:space="0"/>
              <w:bottom w:val="single" w:color="000000" w:sz="8" w:space="0"/>
              <w:right w:val="single" w:color="000000" w:sz="8" w:space="0"/>
            </w:tcBorders>
          </w:tcPr>
          <w:p w14:paraId="79FD6A88">
            <w:pPr>
              <w:widowControl w:val="0"/>
              <w:spacing w:line="290" w:lineRule="exact"/>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分项报价或投标总价不得高于</w:t>
            </w:r>
            <w:bookmarkStart w:id="1" w:name="_Hlk71832186"/>
            <w:r>
              <w:rPr>
                <w:rFonts w:hint="eastAsia" w:ascii="Calibri" w:hAnsi="Calibri" w:eastAsia="宋体" w:cstheme="minorBidi"/>
                <w:kern w:val="2"/>
                <w:sz w:val="21"/>
                <w:szCs w:val="22"/>
                <w:lang w:eastAsia="zh-CN"/>
              </w:rPr>
              <w:t>相应预算金额（或设定的预算金额下的最高限价）</w:t>
            </w:r>
            <w:bookmarkEnd w:id="1"/>
            <w:r>
              <w:rPr>
                <w:rFonts w:hint="eastAsia" w:ascii="Calibri" w:hAnsi="Calibri" w:eastAsia="宋体"/>
                <w:kern w:val="2"/>
                <w:sz w:val="21"/>
                <w:szCs w:val="22"/>
                <w:lang w:eastAsia="zh-CN"/>
              </w:rPr>
              <w:t>；</w:t>
            </w:r>
          </w:p>
        </w:tc>
      </w:tr>
      <w:tr w14:paraId="6A160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6E52C1B9">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4</w:t>
            </w:r>
          </w:p>
        </w:tc>
        <w:tc>
          <w:tcPr>
            <w:tcW w:w="8399" w:type="dxa"/>
            <w:tcBorders>
              <w:top w:val="single" w:color="000000" w:sz="8" w:space="0"/>
              <w:left w:val="single" w:color="000000" w:sz="8" w:space="0"/>
              <w:bottom w:val="single" w:color="000000" w:sz="8" w:space="0"/>
              <w:right w:val="single" w:color="000000" w:sz="8" w:space="0"/>
            </w:tcBorders>
          </w:tcPr>
          <w:p w14:paraId="66015E85">
            <w:pPr>
              <w:widowControl w:val="0"/>
              <w:spacing w:line="290" w:lineRule="exact"/>
              <w:jc w:val="both"/>
              <w:rPr>
                <w:rFonts w:ascii="Calibri" w:hAnsi="Calibri" w:eastAsia="宋体"/>
                <w:kern w:val="2"/>
                <w:sz w:val="21"/>
                <w:szCs w:val="22"/>
                <w:lang w:eastAsia="zh-CN"/>
              </w:rPr>
            </w:pPr>
            <w:r>
              <w:rPr>
                <w:rFonts w:hint="eastAsia" w:ascii="Calibri" w:hAnsi="Calibri" w:eastAsia="宋体"/>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8DAC6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53EB5D20">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5</w:t>
            </w:r>
          </w:p>
        </w:tc>
        <w:tc>
          <w:tcPr>
            <w:tcW w:w="8399" w:type="dxa"/>
            <w:tcBorders>
              <w:top w:val="single" w:color="000000" w:sz="8" w:space="0"/>
              <w:left w:val="single" w:color="000000" w:sz="8" w:space="0"/>
              <w:bottom w:val="single" w:color="000000" w:sz="8" w:space="0"/>
              <w:right w:val="single" w:color="000000" w:sz="8" w:space="0"/>
            </w:tcBorders>
          </w:tcPr>
          <w:p w14:paraId="7C99B3F6">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BE388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15F54C41">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6</w:t>
            </w:r>
          </w:p>
        </w:tc>
        <w:tc>
          <w:tcPr>
            <w:tcW w:w="8399" w:type="dxa"/>
            <w:tcBorders>
              <w:top w:val="single" w:color="000000" w:sz="8" w:space="0"/>
              <w:left w:val="single" w:color="000000" w:sz="8" w:space="0"/>
              <w:bottom w:val="single" w:color="000000" w:sz="8" w:space="0"/>
              <w:right w:val="single" w:color="000000" w:sz="8" w:space="0"/>
            </w:tcBorders>
          </w:tcPr>
          <w:p w14:paraId="7E38F475">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未按招标文件所提供的样式填写《投标函》；未按招标文件所提供的《政府采购投标及履约承诺函》进行承诺；未按招标文件对投标文件组成的要求提供投标文件；</w:t>
            </w:r>
            <w:r>
              <w:rPr>
                <w:rFonts w:ascii="Calibri" w:hAnsi="Calibri" w:eastAsia="宋体"/>
                <w:kern w:val="2"/>
                <w:sz w:val="21"/>
                <w:szCs w:val="22"/>
                <w:lang w:eastAsia="zh-CN"/>
              </w:rPr>
              <w:t xml:space="preserve"> </w:t>
            </w:r>
          </w:p>
        </w:tc>
      </w:tr>
      <w:tr w14:paraId="2BDB2D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385A2531">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7</w:t>
            </w:r>
          </w:p>
        </w:tc>
        <w:tc>
          <w:tcPr>
            <w:tcW w:w="8399" w:type="dxa"/>
            <w:tcBorders>
              <w:top w:val="single" w:color="000000" w:sz="8" w:space="0"/>
              <w:left w:val="single" w:color="000000" w:sz="8" w:space="0"/>
              <w:bottom w:val="single" w:color="000000" w:sz="8" w:space="0"/>
              <w:right w:val="single" w:color="000000" w:sz="8" w:space="0"/>
            </w:tcBorders>
          </w:tcPr>
          <w:p w14:paraId="74272D77">
            <w:pPr>
              <w:widowControl w:val="0"/>
              <w:spacing w:line="290" w:lineRule="exact"/>
              <w:jc w:val="both"/>
              <w:rPr>
                <w:rFonts w:ascii="Calibri" w:hAnsi="Calibri" w:eastAsia="宋体"/>
                <w:kern w:val="2"/>
                <w:sz w:val="21"/>
                <w:szCs w:val="22"/>
                <w:lang w:eastAsia="zh-CN"/>
              </w:rPr>
            </w:pPr>
            <w:r>
              <w:rPr>
                <w:rFonts w:hint="eastAsia" w:ascii="Calibri" w:hAnsi="Calibri" w:eastAsia="宋体"/>
                <w:kern w:val="2"/>
                <w:sz w:val="21"/>
                <w:szCs w:val="22"/>
                <w:lang w:eastAsia="zh-CN"/>
              </w:rPr>
              <w:t>采购标的/服务清单/报价等任意一类有缺漏项或响应不全，或者对招标文件规定的项目需求内容或者需求数量进行修改，评审委员会判定投标响应不满足采购需求；</w:t>
            </w:r>
          </w:p>
        </w:tc>
      </w:tr>
      <w:tr w14:paraId="30AD3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76DBB38B">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8</w:t>
            </w:r>
          </w:p>
        </w:tc>
        <w:tc>
          <w:tcPr>
            <w:tcW w:w="8399" w:type="dxa"/>
            <w:tcBorders>
              <w:top w:val="single" w:color="000000" w:sz="8" w:space="0"/>
              <w:left w:val="single" w:color="000000" w:sz="8" w:space="0"/>
              <w:bottom w:val="single" w:color="000000" w:sz="8" w:space="0"/>
              <w:right w:val="single" w:color="000000" w:sz="8" w:space="0"/>
            </w:tcBorders>
          </w:tcPr>
          <w:p w14:paraId="005A4950">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color w:val="FF0000"/>
                <w:kern w:val="2"/>
                <w:sz w:val="21"/>
                <w:szCs w:val="22"/>
                <w:lang w:eastAsia="zh-CN"/>
              </w:rPr>
              <w:t>投标文件存在列放位置错误，导致属于信息公开情形的没有被公开</w:t>
            </w:r>
            <w:r>
              <w:rPr>
                <w:rFonts w:hint="eastAsia" w:ascii="Calibri" w:hAnsi="Calibri" w:eastAsia="宋体" w:cs="宋体"/>
                <w:kern w:val="2"/>
                <w:sz w:val="21"/>
                <w:szCs w:val="22"/>
                <w:lang w:eastAsia="zh-CN"/>
              </w:rPr>
              <w:t>；</w:t>
            </w:r>
          </w:p>
        </w:tc>
      </w:tr>
      <w:tr w14:paraId="603ED4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59BB1178">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9</w:t>
            </w:r>
          </w:p>
        </w:tc>
        <w:tc>
          <w:tcPr>
            <w:tcW w:w="8399" w:type="dxa"/>
            <w:tcBorders>
              <w:top w:val="single" w:color="000000" w:sz="8" w:space="0"/>
              <w:left w:val="single" w:color="000000" w:sz="8" w:space="0"/>
              <w:bottom w:val="single" w:color="000000" w:sz="8" w:space="0"/>
              <w:right w:val="single" w:color="000000" w:sz="8" w:space="0"/>
            </w:tcBorders>
          </w:tcPr>
          <w:p w14:paraId="4BAD57B9">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投标文件电子文档不得带病毒；</w:t>
            </w:r>
          </w:p>
        </w:tc>
      </w:tr>
      <w:tr w14:paraId="58681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0401BE49">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10</w:t>
            </w:r>
          </w:p>
        </w:tc>
        <w:tc>
          <w:tcPr>
            <w:tcW w:w="8399" w:type="dxa"/>
            <w:tcBorders>
              <w:top w:val="single" w:color="000000" w:sz="8" w:space="0"/>
              <w:left w:val="single" w:color="000000" w:sz="8" w:space="0"/>
              <w:bottom w:val="single" w:color="000000" w:sz="8" w:space="0"/>
              <w:right w:val="single" w:color="000000" w:sz="8" w:space="0"/>
            </w:tcBorders>
          </w:tcPr>
          <w:p w14:paraId="3CD2C59B">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投标文件用不属于本公司的电子密钥或电子营业执照进行加密的；</w:t>
            </w:r>
          </w:p>
        </w:tc>
      </w:tr>
      <w:tr w14:paraId="72D35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4A42A867">
            <w:pPr>
              <w:widowControl w:val="0"/>
              <w:spacing w:line="290" w:lineRule="exact"/>
              <w:jc w:val="center"/>
              <w:rPr>
                <w:rFonts w:ascii="Calibri" w:hAnsi="Calibri" w:eastAsia="宋体"/>
                <w:kern w:val="2"/>
                <w:sz w:val="21"/>
                <w:szCs w:val="22"/>
                <w:lang w:eastAsia="zh-CN"/>
              </w:rPr>
            </w:pPr>
            <w:r>
              <w:rPr>
                <w:rFonts w:hint="eastAsia" w:ascii="Calibri" w:hAnsi="Calibri" w:eastAsia="宋体"/>
                <w:kern w:val="2"/>
                <w:sz w:val="21"/>
                <w:szCs w:val="22"/>
                <w:lang w:eastAsia="zh-CN"/>
              </w:rPr>
              <w:t>11</w:t>
            </w:r>
          </w:p>
        </w:tc>
        <w:tc>
          <w:tcPr>
            <w:tcW w:w="8399" w:type="dxa"/>
            <w:tcBorders>
              <w:top w:val="single" w:color="000000" w:sz="8" w:space="0"/>
              <w:left w:val="single" w:color="000000" w:sz="8" w:space="0"/>
              <w:bottom w:val="single" w:color="000000" w:sz="8" w:space="0"/>
              <w:right w:val="single" w:color="000000" w:sz="8" w:space="0"/>
            </w:tcBorders>
          </w:tcPr>
          <w:p w14:paraId="07279A03">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法律、法规、规章、规范性文件规定的其他情形。</w:t>
            </w:r>
          </w:p>
        </w:tc>
      </w:tr>
    </w:tbl>
    <w:p w14:paraId="5431C9B1">
      <w:pPr>
        <w:spacing w:before="100" w:beforeAutospacing="1" w:afterAutospacing="1"/>
        <w:jc w:val="center"/>
        <w:outlineLvl w:val="0"/>
        <w:rPr>
          <w:rFonts w:ascii="黑体" w:hAnsi="黑体" w:eastAsia="黑体" w:cs="宋体"/>
          <w:kern w:val="2"/>
          <w:sz w:val="40"/>
          <w:szCs w:val="40"/>
          <w:lang w:eastAsia="zh-CN"/>
        </w:rPr>
      </w:pPr>
    </w:p>
    <w:p w14:paraId="1FCA351E">
      <w:pPr>
        <w:spacing w:before="100" w:beforeAutospacing="1" w:afterAutospacing="1"/>
        <w:jc w:val="center"/>
        <w:outlineLvl w:val="0"/>
        <w:rPr>
          <w:rFonts w:ascii="黑体" w:hAnsi="宋体" w:eastAsia="黑体" w:cs="宋体"/>
          <w:kern w:val="2"/>
          <w:sz w:val="40"/>
          <w:szCs w:val="40"/>
          <w:lang w:eastAsia="zh-CN"/>
        </w:rPr>
      </w:pPr>
      <w:r>
        <w:rPr>
          <w:rFonts w:ascii="黑体" w:hAnsi="黑体" w:eastAsia="黑体" w:cs="宋体"/>
          <w:kern w:val="2"/>
          <w:sz w:val="40"/>
          <w:szCs w:val="40"/>
          <w:lang w:eastAsia="zh-CN"/>
        </w:rPr>
        <w:br w:type="page"/>
      </w:r>
      <w:r>
        <w:rPr>
          <w:rFonts w:hint="eastAsia" w:ascii="黑体" w:hAnsi="黑体" w:eastAsia="黑体" w:cs="宋体"/>
          <w:kern w:val="2"/>
          <w:sz w:val="40"/>
          <w:szCs w:val="40"/>
          <w:lang w:eastAsia="zh-CN"/>
        </w:rPr>
        <w:t>评标信息</w:t>
      </w:r>
    </w:p>
    <w:p w14:paraId="585048B9">
      <w:pPr>
        <w:widowControl w:val="0"/>
        <w:jc w:val="both"/>
        <w:rPr>
          <w:rFonts w:ascii="Calibri" w:hAnsi="Calibri" w:eastAsia="宋体"/>
          <w:kern w:val="2"/>
          <w:sz w:val="21"/>
          <w:szCs w:val="22"/>
          <w:lang w:eastAsia="zh-CN"/>
        </w:rPr>
      </w:pPr>
      <w:r>
        <w:rPr>
          <w:rFonts w:ascii="宋体" w:hAnsi="宋体" w:eastAsia="宋体" w:cstheme="minorBidi"/>
          <w:b/>
          <w:bCs/>
          <w:kern w:val="2"/>
          <w:sz w:val="21"/>
          <w:szCs w:val="22"/>
          <w:lang w:eastAsia="zh-CN"/>
        </w:rPr>
        <w:t>评标方法：综合评分法</w:t>
      </w:r>
    </w:p>
    <w:p w14:paraId="66FB1931">
      <w:pPr>
        <w:widowControl w:val="0"/>
        <w:ind w:firstLine="420"/>
        <w:jc w:val="both"/>
        <w:rPr>
          <w:rFonts w:ascii="Calibri" w:hAnsi="Calibri" w:eastAsia="宋体"/>
          <w:kern w:val="2"/>
          <w:sz w:val="21"/>
          <w:szCs w:val="21"/>
          <w:lang w:eastAsia="zh-CN"/>
        </w:rPr>
      </w:pPr>
      <w:bookmarkStart w:id="2" w:name="OLE_LINK1"/>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p>
    <w:bookmarkEnd w:id="2"/>
    <w:p w14:paraId="26069063">
      <w:pPr>
        <w:widowControl w:val="0"/>
        <w:ind w:firstLine="420"/>
        <w:jc w:val="both"/>
        <w:rPr>
          <w:rFonts w:ascii="Calibri" w:hAnsi="Calibri" w:eastAsia="宋体"/>
          <w:kern w:val="2"/>
          <w:sz w:val="21"/>
          <w:szCs w:val="22"/>
          <w:lang w:eastAsia="zh-CN"/>
        </w:rPr>
      </w:pPr>
      <w:r>
        <w:rPr>
          <w:rFonts w:ascii="宋体" w:hAnsi="宋体" w:eastAsia="宋体" w:cstheme="minorBidi"/>
          <w:kern w:val="2"/>
          <w:sz w:val="21"/>
          <w:szCs w:val="22"/>
          <w:lang w:eastAsia="zh-CN"/>
        </w:rPr>
        <w:t>价格分计算方法：</w:t>
      </w:r>
    </w:p>
    <w:p w14:paraId="3C23F3AE">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采用低价优先法计算，即满足招标文件要求且投标价格最低的投标报价为评标基准价，其价格分为满分。其他投标人的价格分统一按照下列公式计算：</w:t>
      </w:r>
      <w:r>
        <w:rPr>
          <w:rFonts w:ascii="Calibri" w:hAnsi="Calibri" w:eastAsia="宋体" w:cstheme="minorBidi"/>
          <w:kern w:val="2"/>
          <w:sz w:val="21"/>
          <w:szCs w:val="22"/>
          <w:lang w:eastAsia="zh-CN"/>
        </w:rPr>
        <w:t xml:space="preserve"> </w:t>
      </w:r>
    </w:p>
    <w:p w14:paraId="33EEB3E2">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投标报价得分</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评标基准价／投标报价</w:t>
      </w:r>
      <w:r>
        <w:rPr>
          <w:rFonts w:ascii="Calibri" w:hAnsi="Calibri" w:eastAsia="宋体" w:cstheme="minorBidi"/>
          <w:kern w:val="2"/>
          <w:sz w:val="21"/>
          <w:szCs w:val="22"/>
          <w:lang w:eastAsia="zh-CN"/>
        </w:rPr>
        <w:t xml:space="preserve">)×100 </w:t>
      </w:r>
    </w:p>
    <w:p w14:paraId="04A0D782">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评标总得分＝</w:t>
      </w:r>
      <w:r>
        <w:rPr>
          <w:rFonts w:ascii="Calibri" w:hAnsi="Calibri" w:eastAsia="宋体" w:cstheme="minorBidi"/>
          <w:kern w:val="2"/>
          <w:sz w:val="21"/>
          <w:szCs w:val="22"/>
          <w:lang w:eastAsia="zh-CN"/>
        </w:rPr>
        <w:t>F1×A1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F2×A2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 xml:space="preserve">Fn×An </w:t>
      </w:r>
    </w:p>
    <w:p w14:paraId="3F25A091">
      <w:pPr>
        <w:ind w:left="420"/>
        <w:rPr>
          <w:rFonts w:ascii="宋体" w:hAnsi="宋体" w:eastAsia="宋体"/>
          <w:kern w:val="2"/>
          <w:sz w:val="21"/>
          <w:szCs w:val="22"/>
          <w:lang w:eastAsia="zh-CN"/>
        </w:rPr>
      </w:pPr>
      <w:r>
        <w:rPr>
          <w:rFonts w:ascii="Calibri" w:hAnsi="Calibri" w:eastAsia="宋体" w:cstheme="minorBidi"/>
          <w:kern w:val="2"/>
          <w:sz w:val="21"/>
          <w:szCs w:val="22"/>
          <w:lang w:eastAsia="zh-CN"/>
        </w:rPr>
        <w:t>F1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F2……Fn</w:t>
      </w:r>
      <w:r>
        <w:rPr>
          <w:rFonts w:ascii="宋体" w:hAnsi="宋体" w:eastAsia="宋体" w:cstheme="minorBidi"/>
          <w:kern w:val="2"/>
          <w:sz w:val="21"/>
          <w:szCs w:val="22"/>
          <w:lang w:eastAsia="zh-CN"/>
        </w:rPr>
        <w:t xml:space="preserve">分别为各项评审因素的得分； </w:t>
      </w:r>
    </w:p>
    <w:p w14:paraId="2B77DC3B">
      <w:pPr>
        <w:ind w:left="420"/>
        <w:rPr>
          <w:rFonts w:ascii="宋体" w:hAnsi="宋体" w:eastAsia="宋体"/>
          <w:kern w:val="2"/>
          <w:sz w:val="21"/>
          <w:szCs w:val="22"/>
          <w:lang w:eastAsia="zh-CN"/>
        </w:rPr>
      </w:pPr>
      <w:r>
        <w:rPr>
          <w:rFonts w:ascii="Calibri" w:hAnsi="Calibri" w:eastAsia="宋体" w:cstheme="minorBidi"/>
          <w:kern w:val="2"/>
          <w:sz w:val="21"/>
          <w:szCs w:val="22"/>
          <w:lang w:eastAsia="zh-CN"/>
        </w:rPr>
        <w:t>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 xml:space="preserve">……An </w:t>
      </w:r>
      <w:r>
        <w:rPr>
          <w:rFonts w:ascii="宋体" w:hAnsi="宋体" w:eastAsia="宋体" w:cstheme="minorBidi"/>
          <w:kern w:val="2"/>
          <w:sz w:val="21"/>
          <w:szCs w:val="22"/>
          <w:lang w:eastAsia="zh-CN"/>
        </w:rPr>
        <w:t>分别为各项评审因素所占的权重</w:t>
      </w:r>
      <w:r>
        <w:rPr>
          <w:rFonts w:ascii="Calibri" w:hAnsi="Calibri" w:eastAsia="宋体" w:cstheme="minorBidi"/>
          <w:kern w:val="2"/>
          <w:sz w:val="21"/>
          <w:szCs w:val="22"/>
          <w:lang w:eastAsia="zh-CN"/>
        </w:rPr>
        <w:t>(A1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An</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1)</w:t>
      </w:r>
      <w:r>
        <w:rPr>
          <w:rFonts w:ascii="宋体" w:hAnsi="宋体" w:eastAsia="宋体" w:cstheme="minorBidi"/>
          <w:kern w:val="2"/>
          <w:sz w:val="21"/>
          <w:szCs w:val="22"/>
          <w:lang w:eastAsia="zh-CN"/>
        </w:rPr>
        <w:t xml:space="preserve">。 </w:t>
      </w:r>
    </w:p>
    <w:p w14:paraId="4EEAE573">
      <w:pPr>
        <w:widowControl w:val="0"/>
        <w:jc w:val="both"/>
        <w:rPr>
          <w:rFonts w:ascii="宋体" w:hAnsi="宋体" w:eastAsia="宋体" w:cstheme="minorBidi"/>
          <w:kern w:val="2"/>
          <w:sz w:val="21"/>
          <w:szCs w:val="22"/>
          <w:lang w:eastAsia="zh-CN"/>
        </w:rPr>
      </w:pPr>
      <w:r>
        <w:rPr>
          <w:rFonts w:ascii="宋体" w:hAnsi="宋体" w:eastAsia="宋体" w:cstheme="minorBidi"/>
          <w:kern w:val="2"/>
          <w:sz w:val="21"/>
          <w:szCs w:val="22"/>
          <w:lang w:eastAsia="zh-CN"/>
        </w:rPr>
        <w:t>评标过程中，不得去掉报价中的最高报价和最低报价。</w:t>
      </w:r>
    </w:p>
    <w:p w14:paraId="6CD2F610">
      <w:pPr>
        <w:widowControl w:val="0"/>
        <w:ind w:firstLine="422" w:firstLineChars="200"/>
        <w:jc w:val="both"/>
        <w:rPr>
          <w:rFonts w:ascii="Calibri" w:hAnsi="Calibri" w:eastAsia="宋体" w:cs="宋体"/>
          <w:b/>
          <w:bCs/>
          <w:color w:val="FF0000"/>
          <w:kern w:val="2"/>
          <w:sz w:val="21"/>
          <w:szCs w:val="22"/>
          <w:lang w:eastAsia="zh-CN"/>
        </w:rPr>
      </w:pPr>
      <w:r>
        <w:rPr>
          <w:rFonts w:hint="eastAsia" w:ascii="Calibri" w:hAnsi="Calibri" w:eastAsia="宋体" w:cs="宋体"/>
          <w:b/>
          <w:bCs/>
          <w:color w:val="FF0000"/>
          <w:kern w:val="2"/>
          <w:sz w:val="21"/>
          <w:szCs w:val="22"/>
          <w:lang w:eastAsia="zh-CN"/>
        </w:rPr>
        <w:t>注：投标人的“投标技术响应”“技术要求偏离表中偏离情况”等必须与客观实际保持一致，响应不实且情节严重的，经查实，将依法记入供应商诚信档案或受到行政处罚。</w:t>
      </w:r>
    </w:p>
    <w:p w14:paraId="0CC66D2C">
      <w:pPr>
        <w:widowControl w:val="0"/>
        <w:jc w:val="both"/>
        <w:rPr>
          <w:rFonts w:ascii="宋体" w:hAnsi="宋体" w:eastAsia="宋体" w:cs="宋体"/>
          <w:b/>
          <w:bCs/>
          <w:color w:val="FF0000"/>
          <w:kern w:val="2"/>
          <w:sz w:val="21"/>
          <w:szCs w:val="22"/>
          <w:lang w:eastAsia="zh-CN"/>
        </w:rPr>
      </w:pPr>
    </w:p>
    <w:p w14:paraId="151FD763">
      <w:pPr>
        <w:rPr>
          <w:rFonts w:ascii="宋体" w:hAnsi="宋体" w:eastAsia="宋体" w:cs="宋体"/>
          <w:b/>
          <w:bCs/>
          <w:color w:val="FF0000"/>
          <w:kern w:val="2"/>
          <w:sz w:val="21"/>
          <w:szCs w:val="22"/>
          <w:lang w:eastAsia="zh-CN"/>
        </w:rPr>
      </w:pPr>
      <w:r>
        <w:rPr>
          <w:rFonts w:ascii="宋体" w:hAnsi="宋体" w:eastAsia="宋体" w:cs="宋体"/>
          <w:b/>
          <w:bCs/>
          <w:color w:val="FF0000"/>
          <w:kern w:val="2"/>
          <w:sz w:val="21"/>
          <w:szCs w:val="22"/>
          <w:lang w:eastAsia="zh-CN"/>
        </w:rPr>
        <w:br w:type="page"/>
      </w:r>
    </w:p>
    <w:tbl>
      <w:tblPr>
        <w:tblStyle w:val="18"/>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363"/>
        <w:gridCol w:w="675"/>
        <w:gridCol w:w="737"/>
        <w:gridCol w:w="6617"/>
      </w:tblGrid>
      <w:tr w14:paraId="3D63F0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07EAA33">
            <w:pPr>
              <w:wordWrap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775"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CB1E62E">
            <w:pPr>
              <w:wordWrap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评分项</w:t>
            </w:r>
          </w:p>
        </w:tc>
        <w:tc>
          <w:tcPr>
            <w:tcW w:w="6617"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4059F49">
            <w:pPr>
              <w:wordWrap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r>
      <w:tr w14:paraId="6ABCEC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noWrap w:val="0"/>
            <w:vAlign w:val="top"/>
          </w:tcPr>
          <w:p w14:paraId="0FA8BCE5">
            <w:pPr>
              <w:wordWrap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1</w:t>
            </w:r>
          </w:p>
        </w:tc>
        <w:tc>
          <w:tcPr>
            <w:tcW w:w="1775" w:type="dxa"/>
            <w:gridSpan w:val="3"/>
            <w:tcBorders>
              <w:top w:val="single" w:color="000000" w:sz="8" w:space="0"/>
              <w:left w:val="single" w:color="000000" w:sz="8" w:space="0"/>
              <w:bottom w:val="single" w:color="000000" w:sz="8" w:space="0"/>
              <w:right w:val="single" w:color="000000" w:sz="8" w:space="0"/>
            </w:tcBorders>
            <w:noWrap w:val="0"/>
            <w:vAlign w:val="top"/>
          </w:tcPr>
          <w:p w14:paraId="60AE21D0">
            <w:pPr>
              <w:wordWrap w:val="0"/>
              <w:spacing w:line="240" w:lineRule="auto"/>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价格</w:t>
            </w:r>
          </w:p>
        </w:tc>
        <w:tc>
          <w:tcPr>
            <w:tcW w:w="6617" w:type="dxa"/>
            <w:tcBorders>
              <w:top w:val="single" w:color="000000" w:sz="8" w:space="0"/>
              <w:left w:val="single" w:color="000000" w:sz="8" w:space="0"/>
              <w:bottom w:val="single" w:color="000000" w:sz="8" w:space="0"/>
              <w:right w:val="single" w:color="000000" w:sz="8" w:space="0"/>
            </w:tcBorders>
            <w:noWrap w:val="0"/>
            <w:vAlign w:val="top"/>
          </w:tcPr>
          <w:p w14:paraId="04DCA904">
            <w:pPr>
              <w:wordWrap w:val="0"/>
              <w:spacing w:line="240" w:lineRule="auto"/>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10</w:t>
            </w:r>
          </w:p>
        </w:tc>
      </w:tr>
      <w:tr w14:paraId="4BBA3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14:paraId="524A4882">
            <w:pPr>
              <w:wordWrap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2</w:t>
            </w:r>
          </w:p>
        </w:tc>
        <w:tc>
          <w:tcPr>
            <w:tcW w:w="1775" w:type="dxa"/>
            <w:gridSpan w:val="3"/>
            <w:tcBorders>
              <w:top w:val="single" w:color="000000" w:sz="8" w:space="0"/>
              <w:left w:val="single" w:color="000000" w:sz="8" w:space="0"/>
              <w:bottom w:val="single" w:color="000000" w:sz="8" w:space="0"/>
              <w:right w:val="single" w:color="000000" w:sz="8" w:space="0"/>
            </w:tcBorders>
            <w:noWrap w:val="0"/>
            <w:vAlign w:val="top"/>
          </w:tcPr>
          <w:p w14:paraId="6D76ABBA">
            <w:pPr>
              <w:wordWrap w:val="0"/>
              <w:spacing w:line="240" w:lineRule="auto"/>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技术部分</w:t>
            </w:r>
          </w:p>
        </w:tc>
        <w:tc>
          <w:tcPr>
            <w:tcW w:w="6617" w:type="dxa"/>
            <w:tcBorders>
              <w:top w:val="single" w:color="000000" w:sz="8" w:space="0"/>
              <w:left w:val="single" w:color="000000" w:sz="8" w:space="0"/>
              <w:bottom w:val="single" w:color="000000" w:sz="8" w:space="0"/>
              <w:right w:val="single" w:color="000000" w:sz="8" w:space="0"/>
            </w:tcBorders>
            <w:noWrap w:val="0"/>
            <w:vAlign w:val="top"/>
          </w:tcPr>
          <w:p w14:paraId="473856DA">
            <w:pPr>
              <w:wordWrap w:val="0"/>
              <w:spacing w:line="240" w:lineRule="auto"/>
              <w:jc w:val="center"/>
              <w:rPr>
                <w:rFonts w:hint="default" w:ascii="宋体" w:hAnsi="宋体" w:eastAsia="宋体" w:cs="宋体"/>
                <w:b/>
                <w:bCs/>
                <w:color w:val="0000FF"/>
                <w:sz w:val="21"/>
                <w:szCs w:val="21"/>
                <w:lang w:val="en-US" w:eastAsia="zh-CN"/>
              </w:rPr>
            </w:pPr>
            <w:r>
              <w:rPr>
                <w:rFonts w:hint="eastAsia" w:ascii="宋体" w:hAnsi="宋体" w:cs="宋体"/>
                <w:b/>
                <w:bCs/>
                <w:color w:val="0000FF"/>
                <w:sz w:val="21"/>
                <w:szCs w:val="21"/>
                <w:lang w:val="en-US" w:eastAsia="zh-CN"/>
              </w:rPr>
              <w:t>59</w:t>
            </w:r>
          </w:p>
        </w:tc>
      </w:tr>
      <w:tr w14:paraId="1C3611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44E2557">
            <w:pPr>
              <w:spacing w:line="240" w:lineRule="auto"/>
              <w:rPr>
                <w:rFonts w:ascii="宋体" w:hAnsi="宋体" w:eastAsia="宋体" w:cs="宋体"/>
                <w:b/>
                <w:bCs/>
                <w:color w:val="0000FF"/>
                <w:sz w:val="21"/>
                <w:szCs w:val="21"/>
              </w:rPr>
            </w:pPr>
          </w:p>
        </w:tc>
        <w:tc>
          <w:tcPr>
            <w:tcW w:w="36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DE2AB2A">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序号</w:t>
            </w:r>
          </w:p>
        </w:tc>
        <w:tc>
          <w:tcPr>
            <w:tcW w:w="67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03BB49A6">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评分因素</w:t>
            </w:r>
          </w:p>
        </w:tc>
        <w:tc>
          <w:tcPr>
            <w:tcW w:w="73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95FC758">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权重(%)</w:t>
            </w:r>
          </w:p>
        </w:tc>
        <w:tc>
          <w:tcPr>
            <w:tcW w:w="661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9A52E1A">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评分准则</w:t>
            </w:r>
          </w:p>
        </w:tc>
      </w:tr>
      <w:tr w14:paraId="276B9D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83040D">
            <w:pPr>
              <w:spacing w:line="240" w:lineRule="auto"/>
              <w:rPr>
                <w:rFonts w:ascii="宋体" w:hAnsi="宋体" w:eastAsia="宋体" w:cs="宋体"/>
                <w:b/>
                <w:bCs/>
                <w:color w:val="0000FF"/>
                <w:sz w:val="21"/>
                <w:szCs w:val="21"/>
              </w:rPr>
            </w:pPr>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2FB7B7EF">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AE2EB06">
            <w:pPr>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实施方案</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394F46B5">
            <w:pPr>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c>
          <w:tcPr>
            <w:tcW w:w="6617" w:type="dxa"/>
            <w:tcBorders>
              <w:top w:val="single" w:color="000000" w:sz="8" w:space="0"/>
              <w:left w:val="single" w:color="000000" w:sz="8" w:space="0"/>
              <w:bottom w:val="single" w:color="000000" w:sz="8" w:space="0"/>
              <w:right w:val="single" w:color="000000" w:sz="8" w:space="0"/>
            </w:tcBorders>
            <w:noWrap w:val="0"/>
            <w:vAlign w:val="center"/>
          </w:tcPr>
          <w:p w14:paraId="6E830DA2">
            <w:pPr>
              <w:snapToGrid w:val="0"/>
              <w:spacing w:line="240" w:lineRule="auto"/>
              <w:rPr>
                <w:rFonts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（一）评分内容：</w:t>
            </w:r>
          </w:p>
          <w:p w14:paraId="024877B6">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1.对项目的理解分析。</w:t>
            </w:r>
          </w:p>
          <w:p w14:paraId="404DC8A1">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工作措施与工作方法</w:t>
            </w:r>
            <w:r>
              <w:rPr>
                <w:rFonts w:hint="eastAsia" w:ascii="宋体" w:hAnsi="宋体" w:eastAsia="宋体" w:cs="宋体"/>
                <w:color w:val="auto"/>
                <w:sz w:val="21"/>
                <w:szCs w:val="21"/>
                <w:lang w:eastAsia="zh-CN"/>
              </w:rPr>
              <w:t>。</w:t>
            </w:r>
          </w:p>
          <w:p w14:paraId="58814FA5">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工作手段</w:t>
            </w:r>
            <w:r>
              <w:rPr>
                <w:rFonts w:hint="eastAsia" w:ascii="宋体" w:hAnsi="宋体" w:eastAsia="宋体" w:cs="宋体"/>
                <w:color w:val="auto"/>
                <w:sz w:val="21"/>
                <w:szCs w:val="21"/>
                <w:lang w:eastAsia="zh-CN"/>
              </w:rPr>
              <w:t>。</w:t>
            </w:r>
          </w:p>
          <w:p w14:paraId="73456DD1">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工作流程。</w:t>
            </w:r>
          </w:p>
          <w:p w14:paraId="0BC1E706">
            <w:pPr>
              <w:snapToGrid w:val="0"/>
              <w:spacing w:line="240" w:lineRule="auto"/>
              <w:rPr>
                <w:rFonts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（二）评分依据：</w:t>
            </w:r>
          </w:p>
          <w:p w14:paraId="2F99FE5C">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1.每提供上述一项内容的，得20分，最高得60分。</w:t>
            </w:r>
          </w:p>
          <w:p w14:paraId="0A3AAD16">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2.在此基础上，评审委员根据各供应商的具体响应内容按照量化的评审因素指标进一步评审：</w:t>
            </w:r>
          </w:p>
          <w:p w14:paraId="2FB34E03">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（1）评审为优（方案内容全面，菜品种类丰富、搭配均衡，管理模 式先进，员工管理完善，安全管理到位）的，加</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lang w:eastAsia="zh-CN"/>
              </w:rPr>
              <w:t>分；</w:t>
            </w:r>
          </w:p>
          <w:p w14:paraId="27354978">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（2）评审为良（方案内容较全面，菜品种类较丰富、搭配较均衡，管理模式较先进，员工管理较完善，安全管理较到位）的，加</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eastAsia="zh-CN"/>
              </w:rPr>
              <w:t>分；</w:t>
            </w:r>
          </w:p>
          <w:p w14:paraId="7FF9F75E">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（3）评审为中（方案内容基本全面，菜品种类基本丰富、搭配基本均衡，管理模式可行，员工管理基本完善，安全管 理基本到位的）的，加10分；</w:t>
            </w:r>
          </w:p>
          <w:p w14:paraId="03A2B41B">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（4）评审为差（未按要求提供方案或提供不清晰导致专家无法判断的不得分。</w:t>
            </w:r>
          </w:p>
        </w:tc>
      </w:tr>
      <w:tr w14:paraId="18D511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1B9C938">
            <w:pPr>
              <w:spacing w:line="240" w:lineRule="auto"/>
              <w:rPr>
                <w:rFonts w:ascii="宋体" w:hAnsi="宋体" w:eastAsia="宋体" w:cs="宋体"/>
                <w:b/>
                <w:bCs/>
                <w:color w:val="0000FF"/>
                <w:sz w:val="21"/>
                <w:szCs w:val="21"/>
                <w:lang w:eastAsia="zh-CN"/>
              </w:rPr>
            </w:pPr>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04617A06">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E778171">
            <w:pPr>
              <w:snapToGrid w:val="0"/>
              <w:spacing w:line="240" w:lineRule="auto"/>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服务质量保证措施</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5A673510">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c>
          <w:tcPr>
            <w:tcW w:w="6617" w:type="dxa"/>
            <w:tcBorders>
              <w:top w:val="single" w:color="000000" w:sz="8" w:space="0"/>
              <w:left w:val="single" w:color="000000" w:sz="8" w:space="0"/>
              <w:bottom w:val="single" w:color="000000" w:sz="8" w:space="0"/>
              <w:right w:val="single" w:color="000000" w:sz="8" w:space="0"/>
            </w:tcBorders>
            <w:noWrap w:val="0"/>
            <w:vAlign w:val="center"/>
          </w:tcPr>
          <w:p w14:paraId="678F783A">
            <w:pPr>
              <w:snapToGrid w:val="0"/>
              <w:spacing w:line="240" w:lineRule="auto"/>
              <w:rPr>
                <w:rFonts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（一）评分内容：</w:t>
            </w:r>
          </w:p>
          <w:p w14:paraId="20FE0D31">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1.服务质量</w:t>
            </w:r>
            <w:r>
              <w:rPr>
                <w:rFonts w:hint="eastAsia" w:ascii="宋体" w:hAnsi="宋体" w:eastAsia="宋体" w:cs="宋体"/>
                <w:color w:val="auto"/>
                <w:sz w:val="21"/>
                <w:szCs w:val="21"/>
                <w:lang w:eastAsia="zh-CN"/>
              </w:rPr>
              <w:t>安全管理。</w:t>
            </w:r>
          </w:p>
          <w:p w14:paraId="6344106F">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原材料的验收质量保证措施。</w:t>
            </w:r>
          </w:p>
          <w:p w14:paraId="07E3B517">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菜品加工质量保证措施。</w:t>
            </w:r>
          </w:p>
          <w:p w14:paraId="0A40762D">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成品检验质量保证措施。</w:t>
            </w:r>
          </w:p>
          <w:p w14:paraId="096BE039">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卫生管理制度。</w:t>
            </w:r>
          </w:p>
          <w:p w14:paraId="276322E4">
            <w:pPr>
              <w:snapToGrid w:val="0"/>
              <w:spacing w:line="240" w:lineRule="auto"/>
              <w:rPr>
                <w:rFonts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（二）评分依据：</w:t>
            </w:r>
          </w:p>
          <w:p w14:paraId="0A4EC730">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1.每提供上述一项内容的，得</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lang w:eastAsia="zh-CN"/>
              </w:rPr>
              <w:t>分，最高得60分。</w:t>
            </w:r>
          </w:p>
          <w:p w14:paraId="1A5AF9D3">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2.在此基础上，评审委员根据各供应商的具体响应内容按照量化的评审因素指标进一步评审：</w:t>
            </w:r>
          </w:p>
          <w:p w14:paraId="3232CC11">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（1）评审为优（如响应内容全面、清晰、针对性强、可操作性强）的，加40分；</w:t>
            </w:r>
          </w:p>
          <w:p w14:paraId="6AE000B8">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（2）评审为良（如响应内容较全面、较清晰、针对性较强、可操作性较强）的，加25分；</w:t>
            </w:r>
          </w:p>
          <w:p w14:paraId="0C3556BE">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（3）评审为中（如响应内容基本完整，针对性一般，可操作性一般）的，加10分；</w:t>
            </w:r>
          </w:p>
          <w:p w14:paraId="70C0E6A5">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（4）评审为差（如响应内容缺失或与项目关联度不大）的，加0分。</w:t>
            </w:r>
          </w:p>
          <w:p w14:paraId="47156FDB">
            <w:pPr>
              <w:pStyle w:val="24"/>
              <w:rPr>
                <w:color w:val="auto"/>
                <w:lang w:eastAsia="zh-CN"/>
              </w:rPr>
            </w:pPr>
            <w:r>
              <w:rPr>
                <w:rFonts w:hint="eastAsia" w:ascii="宋体" w:hAnsi="宋体" w:eastAsia="宋体" w:cs="宋体"/>
                <w:color w:val="auto"/>
                <w:sz w:val="21"/>
                <w:szCs w:val="21"/>
              </w:rPr>
              <w:t>未提供不得分。</w:t>
            </w:r>
          </w:p>
        </w:tc>
      </w:tr>
      <w:tr w14:paraId="6D7232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7608B35">
            <w:pPr>
              <w:spacing w:line="240" w:lineRule="auto"/>
              <w:rPr>
                <w:rFonts w:ascii="宋体" w:hAnsi="宋体" w:eastAsia="宋体" w:cs="宋体"/>
                <w:b/>
                <w:bCs/>
                <w:color w:val="0000FF"/>
                <w:sz w:val="21"/>
                <w:szCs w:val="21"/>
                <w:lang w:eastAsia="zh-CN"/>
              </w:rPr>
            </w:pPr>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3B434534">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3</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62B4CAE6">
            <w:pPr>
              <w:snapToGrid w:val="0"/>
              <w:spacing w:line="240" w:lineRule="auto"/>
              <w:jc w:val="center"/>
              <w:rPr>
                <w:rFonts w:ascii="宋体" w:hAnsi="宋体" w:eastAsia="宋体" w:cs="宋体"/>
                <w:color w:val="auto"/>
                <w:sz w:val="21"/>
                <w:szCs w:val="21"/>
                <w:lang w:eastAsia="zh-CN"/>
              </w:rPr>
            </w:pPr>
            <w:r>
              <w:rPr>
                <w:rFonts w:hint="eastAsia" w:ascii="宋体" w:hAnsi="宋体" w:eastAsia="宋体" w:cs="宋体"/>
                <w:color w:val="auto"/>
                <w:sz w:val="21"/>
                <w:szCs w:val="21"/>
              </w:rPr>
              <w:t>整体管理</w:t>
            </w:r>
            <w:r>
              <w:rPr>
                <w:rFonts w:hint="eastAsia" w:ascii="宋体" w:hAnsi="宋体" w:eastAsia="宋体" w:cs="宋体"/>
                <w:color w:val="auto"/>
                <w:sz w:val="21"/>
                <w:szCs w:val="21"/>
                <w:lang w:eastAsia="zh-CN"/>
              </w:rPr>
              <w:t>方案</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4E2BA04E">
            <w:pPr>
              <w:snapToGrid w:val="0"/>
              <w:spacing w:line="24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8</w:t>
            </w:r>
          </w:p>
        </w:tc>
        <w:tc>
          <w:tcPr>
            <w:tcW w:w="6617" w:type="dxa"/>
            <w:tcBorders>
              <w:top w:val="single" w:color="000000" w:sz="8" w:space="0"/>
              <w:left w:val="single" w:color="000000" w:sz="8" w:space="0"/>
              <w:bottom w:val="single" w:color="000000" w:sz="8" w:space="0"/>
              <w:right w:val="single" w:color="000000" w:sz="8" w:space="0"/>
            </w:tcBorders>
            <w:noWrap w:val="0"/>
            <w:vAlign w:val="center"/>
          </w:tcPr>
          <w:p w14:paraId="0ADE8877">
            <w:pPr>
              <w:snapToGrid w:val="0"/>
              <w:spacing w:line="240" w:lineRule="auto"/>
              <w:rPr>
                <w:rFonts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（一）评分内容：</w:t>
            </w:r>
          </w:p>
          <w:p w14:paraId="21A77A14">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提供项目整体管理方案：</w:t>
            </w:r>
          </w:p>
          <w:p w14:paraId="31D8244B">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1.管理模式、人员的配置</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定期体检计划</w:t>
            </w:r>
            <w:r>
              <w:rPr>
                <w:rFonts w:hint="eastAsia" w:ascii="宋体" w:hAnsi="宋体" w:cs="宋体"/>
                <w:color w:val="auto"/>
                <w:sz w:val="21"/>
                <w:szCs w:val="21"/>
                <w:lang w:eastAsia="zh-CN"/>
              </w:rPr>
              <w:t>。</w:t>
            </w:r>
          </w:p>
          <w:p w14:paraId="27AAA274">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2.人员培训与管理措施</w:t>
            </w:r>
            <w:r>
              <w:rPr>
                <w:rFonts w:hint="eastAsia" w:ascii="宋体" w:hAnsi="宋体" w:cs="宋体"/>
                <w:color w:val="auto"/>
                <w:sz w:val="21"/>
                <w:szCs w:val="21"/>
                <w:lang w:eastAsia="zh-CN"/>
              </w:rPr>
              <w:t>。</w:t>
            </w:r>
          </w:p>
          <w:p w14:paraId="14C01FE5">
            <w:pPr>
              <w:snapToGrid w:val="0"/>
              <w:spacing w:line="240" w:lineRule="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食堂设施设备安全控制措施。</w:t>
            </w:r>
          </w:p>
          <w:p w14:paraId="02E70FFA">
            <w:pPr>
              <w:snapToGrid w:val="0"/>
              <w:spacing w:line="240" w:lineRule="auto"/>
              <w:rPr>
                <w:rFonts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（二）评分依据：</w:t>
            </w:r>
          </w:p>
          <w:p w14:paraId="51B42DBA">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1.每提供上述一项内容的，得20分，最高得60分。</w:t>
            </w:r>
          </w:p>
          <w:p w14:paraId="253EBDFE">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2.在此基础上，评审委员根据各供应商的具体响应内容按照量化的评审因素指标进一步评审：</w:t>
            </w:r>
          </w:p>
          <w:p w14:paraId="3577A68F">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（1）评审为优（如响应内容全面、清晰、针对性强、可操作性强）的，加40分；</w:t>
            </w:r>
          </w:p>
          <w:p w14:paraId="0F733BB1">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（2）评审为良（如响应内容较全面、较清晰、针对性较强、可操作性较强）的，加25分；</w:t>
            </w:r>
          </w:p>
          <w:p w14:paraId="5B0DD1FE">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（3）评审为中（如响应内容基本完整，针对性一般，可操作性一般）的，加10分；</w:t>
            </w:r>
          </w:p>
          <w:p w14:paraId="4716FFAE">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（4）评审为差（如响应内容缺失或与项目关联度不大）的，加0分。</w:t>
            </w:r>
          </w:p>
          <w:p w14:paraId="49816C30">
            <w:pPr>
              <w:snapToGrid w:val="0"/>
              <w:spacing w:line="240" w:lineRule="auto"/>
              <w:rPr>
                <w:rFonts w:ascii="宋体" w:hAnsi="宋体" w:eastAsia="宋体" w:cs="宋体"/>
                <w:color w:val="auto"/>
                <w:sz w:val="21"/>
                <w:szCs w:val="21"/>
              </w:rPr>
            </w:pPr>
            <w:r>
              <w:rPr>
                <w:rFonts w:hint="eastAsia" w:ascii="宋体" w:hAnsi="宋体" w:eastAsia="宋体" w:cs="宋体"/>
                <w:color w:val="auto"/>
                <w:sz w:val="21"/>
                <w:szCs w:val="21"/>
              </w:rPr>
              <w:t>未提供不得分。</w:t>
            </w:r>
          </w:p>
        </w:tc>
      </w:tr>
      <w:tr w14:paraId="6DAAEF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824B59">
            <w:pPr>
              <w:spacing w:line="240" w:lineRule="auto"/>
              <w:rPr>
                <w:rFonts w:ascii="宋体" w:hAnsi="宋体" w:eastAsia="宋体" w:cs="宋体"/>
                <w:b/>
                <w:bCs/>
                <w:color w:val="0000FF"/>
                <w:sz w:val="21"/>
                <w:szCs w:val="21"/>
              </w:rPr>
            </w:pPr>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0067706B">
            <w:pPr>
              <w:wordWrap w:val="0"/>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F639C9B">
            <w:pPr>
              <w:snapToGrid w:val="0"/>
              <w:spacing w:line="240" w:lineRule="auto"/>
              <w:jc w:val="center"/>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rPr>
              <w:t>供餐方案</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5F22FB9A">
            <w:pPr>
              <w:snapToGrid w:val="0"/>
              <w:spacing w:line="24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8</w:t>
            </w:r>
          </w:p>
        </w:tc>
        <w:tc>
          <w:tcPr>
            <w:tcW w:w="6617" w:type="dxa"/>
            <w:tcBorders>
              <w:top w:val="single" w:color="000000" w:sz="8" w:space="0"/>
              <w:left w:val="single" w:color="000000" w:sz="8" w:space="0"/>
              <w:bottom w:val="single" w:color="000000" w:sz="8" w:space="0"/>
              <w:right w:val="single" w:color="000000" w:sz="8" w:space="0"/>
            </w:tcBorders>
            <w:noWrap w:val="0"/>
            <w:vAlign w:val="center"/>
          </w:tcPr>
          <w:p w14:paraId="02BEB18D">
            <w:pPr>
              <w:snapToGrid w:val="0"/>
              <w:spacing w:line="240" w:lineRule="auto"/>
              <w:rPr>
                <w:rFonts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（一）评分内容：</w:t>
            </w:r>
          </w:p>
          <w:p w14:paraId="42461D5A">
            <w:pPr>
              <w:snapToGrid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1.菜品种类（包括：</w:t>
            </w:r>
            <w:r>
              <w:rPr>
                <w:rFonts w:hint="eastAsia" w:ascii="宋体" w:hAnsi="宋体" w:eastAsia="宋体" w:cs="宋体"/>
                <w:color w:val="auto"/>
                <w:sz w:val="21"/>
                <w:szCs w:val="21"/>
                <w:lang w:eastAsia="zh-CN"/>
              </w:rPr>
              <w:t>新菜品研发方案；菜品更新频率；组织美食活动方案</w:t>
            </w:r>
            <w:r>
              <w:rPr>
                <w:rFonts w:hint="eastAsia" w:ascii="宋体" w:hAnsi="宋体" w:eastAsia="宋体" w:cs="宋体"/>
                <w:color w:val="auto"/>
                <w:sz w:val="21"/>
                <w:szCs w:val="21"/>
                <w:lang w:val="en-US" w:eastAsia="zh-CN"/>
              </w:rPr>
              <w:t>）。</w:t>
            </w:r>
          </w:p>
          <w:p w14:paraId="56404ED9">
            <w:pPr>
              <w:snapToGrid w:val="0"/>
              <w:spacing w:line="240" w:lineRule="auto"/>
              <w:rPr>
                <w:rFonts w:hint="default"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2.针对本项目</w:t>
            </w:r>
            <w:r>
              <w:rPr>
                <w:rFonts w:hint="eastAsia" w:ascii="宋体" w:hAnsi="宋体" w:eastAsia="宋体" w:cs="宋体"/>
                <w:color w:val="auto"/>
                <w:sz w:val="21"/>
                <w:szCs w:val="21"/>
                <w:lang w:eastAsia="zh-CN"/>
              </w:rPr>
              <w:t>的需求制定供餐营养搭配方案。</w:t>
            </w:r>
          </w:p>
          <w:p w14:paraId="5F933862">
            <w:pPr>
              <w:snapToGrid w:val="0"/>
              <w:spacing w:line="240" w:lineRule="auto"/>
              <w:rPr>
                <w:rFonts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（二）评分依据：</w:t>
            </w:r>
          </w:p>
          <w:p w14:paraId="2E77FA6C">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1.提供上述内容的，得</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lang w:eastAsia="zh-CN"/>
              </w:rPr>
              <w:t>分，最高得60分。</w:t>
            </w:r>
          </w:p>
          <w:p w14:paraId="113C2E64">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2.在此基础上，评审委员根据各供应商的具体响应内容按照量化的评审因素指标进一步评审：</w:t>
            </w:r>
          </w:p>
          <w:p w14:paraId="6469F68F">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（1）评审为优（如响应内容全面、清晰、针对性强、可操作性强）的，加40分；</w:t>
            </w:r>
          </w:p>
          <w:p w14:paraId="5919FFEA">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（2）评审为良（如响应内容较全面、较清晰、针对性较强、可操作性较强）的，加25分；</w:t>
            </w:r>
          </w:p>
          <w:p w14:paraId="504B020E">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（3）评审为中（如响应内容基本完整，针对性一般，可操作性一般）的，加10分；</w:t>
            </w:r>
          </w:p>
          <w:p w14:paraId="3C8D59CA">
            <w:pPr>
              <w:snapToGrid w:val="0"/>
              <w:spacing w:line="240" w:lineRule="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（4）评审为差（如响应内容缺失或与项目关联度不大）的，加0分。</w:t>
            </w:r>
          </w:p>
        </w:tc>
      </w:tr>
      <w:tr w14:paraId="7F9B23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BF1DB72">
            <w:pPr>
              <w:spacing w:line="240" w:lineRule="auto"/>
              <w:rPr>
                <w:rFonts w:ascii="宋体" w:hAnsi="宋体" w:eastAsia="宋体" w:cs="宋体"/>
                <w:b/>
                <w:bCs/>
                <w:color w:val="0000FF"/>
                <w:sz w:val="21"/>
                <w:szCs w:val="21"/>
              </w:rPr>
            </w:pPr>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10F147CE">
            <w:pPr>
              <w:wordWrap w:val="0"/>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835EDC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应急方案</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109BB2C5">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6617" w:type="dxa"/>
            <w:tcBorders>
              <w:top w:val="single" w:color="000000" w:sz="8" w:space="0"/>
              <w:left w:val="single" w:color="000000" w:sz="8" w:space="0"/>
              <w:bottom w:val="single" w:color="000000" w:sz="8" w:space="0"/>
              <w:right w:val="single" w:color="000000" w:sz="8" w:space="0"/>
            </w:tcBorders>
            <w:noWrap w:val="0"/>
            <w:vAlign w:val="center"/>
          </w:tcPr>
          <w:p w14:paraId="590E981A">
            <w:pPr>
              <w:snapToGrid w:val="0"/>
              <w:spacing w:line="240" w:lineRule="auto"/>
              <w:rPr>
                <w:rFonts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（一）评分内容：</w:t>
            </w:r>
          </w:p>
          <w:p w14:paraId="002C60A2">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根据投标文件中对本项目做出的应急保障措施，包括但不限于以下内容：</w:t>
            </w:r>
          </w:p>
          <w:p w14:paraId="76DB62B6">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提供应急预案；</w:t>
            </w:r>
          </w:p>
          <w:p w14:paraId="1B09638E">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应急响应机制。</w:t>
            </w:r>
          </w:p>
          <w:p w14:paraId="7FD47659">
            <w:pPr>
              <w:snapToGrid w:val="0"/>
              <w:spacing w:line="240" w:lineRule="auto"/>
              <w:rPr>
                <w:rFonts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（二）评分依据：</w:t>
            </w:r>
          </w:p>
          <w:p w14:paraId="1E0FE585">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1.提供上述内容的，得</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lang w:eastAsia="zh-CN"/>
              </w:rPr>
              <w:t>分，最高得60分。</w:t>
            </w:r>
          </w:p>
          <w:p w14:paraId="2FD77474">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2.在此基础上，评审委员根据各供应商的具体响应内容按照量化的评审因素指标进一步评审：</w:t>
            </w:r>
          </w:p>
          <w:p w14:paraId="7128F02A">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（1）评审为优（如响应内容全面、清晰、针对性强、可操作性强）的，加40分；</w:t>
            </w:r>
          </w:p>
          <w:p w14:paraId="248BD774">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（2）评审为良（如响应内容较全面、较清晰、针对性较强、可操作性较强）的，加25分；</w:t>
            </w:r>
          </w:p>
          <w:p w14:paraId="54A79DF9">
            <w:pPr>
              <w:snapToGrid w:val="0"/>
              <w:spacing w:line="24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（3）评审为中（如响应内容基本完整，针对性一般，可操作性一般）的，加10分；</w:t>
            </w:r>
          </w:p>
          <w:p w14:paraId="0F143992">
            <w:pPr>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（4）评审为差（如响应内容缺失或与项目关联度不大）的，加0分。</w:t>
            </w:r>
          </w:p>
        </w:tc>
      </w:tr>
      <w:tr w14:paraId="69B460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9B7ED68">
            <w:pPr>
              <w:spacing w:line="240" w:lineRule="auto"/>
              <w:rPr>
                <w:rFonts w:ascii="宋体" w:hAnsi="宋体" w:eastAsia="宋体" w:cs="宋体"/>
                <w:b/>
                <w:bCs/>
                <w:color w:val="0000FF"/>
                <w:sz w:val="21"/>
                <w:szCs w:val="21"/>
              </w:rPr>
            </w:pPr>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1F897893">
            <w:pPr>
              <w:wordWrap w:val="0"/>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CC50A42">
            <w:pPr>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项目负责人（仅限1人）</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1EC1D99D">
            <w:pPr>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617" w:type="dxa"/>
            <w:tcBorders>
              <w:top w:val="single" w:color="000000" w:sz="8" w:space="0"/>
              <w:left w:val="single" w:color="000000" w:sz="8" w:space="0"/>
              <w:bottom w:val="single" w:color="000000" w:sz="8" w:space="0"/>
              <w:right w:val="single" w:color="000000" w:sz="8" w:space="0"/>
            </w:tcBorders>
            <w:noWrap w:val="0"/>
            <w:vAlign w:val="center"/>
          </w:tcPr>
          <w:p w14:paraId="4072B354">
            <w:pPr>
              <w:snapToGrid w:val="0"/>
              <w:spacing w:line="24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（一）评分内容：</w:t>
            </w:r>
          </w:p>
          <w:p w14:paraId="636D9C2D">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投标人拟派本项目的项目负责人：</w:t>
            </w:r>
          </w:p>
          <w:p w14:paraId="4321A080">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①管理类专业或食品类专业</w:t>
            </w:r>
            <w:r>
              <w:rPr>
                <w:rFonts w:hint="eastAsia" w:ascii="宋体" w:hAnsi="宋体" w:eastAsia="宋体" w:cs="宋体"/>
                <w:color w:val="auto"/>
                <w:sz w:val="21"/>
                <w:szCs w:val="21"/>
                <w:highlight w:val="none"/>
                <w:lang w:val="en-US" w:eastAsia="zh-CN"/>
              </w:rPr>
              <w:t>专业：</w:t>
            </w:r>
            <w:r>
              <w:rPr>
                <w:rFonts w:hint="eastAsia" w:ascii="宋体" w:hAnsi="宋体" w:eastAsia="宋体" w:cs="宋体"/>
                <w:color w:val="auto"/>
                <w:sz w:val="21"/>
                <w:szCs w:val="21"/>
                <w:highlight w:val="none"/>
                <w:lang w:eastAsia="zh-CN"/>
              </w:rPr>
              <w:t>大学专科学历的</w:t>
            </w:r>
            <w:r>
              <w:rPr>
                <w:rFonts w:hint="eastAsia" w:ascii="宋体" w:hAnsi="宋体" w:eastAsia="宋体" w:cs="宋体"/>
                <w:color w:val="auto"/>
                <w:sz w:val="21"/>
                <w:szCs w:val="21"/>
                <w:highlight w:val="none"/>
                <w:lang w:val="en-US" w:eastAsia="zh-CN"/>
              </w:rPr>
              <w:t>得10分</w:t>
            </w:r>
            <w:r>
              <w:rPr>
                <w:rFonts w:hint="eastAsia" w:ascii="宋体" w:hAnsi="宋体" w:eastAsia="宋体" w:cs="宋体"/>
                <w:color w:val="auto"/>
                <w:sz w:val="21"/>
                <w:szCs w:val="21"/>
                <w:highlight w:val="none"/>
                <w:lang w:eastAsia="zh-CN"/>
              </w:rPr>
              <w:t>，本科或以上学历得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分，本项不累计得分，最高得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分。</w:t>
            </w:r>
          </w:p>
          <w:p w14:paraId="03F5EA0A">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eastAsia="zh-CN"/>
              </w:rPr>
              <w:t>中式烹调师一级技师职业资格证书(或职业技能等级证书)得20分。</w:t>
            </w:r>
          </w:p>
          <w:p w14:paraId="41D2A969">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③具有</w:t>
            </w:r>
            <w:r>
              <w:rPr>
                <w:rFonts w:hint="eastAsia" w:ascii="宋体" w:hAnsi="宋体" w:eastAsia="宋体" w:cs="宋体"/>
                <w:color w:val="auto"/>
                <w:sz w:val="21"/>
                <w:szCs w:val="21"/>
                <w:highlight w:val="none"/>
                <w:lang w:eastAsia="zh-CN"/>
              </w:rPr>
              <w:t>高级食品安全管理员(师)证书或高级食品安全管理员培训考核合格证明得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分。</w:t>
            </w:r>
          </w:p>
          <w:p w14:paraId="4EE7FA6A">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④具有</w:t>
            </w:r>
            <w:r>
              <w:rPr>
                <w:rFonts w:hint="eastAsia" w:ascii="宋体" w:hAnsi="宋体" w:eastAsia="宋体" w:cs="宋体"/>
                <w:color w:val="auto"/>
                <w:sz w:val="21"/>
                <w:szCs w:val="21"/>
                <w:highlight w:val="none"/>
                <w:lang w:eastAsia="zh-CN"/>
              </w:rPr>
              <w:t>餐饮或食品</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lang w:eastAsia="zh-CN"/>
              </w:rPr>
              <w:t>的高级(副高)或以上职称证书的得20分。</w:t>
            </w:r>
          </w:p>
          <w:p w14:paraId="02A4247E">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⑤具有</w:t>
            </w:r>
            <w:r>
              <w:rPr>
                <w:rFonts w:hint="eastAsia" w:ascii="宋体" w:hAnsi="宋体" w:eastAsia="宋体" w:cs="宋体"/>
                <w:color w:val="auto"/>
                <w:sz w:val="21"/>
                <w:szCs w:val="21"/>
                <w:highlight w:val="none"/>
                <w:lang w:eastAsia="zh-CN"/>
              </w:rPr>
              <w:t>人社部门颁发的：三星级粤菜师傅证书得10分；四星级粤菜师傅证书的得15分；五星级粤菜师傅证书的得20分；本项不累计得分，最高得20分。</w:t>
            </w:r>
          </w:p>
          <w:p w14:paraId="0B663D1B">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以上最高累计得100分。</w:t>
            </w:r>
          </w:p>
          <w:p w14:paraId="585C7EEE">
            <w:pPr>
              <w:snapToGrid w:val="0"/>
              <w:spacing w:line="240" w:lineRule="auto"/>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（二）评分依据：</w:t>
            </w:r>
          </w:p>
          <w:p w14:paraId="4A9EBBF1">
            <w:pPr>
              <w:snapToGrid w:val="0"/>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1.学历考察需提供：①学历</w:t>
            </w:r>
            <w:r>
              <w:rPr>
                <w:rFonts w:hint="eastAsia" w:ascii="宋体" w:hAnsi="宋体" w:eastAsia="宋体" w:cs="宋体"/>
                <w:color w:val="auto"/>
                <w:sz w:val="21"/>
                <w:szCs w:val="21"/>
                <w:highlight w:val="none"/>
                <w:lang w:eastAsia="zh-CN"/>
              </w:rPr>
              <w:t>（学位）</w:t>
            </w:r>
            <w:r>
              <w:rPr>
                <w:rFonts w:hint="eastAsia" w:ascii="宋体" w:hAnsi="宋体" w:eastAsia="宋体" w:cs="宋体"/>
                <w:color w:val="auto"/>
                <w:sz w:val="21"/>
                <w:szCs w:val="21"/>
                <w:highlight w:val="none"/>
              </w:rPr>
              <w:t>证书扫描件②学历（学位）认证报告或学信网（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14:paraId="7188A656">
            <w:pPr>
              <w:snapToGrid w:val="0"/>
              <w:spacing w:line="240" w:lineRule="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涉及证书的，需提供：</w:t>
            </w:r>
          </w:p>
          <w:p w14:paraId="0654F77C">
            <w:pPr>
              <w:snapToGrid w:val="0"/>
              <w:spacing w:line="240" w:lineRule="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（1）有效的证书扫描件；</w:t>
            </w:r>
          </w:p>
          <w:p w14:paraId="51CF72A6">
            <w:pPr>
              <w:snapToGrid w:val="0"/>
              <w:spacing w:line="240" w:lineRule="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（2）提供证书有效查询的相关材料：</w:t>
            </w:r>
          </w:p>
          <w:p w14:paraId="4DF72E86">
            <w:pPr>
              <w:snapToGrid w:val="0"/>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①若证书为职业资格证书(或职业技能等级证书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提供全国人力资源和社会保障政务服务平（http://www.12333.gov.cn/）或“技能人才评价证书全国联网查询”（网址:http://zscx.osta.org.cn）官网或颁发证书相对应的机构官网查询截图，截图须体现网址，否则不得分；</w:t>
            </w:r>
          </w:p>
          <w:p w14:paraId="3CAE8F39">
            <w:pPr>
              <w:snapToGrid w:val="0"/>
              <w:spacing w:line="240" w:lineRule="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rPr>
              <w:t>如证书为行业协会（学会）颁发的，则需要同时提供该行业协会在中国社会组织政务服务平台（https://xxgs.chinanpo.mca.gov.cn/gsxt/newList）查询截图（截图需显示发证单位状态为“正常”）</w:t>
            </w:r>
            <w:r>
              <w:rPr>
                <w:rFonts w:hint="eastAsia" w:ascii="宋体" w:hAnsi="宋体" w:eastAsia="宋体" w:cs="宋体"/>
                <w:color w:val="auto"/>
                <w:sz w:val="21"/>
                <w:szCs w:val="21"/>
                <w:highlight w:val="none"/>
                <w:lang w:eastAsia="zh-CN"/>
              </w:rPr>
              <w:t>；</w:t>
            </w:r>
          </w:p>
          <w:p w14:paraId="42294D09">
            <w:pPr>
              <w:snapToGrid w:val="0"/>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eastAsia="zh-CN"/>
              </w:rPr>
              <w:t>若相关网站无法查询，则需要提供发证部门或人社部门的相关证明资料进行佐证，否则不得分</w:t>
            </w:r>
            <w:r>
              <w:rPr>
                <w:rFonts w:hint="eastAsia" w:ascii="宋体" w:hAnsi="宋体" w:eastAsia="宋体" w:cs="宋体"/>
                <w:color w:val="auto"/>
                <w:sz w:val="21"/>
                <w:szCs w:val="21"/>
                <w:highlight w:val="none"/>
              </w:rPr>
              <w:t>。</w:t>
            </w:r>
          </w:p>
          <w:p w14:paraId="70AD4D36">
            <w:pPr>
              <w:snapToGrid w:val="0"/>
              <w:spacing w:line="240" w:lineRule="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3.考察自有员工的，要求提供通过投标人缴纳的近三个月</w:t>
            </w:r>
            <w:r>
              <w:rPr>
                <w:rFonts w:hint="eastAsia" w:ascii="宋体" w:hAnsi="宋体" w:eastAsia="宋体" w:cs="宋体"/>
                <w:b/>
                <w:bCs/>
                <w:color w:val="auto"/>
                <w:sz w:val="21"/>
                <w:szCs w:val="21"/>
                <w:highlight w:val="none"/>
                <w:lang w:eastAsia="zh-CN"/>
              </w:rPr>
              <w:t>（含开标当月）</w:t>
            </w:r>
            <w:r>
              <w:rPr>
                <w:rFonts w:hint="eastAsia" w:ascii="宋体" w:hAnsi="宋体" w:eastAsia="宋体" w:cs="宋体"/>
                <w:color w:val="auto"/>
                <w:sz w:val="21"/>
                <w:szCs w:val="21"/>
                <w:highlight w:val="none"/>
                <w:lang w:eastAsia="zh-CN"/>
              </w:rPr>
              <w:t>的任意一个月的社保证明作为本单位员工的证明依据。若供应商成立不足一个月，需提供相关情况说明函（格式自拟），无需提供相关人员社保，亦可得分。</w:t>
            </w:r>
          </w:p>
          <w:p w14:paraId="39D54B4C">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 以上资料均要求提供扫描件。评分中出现无证明资料或专家无法凭所提供资料判断是否得分的情况，一律作不得分处理。</w:t>
            </w:r>
          </w:p>
        </w:tc>
      </w:tr>
      <w:tr w14:paraId="2108C3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04EF59">
            <w:pPr>
              <w:spacing w:line="240" w:lineRule="auto"/>
              <w:rPr>
                <w:rFonts w:ascii="宋体" w:hAnsi="宋体" w:eastAsia="宋体" w:cs="宋体"/>
                <w:b/>
                <w:bCs/>
                <w:color w:val="0000FF"/>
                <w:sz w:val="21"/>
                <w:szCs w:val="21"/>
              </w:rPr>
            </w:pPr>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75699DA2">
            <w:pPr>
              <w:wordWrap w:val="0"/>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8D9D0DF">
            <w:pPr>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拟派项目团队人员情况（兼厨师长，不含项目负责人）</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69D86B1D">
            <w:pPr>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617" w:type="dxa"/>
            <w:tcBorders>
              <w:top w:val="single" w:color="000000" w:sz="8" w:space="0"/>
              <w:left w:val="single" w:color="000000" w:sz="8" w:space="0"/>
              <w:bottom w:val="single" w:color="000000" w:sz="8" w:space="0"/>
              <w:right w:val="single" w:color="000000" w:sz="8" w:space="0"/>
            </w:tcBorders>
            <w:noWrap w:val="0"/>
            <w:vAlign w:val="center"/>
          </w:tcPr>
          <w:p w14:paraId="5470DECE">
            <w:pPr>
              <w:snapToGrid w:val="0"/>
              <w:spacing w:line="24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（一）评分内容：</w:t>
            </w:r>
          </w:p>
          <w:p w14:paraId="72F06C87">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投标人拟派本项目的团队人员情况，人数不少于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人(含</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自有</w:t>
            </w:r>
            <w:r>
              <w:rPr>
                <w:rFonts w:hint="eastAsia" w:ascii="宋体" w:hAnsi="宋体" w:eastAsia="宋体" w:cs="宋体"/>
                <w:color w:val="auto"/>
                <w:sz w:val="21"/>
                <w:szCs w:val="21"/>
                <w:highlight w:val="none"/>
                <w:lang w:eastAsia="zh-CN"/>
              </w:rPr>
              <w:t>员工，否则不得分，在此基础上：</w:t>
            </w:r>
          </w:p>
          <w:p w14:paraId="38B17DA7">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eastAsia="zh-CN"/>
              </w:rPr>
              <w:t>中式烹调师二级（</w:t>
            </w:r>
            <w:r>
              <w:rPr>
                <w:rFonts w:hint="eastAsia" w:ascii="宋体" w:hAnsi="宋体" w:eastAsia="宋体" w:cs="宋体"/>
                <w:color w:val="auto"/>
                <w:sz w:val="21"/>
                <w:szCs w:val="21"/>
                <w:highlight w:val="none"/>
                <w:lang w:val="en-US" w:eastAsia="zh-CN"/>
              </w:rPr>
              <w:t>技师</w:t>
            </w:r>
            <w:r>
              <w:rPr>
                <w:rFonts w:hint="eastAsia" w:ascii="宋体" w:hAnsi="宋体" w:eastAsia="宋体" w:cs="宋体"/>
                <w:color w:val="auto"/>
                <w:sz w:val="21"/>
                <w:szCs w:val="21"/>
                <w:highlight w:val="none"/>
                <w:lang w:eastAsia="zh-CN"/>
              </w:rPr>
              <w:t>）或以上职业资格证书(或职业技能等级证书)的，每一人得</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分，最高得</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分；</w:t>
            </w:r>
          </w:p>
          <w:p w14:paraId="2F2E83D1">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eastAsia="zh-CN"/>
              </w:rPr>
              <w:t>中式烹调师三级（</w:t>
            </w:r>
            <w:r>
              <w:rPr>
                <w:rFonts w:hint="eastAsia" w:ascii="宋体" w:hAnsi="宋体" w:eastAsia="宋体" w:cs="宋体"/>
                <w:color w:val="auto"/>
                <w:sz w:val="21"/>
                <w:szCs w:val="21"/>
                <w:highlight w:val="none"/>
                <w:lang w:val="en-US" w:eastAsia="zh-CN"/>
              </w:rPr>
              <w:t>高级</w:t>
            </w:r>
            <w:r>
              <w:rPr>
                <w:rFonts w:hint="eastAsia" w:ascii="宋体" w:hAnsi="宋体" w:eastAsia="宋体" w:cs="宋体"/>
                <w:color w:val="auto"/>
                <w:sz w:val="21"/>
                <w:szCs w:val="21"/>
                <w:highlight w:val="none"/>
                <w:lang w:eastAsia="zh-CN"/>
              </w:rPr>
              <w:t>）职业资格证书(或职业技能等级证书)证书的，每一人得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分，最高得</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lang w:eastAsia="zh-CN"/>
              </w:rPr>
              <w:t>分；</w:t>
            </w:r>
          </w:p>
          <w:p w14:paraId="4ED1544F">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eastAsia="zh-CN"/>
              </w:rPr>
              <w:t>中式面点师三级（</w:t>
            </w:r>
            <w:r>
              <w:rPr>
                <w:rFonts w:hint="eastAsia" w:ascii="宋体" w:hAnsi="宋体" w:eastAsia="宋体" w:cs="宋体"/>
                <w:color w:val="auto"/>
                <w:sz w:val="21"/>
                <w:szCs w:val="21"/>
                <w:highlight w:val="none"/>
                <w:lang w:val="en-US" w:eastAsia="zh-CN"/>
              </w:rPr>
              <w:t>高级</w:t>
            </w:r>
            <w:r>
              <w:rPr>
                <w:rFonts w:hint="eastAsia" w:ascii="宋体" w:hAnsi="宋体" w:eastAsia="宋体" w:cs="宋体"/>
                <w:color w:val="auto"/>
                <w:sz w:val="21"/>
                <w:szCs w:val="21"/>
                <w:highlight w:val="none"/>
                <w:lang w:eastAsia="zh-CN"/>
              </w:rPr>
              <w:t>）或以上职业资格证书(或职业技能等级证书)，每一人得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分，最高得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分；</w:t>
            </w:r>
          </w:p>
          <w:p w14:paraId="2ED9B3C4">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④具有</w:t>
            </w:r>
            <w:r>
              <w:rPr>
                <w:rFonts w:hint="eastAsia" w:ascii="宋体" w:hAnsi="宋体" w:eastAsia="宋体" w:cs="宋体"/>
                <w:color w:val="auto"/>
                <w:sz w:val="21"/>
                <w:szCs w:val="21"/>
                <w:highlight w:val="none"/>
                <w:lang w:eastAsia="zh-CN"/>
              </w:rPr>
              <w:t>中式面点师</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级（</w:t>
            </w:r>
            <w:r>
              <w:rPr>
                <w:rFonts w:hint="eastAsia" w:ascii="宋体" w:hAnsi="宋体" w:eastAsia="宋体" w:cs="宋体"/>
                <w:color w:val="auto"/>
                <w:sz w:val="21"/>
                <w:szCs w:val="21"/>
                <w:highlight w:val="none"/>
                <w:lang w:val="en-US" w:eastAsia="zh-CN"/>
              </w:rPr>
              <w:t>中级</w:t>
            </w:r>
            <w:r>
              <w:rPr>
                <w:rFonts w:hint="eastAsia" w:ascii="宋体" w:hAnsi="宋体" w:eastAsia="宋体" w:cs="宋体"/>
                <w:color w:val="auto"/>
                <w:sz w:val="21"/>
                <w:szCs w:val="21"/>
                <w:highlight w:val="none"/>
                <w:lang w:eastAsia="zh-CN"/>
              </w:rPr>
              <w:t>）职业资格证书(或职业技能等级证书)，每一人得10分，最高得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p w14:paraId="7A533192">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同一人不重复得分（</w:t>
            </w:r>
            <w:r>
              <w:rPr>
                <w:rFonts w:hint="eastAsia" w:ascii="宋体" w:hAnsi="宋体" w:eastAsia="宋体" w:cs="宋体"/>
                <w:color w:val="auto"/>
                <w:sz w:val="21"/>
                <w:szCs w:val="21"/>
                <w:highlight w:val="none"/>
                <w:lang w:val="en-US" w:eastAsia="zh-CN"/>
              </w:rPr>
              <w:t>同一人具备多个证书的，仅按照最优得分计分一次</w:t>
            </w:r>
            <w:r>
              <w:rPr>
                <w:rFonts w:hint="eastAsia" w:ascii="宋体" w:hAnsi="宋体" w:eastAsia="宋体" w:cs="宋体"/>
                <w:color w:val="auto"/>
                <w:sz w:val="21"/>
                <w:szCs w:val="21"/>
                <w:highlight w:val="none"/>
                <w:lang w:eastAsia="zh-CN"/>
              </w:rPr>
              <w:t>），本项累计最高得100分。</w:t>
            </w:r>
          </w:p>
          <w:p w14:paraId="54056346">
            <w:pPr>
              <w:snapToGrid w:val="0"/>
              <w:spacing w:line="240" w:lineRule="auto"/>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（二）评分依据：</w:t>
            </w:r>
          </w:p>
          <w:p w14:paraId="585771ED">
            <w:pPr>
              <w:snapToGrid w:val="0"/>
              <w:spacing w:line="240" w:lineRule="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 涉及证书的，需提供：</w:t>
            </w:r>
          </w:p>
          <w:p w14:paraId="189C4923">
            <w:pPr>
              <w:snapToGrid w:val="0"/>
              <w:spacing w:line="240" w:lineRule="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（1）有效的证书扫描件；</w:t>
            </w:r>
          </w:p>
          <w:p w14:paraId="19B2DDDC">
            <w:pPr>
              <w:snapToGrid w:val="0"/>
              <w:spacing w:line="240" w:lineRule="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（2）提供证书有效查询的相关材料：</w:t>
            </w:r>
          </w:p>
          <w:p w14:paraId="0933455B">
            <w:pPr>
              <w:snapToGrid w:val="0"/>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①若证书为职业资格证书(或职业技能等级证书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提供全国人力资源和社会保障政务服务平（http://www.12333.gov.cn/）或“技能人才评价证书全国联网查询”（网址:http://zscx.osta.org.cn）官网或颁发证书相对应的机构官网查询截图，截图须体现网址，否则不得分；</w:t>
            </w:r>
          </w:p>
          <w:p w14:paraId="4DAE9AA9">
            <w:pPr>
              <w:snapToGrid w:val="0"/>
              <w:spacing w:line="240" w:lineRule="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rPr>
              <w:t>如证书为行业协会（学会）颁发的，则需要同时提供该行业协会在中国社会组织政务服务平台（https://xxgs.chinanpo.mca.gov.cn/gsxt/newList）查询截图（截图需显示发证单位状态为“正常”）</w:t>
            </w:r>
            <w:r>
              <w:rPr>
                <w:rFonts w:hint="eastAsia" w:ascii="宋体" w:hAnsi="宋体" w:eastAsia="宋体" w:cs="宋体"/>
                <w:color w:val="auto"/>
                <w:sz w:val="21"/>
                <w:szCs w:val="21"/>
                <w:highlight w:val="none"/>
                <w:lang w:eastAsia="zh-CN"/>
              </w:rPr>
              <w:t>；</w:t>
            </w:r>
          </w:p>
          <w:p w14:paraId="64B8B5C2">
            <w:pPr>
              <w:snapToGrid w:val="0"/>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eastAsia="zh-CN"/>
              </w:rPr>
              <w:t>若相关网站无法查询，则需要提供发证部门或人社部门的相关证明资料进行佐证，否则不得分</w:t>
            </w:r>
            <w:r>
              <w:rPr>
                <w:rFonts w:hint="eastAsia" w:ascii="宋体" w:hAnsi="宋体" w:eastAsia="宋体" w:cs="宋体"/>
                <w:color w:val="auto"/>
                <w:sz w:val="21"/>
                <w:szCs w:val="21"/>
                <w:highlight w:val="none"/>
              </w:rPr>
              <w:t>。</w:t>
            </w:r>
          </w:p>
          <w:p w14:paraId="34A2038D">
            <w:pPr>
              <w:snapToGrid w:val="0"/>
              <w:spacing w:line="240" w:lineRule="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.考察自有员工的，要求提供通过投标人缴纳的近三个月</w:t>
            </w:r>
            <w:r>
              <w:rPr>
                <w:rFonts w:hint="eastAsia" w:ascii="宋体" w:hAnsi="宋体" w:eastAsia="宋体" w:cs="宋体"/>
                <w:b/>
                <w:bCs/>
                <w:color w:val="auto"/>
                <w:sz w:val="21"/>
                <w:szCs w:val="21"/>
                <w:highlight w:val="none"/>
                <w:lang w:eastAsia="zh-CN"/>
              </w:rPr>
              <w:t>（含开标当月）</w:t>
            </w:r>
            <w:r>
              <w:rPr>
                <w:rFonts w:hint="eastAsia" w:ascii="宋体" w:hAnsi="宋体" w:eastAsia="宋体" w:cs="宋体"/>
                <w:color w:val="auto"/>
                <w:sz w:val="21"/>
                <w:szCs w:val="21"/>
                <w:highlight w:val="none"/>
                <w:lang w:eastAsia="zh-CN"/>
              </w:rPr>
              <w:t>的任意一个月的社保证明作为本单位员工的证明依据。若供应商成立不足一个月，需提供相关情况说明函（格式自拟），无需提供相关人员社保，亦可得分。</w:t>
            </w:r>
          </w:p>
          <w:p w14:paraId="44D45C36">
            <w:pPr>
              <w:pStyle w:val="24"/>
              <w:rPr>
                <w:rFonts w:hint="eastAsia"/>
                <w:color w:val="auto"/>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以上资料均要求提供扫描件。评分中出现无证明资料或专家无法凭所提供资料判断是否得分的情况，一律作不得分处理。</w:t>
            </w:r>
          </w:p>
        </w:tc>
      </w:tr>
      <w:tr w14:paraId="2929A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9D67EFB">
            <w:pPr>
              <w:spacing w:line="240" w:lineRule="auto"/>
              <w:rPr>
                <w:rFonts w:ascii="宋体" w:hAnsi="宋体" w:eastAsia="宋体" w:cs="宋体"/>
                <w:b/>
                <w:bCs/>
                <w:color w:val="0000FF"/>
                <w:sz w:val="21"/>
                <w:szCs w:val="21"/>
              </w:rPr>
            </w:pPr>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22A214C3">
            <w:pPr>
              <w:wordWrap w:val="0"/>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62656C88">
            <w:pPr>
              <w:snapToGrid w:val="0"/>
              <w:spacing w:line="240" w:lineRule="auto"/>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项目组织和管理承诺</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5F0E014F">
            <w:pPr>
              <w:snapToGrid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6617" w:type="dxa"/>
            <w:tcBorders>
              <w:top w:val="single" w:color="000000" w:sz="8" w:space="0"/>
              <w:left w:val="single" w:color="000000" w:sz="8" w:space="0"/>
              <w:bottom w:val="single" w:color="000000" w:sz="8" w:space="0"/>
              <w:right w:val="single" w:color="000000" w:sz="8" w:space="0"/>
            </w:tcBorders>
            <w:noWrap w:val="0"/>
            <w:vAlign w:val="center"/>
          </w:tcPr>
          <w:p w14:paraId="18B3C5AC">
            <w:pPr>
              <w:snapToGrid w:val="0"/>
              <w:spacing w:line="240" w:lineRule="auto"/>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（一）评分内容：</w:t>
            </w:r>
          </w:p>
          <w:p w14:paraId="31714F64">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投标人承诺中标后全体员工每人每月正常工作时间工资在深圳市最低工资标准2520元/人/月/基础上（低于或等于、此标准本项不得分），每增加500元/人/月加</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分，增加工资不足500元/人/月的不计分，最高得</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eastAsia="zh-CN"/>
              </w:rPr>
              <w:t>分。</w:t>
            </w:r>
          </w:p>
          <w:p w14:paraId="052D73E0">
            <w:pPr>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2.投标人承诺以下内容得50分，有缺漏项不得分：</w:t>
            </w:r>
          </w:p>
          <w:p w14:paraId="746E109D">
            <w:pPr>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①按时发放员工工资、绩效工资和奖金、福利；</w:t>
            </w:r>
          </w:p>
          <w:p w14:paraId="1DD4C532">
            <w:pPr>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②负责员工的劳资纠纷及意外伤害的处理，如因处理不当或对采购单位带来不良影响的，承担经济和法律责任；</w:t>
            </w:r>
          </w:p>
          <w:p w14:paraId="3A34305D">
            <w:pPr>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③落实文明管理服务措施，定期对员工进行相关培训，督促其做到热爱本职、热情服务，坚守岗位，切实履行工作职责，提供文明、优质服务；</w:t>
            </w:r>
          </w:p>
          <w:p w14:paraId="4A3078D6">
            <w:pPr>
              <w:snapToGrid w:val="0"/>
              <w:spacing w:line="240" w:lineRule="auto"/>
              <w:rPr>
                <w:color w:val="auto"/>
                <w:highlight w:val="none"/>
                <w:lang w:eastAsia="zh-CN"/>
              </w:rPr>
            </w:pPr>
            <w:r>
              <w:rPr>
                <w:rFonts w:hint="eastAsia" w:ascii="宋体" w:hAnsi="宋体" w:eastAsia="宋体" w:cs="宋体"/>
                <w:color w:val="auto"/>
                <w:sz w:val="21"/>
                <w:szCs w:val="21"/>
                <w:highlight w:val="none"/>
                <w:lang w:val="en-US" w:eastAsia="zh-CN"/>
              </w:rPr>
              <w:t>④对不遵守工作纪律，未达到采购单位要求的员工，采购单位可要求更换，中标方无条件更换相同或更高级别的工作人员。</w:t>
            </w:r>
          </w:p>
          <w:p w14:paraId="57D47360">
            <w:pPr>
              <w:snapToGrid w:val="0"/>
              <w:spacing w:line="240" w:lineRule="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本项累计最高得分100分。</w:t>
            </w:r>
          </w:p>
          <w:p w14:paraId="06271CB9">
            <w:pPr>
              <w:snapToGrid w:val="0"/>
              <w:spacing w:line="240" w:lineRule="auto"/>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（二）评分依据：</w:t>
            </w:r>
          </w:p>
          <w:p w14:paraId="5D4483DF">
            <w:pPr>
              <w:snapToGrid w:val="0"/>
              <w:spacing w:line="24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提供承诺函（格式自拟）作为得分依据。评分中出现无证明资料或专家无法凭所提供资料判断是否得分的情况，一律作不得分处理。</w:t>
            </w:r>
          </w:p>
        </w:tc>
      </w:tr>
      <w:tr w14:paraId="54D2DB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14:paraId="01A41E5F">
            <w:pPr>
              <w:wordWrap w:val="0"/>
              <w:spacing w:line="240" w:lineRule="auto"/>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1775" w:type="dxa"/>
            <w:gridSpan w:val="3"/>
            <w:tcBorders>
              <w:top w:val="single" w:color="000000" w:sz="8" w:space="0"/>
              <w:left w:val="single" w:color="000000" w:sz="8" w:space="0"/>
              <w:bottom w:val="single" w:color="000000" w:sz="8" w:space="0"/>
              <w:right w:val="single" w:color="000000" w:sz="8" w:space="0"/>
            </w:tcBorders>
            <w:noWrap w:val="0"/>
            <w:vAlign w:val="top"/>
          </w:tcPr>
          <w:p w14:paraId="549DD4FA">
            <w:pPr>
              <w:wordWrap w:val="0"/>
              <w:spacing w:line="240" w:lineRule="auto"/>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综合实力</w:t>
            </w:r>
          </w:p>
        </w:tc>
        <w:tc>
          <w:tcPr>
            <w:tcW w:w="6617" w:type="dxa"/>
            <w:tcBorders>
              <w:top w:val="single" w:color="000000" w:sz="8" w:space="0"/>
              <w:left w:val="single" w:color="000000" w:sz="8" w:space="0"/>
              <w:bottom w:val="single" w:color="000000" w:sz="8" w:space="0"/>
              <w:right w:val="single" w:color="000000" w:sz="8" w:space="0"/>
            </w:tcBorders>
            <w:noWrap w:val="0"/>
            <w:vAlign w:val="top"/>
          </w:tcPr>
          <w:p w14:paraId="447E647A">
            <w:pPr>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cs="宋体"/>
                <w:b/>
                <w:bCs/>
                <w:color w:val="0000FF"/>
                <w:sz w:val="21"/>
                <w:szCs w:val="21"/>
                <w:lang w:val="en-US" w:eastAsia="zh-CN"/>
              </w:rPr>
              <w:t>26</w:t>
            </w:r>
          </w:p>
        </w:tc>
      </w:tr>
      <w:tr w14:paraId="413E1E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68B850E7">
            <w:pPr>
              <w:spacing w:line="240" w:lineRule="auto"/>
              <w:rPr>
                <w:rFonts w:ascii="宋体" w:hAnsi="宋体" w:eastAsia="宋体" w:cs="宋体"/>
                <w:b/>
                <w:bCs/>
                <w:color w:val="0000FF"/>
                <w:sz w:val="21"/>
                <w:szCs w:val="21"/>
              </w:rPr>
            </w:pPr>
          </w:p>
        </w:tc>
        <w:tc>
          <w:tcPr>
            <w:tcW w:w="36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CA803FD">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序号</w:t>
            </w:r>
          </w:p>
        </w:tc>
        <w:tc>
          <w:tcPr>
            <w:tcW w:w="67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9104791">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评分因素</w:t>
            </w:r>
          </w:p>
        </w:tc>
        <w:tc>
          <w:tcPr>
            <w:tcW w:w="73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0B7DFB00">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权重(分)</w:t>
            </w:r>
          </w:p>
        </w:tc>
        <w:tc>
          <w:tcPr>
            <w:tcW w:w="661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0FCCBF3A">
            <w:pPr>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评分准则</w:t>
            </w:r>
          </w:p>
        </w:tc>
      </w:tr>
      <w:tr w14:paraId="6DFCF5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C9D7CE">
            <w:pPr>
              <w:spacing w:line="240" w:lineRule="auto"/>
              <w:rPr>
                <w:rFonts w:ascii="宋体" w:hAnsi="宋体" w:eastAsia="宋体" w:cs="宋体"/>
                <w:b/>
                <w:bCs/>
                <w:color w:val="0000FF"/>
                <w:sz w:val="21"/>
                <w:szCs w:val="21"/>
              </w:rPr>
            </w:pPr>
            <w:bookmarkStart w:id="3" w:name="OLE_LINK2" w:colFirst="2" w:colLast="2"/>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7EC093C1">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33CEDF8">
            <w:pPr>
              <w:snapToGrid w:val="0"/>
              <w:spacing w:line="240" w:lineRule="auto"/>
              <w:jc w:val="center"/>
              <w:rPr>
                <w:rFonts w:ascii="宋体" w:hAnsi="宋体" w:eastAsia="宋体" w:cs="宋体"/>
                <w:sz w:val="21"/>
                <w:szCs w:val="21"/>
                <w:lang w:eastAsia="zh-CN"/>
              </w:rPr>
            </w:pPr>
            <w:r>
              <w:rPr>
                <w:rFonts w:hint="eastAsia" w:ascii="宋体" w:hAnsi="宋体" w:eastAsia="宋体" w:cs="宋体"/>
                <w:color w:val="000000"/>
                <w:sz w:val="21"/>
                <w:szCs w:val="21"/>
                <w:lang w:eastAsia="zh-CN"/>
              </w:rPr>
              <w:t>投标人通过相关认证情况</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0949E680">
            <w:pPr>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6617" w:type="dxa"/>
            <w:tcBorders>
              <w:top w:val="single" w:color="000000" w:sz="8" w:space="0"/>
              <w:left w:val="single" w:color="000000" w:sz="8" w:space="0"/>
              <w:bottom w:val="single" w:color="000000" w:sz="8" w:space="0"/>
              <w:right w:val="single" w:color="000000" w:sz="8" w:space="0"/>
            </w:tcBorders>
            <w:noWrap w:val="0"/>
            <w:vAlign w:val="center"/>
          </w:tcPr>
          <w:p w14:paraId="33CDA5E5">
            <w:pPr>
              <w:snapToGrid w:val="0"/>
              <w:spacing w:line="240" w:lineRule="auto"/>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（一）评分内容：</w:t>
            </w:r>
          </w:p>
          <w:p w14:paraId="6385ECA6">
            <w:pPr>
              <w:snapToGrid w:val="0"/>
              <w:spacing w:line="240" w:lineRule="auto"/>
              <w:rPr>
                <w:rFonts w:hint="eastAsia"/>
                <w:color w:val="auto"/>
                <w:highlight w:val="none"/>
                <w:lang w:eastAsia="zh-CN"/>
              </w:rPr>
            </w:pPr>
            <w:r>
              <w:rPr>
                <w:rFonts w:hint="eastAsia" w:ascii="宋体" w:hAnsi="宋体" w:eastAsia="宋体" w:cs="宋体"/>
                <w:color w:val="auto"/>
                <w:sz w:val="21"/>
                <w:szCs w:val="21"/>
                <w:highlight w:val="none"/>
                <w:lang w:eastAsia="zh-CN"/>
              </w:rPr>
              <w:t>本项目投标截止之日（以证书获得时间为准），投标人具有以下有效期内的认证证书</w:t>
            </w:r>
            <w:r>
              <w:rPr>
                <w:rFonts w:hint="eastAsia"/>
                <w:color w:val="auto"/>
                <w:highlight w:val="none"/>
                <w:lang w:eastAsia="zh-CN"/>
              </w:rPr>
              <w:t>：</w:t>
            </w:r>
          </w:p>
          <w:p w14:paraId="69D45B03">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（1）质量管理体系认证证书；</w:t>
            </w:r>
          </w:p>
          <w:p w14:paraId="1F866D74">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（2）食品安全管理体系认证证书；</w:t>
            </w:r>
          </w:p>
          <w:p w14:paraId="0826F609">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（3）环境管理体系认证证书；</w:t>
            </w:r>
          </w:p>
          <w:p w14:paraId="0CF9A98D">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（4）职业健康安全管理体系认证证书；</w:t>
            </w:r>
          </w:p>
          <w:p w14:paraId="7F869122">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（5）具有HACCP 危害分析与关键控制点体系认证证书；</w:t>
            </w:r>
          </w:p>
          <w:p w14:paraId="07039039">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）生活垃圾分类服务能力认证证书；</w:t>
            </w:r>
          </w:p>
          <w:p w14:paraId="7356209C">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）设备维护保养服务认证证书；</w:t>
            </w:r>
          </w:p>
          <w:p w14:paraId="550ECFC7">
            <w:pPr>
              <w:snapToGrid w:val="0"/>
              <w:spacing w:line="240" w:lineRule="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每提供一项得</w:t>
            </w:r>
            <w:r>
              <w:rPr>
                <w:rFonts w:hint="eastAsia" w:ascii="宋体" w:hAnsi="宋体" w:cs="宋体"/>
                <w:color w:val="auto"/>
                <w:sz w:val="21"/>
                <w:szCs w:val="21"/>
                <w:highlight w:val="none"/>
                <w:lang w:val="en-US" w:eastAsia="zh-CN"/>
              </w:rPr>
              <w:t>14.5</w:t>
            </w:r>
            <w:r>
              <w:rPr>
                <w:rFonts w:hint="eastAsia" w:ascii="宋体" w:hAnsi="宋体" w:eastAsia="宋体" w:cs="宋体"/>
                <w:color w:val="auto"/>
                <w:sz w:val="21"/>
                <w:szCs w:val="21"/>
                <w:highlight w:val="none"/>
                <w:lang w:eastAsia="zh-CN"/>
              </w:rPr>
              <w:t>分，最高得100分。</w:t>
            </w:r>
          </w:p>
          <w:p w14:paraId="75A962C7">
            <w:pPr>
              <w:snapToGrid w:val="0"/>
              <w:spacing w:line="240" w:lineRule="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（二）评分依据：</w:t>
            </w:r>
          </w:p>
          <w:p w14:paraId="76FA8894">
            <w:pPr>
              <w:snapToGrid w:val="0"/>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同时提供</w:t>
            </w:r>
            <w:r>
              <w:rPr>
                <w:rFonts w:hint="eastAsia" w:ascii="宋体" w:hAnsi="宋体" w:eastAsia="宋体" w:cs="宋体"/>
                <w:color w:val="auto"/>
                <w:sz w:val="21"/>
                <w:szCs w:val="21"/>
                <w:highlight w:val="none"/>
              </w:rPr>
              <w:t>有效期内相关证书扫描件与查询信息截图（截图以全国认证认可信息公共服务平台（http://cx.cnca.cn/）为准），投标人应确保认证证书在开标当天仍处于有效状态，并对所提供的证书及查询截图的真实性负责。</w:t>
            </w:r>
          </w:p>
          <w:p w14:paraId="322E0FE6">
            <w:pPr>
              <w:snapToGrid w:val="0"/>
              <w:spacing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如投标人距本项目开标之日的注册成立时间不足3 个月，且未取得以上认证证书的，可提供承诺函(格式自拟，至少包含中标(成交)后4个月内取得评审因素相关认证证书等内容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评审委员会根据承诺内 容中的认证证书情况，给予相应分值</w:t>
            </w:r>
            <w:r>
              <w:rPr>
                <w:rFonts w:hint="eastAsia" w:ascii="宋体" w:hAnsi="宋体" w:eastAsia="宋体" w:cs="宋体"/>
                <w:color w:val="auto"/>
                <w:sz w:val="21"/>
                <w:szCs w:val="21"/>
                <w:highlight w:val="none"/>
                <w:lang w:eastAsia="zh-CN"/>
              </w:rPr>
              <w:t>。</w:t>
            </w:r>
          </w:p>
          <w:p w14:paraId="1869FE1F">
            <w:pPr>
              <w:snapToGrid w:val="0"/>
              <w:spacing w:line="240" w:lineRule="auto"/>
              <w:rPr>
                <w:rFonts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.以上资料评分中出现无证明资料或专家无法凭所提供资料判断是否得分的情况，一律作不得分处理。</w:t>
            </w:r>
          </w:p>
        </w:tc>
      </w:tr>
      <w:tr w14:paraId="0A97F9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7A1B977">
            <w:pPr>
              <w:spacing w:line="240" w:lineRule="auto"/>
              <w:rPr>
                <w:rFonts w:ascii="宋体" w:hAnsi="宋体" w:eastAsia="宋体" w:cs="宋体"/>
                <w:b/>
                <w:bCs/>
                <w:color w:val="0000FF"/>
                <w:sz w:val="21"/>
                <w:szCs w:val="21"/>
                <w:lang w:eastAsia="zh-CN"/>
              </w:rPr>
            </w:pPr>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1A57C599">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EFDB769">
            <w:pPr>
              <w:snapToGrid w:val="0"/>
              <w:spacing w:line="240" w:lineRule="auto"/>
              <w:jc w:val="center"/>
              <w:rPr>
                <w:rFonts w:ascii="宋体" w:hAnsi="宋体" w:eastAsia="宋体" w:cs="宋体"/>
                <w:sz w:val="21"/>
                <w:szCs w:val="21"/>
                <w:highlight w:val="none"/>
                <w:lang w:eastAsia="zh-CN"/>
              </w:rPr>
            </w:pPr>
            <w:r>
              <w:rPr>
                <w:rFonts w:hint="eastAsia" w:ascii="宋体" w:hAnsi="宋体" w:eastAsia="宋体" w:cs="宋体"/>
                <w:color w:val="000000"/>
                <w:sz w:val="21"/>
                <w:szCs w:val="21"/>
                <w:highlight w:val="none"/>
                <w:lang w:eastAsia="zh-CN"/>
              </w:rPr>
              <w:t>投标人同类项目业绩</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5105B4A7">
            <w:pPr>
              <w:snapToGrid w:val="0"/>
              <w:spacing w:line="240" w:lineRule="auto"/>
              <w:jc w:val="center"/>
              <w:rPr>
                <w:rFonts w:hint="eastAsia" w:ascii="宋体" w:hAnsi="宋体" w:eastAsia="宋体" w:cs="宋体"/>
                <w:sz w:val="21"/>
                <w:szCs w:val="21"/>
                <w:highlight w:val="none"/>
                <w:lang w:eastAsia="zh-CN"/>
              </w:rPr>
            </w:pPr>
            <w:r>
              <w:rPr>
                <w:rFonts w:hint="eastAsia" w:ascii="宋体" w:hAnsi="宋体" w:cs="宋体"/>
                <w:color w:val="000000"/>
                <w:sz w:val="21"/>
                <w:szCs w:val="21"/>
                <w:highlight w:val="none"/>
                <w:lang w:val="en-US" w:eastAsia="zh-CN"/>
              </w:rPr>
              <w:t>8</w:t>
            </w:r>
          </w:p>
        </w:tc>
        <w:tc>
          <w:tcPr>
            <w:tcW w:w="6617" w:type="dxa"/>
            <w:tcBorders>
              <w:top w:val="single" w:color="000000" w:sz="8" w:space="0"/>
              <w:left w:val="single" w:color="000000" w:sz="8" w:space="0"/>
              <w:bottom w:val="single" w:color="000000" w:sz="8" w:space="0"/>
              <w:right w:val="single" w:color="000000" w:sz="8" w:space="0"/>
            </w:tcBorders>
            <w:noWrap w:val="0"/>
            <w:vAlign w:val="center"/>
          </w:tcPr>
          <w:p w14:paraId="172959A8">
            <w:pPr>
              <w:snapToGrid w:val="0"/>
              <w:spacing w:line="240" w:lineRule="auto"/>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（一）评分内容：</w:t>
            </w:r>
          </w:p>
          <w:p w14:paraId="35E82B8C">
            <w:pPr>
              <w:snapToGrid w:val="0"/>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提供2022年1月1日至本项目投标截止之日（以合同签订日期为</w:t>
            </w:r>
          </w:p>
          <w:p w14:paraId="33D44050">
            <w:pPr>
              <w:snapToGrid w:val="0"/>
              <w:spacing w:line="240" w:lineRule="auto"/>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准）承接的</w:t>
            </w:r>
            <w:r>
              <w:rPr>
                <w:rFonts w:hint="eastAsia" w:ascii="宋体" w:hAnsi="宋体" w:cs="宋体"/>
                <w:color w:val="000000"/>
                <w:sz w:val="21"/>
                <w:szCs w:val="21"/>
                <w:highlight w:val="none"/>
                <w:lang w:val="en-US" w:eastAsia="zh-CN"/>
              </w:rPr>
              <w:t>政府机关或事业单位</w:t>
            </w:r>
            <w:r>
              <w:rPr>
                <w:rFonts w:hint="eastAsia" w:ascii="宋体" w:hAnsi="宋体" w:eastAsia="宋体" w:cs="宋体"/>
                <w:color w:val="000000"/>
                <w:sz w:val="21"/>
                <w:szCs w:val="21"/>
                <w:highlight w:val="none"/>
                <w:lang w:eastAsia="zh-CN"/>
              </w:rPr>
              <w:t>食堂经营类或食堂运营类</w:t>
            </w:r>
            <w:r>
              <w:rPr>
                <w:rFonts w:hint="eastAsia" w:ascii="宋体" w:hAnsi="宋体" w:cs="宋体"/>
                <w:color w:val="000000"/>
                <w:sz w:val="21"/>
                <w:szCs w:val="21"/>
                <w:highlight w:val="none"/>
                <w:lang w:val="en-US" w:eastAsia="zh-CN"/>
              </w:rPr>
              <w:t>或食堂外包类</w:t>
            </w:r>
            <w:r>
              <w:rPr>
                <w:rFonts w:hint="eastAsia" w:ascii="宋体" w:hAnsi="宋体" w:eastAsia="宋体" w:cs="宋体"/>
                <w:color w:val="000000"/>
                <w:sz w:val="21"/>
                <w:szCs w:val="21"/>
                <w:highlight w:val="none"/>
                <w:lang w:eastAsia="zh-CN"/>
              </w:rPr>
              <w:t>项目业绩，每项业绩得20分，最高得100分。同一项目续签不重复计算。</w:t>
            </w:r>
          </w:p>
          <w:p w14:paraId="5337B7A4">
            <w:pPr>
              <w:snapToGrid w:val="0"/>
              <w:spacing w:line="240" w:lineRule="auto"/>
              <w:rPr>
                <w:rFonts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（二）评分依据：</w:t>
            </w:r>
          </w:p>
          <w:p w14:paraId="59DBCBFA">
            <w:pPr>
              <w:snapToGrid w:val="0"/>
              <w:spacing w:line="240" w:lineRule="auto"/>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1.要求提供合同关键信息作为得分依据；</w:t>
            </w:r>
          </w:p>
          <w:p w14:paraId="201BC072">
            <w:pPr>
              <w:snapToGrid w:val="0"/>
              <w:spacing w:line="240" w:lineRule="auto"/>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2.通过合同关键信息信息（包括但不限于签订合同双方的单位名称、合同项目名称、项目内容与含签订合同双方的盖章、签订日期的关键页）无法判断是否得分的，还须同时提供能证明得分的其它证明资料，如项目报告或合同甲方出具的证明文件等。</w:t>
            </w:r>
          </w:p>
          <w:p w14:paraId="372A73C2">
            <w:pPr>
              <w:snapToGrid w:val="0"/>
              <w:spacing w:line="240" w:lineRule="auto"/>
              <w:rPr>
                <w:rFonts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3.以上资料均要求提供扫描件。</w:t>
            </w:r>
            <w:bookmarkStart w:id="4" w:name="OLE_LINK4"/>
            <w:bookmarkStart w:id="5" w:name="OLE_LINK3"/>
            <w:r>
              <w:rPr>
                <w:rFonts w:hint="eastAsia" w:ascii="宋体" w:hAnsi="宋体" w:eastAsia="宋体" w:cs="宋体"/>
                <w:color w:val="000000"/>
                <w:sz w:val="21"/>
                <w:szCs w:val="21"/>
                <w:highlight w:val="none"/>
                <w:lang w:eastAsia="zh-CN"/>
              </w:rPr>
              <w:t>评分中出现无证明资料或专家无法凭所提供资料判断是否得分的情况，一律作不得分处理。</w:t>
            </w:r>
            <w:bookmarkEnd w:id="4"/>
            <w:bookmarkEnd w:id="5"/>
          </w:p>
        </w:tc>
      </w:tr>
      <w:tr w14:paraId="58B188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B9567C">
            <w:pPr>
              <w:spacing w:line="240" w:lineRule="auto"/>
              <w:rPr>
                <w:rFonts w:ascii="宋体" w:hAnsi="宋体" w:eastAsia="宋体" w:cs="宋体"/>
                <w:b/>
                <w:bCs/>
                <w:color w:val="0000FF"/>
                <w:sz w:val="21"/>
                <w:szCs w:val="21"/>
                <w:lang w:eastAsia="zh-CN"/>
              </w:rPr>
            </w:pPr>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7BF7286A">
            <w:pPr>
              <w:wordWrap w:val="0"/>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3</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5CB007C">
            <w:pPr>
              <w:snapToGrid w:val="0"/>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color w:val="000000"/>
                <w:sz w:val="21"/>
                <w:szCs w:val="21"/>
              </w:rPr>
              <w:t>履约评价</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32B6C4D0">
            <w:pPr>
              <w:snapToGrid w:val="0"/>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color w:val="000000"/>
                <w:sz w:val="21"/>
                <w:szCs w:val="21"/>
              </w:rPr>
              <w:t>5</w:t>
            </w:r>
          </w:p>
        </w:tc>
        <w:tc>
          <w:tcPr>
            <w:tcW w:w="6617" w:type="dxa"/>
            <w:tcBorders>
              <w:top w:val="single" w:color="000000" w:sz="8" w:space="0"/>
              <w:left w:val="single" w:color="000000" w:sz="8" w:space="0"/>
              <w:bottom w:val="single" w:color="000000" w:sz="8" w:space="0"/>
              <w:right w:val="single" w:color="000000" w:sz="8" w:space="0"/>
            </w:tcBorders>
            <w:noWrap w:val="0"/>
            <w:vAlign w:val="center"/>
          </w:tcPr>
          <w:p w14:paraId="3ACE9CDA">
            <w:pPr>
              <w:snapToGrid w:val="0"/>
              <w:spacing w:line="240" w:lineRule="auto"/>
              <w:rPr>
                <w:rFonts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（一）评分内容：</w:t>
            </w:r>
          </w:p>
          <w:p w14:paraId="10E2C7F1">
            <w:pPr>
              <w:snapToGrid w:val="0"/>
              <w:spacing w:line="240" w:lineRule="auto"/>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投标人在上述“投标人同类项目业绩”经评审专家认定为有效的业绩中，具有经服务单位评价为优或满意或优秀或同等评价的履约评价或表扬信的，每提供一项得20分，最高得100分。</w:t>
            </w:r>
          </w:p>
          <w:p w14:paraId="0ABDEB60">
            <w:pPr>
              <w:snapToGrid w:val="0"/>
              <w:spacing w:line="240" w:lineRule="auto"/>
              <w:rPr>
                <w:rFonts w:ascii="宋体" w:hAnsi="宋体" w:eastAsia="宋体" w:cs="宋体"/>
                <w:color w:val="000000"/>
                <w:sz w:val="21"/>
                <w:szCs w:val="21"/>
                <w:lang w:eastAsia="zh-CN"/>
              </w:rPr>
            </w:pPr>
            <w:r>
              <w:rPr>
                <w:rFonts w:hint="eastAsia" w:ascii="宋体" w:hAnsi="宋体" w:eastAsia="宋体" w:cs="宋体"/>
                <w:b/>
                <w:bCs/>
                <w:color w:val="000000"/>
                <w:sz w:val="21"/>
                <w:szCs w:val="21"/>
                <w:lang w:eastAsia="zh-CN"/>
              </w:rPr>
              <w:t>（二）评分依据：</w:t>
            </w:r>
          </w:p>
          <w:p w14:paraId="2C78A36A">
            <w:pPr>
              <w:snapToGrid w:val="0"/>
              <w:spacing w:line="24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eastAsia="zh-CN"/>
              </w:rPr>
              <w:t>提供项目履约（验收）评价或表扬信作为证明文件，需加盖合同甲方公章（或甲方业务章），评分中出现无证明资料或专家无法凭所提供资料判断是否得分的情况，一律作不得分处理。</w:t>
            </w:r>
          </w:p>
        </w:tc>
      </w:tr>
      <w:tr w14:paraId="455297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FD7D4FE">
            <w:pPr>
              <w:spacing w:line="240" w:lineRule="auto"/>
              <w:rPr>
                <w:rFonts w:ascii="宋体" w:hAnsi="宋体" w:eastAsia="宋体" w:cs="宋体"/>
                <w:b/>
                <w:bCs/>
                <w:color w:val="0000FF"/>
                <w:sz w:val="21"/>
                <w:szCs w:val="21"/>
                <w:lang w:eastAsia="zh-CN"/>
              </w:rPr>
            </w:pPr>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1B0F5AA5">
            <w:pPr>
              <w:wordWrap w:val="0"/>
              <w:spacing w:line="240" w:lineRule="auto"/>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2D759D0">
            <w:pPr>
              <w:snapToGrid w:val="0"/>
              <w:spacing w:line="240" w:lineRule="auto"/>
              <w:jc w:val="center"/>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获奖情况</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5F2B80FA">
            <w:pPr>
              <w:snapToGrid w:val="0"/>
              <w:spacing w:line="240" w:lineRule="auto"/>
              <w:jc w:val="center"/>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5</w:t>
            </w:r>
          </w:p>
        </w:tc>
        <w:tc>
          <w:tcPr>
            <w:tcW w:w="6617" w:type="dxa"/>
            <w:tcBorders>
              <w:top w:val="single" w:color="000000" w:sz="8" w:space="0"/>
              <w:left w:val="single" w:color="000000" w:sz="8" w:space="0"/>
              <w:bottom w:val="single" w:color="000000" w:sz="8" w:space="0"/>
              <w:right w:val="single" w:color="000000" w:sz="8" w:space="0"/>
            </w:tcBorders>
            <w:noWrap w:val="0"/>
            <w:vAlign w:val="center"/>
          </w:tcPr>
          <w:p w14:paraId="4F53AAC8">
            <w:pPr>
              <w:snapToGrid w:val="0"/>
              <w:spacing w:line="240" w:lineRule="auto"/>
              <w:rPr>
                <w:rFonts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（一）评分内容：</w:t>
            </w:r>
          </w:p>
          <w:p w14:paraId="2093868D">
            <w:pPr>
              <w:snapToGrid w:val="0"/>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自2021年1月1日至本项目投标截止之日（</w:t>
            </w:r>
            <w:r>
              <w:rPr>
                <w:rFonts w:hint="eastAsia" w:ascii="宋体" w:hAnsi="宋体" w:eastAsia="宋体" w:cs="宋体"/>
                <w:color w:val="000000"/>
                <w:sz w:val="21"/>
                <w:szCs w:val="21"/>
                <w:highlight w:val="none"/>
                <w:lang w:val="en-US" w:eastAsia="zh-CN"/>
              </w:rPr>
              <w:t>以获奖时间为准</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lang w:val="en-US" w:eastAsia="zh-CN"/>
              </w:rPr>
              <w:t>获得</w:t>
            </w:r>
            <w:r>
              <w:rPr>
                <w:rFonts w:hint="eastAsia" w:ascii="宋体" w:hAnsi="宋体" w:eastAsia="宋体" w:cs="宋体"/>
                <w:color w:val="000000"/>
                <w:sz w:val="21"/>
                <w:szCs w:val="21"/>
                <w:highlight w:val="none"/>
                <w:lang w:eastAsia="zh-CN"/>
              </w:rPr>
              <w:t>区级或以上</w:t>
            </w:r>
            <w:r>
              <w:rPr>
                <w:rFonts w:hint="eastAsia" w:ascii="宋体" w:hAnsi="宋体" w:eastAsia="宋体" w:cs="宋体"/>
                <w:color w:val="000000"/>
                <w:sz w:val="21"/>
                <w:szCs w:val="21"/>
                <w:highlight w:val="none"/>
                <w:lang w:val="en-US" w:eastAsia="zh-CN"/>
              </w:rPr>
              <w:t>政府机关或事业单位</w:t>
            </w:r>
            <w:r>
              <w:rPr>
                <w:rFonts w:hint="eastAsia" w:ascii="宋体" w:hAnsi="宋体" w:eastAsia="宋体" w:cs="宋体"/>
                <w:color w:val="000000"/>
                <w:sz w:val="21"/>
                <w:szCs w:val="21"/>
                <w:highlight w:val="none"/>
                <w:lang w:eastAsia="zh-CN"/>
              </w:rPr>
              <w:t>餐饮相关的</w:t>
            </w:r>
            <w:r>
              <w:rPr>
                <w:rFonts w:hint="eastAsia" w:ascii="宋体" w:hAnsi="宋体" w:eastAsia="宋体" w:cs="宋体"/>
                <w:color w:val="000000"/>
                <w:sz w:val="21"/>
                <w:szCs w:val="21"/>
                <w:highlight w:val="none"/>
                <w:lang w:val="en-US" w:eastAsia="zh-CN"/>
              </w:rPr>
              <w:t>奖项情况</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每提供一个得50分</w:t>
            </w:r>
            <w:r>
              <w:rPr>
                <w:rFonts w:hint="eastAsia" w:ascii="宋体" w:hAnsi="宋体" w:eastAsia="宋体" w:cs="宋体"/>
                <w:color w:val="000000"/>
                <w:sz w:val="21"/>
                <w:szCs w:val="21"/>
                <w:highlight w:val="none"/>
                <w:lang w:eastAsia="zh-CN"/>
              </w:rPr>
              <w:t>，最高得50分。</w:t>
            </w:r>
          </w:p>
          <w:p w14:paraId="3BE49E7E">
            <w:pPr>
              <w:snapToGrid w:val="0"/>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自2021年1月1日至本项目投标截止之日（</w:t>
            </w:r>
            <w:r>
              <w:rPr>
                <w:rFonts w:hint="eastAsia" w:ascii="宋体" w:hAnsi="宋体" w:eastAsia="宋体" w:cs="宋体"/>
                <w:color w:val="000000"/>
                <w:sz w:val="21"/>
                <w:szCs w:val="21"/>
                <w:highlight w:val="none"/>
                <w:lang w:val="en-US" w:eastAsia="zh-CN"/>
              </w:rPr>
              <w:t>以获奖时间为准</w:t>
            </w:r>
            <w:r>
              <w:rPr>
                <w:rFonts w:hint="eastAsia" w:ascii="宋体" w:hAnsi="宋体" w:eastAsia="宋体" w:cs="宋体"/>
                <w:color w:val="000000"/>
                <w:sz w:val="21"/>
                <w:szCs w:val="21"/>
                <w:highlight w:val="none"/>
                <w:lang w:eastAsia="zh-CN"/>
              </w:rPr>
              <w:t>），投标人员</w:t>
            </w:r>
            <w:r>
              <w:rPr>
                <w:rFonts w:hint="eastAsia" w:ascii="宋体" w:hAnsi="宋体" w:eastAsia="宋体" w:cs="宋体"/>
                <w:color w:val="000000"/>
                <w:sz w:val="21"/>
                <w:szCs w:val="21"/>
                <w:highlight w:val="none"/>
                <w:lang w:val="en-US" w:eastAsia="zh-CN"/>
              </w:rPr>
              <w:t>工</w:t>
            </w:r>
            <w:r>
              <w:rPr>
                <w:rFonts w:hint="eastAsia" w:ascii="宋体" w:hAnsi="宋体" w:eastAsia="宋体" w:cs="宋体"/>
                <w:color w:val="000000"/>
                <w:sz w:val="21"/>
                <w:szCs w:val="21"/>
                <w:highlight w:val="none"/>
                <w:lang w:eastAsia="zh-CN"/>
              </w:rPr>
              <w:t>获得区级或以上</w:t>
            </w:r>
            <w:r>
              <w:rPr>
                <w:rFonts w:hint="eastAsia" w:ascii="宋体" w:hAnsi="宋体" w:eastAsia="宋体" w:cs="宋体"/>
                <w:color w:val="000000"/>
                <w:sz w:val="21"/>
                <w:szCs w:val="21"/>
                <w:highlight w:val="none"/>
                <w:lang w:val="en-US" w:eastAsia="zh-CN"/>
              </w:rPr>
              <w:t>政府机关或事业单位</w:t>
            </w:r>
            <w:r>
              <w:rPr>
                <w:rFonts w:hint="eastAsia" w:ascii="宋体" w:hAnsi="宋体" w:eastAsia="宋体" w:cs="宋体"/>
                <w:color w:val="000000"/>
                <w:sz w:val="21"/>
                <w:szCs w:val="21"/>
                <w:highlight w:val="none"/>
                <w:lang w:eastAsia="zh-CN"/>
              </w:rPr>
              <w:t>颁发的与餐饮有关的职业技能竞赛荣誉证书的，每一人得</w:t>
            </w:r>
            <w:r>
              <w:rPr>
                <w:rFonts w:hint="eastAsia" w:ascii="宋体" w:hAnsi="宋体" w:eastAsia="宋体" w:cs="宋体"/>
                <w:color w:val="000000"/>
                <w:sz w:val="21"/>
                <w:szCs w:val="21"/>
                <w:highlight w:val="none"/>
                <w:lang w:val="en-US" w:eastAsia="zh-CN"/>
              </w:rPr>
              <w:t>25</w:t>
            </w:r>
            <w:r>
              <w:rPr>
                <w:rFonts w:hint="eastAsia" w:ascii="宋体" w:hAnsi="宋体" w:eastAsia="宋体" w:cs="宋体"/>
                <w:color w:val="000000"/>
                <w:sz w:val="21"/>
                <w:szCs w:val="21"/>
                <w:highlight w:val="none"/>
                <w:lang w:eastAsia="zh-CN"/>
              </w:rPr>
              <w:t>分，最高得</w:t>
            </w:r>
            <w:r>
              <w:rPr>
                <w:rFonts w:hint="eastAsia" w:ascii="宋体" w:hAnsi="宋体" w:eastAsia="宋体" w:cs="宋体"/>
                <w:color w:val="000000"/>
                <w:sz w:val="21"/>
                <w:szCs w:val="21"/>
                <w:highlight w:val="none"/>
                <w:lang w:val="en-US" w:eastAsia="zh-CN"/>
              </w:rPr>
              <w:t>50</w:t>
            </w:r>
            <w:r>
              <w:rPr>
                <w:rFonts w:hint="eastAsia" w:ascii="宋体" w:hAnsi="宋体" w:eastAsia="宋体" w:cs="宋体"/>
                <w:color w:val="000000"/>
                <w:sz w:val="21"/>
                <w:szCs w:val="21"/>
                <w:highlight w:val="none"/>
                <w:lang w:eastAsia="zh-CN"/>
              </w:rPr>
              <w:t>分。</w:t>
            </w:r>
          </w:p>
          <w:p w14:paraId="6E7E6B03">
            <w:pPr>
              <w:snapToGrid w:val="0"/>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本项最高得100分。</w:t>
            </w:r>
          </w:p>
          <w:p w14:paraId="545DA940">
            <w:pPr>
              <w:snapToGrid w:val="0"/>
              <w:spacing w:line="240" w:lineRule="auto"/>
              <w:rPr>
                <w:rFonts w:ascii="宋体" w:hAnsi="宋体" w:eastAsia="宋体" w:cs="宋体"/>
                <w:color w:val="000000"/>
                <w:sz w:val="21"/>
                <w:szCs w:val="21"/>
                <w:highlight w:val="none"/>
                <w:lang w:eastAsia="zh-CN"/>
              </w:rPr>
            </w:pPr>
            <w:r>
              <w:rPr>
                <w:rFonts w:hint="eastAsia" w:ascii="宋体" w:hAnsi="宋体" w:eastAsia="宋体" w:cs="宋体"/>
                <w:b/>
                <w:bCs/>
                <w:color w:val="000000"/>
                <w:sz w:val="21"/>
                <w:szCs w:val="21"/>
                <w:highlight w:val="none"/>
                <w:lang w:eastAsia="zh-CN"/>
              </w:rPr>
              <w:t>（二）评分依据：</w:t>
            </w:r>
          </w:p>
          <w:p w14:paraId="2218ED11">
            <w:pPr>
              <w:snapToGrid w:val="0"/>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第1项提供投标人相关荣誉证书扫描件；</w:t>
            </w:r>
          </w:p>
          <w:p w14:paraId="128B9A1F">
            <w:pPr>
              <w:snapToGrid w:val="0"/>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第2项提供员工证书扫描件，投标人为其缴纳的近</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个月社保证明扫描件(以养老保险为准，如开标日上1个月的社保材料因社保部门原因暂时无法取得，则可以往前顺延1个月)；投标人若为新成立(成立时间不足</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个月的按成立时限提供；成立时间不足1个月的提供承诺 函承诺为投标人自有员工)。</w:t>
            </w:r>
          </w:p>
          <w:p w14:paraId="55093048">
            <w:pPr>
              <w:snapToGrid w:val="0"/>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未按要求提供或提供不清晰导致专家无法判断的不得分。</w:t>
            </w:r>
          </w:p>
        </w:tc>
      </w:tr>
      <w:tr w14:paraId="5AA7C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66398D6">
            <w:pPr>
              <w:spacing w:line="240" w:lineRule="auto"/>
              <w:rPr>
                <w:rFonts w:ascii="宋体" w:hAnsi="宋体" w:eastAsia="宋体" w:cs="宋体"/>
                <w:b/>
                <w:bCs/>
                <w:color w:val="0000FF"/>
                <w:sz w:val="21"/>
                <w:szCs w:val="21"/>
                <w:lang w:eastAsia="zh-CN"/>
              </w:rPr>
            </w:pPr>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4F6F60F1">
            <w:pPr>
              <w:wordWrap w:val="0"/>
              <w:spacing w:line="240" w:lineRule="auto"/>
              <w:jc w:val="center"/>
              <w:rPr>
                <w:rFonts w:hint="eastAsia" w:ascii="宋体" w:hAnsi="宋体" w:eastAsia="宋体" w:cs="宋体"/>
                <w:sz w:val="21"/>
                <w:szCs w:val="21"/>
                <w:highlight w:val="none"/>
                <w:lang w:val="en-US" w:eastAsia="zh-CN" w:bidi="ar-SA"/>
              </w:rPr>
            </w:pPr>
            <w:r>
              <w:rPr>
                <w:rFonts w:hint="eastAsia" w:ascii="宋体" w:hAnsi="宋体" w:cs="宋体"/>
                <w:sz w:val="21"/>
                <w:szCs w:val="21"/>
                <w:highlight w:val="none"/>
                <w:lang w:val="en-US" w:eastAsia="zh-CN"/>
              </w:rPr>
              <w:t>5</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5C644720">
            <w:pPr>
              <w:snapToGrid w:val="0"/>
              <w:spacing w:line="240" w:lineRule="auto"/>
              <w:jc w:val="center"/>
              <w:rPr>
                <w:rFonts w:hint="default" w:ascii="宋体" w:hAnsi="宋体" w:eastAsia="宋体" w:cs="宋体"/>
                <w:color w:val="000000"/>
                <w:sz w:val="21"/>
                <w:szCs w:val="21"/>
                <w:highlight w:val="none"/>
                <w:lang w:val="en-US" w:eastAsia="zh-CN" w:bidi="ar-SA"/>
              </w:rPr>
            </w:pPr>
            <w:r>
              <w:rPr>
                <w:rFonts w:hint="eastAsia" w:ascii="宋体" w:hAnsi="宋体" w:cs="宋体"/>
                <w:color w:val="000000"/>
                <w:sz w:val="21"/>
                <w:szCs w:val="21"/>
                <w:highlight w:val="none"/>
                <w:lang w:val="en-US" w:eastAsia="zh-CN"/>
              </w:rPr>
              <w:t>相关保险</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256724A0">
            <w:pPr>
              <w:snapToGrid w:val="0"/>
              <w:spacing w:line="240" w:lineRule="auto"/>
              <w:jc w:val="center"/>
              <w:rPr>
                <w:rFonts w:hint="eastAsia" w:ascii="宋体" w:hAnsi="宋体" w:eastAsia="宋体" w:cs="宋体"/>
                <w:color w:val="000000"/>
                <w:sz w:val="21"/>
                <w:szCs w:val="21"/>
                <w:highlight w:val="none"/>
                <w:lang w:val="en-US" w:eastAsia="zh-CN" w:bidi="ar-SA"/>
              </w:rPr>
            </w:pPr>
            <w:r>
              <w:rPr>
                <w:rFonts w:hint="eastAsia" w:ascii="宋体" w:hAnsi="宋体" w:cs="宋体"/>
                <w:color w:val="000000"/>
                <w:sz w:val="21"/>
                <w:szCs w:val="21"/>
                <w:highlight w:val="none"/>
                <w:lang w:val="en-US" w:eastAsia="zh-CN"/>
              </w:rPr>
              <w:t>3</w:t>
            </w:r>
          </w:p>
        </w:tc>
        <w:tc>
          <w:tcPr>
            <w:tcW w:w="6617" w:type="dxa"/>
            <w:tcBorders>
              <w:top w:val="single" w:color="000000" w:sz="8" w:space="0"/>
              <w:left w:val="single" w:color="000000" w:sz="8" w:space="0"/>
              <w:bottom w:val="single" w:color="000000" w:sz="8" w:space="0"/>
              <w:right w:val="single" w:color="000000" w:sz="8" w:space="0"/>
            </w:tcBorders>
            <w:noWrap w:val="0"/>
            <w:vAlign w:val="center"/>
          </w:tcPr>
          <w:p w14:paraId="454391B2">
            <w:pPr>
              <w:snapToGrid w:val="0"/>
              <w:spacing w:line="240" w:lineRule="auto"/>
              <w:rPr>
                <w:rFonts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（一）评分内容：</w:t>
            </w:r>
          </w:p>
          <w:p w14:paraId="49A8AA97">
            <w:pPr>
              <w:snapToGrid w:val="0"/>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根据投标人购买相关责任险等级评定：</w:t>
            </w:r>
          </w:p>
          <w:p w14:paraId="6264527E">
            <w:pPr>
              <w:snapToGrid w:val="0"/>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（1）提供有效的食品安全保险：</w:t>
            </w:r>
          </w:p>
          <w:p w14:paraId="61930F26">
            <w:pPr>
              <w:snapToGrid w:val="0"/>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①保额在1亿或以上的，得40分；</w:t>
            </w:r>
          </w:p>
          <w:p w14:paraId="336ACDB2">
            <w:pPr>
              <w:snapToGrid w:val="0"/>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②保额在6000万(含)—1亿(不含)的，得30分 ；</w:t>
            </w:r>
          </w:p>
          <w:p w14:paraId="4E53DC8C">
            <w:pPr>
              <w:snapToGrid w:val="0"/>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③保额在3000万(含)—6000万(不含)的，得20分；</w:t>
            </w:r>
          </w:p>
          <w:p w14:paraId="176AC39F">
            <w:pPr>
              <w:snapToGrid w:val="0"/>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④保额在3000万(不含)以下得10分；没有不得分。</w:t>
            </w:r>
          </w:p>
          <w:p w14:paraId="21675322">
            <w:pPr>
              <w:snapToGrid w:val="0"/>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（2）提供有效的公众责任险：</w:t>
            </w:r>
          </w:p>
          <w:p w14:paraId="5275012C">
            <w:pPr>
              <w:snapToGrid w:val="0"/>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①保额在1亿或以上的，得60分；</w:t>
            </w:r>
          </w:p>
          <w:p w14:paraId="22994F5C">
            <w:pPr>
              <w:snapToGrid w:val="0"/>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②保额在6000万(含)—1亿(不含)的，得30分 ；</w:t>
            </w:r>
          </w:p>
          <w:p w14:paraId="51034FE0">
            <w:pPr>
              <w:snapToGrid w:val="0"/>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③保额在6000万(不含)以下得10分；没有不得分。</w:t>
            </w:r>
          </w:p>
          <w:p w14:paraId="39CA00A8">
            <w:pPr>
              <w:snapToGrid w:val="0"/>
              <w:spacing w:line="240" w:lineRule="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本项累计最高得分100分。</w:t>
            </w:r>
          </w:p>
          <w:p w14:paraId="2AAB0457">
            <w:pPr>
              <w:snapToGrid w:val="0"/>
              <w:spacing w:line="240" w:lineRule="auto"/>
              <w:rPr>
                <w:rFonts w:ascii="宋体" w:hAnsi="宋体" w:eastAsia="宋体" w:cs="宋体"/>
                <w:color w:val="000000"/>
                <w:sz w:val="21"/>
                <w:szCs w:val="21"/>
                <w:highlight w:val="none"/>
                <w:lang w:eastAsia="zh-CN"/>
              </w:rPr>
            </w:pPr>
            <w:r>
              <w:rPr>
                <w:rFonts w:hint="eastAsia" w:ascii="宋体" w:hAnsi="宋体" w:eastAsia="宋体" w:cs="宋体"/>
                <w:b/>
                <w:bCs/>
                <w:color w:val="000000"/>
                <w:sz w:val="21"/>
                <w:szCs w:val="21"/>
                <w:highlight w:val="none"/>
                <w:lang w:eastAsia="zh-CN"/>
              </w:rPr>
              <w:t>（二）评分依据：</w:t>
            </w:r>
          </w:p>
          <w:p w14:paraId="63D7F22A">
            <w:pPr>
              <w:snapToGrid w:val="0"/>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投标人提供保险发票（</w:t>
            </w:r>
            <w:r>
              <w:rPr>
                <w:rFonts w:hint="eastAsia" w:ascii="宋体" w:hAnsi="宋体" w:eastAsia="宋体" w:cs="宋体"/>
                <w:color w:val="000000"/>
                <w:sz w:val="21"/>
                <w:szCs w:val="21"/>
                <w:highlight w:val="none"/>
                <w:lang w:val="en-US" w:eastAsia="zh-CN"/>
              </w:rPr>
              <w:t>或保险合同</w:t>
            </w:r>
            <w:r>
              <w:rPr>
                <w:rFonts w:hint="eastAsia" w:ascii="宋体" w:hAnsi="宋体" w:eastAsia="宋体" w:cs="宋体"/>
                <w:color w:val="000000"/>
                <w:sz w:val="21"/>
                <w:szCs w:val="21"/>
                <w:highlight w:val="none"/>
                <w:lang w:eastAsia="zh-CN"/>
              </w:rPr>
              <w:t>）及有效的保单扫描件，购买保险的日期需在本项目</w:t>
            </w:r>
            <w:r>
              <w:rPr>
                <w:rFonts w:hint="eastAsia" w:ascii="宋体" w:hAnsi="宋体" w:eastAsia="宋体" w:cs="宋体"/>
                <w:color w:val="000000"/>
                <w:sz w:val="21"/>
                <w:szCs w:val="21"/>
                <w:highlight w:val="none"/>
                <w:lang w:val="en-US" w:eastAsia="zh-CN"/>
              </w:rPr>
              <w:t>投标截止日</w:t>
            </w:r>
            <w:r>
              <w:rPr>
                <w:rFonts w:hint="eastAsia" w:ascii="宋体" w:hAnsi="宋体" w:eastAsia="宋体" w:cs="宋体"/>
                <w:color w:val="000000"/>
                <w:sz w:val="21"/>
                <w:szCs w:val="21"/>
                <w:highlight w:val="none"/>
                <w:lang w:eastAsia="zh-CN"/>
              </w:rPr>
              <w:t>之前且在有效期内，如果保险期内无法覆盖本项目合同服务期限，则需承诺在本项目服务期限继续购买同等级或以上保险(格式自定)。</w:t>
            </w:r>
          </w:p>
          <w:p w14:paraId="5234CCE6">
            <w:pPr>
              <w:snapToGrid w:val="0"/>
              <w:spacing w:line="240" w:lineRule="auto"/>
              <w:rPr>
                <w:rFonts w:hint="eastAsia" w:ascii="宋体" w:hAnsi="宋体" w:eastAsia="宋体" w:cs="宋体"/>
                <w:color w:val="000000"/>
                <w:sz w:val="21"/>
                <w:szCs w:val="21"/>
                <w:highlight w:val="yellow"/>
                <w:lang w:val="en-US" w:eastAsia="zh-CN" w:bidi="ar-SA"/>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未按要求提供或提供不清晰导致专家无法判断的不得分。</w:t>
            </w:r>
          </w:p>
        </w:tc>
      </w:tr>
      <w:bookmarkEnd w:id="3"/>
      <w:tr w14:paraId="33A1EB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14:paraId="4C2F0500">
            <w:pPr>
              <w:wordWrap w:val="0"/>
              <w:spacing w:line="240" w:lineRule="auto"/>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4</w:t>
            </w:r>
          </w:p>
        </w:tc>
        <w:tc>
          <w:tcPr>
            <w:tcW w:w="1775" w:type="dxa"/>
            <w:gridSpan w:val="3"/>
            <w:tcBorders>
              <w:top w:val="single" w:color="000000" w:sz="8" w:space="0"/>
              <w:left w:val="single" w:color="000000" w:sz="8" w:space="0"/>
              <w:bottom w:val="single" w:color="000000" w:sz="8" w:space="0"/>
              <w:right w:val="single" w:color="000000" w:sz="8" w:space="0"/>
            </w:tcBorders>
            <w:noWrap w:val="0"/>
            <w:vAlign w:val="top"/>
          </w:tcPr>
          <w:p w14:paraId="0E00CEAD">
            <w:pPr>
              <w:wordWrap w:val="0"/>
              <w:spacing w:line="240" w:lineRule="auto"/>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诚信情况</w:t>
            </w:r>
          </w:p>
        </w:tc>
        <w:tc>
          <w:tcPr>
            <w:tcW w:w="6617" w:type="dxa"/>
            <w:tcBorders>
              <w:top w:val="single" w:color="000000" w:sz="8" w:space="0"/>
              <w:left w:val="single" w:color="000000" w:sz="8" w:space="0"/>
              <w:bottom w:val="single" w:color="000000" w:sz="8" w:space="0"/>
              <w:right w:val="single" w:color="000000" w:sz="8" w:space="0"/>
            </w:tcBorders>
            <w:noWrap w:val="0"/>
            <w:vAlign w:val="top"/>
          </w:tcPr>
          <w:p w14:paraId="0079D2B2">
            <w:pPr>
              <w:snapToGrid w:val="0"/>
              <w:spacing w:line="240" w:lineRule="auto"/>
              <w:jc w:val="center"/>
              <w:rPr>
                <w:rFonts w:ascii="宋体" w:hAnsi="宋体" w:eastAsia="宋体" w:cs="宋体"/>
                <w:color w:val="000000"/>
                <w:sz w:val="21"/>
                <w:szCs w:val="21"/>
              </w:rPr>
            </w:pPr>
            <w:r>
              <w:rPr>
                <w:rFonts w:hint="eastAsia" w:ascii="宋体" w:hAnsi="宋体" w:eastAsia="宋体" w:cs="宋体"/>
                <w:b/>
                <w:bCs/>
                <w:color w:val="0000FF"/>
                <w:sz w:val="21"/>
                <w:szCs w:val="21"/>
              </w:rPr>
              <w:t>5</w:t>
            </w:r>
          </w:p>
        </w:tc>
      </w:tr>
      <w:tr w14:paraId="5832EB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C5FDAB2">
            <w:pPr>
              <w:spacing w:line="240" w:lineRule="auto"/>
              <w:rPr>
                <w:rFonts w:ascii="宋体" w:hAnsi="宋体" w:eastAsia="宋体" w:cs="宋体"/>
                <w:b/>
                <w:bCs/>
                <w:color w:val="0000FF"/>
                <w:sz w:val="21"/>
                <w:szCs w:val="21"/>
              </w:rPr>
            </w:pPr>
          </w:p>
        </w:tc>
        <w:tc>
          <w:tcPr>
            <w:tcW w:w="36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54DA948">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序号</w:t>
            </w:r>
          </w:p>
        </w:tc>
        <w:tc>
          <w:tcPr>
            <w:tcW w:w="67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7E954FD">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评分因素</w:t>
            </w:r>
          </w:p>
        </w:tc>
        <w:tc>
          <w:tcPr>
            <w:tcW w:w="73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6FB67B2D">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权重(分)</w:t>
            </w:r>
          </w:p>
        </w:tc>
        <w:tc>
          <w:tcPr>
            <w:tcW w:w="661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11DA22E">
            <w:pPr>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评分准则</w:t>
            </w:r>
          </w:p>
        </w:tc>
      </w:tr>
      <w:tr w14:paraId="2D3080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544510">
            <w:pPr>
              <w:spacing w:line="240" w:lineRule="auto"/>
              <w:rPr>
                <w:rFonts w:ascii="宋体" w:hAnsi="宋体" w:eastAsia="宋体" w:cs="宋体"/>
                <w:b/>
                <w:bCs/>
                <w:color w:val="0000FF"/>
                <w:sz w:val="21"/>
                <w:szCs w:val="21"/>
              </w:rPr>
            </w:pPr>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37FCE61D">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513DDAB8">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诚信情况</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6523323A">
            <w:pPr>
              <w:wordWrap w:val="0"/>
              <w:spacing w:line="240" w:lineRule="auto"/>
              <w:jc w:val="center"/>
              <w:rPr>
                <w:rFonts w:ascii="宋体" w:hAnsi="宋体" w:eastAsia="宋体" w:cs="宋体"/>
                <w:sz w:val="21"/>
                <w:szCs w:val="21"/>
              </w:rPr>
            </w:pPr>
            <w:r>
              <w:rPr>
                <w:rFonts w:hint="eastAsia" w:ascii="宋体" w:hAnsi="宋体" w:eastAsia="宋体" w:cs="宋体"/>
                <w:sz w:val="21"/>
                <w:szCs w:val="21"/>
              </w:rPr>
              <w:t>5</w:t>
            </w:r>
          </w:p>
        </w:tc>
        <w:tc>
          <w:tcPr>
            <w:tcW w:w="6617" w:type="dxa"/>
            <w:tcBorders>
              <w:top w:val="single" w:color="000000" w:sz="8" w:space="0"/>
              <w:left w:val="single" w:color="000000" w:sz="8" w:space="0"/>
              <w:bottom w:val="single" w:color="000000" w:sz="8" w:space="0"/>
              <w:right w:val="single" w:color="000000" w:sz="8" w:space="0"/>
            </w:tcBorders>
            <w:noWrap w:val="0"/>
            <w:vAlign w:val="top"/>
          </w:tcPr>
          <w:p w14:paraId="01CF02E9">
            <w:pPr>
              <w:snapToGrid w:val="0"/>
              <w:spacing w:line="240" w:lineRule="auto"/>
              <w:rPr>
                <w:rFonts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 xml:space="preserve">（一）评分内容： </w:t>
            </w:r>
          </w:p>
          <w:p w14:paraId="4B9AEBF5">
            <w:pPr>
              <w:snapToGrid w:val="0"/>
              <w:spacing w:line="240" w:lineRule="auto"/>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6222D55">
            <w:pPr>
              <w:snapToGrid w:val="0"/>
              <w:spacing w:line="240" w:lineRule="auto"/>
              <w:rPr>
                <w:rFonts w:ascii="宋体" w:hAnsi="宋体" w:eastAsia="宋体" w:cs="宋体"/>
                <w:b/>
                <w:bCs/>
                <w:color w:val="000000"/>
                <w:sz w:val="21"/>
                <w:szCs w:val="21"/>
              </w:rPr>
            </w:pPr>
            <w:r>
              <w:rPr>
                <w:rFonts w:hint="eastAsia" w:ascii="宋体" w:hAnsi="宋体" w:eastAsia="宋体" w:cs="宋体"/>
                <w:b/>
                <w:bCs/>
                <w:color w:val="000000"/>
                <w:sz w:val="21"/>
                <w:szCs w:val="21"/>
              </w:rPr>
              <w:t>（二）评分依据：</w:t>
            </w:r>
          </w:p>
          <w:p w14:paraId="00D85EE9">
            <w:pPr>
              <w:snapToGrid w:val="0"/>
              <w:spacing w:line="240" w:lineRule="auto"/>
              <w:rPr>
                <w:rFonts w:ascii="宋体" w:hAnsi="宋体" w:eastAsia="宋体" w:cs="宋体"/>
                <w:color w:val="000000"/>
                <w:sz w:val="21"/>
                <w:szCs w:val="21"/>
              </w:rPr>
            </w:pPr>
            <w:r>
              <w:rPr>
                <w:rFonts w:hint="eastAsia" w:ascii="宋体" w:hAnsi="宋体" w:eastAsia="宋体" w:cs="宋体"/>
                <w:color w:val="00000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2A898483">
      <w:pPr>
        <w:rPr>
          <w:rFonts w:ascii="宋体" w:hAnsi="宋体" w:eastAsia="宋体" w:cs="宋体"/>
          <w:b/>
          <w:bCs/>
          <w:color w:val="FF0000"/>
          <w:kern w:val="2"/>
          <w:sz w:val="21"/>
          <w:szCs w:val="22"/>
          <w:lang w:eastAsia="zh-CN"/>
        </w:rPr>
      </w:pPr>
    </w:p>
    <w:p w14:paraId="2450A43E">
      <w:pPr>
        <w:widowControl w:val="0"/>
        <w:jc w:val="both"/>
        <w:rPr>
          <w:rFonts w:ascii="宋体" w:hAnsi="宋体" w:eastAsia="宋体" w:cs="宋体"/>
          <w:b/>
          <w:bCs/>
          <w:color w:val="FF0000"/>
          <w:kern w:val="2"/>
          <w:sz w:val="21"/>
          <w:szCs w:val="22"/>
          <w:lang w:eastAsia="zh-CN"/>
        </w:rPr>
      </w:pPr>
    </w:p>
    <w:p w14:paraId="66EEACCD">
      <w:pPr>
        <w:widowControl w:val="0"/>
        <w:jc w:val="center"/>
        <w:rPr>
          <w:rFonts w:ascii="Calibri" w:hAnsi="Calibri" w:eastAsia="宋体" w:cs="宋体"/>
          <w:b/>
          <w:kern w:val="2"/>
          <w:sz w:val="120"/>
          <w:szCs w:val="120"/>
          <w:lang w:eastAsia="zh-CN"/>
        </w:rPr>
      </w:pPr>
      <w:bookmarkStart w:id="6" w:name="_Hlk71465316"/>
    </w:p>
    <w:p w14:paraId="5A4198D1">
      <w:pPr>
        <w:widowControl w:val="0"/>
        <w:jc w:val="center"/>
        <w:rPr>
          <w:rFonts w:ascii="Calibri" w:hAnsi="Calibri" w:eastAsia="宋体" w:cs="宋体"/>
          <w:b/>
          <w:kern w:val="2"/>
          <w:sz w:val="120"/>
          <w:szCs w:val="120"/>
          <w:lang w:eastAsia="zh-CN"/>
        </w:rPr>
      </w:pPr>
    </w:p>
    <w:p w14:paraId="7F9EA900">
      <w:pPr>
        <w:widowControl w:val="0"/>
        <w:jc w:val="center"/>
        <w:rPr>
          <w:rFonts w:ascii="Calibri" w:hAnsi="Calibri" w:eastAsia="宋体" w:cs="宋体"/>
          <w:b/>
          <w:kern w:val="2"/>
          <w:sz w:val="120"/>
          <w:szCs w:val="120"/>
          <w:lang w:eastAsia="zh-CN"/>
        </w:rPr>
      </w:pPr>
      <w:r>
        <w:rPr>
          <w:rFonts w:hint="eastAsia" w:ascii="Calibri" w:hAnsi="Calibri" w:eastAsia="宋体" w:cs="宋体"/>
          <w:b/>
          <w:kern w:val="2"/>
          <w:sz w:val="120"/>
          <w:szCs w:val="120"/>
          <w:lang w:eastAsia="zh-CN"/>
        </w:rPr>
        <w:t>自行采购</w:t>
      </w:r>
    </w:p>
    <w:p w14:paraId="02A9DCFD">
      <w:pPr>
        <w:widowControl w:val="0"/>
        <w:jc w:val="center"/>
        <w:rPr>
          <w:rFonts w:ascii="Calibri" w:hAnsi="Calibri" w:eastAsia="宋体" w:cs="宋体"/>
          <w:b/>
          <w:kern w:val="2"/>
          <w:sz w:val="120"/>
          <w:szCs w:val="120"/>
          <w:lang w:eastAsia="zh-CN"/>
        </w:rPr>
      </w:pPr>
      <w:r>
        <w:rPr>
          <w:rFonts w:hint="eastAsia" w:ascii="Calibri" w:hAnsi="Calibri" w:eastAsia="宋体" w:cs="宋体"/>
          <w:b/>
          <w:kern w:val="2"/>
          <w:sz w:val="120"/>
          <w:szCs w:val="120"/>
          <w:lang w:eastAsia="zh-CN"/>
        </w:rPr>
        <w:t>招标文件</w:t>
      </w:r>
    </w:p>
    <w:p w14:paraId="7E05285D">
      <w:pPr>
        <w:widowControl w:val="0"/>
        <w:jc w:val="center"/>
        <w:rPr>
          <w:rFonts w:ascii="Calibri" w:hAnsi="Calibri" w:eastAsia="宋体" w:cs="宋体"/>
          <w:b/>
          <w:kern w:val="2"/>
          <w:sz w:val="52"/>
          <w:szCs w:val="52"/>
          <w:lang w:eastAsia="zh-CN"/>
        </w:rPr>
      </w:pPr>
      <w:r>
        <w:rPr>
          <w:rFonts w:hint="eastAsia" w:ascii="Calibri" w:hAnsi="Calibri" w:eastAsia="宋体" w:cs="宋体"/>
          <w:b/>
          <w:kern w:val="2"/>
          <w:sz w:val="52"/>
          <w:szCs w:val="52"/>
          <w:lang w:eastAsia="zh-CN"/>
        </w:rPr>
        <w:t>（服务类）</w:t>
      </w:r>
    </w:p>
    <w:p w14:paraId="7EFCF74F">
      <w:pPr>
        <w:widowControl w:val="0"/>
        <w:jc w:val="both"/>
        <w:rPr>
          <w:rFonts w:ascii="Calibri" w:hAnsi="Calibri" w:eastAsia="宋体" w:cs="宋体"/>
          <w:kern w:val="2"/>
          <w:sz w:val="21"/>
          <w:szCs w:val="22"/>
          <w:lang w:eastAsia="zh-CN"/>
        </w:rPr>
      </w:pPr>
    </w:p>
    <w:p w14:paraId="07FF8321">
      <w:pPr>
        <w:widowControl w:val="0"/>
        <w:jc w:val="both"/>
        <w:rPr>
          <w:rFonts w:ascii="Calibri" w:hAnsi="Calibri" w:eastAsia="宋体" w:cs="宋体"/>
          <w:kern w:val="2"/>
          <w:sz w:val="21"/>
          <w:szCs w:val="22"/>
          <w:lang w:eastAsia="zh-CN"/>
        </w:rPr>
      </w:pPr>
    </w:p>
    <w:p w14:paraId="3A0373CB">
      <w:pPr>
        <w:widowControl w:val="0"/>
        <w:jc w:val="both"/>
        <w:rPr>
          <w:rFonts w:ascii="Calibri" w:hAnsi="Calibri" w:eastAsia="宋体" w:cs="宋体"/>
          <w:kern w:val="2"/>
          <w:sz w:val="21"/>
          <w:szCs w:val="22"/>
          <w:lang w:eastAsia="zh-CN"/>
        </w:rPr>
      </w:pPr>
    </w:p>
    <w:p w14:paraId="2173B574">
      <w:pPr>
        <w:widowControl w:val="0"/>
        <w:jc w:val="both"/>
        <w:rPr>
          <w:rFonts w:ascii="Calibri" w:hAnsi="Calibri" w:eastAsia="宋体" w:cs="宋体"/>
          <w:kern w:val="2"/>
          <w:sz w:val="21"/>
          <w:szCs w:val="22"/>
          <w:lang w:eastAsia="zh-CN"/>
        </w:rPr>
      </w:pPr>
    </w:p>
    <w:p w14:paraId="4822B58B">
      <w:pPr>
        <w:widowControl w:val="0"/>
        <w:jc w:val="both"/>
        <w:rPr>
          <w:rFonts w:ascii="Calibri" w:hAnsi="Calibri" w:eastAsia="宋体" w:cs="宋体"/>
          <w:kern w:val="2"/>
          <w:sz w:val="21"/>
          <w:szCs w:val="22"/>
          <w:lang w:eastAsia="zh-CN"/>
        </w:rPr>
      </w:pPr>
    </w:p>
    <w:p w14:paraId="42DC8F49">
      <w:pPr>
        <w:widowControl w:val="0"/>
        <w:jc w:val="center"/>
        <w:rPr>
          <w:rFonts w:ascii="Calibri" w:hAnsi="Calibri" w:eastAsia="宋体" w:cs="宋体"/>
          <w:b/>
          <w:kern w:val="2"/>
          <w:sz w:val="44"/>
          <w:szCs w:val="44"/>
          <w:lang w:eastAsia="zh-CN"/>
        </w:rPr>
      </w:pPr>
      <w:r>
        <w:rPr>
          <w:rFonts w:hint="eastAsia" w:ascii="宋体" w:hAnsi="宋体" w:eastAsia="宋体" w:cs="宋体"/>
          <w:b/>
          <w:kern w:val="2"/>
          <w:sz w:val="44"/>
          <w:szCs w:val="44"/>
          <w:lang w:eastAsia="zh-CN"/>
        </w:rPr>
        <w:t>深圳市深汕</w:t>
      </w:r>
      <w:r>
        <w:rPr>
          <w:rFonts w:ascii="宋体" w:hAnsi="宋体" w:eastAsia="宋体" w:cs="宋体"/>
          <w:b/>
          <w:kern w:val="2"/>
          <w:sz w:val="44"/>
          <w:szCs w:val="44"/>
          <w:lang w:eastAsia="zh-CN"/>
        </w:rPr>
        <w:t>交易</w:t>
      </w:r>
      <w:r>
        <w:rPr>
          <w:rFonts w:hint="eastAsia" w:ascii="宋体" w:hAnsi="宋体" w:eastAsia="宋体" w:cs="宋体"/>
          <w:b/>
          <w:kern w:val="2"/>
          <w:sz w:val="44"/>
          <w:szCs w:val="44"/>
          <w:lang w:eastAsia="zh-CN"/>
        </w:rPr>
        <w:t>有</w:t>
      </w:r>
      <w:r>
        <w:rPr>
          <w:rFonts w:ascii="宋体" w:hAnsi="宋体" w:eastAsia="宋体" w:cs="宋体"/>
          <w:b/>
          <w:kern w:val="2"/>
          <w:sz w:val="44"/>
          <w:szCs w:val="44"/>
          <w:lang w:eastAsia="zh-CN"/>
        </w:rPr>
        <w:t>限公司</w:t>
      </w:r>
    </w:p>
    <w:p w14:paraId="629DB8A0">
      <w:pPr>
        <w:widowControl w:val="0"/>
        <w:jc w:val="center"/>
        <w:rPr>
          <w:rFonts w:ascii="Calibri" w:hAnsi="Calibri" w:eastAsia="宋体" w:cs="宋体"/>
          <w:b/>
          <w:kern w:val="2"/>
          <w:sz w:val="44"/>
          <w:szCs w:val="44"/>
          <w:lang w:eastAsia="zh-CN"/>
        </w:rPr>
      </w:pPr>
      <w:r>
        <w:rPr>
          <w:rFonts w:hint="eastAsia" w:ascii="宋体" w:hAnsi="宋体" w:eastAsia="宋体" w:cs="宋体"/>
          <w:b/>
          <w:kern w:val="2"/>
          <w:sz w:val="44"/>
          <w:szCs w:val="44"/>
          <w:lang w:eastAsia="zh-CN"/>
        </w:rPr>
        <w:t>（</w:t>
      </w:r>
      <w:r>
        <w:rPr>
          <w:rFonts w:ascii="Calibri" w:hAnsi="Calibri" w:eastAsia="宋体" w:cs="宋体"/>
          <w:b/>
          <w:kern w:val="2"/>
          <w:sz w:val="44"/>
          <w:szCs w:val="44"/>
          <w:lang w:eastAsia="zh-CN"/>
        </w:rPr>
        <w:t>20</w:t>
      </w:r>
      <w:r>
        <w:rPr>
          <w:rFonts w:hint="eastAsia" w:ascii="Calibri" w:hAnsi="Calibri" w:eastAsia="宋体" w:cs="宋体"/>
          <w:b/>
          <w:kern w:val="2"/>
          <w:sz w:val="44"/>
          <w:szCs w:val="44"/>
          <w:lang w:eastAsia="zh-CN"/>
        </w:rPr>
        <w:t>25</w:t>
      </w:r>
      <w:r>
        <w:rPr>
          <w:rFonts w:hint="eastAsia" w:ascii="宋体" w:hAnsi="宋体" w:eastAsia="宋体" w:cs="宋体"/>
          <w:b/>
          <w:kern w:val="2"/>
          <w:sz w:val="44"/>
          <w:szCs w:val="44"/>
          <w:lang w:eastAsia="zh-CN"/>
        </w:rPr>
        <w:t>）</w:t>
      </w:r>
    </w:p>
    <w:bookmarkEnd w:id="6"/>
    <w:p w14:paraId="001F3D1A">
      <w:pPr>
        <w:widowControl w:val="0"/>
        <w:spacing w:line="280" w:lineRule="exact"/>
        <w:ind w:firstLine="1044" w:firstLineChars="200"/>
        <w:jc w:val="both"/>
        <w:rPr>
          <w:rFonts w:ascii="宋体" w:hAnsi="宋体" w:eastAsia="宋体" w:cs="宋体"/>
          <w:bCs/>
          <w:color w:val="FF0000"/>
          <w:kern w:val="2"/>
          <w:sz w:val="20"/>
          <w:szCs w:val="20"/>
          <w:lang w:eastAsia="zh-CN"/>
        </w:rPr>
      </w:pPr>
      <w:r>
        <w:rPr>
          <w:rFonts w:hint="eastAsia" w:ascii="Calibri" w:hAnsi="Calibri" w:eastAsia="宋体" w:cs="宋体"/>
          <w:b/>
          <w:color w:val="FF0000"/>
          <w:kern w:val="2"/>
          <w:sz w:val="52"/>
          <w:szCs w:val="52"/>
          <w:lang w:eastAsia="zh-CN"/>
        </w:rPr>
        <w:br w:type="page"/>
      </w:r>
    </w:p>
    <w:p w14:paraId="46F9F252">
      <w:pPr>
        <w:rPr>
          <w:rFonts w:ascii="宋体" w:hAnsi="宋体" w:eastAsia="宋体" w:cs="宋体"/>
          <w:bCs/>
          <w:color w:val="FF0000"/>
          <w:kern w:val="2"/>
          <w:sz w:val="21"/>
          <w:szCs w:val="21"/>
          <w:lang w:eastAsia="zh-CN"/>
        </w:rPr>
      </w:pPr>
    </w:p>
    <w:p w14:paraId="7C1F9FCD">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   录</w:t>
      </w:r>
    </w:p>
    <w:p w14:paraId="78CF3331">
      <w:pPr>
        <w:widowControl w:val="0"/>
        <w:jc w:val="both"/>
        <w:rPr>
          <w:rFonts w:ascii="Calibri" w:hAnsi="Calibri" w:eastAsia="宋体" w:cs="宋体"/>
          <w:b/>
          <w:kern w:val="2"/>
          <w:lang w:eastAsia="zh-CN"/>
        </w:rPr>
      </w:pPr>
      <w:r>
        <w:rPr>
          <w:rFonts w:hint="eastAsia" w:ascii="Calibri" w:hAnsi="Calibri" w:eastAsia="宋体" w:cs="宋体"/>
          <w:b/>
          <w:kern w:val="2"/>
          <w:lang w:eastAsia="zh-CN"/>
        </w:rPr>
        <w:t>第一册  专用条款</w:t>
      </w:r>
    </w:p>
    <w:p w14:paraId="5DEDE58B">
      <w:pPr>
        <w:widowControl w:val="0"/>
        <w:ind w:left="720" w:leftChars="300" w:firstLine="472" w:firstLineChars="196"/>
        <w:jc w:val="both"/>
        <w:rPr>
          <w:rFonts w:ascii="Calibri" w:hAnsi="Calibri" w:eastAsia="宋体" w:cs="宋体"/>
          <w:b/>
          <w:kern w:val="2"/>
          <w:lang w:eastAsia="zh-CN"/>
        </w:rPr>
      </w:pPr>
      <w:r>
        <w:rPr>
          <w:rFonts w:hint="eastAsia" w:ascii="Calibri" w:hAnsi="Calibri" w:eastAsia="宋体" w:cs="宋体"/>
          <w:b/>
          <w:kern w:val="2"/>
          <w:lang w:eastAsia="zh-CN"/>
        </w:rPr>
        <w:tab/>
      </w:r>
      <w:r>
        <w:rPr>
          <w:rFonts w:hint="eastAsia" w:ascii="宋体" w:hAnsi="宋体" w:eastAsia="宋体" w:cs="宋体"/>
          <w:kern w:val="2"/>
          <w:sz w:val="21"/>
          <w:szCs w:val="21"/>
          <w:lang w:eastAsia="zh-CN"/>
        </w:rPr>
        <w:t>关键信息</w:t>
      </w:r>
    </w:p>
    <w:p w14:paraId="45B9ACC1">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招标公告</w:t>
      </w:r>
    </w:p>
    <w:p w14:paraId="0C564F0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对通用条款的补充内容及其他关键信息</w:t>
      </w:r>
    </w:p>
    <w:p w14:paraId="666118E3">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第三章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用户需求书</w:t>
      </w:r>
    </w:p>
    <w:p w14:paraId="69464279">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第四章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投标文件组成要求及格式</w:t>
      </w:r>
    </w:p>
    <w:p w14:paraId="70D47ED0">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合同条款及格式</w:t>
      </w:r>
    </w:p>
    <w:p w14:paraId="0E16F084">
      <w:pPr>
        <w:widowControl w:val="0"/>
        <w:jc w:val="both"/>
        <w:rPr>
          <w:rFonts w:ascii="Calibri" w:hAnsi="Calibri" w:eastAsia="宋体" w:cs="宋体"/>
          <w:b/>
          <w:kern w:val="2"/>
          <w:szCs w:val="22"/>
          <w:lang w:eastAsia="zh-CN"/>
        </w:rPr>
      </w:pPr>
    </w:p>
    <w:p w14:paraId="5C4FA7D4">
      <w:pPr>
        <w:widowControl w:val="0"/>
        <w:jc w:val="both"/>
        <w:rPr>
          <w:rFonts w:ascii="Calibri" w:hAnsi="Calibri" w:eastAsia="宋体" w:cs="宋体"/>
          <w:b/>
          <w:kern w:val="2"/>
          <w:lang w:eastAsia="zh-CN"/>
        </w:rPr>
      </w:pPr>
      <w:r>
        <w:rPr>
          <w:rFonts w:hint="eastAsia" w:ascii="Calibri" w:hAnsi="Calibri" w:eastAsia="宋体" w:cs="宋体"/>
          <w:b/>
          <w:kern w:val="2"/>
          <w:lang w:eastAsia="zh-CN"/>
        </w:rPr>
        <w:t>第二册  通用条款</w:t>
      </w:r>
    </w:p>
    <w:p w14:paraId="1F808022">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总则</w:t>
      </w:r>
    </w:p>
    <w:p w14:paraId="10EFB359">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招标文件</w:t>
      </w:r>
    </w:p>
    <w:p w14:paraId="25C8B9FD">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投标文件的编制</w:t>
      </w:r>
    </w:p>
    <w:p w14:paraId="1D21FB8D">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投标文件的递交</w:t>
      </w:r>
    </w:p>
    <w:p w14:paraId="1BEC6541">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开标</w:t>
      </w:r>
    </w:p>
    <w:p w14:paraId="23B311FF">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第六章  评审要求</w:t>
      </w:r>
    </w:p>
    <w:p w14:paraId="3D7E1C39">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第七章  评审程序及评审方法</w:t>
      </w:r>
    </w:p>
    <w:p w14:paraId="747DCD66">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第八章  定标及公示</w:t>
      </w:r>
    </w:p>
    <w:p w14:paraId="564BFE71">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第九章  公开招标失败的后续处理</w:t>
      </w:r>
    </w:p>
    <w:p w14:paraId="44C8B9F5">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第十章  合同的授予与备案</w:t>
      </w:r>
    </w:p>
    <w:p w14:paraId="10B8D962">
      <w:pPr>
        <w:widowControl w:val="0"/>
        <w:ind w:left="720" w:leftChars="300" w:firstLine="411" w:firstLineChars="196"/>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 xml:space="preserve"> 第十一章  质疑处理</w:t>
      </w:r>
    </w:p>
    <w:p w14:paraId="0A3AE1CA">
      <w:pPr>
        <w:widowControl w:val="0"/>
        <w:jc w:val="both"/>
        <w:rPr>
          <w:rFonts w:ascii="Calibri" w:hAnsi="Calibri" w:eastAsia="宋体" w:cs="宋体"/>
          <w:kern w:val="2"/>
          <w:sz w:val="21"/>
          <w:szCs w:val="22"/>
          <w:lang w:eastAsia="zh-CN"/>
        </w:rPr>
      </w:pPr>
    </w:p>
    <w:p w14:paraId="40116895">
      <w:pPr>
        <w:widowControl w:val="0"/>
        <w:jc w:val="both"/>
        <w:rPr>
          <w:rFonts w:ascii="Calibri" w:hAnsi="Calibri" w:eastAsia="宋体" w:cs="宋体"/>
          <w:kern w:val="2"/>
          <w:sz w:val="21"/>
          <w:szCs w:val="22"/>
          <w:lang w:eastAsia="zh-CN"/>
        </w:rPr>
      </w:pPr>
    </w:p>
    <w:p w14:paraId="1B8FEEBE">
      <w:pPr>
        <w:rPr>
          <w:rFonts w:ascii="宋体" w:hAnsi="宋体" w:eastAsia="黑体"/>
          <w:b/>
          <w:bCs/>
          <w:color w:val="0000FF"/>
          <w:kern w:val="44"/>
          <w:sz w:val="36"/>
          <w:szCs w:val="44"/>
          <w:lang w:eastAsia="zh-CN"/>
        </w:rPr>
      </w:pPr>
      <w:r>
        <w:rPr>
          <w:rFonts w:ascii="宋体" w:hAnsi="宋体" w:eastAsia="黑体"/>
          <w:b/>
          <w:bCs/>
          <w:color w:val="0000FF"/>
          <w:kern w:val="44"/>
          <w:sz w:val="36"/>
          <w:szCs w:val="44"/>
          <w:lang w:eastAsia="zh-CN"/>
        </w:rPr>
        <w:br w:type="page"/>
      </w:r>
    </w:p>
    <w:p w14:paraId="0FF37E49">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7C1254A8">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36099684">
      <w:pPr>
        <w:widowControl w:val="0"/>
        <w:snapToGrid w:val="0"/>
        <w:spacing w:line="300" w:lineRule="exact"/>
        <w:jc w:val="both"/>
        <w:rPr>
          <w:rFonts w:ascii="Arial" w:hAnsi="Arial" w:eastAsia="宋体"/>
          <w:kern w:val="2"/>
          <w:lang w:eastAsia="zh-CN"/>
        </w:rPr>
      </w:pPr>
      <w:r>
        <w:rPr>
          <w:rFonts w:hint="eastAsia" w:ascii="Arial" w:hAnsi="Arial" w:eastAsia="宋体"/>
          <w:b/>
          <w:bCs/>
          <w:kern w:val="2"/>
          <w:lang w:eastAsia="zh-CN"/>
        </w:rPr>
        <w:t>申请人的资格要求：</w:t>
      </w:r>
    </w:p>
    <w:p w14:paraId="234505DB">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1）具有独立法人资格或是具有独立承担民事责任能力的其它组织（提供营业执照或事业单位法人证书等证明资料扫描件，原件备查，分支机构参与投标的，须同时提供总公司盖章的授权文件且授权书载明其民事责任由总公司承担，总公司与分支机构或两家（含）以上分支机构不允许同时投标）。</w:t>
      </w:r>
    </w:p>
    <w:p w14:paraId="45336063">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2）本项目不接受联合体投标，不接受投标人选用进口产品参与投标，详见招标文件“第三章 用户需求书”。</w:t>
      </w:r>
    </w:p>
    <w:p w14:paraId="073DF602">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3）参与本项目政府采购活动时不存在被有关部门禁止参与政府采购活动且在有效期内的情况（由供应商在《政府采购投标及履约承诺函》中作出声明）。</w:t>
      </w:r>
    </w:p>
    <w:p w14:paraId="72E7095F">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4）具备《中华人民共和国政府采购法》第二十二条第一款的条件（由供应商在《政府采购投标及履约承诺函》中作出声明）。</w:t>
      </w:r>
    </w:p>
    <w:p w14:paraId="7FCCC845">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5）未被列入失信被执行人、重大税收违法案件当事人名单、政府采购严重违法失信行为记录名单（由供应商在《政府采购投标及履约承诺函》中作出声明）；</w:t>
      </w:r>
    </w:p>
    <w:p w14:paraId="5359F53D">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6）不存在《深圳市财政局政府采购供应商信用信息管理办法》（深财规〔2023〕3号）列明的严重违法失信行为（由供应商在《政府采购投标及履约承诺函》中作出声明）；</w:t>
      </w:r>
    </w:p>
    <w:p w14:paraId="1E7E7A49">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7）为采购项目提供整体设计、规范编制或者项目管理、监理、检测等服务的供应商，不得再参加该采购项目的其他采购活动（由供应商在《政府采购投标及履约承诺函》中作出声明）；</w:t>
      </w:r>
    </w:p>
    <w:p w14:paraId="6861267C">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31834B2">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9）本项目全部专门面向中小企业采购：否。</w:t>
      </w:r>
    </w:p>
    <w:p w14:paraId="4D28E497">
      <w:pPr>
        <w:widowControl w:val="0"/>
        <w:snapToGrid w:val="0"/>
        <w:spacing w:line="360" w:lineRule="exact"/>
        <w:ind w:firstLine="482" w:firstLineChars="200"/>
        <w:jc w:val="both"/>
        <w:rPr>
          <w:rFonts w:ascii="宋体" w:hAnsi="宋体" w:eastAsia="宋体" w:cs="宋体"/>
          <w:b/>
          <w:kern w:val="2"/>
          <w:lang w:eastAsia="zh-CN"/>
        </w:rPr>
      </w:pPr>
      <w:r>
        <w:rPr>
          <w:rFonts w:hint="eastAsia" w:ascii="宋体" w:hAnsi="宋体" w:eastAsia="宋体" w:cs="宋体"/>
          <w:b/>
          <w:kern w:val="2"/>
          <w:lang w:eastAsia="zh-CN"/>
        </w:rPr>
        <w:t>10）具有有效期内食品经营许可证（提供证书扫描件）。</w:t>
      </w:r>
    </w:p>
    <w:p w14:paraId="6807C228">
      <w:pPr>
        <w:widowControl w:val="0"/>
        <w:snapToGrid w:val="0"/>
        <w:spacing w:line="36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注：</w:t>
      </w:r>
    </w:p>
    <w:p w14:paraId="4828B4F9">
      <w:pPr>
        <w:widowControl w:val="0"/>
        <w:snapToGrid w:val="0"/>
        <w:spacing w:line="36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C3CFD18">
      <w:pPr>
        <w:widowControl w:val="0"/>
        <w:snapToGrid w:val="0"/>
        <w:spacing w:line="36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（2）供应商投标（上传投标文件）必须先行办理注册手续，具体请按照本公告相关内容指引办理。</w:t>
      </w:r>
    </w:p>
    <w:p w14:paraId="7ADF315B">
      <w:pPr>
        <w:widowControl w:val="0"/>
        <w:snapToGrid w:val="0"/>
        <w:spacing w:line="300" w:lineRule="auto"/>
        <w:ind w:firstLine="480" w:firstLineChars="200"/>
        <w:jc w:val="both"/>
        <w:rPr>
          <w:rFonts w:ascii="Arial" w:hAnsi="Arial" w:eastAsia="宋体"/>
          <w:kern w:val="2"/>
          <w:lang w:eastAsia="zh-CN"/>
        </w:rPr>
      </w:pPr>
    </w:p>
    <w:p w14:paraId="09F6EEB2">
      <w:pPr>
        <w:widowControl w:val="0"/>
        <w:spacing w:after="60" w:afterLines="25"/>
        <w:jc w:val="center"/>
        <w:rPr>
          <w:rFonts w:ascii="Calibri" w:hAnsi="Calibri" w:eastAsia="宋体" w:cs="宋体"/>
          <w:b/>
          <w:color w:val="FF0000"/>
          <w:kern w:val="2"/>
          <w:lang w:eastAsia="zh-CN"/>
        </w:rPr>
      </w:pPr>
      <w:r>
        <w:rPr>
          <w:rFonts w:hint="eastAsia" w:ascii="Arial" w:hAnsi="Arial" w:eastAsia="宋体"/>
          <w:b/>
          <w:color w:val="FF0000"/>
          <w:kern w:val="2"/>
          <w:lang w:eastAsia="zh-CN"/>
        </w:rPr>
        <w:t>完整公告内容以网站公布信息为准，详见：</w:t>
      </w:r>
      <w:r>
        <w:rPr>
          <w:rFonts w:hint="eastAsia" w:ascii="Calibri" w:hAnsi="Calibri" w:eastAsia="宋体" w:cs="宋体"/>
          <w:b/>
          <w:color w:val="FF0000"/>
          <w:kern w:val="2"/>
          <w:lang w:eastAsia="zh-CN"/>
        </w:rPr>
        <w:t>深圳交易集团官网（https://www.szexgrp.com/jyfw/zfcg-view.html?id=zfcg）或深圳政府采购自行采购系统网（</w:t>
      </w:r>
      <w:r>
        <w:rPr>
          <w:rFonts w:ascii="Calibri" w:hAnsi="Calibri" w:eastAsia="宋体" w:cs="宋体"/>
          <w:b/>
          <w:color w:val="FF0000"/>
          <w:kern w:val="2"/>
          <w:lang w:eastAsia="zh-CN"/>
        </w:rPr>
        <w:t>https://zxcg.szggzy.com/home/index.html</w:t>
      </w:r>
      <w:r>
        <w:rPr>
          <w:rFonts w:hint="eastAsia" w:ascii="Calibri" w:hAnsi="Calibri" w:eastAsia="宋体" w:cs="宋体"/>
          <w:b/>
          <w:color w:val="FF0000"/>
          <w:kern w:val="2"/>
          <w:lang w:eastAsia="zh-CN"/>
        </w:rPr>
        <w:t>）</w:t>
      </w:r>
    </w:p>
    <w:p w14:paraId="59726E0E">
      <w:pPr>
        <w:rPr>
          <w:rFonts w:ascii="Arial" w:hAnsi="Arial" w:eastAsia="宋体"/>
          <w:b/>
          <w:color w:val="FF0000"/>
          <w:kern w:val="2"/>
          <w:sz w:val="32"/>
          <w:szCs w:val="32"/>
          <w:lang w:eastAsia="zh-CN"/>
        </w:rPr>
      </w:pPr>
    </w:p>
    <w:p w14:paraId="420B9149">
      <w:pPr>
        <w:pStyle w:val="24"/>
        <w:rPr>
          <w:rFonts w:ascii="Arial" w:hAnsi="Arial"/>
          <w:b/>
          <w:color w:val="FF0000"/>
          <w:sz w:val="32"/>
          <w:szCs w:val="32"/>
        </w:rPr>
      </w:pPr>
    </w:p>
    <w:p w14:paraId="0B777597">
      <w:pPr>
        <w:pStyle w:val="24"/>
        <w:rPr>
          <w:rFonts w:ascii="Arial" w:hAnsi="Arial"/>
          <w:b/>
          <w:color w:val="FF0000"/>
          <w:sz w:val="32"/>
          <w:szCs w:val="32"/>
        </w:rPr>
      </w:pPr>
    </w:p>
    <w:p w14:paraId="56D6415A">
      <w:pPr>
        <w:pStyle w:val="24"/>
        <w:rPr>
          <w:rFonts w:ascii="Arial" w:hAnsi="Arial"/>
          <w:b/>
          <w:color w:val="FF0000"/>
          <w:sz w:val="32"/>
          <w:szCs w:val="32"/>
        </w:rPr>
      </w:pPr>
    </w:p>
    <w:p w14:paraId="629301B9">
      <w:pPr>
        <w:pStyle w:val="24"/>
        <w:rPr>
          <w:rFonts w:ascii="Arial" w:hAnsi="Arial"/>
          <w:b/>
          <w:color w:val="FF0000"/>
          <w:sz w:val="32"/>
          <w:szCs w:val="32"/>
        </w:rPr>
      </w:pPr>
    </w:p>
    <w:p w14:paraId="65A4CFB3">
      <w:pPr>
        <w:pStyle w:val="24"/>
        <w:rPr>
          <w:rFonts w:ascii="Arial" w:hAnsi="Arial"/>
          <w:b/>
          <w:color w:val="FF0000"/>
          <w:sz w:val="32"/>
          <w:szCs w:val="32"/>
        </w:rPr>
      </w:pPr>
    </w:p>
    <w:p w14:paraId="4E05F83A">
      <w:pPr>
        <w:pStyle w:val="24"/>
        <w:rPr>
          <w:rFonts w:ascii="Arial" w:hAnsi="Arial"/>
          <w:b/>
          <w:color w:val="FF0000"/>
          <w:sz w:val="32"/>
          <w:szCs w:val="32"/>
        </w:rPr>
      </w:pPr>
    </w:p>
    <w:p w14:paraId="411D55A4">
      <w:pPr>
        <w:pStyle w:val="24"/>
        <w:rPr>
          <w:rFonts w:ascii="Arial" w:hAnsi="Arial"/>
          <w:b/>
          <w:color w:val="FF0000"/>
          <w:sz w:val="32"/>
          <w:szCs w:val="32"/>
        </w:rPr>
      </w:pPr>
    </w:p>
    <w:p w14:paraId="50EA1D66">
      <w:pPr>
        <w:pStyle w:val="24"/>
        <w:rPr>
          <w:rFonts w:ascii="Arial" w:hAnsi="Arial"/>
          <w:b/>
          <w:color w:val="FF0000"/>
          <w:sz w:val="32"/>
          <w:szCs w:val="32"/>
        </w:rPr>
      </w:pPr>
    </w:p>
    <w:p w14:paraId="0B5216CB">
      <w:pPr>
        <w:pStyle w:val="24"/>
        <w:rPr>
          <w:rFonts w:ascii="Arial" w:hAnsi="Arial"/>
          <w:b/>
          <w:color w:val="FF0000"/>
          <w:sz w:val="32"/>
          <w:szCs w:val="32"/>
        </w:rPr>
      </w:pPr>
    </w:p>
    <w:p w14:paraId="65E855E3">
      <w:pPr>
        <w:pStyle w:val="24"/>
        <w:rPr>
          <w:rFonts w:ascii="Arial" w:hAnsi="Arial"/>
          <w:b/>
          <w:color w:val="FF0000"/>
          <w:sz w:val="32"/>
          <w:szCs w:val="32"/>
        </w:rPr>
      </w:pPr>
    </w:p>
    <w:p w14:paraId="4484B34B">
      <w:pPr>
        <w:pStyle w:val="24"/>
        <w:rPr>
          <w:rFonts w:ascii="Arial" w:hAnsi="Arial"/>
          <w:b/>
          <w:color w:val="FF0000"/>
          <w:sz w:val="32"/>
          <w:szCs w:val="32"/>
        </w:rPr>
      </w:pPr>
    </w:p>
    <w:p w14:paraId="3E141418">
      <w:pPr>
        <w:pStyle w:val="24"/>
        <w:rPr>
          <w:rFonts w:ascii="Arial" w:hAnsi="Arial"/>
          <w:b/>
          <w:color w:val="FF0000"/>
          <w:sz w:val="32"/>
          <w:szCs w:val="32"/>
        </w:rPr>
      </w:pPr>
    </w:p>
    <w:p w14:paraId="6607059D">
      <w:pPr>
        <w:pStyle w:val="24"/>
        <w:rPr>
          <w:rFonts w:ascii="Arial" w:hAnsi="Arial"/>
          <w:b/>
          <w:color w:val="FF0000"/>
          <w:sz w:val="32"/>
          <w:szCs w:val="32"/>
        </w:rPr>
      </w:pPr>
    </w:p>
    <w:p w14:paraId="49BC45A1">
      <w:pPr>
        <w:pStyle w:val="24"/>
        <w:rPr>
          <w:rFonts w:ascii="Arial" w:hAnsi="Arial"/>
          <w:b/>
          <w:color w:val="FF0000"/>
          <w:sz w:val="32"/>
          <w:szCs w:val="32"/>
        </w:rPr>
      </w:pPr>
    </w:p>
    <w:p w14:paraId="346425B8">
      <w:pPr>
        <w:pStyle w:val="24"/>
        <w:rPr>
          <w:rFonts w:ascii="Arial" w:hAnsi="Arial"/>
          <w:b/>
          <w:color w:val="FF0000"/>
          <w:sz w:val="32"/>
          <w:szCs w:val="32"/>
        </w:rPr>
      </w:pPr>
    </w:p>
    <w:p w14:paraId="1673E70E">
      <w:pPr>
        <w:pStyle w:val="24"/>
        <w:rPr>
          <w:rFonts w:ascii="Arial" w:hAnsi="Arial"/>
          <w:b/>
          <w:color w:val="FF0000"/>
          <w:sz w:val="32"/>
          <w:szCs w:val="32"/>
        </w:rPr>
      </w:pPr>
    </w:p>
    <w:p w14:paraId="733A2695">
      <w:pPr>
        <w:pStyle w:val="24"/>
        <w:rPr>
          <w:rFonts w:ascii="Arial" w:hAnsi="Arial"/>
          <w:b/>
          <w:color w:val="FF0000"/>
          <w:sz w:val="32"/>
          <w:szCs w:val="32"/>
        </w:rPr>
      </w:pPr>
    </w:p>
    <w:p w14:paraId="6901EF9D">
      <w:pPr>
        <w:pStyle w:val="24"/>
        <w:rPr>
          <w:rFonts w:ascii="Arial" w:hAnsi="Arial"/>
          <w:b/>
          <w:color w:val="FF0000"/>
          <w:sz w:val="32"/>
          <w:szCs w:val="32"/>
        </w:rPr>
      </w:pPr>
    </w:p>
    <w:p w14:paraId="6CF3B834">
      <w:pPr>
        <w:pStyle w:val="24"/>
        <w:rPr>
          <w:rFonts w:ascii="Arial" w:hAnsi="Arial"/>
          <w:b/>
          <w:color w:val="FF0000"/>
          <w:sz w:val="32"/>
          <w:szCs w:val="32"/>
        </w:rPr>
      </w:pPr>
    </w:p>
    <w:p w14:paraId="6A8FB369">
      <w:pPr>
        <w:pStyle w:val="24"/>
        <w:rPr>
          <w:rFonts w:ascii="Arial" w:hAnsi="Arial"/>
          <w:b/>
          <w:color w:val="FF0000"/>
          <w:sz w:val="32"/>
          <w:szCs w:val="32"/>
        </w:rPr>
      </w:pPr>
    </w:p>
    <w:p w14:paraId="636F2414">
      <w:pPr>
        <w:pStyle w:val="24"/>
        <w:rPr>
          <w:rFonts w:ascii="Arial" w:hAnsi="Arial"/>
          <w:b/>
          <w:color w:val="FF0000"/>
          <w:sz w:val="32"/>
          <w:szCs w:val="32"/>
        </w:rPr>
      </w:pPr>
    </w:p>
    <w:p w14:paraId="4AA9B69E">
      <w:pPr>
        <w:pStyle w:val="24"/>
        <w:rPr>
          <w:rFonts w:ascii="Arial" w:hAnsi="Arial"/>
          <w:b/>
          <w:color w:val="FF0000"/>
          <w:sz w:val="32"/>
          <w:szCs w:val="32"/>
        </w:rPr>
      </w:pPr>
    </w:p>
    <w:p w14:paraId="56600A29">
      <w:pPr>
        <w:pStyle w:val="24"/>
        <w:rPr>
          <w:rFonts w:ascii="Arial" w:hAnsi="Arial"/>
          <w:b/>
          <w:color w:val="FF0000"/>
          <w:sz w:val="32"/>
          <w:szCs w:val="32"/>
        </w:rPr>
      </w:pPr>
    </w:p>
    <w:p w14:paraId="7978D6B7">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7" w:name="_Hlk71926094"/>
      <w:r>
        <w:rPr>
          <w:rFonts w:hint="eastAsia" w:ascii="宋体" w:hAnsi="宋体" w:eastAsia="宋体"/>
          <w:b/>
          <w:bCs/>
          <w:sz w:val="28"/>
          <w:szCs w:val="28"/>
          <w:lang w:eastAsia="zh-CN"/>
        </w:rPr>
        <w:t>对通用条款的补充内容及其他关键信息</w:t>
      </w:r>
      <w:bookmarkEnd w:id="7"/>
    </w:p>
    <w:p w14:paraId="48C09537">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8" w:name="_Toc73521635"/>
      <w:bookmarkStart w:id="9" w:name="_Toc73518117"/>
      <w:bookmarkStart w:id="10" w:name="_Toc73521547"/>
      <w:bookmarkStart w:id="11" w:name="_Toc101074876"/>
      <w:bookmarkStart w:id="12" w:name="_Toc60560625"/>
      <w:bookmarkStart w:id="13" w:name="_Toc73517639"/>
      <w:bookmarkStart w:id="14" w:name="_Toc60631620"/>
      <w:bookmarkStart w:id="15" w:name="_Toc100052364"/>
      <w:r>
        <w:rPr>
          <w:rFonts w:hint="eastAsia" w:ascii="宋体" w:hAnsi="宋体" w:eastAsia="宋体"/>
          <w:b/>
          <w:bCs/>
          <w:lang w:eastAsia="zh-CN"/>
        </w:rPr>
        <w:t>一、对通用条款的补充内容</w:t>
      </w:r>
    </w:p>
    <w:bookmarkEnd w:id="8"/>
    <w:bookmarkEnd w:id="9"/>
    <w:bookmarkEnd w:id="10"/>
    <w:bookmarkEnd w:id="11"/>
    <w:bookmarkEnd w:id="12"/>
    <w:bookmarkEnd w:id="13"/>
    <w:bookmarkEnd w:id="14"/>
    <w:bookmarkEnd w:id="15"/>
    <w:tbl>
      <w:tblPr>
        <w:tblStyle w:val="18"/>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643"/>
        <w:gridCol w:w="6286"/>
      </w:tblGrid>
      <w:tr w14:paraId="5298FE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78E24804">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通用条款序号</w:t>
            </w:r>
          </w:p>
        </w:tc>
        <w:tc>
          <w:tcPr>
            <w:tcW w:w="1694" w:type="dxa"/>
            <w:vAlign w:val="center"/>
          </w:tcPr>
          <w:p w14:paraId="3989119F">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涉及事项</w:t>
            </w:r>
          </w:p>
        </w:tc>
        <w:tc>
          <w:tcPr>
            <w:tcW w:w="6531" w:type="dxa"/>
            <w:vAlign w:val="center"/>
          </w:tcPr>
          <w:p w14:paraId="61387C45">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 xml:space="preserve">具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体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补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充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内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容</w:t>
            </w:r>
          </w:p>
        </w:tc>
      </w:tr>
      <w:tr w14:paraId="794B59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0013019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.1</w:t>
            </w:r>
          </w:p>
        </w:tc>
        <w:tc>
          <w:tcPr>
            <w:tcW w:w="1694" w:type="dxa"/>
            <w:vAlign w:val="center"/>
          </w:tcPr>
          <w:p w14:paraId="0B9FA8AB">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采购人</w:t>
            </w:r>
          </w:p>
        </w:tc>
        <w:tc>
          <w:tcPr>
            <w:tcW w:w="6531" w:type="dxa"/>
            <w:vAlign w:val="center"/>
          </w:tcPr>
          <w:p w14:paraId="44F0468A">
            <w:pPr>
              <w:widowControl w:val="0"/>
              <w:rPr>
                <w:rFonts w:ascii="宋体" w:hAnsi="宋体" w:eastAsia="宋体" w:cs="宋体"/>
                <w:kern w:val="2"/>
                <w:sz w:val="21"/>
                <w:szCs w:val="22"/>
                <w:lang w:eastAsia="zh-CN"/>
              </w:rPr>
            </w:pPr>
            <w:r>
              <w:rPr>
                <w:rFonts w:hint="eastAsia" w:ascii="宋体" w:hAnsi="宋体" w:eastAsia="宋体" w:cs="Arial"/>
                <w:b/>
                <w:kern w:val="2"/>
                <w:sz w:val="21"/>
                <w:szCs w:val="21"/>
                <w:lang w:eastAsia="zh-CN"/>
              </w:rPr>
              <w:t>深圳市第二高级中学深汕学校</w:t>
            </w:r>
          </w:p>
        </w:tc>
      </w:tr>
      <w:tr w14:paraId="1E3AB2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798F209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.2</w:t>
            </w:r>
          </w:p>
        </w:tc>
        <w:tc>
          <w:tcPr>
            <w:tcW w:w="1694" w:type="dxa"/>
            <w:vAlign w:val="center"/>
          </w:tcPr>
          <w:p w14:paraId="2CE112C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采购代理机构</w:t>
            </w:r>
          </w:p>
        </w:tc>
        <w:tc>
          <w:tcPr>
            <w:tcW w:w="6531" w:type="dxa"/>
            <w:vAlign w:val="center"/>
          </w:tcPr>
          <w:p w14:paraId="10954F9B">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本文件所述的“采购代理机构”</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深圳市</w:t>
            </w:r>
            <w:r>
              <w:rPr>
                <w:rFonts w:ascii="宋体" w:hAnsi="宋体" w:eastAsia="宋体" w:cs="Arial"/>
                <w:b/>
                <w:bCs/>
                <w:kern w:val="2"/>
                <w:sz w:val="21"/>
                <w:szCs w:val="21"/>
                <w:lang w:eastAsia="zh-CN"/>
              </w:rPr>
              <w:t>深汕交易有限公司</w:t>
            </w:r>
          </w:p>
        </w:tc>
      </w:tr>
      <w:tr w14:paraId="3E062C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7E37299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9</w:t>
            </w:r>
          </w:p>
        </w:tc>
        <w:tc>
          <w:tcPr>
            <w:tcW w:w="1694" w:type="dxa"/>
            <w:vAlign w:val="center"/>
          </w:tcPr>
          <w:p w14:paraId="57116AD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踏勘现场</w:t>
            </w:r>
          </w:p>
        </w:tc>
        <w:tc>
          <w:tcPr>
            <w:tcW w:w="6531" w:type="dxa"/>
            <w:vAlign w:val="center"/>
          </w:tcPr>
          <w:p w14:paraId="4C8D0B18">
            <w:pPr>
              <w:widowControl w:val="0"/>
              <w:snapToGrid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不组织</w:t>
            </w:r>
          </w:p>
        </w:tc>
      </w:tr>
      <w:tr w14:paraId="048842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29D268DD">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0</w:t>
            </w:r>
          </w:p>
        </w:tc>
        <w:tc>
          <w:tcPr>
            <w:tcW w:w="1694" w:type="dxa"/>
            <w:vAlign w:val="center"/>
          </w:tcPr>
          <w:p w14:paraId="4C35F22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标前会议</w:t>
            </w:r>
          </w:p>
        </w:tc>
        <w:tc>
          <w:tcPr>
            <w:tcW w:w="6531" w:type="dxa"/>
            <w:vAlign w:val="center"/>
          </w:tcPr>
          <w:p w14:paraId="796EFD41">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不组织</w:t>
            </w:r>
          </w:p>
        </w:tc>
      </w:tr>
      <w:tr w14:paraId="0148BC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7CFD7E7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3</w:t>
            </w:r>
          </w:p>
        </w:tc>
        <w:tc>
          <w:tcPr>
            <w:tcW w:w="1694" w:type="dxa"/>
            <w:vAlign w:val="center"/>
          </w:tcPr>
          <w:p w14:paraId="5E3FAC0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招标文件的澄清和修改</w:t>
            </w:r>
          </w:p>
        </w:tc>
        <w:tc>
          <w:tcPr>
            <w:tcW w:w="6531" w:type="dxa"/>
            <w:vAlign w:val="center"/>
          </w:tcPr>
          <w:p w14:paraId="7E3C6DC2">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对招标文件澄清/修改时间不晚于投标截止日三日前，投标人有义务在招标期间在采购代理机构网站浏览与本项目有关的澄清和修改信息。</w:t>
            </w:r>
          </w:p>
        </w:tc>
      </w:tr>
      <w:tr w14:paraId="039078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1F01E8F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0</w:t>
            </w:r>
          </w:p>
        </w:tc>
        <w:tc>
          <w:tcPr>
            <w:tcW w:w="1694" w:type="dxa"/>
            <w:vAlign w:val="center"/>
          </w:tcPr>
          <w:p w14:paraId="71CC06C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投标有效期</w:t>
            </w:r>
          </w:p>
        </w:tc>
        <w:tc>
          <w:tcPr>
            <w:tcW w:w="6531" w:type="dxa"/>
            <w:vAlign w:val="center"/>
          </w:tcPr>
          <w:p w14:paraId="4B4578ED">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投标有效期：从投标截止之日起</w:t>
            </w:r>
            <w:r>
              <w:rPr>
                <w:rFonts w:hint="eastAsia" w:ascii="宋体" w:hAnsi="宋体" w:eastAsia="宋体"/>
                <w:b/>
                <w:color w:val="0000FF"/>
                <w:kern w:val="2"/>
                <w:u w:val="single"/>
                <w:lang w:eastAsia="zh-CN"/>
              </w:rPr>
              <w:t xml:space="preserve"> 120 </w:t>
            </w:r>
            <w:r>
              <w:rPr>
                <w:rFonts w:hint="eastAsia" w:ascii="宋体" w:hAnsi="宋体" w:eastAsia="宋体" w:cs="Arial"/>
                <w:kern w:val="2"/>
                <w:sz w:val="21"/>
                <w:szCs w:val="21"/>
                <w:lang w:eastAsia="zh-CN"/>
              </w:rPr>
              <w:t>个日历日。</w:t>
            </w:r>
          </w:p>
        </w:tc>
      </w:tr>
      <w:tr w14:paraId="696521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0AE0C66D">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2</w:t>
            </w:r>
          </w:p>
        </w:tc>
        <w:tc>
          <w:tcPr>
            <w:tcW w:w="1694" w:type="dxa"/>
            <w:vAlign w:val="center"/>
          </w:tcPr>
          <w:p w14:paraId="1D1C890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投标人的替代方案</w:t>
            </w:r>
          </w:p>
        </w:tc>
        <w:tc>
          <w:tcPr>
            <w:tcW w:w="6531" w:type="dxa"/>
            <w:vAlign w:val="center"/>
          </w:tcPr>
          <w:p w14:paraId="3710C3E4">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不接受</w:t>
            </w:r>
          </w:p>
        </w:tc>
      </w:tr>
      <w:tr w14:paraId="284352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1FB1AD6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5</w:t>
            </w:r>
          </w:p>
        </w:tc>
        <w:tc>
          <w:tcPr>
            <w:tcW w:w="1694" w:type="dxa"/>
            <w:vAlign w:val="center"/>
          </w:tcPr>
          <w:p w14:paraId="7B5EC94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投标文件的大小</w:t>
            </w:r>
          </w:p>
        </w:tc>
        <w:tc>
          <w:tcPr>
            <w:tcW w:w="6531" w:type="dxa"/>
            <w:vAlign w:val="center"/>
          </w:tcPr>
          <w:p w14:paraId="01605879">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投标文件大小不得超过 100MB</w:t>
            </w:r>
          </w:p>
        </w:tc>
      </w:tr>
      <w:tr w14:paraId="0643A6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5A37BDA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6</w:t>
            </w:r>
          </w:p>
        </w:tc>
        <w:tc>
          <w:tcPr>
            <w:tcW w:w="1694" w:type="dxa"/>
            <w:vAlign w:val="center"/>
          </w:tcPr>
          <w:p w14:paraId="66DCF61E">
            <w:pPr>
              <w:widowControl w:val="0"/>
              <w:jc w:val="center"/>
              <w:rPr>
                <w:rFonts w:ascii="宋体" w:hAnsi="宋体" w:eastAsia="宋体" w:cs="宋体"/>
                <w:kern w:val="2"/>
                <w:sz w:val="21"/>
                <w:szCs w:val="22"/>
                <w:lang w:eastAsia="zh-CN"/>
              </w:rPr>
            </w:pPr>
            <w:bookmarkStart w:id="16" w:name="_Hlk71664860"/>
            <w:r>
              <w:rPr>
                <w:rFonts w:hint="eastAsia" w:ascii="宋体" w:hAnsi="宋体" w:eastAsia="宋体" w:cs="宋体"/>
                <w:kern w:val="2"/>
                <w:sz w:val="21"/>
                <w:szCs w:val="22"/>
                <w:lang w:eastAsia="zh-CN"/>
              </w:rPr>
              <w:t>样品、现场演示、方案讲解</w:t>
            </w:r>
            <w:bookmarkEnd w:id="16"/>
          </w:p>
        </w:tc>
        <w:tc>
          <w:tcPr>
            <w:tcW w:w="6531" w:type="dxa"/>
            <w:vAlign w:val="center"/>
          </w:tcPr>
          <w:p w14:paraId="19EDAD3D">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如有样品、演示、方案讲解，具体安排见第三章 用户需求书相关要求</w:t>
            </w:r>
          </w:p>
        </w:tc>
      </w:tr>
      <w:tr w14:paraId="15821D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216020E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7</w:t>
            </w:r>
          </w:p>
        </w:tc>
        <w:tc>
          <w:tcPr>
            <w:tcW w:w="1694" w:type="dxa"/>
            <w:vAlign w:val="center"/>
          </w:tcPr>
          <w:p w14:paraId="014EAA6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评审方法</w:t>
            </w:r>
          </w:p>
        </w:tc>
        <w:tc>
          <w:tcPr>
            <w:tcW w:w="6531" w:type="dxa"/>
            <w:vAlign w:val="center"/>
          </w:tcPr>
          <w:p w14:paraId="38ADA4C2">
            <w:pPr>
              <w:widowControl w:val="0"/>
              <w:rPr>
                <w:rFonts w:ascii="宋体" w:hAnsi="宋体" w:eastAsia="宋体" w:cs="宋体"/>
                <w:kern w:val="2"/>
                <w:sz w:val="21"/>
                <w:szCs w:val="22"/>
                <w:lang w:eastAsia="zh-CN"/>
              </w:rPr>
            </w:pPr>
            <w:r>
              <w:rPr>
                <w:rFonts w:hint="eastAsia" w:ascii="宋体" w:hAnsi="宋体" w:eastAsia="宋体" w:cs="宋体"/>
                <w:b/>
                <w:bCs/>
                <w:kern w:val="2"/>
                <w:sz w:val="21"/>
                <w:szCs w:val="22"/>
                <w:lang w:eastAsia="zh-CN"/>
              </w:rPr>
              <w:t>综合评分</w:t>
            </w:r>
            <w:r>
              <w:rPr>
                <w:rFonts w:ascii="宋体" w:hAnsi="宋体" w:eastAsia="宋体" w:cs="宋体"/>
                <w:b/>
                <w:bCs/>
                <w:kern w:val="2"/>
                <w:sz w:val="21"/>
                <w:szCs w:val="22"/>
                <w:lang w:eastAsia="zh-CN"/>
              </w:rPr>
              <w:t>法</w:t>
            </w:r>
          </w:p>
        </w:tc>
      </w:tr>
      <w:tr w14:paraId="511937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7A69966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8</w:t>
            </w:r>
          </w:p>
        </w:tc>
        <w:tc>
          <w:tcPr>
            <w:tcW w:w="1694" w:type="dxa"/>
            <w:vAlign w:val="center"/>
          </w:tcPr>
          <w:p w14:paraId="77A17E9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定标方法</w:t>
            </w:r>
          </w:p>
        </w:tc>
        <w:tc>
          <w:tcPr>
            <w:tcW w:w="6531" w:type="dxa"/>
            <w:vAlign w:val="center"/>
          </w:tcPr>
          <w:p w14:paraId="5213E100">
            <w:pPr>
              <w:widowControl w:val="0"/>
              <w:snapToGrid w:val="0"/>
              <w:jc w:val="both"/>
              <w:rPr>
                <w:rFonts w:ascii="宋体" w:hAnsi="宋体" w:eastAsia="宋体" w:cs="宋体"/>
                <w:b/>
                <w:bCs/>
                <w:kern w:val="2"/>
                <w:sz w:val="21"/>
                <w:szCs w:val="22"/>
                <w:highlight w:val="yellow"/>
                <w:lang w:eastAsia="zh-CN"/>
              </w:rPr>
            </w:pPr>
            <w:r>
              <w:rPr>
                <w:rFonts w:hint="eastAsia" w:ascii="宋体" w:hAnsi="宋体" w:eastAsia="宋体"/>
                <w:b/>
                <w:bCs/>
                <w:kern w:val="2"/>
                <w:sz w:val="21"/>
                <w:szCs w:val="21"/>
                <w:lang w:eastAsia="zh-CN"/>
              </w:rPr>
              <w:t>非评定分离</w:t>
            </w:r>
          </w:p>
        </w:tc>
      </w:tr>
      <w:tr w14:paraId="2D37FE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14801E4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w:t>
            </w:r>
            <w:r>
              <w:rPr>
                <w:rFonts w:ascii="宋体" w:hAnsi="宋体" w:eastAsia="宋体" w:cs="宋体"/>
                <w:kern w:val="2"/>
                <w:sz w:val="21"/>
                <w:szCs w:val="22"/>
                <w:lang w:eastAsia="zh-CN"/>
              </w:rPr>
              <w:t>6</w:t>
            </w:r>
          </w:p>
        </w:tc>
        <w:tc>
          <w:tcPr>
            <w:tcW w:w="1694" w:type="dxa"/>
            <w:vAlign w:val="center"/>
          </w:tcPr>
          <w:p w14:paraId="3CE821CD">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履约担保</w:t>
            </w:r>
          </w:p>
        </w:tc>
        <w:tc>
          <w:tcPr>
            <w:tcW w:w="6531" w:type="dxa"/>
            <w:vAlign w:val="center"/>
          </w:tcPr>
          <w:p w14:paraId="09BDE2E8">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不需要</w:t>
            </w:r>
          </w:p>
        </w:tc>
      </w:tr>
    </w:tbl>
    <w:p w14:paraId="60861F65">
      <w:pPr>
        <w:jc w:val="center"/>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备注：本表是通用条款相关条款的补充和明确，如与通用条款内容相冲突的，以本表为准。</w:t>
      </w:r>
    </w:p>
    <w:p w14:paraId="5A01865A">
      <w:pPr>
        <w:rPr>
          <w:rFonts w:ascii="宋体" w:hAnsi="宋体" w:eastAsia="宋体"/>
          <w:b/>
          <w:bCs/>
          <w:lang w:eastAsia="zh-CN"/>
        </w:rPr>
      </w:pPr>
      <w:r>
        <w:rPr>
          <w:rFonts w:ascii="宋体" w:hAnsi="宋体" w:eastAsia="宋体"/>
          <w:b/>
          <w:bCs/>
          <w:lang w:eastAsia="zh-CN"/>
        </w:rPr>
        <w:br w:type="page"/>
      </w:r>
    </w:p>
    <w:p w14:paraId="73AB7404">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683A092E">
      <w:pPr>
        <w:widowControl w:val="0"/>
        <w:tabs>
          <w:tab w:val="left" w:pos="720"/>
        </w:tabs>
        <w:jc w:val="both"/>
        <w:rPr>
          <w:rFonts w:ascii="黑体" w:hAnsi="宋体" w:eastAsia="黑体" w:cs="宋体"/>
          <w:kern w:val="2"/>
          <w:szCs w:val="22"/>
          <w:lang w:eastAsia="zh-CN"/>
        </w:rPr>
      </w:pPr>
      <w:r>
        <w:rPr>
          <w:rFonts w:hint="eastAsia" w:ascii="黑体" w:hAnsi="宋体" w:eastAsia="黑体" w:cs="宋体"/>
          <w:kern w:val="2"/>
          <w:szCs w:val="22"/>
          <w:lang w:eastAsia="zh-CN"/>
        </w:rPr>
        <w:t>（一）</w:t>
      </w:r>
      <w:r>
        <w:rPr>
          <w:rFonts w:hint="eastAsia" w:ascii="黑体" w:hAnsi="宋体" w:eastAsia="黑体" w:cs="宋体"/>
          <w:bCs/>
          <w:kern w:val="2"/>
          <w:szCs w:val="22"/>
          <w:lang w:eastAsia="zh-CN"/>
        </w:rPr>
        <w:t>与“对通用条款的补充内容”章节相关的事项</w:t>
      </w:r>
    </w:p>
    <w:p w14:paraId="0E9D3F31">
      <w:pPr>
        <w:widowControl w:val="0"/>
        <w:tabs>
          <w:tab w:val="left" w:pos="720"/>
        </w:tabs>
        <w:jc w:val="both"/>
        <w:rPr>
          <w:rFonts w:ascii="Calibri" w:hAnsi="Calibri" w:eastAsia="宋体" w:cs="宋体"/>
          <w:kern w:val="2"/>
          <w:sz w:val="21"/>
          <w:szCs w:val="22"/>
          <w:lang w:eastAsia="zh-CN"/>
        </w:rPr>
      </w:pPr>
      <w:r>
        <w:rPr>
          <w:rFonts w:hint="eastAsia" w:ascii="黑体" w:hAnsi="宋体" w:eastAsia="黑体" w:cs="宋体"/>
          <w:bCs/>
          <w:kern w:val="2"/>
          <w:szCs w:val="22"/>
          <w:lang w:eastAsia="zh-CN"/>
        </w:rPr>
        <w:t>1、评标定标信息</w:t>
      </w:r>
    </w:p>
    <w:p w14:paraId="68EE18D2">
      <w:pPr>
        <w:jc w:val="center"/>
        <w:rPr>
          <w:b/>
          <w:highlight w:val="yellow"/>
          <w:lang w:eastAsia="zh-CN"/>
        </w:rPr>
      </w:pPr>
      <w:r>
        <w:rPr>
          <w:rFonts w:hint="eastAsia"/>
          <w:b/>
          <w:highlight w:val="yellow"/>
          <w:lang w:eastAsia="zh-CN"/>
        </w:rPr>
        <w:t>非评定分离项目</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EDE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4DAF43A">
            <w:pPr>
              <w:widowControl w:val="0"/>
              <w:jc w:val="center"/>
              <w:rPr>
                <w:rFonts w:eastAsia="宋体"/>
              </w:rPr>
            </w:pPr>
            <w:r>
              <w:rPr>
                <w:rFonts w:hint="eastAsia" w:eastAsia="宋体"/>
              </w:rPr>
              <w:t>评标方法</w:t>
            </w:r>
          </w:p>
        </w:tc>
        <w:tc>
          <w:tcPr>
            <w:tcW w:w="4265" w:type="dxa"/>
          </w:tcPr>
          <w:p w14:paraId="5C19DCA4">
            <w:pPr>
              <w:widowControl w:val="0"/>
              <w:jc w:val="center"/>
              <w:rPr>
                <w:rFonts w:eastAsia="宋体"/>
              </w:rPr>
            </w:pPr>
            <w:r>
              <w:rPr>
                <w:rFonts w:hint="eastAsia" w:eastAsia="宋体"/>
              </w:rPr>
              <w:t>综合评分法</w:t>
            </w:r>
          </w:p>
        </w:tc>
      </w:tr>
      <w:tr w14:paraId="57D7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9CCDC6E">
            <w:pPr>
              <w:widowControl w:val="0"/>
              <w:jc w:val="center"/>
              <w:rPr>
                <w:rFonts w:eastAsia="宋体"/>
                <w:lang w:eastAsia="zh-CN"/>
              </w:rPr>
            </w:pPr>
            <w:r>
              <w:rPr>
                <w:rFonts w:hint="eastAsia" w:eastAsia="宋体"/>
                <w:lang w:eastAsia="zh-CN"/>
              </w:rPr>
              <w:t>候选中标供应商家数</w:t>
            </w:r>
          </w:p>
        </w:tc>
        <w:tc>
          <w:tcPr>
            <w:tcW w:w="4265" w:type="dxa"/>
          </w:tcPr>
          <w:p w14:paraId="457A018D">
            <w:pPr>
              <w:widowControl w:val="0"/>
              <w:jc w:val="center"/>
              <w:rPr>
                <w:rFonts w:eastAsia="宋体"/>
              </w:rPr>
            </w:pPr>
            <w:r>
              <w:rPr>
                <w:rFonts w:hint="eastAsia" w:eastAsia="宋体"/>
              </w:rPr>
              <w:t>3</w:t>
            </w:r>
          </w:p>
        </w:tc>
      </w:tr>
      <w:tr w14:paraId="38CE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CEB0136">
            <w:pPr>
              <w:widowControl w:val="0"/>
              <w:jc w:val="center"/>
              <w:rPr>
                <w:rFonts w:eastAsia="宋体"/>
              </w:rPr>
            </w:pPr>
            <w:r>
              <w:rPr>
                <w:rFonts w:hint="eastAsia" w:eastAsia="宋体"/>
              </w:rPr>
              <w:t>中标供应商家数</w:t>
            </w:r>
          </w:p>
        </w:tc>
        <w:tc>
          <w:tcPr>
            <w:tcW w:w="4265" w:type="dxa"/>
          </w:tcPr>
          <w:p w14:paraId="43924219">
            <w:pPr>
              <w:widowControl w:val="0"/>
              <w:jc w:val="center"/>
              <w:rPr>
                <w:rFonts w:eastAsia="宋体"/>
              </w:rPr>
            </w:pPr>
            <w:r>
              <w:rPr>
                <w:rFonts w:hint="eastAsia" w:eastAsia="宋体"/>
              </w:rPr>
              <w:t>1</w:t>
            </w:r>
          </w:p>
        </w:tc>
      </w:tr>
    </w:tbl>
    <w:p w14:paraId="39AE8855">
      <w:pPr>
        <w:widowControl w:val="0"/>
        <w:tabs>
          <w:tab w:val="left" w:pos="720"/>
        </w:tabs>
        <w:jc w:val="both"/>
        <w:rPr>
          <w:rFonts w:ascii="黑体" w:hAnsi="宋体" w:eastAsia="黑体" w:cs="宋体"/>
          <w:kern w:val="2"/>
          <w:szCs w:val="22"/>
          <w:lang w:eastAsia="zh-CN"/>
        </w:rPr>
      </w:pPr>
    </w:p>
    <w:p w14:paraId="5DC292D7">
      <w:pPr>
        <w:widowControl w:val="0"/>
        <w:tabs>
          <w:tab w:val="left" w:pos="720"/>
        </w:tabs>
        <w:jc w:val="both"/>
        <w:rPr>
          <w:rFonts w:ascii="黑体" w:hAnsi="宋体" w:eastAsia="黑体" w:cs="宋体"/>
          <w:kern w:val="2"/>
          <w:szCs w:val="22"/>
          <w:lang w:eastAsia="zh-CN"/>
        </w:rPr>
      </w:pPr>
      <w:r>
        <w:rPr>
          <w:rFonts w:hint="eastAsia" w:ascii="黑体" w:hAnsi="宋体" w:eastAsia="黑体" w:cs="宋体"/>
          <w:kern w:val="2"/>
          <w:szCs w:val="22"/>
          <w:lang w:eastAsia="zh-CN"/>
        </w:rPr>
        <w:t>（二）其他事项</w:t>
      </w:r>
    </w:p>
    <w:p w14:paraId="23AEC590">
      <w:pPr>
        <w:widowControl w:val="0"/>
        <w:ind w:firstLine="480" w:firstLineChars="200"/>
        <w:jc w:val="both"/>
        <w:rPr>
          <w:rFonts w:ascii="黑体" w:hAnsi="黑体" w:eastAsia="黑体" w:cs="黑体"/>
          <w:kern w:val="2"/>
          <w:lang w:eastAsia="zh-CN"/>
        </w:rPr>
      </w:pPr>
      <w:r>
        <w:rPr>
          <w:rFonts w:hint="eastAsia" w:ascii="黑体" w:hAnsi="黑体" w:eastAsia="黑体" w:cs="黑体"/>
          <w:kern w:val="2"/>
          <w:lang w:eastAsia="zh-CN"/>
        </w:rPr>
        <w:t>1、关于享受优惠政策的主体及价格扣除比例</w:t>
      </w:r>
    </w:p>
    <w:p w14:paraId="38CB75F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（1）专门面向中小企业采购的项目，不再执行价格扣除比例。</w:t>
      </w:r>
    </w:p>
    <w:p w14:paraId="30E84FE4">
      <w:pPr>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（2）非专门面向中小企业采购的项目，应执行价格扣除比例：供应商提供的服务全部由优惠主体承接，则对其投标总价给予</w:t>
      </w:r>
      <w:r>
        <w:rPr>
          <w:rFonts w:hint="eastAsia" w:ascii="宋体" w:hAnsi="宋体" w:eastAsia="宋体" w:cs="宋体"/>
          <w:color w:val="FF0000"/>
          <w:sz w:val="21"/>
          <w:szCs w:val="21"/>
          <w:u w:val="single"/>
          <w:lang w:eastAsia="zh-CN"/>
        </w:rPr>
        <w:t xml:space="preserve">  </w:t>
      </w:r>
      <w:r>
        <w:rPr>
          <w:rFonts w:ascii="宋体" w:hAnsi="宋体" w:eastAsia="宋体" w:cs="宋体"/>
          <w:color w:val="FF0000"/>
          <w:sz w:val="21"/>
          <w:szCs w:val="21"/>
          <w:u w:val="single"/>
          <w:lang w:eastAsia="zh-CN"/>
        </w:rPr>
        <w:t>10</w:t>
      </w:r>
      <w:r>
        <w:rPr>
          <w:rFonts w:hint="eastAsia" w:ascii="宋体" w:hAnsi="宋体" w:eastAsia="宋体" w:cs="宋体"/>
          <w:color w:val="FF0000"/>
          <w:sz w:val="21"/>
          <w:szCs w:val="21"/>
          <w:u w:val="single"/>
          <w:lang w:eastAsia="zh-CN"/>
        </w:rPr>
        <w:t xml:space="preserve">  %</w:t>
      </w:r>
      <w:r>
        <w:rPr>
          <w:rFonts w:hint="eastAsia" w:ascii="宋体" w:hAnsi="宋体" w:eastAsia="宋体" w:cs="宋体"/>
          <w:color w:val="000000" w:themeColor="text1"/>
          <w:sz w:val="21"/>
          <w:szCs w:val="21"/>
          <w:lang w:eastAsia="zh-CN"/>
          <w14:textFill>
            <w14:solidFill>
              <w14:schemeClr w14:val="tx1"/>
            </w14:solidFill>
          </w14:textFill>
        </w:rPr>
        <w:t>（10%~20%）</w:t>
      </w:r>
      <w:r>
        <w:rPr>
          <w:rFonts w:hint="eastAsia" w:ascii="宋体" w:hAnsi="宋体" w:eastAsia="宋体" w:cs="宋体"/>
          <w:sz w:val="21"/>
          <w:szCs w:val="21"/>
          <w:lang w:eastAsia="zh-CN"/>
        </w:rPr>
        <w:t>的扣除，用扣除后的价格参与评审。满足多项优惠政策的企业，不重复享受多项价格扣除政策。</w:t>
      </w:r>
    </w:p>
    <w:p w14:paraId="5CC4B6B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68F10FDA">
      <w:pPr>
        <w:widowControl w:val="0"/>
        <w:numPr>
          <w:ilvl w:val="0"/>
          <w:numId w:val="2"/>
        </w:numPr>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eastAsia="宋体" w:cs="宋体"/>
          <w:b/>
          <w:bCs/>
          <w:color w:val="FF0000"/>
          <w:kern w:val="2"/>
          <w:sz w:val="21"/>
          <w:szCs w:val="21"/>
          <w:lang w:eastAsia="zh-CN"/>
        </w:rPr>
        <w:t>《中小企业声明函》中相关企业（服务承接商）所属行业应当与采购标的所属行业相一致，标的所属行业以招标文件第一册第三章用户需求书“服务需求明细”的“标的所属行业”一栏为准。</w:t>
      </w:r>
    </w:p>
    <w:p w14:paraId="5ADAEA21">
      <w:pPr>
        <w:widowControl w:val="0"/>
        <w:numPr>
          <w:ilvl w:val="0"/>
          <w:numId w:val="2"/>
        </w:numPr>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提供的格式）。</w:t>
      </w:r>
    </w:p>
    <w:p w14:paraId="7D3C6153">
      <w:pPr>
        <w:widowControl w:val="0"/>
        <w:numPr>
          <w:ilvl w:val="0"/>
          <w:numId w:val="2"/>
        </w:numPr>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享受价格扣除获得政府采购合同的，小微企业不得将合同分包给大中型企业。</w:t>
      </w:r>
    </w:p>
    <w:p w14:paraId="7C1CC4FA">
      <w:pPr>
        <w:widowControl w:val="0"/>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2、关于采购订单融资政策</w:t>
      </w:r>
    </w:p>
    <w:p w14:paraId="05D34C1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0965B4C">
      <w:pPr>
        <w:widowControl w:val="0"/>
        <w:ind w:firstLine="480" w:firstLineChars="200"/>
        <w:jc w:val="both"/>
        <w:rPr>
          <w:rFonts w:ascii="宋体" w:hAnsi="宋体" w:eastAsia="宋体" w:cs="宋体"/>
          <w:b/>
          <w:bCs/>
          <w:color w:val="FF0000"/>
          <w:kern w:val="2"/>
          <w:sz w:val="21"/>
          <w:szCs w:val="21"/>
          <w:lang w:eastAsia="zh-CN"/>
        </w:rPr>
      </w:pPr>
      <w:r>
        <w:rPr>
          <w:rFonts w:hint="eastAsia" w:ascii="黑体" w:hAnsi="黑体" w:eastAsia="黑体" w:cs="黑体"/>
          <w:kern w:val="2"/>
          <w:lang w:eastAsia="zh-CN"/>
        </w:rPr>
        <w:t>3、</w:t>
      </w:r>
      <w:r>
        <w:rPr>
          <w:rFonts w:hint="eastAsia" w:ascii="黑体" w:hAnsi="黑体" w:eastAsia="黑体" w:cs="黑体"/>
          <w:color w:val="FF0000"/>
          <w:kern w:val="2"/>
          <w:lang w:eastAsia="zh-CN"/>
        </w:rPr>
        <w:t>本项目为代理服务项目，将向中标（成交）供应商收取代理服务费。</w:t>
      </w:r>
    </w:p>
    <w:p w14:paraId="37BF8F69">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中标（成交）供应商在领取《中标（成交）通知书》之前须向深圳市深汕交易有限公司交纳代理服务费。若因中标（成交）供应商交纳代理服务费所产生的时间影响到合同签订的，由中标（成交）供应商自行承担责任。代理服务费标准参照下列标准收取。</w:t>
      </w:r>
      <w:r>
        <w:rPr>
          <w:rFonts w:hint="eastAsia" w:ascii="宋体" w:hAnsi="宋体" w:eastAsia="宋体" w:cs="宋体"/>
          <w:b/>
          <w:color w:val="FF0000"/>
          <w:kern w:val="2"/>
          <w:sz w:val="21"/>
          <w:szCs w:val="21"/>
          <w:lang w:eastAsia="zh-CN"/>
        </w:rPr>
        <w:t>本项目类型为</w:t>
      </w:r>
      <w:r>
        <w:rPr>
          <w:rFonts w:hint="eastAsia" w:ascii="宋体" w:hAnsi="宋体" w:eastAsia="宋体" w:cs="宋体"/>
          <w:b/>
          <w:color w:val="FF0000"/>
          <w:kern w:val="2"/>
          <w:sz w:val="21"/>
          <w:szCs w:val="21"/>
          <w:u w:val="single"/>
          <w:lang w:eastAsia="zh-CN"/>
        </w:rPr>
        <w:t>服务采购</w:t>
      </w:r>
      <w:r>
        <w:rPr>
          <w:rFonts w:hint="eastAsia" w:ascii="宋体" w:hAnsi="宋体" w:eastAsia="宋体" w:cs="宋体"/>
          <w:b/>
          <w:color w:val="FF0000"/>
          <w:kern w:val="2"/>
          <w:sz w:val="21"/>
          <w:szCs w:val="21"/>
          <w:lang w:eastAsia="zh-CN"/>
        </w:rPr>
        <w:t>：</w:t>
      </w:r>
    </w:p>
    <w:p w14:paraId="4026F6C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（1）代理服务费以《中标（成交）通知书》确定的中标（成交）金额作为计算基数，按差额定率累进法计算。</w:t>
      </w:r>
    </w:p>
    <w:p w14:paraId="669F79C3">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（2）中标（成交）金额的各部分费率如下表：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7"/>
        <w:gridCol w:w="1870"/>
        <w:gridCol w:w="1870"/>
        <w:gridCol w:w="1870"/>
      </w:tblGrid>
      <w:tr w14:paraId="2D03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82449F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中标（成交）金额</w:t>
            </w:r>
          </w:p>
        </w:tc>
        <w:tc>
          <w:tcPr>
            <w:tcW w:w="1799" w:type="dxa"/>
            <w:vAlign w:val="center"/>
          </w:tcPr>
          <w:p w14:paraId="06E7989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货物采购</w:t>
            </w:r>
          </w:p>
        </w:tc>
        <w:tc>
          <w:tcPr>
            <w:tcW w:w="1799" w:type="dxa"/>
            <w:vAlign w:val="center"/>
          </w:tcPr>
          <w:p w14:paraId="5C27952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服务采购</w:t>
            </w:r>
          </w:p>
        </w:tc>
        <w:tc>
          <w:tcPr>
            <w:tcW w:w="1799" w:type="dxa"/>
            <w:vAlign w:val="center"/>
          </w:tcPr>
          <w:p w14:paraId="3C03FFB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工程采购</w:t>
            </w:r>
          </w:p>
        </w:tc>
      </w:tr>
      <w:tr w14:paraId="1BD2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CCFC2B2">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100万元以下</w:t>
            </w:r>
          </w:p>
        </w:tc>
        <w:tc>
          <w:tcPr>
            <w:tcW w:w="1799" w:type="dxa"/>
            <w:vAlign w:val="center"/>
          </w:tcPr>
          <w:p w14:paraId="336A2973">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1.5%</w:t>
            </w:r>
          </w:p>
        </w:tc>
        <w:tc>
          <w:tcPr>
            <w:tcW w:w="1799" w:type="dxa"/>
            <w:vAlign w:val="center"/>
          </w:tcPr>
          <w:p w14:paraId="703E15E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1.5%</w:t>
            </w:r>
          </w:p>
        </w:tc>
        <w:tc>
          <w:tcPr>
            <w:tcW w:w="1799" w:type="dxa"/>
            <w:vAlign w:val="center"/>
          </w:tcPr>
          <w:p w14:paraId="2E662FC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w:t>
            </w:r>
          </w:p>
        </w:tc>
      </w:tr>
      <w:tr w14:paraId="6DB5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3BBEF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100万元（含）-500万元</w:t>
            </w:r>
          </w:p>
        </w:tc>
        <w:tc>
          <w:tcPr>
            <w:tcW w:w="1799" w:type="dxa"/>
            <w:vAlign w:val="center"/>
          </w:tcPr>
          <w:p w14:paraId="6C998D5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1.1%</w:t>
            </w:r>
          </w:p>
        </w:tc>
        <w:tc>
          <w:tcPr>
            <w:tcW w:w="1799" w:type="dxa"/>
            <w:vAlign w:val="center"/>
          </w:tcPr>
          <w:p w14:paraId="30C71B5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0.8%</w:t>
            </w:r>
          </w:p>
        </w:tc>
        <w:tc>
          <w:tcPr>
            <w:tcW w:w="1799" w:type="dxa"/>
            <w:vAlign w:val="center"/>
          </w:tcPr>
          <w:p w14:paraId="56AD9B3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0.7%</w:t>
            </w:r>
          </w:p>
        </w:tc>
      </w:tr>
      <w:tr w14:paraId="29F9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30E35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500万元（含）-1000万元</w:t>
            </w:r>
          </w:p>
        </w:tc>
        <w:tc>
          <w:tcPr>
            <w:tcW w:w="1799" w:type="dxa"/>
            <w:vAlign w:val="center"/>
          </w:tcPr>
          <w:p w14:paraId="2ED32B6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0.8%</w:t>
            </w:r>
          </w:p>
        </w:tc>
        <w:tc>
          <w:tcPr>
            <w:tcW w:w="1799" w:type="dxa"/>
            <w:vAlign w:val="center"/>
          </w:tcPr>
          <w:p w14:paraId="437D781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0.45%</w:t>
            </w:r>
          </w:p>
        </w:tc>
        <w:tc>
          <w:tcPr>
            <w:tcW w:w="1799" w:type="dxa"/>
            <w:vAlign w:val="center"/>
          </w:tcPr>
          <w:p w14:paraId="794ABFC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0.55%</w:t>
            </w:r>
          </w:p>
        </w:tc>
      </w:tr>
      <w:tr w14:paraId="0F8A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FD20E4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1000万元（含）-5000万元</w:t>
            </w:r>
          </w:p>
        </w:tc>
        <w:tc>
          <w:tcPr>
            <w:tcW w:w="1799" w:type="dxa"/>
            <w:vAlign w:val="center"/>
          </w:tcPr>
          <w:p w14:paraId="702B9C5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0.5%</w:t>
            </w:r>
          </w:p>
        </w:tc>
        <w:tc>
          <w:tcPr>
            <w:tcW w:w="1799" w:type="dxa"/>
            <w:vAlign w:val="center"/>
          </w:tcPr>
          <w:p w14:paraId="5279A1F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0.25%</w:t>
            </w:r>
          </w:p>
        </w:tc>
        <w:tc>
          <w:tcPr>
            <w:tcW w:w="1799" w:type="dxa"/>
            <w:vAlign w:val="center"/>
          </w:tcPr>
          <w:p w14:paraId="4848CF4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0.35%</w:t>
            </w:r>
          </w:p>
        </w:tc>
      </w:tr>
      <w:tr w14:paraId="4CFD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AC3C8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5000万元（含）-1亿元</w:t>
            </w:r>
          </w:p>
        </w:tc>
        <w:tc>
          <w:tcPr>
            <w:tcW w:w="1799" w:type="dxa"/>
            <w:vAlign w:val="center"/>
          </w:tcPr>
          <w:p w14:paraId="3A1D944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0.25%</w:t>
            </w:r>
          </w:p>
        </w:tc>
        <w:tc>
          <w:tcPr>
            <w:tcW w:w="1799" w:type="dxa"/>
            <w:vAlign w:val="center"/>
          </w:tcPr>
          <w:p w14:paraId="155FA2B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0.1%</w:t>
            </w:r>
          </w:p>
        </w:tc>
        <w:tc>
          <w:tcPr>
            <w:tcW w:w="1799" w:type="dxa"/>
            <w:vAlign w:val="center"/>
          </w:tcPr>
          <w:p w14:paraId="4098A91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w:t>
            </w:r>
          </w:p>
        </w:tc>
      </w:tr>
      <w:tr w14:paraId="6062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2288397">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1亿元（含）-5亿元</w:t>
            </w:r>
          </w:p>
        </w:tc>
        <w:tc>
          <w:tcPr>
            <w:tcW w:w="1799" w:type="dxa"/>
            <w:vAlign w:val="center"/>
          </w:tcPr>
          <w:p w14:paraId="17238B7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c>
          <w:tcPr>
            <w:tcW w:w="1799" w:type="dxa"/>
            <w:vAlign w:val="center"/>
          </w:tcPr>
          <w:p w14:paraId="17E985B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c>
          <w:tcPr>
            <w:tcW w:w="1799" w:type="dxa"/>
            <w:vAlign w:val="center"/>
          </w:tcPr>
          <w:p w14:paraId="622E7666">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r>
      <w:tr w14:paraId="22FD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986DD9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5亿元（含）-10亿元</w:t>
            </w:r>
          </w:p>
        </w:tc>
        <w:tc>
          <w:tcPr>
            <w:tcW w:w="1799" w:type="dxa"/>
            <w:vAlign w:val="center"/>
          </w:tcPr>
          <w:p w14:paraId="4D0CA737">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c>
          <w:tcPr>
            <w:tcW w:w="1799" w:type="dxa"/>
            <w:vAlign w:val="center"/>
          </w:tcPr>
          <w:p w14:paraId="58BB4D7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c>
          <w:tcPr>
            <w:tcW w:w="1799" w:type="dxa"/>
            <w:vAlign w:val="center"/>
          </w:tcPr>
          <w:p w14:paraId="088B8D6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r>
      <w:tr w14:paraId="4A65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62A48C5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10亿元（含）-50亿元</w:t>
            </w:r>
          </w:p>
        </w:tc>
        <w:tc>
          <w:tcPr>
            <w:tcW w:w="1799" w:type="dxa"/>
            <w:vAlign w:val="center"/>
          </w:tcPr>
          <w:p w14:paraId="673E15D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c>
          <w:tcPr>
            <w:tcW w:w="1799" w:type="dxa"/>
            <w:vAlign w:val="center"/>
          </w:tcPr>
          <w:p w14:paraId="32DDFA8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c>
          <w:tcPr>
            <w:tcW w:w="1799" w:type="dxa"/>
            <w:vAlign w:val="center"/>
          </w:tcPr>
          <w:p w14:paraId="745EAEC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r>
      <w:tr w14:paraId="0480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7708716">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50亿元（含）-100亿元</w:t>
            </w:r>
          </w:p>
        </w:tc>
        <w:tc>
          <w:tcPr>
            <w:tcW w:w="1799" w:type="dxa"/>
            <w:vAlign w:val="center"/>
          </w:tcPr>
          <w:p w14:paraId="155B8C0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c>
          <w:tcPr>
            <w:tcW w:w="1799" w:type="dxa"/>
            <w:vAlign w:val="center"/>
          </w:tcPr>
          <w:p w14:paraId="0A4CA26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c>
          <w:tcPr>
            <w:tcW w:w="1799" w:type="dxa"/>
            <w:vAlign w:val="center"/>
          </w:tcPr>
          <w:p w14:paraId="565CEF6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r>
      <w:tr w14:paraId="12D8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E663B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100亿元（含）以上</w:t>
            </w:r>
          </w:p>
        </w:tc>
        <w:tc>
          <w:tcPr>
            <w:tcW w:w="1799" w:type="dxa"/>
            <w:vAlign w:val="center"/>
          </w:tcPr>
          <w:p w14:paraId="4076F66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c>
          <w:tcPr>
            <w:tcW w:w="1799" w:type="dxa"/>
            <w:vAlign w:val="center"/>
          </w:tcPr>
          <w:p w14:paraId="7815ADA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c>
          <w:tcPr>
            <w:tcW w:w="1799" w:type="dxa"/>
            <w:vAlign w:val="center"/>
          </w:tcPr>
          <w:p w14:paraId="6F923FD7">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r>
    </w:tbl>
    <w:p w14:paraId="0454FCED">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备注：1.每宗交易代理服务费不低于 5000 元；</w:t>
      </w:r>
    </w:p>
    <w:p w14:paraId="10542DB1">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2.对于报总价的采购类项目，中标（成交）价为中标（成交）金额；对于报单价、折扣或费率的采购类项目，中标（成交）价为预算上限金额或经委托方与代理方确定的支付上限金额；</w:t>
      </w:r>
    </w:p>
    <w:p w14:paraId="6DD6826F">
      <w:pPr>
        <w:widowControl w:val="0"/>
        <w:ind w:firstLine="420" w:firstLineChars="200"/>
        <w:jc w:val="both"/>
        <w:rPr>
          <w:rFonts w:ascii="宋体" w:hAnsi="宋体" w:eastAsia="宋体" w:cs="宋体"/>
          <w:color w:val="FF0000"/>
          <w:kern w:val="2"/>
          <w:sz w:val="21"/>
          <w:szCs w:val="21"/>
          <w:lang w:eastAsia="zh-CN"/>
        </w:rPr>
      </w:pPr>
    </w:p>
    <w:p w14:paraId="280FD5D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如某货物采购项目，中标（成交）金额为600万元，总共交纳的代理服务费的具体计算过程如下：</w:t>
      </w:r>
    </w:p>
    <w:p w14:paraId="665DB79F">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14:paraId="452891BA">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3.中标（成交）供应商中标（成交）后，必须按规定采用银行对公转账方式向深圳市深汕交易有限公司直接交纳代理服务费，交纳信息及要求按照缴款（付款）通知书执行。</w:t>
      </w:r>
    </w:p>
    <w:p w14:paraId="2BEEC03F">
      <w:pPr>
        <w:rPr>
          <w:rFonts w:ascii="宋体" w:hAnsi="宋体" w:eastAsia="宋体"/>
          <w:b/>
          <w:bCs/>
          <w:sz w:val="28"/>
          <w:szCs w:val="28"/>
          <w:lang w:eastAsia="zh-CN"/>
        </w:rPr>
      </w:pPr>
      <w:r>
        <w:rPr>
          <w:rFonts w:ascii="宋体" w:hAnsi="宋体" w:eastAsia="宋体"/>
          <w:b/>
          <w:bCs/>
          <w:sz w:val="28"/>
          <w:szCs w:val="28"/>
          <w:lang w:eastAsia="zh-CN"/>
        </w:rPr>
        <w:br w:type="page"/>
      </w:r>
    </w:p>
    <w:p w14:paraId="46D5764F">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169596B4">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87"/>
        <w:gridCol w:w="5023"/>
        <w:gridCol w:w="2660"/>
      </w:tblGrid>
      <w:tr w14:paraId="401FB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2" w:hRule="atLeast"/>
          <w:jc w:val="center"/>
        </w:trPr>
        <w:tc>
          <w:tcPr>
            <w:tcW w:w="569" w:type="pct"/>
            <w:shd w:val="clear" w:color="auto" w:fill="C6D9F1"/>
            <w:vAlign w:val="center"/>
          </w:tcPr>
          <w:p w14:paraId="15860644">
            <w:pPr>
              <w:widowControl w:val="0"/>
              <w:jc w:val="center"/>
              <w:rPr>
                <w:rFonts w:ascii="Calibri" w:hAnsi="Calibri" w:eastAsia="宋体" w:cs="宋体"/>
                <w:b/>
                <w:bCs/>
                <w:kern w:val="2"/>
                <w:sz w:val="21"/>
                <w:szCs w:val="22"/>
                <w:lang w:eastAsia="zh-CN"/>
              </w:rPr>
            </w:pPr>
            <w:r>
              <w:rPr>
                <w:rFonts w:hint="eastAsia" w:ascii="Calibri" w:hAnsi="Calibri" w:eastAsia="宋体" w:cs="宋体"/>
                <w:b/>
                <w:bCs/>
                <w:kern w:val="2"/>
                <w:sz w:val="21"/>
                <w:szCs w:val="22"/>
                <w:lang w:eastAsia="zh-CN"/>
              </w:rPr>
              <w:t>序号</w:t>
            </w:r>
          </w:p>
        </w:tc>
        <w:tc>
          <w:tcPr>
            <w:tcW w:w="2897" w:type="pct"/>
            <w:shd w:val="clear" w:color="auto" w:fill="C6D9F1"/>
            <w:vAlign w:val="center"/>
          </w:tcPr>
          <w:p w14:paraId="7932EB0A">
            <w:pPr>
              <w:widowControl w:val="0"/>
              <w:jc w:val="center"/>
              <w:rPr>
                <w:rFonts w:ascii="Calibri" w:hAnsi="Calibri" w:eastAsia="宋体" w:cs="宋体"/>
                <w:b/>
                <w:bCs/>
                <w:kern w:val="2"/>
                <w:sz w:val="21"/>
                <w:szCs w:val="22"/>
                <w:lang w:eastAsia="zh-CN"/>
              </w:rPr>
            </w:pPr>
            <w:r>
              <w:rPr>
                <w:rFonts w:hint="eastAsia" w:ascii="Calibri" w:hAnsi="Calibri" w:eastAsia="宋体" w:cs="宋体"/>
                <w:b/>
                <w:bCs/>
                <w:kern w:val="2"/>
                <w:sz w:val="21"/>
                <w:szCs w:val="22"/>
                <w:lang w:eastAsia="zh-CN"/>
              </w:rPr>
              <w:t>采购项目名称</w:t>
            </w:r>
          </w:p>
        </w:tc>
        <w:tc>
          <w:tcPr>
            <w:tcW w:w="1535" w:type="pct"/>
            <w:shd w:val="clear" w:color="auto" w:fill="C6D9F1"/>
            <w:vAlign w:val="center"/>
          </w:tcPr>
          <w:p w14:paraId="567A61DE">
            <w:pPr>
              <w:widowControl w:val="0"/>
              <w:jc w:val="center"/>
              <w:rPr>
                <w:rFonts w:ascii="Calibri" w:hAnsi="Calibri" w:eastAsia="宋体" w:cs="宋体"/>
                <w:b/>
                <w:bCs/>
                <w:color w:val="FF0000"/>
                <w:kern w:val="2"/>
                <w:sz w:val="21"/>
                <w:szCs w:val="22"/>
                <w:lang w:eastAsia="zh-CN"/>
              </w:rPr>
            </w:pPr>
            <w:r>
              <w:rPr>
                <w:rFonts w:hint="eastAsia" w:ascii="Calibri" w:hAnsi="Calibri" w:eastAsia="宋体" w:cs="宋体"/>
                <w:b/>
                <w:bCs/>
                <w:color w:val="FF0000"/>
                <w:kern w:val="2"/>
                <w:sz w:val="21"/>
                <w:szCs w:val="22"/>
                <w:lang w:eastAsia="zh-CN"/>
              </w:rPr>
              <w:t>预算金额（元）</w:t>
            </w:r>
          </w:p>
        </w:tc>
      </w:tr>
      <w:tr w14:paraId="3AFEA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9" w:type="pct"/>
            <w:vAlign w:val="center"/>
          </w:tcPr>
          <w:p w14:paraId="423A4108">
            <w:pPr>
              <w:widowControl w:val="0"/>
              <w:jc w:val="center"/>
              <w:rPr>
                <w:rFonts w:ascii="宋体" w:hAnsi="宋体" w:eastAsia="宋体" w:cs="宋体"/>
                <w:kern w:val="2"/>
                <w:lang w:eastAsia="zh-CN"/>
              </w:rPr>
            </w:pPr>
            <w:r>
              <w:rPr>
                <w:rFonts w:hint="eastAsia" w:ascii="宋体" w:hAnsi="宋体" w:eastAsia="宋体" w:cs="宋体"/>
                <w:kern w:val="2"/>
                <w:lang w:eastAsia="zh-CN"/>
              </w:rPr>
              <w:t>1</w:t>
            </w:r>
          </w:p>
        </w:tc>
        <w:tc>
          <w:tcPr>
            <w:tcW w:w="2897" w:type="pct"/>
            <w:vAlign w:val="center"/>
          </w:tcPr>
          <w:p w14:paraId="02A217F7">
            <w:pPr>
              <w:widowControl w:val="0"/>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深圳市第二高级中学深汕学校食堂运营服务项目</w:t>
            </w:r>
          </w:p>
        </w:tc>
        <w:tc>
          <w:tcPr>
            <w:tcW w:w="1535" w:type="pct"/>
            <w:vAlign w:val="center"/>
          </w:tcPr>
          <w:p w14:paraId="1FD390A8">
            <w:pPr>
              <w:widowControl w:val="0"/>
              <w:jc w:val="center"/>
              <w:rPr>
                <w:rFonts w:ascii="宋体" w:hAnsi="宋体" w:eastAsia="宋体" w:cs="宋体"/>
                <w:color w:val="FF0000"/>
                <w:kern w:val="2"/>
                <w:lang w:eastAsia="zh-CN"/>
              </w:rPr>
            </w:pPr>
            <w:r>
              <w:rPr>
                <w:rFonts w:ascii="宋体" w:hAnsi="宋体" w:eastAsia="宋体" w:cs="宋体"/>
                <w:color w:val="FF0000"/>
                <w:kern w:val="2"/>
                <w:lang w:eastAsia="zh-CN"/>
              </w:rPr>
              <w:t>419170</w:t>
            </w:r>
          </w:p>
        </w:tc>
      </w:tr>
    </w:tbl>
    <w:p w14:paraId="738B296F">
      <w:pPr>
        <w:keepNext/>
        <w:keepLines/>
        <w:widowControl w:val="0"/>
        <w:spacing w:before="120" w:beforeLines="50" w:after="120" w:afterLines="50"/>
        <w:jc w:val="center"/>
        <w:outlineLvl w:val="2"/>
        <w:rPr>
          <w:rFonts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二、项目概况</w:t>
      </w:r>
    </w:p>
    <w:p w14:paraId="1B143E71">
      <w:pPr>
        <w:ind w:firstLine="480" w:firstLineChars="200"/>
        <w:rPr>
          <w:rFonts w:hint="eastAsia" w:eastAsia="宋体"/>
          <w:bCs/>
          <w:szCs w:val="21"/>
          <w:lang w:eastAsia="zh-CN"/>
        </w:rPr>
      </w:pPr>
      <w:r>
        <w:rPr>
          <w:rFonts w:hint="eastAsia" w:eastAsia="宋体"/>
          <w:bCs/>
          <w:szCs w:val="21"/>
          <w:lang w:eastAsia="zh-CN"/>
        </w:rPr>
        <w:t>深圳市第二高级中学深汕学校是深圳市深汕特别合作区按深圳市标准重点规划和筹建的九年一贯制义务教育优质公办学校， 学校占地面积为40082㎡，项目总建筑面积 50445.17㎡，规划设置9个年级，每个年级8个班，共72个班，可提供3360个优质义务教育学位。二高深汕学校食堂面积共3651㎡，2025—2026学年预计服务学生早中用餐300人、教职工全天用餐50人。厨房和餐厅功能分区合理、设施完善。学生餐厅以窗口配餐方式供应，教师餐厅以自助餐方式供应，供餐时段包括早餐、午餐、晚餐，菜品供应类以中式为主。</w:t>
      </w:r>
      <w:r>
        <w:rPr>
          <w:rFonts w:ascii="宋体" w:hAnsi="宋体" w:eastAsia="宋体" w:cs="宋体"/>
          <w:sz w:val="24"/>
          <w:szCs w:val="24"/>
        </w:rPr>
        <w:t>本项目拟采购的服务分教职工和学生两部分，合并采购，分开结算。此项目预算金额仅为教职工服务费用，学生服务费用由学校代收代付，根据教职工的支付方式及结算标准由采购人及中标单位协商后另行签订合同支付。</w:t>
      </w:r>
    </w:p>
    <w:p w14:paraId="2A2F9770">
      <w:pPr>
        <w:keepNext/>
        <w:keepLines/>
        <w:widowControl w:val="0"/>
        <w:spacing w:before="120" w:beforeLines="50" w:after="120" w:afterLines="50"/>
        <w:jc w:val="center"/>
        <w:outlineLvl w:val="2"/>
        <w:rPr>
          <w:rFonts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三、</w:t>
      </w:r>
      <w:bookmarkStart w:id="17" w:name="_Hlk72073432"/>
      <w:r>
        <w:rPr>
          <w:rFonts w:hint="eastAsia" w:ascii="宋体" w:hAnsi="宋体" w:eastAsia="宋体" w:cs="宋体"/>
          <w:b/>
          <w:bCs/>
          <w:kern w:val="2"/>
          <w:sz w:val="32"/>
          <w:szCs w:val="32"/>
          <w:lang w:eastAsia="zh-CN"/>
        </w:rPr>
        <w:t>服务需求明细</w:t>
      </w:r>
      <w:bookmarkEnd w:id="17"/>
    </w:p>
    <w:tbl>
      <w:tblPr>
        <w:tblStyle w:val="18"/>
        <w:tblpPr w:leftFromText="180" w:rightFromText="180" w:vertAnchor="text" w:horzAnchor="margin" w:tblpXSpec="center" w:tblpY="17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89"/>
        <w:gridCol w:w="743"/>
        <w:gridCol w:w="1472"/>
        <w:gridCol w:w="1472"/>
        <w:gridCol w:w="1472"/>
      </w:tblGrid>
      <w:tr w14:paraId="669F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7" w:type="pct"/>
            <w:vAlign w:val="center"/>
          </w:tcPr>
          <w:p w14:paraId="7675789F">
            <w:pPr>
              <w:widowControl w:val="0"/>
              <w:jc w:val="center"/>
              <w:rPr>
                <w:rFonts w:ascii="Calibri" w:hAnsi="Calibri" w:eastAsia="宋体" w:cs="宋体"/>
                <w:b/>
                <w:kern w:val="2"/>
                <w:sz w:val="21"/>
                <w:szCs w:val="21"/>
                <w:lang w:eastAsia="zh-CN"/>
              </w:rPr>
            </w:pPr>
            <w:r>
              <w:rPr>
                <w:rFonts w:hint="eastAsia" w:ascii="Calibri" w:hAnsi="Calibri" w:eastAsia="宋体" w:cs="宋体"/>
                <w:b/>
                <w:kern w:val="2"/>
                <w:sz w:val="21"/>
                <w:szCs w:val="21"/>
                <w:lang w:eastAsia="zh-CN"/>
              </w:rPr>
              <w:t>序号</w:t>
            </w:r>
          </w:p>
        </w:tc>
        <w:tc>
          <w:tcPr>
            <w:tcW w:w="1800" w:type="pct"/>
            <w:vAlign w:val="center"/>
          </w:tcPr>
          <w:p w14:paraId="75364597">
            <w:pPr>
              <w:widowControl w:val="0"/>
              <w:jc w:val="center"/>
              <w:rPr>
                <w:rFonts w:ascii="Calibri" w:hAnsi="Calibri" w:eastAsia="宋体" w:cs="宋体"/>
                <w:b/>
                <w:kern w:val="2"/>
                <w:sz w:val="21"/>
                <w:szCs w:val="21"/>
                <w:lang w:eastAsia="zh-CN"/>
              </w:rPr>
            </w:pPr>
            <w:r>
              <w:rPr>
                <w:rFonts w:hint="eastAsia" w:ascii="Calibri" w:hAnsi="Calibri" w:eastAsia="宋体" w:cs="宋体"/>
                <w:b/>
                <w:kern w:val="2"/>
                <w:sz w:val="21"/>
                <w:szCs w:val="21"/>
                <w:lang w:eastAsia="zh-CN"/>
              </w:rPr>
              <w:t>服务需求名称（标的名称）</w:t>
            </w:r>
          </w:p>
        </w:tc>
        <w:tc>
          <w:tcPr>
            <w:tcW w:w="419" w:type="pct"/>
            <w:vAlign w:val="center"/>
          </w:tcPr>
          <w:p w14:paraId="57939AF3">
            <w:pPr>
              <w:widowControl w:val="0"/>
              <w:jc w:val="center"/>
              <w:rPr>
                <w:rFonts w:ascii="Calibri" w:hAnsi="Calibri" w:eastAsia="宋体" w:cs="宋体"/>
                <w:b/>
                <w:kern w:val="2"/>
                <w:sz w:val="21"/>
                <w:szCs w:val="21"/>
                <w:lang w:eastAsia="zh-CN"/>
              </w:rPr>
            </w:pPr>
            <w:r>
              <w:rPr>
                <w:rFonts w:hint="eastAsia" w:ascii="Calibri" w:hAnsi="Calibri" w:eastAsia="宋体" w:cs="宋体"/>
                <w:b/>
                <w:kern w:val="2"/>
                <w:sz w:val="21"/>
                <w:szCs w:val="21"/>
                <w:lang w:eastAsia="zh-CN"/>
              </w:rPr>
              <w:t>数量</w:t>
            </w:r>
          </w:p>
        </w:tc>
        <w:tc>
          <w:tcPr>
            <w:tcW w:w="831" w:type="pct"/>
            <w:vAlign w:val="center"/>
          </w:tcPr>
          <w:p w14:paraId="558AC5BB">
            <w:pPr>
              <w:widowControl w:val="0"/>
              <w:jc w:val="center"/>
              <w:rPr>
                <w:rFonts w:ascii="Calibri" w:hAnsi="Calibri" w:eastAsia="宋体" w:cs="宋体"/>
                <w:b/>
                <w:kern w:val="2"/>
                <w:sz w:val="21"/>
                <w:szCs w:val="21"/>
                <w:lang w:eastAsia="zh-CN"/>
              </w:rPr>
            </w:pPr>
            <w:r>
              <w:rPr>
                <w:rFonts w:hint="eastAsia" w:ascii="Calibri" w:hAnsi="Calibri" w:eastAsia="宋体" w:cs="宋体"/>
                <w:b/>
                <w:kern w:val="2"/>
                <w:sz w:val="21"/>
                <w:szCs w:val="21"/>
                <w:lang w:eastAsia="zh-CN"/>
              </w:rPr>
              <w:t>单位</w:t>
            </w:r>
          </w:p>
        </w:tc>
        <w:tc>
          <w:tcPr>
            <w:tcW w:w="831" w:type="pct"/>
            <w:vAlign w:val="center"/>
          </w:tcPr>
          <w:p w14:paraId="43D1F391">
            <w:pPr>
              <w:widowControl w:val="0"/>
              <w:jc w:val="center"/>
              <w:rPr>
                <w:rFonts w:ascii="Calibri" w:hAnsi="Calibri" w:eastAsia="宋体" w:cs="宋体"/>
                <w:b/>
                <w:color w:val="FF0000"/>
                <w:kern w:val="2"/>
                <w:sz w:val="21"/>
                <w:szCs w:val="21"/>
                <w:lang w:eastAsia="zh-CN"/>
              </w:rPr>
            </w:pPr>
            <w:r>
              <w:rPr>
                <w:rFonts w:hint="eastAsia" w:hAnsi="Calibri" w:eastAsia="宋体" w:cs="宋体"/>
                <w:b/>
                <w:color w:val="FF0000"/>
                <w:kern w:val="2"/>
                <w:sz w:val="21"/>
                <w:szCs w:val="21"/>
                <w:lang w:eastAsia="zh-CN"/>
              </w:rPr>
              <w:t>是否专门面向中小企业</w:t>
            </w:r>
          </w:p>
        </w:tc>
        <w:tc>
          <w:tcPr>
            <w:tcW w:w="831" w:type="pct"/>
            <w:vAlign w:val="center"/>
          </w:tcPr>
          <w:p w14:paraId="2E0822B5">
            <w:pPr>
              <w:widowControl w:val="0"/>
              <w:jc w:val="center"/>
              <w:rPr>
                <w:rFonts w:ascii="Calibri" w:hAnsi="Calibri" w:eastAsia="宋体" w:cs="宋体"/>
                <w:b/>
                <w:color w:val="FF0000"/>
                <w:kern w:val="2"/>
                <w:sz w:val="21"/>
                <w:szCs w:val="21"/>
                <w:lang w:eastAsia="zh-CN"/>
              </w:rPr>
            </w:pPr>
            <w:r>
              <w:rPr>
                <w:rFonts w:hint="eastAsia" w:hAnsi="Calibri" w:eastAsia="宋体" w:cs="宋体"/>
                <w:b/>
                <w:color w:val="FF0000"/>
                <w:kern w:val="2"/>
                <w:sz w:val="21"/>
                <w:szCs w:val="21"/>
                <w:lang w:eastAsia="zh-CN"/>
              </w:rPr>
              <w:t>标的所属行业</w:t>
            </w:r>
          </w:p>
        </w:tc>
      </w:tr>
      <w:tr w14:paraId="393D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7" w:type="pct"/>
            <w:vAlign w:val="center"/>
          </w:tcPr>
          <w:p w14:paraId="481A6DF9">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1</w:t>
            </w:r>
          </w:p>
        </w:tc>
        <w:tc>
          <w:tcPr>
            <w:tcW w:w="1800" w:type="pct"/>
            <w:vAlign w:val="center"/>
          </w:tcPr>
          <w:p w14:paraId="03428D8B">
            <w:pPr>
              <w:widowControl w:val="0"/>
              <w:jc w:val="center"/>
              <w:rPr>
                <w:rFonts w:ascii="Calibri" w:hAnsi="Calibri" w:eastAsia="宋体" w:cs="宋体"/>
                <w:bCs/>
                <w:kern w:val="2"/>
                <w:sz w:val="21"/>
                <w:szCs w:val="21"/>
                <w:lang w:eastAsia="zh-CN"/>
              </w:rPr>
            </w:pPr>
            <w:r>
              <w:rPr>
                <w:rFonts w:hint="eastAsia" w:ascii="Calibri" w:hAnsi="Calibri" w:eastAsia="宋体" w:cs="宋体"/>
                <w:kern w:val="2"/>
                <w:sz w:val="21"/>
                <w:szCs w:val="22"/>
                <w:lang w:eastAsia="zh-CN"/>
              </w:rPr>
              <w:t>深圳市第二高级中学深汕学校食堂运营服务项目</w:t>
            </w:r>
          </w:p>
        </w:tc>
        <w:tc>
          <w:tcPr>
            <w:tcW w:w="419" w:type="pct"/>
            <w:vAlign w:val="center"/>
          </w:tcPr>
          <w:p w14:paraId="2B39DB94">
            <w:pPr>
              <w:widowControl w:val="0"/>
              <w:jc w:val="center"/>
              <w:rPr>
                <w:rFonts w:ascii="Calibri" w:hAnsi="Calibri" w:eastAsia="宋体" w:cs="宋体"/>
                <w:bCs/>
                <w:kern w:val="2"/>
                <w:sz w:val="21"/>
                <w:szCs w:val="21"/>
                <w:lang w:eastAsia="zh-CN"/>
              </w:rPr>
            </w:pPr>
            <w:r>
              <w:rPr>
                <w:rFonts w:ascii="Calibri" w:hAnsi="Calibri" w:eastAsia="宋体" w:cs="宋体"/>
                <w:kern w:val="2"/>
                <w:sz w:val="21"/>
                <w:szCs w:val="22"/>
                <w:lang w:eastAsia="zh-CN"/>
              </w:rPr>
              <w:t>1</w:t>
            </w:r>
          </w:p>
        </w:tc>
        <w:tc>
          <w:tcPr>
            <w:tcW w:w="831" w:type="pct"/>
            <w:vAlign w:val="center"/>
          </w:tcPr>
          <w:p w14:paraId="2860E382">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项</w:t>
            </w:r>
          </w:p>
        </w:tc>
        <w:tc>
          <w:tcPr>
            <w:tcW w:w="831" w:type="pct"/>
            <w:vAlign w:val="center"/>
          </w:tcPr>
          <w:p w14:paraId="0DFCB025">
            <w:pPr>
              <w:widowControl w:val="0"/>
              <w:jc w:val="center"/>
              <w:rPr>
                <w:rFonts w:ascii="Calibri" w:hAnsi="Calibri" w:eastAsia="宋体" w:cs="宋体"/>
                <w:b/>
                <w:color w:val="FF0000"/>
                <w:kern w:val="2"/>
                <w:sz w:val="21"/>
                <w:szCs w:val="21"/>
                <w:lang w:eastAsia="zh-CN"/>
              </w:rPr>
            </w:pPr>
            <w:r>
              <w:rPr>
                <w:rFonts w:hint="eastAsia" w:ascii="Calibri" w:hAnsi="Calibri" w:eastAsia="宋体" w:cs="宋体"/>
                <w:b/>
                <w:color w:val="FF0000"/>
                <w:kern w:val="2"/>
                <w:sz w:val="21"/>
                <w:szCs w:val="21"/>
                <w:lang w:eastAsia="zh-CN"/>
              </w:rPr>
              <w:t>否</w:t>
            </w:r>
          </w:p>
        </w:tc>
        <w:tc>
          <w:tcPr>
            <w:tcW w:w="831" w:type="pct"/>
            <w:vAlign w:val="center"/>
          </w:tcPr>
          <w:p w14:paraId="6170215A">
            <w:pPr>
              <w:widowControl w:val="0"/>
              <w:jc w:val="center"/>
              <w:rPr>
                <w:rFonts w:ascii="Calibri" w:hAnsi="Calibri" w:eastAsia="宋体" w:cs="宋体"/>
                <w:b/>
                <w:color w:val="FF0000"/>
                <w:kern w:val="2"/>
                <w:sz w:val="21"/>
                <w:szCs w:val="21"/>
                <w:lang w:eastAsia="zh-CN"/>
              </w:rPr>
            </w:pPr>
            <w:r>
              <w:rPr>
                <w:rFonts w:hint="eastAsia" w:ascii="Calibri" w:hAnsi="Calibri" w:eastAsia="宋体" w:cs="宋体"/>
                <w:b/>
                <w:color w:val="FF0000"/>
                <w:kern w:val="2"/>
                <w:sz w:val="21"/>
                <w:szCs w:val="21"/>
                <w:lang w:eastAsia="zh-CN"/>
              </w:rPr>
              <w:t>餐饮业</w:t>
            </w:r>
          </w:p>
        </w:tc>
      </w:tr>
    </w:tbl>
    <w:p w14:paraId="7822919E">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bookmarkStart w:id="18" w:name="_Toc128884461"/>
      <w:r>
        <w:rPr>
          <w:rFonts w:hint="eastAsia" w:ascii="Arial" w:hAnsi="Arial" w:eastAsia="宋体"/>
          <w:b/>
          <w:bCs/>
          <w:kern w:val="2"/>
          <w:sz w:val="32"/>
          <w:szCs w:val="32"/>
          <w:lang w:eastAsia="zh-CN"/>
        </w:rPr>
        <w:t>四、实质性条款</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079"/>
      </w:tblGrid>
      <w:tr w14:paraId="1993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92" w:type="dxa"/>
            <w:vAlign w:val="center"/>
          </w:tcPr>
          <w:p w14:paraId="7C623FBF">
            <w:pPr>
              <w:widowControl w:val="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序号</w:t>
            </w:r>
          </w:p>
        </w:tc>
        <w:tc>
          <w:tcPr>
            <w:tcW w:w="8381" w:type="dxa"/>
            <w:vAlign w:val="center"/>
          </w:tcPr>
          <w:p w14:paraId="26BEAE76">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实质性条款具体内容</w:t>
            </w:r>
          </w:p>
        </w:tc>
      </w:tr>
      <w:tr w14:paraId="3B4D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2" w:type="dxa"/>
            <w:vAlign w:val="center"/>
          </w:tcPr>
          <w:p w14:paraId="26678A43">
            <w:pPr>
              <w:widowControl w:val="0"/>
              <w:jc w:val="center"/>
              <w:rPr>
                <w:rFonts w:ascii="Calibri" w:hAnsi="Calibri" w:eastAsia="宋体" w:cs="宋体"/>
                <w:kern w:val="2"/>
                <w:sz w:val="21"/>
                <w:szCs w:val="22"/>
                <w:lang w:eastAsia="zh-CN"/>
              </w:rPr>
            </w:pPr>
            <w:r>
              <w:rPr>
                <w:rFonts w:hint="eastAsia"/>
                <w:bCs/>
                <w:szCs w:val="21"/>
              </w:rPr>
              <w:t>1</w:t>
            </w:r>
          </w:p>
        </w:tc>
        <w:tc>
          <w:tcPr>
            <w:tcW w:w="8381" w:type="dxa"/>
            <w:vAlign w:val="center"/>
          </w:tcPr>
          <w:p w14:paraId="0707FA04">
            <w:pPr>
              <w:widowControl w:val="0"/>
              <w:rPr>
                <w:rFonts w:ascii="Calibri" w:hAnsi="Calibri" w:eastAsia="宋体" w:cs="宋体"/>
                <w:kern w:val="2"/>
                <w:sz w:val="21"/>
                <w:szCs w:val="22"/>
                <w:lang w:eastAsia="zh-CN"/>
              </w:rPr>
            </w:pPr>
            <w:r>
              <w:rPr>
                <w:rFonts w:hint="eastAsia"/>
                <w:lang w:eastAsia="zh-CN"/>
              </w:rPr>
              <w:t>满足本项目标★的条款要求</w:t>
            </w:r>
          </w:p>
        </w:tc>
      </w:tr>
      <w:bookmarkEnd w:id="18"/>
    </w:tbl>
    <w:p w14:paraId="5B16BF96">
      <w:pPr>
        <w:widowControl w:val="0"/>
        <w:jc w:val="center"/>
        <w:rPr>
          <w:rFonts w:ascii="楷体_GB2312" w:hAnsi="Calibri" w:eastAsia="楷体_GB2312" w:cs="宋体"/>
          <w:b/>
          <w:bCs/>
          <w:kern w:val="2"/>
          <w:lang w:eastAsia="zh-CN"/>
        </w:rPr>
      </w:pPr>
      <w:r>
        <w:rPr>
          <w:rFonts w:hint="eastAsia" w:ascii="Calibri" w:hAnsi="Calibri" w:eastAsia="宋体" w:cs="宋体"/>
          <w:kern w:val="2"/>
          <w:sz w:val="21"/>
          <w:szCs w:val="22"/>
          <w:lang w:eastAsia="zh-CN"/>
        </w:rPr>
        <w:t>注：上表所</w:t>
      </w:r>
      <w:r>
        <w:rPr>
          <w:rFonts w:hint="eastAsia" w:ascii="Calibri" w:hAnsi="Calibri" w:eastAsia="宋体" w:cs="宋体"/>
          <w:b/>
          <w:color w:val="FF0000"/>
          <w:kern w:val="2"/>
          <w:sz w:val="21"/>
          <w:szCs w:val="22"/>
          <w:lang w:eastAsia="zh-CN"/>
        </w:rPr>
        <w:t>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签合同，一切后果由投标人承担。</w:t>
      </w:r>
      <w:r>
        <w:rPr>
          <w:rFonts w:ascii="Calibri" w:hAnsi="Calibri" w:eastAsia="宋体" w:cs="宋体"/>
          <w:kern w:val="2"/>
          <w:sz w:val="21"/>
          <w:szCs w:val="22"/>
          <w:lang w:eastAsia="zh-CN"/>
        </w:rPr>
        <w:br w:type="page"/>
      </w:r>
    </w:p>
    <w:p w14:paraId="5249BAEC">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w:t>
      </w:r>
    </w:p>
    <w:p w14:paraId="21365FCB">
      <w:pPr>
        <w:widowControl w:val="0"/>
        <w:ind w:firstLine="420" w:firstLineChars="200"/>
        <w:jc w:val="both"/>
        <w:rPr>
          <w:rFonts w:ascii="宋体" w:hAnsi="宋体" w:eastAsia="宋体" w:cs="宋体"/>
          <w:color w:val="000000"/>
          <w:kern w:val="2"/>
          <w:sz w:val="21"/>
          <w:szCs w:val="21"/>
          <w:lang w:eastAsia="zh-CN"/>
        </w:rPr>
      </w:pPr>
    </w:p>
    <w:p w14:paraId="026E32B5">
      <w:pPr>
        <w:ind w:firstLine="482" w:firstLineChars="200"/>
        <w:rPr>
          <w:rFonts w:eastAsia="宋体"/>
          <w:b/>
          <w:szCs w:val="21"/>
          <w:lang w:eastAsia="zh-CN"/>
        </w:rPr>
      </w:pPr>
      <w:bookmarkStart w:id="19" w:name="_Toc306972619"/>
      <w:r>
        <w:rPr>
          <w:rFonts w:hint="eastAsia" w:eastAsia="宋体"/>
          <w:b/>
          <w:szCs w:val="21"/>
          <w:lang w:eastAsia="zh-CN"/>
        </w:rPr>
        <w:t>（一）服务范围</w:t>
      </w:r>
    </w:p>
    <w:p w14:paraId="5580CA06">
      <w:pPr>
        <w:ind w:firstLine="480" w:firstLineChars="200"/>
        <w:rPr>
          <w:rFonts w:eastAsia="宋体"/>
          <w:bCs/>
          <w:szCs w:val="21"/>
          <w:lang w:eastAsia="zh-CN"/>
        </w:rPr>
      </w:pPr>
      <w:r>
        <w:rPr>
          <w:rFonts w:hint="eastAsia" w:eastAsia="宋体"/>
          <w:bCs/>
          <w:szCs w:val="21"/>
          <w:lang w:eastAsia="zh-CN"/>
        </w:rPr>
        <w:t>1.中标人派驻专业服务团队到深圳市第二高级中学深汕学校食堂提供优质的餐饮管理服务，负责学校工作日、周六日、法定节假日、寒暑假提供早、中、晚三餐，以及接待工作餐服务以及特殊状况下的应急供餐保障服务。</w:t>
      </w:r>
    </w:p>
    <w:p w14:paraId="0C609772">
      <w:pPr>
        <w:ind w:firstLine="480" w:firstLineChars="200"/>
        <w:rPr>
          <w:rFonts w:eastAsia="宋体"/>
          <w:bCs/>
          <w:szCs w:val="21"/>
          <w:lang w:eastAsia="zh-CN"/>
        </w:rPr>
      </w:pPr>
      <w:r>
        <w:rPr>
          <w:rFonts w:hint="eastAsia" w:eastAsia="宋体"/>
          <w:bCs/>
          <w:szCs w:val="21"/>
          <w:lang w:eastAsia="zh-CN"/>
        </w:rPr>
        <w:t>2.本食堂餐饮管理服务项目不涉及食品原材料采购（注：食品原材料由学校通过公开招标的食材配送单位负责供应）。食堂不得对外经营，中标方派驻学校的服务人员需服从采购方的安排。</w:t>
      </w:r>
    </w:p>
    <w:p w14:paraId="2D33D603">
      <w:pPr>
        <w:ind w:firstLine="480" w:firstLineChars="200"/>
        <w:rPr>
          <w:rFonts w:eastAsia="宋体"/>
          <w:bCs/>
          <w:szCs w:val="21"/>
          <w:lang w:eastAsia="zh-CN"/>
        </w:rPr>
      </w:pPr>
      <w:r>
        <w:rPr>
          <w:rFonts w:hint="eastAsia" w:eastAsia="宋体"/>
          <w:bCs/>
          <w:szCs w:val="21"/>
          <w:lang w:eastAsia="zh-CN"/>
        </w:rPr>
        <w:t>3.本食堂餐饮管理服务项目委托管理的范围包括厨房、学生餐厅和教师餐厅所有区域，含以上所有区域内的餐厨设施设备。</w:t>
      </w:r>
    </w:p>
    <w:p w14:paraId="54713759">
      <w:pPr>
        <w:ind w:firstLine="480" w:firstLineChars="200"/>
        <w:rPr>
          <w:rFonts w:eastAsia="宋体"/>
          <w:bCs/>
          <w:szCs w:val="21"/>
          <w:lang w:eastAsia="zh-CN"/>
        </w:rPr>
      </w:pPr>
      <w:r>
        <w:rPr>
          <w:rFonts w:hint="eastAsia" w:eastAsia="宋体"/>
          <w:bCs/>
          <w:szCs w:val="21"/>
          <w:lang w:eastAsia="zh-CN"/>
        </w:rPr>
        <w:t>4.采购方管理人员对中标方派遣人员的服务进行日常监督和检查，每月进行履约评价和考核。</w:t>
      </w:r>
    </w:p>
    <w:bookmarkEnd w:id="19"/>
    <w:p w14:paraId="70FAF59E">
      <w:pPr>
        <w:ind w:firstLine="482" w:firstLineChars="200"/>
        <w:rPr>
          <w:rFonts w:eastAsia="宋体"/>
          <w:b/>
          <w:szCs w:val="21"/>
          <w:lang w:eastAsia="zh-CN"/>
        </w:rPr>
      </w:pPr>
      <w:r>
        <w:rPr>
          <w:rFonts w:hint="eastAsia" w:eastAsia="宋体"/>
          <w:b/>
          <w:szCs w:val="21"/>
          <w:lang w:eastAsia="zh-CN"/>
        </w:rPr>
        <w:t>（二）服务内容、工作质量要求</w:t>
      </w:r>
    </w:p>
    <w:p w14:paraId="0E0B7910">
      <w:pPr>
        <w:ind w:firstLine="482" w:firstLineChars="200"/>
        <w:rPr>
          <w:rFonts w:eastAsia="宋体"/>
          <w:bCs/>
          <w:szCs w:val="21"/>
          <w:lang w:eastAsia="zh-CN"/>
        </w:rPr>
      </w:pPr>
      <w:r>
        <w:rPr>
          <w:rFonts w:hint="eastAsia" w:eastAsia="宋体"/>
          <w:b/>
          <w:szCs w:val="21"/>
          <w:lang w:eastAsia="zh-CN"/>
        </w:rPr>
        <w:t>1.服务内容</w:t>
      </w:r>
    </w:p>
    <w:p w14:paraId="07F2F654">
      <w:pPr>
        <w:ind w:firstLine="480" w:firstLineChars="200"/>
        <w:rPr>
          <w:rFonts w:eastAsia="宋体"/>
          <w:bCs/>
          <w:szCs w:val="21"/>
          <w:lang w:eastAsia="zh-CN"/>
        </w:rPr>
      </w:pPr>
      <w:r>
        <w:rPr>
          <w:rFonts w:hint="eastAsia"/>
          <w:lang w:eastAsia="zh-CN"/>
        </w:rPr>
        <w:t>★</w:t>
      </w:r>
      <w:r>
        <w:rPr>
          <w:rFonts w:hint="eastAsia" w:eastAsia="宋体"/>
          <w:bCs/>
          <w:szCs w:val="21"/>
          <w:lang w:eastAsia="zh-CN"/>
        </w:rPr>
        <w:t>（1）食材加工制作。根据提前拟定的菜单和就餐人数提前一天提交食材采购清单供学校审核，收到学校定点食材配送单位所配送的食材后负责加工制作餐食，餐食类别为中餐。学校供餐服务时间：早餐6:30-8:00；中餐11:20-13:00；晚餐17:20-19:00。如遇特殊情况需进行特别保障的（如提前或延后开饭等有关情形），中标方需无条件执行保障任务。</w:t>
      </w:r>
    </w:p>
    <w:p w14:paraId="1D8C00BB">
      <w:pPr>
        <w:ind w:firstLine="480" w:firstLineChars="200"/>
        <w:rPr>
          <w:rFonts w:eastAsia="宋体"/>
          <w:bCs/>
          <w:szCs w:val="21"/>
          <w:lang w:eastAsia="zh-CN"/>
        </w:rPr>
      </w:pPr>
      <w:r>
        <w:rPr>
          <w:rFonts w:hint="eastAsia" w:eastAsia="宋体"/>
          <w:bCs/>
          <w:szCs w:val="21"/>
          <w:lang w:eastAsia="zh-CN"/>
        </w:rPr>
        <w:t>（2）餐厅配餐服务。学生餐厅以窗口配餐方式供应，教师餐厅以自助餐方式供应，两个餐厅需要同时供餐。</w:t>
      </w:r>
    </w:p>
    <w:p w14:paraId="127C7DBE">
      <w:pPr>
        <w:ind w:firstLine="480" w:firstLineChars="200"/>
        <w:rPr>
          <w:rFonts w:eastAsia="宋体"/>
          <w:bCs/>
          <w:szCs w:val="21"/>
          <w:lang w:eastAsia="zh-CN"/>
        </w:rPr>
      </w:pPr>
      <w:r>
        <w:rPr>
          <w:rFonts w:hint="eastAsia" w:eastAsia="宋体"/>
          <w:bCs/>
          <w:szCs w:val="21"/>
          <w:lang w:eastAsia="zh-CN"/>
        </w:rPr>
        <w:t>（3）食堂卫生保洁。负责食堂厨房、学生餐厅和教师餐厅全部区域的清洁卫生。食品安全保障管理。按照国家、省市有关规定，规范执行食品安全相关制度，细化食品安全操作流程。</w:t>
      </w:r>
    </w:p>
    <w:p w14:paraId="07504D4A">
      <w:pPr>
        <w:ind w:firstLine="482" w:firstLineChars="200"/>
        <w:rPr>
          <w:rFonts w:eastAsia="宋体"/>
          <w:b/>
          <w:szCs w:val="21"/>
          <w:lang w:eastAsia="zh-CN"/>
        </w:rPr>
      </w:pPr>
      <w:r>
        <w:rPr>
          <w:rFonts w:hint="eastAsia" w:eastAsia="宋体"/>
          <w:b/>
          <w:szCs w:val="21"/>
          <w:lang w:eastAsia="zh-CN"/>
        </w:rPr>
        <w:t>2.工作质量要求</w:t>
      </w:r>
    </w:p>
    <w:p w14:paraId="1BC03BDC">
      <w:pPr>
        <w:ind w:firstLine="480" w:firstLineChars="200"/>
        <w:rPr>
          <w:rFonts w:eastAsia="宋体"/>
          <w:bCs/>
          <w:szCs w:val="21"/>
          <w:lang w:eastAsia="zh-CN"/>
        </w:rPr>
      </w:pPr>
      <w:r>
        <w:rPr>
          <w:rFonts w:hint="eastAsia" w:eastAsia="宋体"/>
          <w:bCs/>
          <w:szCs w:val="21"/>
          <w:lang w:eastAsia="zh-CN"/>
        </w:rPr>
        <w:t>（1）对采购方的食堂日常事务管理，中标方应严格执行国家、广东省和深圳市食品卫生安全法规的规范要求，严格按照深圳市“A级 食堂”标准运营管理；食堂工作人员有效健康证上岗；做好个人卫生、环境卫生和餐厨用具用品的消毒工作，保障食堂出品的食品卫生安全；严防食物中毒和食源性疾病；严格执行安全生产制度，做好防火防盗的预防工作，杜绝重大事故的发生及发生偷盗采购方食材物资的现象。</w:t>
      </w:r>
    </w:p>
    <w:p w14:paraId="7B1A9AEB">
      <w:pPr>
        <w:ind w:firstLine="480" w:firstLineChars="200"/>
        <w:rPr>
          <w:rFonts w:eastAsia="宋体"/>
          <w:bCs/>
          <w:szCs w:val="21"/>
          <w:lang w:eastAsia="zh-CN"/>
        </w:rPr>
      </w:pPr>
      <w:r>
        <w:rPr>
          <w:rFonts w:hint="eastAsia" w:eastAsia="宋体"/>
          <w:bCs/>
          <w:szCs w:val="21"/>
          <w:lang w:eastAsia="zh-CN"/>
        </w:rPr>
        <w:t>（2）每半年进行一次较大规模的员工餐饮服务满意度调查，针对调查结果和就餐师生的意见建议提出有效的整改方案。</w:t>
      </w:r>
    </w:p>
    <w:p w14:paraId="0CF44C82">
      <w:pPr>
        <w:ind w:firstLine="480" w:firstLineChars="200"/>
        <w:rPr>
          <w:rFonts w:eastAsia="宋体"/>
          <w:bCs/>
          <w:szCs w:val="21"/>
          <w:lang w:eastAsia="zh-CN"/>
        </w:rPr>
      </w:pPr>
      <w:r>
        <w:rPr>
          <w:rFonts w:hint="eastAsia" w:eastAsia="宋体"/>
          <w:bCs/>
          <w:szCs w:val="21"/>
          <w:lang w:eastAsia="zh-CN"/>
        </w:rPr>
        <w:t>（3）自觉接受学校膳食委员会的监督和指导，与就餐师生保持良好沟通，降低就餐师生的不满意率，提升采购方在餐饮服务方面的形象。</w:t>
      </w:r>
    </w:p>
    <w:p w14:paraId="5F4B56F1">
      <w:pPr>
        <w:ind w:firstLine="480" w:firstLineChars="200"/>
        <w:rPr>
          <w:rFonts w:eastAsia="宋体"/>
          <w:bCs/>
          <w:szCs w:val="21"/>
          <w:lang w:eastAsia="zh-CN"/>
        </w:rPr>
      </w:pPr>
      <w:r>
        <w:rPr>
          <w:rFonts w:hint="eastAsia" w:eastAsia="宋体"/>
          <w:bCs/>
          <w:szCs w:val="21"/>
          <w:lang w:eastAsia="zh-CN"/>
        </w:rPr>
        <w:t>（4）食堂环境卫生清洁要达到国家有关规定及行业规范的标准。食堂工作场所及周边区域中标方应做到每天及时清洁，每周彻底打扫一次；污水的排放按照环保部门的要求进行排放，定期联系学校物业单位清理厨房隔油池；协助消杀公司做好除“四害”消杀工作，并做好相关的记录；主动对接辖区厨余垃圾接收单位，及时清运产生的厨余垃圾。</w:t>
      </w:r>
    </w:p>
    <w:p w14:paraId="1B7E875F">
      <w:pPr>
        <w:ind w:firstLine="480" w:firstLineChars="200"/>
        <w:rPr>
          <w:rFonts w:eastAsia="宋体"/>
          <w:bCs/>
          <w:szCs w:val="21"/>
          <w:lang w:eastAsia="zh-CN"/>
        </w:rPr>
      </w:pPr>
      <w:r>
        <w:rPr>
          <w:rFonts w:hint="eastAsia" w:eastAsia="宋体"/>
          <w:bCs/>
          <w:szCs w:val="21"/>
          <w:lang w:eastAsia="zh-CN"/>
        </w:rPr>
        <w:t>（5）中标方每年组织员工进行健康体检一次，并将上述有关资料交采购单位存档，由此产生的一切费用由中标方承担。</w:t>
      </w:r>
    </w:p>
    <w:p w14:paraId="3B0D4F7C">
      <w:pPr>
        <w:ind w:firstLine="482" w:firstLineChars="200"/>
        <w:rPr>
          <w:rFonts w:eastAsia="宋体"/>
          <w:b/>
          <w:szCs w:val="21"/>
          <w:lang w:eastAsia="zh-CN"/>
        </w:rPr>
      </w:pPr>
      <w:r>
        <w:rPr>
          <w:rFonts w:hint="eastAsia" w:eastAsia="宋体"/>
          <w:b/>
          <w:szCs w:val="21"/>
          <w:lang w:eastAsia="zh-CN"/>
        </w:rPr>
        <w:t>（三）食品安全保障管理</w:t>
      </w:r>
    </w:p>
    <w:p w14:paraId="44B59582">
      <w:pPr>
        <w:ind w:firstLine="480" w:firstLineChars="200"/>
        <w:rPr>
          <w:rFonts w:eastAsia="宋体"/>
          <w:bCs/>
          <w:szCs w:val="21"/>
          <w:lang w:eastAsia="zh-CN"/>
        </w:rPr>
      </w:pPr>
      <w:r>
        <w:rPr>
          <w:rFonts w:hint="eastAsia" w:eastAsia="宋体"/>
          <w:bCs/>
          <w:szCs w:val="21"/>
          <w:lang w:eastAsia="zh-CN"/>
        </w:rPr>
        <w:t>1.设立厨师长（兼项目经理）为本项目第一安全责任人、厨师及其他成员为安全管理员的组织架构。严格执行食堂安全管理制度，有效预防和杜绝食堂各类安全隐患的发生。</w:t>
      </w:r>
    </w:p>
    <w:p w14:paraId="39B0BDDD">
      <w:pPr>
        <w:ind w:firstLine="480" w:firstLineChars="200"/>
        <w:rPr>
          <w:rFonts w:eastAsia="宋体"/>
          <w:bCs/>
          <w:szCs w:val="21"/>
          <w:lang w:eastAsia="zh-CN"/>
        </w:rPr>
      </w:pPr>
      <w:r>
        <w:rPr>
          <w:rFonts w:hint="eastAsia" w:eastAsia="宋体"/>
          <w:bCs/>
          <w:szCs w:val="21"/>
          <w:lang w:eastAsia="zh-CN"/>
        </w:rPr>
        <w:t>2.不定期的组织食堂全体员工食品安全、消防安全、卫生等培训，每年不少于2次。</w:t>
      </w:r>
    </w:p>
    <w:p w14:paraId="4B8256BF">
      <w:pPr>
        <w:ind w:firstLine="480" w:firstLineChars="200"/>
        <w:rPr>
          <w:rFonts w:eastAsia="宋体"/>
          <w:bCs/>
          <w:szCs w:val="21"/>
          <w:lang w:eastAsia="zh-CN"/>
        </w:rPr>
      </w:pPr>
      <w:r>
        <w:rPr>
          <w:rFonts w:hint="eastAsia" w:eastAsia="宋体"/>
          <w:bCs/>
          <w:szCs w:val="21"/>
          <w:lang w:eastAsia="zh-CN"/>
        </w:rPr>
        <w:t>3.定期检查食堂设备系统及电力线路完好，如发现异常隐患应及时排除。危险设备专人使用（如压面机、搅拌机等）并严格操作规程，防止意外事故发生。</w:t>
      </w:r>
    </w:p>
    <w:p w14:paraId="42BB9EBD">
      <w:pPr>
        <w:ind w:firstLine="480" w:firstLineChars="200"/>
        <w:rPr>
          <w:rFonts w:eastAsia="宋体"/>
          <w:bCs/>
          <w:szCs w:val="21"/>
          <w:lang w:eastAsia="zh-CN"/>
        </w:rPr>
      </w:pPr>
      <w:r>
        <w:rPr>
          <w:rFonts w:hint="eastAsia" w:eastAsia="宋体"/>
          <w:bCs/>
          <w:szCs w:val="21"/>
          <w:lang w:eastAsia="zh-CN"/>
        </w:rPr>
        <w:t>4.严格做好餐厅、厨房垃圾分类（垃圾装在套垃圾袋的垃圾桶并且加盖存放）处理，各种垃圾和剩余饭菜在供餐结束半小时内清运整理完毕，每日清运三次。</w:t>
      </w:r>
    </w:p>
    <w:p w14:paraId="03F21B11">
      <w:pPr>
        <w:ind w:firstLine="480" w:firstLineChars="200"/>
        <w:rPr>
          <w:rFonts w:eastAsia="宋体"/>
          <w:bCs/>
          <w:szCs w:val="21"/>
          <w:lang w:eastAsia="zh-CN"/>
        </w:rPr>
      </w:pPr>
      <w:r>
        <w:rPr>
          <w:rFonts w:hint="eastAsia" w:eastAsia="宋体"/>
          <w:bCs/>
          <w:szCs w:val="21"/>
          <w:lang w:eastAsia="zh-CN"/>
        </w:rPr>
        <w:t>5.严格按照卫生防疫部门的要求，及时联系消杀公司做好厨房、餐厅周围的除“四害”消杀工作，避免各种病毒及细菌传播。</w:t>
      </w:r>
    </w:p>
    <w:p w14:paraId="52B05E82">
      <w:pPr>
        <w:ind w:firstLine="480" w:firstLineChars="200"/>
        <w:rPr>
          <w:rFonts w:eastAsia="宋体"/>
          <w:bCs/>
          <w:szCs w:val="21"/>
          <w:lang w:eastAsia="zh-CN"/>
        </w:rPr>
      </w:pPr>
      <w:r>
        <w:rPr>
          <w:rFonts w:hint="eastAsia" w:eastAsia="宋体"/>
          <w:bCs/>
          <w:szCs w:val="21"/>
          <w:lang w:eastAsia="zh-CN"/>
        </w:rPr>
        <w:t>6.供餐完毕及时将餐具、用具进行清洗、消毒、保存；餐厅卫生及时保洁，保持通风干燥，杜绝各种病毒相互传染。员工进厨房前，按着装标准执行方可上岗（员工工作服、工作帽、口罩等物资由中标人自行提供）。</w:t>
      </w:r>
    </w:p>
    <w:p w14:paraId="3BBCF346">
      <w:pPr>
        <w:ind w:firstLine="482" w:firstLineChars="200"/>
        <w:rPr>
          <w:rFonts w:eastAsia="宋体"/>
          <w:b/>
          <w:szCs w:val="21"/>
          <w:lang w:eastAsia="zh-CN"/>
        </w:rPr>
      </w:pPr>
      <w:r>
        <w:rPr>
          <w:rFonts w:hint="eastAsia" w:eastAsia="宋体"/>
          <w:b/>
          <w:szCs w:val="21"/>
          <w:lang w:eastAsia="zh-CN"/>
        </w:rPr>
        <w:t>（四）水、电、燃气及设备的管理要求</w:t>
      </w:r>
    </w:p>
    <w:p w14:paraId="316EEC4B">
      <w:pPr>
        <w:ind w:firstLine="480" w:firstLineChars="200"/>
        <w:rPr>
          <w:rFonts w:eastAsia="宋体"/>
          <w:bCs/>
          <w:szCs w:val="21"/>
          <w:lang w:eastAsia="zh-CN"/>
        </w:rPr>
      </w:pPr>
      <w:r>
        <w:rPr>
          <w:rFonts w:hint="eastAsia" w:eastAsia="宋体"/>
          <w:bCs/>
          <w:szCs w:val="21"/>
          <w:lang w:eastAsia="zh-CN"/>
        </w:rPr>
        <w:t>1.对厨房、餐厅（炉灶、冷冻、抽风系统、加工设备等）所有设备，由食堂专职人员每天负责日常检查、记录，发现问题及时反馈并排除， 确保设备安全正常使用，杜绝出现因设备原因造成延误供餐。针对抽风系统制定定期清洗的计划，避免油烟过多造成安全隐患。</w:t>
      </w:r>
    </w:p>
    <w:p w14:paraId="5E4303CB">
      <w:pPr>
        <w:ind w:firstLine="480" w:firstLineChars="200"/>
        <w:rPr>
          <w:rFonts w:eastAsia="宋体"/>
          <w:bCs/>
          <w:szCs w:val="21"/>
          <w:lang w:eastAsia="zh-CN"/>
        </w:rPr>
      </w:pPr>
      <w:r>
        <w:rPr>
          <w:rFonts w:hint="eastAsia" w:eastAsia="宋体"/>
          <w:bCs/>
          <w:szCs w:val="21"/>
          <w:lang w:eastAsia="zh-CN"/>
        </w:rPr>
        <w:t>2.对日常水、电、燃料的使用进行有效控制。水管理：清洗地面时先洒水用洗涤剂洗干净后再用水冲并用扫把或水刮清除地面水分等系列措施进行管理。电管理：每个电器和开关都有专人负责检查管理，设备使用完毕及时关电；照明根据使用区域确定开放区域、空调根据就餐时间和外面温度确定开关时间及数量；保温设施根据饭菜数量及供餐时间确定使用时间和温度等，通过各种有效措施进行日常管理。燃气管理：根据菜肴制作要求和就餐人数，确定炉灶设备的使用数量，做到合理、高效使用炉灶，避免空烧浪费。</w:t>
      </w:r>
    </w:p>
    <w:p w14:paraId="6112489F">
      <w:pPr>
        <w:ind w:firstLine="480" w:firstLineChars="200"/>
        <w:rPr>
          <w:rFonts w:eastAsia="宋体"/>
          <w:bCs/>
          <w:szCs w:val="21"/>
          <w:lang w:eastAsia="zh-CN"/>
        </w:rPr>
      </w:pPr>
      <w:r>
        <w:rPr>
          <w:rFonts w:hint="eastAsia" w:eastAsia="宋体"/>
          <w:bCs/>
          <w:szCs w:val="21"/>
          <w:lang w:eastAsia="zh-CN"/>
        </w:rPr>
        <w:t>3.每个电器设施均制定《操作指导书》由专人进行培训指导，便于使用者熟练掌握；危险电器设施由专人使用，确保设备设施的正确使用延长使用周期减少维修维护费用，同时也能避免各种安全隐患出现发生。</w:t>
      </w:r>
    </w:p>
    <w:p w14:paraId="5C48F62C">
      <w:pPr>
        <w:ind w:firstLine="482" w:firstLineChars="200"/>
        <w:rPr>
          <w:rFonts w:eastAsia="宋体"/>
          <w:b/>
          <w:szCs w:val="21"/>
          <w:lang w:eastAsia="zh-CN"/>
        </w:rPr>
      </w:pPr>
      <w:r>
        <w:rPr>
          <w:rFonts w:hint="eastAsia" w:eastAsia="宋体"/>
          <w:b/>
          <w:szCs w:val="21"/>
          <w:lang w:eastAsia="zh-CN"/>
        </w:rPr>
        <w:t>（五）菜谱制作和审核管理要求</w:t>
      </w:r>
    </w:p>
    <w:p w14:paraId="065148B5">
      <w:pPr>
        <w:ind w:firstLine="480" w:firstLineChars="200"/>
        <w:rPr>
          <w:rFonts w:eastAsia="宋体"/>
          <w:bCs/>
          <w:szCs w:val="21"/>
          <w:lang w:eastAsia="zh-CN"/>
        </w:rPr>
      </w:pPr>
      <w:r>
        <w:rPr>
          <w:rFonts w:hint="eastAsia" w:eastAsia="宋体"/>
          <w:bCs/>
          <w:szCs w:val="21"/>
          <w:lang w:eastAsia="zh-CN"/>
        </w:rPr>
        <w:t>1.每周三前将下周菜谱拟制出来审阅合格后，交采购人审核批准，每周一在食堂公布栏进行张贴（或电子屏显示），便于就餐师生及时了解。</w:t>
      </w:r>
    </w:p>
    <w:p w14:paraId="7C154707">
      <w:pPr>
        <w:ind w:firstLine="480" w:firstLineChars="200"/>
        <w:rPr>
          <w:color w:val="000000"/>
          <w:kern w:val="2"/>
          <w:sz w:val="21"/>
          <w:szCs w:val="21"/>
          <w:lang w:eastAsia="zh-CN"/>
        </w:rPr>
      </w:pPr>
      <w:r>
        <w:rPr>
          <w:rFonts w:hint="eastAsia" w:eastAsia="宋体"/>
          <w:bCs/>
          <w:szCs w:val="21"/>
          <w:lang w:eastAsia="zh-CN"/>
        </w:rPr>
        <w:t>2.针对就餐人员的口味需求特点，菜谱在编制上，多制作适合就餐人员喜爱的菜式及一些创新的特色菜肴，并做到色香味形的合理搭配，基本能满足中外籍员工在口味及菜式方面的需求；提供热饭热菜供应服务，努力提高烹调服务水平，确保每星期都有新菜品。</w:t>
      </w:r>
    </w:p>
    <w:p w14:paraId="4F83E799">
      <w:pPr>
        <w:ind w:firstLine="482" w:firstLineChars="200"/>
        <w:rPr>
          <w:rFonts w:eastAsia="宋体"/>
          <w:b/>
          <w:szCs w:val="21"/>
          <w:lang w:eastAsia="zh-CN"/>
        </w:rPr>
      </w:pPr>
      <w:r>
        <w:rPr>
          <w:rFonts w:hint="eastAsia" w:eastAsia="宋体"/>
          <w:b/>
          <w:szCs w:val="21"/>
          <w:lang w:eastAsia="zh-CN"/>
        </w:rPr>
        <w:t>（六）工作时间要求</w:t>
      </w:r>
    </w:p>
    <w:p w14:paraId="09916804">
      <w:pPr>
        <w:ind w:firstLine="480" w:firstLineChars="200"/>
        <w:rPr>
          <w:rFonts w:eastAsia="宋体"/>
          <w:bCs/>
          <w:szCs w:val="21"/>
          <w:lang w:eastAsia="zh-CN"/>
        </w:rPr>
      </w:pPr>
      <w:r>
        <w:rPr>
          <w:rFonts w:hint="eastAsia" w:eastAsia="宋体"/>
          <w:bCs/>
          <w:szCs w:val="21"/>
          <w:lang w:eastAsia="zh-CN"/>
        </w:rPr>
        <w:t>1.按照采购方（学校）学年、学期教学工作时间和食堂每日供餐服务时间，完成工作任务。</w:t>
      </w:r>
    </w:p>
    <w:p w14:paraId="073F7984">
      <w:pPr>
        <w:ind w:firstLine="480" w:firstLineChars="200"/>
        <w:rPr>
          <w:rFonts w:eastAsia="宋体"/>
          <w:bCs/>
          <w:szCs w:val="21"/>
          <w:lang w:eastAsia="zh-CN"/>
        </w:rPr>
      </w:pPr>
      <w:r>
        <w:rPr>
          <w:rFonts w:hint="eastAsia" w:eastAsia="宋体"/>
          <w:bCs/>
          <w:szCs w:val="21"/>
          <w:lang w:eastAsia="zh-CN"/>
        </w:rPr>
        <w:t>2.如采购单位有其他临时性的保障服务工作需要，中标方需无条件按照采购单位要求提供服务，全力保障解决。</w:t>
      </w:r>
    </w:p>
    <w:p w14:paraId="03C2E110">
      <w:pPr>
        <w:ind w:firstLine="480" w:firstLineChars="200"/>
        <w:rPr>
          <w:lang w:eastAsia="zh-CN"/>
        </w:rPr>
      </w:pPr>
      <w:r>
        <w:rPr>
          <w:rFonts w:hint="eastAsia" w:eastAsia="宋体"/>
          <w:bCs/>
          <w:szCs w:val="21"/>
          <w:lang w:eastAsia="zh-CN"/>
        </w:rPr>
        <w:t>3.如采购方工作需要，食堂周六日、法定节假日或寒暑假需正常开餐，需安排人员上班，相关费用由中标方负责，采购方不承担相关费用，不另结算。</w:t>
      </w:r>
    </w:p>
    <w:p w14:paraId="4F0CCE73">
      <w:pPr>
        <w:ind w:firstLine="482" w:firstLineChars="200"/>
        <w:rPr>
          <w:rFonts w:eastAsia="宋体"/>
          <w:b/>
          <w:szCs w:val="21"/>
          <w:lang w:eastAsia="zh-CN"/>
        </w:rPr>
      </w:pPr>
      <w:r>
        <w:rPr>
          <w:rFonts w:hint="eastAsia" w:eastAsia="宋体"/>
          <w:b/>
          <w:szCs w:val="21"/>
          <w:lang w:eastAsia="zh-CN"/>
        </w:rPr>
        <w:t>（七）服务人员配置要求及岗位职责</w:t>
      </w:r>
    </w:p>
    <w:tbl>
      <w:tblPr>
        <w:tblStyle w:val="18"/>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11"/>
        <w:gridCol w:w="1063"/>
        <w:gridCol w:w="5002"/>
      </w:tblGrid>
      <w:tr w14:paraId="1815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2211" w:type="dxa"/>
            <w:noWrap/>
            <w:tcMar>
              <w:top w:w="15" w:type="dxa"/>
              <w:left w:w="15" w:type="dxa"/>
              <w:right w:w="15" w:type="dxa"/>
            </w:tcMar>
            <w:vAlign w:val="center"/>
          </w:tcPr>
          <w:p w14:paraId="13400900">
            <w:pPr>
              <w:ind w:firstLine="482" w:firstLineChars="200"/>
              <w:jc w:val="center"/>
              <w:rPr>
                <w:rFonts w:eastAsia="宋体"/>
                <w:b/>
                <w:szCs w:val="21"/>
                <w:lang w:eastAsia="zh-CN"/>
              </w:rPr>
            </w:pPr>
            <w:r>
              <w:rPr>
                <w:rFonts w:hint="eastAsia" w:eastAsia="宋体"/>
                <w:b/>
                <w:szCs w:val="21"/>
                <w:lang w:eastAsia="zh-CN"/>
              </w:rPr>
              <w:t>岗位</w:t>
            </w:r>
          </w:p>
        </w:tc>
        <w:tc>
          <w:tcPr>
            <w:tcW w:w="1063" w:type="dxa"/>
            <w:noWrap/>
            <w:tcMar>
              <w:top w:w="15" w:type="dxa"/>
              <w:left w:w="15" w:type="dxa"/>
              <w:right w:w="15" w:type="dxa"/>
            </w:tcMar>
            <w:vAlign w:val="center"/>
          </w:tcPr>
          <w:p w14:paraId="476A96E1">
            <w:pPr>
              <w:ind w:firstLine="482" w:firstLineChars="200"/>
              <w:jc w:val="both"/>
              <w:rPr>
                <w:rFonts w:eastAsia="宋体"/>
                <w:b/>
                <w:szCs w:val="21"/>
                <w:lang w:eastAsia="zh-CN"/>
              </w:rPr>
            </w:pPr>
            <w:r>
              <w:rPr>
                <w:rFonts w:hint="eastAsia" w:eastAsia="宋体"/>
                <w:b/>
                <w:szCs w:val="21"/>
                <w:lang w:eastAsia="zh-CN"/>
              </w:rPr>
              <w:t>人数</w:t>
            </w:r>
          </w:p>
        </w:tc>
        <w:tc>
          <w:tcPr>
            <w:tcW w:w="5002" w:type="dxa"/>
            <w:noWrap/>
            <w:tcMar>
              <w:top w:w="15" w:type="dxa"/>
              <w:left w:w="15" w:type="dxa"/>
              <w:right w:w="15" w:type="dxa"/>
            </w:tcMar>
            <w:vAlign w:val="center"/>
          </w:tcPr>
          <w:p w14:paraId="2CA8A394">
            <w:pPr>
              <w:ind w:firstLine="482" w:firstLineChars="200"/>
              <w:rPr>
                <w:rFonts w:eastAsia="宋体"/>
                <w:b/>
                <w:szCs w:val="21"/>
                <w:lang w:eastAsia="zh-CN"/>
              </w:rPr>
            </w:pPr>
            <w:r>
              <w:rPr>
                <w:rFonts w:hint="eastAsia" w:eastAsia="宋体"/>
                <w:b/>
                <w:szCs w:val="21"/>
                <w:lang w:eastAsia="zh-CN"/>
              </w:rPr>
              <w:t>岗位职责</w:t>
            </w:r>
          </w:p>
        </w:tc>
      </w:tr>
      <w:tr w14:paraId="31A8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jc w:val="center"/>
        </w:trPr>
        <w:tc>
          <w:tcPr>
            <w:tcW w:w="2211" w:type="dxa"/>
            <w:noWrap/>
            <w:tcMar>
              <w:top w:w="15" w:type="dxa"/>
              <w:left w:w="15" w:type="dxa"/>
              <w:right w:w="15" w:type="dxa"/>
            </w:tcMar>
            <w:vAlign w:val="center"/>
          </w:tcPr>
          <w:p w14:paraId="1F9D4586">
            <w:pPr>
              <w:jc w:val="center"/>
              <w:rPr>
                <w:rFonts w:eastAsia="宋体"/>
                <w:bCs/>
                <w:szCs w:val="21"/>
                <w:lang w:eastAsia="zh-CN"/>
              </w:rPr>
            </w:pPr>
            <w:r>
              <w:rPr>
                <w:rFonts w:hint="eastAsia" w:eastAsia="宋体"/>
                <w:bCs/>
                <w:szCs w:val="21"/>
                <w:lang w:eastAsia="zh-CN"/>
              </w:rPr>
              <w:t>厨师长（兼项目经理）</w:t>
            </w:r>
          </w:p>
        </w:tc>
        <w:tc>
          <w:tcPr>
            <w:tcW w:w="1063" w:type="dxa"/>
            <w:noWrap/>
            <w:tcMar>
              <w:top w:w="15" w:type="dxa"/>
              <w:left w:w="15" w:type="dxa"/>
              <w:right w:w="15" w:type="dxa"/>
            </w:tcMar>
            <w:vAlign w:val="center"/>
          </w:tcPr>
          <w:p w14:paraId="661F77EB">
            <w:pPr>
              <w:ind w:firstLine="480" w:firstLineChars="200"/>
              <w:jc w:val="both"/>
              <w:rPr>
                <w:rFonts w:eastAsia="宋体"/>
                <w:bCs/>
                <w:szCs w:val="21"/>
                <w:lang w:eastAsia="zh-CN"/>
              </w:rPr>
            </w:pPr>
            <w:r>
              <w:rPr>
                <w:rFonts w:hint="eastAsia" w:eastAsia="宋体"/>
                <w:bCs/>
                <w:szCs w:val="21"/>
                <w:lang w:eastAsia="zh-CN"/>
              </w:rPr>
              <w:t>1</w:t>
            </w:r>
          </w:p>
        </w:tc>
        <w:tc>
          <w:tcPr>
            <w:tcW w:w="5002" w:type="dxa"/>
            <w:noWrap/>
            <w:tcMar>
              <w:top w:w="15" w:type="dxa"/>
              <w:left w:w="15" w:type="dxa"/>
              <w:right w:w="15" w:type="dxa"/>
            </w:tcMar>
            <w:vAlign w:val="center"/>
          </w:tcPr>
          <w:p w14:paraId="44663A4C">
            <w:pPr>
              <w:ind w:firstLine="480" w:firstLineChars="200"/>
              <w:rPr>
                <w:rFonts w:eastAsia="宋体"/>
                <w:bCs/>
                <w:szCs w:val="21"/>
                <w:lang w:eastAsia="zh-CN"/>
              </w:rPr>
            </w:pPr>
            <w:r>
              <w:rPr>
                <w:rFonts w:hint="eastAsia" w:eastAsia="宋体"/>
                <w:bCs/>
                <w:szCs w:val="21"/>
                <w:lang w:eastAsia="zh-CN"/>
              </w:rPr>
              <w:t>全面负责本项目日常管理、客户沟通、内外事务处理、员工的考核培训等，兼食品安全管理员。</w:t>
            </w:r>
          </w:p>
        </w:tc>
      </w:tr>
      <w:tr w14:paraId="7125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7" w:hRule="atLeast"/>
          <w:jc w:val="center"/>
        </w:trPr>
        <w:tc>
          <w:tcPr>
            <w:tcW w:w="2211" w:type="dxa"/>
            <w:noWrap/>
            <w:tcMar>
              <w:top w:w="15" w:type="dxa"/>
              <w:left w:w="15" w:type="dxa"/>
              <w:right w:w="15" w:type="dxa"/>
            </w:tcMar>
            <w:vAlign w:val="center"/>
          </w:tcPr>
          <w:p w14:paraId="51203532">
            <w:pPr>
              <w:ind w:firstLine="480" w:firstLineChars="200"/>
              <w:jc w:val="center"/>
              <w:rPr>
                <w:rFonts w:eastAsia="宋体"/>
                <w:bCs/>
                <w:szCs w:val="21"/>
                <w:lang w:eastAsia="zh-CN"/>
              </w:rPr>
            </w:pPr>
            <w:r>
              <w:rPr>
                <w:rFonts w:hint="eastAsia" w:eastAsia="宋体"/>
                <w:bCs/>
                <w:szCs w:val="21"/>
                <w:lang w:eastAsia="zh-CN"/>
              </w:rPr>
              <w:t>厨师</w:t>
            </w:r>
          </w:p>
        </w:tc>
        <w:tc>
          <w:tcPr>
            <w:tcW w:w="1063" w:type="dxa"/>
            <w:noWrap/>
            <w:tcMar>
              <w:top w:w="15" w:type="dxa"/>
              <w:left w:w="15" w:type="dxa"/>
              <w:right w:w="15" w:type="dxa"/>
            </w:tcMar>
            <w:vAlign w:val="center"/>
          </w:tcPr>
          <w:p w14:paraId="139F9B85">
            <w:pPr>
              <w:ind w:firstLine="480" w:firstLineChars="200"/>
              <w:jc w:val="both"/>
              <w:rPr>
                <w:rFonts w:eastAsia="宋体"/>
                <w:bCs/>
                <w:szCs w:val="21"/>
                <w:lang w:eastAsia="zh-CN"/>
              </w:rPr>
            </w:pPr>
            <w:r>
              <w:rPr>
                <w:rFonts w:hint="eastAsia" w:eastAsia="宋体"/>
                <w:bCs/>
                <w:szCs w:val="21"/>
                <w:lang w:eastAsia="zh-CN"/>
              </w:rPr>
              <w:t>1</w:t>
            </w:r>
          </w:p>
        </w:tc>
        <w:tc>
          <w:tcPr>
            <w:tcW w:w="5002" w:type="dxa"/>
            <w:noWrap/>
            <w:tcMar>
              <w:top w:w="15" w:type="dxa"/>
              <w:left w:w="15" w:type="dxa"/>
              <w:right w:w="15" w:type="dxa"/>
            </w:tcMar>
            <w:vAlign w:val="center"/>
          </w:tcPr>
          <w:p w14:paraId="73FBE86B">
            <w:pPr>
              <w:ind w:firstLine="480" w:firstLineChars="200"/>
              <w:rPr>
                <w:rFonts w:eastAsia="宋体"/>
                <w:bCs/>
                <w:szCs w:val="21"/>
                <w:lang w:eastAsia="zh-CN"/>
              </w:rPr>
            </w:pPr>
            <w:r>
              <w:rPr>
                <w:rFonts w:hint="eastAsia" w:eastAsia="宋体"/>
                <w:bCs/>
                <w:szCs w:val="21"/>
                <w:lang w:eastAsia="zh-CN"/>
              </w:rPr>
              <w:t>负责本食堂后厨工作的全面协调和管理，员工日常管理、菜单安排、食堂/厨房安全卫生、成本核算、食品制作、烹饪等工作。</w:t>
            </w:r>
          </w:p>
        </w:tc>
      </w:tr>
      <w:tr w14:paraId="3B3D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211" w:type="dxa"/>
            <w:noWrap/>
            <w:tcMar>
              <w:top w:w="15" w:type="dxa"/>
              <w:left w:w="15" w:type="dxa"/>
              <w:right w:w="15" w:type="dxa"/>
            </w:tcMar>
            <w:vAlign w:val="center"/>
          </w:tcPr>
          <w:p w14:paraId="5B9596A1">
            <w:pPr>
              <w:ind w:firstLine="480" w:firstLineChars="200"/>
              <w:jc w:val="center"/>
              <w:rPr>
                <w:rFonts w:eastAsia="宋体"/>
                <w:bCs/>
                <w:szCs w:val="21"/>
                <w:lang w:eastAsia="zh-CN"/>
              </w:rPr>
            </w:pPr>
            <w:r>
              <w:rPr>
                <w:rFonts w:hint="eastAsia" w:eastAsia="宋体"/>
                <w:bCs/>
                <w:szCs w:val="21"/>
                <w:lang w:eastAsia="zh-CN"/>
              </w:rPr>
              <w:t>切配组长</w:t>
            </w:r>
          </w:p>
        </w:tc>
        <w:tc>
          <w:tcPr>
            <w:tcW w:w="1063" w:type="dxa"/>
            <w:noWrap/>
            <w:tcMar>
              <w:top w:w="15" w:type="dxa"/>
              <w:left w:w="15" w:type="dxa"/>
              <w:right w:w="15" w:type="dxa"/>
            </w:tcMar>
            <w:vAlign w:val="center"/>
          </w:tcPr>
          <w:p w14:paraId="7F730BE3">
            <w:pPr>
              <w:ind w:firstLine="480" w:firstLineChars="200"/>
              <w:jc w:val="both"/>
              <w:rPr>
                <w:rFonts w:eastAsia="宋体"/>
                <w:bCs/>
                <w:szCs w:val="21"/>
                <w:lang w:eastAsia="zh-CN"/>
              </w:rPr>
            </w:pPr>
            <w:r>
              <w:rPr>
                <w:rFonts w:hint="eastAsia" w:eastAsia="宋体"/>
                <w:bCs/>
                <w:szCs w:val="21"/>
                <w:lang w:eastAsia="zh-CN"/>
              </w:rPr>
              <w:t>1</w:t>
            </w:r>
          </w:p>
        </w:tc>
        <w:tc>
          <w:tcPr>
            <w:tcW w:w="5002" w:type="dxa"/>
            <w:noWrap/>
            <w:tcMar>
              <w:top w:w="15" w:type="dxa"/>
              <w:left w:w="15" w:type="dxa"/>
              <w:right w:w="15" w:type="dxa"/>
            </w:tcMar>
            <w:vAlign w:val="center"/>
          </w:tcPr>
          <w:p w14:paraId="0949BD39">
            <w:pPr>
              <w:ind w:firstLine="480" w:firstLineChars="200"/>
              <w:rPr>
                <w:rFonts w:eastAsia="宋体"/>
                <w:bCs/>
                <w:szCs w:val="21"/>
                <w:lang w:eastAsia="zh-CN"/>
              </w:rPr>
            </w:pPr>
            <w:r>
              <w:rPr>
                <w:rFonts w:hint="eastAsia" w:eastAsia="宋体"/>
                <w:bCs/>
                <w:szCs w:val="21"/>
                <w:lang w:eastAsia="zh-CN"/>
              </w:rPr>
              <w:t>全面负责厨师进行配菜、烹饪前期准备工作；负责菜品的清洗、切配等工作。</w:t>
            </w:r>
          </w:p>
        </w:tc>
      </w:tr>
      <w:tr w14:paraId="53AB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211" w:type="dxa"/>
            <w:noWrap/>
            <w:tcMar>
              <w:top w:w="15" w:type="dxa"/>
              <w:left w:w="15" w:type="dxa"/>
              <w:right w:w="15" w:type="dxa"/>
            </w:tcMar>
            <w:vAlign w:val="center"/>
          </w:tcPr>
          <w:p w14:paraId="2A1F121D">
            <w:pPr>
              <w:ind w:firstLine="480" w:firstLineChars="200"/>
              <w:jc w:val="center"/>
              <w:rPr>
                <w:rFonts w:eastAsia="宋体"/>
                <w:bCs/>
                <w:szCs w:val="21"/>
                <w:lang w:eastAsia="zh-CN"/>
              </w:rPr>
            </w:pPr>
            <w:r>
              <w:rPr>
                <w:rFonts w:hint="eastAsia" w:eastAsia="宋体"/>
                <w:bCs/>
                <w:szCs w:val="21"/>
                <w:lang w:eastAsia="zh-CN"/>
              </w:rPr>
              <w:t>切配工</w:t>
            </w:r>
          </w:p>
        </w:tc>
        <w:tc>
          <w:tcPr>
            <w:tcW w:w="1063" w:type="dxa"/>
            <w:noWrap/>
            <w:tcMar>
              <w:top w:w="15" w:type="dxa"/>
              <w:left w:w="15" w:type="dxa"/>
              <w:right w:w="15" w:type="dxa"/>
            </w:tcMar>
            <w:vAlign w:val="center"/>
          </w:tcPr>
          <w:p w14:paraId="0DD93CC1">
            <w:pPr>
              <w:ind w:firstLine="480" w:firstLineChars="200"/>
              <w:jc w:val="both"/>
              <w:rPr>
                <w:rFonts w:eastAsia="宋体"/>
                <w:bCs/>
                <w:szCs w:val="21"/>
                <w:lang w:eastAsia="zh-CN"/>
              </w:rPr>
            </w:pPr>
            <w:r>
              <w:rPr>
                <w:rFonts w:hint="eastAsia" w:eastAsia="宋体"/>
                <w:bCs/>
                <w:szCs w:val="21"/>
                <w:lang w:eastAsia="zh-CN"/>
              </w:rPr>
              <w:t>1</w:t>
            </w:r>
          </w:p>
        </w:tc>
        <w:tc>
          <w:tcPr>
            <w:tcW w:w="5002" w:type="dxa"/>
            <w:noWrap/>
            <w:tcMar>
              <w:top w:w="15" w:type="dxa"/>
              <w:left w:w="15" w:type="dxa"/>
              <w:right w:w="15" w:type="dxa"/>
            </w:tcMar>
            <w:vAlign w:val="center"/>
          </w:tcPr>
          <w:p w14:paraId="2183D2B7">
            <w:pPr>
              <w:ind w:firstLine="480" w:firstLineChars="200"/>
              <w:rPr>
                <w:rFonts w:eastAsia="宋体"/>
                <w:bCs/>
                <w:szCs w:val="21"/>
                <w:lang w:eastAsia="zh-CN"/>
              </w:rPr>
            </w:pPr>
            <w:r>
              <w:rPr>
                <w:rFonts w:hint="eastAsia" w:eastAsia="宋体"/>
                <w:bCs/>
                <w:szCs w:val="21"/>
                <w:lang w:eastAsia="zh-CN"/>
              </w:rPr>
              <w:t>协助切配组长进行配菜、烹饪前期准备工作；负责菜品的清洗、切配等工作。品质量把控等。</w:t>
            </w:r>
          </w:p>
        </w:tc>
      </w:tr>
      <w:tr w14:paraId="2F5C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211" w:type="dxa"/>
            <w:noWrap/>
            <w:tcMar>
              <w:top w:w="15" w:type="dxa"/>
              <w:left w:w="15" w:type="dxa"/>
              <w:right w:w="15" w:type="dxa"/>
            </w:tcMar>
            <w:vAlign w:val="center"/>
          </w:tcPr>
          <w:p w14:paraId="704ADAB7">
            <w:pPr>
              <w:ind w:firstLine="480" w:firstLineChars="200"/>
              <w:jc w:val="center"/>
              <w:rPr>
                <w:rFonts w:eastAsia="宋体"/>
                <w:bCs/>
                <w:szCs w:val="21"/>
                <w:lang w:eastAsia="zh-CN"/>
              </w:rPr>
            </w:pPr>
            <w:r>
              <w:rPr>
                <w:rFonts w:hint="eastAsia" w:eastAsia="宋体"/>
                <w:bCs/>
                <w:szCs w:val="21"/>
                <w:lang w:eastAsia="zh-CN"/>
              </w:rPr>
              <w:t>面点组长</w:t>
            </w:r>
          </w:p>
        </w:tc>
        <w:tc>
          <w:tcPr>
            <w:tcW w:w="1063" w:type="dxa"/>
            <w:noWrap/>
            <w:tcMar>
              <w:top w:w="15" w:type="dxa"/>
              <w:left w:w="15" w:type="dxa"/>
              <w:right w:w="15" w:type="dxa"/>
            </w:tcMar>
            <w:vAlign w:val="center"/>
          </w:tcPr>
          <w:p w14:paraId="2DA2C46A">
            <w:pPr>
              <w:ind w:firstLine="480" w:firstLineChars="200"/>
              <w:jc w:val="both"/>
              <w:rPr>
                <w:rFonts w:eastAsia="宋体"/>
                <w:bCs/>
                <w:szCs w:val="21"/>
                <w:lang w:eastAsia="zh-CN"/>
              </w:rPr>
            </w:pPr>
            <w:r>
              <w:rPr>
                <w:rFonts w:hint="eastAsia" w:eastAsia="宋体"/>
                <w:bCs/>
                <w:szCs w:val="21"/>
                <w:lang w:eastAsia="zh-CN"/>
              </w:rPr>
              <w:t>1</w:t>
            </w:r>
          </w:p>
        </w:tc>
        <w:tc>
          <w:tcPr>
            <w:tcW w:w="5002" w:type="dxa"/>
            <w:noWrap/>
            <w:tcMar>
              <w:top w:w="15" w:type="dxa"/>
              <w:left w:w="15" w:type="dxa"/>
              <w:right w:w="15" w:type="dxa"/>
            </w:tcMar>
            <w:vAlign w:val="center"/>
          </w:tcPr>
          <w:p w14:paraId="3D998145">
            <w:pPr>
              <w:ind w:firstLine="480" w:firstLineChars="200"/>
              <w:rPr>
                <w:rFonts w:eastAsia="宋体"/>
                <w:bCs/>
                <w:szCs w:val="21"/>
                <w:lang w:eastAsia="zh-CN"/>
              </w:rPr>
            </w:pPr>
            <w:r>
              <w:rPr>
                <w:rFonts w:hint="eastAsia" w:eastAsia="宋体"/>
                <w:bCs/>
                <w:szCs w:val="21"/>
                <w:lang w:eastAsia="zh-CN"/>
              </w:rPr>
              <w:t>负责餐厅早、中餐点心的制作，面点出品质量把控，面点间卫生等工作。</w:t>
            </w:r>
          </w:p>
        </w:tc>
      </w:tr>
      <w:tr w14:paraId="48BB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211" w:type="dxa"/>
            <w:noWrap/>
            <w:tcMar>
              <w:top w:w="15" w:type="dxa"/>
              <w:left w:w="15" w:type="dxa"/>
              <w:right w:w="15" w:type="dxa"/>
            </w:tcMar>
            <w:vAlign w:val="center"/>
          </w:tcPr>
          <w:p w14:paraId="2E6C74E6">
            <w:pPr>
              <w:ind w:firstLine="480" w:firstLineChars="200"/>
              <w:jc w:val="center"/>
              <w:rPr>
                <w:rFonts w:eastAsia="宋体"/>
                <w:bCs/>
                <w:szCs w:val="21"/>
                <w:lang w:eastAsia="zh-CN"/>
              </w:rPr>
            </w:pPr>
            <w:r>
              <w:rPr>
                <w:rFonts w:hint="eastAsia" w:eastAsia="宋体"/>
                <w:bCs/>
                <w:szCs w:val="21"/>
                <w:lang w:eastAsia="zh-CN"/>
              </w:rPr>
              <w:t>服务组长</w:t>
            </w:r>
          </w:p>
        </w:tc>
        <w:tc>
          <w:tcPr>
            <w:tcW w:w="1063" w:type="dxa"/>
            <w:noWrap/>
            <w:tcMar>
              <w:top w:w="15" w:type="dxa"/>
              <w:left w:w="15" w:type="dxa"/>
              <w:right w:w="15" w:type="dxa"/>
            </w:tcMar>
            <w:vAlign w:val="center"/>
          </w:tcPr>
          <w:p w14:paraId="46067D2E">
            <w:pPr>
              <w:ind w:firstLine="480" w:firstLineChars="200"/>
              <w:jc w:val="both"/>
              <w:rPr>
                <w:rFonts w:eastAsia="宋体"/>
                <w:bCs/>
                <w:szCs w:val="21"/>
                <w:lang w:eastAsia="zh-CN"/>
              </w:rPr>
            </w:pPr>
            <w:r>
              <w:rPr>
                <w:rFonts w:hint="eastAsia" w:eastAsia="宋体"/>
                <w:bCs/>
                <w:szCs w:val="21"/>
                <w:lang w:eastAsia="zh-CN"/>
              </w:rPr>
              <w:t>1</w:t>
            </w:r>
          </w:p>
        </w:tc>
        <w:tc>
          <w:tcPr>
            <w:tcW w:w="5002" w:type="dxa"/>
            <w:noWrap/>
            <w:tcMar>
              <w:top w:w="15" w:type="dxa"/>
              <w:left w:w="15" w:type="dxa"/>
              <w:right w:w="15" w:type="dxa"/>
            </w:tcMar>
            <w:vAlign w:val="center"/>
          </w:tcPr>
          <w:p w14:paraId="7C275FC2">
            <w:pPr>
              <w:ind w:firstLine="480" w:firstLineChars="200"/>
              <w:rPr>
                <w:rFonts w:eastAsia="宋体"/>
                <w:bCs/>
                <w:szCs w:val="21"/>
                <w:lang w:eastAsia="zh-CN"/>
              </w:rPr>
            </w:pPr>
            <w:r>
              <w:rPr>
                <w:rFonts w:hint="eastAsia" w:eastAsia="宋体"/>
                <w:bCs/>
                <w:szCs w:val="21"/>
                <w:lang w:eastAsia="zh-CN"/>
              </w:rPr>
              <w:t>负责配餐服务及餐厅卫生、餐具用具回收等工作。</w:t>
            </w:r>
          </w:p>
        </w:tc>
      </w:tr>
      <w:tr w14:paraId="0A79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2211" w:type="dxa"/>
            <w:noWrap/>
            <w:tcMar>
              <w:top w:w="15" w:type="dxa"/>
              <w:left w:w="15" w:type="dxa"/>
              <w:right w:w="15" w:type="dxa"/>
            </w:tcMar>
            <w:vAlign w:val="center"/>
          </w:tcPr>
          <w:p w14:paraId="354AF8D4">
            <w:pPr>
              <w:ind w:firstLine="480" w:firstLineChars="200"/>
              <w:jc w:val="center"/>
              <w:rPr>
                <w:rFonts w:eastAsia="宋体"/>
                <w:bCs/>
                <w:szCs w:val="21"/>
                <w:lang w:eastAsia="zh-CN"/>
              </w:rPr>
            </w:pPr>
            <w:r>
              <w:rPr>
                <w:rFonts w:hint="eastAsia" w:eastAsia="宋体"/>
                <w:bCs/>
                <w:szCs w:val="21"/>
                <w:lang w:eastAsia="zh-CN"/>
              </w:rPr>
              <w:t>清洁工</w:t>
            </w:r>
          </w:p>
        </w:tc>
        <w:tc>
          <w:tcPr>
            <w:tcW w:w="1063" w:type="dxa"/>
            <w:noWrap/>
            <w:tcMar>
              <w:top w:w="15" w:type="dxa"/>
              <w:left w:w="15" w:type="dxa"/>
              <w:right w:w="15" w:type="dxa"/>
            </w:tcMar>
            <w:vAlign w:val="center"/>
          </w:tcPr>
          <w:p w14:paraId="0D214621">
            <w:pPr>
              <w:ind w:firstLine="480" w:firstLineChars="200"/>
              <w:jc w:val="both"/>
              <w:rPr>
                <w:rFonts w:eastAsia="宋体"/>
                <w:bCs/>
                <w:szCs w:val="21"/>
                <w:lang w:eastAsia="zh-CN"/>
              </w:rPr>
            </w:pPr>
            <w:r>
              <w:rPr>
                <w:rFonts w:hint="eastAsia" w:eastAsia="宋体"/>
                <w:bCs/>
                <w:szCs w:val="21"/>
                <w:lang w:eastAsia="zh-CN"/>
              </w:rPr>
              <w:t>1</w:t>
            </w:r>
          </w:p>
        </w:tc>
        <w:tc>
          <w:tcPr>
            <w:tcW w:w="5002" w:type="dxa"/>
            <w:noWrap/>
            <w:tcMar>
              <w:top w:w="15" w:type="dxa"/>
              <w:left w:w="15" w:type="dxa"/>
              <w:right w:w="15" w:type="dxa"/>
            </w:tcMar>
            <w:vAlign w:val="center"/>
          </w:tcPr>
          <w:p w14:paraId="3E9B222B">
            <w:pPr>
              <w:ind w:firstLine="480" w:firstLineChars="200"/>
              <w:rPr>
                <w:rFonts w:eastAsia="宋体"/>
                <w:bCs/>
                <w:szCs w:val="21"/>
                <w:lang w:eastAsia="zh-CN"/>
              </w:rPr>
            </w:pPr>
            <w:r>
              <w:rPr>
                <w:rFonts w:hint="eastAsia" w:eastAsia="宋体"/>
                <w:bCs/>
                <w:szCs w:val="21"/>
                <w:lang w:eastAsia="zh-CN"/>
              </w:rPr>
              <w:t>负责清洁、消毒等。</w:t>
            </w:r>
          </w:p>
        </w:tc>
      </w:tr>
      <w:tr w14:paraId="1D04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211" w:type="dxa"/>
            <w:noWrap/>
            <w:tcMar>
              <w:top w:w="15" w:type="dxa"/>
              <w:left w:w="15" w:type="dxa"/>
              <w:right w:w="15" w:type="dxa"/>
            </w:tcMar>
            <w:vAlign w:val="center"/>
          </w:tcPr>
          <w:p w14:paraId="132700BB">
            <w:pPr>
              <w:ind w:firstLine="480" w:firstLineChars="200"/>
              <w:jc w:val="center"/>
              <w:rPr>
                <w:rFonts w:eastAsia="宋体"/>
                <w:bCs/>
                <w:szCs w:val="21"/>
                <w:lang w:eastAsia="zh-CN"/>
              </w:rPr>
            </w:pPr>
            <w:r>
              <w:rPr>
                <w:rFonts w:hint="eastAsia" w:eastAsia="宋体"/>
                <w:bCs/>
                <w:szCs w:val="21"/>
                <w:lang w:eastAsia="zh-CN"/>
              </w:rPr>
              <w:t>厨工</w:t>
            </w:r>
          </w:p>
        </w:tc>
        <w:tc>
          <w:tcPr>
            <w:tcW w:w="1063" w:type="dxa"/>
            <w:noWrap/>
            <w:tcMar>
              <w:top w:w="15" w:type="dxa"/>
              <w:left w:w="15" w:type="dxa"/>
              <w:right w:w="15" w:type="dxa"/>
            </w:tcMar>
            <w:vAlign w:val="center"/>
          </w:tcPr>
          <w:p w14:paraId="15AA06B9">
            <w:pPr>
              <w:ind w:firstLine="480" w:firstLineChars="200"/>
              <w:jc w:val="both"/>
              <w:rPr>
                <w:rFonts w:eastAsia="宋体"/>
                <w:bCs/>
                <w:szCs w:val="21"/>
                <w:lang w:eastAsia="zh-CN"/>
              </w:rPr>
            </w:pPr>
            <w:r>
              <w:rPr>
                <w:rFonts w:hint="eastAsia" w:eastAsia="宋体"/>
                <w:bCs/>
                <w:szCs w:val="21"/>
                <w:lang w:eastAsia="zh-CN"/>
              </w:rPr>
              <w:t>1</w:t>
            </w:r>
          </w:p>
        </w:tc>
        <w:tc>
          <w:tcPr>
            <w:tcW w:w="5002" w:type="dxa"/>
            <w:noWrap/>
            <w:tcMar>
              <w:top w:w="15" w:type="dxa"/>
              <w:left w:w="15" w:type="dxa"/>
              <w:right w:w="15" w:type="dxa"/>
            </w:tcMar>
            <w:vAlign w:val="center"/>
          </w:tcPr>
          <w:p w14:paraId="5B22E200">
            <w:pPr>
              <w:ind w:firstLine="480" w:firstLineChars="200"/>
              <w:rPr>
                <w:rFonts w:eastAsia="宋体"/>
                <w:bCs/>
                <w:szCs w:val="21"/>
                <w:lang w:eastAsia="zh-CN"/>
              </w:rPr>
            </w:pPr>
            <w:r>
              <w:rPr>
                <w:rFonts w:hint="eastAsia" w:eastAsia="宋体"/>
                <w:bCs/>
                <w:szCs w:val="21"/>
                <w:lang w:eastAsia="zh-CN"/>
              </w:rPr>
              <w:t>负责清洗大件餐具用具、日常卫生。</w:t>
            </w:r>
          </w:p>
        </w:tc>
      </w:tr>
      <w:tr w14:paraId="6CF2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11" w:type="dxa"/>
            <w:noWrap/>
            <w:tcMar>
              <w:top w:w="15" w:type="dxa"/>
              <w:left w:w="15" w:type="dxa"/>
              <w:right w:w="15" w:type="dxa"/>
            </w:tcMar>
            <w:vAlign w:val="center"/>
          </w:tcPr>
          <w:p w14:paraId="56F01923">
            <w:pPr>
              <w:ind w:firstLine="480" w:firstLineChars="200"/>
              <w:jc w:val="center"/>
              <w:rPr>
                <w:rFonts w:eastAsia="宋体"/>
                <w:bCs/>
                <w:szCs w:val="21"/>
                <w:lang w:eastAsia="zh-CN"/>
              </w:rPr>
            </w:pPr>
            <w:r>
              <w:rPr>
                <w:rFonts w:hint="eastAsia" w:eastAsia="宋体"/>
                <w:bCs/>
                <w:szCs w:val="21"/>
                <w:lang w:eastAsia="zh-CN"/>
              </w:rPr>
              <w:t>总计</w:t>
            </w:r>
          </w:p>
        </w:tc>
        <w:tc>
          <w:tcPr>
            <w:tcW w:w="1063" w:type="dxa"/>
            <w:noWrap/>
            <w:tcMar>
              <w:top w:w="15" w:type="dxa"/>
              <w:left w:w="15" w:type="dxa"/>
              <w:right w:w="15" w:type="dxa"/>
            </w:tcMar>
            <w:vAlign w:val="center"/>
          </w:tcPr>
          <w:p w14:paraId="73488643">
            <w:pPr>
              <w:ind w:firstLine="480" w:firstLineChars="200"/>
              <w:jc w:val="both"/>
              <w:rPr>
                <w:rFonts w:eastAsia="宋体"/>
                <w:bCs/>
                <w:szCs w:val="21"/>
                <w:lang w:eastAsia="zh-CN"/>
              </w:rPr>
            </w:pPr>
            <w:r>
              <w:rPr>
                <w:rFonts w:hint="eastAsia" w:eastAsia="宋体"/>
                <w:bCs/>
                <w:szCs w:val="21"/>
                <w:lang w:eastAsia="zh-CN"/>
              </w:rPr>
              <w:t>8人</w:t>
            </w:r>
          </w:p>
        </w:tc>
        <w:tc>
          <w:tcPr>
            <w:tcW w:w="5002" w:type="dxa"/>
            <w:noWrap/>
            <w:tcMar>
              <w:top w:w="15" w:type="dxa"/>
              <w:left w:w="15" w:type="dxa"/>
              <w:right w:w="15" w:type="dxa"/>
            </w:tcMar>
            <w:vAlign w:val="center"/>
          </w:tcPr>
          <w:p w14:paraId="09D88EF6">
            <w:pPr>
              <w:ind w:firstLine="480" w:firstLineChars="200"/>
              <w:rPr>
                <w:rFonts w:eastAsia="宋体"/>
                <w:bCs/>
                <w:szCs w:val="21"/>
                <w:lang w:eastAsia="zh-CN"/>
              </w:rPr>
            </w:pPr>
            <w:r>
              <w:rPr>
                <w:rFonts w:hint="eastAsia" w:eastAsia="宋体"/>
                <w:bCs/>
                <w:szCs w:val="21"/>
                <w:lang w:eastAsia="zh-CN"/>
              </w:rPr>
              <w:t>/</w:t>
            </w:r>
          </w:p>
        </w:tc>
      </w:tr>
    </w:tbl>
    <w:p w14:paraId="6572ED87">
      <w:pPr>
        <w:ind w:firstLine="480" w:firstLineChars="200"/>
        <w:rPr>
          <w:rFonts w:eastAsia="宋体"/>
          <w:bCs/>
          <w:szCs w:val="21"/>
          <w:lang w:eastAsia="zh-CN"/>
        </w:rPr>
      </w:pPr>
    </w:p>
    <w:p w14:paraId="242FBC37">
      <w:pPr>
        <w:widowControl w:val="0"/>
        <w:ind w:firstLine="420" w:firstLineChars="200"/>
        <w:jc w:val="both"/>
        <w:rPr>
          <w:rFonts w:ascii="宋体" w:hAnsi="宋体" w:eastAsia="宋体" w:cs="宋体"/>
          <w:color w:val="000000"/>
          <w:kern w:val="2"/>
          <w:sz w:val="21"/>
          <w:szCs w:val="21"/>
          <w:lang w:eastAsia="zh-CN"/>
        </w:rPr>
      </w:pPr>
    </w:p>
    <w:p w14:paraId="1BF2F6A7">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六、商务要求</w:t>
      </w:r>
    </w:p>
    <w:p w14:paraId="68191BFF">
      <w:pPr>
        <w:ind w:firstLine="482" w:firstLineChars="200"/>
        <w:rPr>
          <w:rFonts w:eastAsia="宋体"/>
          <w:b/>
          <w:szCs w:val="21"/>
          <w:lang w:eastAsia="zh-CN"/>
        </w:rPr>
      </w:pPr>
    </w:p>
    <w:p w14:paraId="571AAFDB">
      <w:pPr>
        <w:ind w:firstLine="480" w:firstLineChars="200"/>
        <w:rPr>
          <w:rFonts w:eastAsia="宋体"/>
          <w:b/>
          <w:szCs w:val="21"/>
          <w:lang w:eastAsia="zh-CN"/>
        </w:rPr>
      </w:pPr>
      <w:r>
        <w:rPr>
          <w:rFonts w:hint="eastAsia"/>
          <w:lang w:eastAsia="zh-CN"/>
        </w:rPr>
        <w:t>★</w:t>
      </w:r>
      <w:r>
        <w:rPr>
          <w:rFonts w:hint="eastAsia" w:eastAsia="宋体"/>
          <w:b/>
          <w:szCs w:val="21"/>
          <w:lang w:eastAsia="zh-CN"/>
        </w:rPr>
        <w:t>（一）服务期限和地点</w:t>
      </w:r>
    </w:p>
    <w:p w14:paraId="20584574">
      <w:pPr>
        <w:widowControl w:val="0"/>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1.服务期限：本次招标项目服务期限为一年。</w:t>
      </w:r>
    </w:p>
    <w:p w14:paraId="56E08364">
      <w:pPr>
        <w:widowControl w:val="0"/>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2.服务地点：深圳市第二高级中学深汕学校食堂。</w:t>
      </w:r>
    </w:p>
    <w:p w14:paraId="38D3465D">
      <w:pPr>
        <w:widowControl w:val="0"/>
        <w:ind w:firstLine="482" w:firstLineChars="200"/>
        <w:jc w:val="both"/>
        <w:rPr>
          <w:rFonts w:eastAsia="宋体"/>
          <w:b/>
          <w:sz w:val="24"/>
          <w:szCs w:val="24"/>
          <w:lang w:eastAsia="zh-CN"/>
        </w:rPr>
      </w:pPr>
      <w:r>
        <w:rPr>
          <w:rFonts w:hint="eastAsia" w:eastAsia="宋体"/>
          <w:b/>
          <w:sz w:val="24"/>
          <w:szCs w:val="24"/>
          <w:lang w:eastAsia="zh-CN"/>
        </w:rPr>
        <w:t>（二）付款方式</w:t>
      </w:r>
    </w:p>
    <w:p w14:paraId="065B7AB9">
      <w:pPr>
        <w:widowControl w:val="0"/>
        <w:ind w:firstLine="480" w:firstLineChars="200"/>
        <w:jc w:val="both"/>
        <w:rPr>
          <w:rFonts w:hint="eastAsia" w:ascii="宋体" w:hAnsi="宋体" w:eastAsia="宋体" w:cs="宋体"/>
          <w:sz w:val="24"/>
          <w:szCs w:val="24"/>
          <w:lang w:val="en-US" w:eastAsia="zh-CN"/>
        </w:rPr>
      </w:pPr>
      <w:r>
        <w:rPr>
          <w:rFonts w:hint="eastAsia" w:ascii="Calibri" w:hAnsi="Calibri" w:eastAsia="宋体" w:cs="宋体"/>
          <w:bCs/>
          <w:kern w:val="2"/>
          <w:sz w:val="24"/>
          <w:szCs w:val="24"/>
          <w:lang w:eastAsia="zh-CN"/>
        </w:rPr>
        <w:t>款项实行按月结算，当月支付上月费用。每月20号前，由中标人提出申请，采购人按照财务管理规定结算上月费用，结算总价不得超过本项目预算金额。</w:t>
      </w:r>
      <w:r>
        <w:rPr>
          <w:rFonts w:hint="eastAsia" w:ascii="Calibri" w:hAnsi="Calibri" w:eastAsia="宋体" w:cs="宋体"/>
          <w:bCs/>
          <w:kern w:val="2"/>
          <w:sz w:val="24"/>
          <w:szCs w:val="24"/>
          <w:lang w:val="en-US" w:eastAsia="zh-CN"/>
        </w:rPr>
        <w:t xml:space="preserve">  </w:t>
      </w:r>
      <w:r>
        <w:rPr>
          <w:rFonts w:hint="eastAsia" w:ascii="宋体" w:hAnsi="宋体" w:eastAsia="宋体" w:cs="宋体"/>
          <w:sz w:val="24"/>
          <w:szCs w:val="24"/>
          <w:lang w:val="en-US" w:eastAsia="zh-CN"/>
        </w:rPr>
        <w:t xml:space="preserve">  </w:t>
      </w:r>
    </w:p>
    <w:p w14:paraId="237C5B59">
      <w:pPr>
        <w:widowControl w:val="0"/>
        <w:ind w:firstLine="482" w:firstLineChars="200"/>
        <w:jc w:val="both"/>
        <w:rPr>
          <w:rFonts w:eastAsia="宋体"/>
          <w:b/>
          <w:sz w:val="24"/>
          <w:szCs w:val="24"/>
          <w:lang w:eastAsia="zh-CN"/>
        </w:rPr>
      </w:pPr>
      <w:r>
        <w:rPr>
          <w:rFonts w:hint="eastAsia" w:eastAsia="宋体"/>
          <w:b/>
          <w:sz w:val="24"/>
          <w:szCs w:val="24"/>
          <w:lang w:eastAsia="zh-CN"/>
        </w:rPr>
        <w:t>（三）考核办法/验收方式</w:t>
      </w:r>
    </w:p>
    <w:p w14:paraId="77010AAE">
      <w:pPr>
        <w:widowControl w:val="0"/>
        <w:ind w:firstLine="480" w:firstLineChars="200"/>
        <w:jc w:val="both"/>
        <w:rPr>
          <w:rFonts w:ascii="Calibri" w:hAnsi="Calibri" w:eastAsia="宋体" w:cs="宋体"/>
          <w:bCs/>
          <w:kern w:val="2"/>
          <w:sz w:val="24"/>
          <w:szCs w:val="24"/>
          <w:lang w:eastAsia="zh-CN"/>
        </w:rPr>
      </w:pPr>
      <w:r>
        <w:rPr>
          <w:rFonts w:hint="eastAsia" w:ascii="Calibri" w:hAnsi="Calibri" w:eastAsia="宋体" w:cs="宋体"/>
          <w:bCs/>
          <w:kern w:val="2"/>
          <w:sz w:val="24"/>
          <w:szCs w:val="24"/>
          <w:lang w:eastAsia="zh-CN"/>
        </w:rPr>
        <w:t>采购方每月对中标方提供的服务情况进行考核评价，考核满分为100分，90分以上（含90分）全额支付当月服务费；80-89分扣当月服务费1万元；70-79分扣当月服务费1.5万元；60-69分扣当月服务费2万元；60分以下扣当月服务费3万元。如连续2个月或一年内累计三个月达不到全额支付考核要求，采购方有权追究其违约责任，重新组织招标。被取消承包资格的中标方只能根据其每月考核的实际得分与采购方结清款项，其它与承包本项目有关的投入，采购方均不予补偿。</w:t>
      </w:r>
    </w:p>
    <w:p w14:paraId="5EE2AB5E">
      <w:pPr>
        <w:widowControl w:val="0"/>
        <w:ind w:firstLine="482" w:firstLineChars="200"/>
        <w:jc w:val="both"/>
        <w:rPr>
          <w:rFonts w:eastAsia="宋体"/>
          <w:b/>
          <w:szCs w:val="21"/>
          <w:lang w:eastAsia="zh-CN"/>
        </w:rPr>
      </w:pPr>
      <w:r>
        <w:rPr>
          <w:rFonts w:hint="eastAsia" w:eastAsia="宋体"/>
          <w:b/>
          <w:szCs w:val="21"/>
          <w:lang w:eastAsia="zh-CN"/>
        </w:rPr>
        <w:t>（</w:t>
      </w:r>
      <w:r>
        <w:rPr>
          <w:rFonts w:hint="eastAsia" w:eastAsia="宋体"/>
          <w:b/>
          <w:szCs w:val="21"/>
          <w:lang w:val="en-US" w:eastAsia="zh-CN"/>
        </w:rPr>
        <w:t>四</w:t>
      </w:r>
      <w:r>
        <w:rPr>
          <w:rFonts w:hint="eastAsia" w:eastAsia="宋体"/>
          <w:b/>
          <w:szCs w:val="21"/>
          <w:lang w:eastAsia="zh-CN"/>
        </w:rPr>
        <w:t>）其他要求</w:t>
      </w:r>
    </w:p>
    <w:p w14:paraId="55618626">
      <w:pPr>
        <w:widowControl w:val="0"/>
        <w:ind w:firstLine="480" w:firstLineChars="200"/>
        <w:jc w:val="both"/>
        <w:rPr>
          <w:rFonts w:ascii="Calibri" w:hAnsi="Calibri" w:eastAsia="宋体" w:cs="宋体"/>
          <w:bCs/>
          <w:kern w:val="2"/>
          <w:sz w:val="24"/>
          <w:szCs w:val="24"/>
          <w:lang w:eastAsia="zh-CN"/>
        </w:rPr>
      </w:pPr>
      <w:r>
        <w:rPr>
          <w:rFonts w:hint="eastAsia"/>
          <w:sz w:val="24"/>
          <w:szCs w:val="24"/>
          <w:lang w:eastAsia="zh-CN"/>
        </w:rPr>
        <w:t>★</w:t>
      </w:r>
      <w:r>
        <w:rPr>
          <w:rFonts w:hint="eastAsia" w:ascii="Calibri" w:hAnsi="Calibri" w:eastAsia="宋体" w:cs="宋体"/>
          <w:bCs/>
          <w:kern w:val="2"/>
          <w:sz w:val="24"/>
          <w:szCs w:val="24"/>
          <w:lang w:eastAsia="zh-CN"/>
        </w:rPr>
        <w:t>1.中标方承诺在中标合同签订后在采购中标方必须承诺在中标合同签订后在采购方规定的时间内全部人员到岗到位；进场后当天向采购方提供服务人员名册和服务人员的资格证书、健康证明等材料。服务人员必须按标书方案配置到位并符合招标文件要求；采购方检查发现配置人员到位不一致的，按违规处理。采购方可责令中标方限期整改，如中标方一个月内仍未达到要求，则采购方有权追究其违约责任。</w:t>
      </w:r>
    </w:p>
    <w:p w14:paraId="62C88192">
      <w:pPr>
        <w:widowControl w:val="0"/>
        <w:ind w:firstLine="480" w:firstLineChars="200"/>
        <w:jc w:val="both"/>
        <w:rPr>
          <w:rFonts w:ascii="Calibri" w:hAnsi="Calibri" w:eastAsia="宋体" w:cs="宋体"/>
          <w:bCs/>
          <w:kern w:val="2"/>
          <w:sz w:val="24"/>
          <w:szCs w:val="24"/>
          <w:lang w:eastAsia="zh-CN"/>
        </w:rPr>
      </w:pPr>
      <w:r>
        <w:rPr>
          <w:rFonts w:hint="eastAsia" w:ascii="Calibri" w:hAnsi="Calibri" w:eastAsia="宋体" w:cs="宋体"/>
          <w:bCs/>
          <w:kern w:val="2"/>
          <w:sz w:val="24"/>
          <w:szCs w:val="24"/>
          <w:lang w:eastAsia="zh-CN"/>
        </w:rPr>
        <w:t>2.中标方需为本项目正式录用的工作人员每月按照不少于最低工资标准购买“五险一金”，且签订合同后每月需提供有效保单给采购方查验及存档。</w:t>
      </w:r>
    </w:p>
    <w:p w14:paraId="0755B4C4">
      <w:pPr>
        <w:widowControl w:val="0"/>
        <w:ind w:firstLine="480" w:firstLineChars="200"/>
        <w:jc w:val="both"/>
        <w:rPr>
          <w:rFonts w:ascii="Calibri" w:hAnsi="Calibri" w:eastAsia="宋体" w:cs="宋体"/>
          <w:bCs/>
          <w:kern w:val="2"/>
          <w:sz w:val="24"/>
          <w:szCs w:val="24"/>
          <w:lang w:eastAsia="zh-CN"/>
        </w:rPr>
      </w:pPr>
      <w:r>
        <w:rPr>
          <w:rFonts w:hint="eastAsia" w:ascii="Calibri" w:hAnsi="Calibri" w:eastAsia="宋体" w:cs="宋体"/>
          <w:bCs/>
          <w:kern w:val="2"/>
          <w:sz w:val="24"/>
          <w:szCs w:val="24"/>
          <w:lang w:eastAsia="zh-CN"/>
        </w:rPr>
        <w:t>3.采购方提供食堂场地和厨房设备、餐具等硬件设施，并承担食品原材料采购、水电费用、燃料费用、日常消耗品和硬件设施维修费用，以及食堂服务人员的食宿费用。</w:t>
      </w:r>
    </w:p>
    <w:p w14:paraId="0977E829">
      <w:pPr>
        <w:widowControl w:val="0"/>
        <w:ind w:firstLine="480" w:firstLineChars="200"/>
        <w:jc w:val="both"/>
        <w:rPr>
          <w:rFonts w:ascii="Calibri" w:hAnsi="Calibri" w:eastAsia="宋体" w:cs="宋体"/>
          <w:bCs/>
          <w:kern w:val="2"/>
          <w:sz w:val="24"/>
          <w:szCs w:val="24"/>
          <w:lang w:eastAsia="zh-CN"/>
        </w:rPr>
      </w:pPr>
      <w:r>
        <w:rPr>
          <w:rFonts w:hint="eastAsia" w:ascii="Calibri" w:hAnsi="Calibri" w:eastAsia="宋体" w:cs="宋体"/>
          <w:bCs/>
          <w:kern w:val="2"/>
          <w:sz w:val="24"/>
          <w:szCs w:val="24"/>
          <w:lang w:eastAsia="zh-CN"/>
        </w:rPr>
        <w:t>4.中标方对该项目服务人员每年开展不少于一次的烹饪技能和食品安全培训。</w:t>
      </w:r>
    </w:p>
    <w:p w14:paraId="558A5ACE">
      <w:pPr>
        <w:widowControl w:val="0"/>
        <w:ind w:firstLine="480" w:firstLineChars="200"/>
        <w:jc w:val="both"/>
        <w:rPr>
          <w:rFonts w:ascii="Calibri" w:hAnsi="Calibri" w:eastAsia="宋体" w:cs="宋体"/>
          <w:bCs/>
          <w:kern w:val="2"/>
          <w:sz w:val="24"/>
          <w:szCs w:val="24"/>
          <w:lang w:eastAsia="zh-CN"/>
        </w:rPr>
      </w:pPr>
      <w:r>
        <w:rPr>
          <w:rFonts w:hint="eastAsia" w:ascii="Calibri" w:hAnsi="Calibri" w:eastAsia="宋体" w:cs="宋体"/>
          <w:bCs/>
          <w:kern w:val="2"/>
          <w:sz w:val="24"/>
          <w:szCs w:val="24"/>
          <w:lang w:eastAsia="zh-CN"/>
        </w:rPr>
        <w:t>5.中标方违反国家相关法规，与其聘用人员发生劳资等纠纷，均由中标方负责调解与处理，采购方不承担任何责任并有权解除合同。</w:t>
      </w:r>
    </w:p>
    <w:p w14:paraId="30242994">
      <w:pPr>
        <w:widowControl w:val="0"/>
        <w:ind w:firstLine="480" w:firstLineChars="200"/>
        <w:jc w:val="both"/>
        <w:rPr>
          <w:rFonts w:ascii="Calibri" w:hAnsi="Calibri" w:eastAsia="宋体" w:cs="宋体"/>
          <w:bCs/>
          <w:kern w:val="2"/>
          <w:sz w:val="24"/>
          <w:szCs w:val="24"/>
          <w:lang w:eastAsia="zh-CN"/>
        </w:rPr>
      </w:pPr>
      <w:r>
        <w:rPr>
          <w:rFonts w:hint="eastAsia" w:ascii="Calibri" w:hAnsi="Calibri" w:eastAsia="宋体" w:cs="宋体"/>
          <w:bCs/>
          <w:kern w:val="2"/>
          <w:sz w:val="24"/>
          <w:szCs w:val="24"/>
          <w:lang w:eastAsia="zh-CN"/>
        </w:rPr>
        <w:t>6.中标人实际派驻项目人员如需调整，需向采购人申报。</w:t>
      </w:r>
    </w:p>
    <w:p w14:paraId="101862D5">
      <w:pPr>
        <w:widowControl w:val="0"/>
        <w:ind w:firstLine="482" w:firstLineChars="200"/>
        <w:jc w:val="both"/>
        <w:rPr>
          <w:rFonts w:hint="default" w:eastAsia="宋体"/>
          <w:b/>
          <w:szCs w:val="21"/>
          <w:lang w:val="en-US" w:eastAsia="zh-CN"/>
        </w:rPr>
      </w:pPr>
      <w:r>
        <w:rPr>
          <w:rFonts w:hint="eastAsia" w:eastAsia="宋体"/>
          <w:b/>
          <w:szCs w:val="21"/>
          <w:lang w:eastAsia="zh-CN"/>
        </w:rPr>
        <w:t>（</w:t>
      </w:r>
      <w:r>
        <w:rPr>
          <w:rFonts w:hint="eastAsia" w:eastAsia="宋体"/>
          <w:b/>
          <w:szCs w:val="21"/>
          <w:lang w:val="en-US" w:eastAsia="zh-CN"/>
        </w:rPr>
        <w:t>五</w:t>
      </w:r>
      <w:r>
        <w:rPr>
          <w:rFonts w:hint="eastAsia" w:eastAsia="宋体"/>
          <w:b/>
          <w:szCs w:val="21"/>
          <w:lang w:eastAsia="zh-CN"/>
        </w:rPr>
        <w:t>）</w:t>
      </w:r>
      <w:r>
        <w:rPr>
          <w:rFonts w:hint="eastAsia" w:eastAsia="宋体"/>
          <w:b/>
          <w:szCs w:val="21"/>
          <w:lang w:val="en-US" w:eastAsia="zh-CN"/>
        </w:rPr>
        <w:t>违约责任</w:t>
      </w:r>
    </w:p>
    <w:p w14:paraId="74383FA8">
      <w:pPr>
        <w:widowControl w:val="0"/>
        <w:ind w:firstLine="480" w:firstLineChars="200"/>
        <w:jc w:val="both"/>
        <w:rPr>
          <w:rFonts w:hint="eastAsia" w:ascii="Calibri" w:hAnsi="Calibri" w:eastAsia="宋体" w:cs="宋体"/>
          <w:bCs/>
          <w:kern w:val="2"/>
          <w:sz w:val="24"/>
          <w:szCs w:val="24"/>
          <w:lang w:eastAsia="zh-CN"/>
        </w:rPr>
      </w:pPr>
      <w:r>
        <w:rPr>
          <w:rFonts w:hint="eastAsia" w:ascii="Calibri" w:hAnsi="Calibri" w:eastAsia="宋体" w:cs="宋体"/>
          <w:bCs/>
          <w:kern w:val="2"/>
          <w:sz w:val="24"/>
          <w:szCs w:val="24"/>
          <w:lang w:eastAsia="zh-CN"/>
        </w:rPr>
        <w:t>因供应货物时间、数量、质量等原因造成伙食无法按时供应的，采购人有权扣除一定金额的履约担保金。</w:t>
      </w:r>
    </w:p>
    <w:p w14:paraId="352C4E3B">
      <w:pPr>
        <w:widowControl w:val="0"/>
        <w:ind w:firstLine="480" w:firstLineChars="200"/>
        <w:jc w:val="both"/>
        <w:rPr>
          <w:rFonts w:hint="eastAsia" w:ascii="Calibri" w:hAnsi="Calibri" w:eastAsia="宋体" w:cs="宋体"/>
          <w:bCs/>
          <w:kern w:val="2"/>
          <w:sz w:val="24"/>
          <w:szCs w:val="24"/>
          <w:lang w:eastAsia="zh-CN"/>
        </w:rPr>
      </w:pPr>
      <w:r>
        <w:rPr>
          <w:rFonts w:hint="eastAsia" w:ascii="Calibri" w:hAnsi="Calibri" w:eastAsia="宋体" w:cs="宋体"/>
          <w:bCs/>
          <w:kern w:val="2"/>
          <w:sz w:val="24"/>
          <w:szCs w:val="24"/>
          <w:lang w:eastAsia="zh-CN"/>
        </w:rPr>
        <w:t>如在合同执行期间因中标单位违约导致履约担保金部分扣除的，中标单位需在五个工作日内将扣除的履约担保金补齐。</w:t>
      </w:r>
    </w:p>
    <w:p w14:paraId="01BDE966">
      <w:pPr>
        <w:widowControl w:val="0"/>
        <w:ind w:firstLine="480" w:firstLineChars="200"/>
        <w:jc w:val="both"/>
        <w:rPr>
          <w:rFonts w:hint="eastAsia" w:ascii="Calibri" w:hAnsi="Calibri" w:eastAsia="宋体" w:cs="宋体"/>
          <w:bCs/>
          <w:kern w:val="2"/>
          <w:sz w:val="24"/>
          <w:szCs w:val="24"/>
          <w:lang w:eastAsia="zh-CN"/>
        </w:rPr>
      </w:pPr>
      <w:r>
        <w:rPr>
          <w:rFonts w:hint="eastAsia" w:ascii="Calibri" w:hAnsi="Calibri" w:eastAsia="宋体" w:cs="宋体"/>
          <w:bCs/>
          <w:kern w:val="2"/>
          <w:sz w:val="24"/>
          <w:szCs w:val="24"/>
          <w:lang w:eastAsia="zh-CN"/>
        </w:rPr>
        <w:t>如中标单位在合同执行过程中单方面终止合同或因重大食品安全事故被取消服务资格，履约担保金不退还，并承担事件造成的一切经济损失或法律责任。</w:t>
      </w:r>
    </w:p>
    <w:p w14:paraId="0F489013">
      <w:pPr>
        <w:widowControl w:val="0"/>
        <w:ind w:firstLine="480" w:firstLineChars="200"/>
        <w:jc w:val="both"/>
        <w:rPr>
          <w:rFonts w:hint="eastAsia" w:ascii="Calibri" w:hAnsi="Calibri" w:eastAsia="宋体" w:cs="宋体"/>
          <w:bCs/>
          <w:kern w:val="2"/>
          <w:sz w:val="24"/>
          <w:szCs w:val="24"/>
          <w:lang w:eastAsia="zh-CN"/>
        </w:rPr>
      </w:pPr>
      <w:r>
        <w:rPr>
          <w:rFonts w:hint="eastAsia" w:ascii="Calibri" w:hAnsi="Calibri" w:eastAsia="宋体" w:cs="宋体"/>
          <w:bCs/>
          <w:kern w:val="2"/>
          <w:sz w:val="24"/>
          <w:szCs w:val="24"/>
          <w:lang w:eastAsia="zh-CN"/>
        </w:rPr>
        <w:t>在中标单位完成其合同义务，包括任何保证义务后30日内，采购人一次性无息退还履约担保金。</w:t>
      </w:r>
    </w:p>
    <w:p w14:paraId="5AE04414">
      <w:pPr>
        <w:widowControl w:val="0"/>
        <w:ind w:firstLine="420" w:firstLineChars="200"/>
        <w:jc w:val="both"/>
        <w:rPr>
          <w:rFonts w:ascii="宋体" w:hAnsi="宋体" w:eastAsia="宋体" w:cs="宋体"/>
          <w:kern w:val="2"/>
          <w:sz w:val="21"/>
          <w:szCs w:val="21"/>
          <w:lang w:eastAsia="zh-CN"/>
        </w:rPr>
      </w:pPr>
    </w:p>
    <w:p w14:paraId="4CA083B1">
      <w:pPr>
        <w:widowControl w:val="0"/>
        <w:jc w:val="center"/>
        <w:outlineLvl w:val="2"/>
        <w:rPr>
          <w:rFonts w:ascii="Calibri" w:hAnsi="Calibri" w:eastAsia="宋体" w:cs="宋体"/>
          <w:b/>
          <w:kern w:val="2"/>
          <w:sz w:val="32"/>
          <w:szCs w:val="32"/>
          <w:lang w:eastAsia="zh-CN"/>
        </w:rPr>
      </w:pPr>
    </w:p>
    <w:p w14:paraId="721B9E7B">
      <w:pPr>
        <w:widowControl w:val="0"/>
        <w:jc w:val="center"/>
        <w:outlineLvl w:val="2"/>
        <w:rPr>
          <w:rFonts w:ascii="Calibri" w:hAnsi="Calibri" w:eastAsia="宋体" w:cs="宋体"/>
          <w:b/>
          <w:kern w:val="2"/>
          <w:sz w:val="32"/>
          <w:szCs w:val="32"/>
          <w:lang w:eastAsia="zh-CN"/>
        </w:rPr>
      </w:pPr>
      <w:r>
        <w:rPr>
          <w:rFonts w:hint="eastAsia" w:ascii="Calibri" w:hAnsi="Calibri" w:eastAsia="宋体" w:cs="宋体"/>
          <w:b/>
          <w:kern w:val="2"/>
          <w:sz w:val="32"/>
          <w:szCs w:val="32"/>
          <w:lang w:eastAsia="zh-CN"/>
        </w:rPr>
        <w:t>七、其他重要条款</w:t>
      </w:r>
    </w:p>
    <w:p w14:paraId="7CF0BCB9">
      <w:pPr>
        <w:widowControl w:val="0"/>
        <w:ind w:firstLine="420" w:firstLineChars="200"/>
        <w:jc w:val="both"/>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1、</w:t>
      </w:r>
      <w:r>
        <w:rPr>
          <w:rFonts w:hint="eastAsia" w:ascii="Calibri" w:hAnsi="Calibri" w:eastAsia="宋体" w:cstheme="minorBidi"/>
          <w:bCs/>
          <w:kern w:val="2"/>
          <w:sz w:val="21"/>
          <w:szCs w:val="21"/>
          <w:lang w:eastAsia="zh-CN"/>
        </w:rPr>
        <w:t>本项目投标报价，应包括成本、法定税费和相应的利润，应涵盖本项目招标范围和招标文件所列的各项内容中所述的全部。由投标人根据招标需求自行测算投标报价；一经中标，投标报价即作为中标单位与采购人签订的合同金额</w:t>
      </w:r>
      <w:r>
        <w:rPr>
          <w:rFonts w:hint="eastAsia" w:ascii="Calibri" w:hAnsi="Calibri" w:eastAsia="宋体" w:cs="宋体"/>
          <w:bCs/>
          <w:kern w:val="2"/>
          <w:sz w:val="21"/>
          <w:szCs w:val="21"/>
          <w:lang w:eastAsia="zh-CN"/>
        </w:rPr>
        <w:t>。</w:t>
      </w:r>
    </w:p>
    <w:p w14:paraId="7368752A">
      <w:pPr>
        <w:widowControl w:val="0"/>
        <w:spacing w:before="60" w:beforeLines="25" w:after="60" w:afterLines="25"/>
        <w:ind w:firstLine="392" w:firstLineChars="187"/>
        <w:jc w:val="both"/>
        <w:rPr>
          <w:rFonts w:ascii="宋体" w:hAnsi="宋体" w:eastAsia="宋体" w:cs="宋体"/>
          <w:kern w:val="2"/>
          <w:sz w:val="21"/>
          <w:szCs w:val="21"/>
          <w:lang w:eastAsia="zh-CN"/>
        </w:rPr>
      </w:pPr>
      <w:r>
        <w:rPr>
          <w:rFonts w:ascii="Calibri" w:hAnsi="Calibri" w:eastAsia="宋体" w:cs="宋体"/>
          <w:bCs/>
          <w:kern w:val="2"/>
          <w:sz w:val="21"/>
          <w:szCs w:val="21"/>
          <w:lang w:eastAsia="zh-CN"/>
        </w:rPr>
        <w:t>2</w:t>
      </w:r>
      <w:r>
        <w:rPr>
          <w:rFonts w:hint="eastAsia" w:ascii="Calibri" w:hAnsi="Calibri" w:eastAsia="宋体" w:cs="宋体"/>
          <w:bCs/>
          <w:kern w:val="2"/>
          <w:sz w:val="21"/>
          <w:szCs w:val="21"/>
          <w:lang w:eastAsia="zh-CN"/>
        </w:rPr>
        <w:t>、投标人应充分了解项目的位置、情况、道路及任何其它足以影响投标报价的情况，任何因忽视或误解项目情况而导致的索赔或服务期限延长申请将不获批准。</w:t>
      </w:r>
    </w:p>
    <w:p w14:paraId="49D8B820">
      <w:pPr>
        <w:widowControl w:val="0"/>
        <w:ind w:firstLine="420" w:firstLineChars="200"/>
        <w:jc w:val="both"/>
        <w:rPr>
          <w:rFonts w:ascii="Calibri" w:hAnsi="Calibri" w:eastAsia="宋体" w:cs="宋体"/>
          <w:bCs/>
          <w:kern w:val="2"/>
          <w:sz w:val="21"/>
          <w:szCs w:val="21"/>
          <w:lang w:eastAsia="zh-CN"/>
        </w:rPr>
      </w:pPr>
      <w:r>
        <w:rPr>
          <w:rFonts w:ascii="Calibri" w:hAnsi="Calibri" w:eastAsia="宋体" w:cs="宋体"/>
          <w:bCs/>
          <w:kern w:val="2"/>
          <w:sz w:val="21"/>
          <w:szCs w:val="21"/>
          <w:lang w:eastAsia="zh-CN"/>
        </w:rPr>
        <w:t>3</w:t>
      </w:r>
      <w:r>
        <w:rPr>
          <w:rFonts w:hint="eastAsia" w:ascii="Calibri" w:hAnsi="Calibri" w:eastAsia="宋体" w:cs="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7BBB3691">
      <w:pPr>
        <w:widowControl w:val="0"/>
        <w:ind w:firstLine="420" w:firstLineChars="200"/>
        <w:jc w:val="both"/>
        <w:rPr>
          <w:rFonts w:ascii="Calibri" w:hAnsi="Calibri" w:eastAsia="宋体" w:cs="宋体"/>
          <w:bCs/>
          <w:kern w:val="2"/>
          <w:sz w:val="21"/>
          <w:szCs w:val="21"/>
          <w:lang w:eastAsia="zh-CN"/>
        </w:rPr>
      </w:pPr>
      <w:r>
        <w:rPr>
          <w:rFonts w:hint="eastAsia" w:hAnsi="Calibri" w:eastAsia="宋体" w:cs="宋体"/>
          <w:bCs/>
          <w:kern w:val="2"/>
          <w:sz w:val="21"/>
          <w:szCs w:val="21"/>
          <w:lang w:eastAsia="zh-CN"/>
        </w:rPr>
        <w:t>4</w:t>
      </w:r>
      <w:r>
        <w:rPr>
          <w:rFonts w:hint="eastAsia" w:ascii="Calibri" w:hAnsi="Calibri" w:eastAsia="宋体" w:cs="宋体"/>
          <w:bCs/>
          <w:kern w:val="2"/>
          <w:sz w:val="21"/>
          <w:szCs w:val="21"/>
          <w:lang w:eastAsia="zh-CN"/>
        </w:rPr>
        <w:t>、除政府采购合同继续履行将损害国家利益和社会公共利益外，双方当事人不得擅自变更、中止或者终止合同。</w:t>
      </w:r>
    </w:p>
    <w:p w14:paraId="3C2E38C9">
      <w:pPr>
        <w:widowControl w:val="0"/>
        <w:ind w:firstLine="420" w:firstLineChars="200"/>
        <w:jc w:val="both"/>
        <w:rPr>
          <w:rFonts w:ascii="Calibri" w:hAnsi="Calibri" w:eastAsia="宋体"/>
          <w:bCs/>
          <w:kern w:val="2"/>
          <w:sz w:val="21"/>
          <w:szCs w:val="21"/>
          <w:highlight w:val="none"/>
          <w:lang w:eastAsia="zh-CN"/>
        </w:rPr>
      </w:pPr>
      <w:r>
        <w:rPr>
          <w:rFonts w:hint="eastAsia" w:ascii="Calibri" w:hAnsi="Calibri" w:eastAsia="宋体"/>
          <w:bCs/>
          <w:kern w:val="2"/>
          <w:sz w:val="21"/>
          <w:szCs w:val="21"/>
          <w:highlight w:val="none"/>
          <w:lang w:eastAsia="zh-CN"/>
        </w:rPr>
        <w:t>5、“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6BF3932">
      <w:pPr>
        <w:widowControl w:val="0"/>
        <w:jc w:val="both"/>
        <w:rPr>
          <w:rFonts w:ascii="宋体" w:hAnsi="宋体" w:eastAsia="宋体"/>
          <w:b/>
          <w:bCs/>
          <w:sz w:val="28"/>
          <w:szCs w:val="28"/>
          <w:lang w:eastAsia="zh-CN"/>
        </w:rPr>
      </w:pPr>
      <w:r>
        <w:rPr>
          <w:rFonts w:hint="eastAsia" w:ascii="宋体" w:hAnsi="宋体" w:eastAsia="宋体"/>
          <w:b/>
          <w:bCs/>
          <w:sz w:val="28"/>
          <w:szCs w:val="28"/>
          <w:lang w:eastAsia="zh-CN"/>
        </w:rPr>
        <w:br w:type="page"/>
      </w:r>
    </w:p>
    <w:p w14:paraId="47238557">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w:t>
      </w:r>
      <w:r>
        <w:rPr>
          <w:rFonts w:ascii="宋体" w:hAnsi="宋体" w:eastAsia="宋体"/>
          <w:b/>
          <w:bCs/>
          <w:sz w:val="28"/>
          <w:szCs w:val="28"/>
          <w:lang w:eastAsia="zh-CN"/>
        </w:rPr>
        <w:t xml:space="preserve"> </w:t>
      </w:r>
      <w:r>
        <w:rPr>
          <w:rFonts w:hint="eastAsia" w:ascii="宋体" w:hAnsi="宋体" w:eastAsia="宋体"/>
          <w:b/>
          <w:bCs/>
          <w:sz w:val="28"/>
          <w:szCs w:val="28"/>
          <w:lang w:eastAsia="zh-CN"/>
        </w:rPr>
        <w:t xml:space="preserve"> 投标文件组成要求及格式</w:t>
      </w:r>
    </w:p>
    <w:p w14:paraId="6E88F7EF">
      <w:pPr>
        <w:widowControl w:val="0"/>
        <w:jc w:val="both"/>
        <w:rPr>
          <w:rFonts w:ascii="黑体" w:hAnsi="Calibri" w:eastAsia="黑体" w:cs="宋体"/>
          <w:b/>
          <w:bCs/>
          <w:color w:val="FF0000"/>
          <w:kern w:val="2"/>
          <w:sz w:val="28"/>
          <w:szCs w:val="22"/>
          <w:lang w:eastAsia="zh-CN"/>
        </w:rPr>
      </w:pPr>
      <w:r>
        <w:rPr>
          <w:rFonts w:hint="eastAsia" w:ascii="黑体" w:hAnsi="Calibri" w:eastAsia="黑体" w:cs="宋体"/>
          <w:b/>
          <w:bCs/>
          <w:color w:val="FF0000"/>
          <w:kern w:val="2"/>
          <w:sz w:val="28"/>
          <w:szCs w:val="22"/>
          <w:lang w:eastAsia="zh-CN"/>
        </w:rPr>
        <w:t>特别提醒：</w:t>
      </w:r>
    </w:p>
    <w:p w14:paraId="7B7A1838">
      <w:pPr>
        <w:widowControl w:val="0"/>
        <w:ind w:firstLine="480" w:firstLineChars="200"/>
        <w:jc w:val="both"/>
        <w:rPr>
          <w:rFonts w:ascii="宋体" w:hAnsi="宋体" w:eastAsia="宋体" w:cs="宋体"/>
          <w:kern w:val="2"/>
          <w:szCs w:val="22"/>
          <w:lang w:eastAsia="zh-CN"/>
        </w:rPr>
      </w:pPr>
      <w:r>
        <w:rPr>
          <w:rFonts w:hint="eastAsia" w:ascii="宋体" w:hAnsi="宋体" w:eastAsia="宋体" w:cs="宋体"/>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587C0288">
      <w:pPr>
        <w:widowControl w:val="0"/>
        <w:jc w:val="both"/>
        <w:rPr>
          <w:rFonts w:ascii="仿宋_GB2312" w:hAnsi="Calibri" w:eastAsia="仿宋_GB2312" w:cs="宋体"/>
          <w:kern w:val="2"/>
          <w:szCs w:val="22"/>
          <w:lang w:eastAsia="zh-CN"/>
        </w:rPr>
      </w:pPr>
      <w:r>
        <w:rPr>
          <w:rFonts w:hint="eastAsia" w:ascii="宋体" w:hAnsi="宋体" w:eastAsia="宋体" w:cs="宋体"/>
          <w:kern w:val="2"/>
          <w:szCs w:val="22"/>
          <w:lang w:eastAsia="zh-CN"/>
        </w:rPr>
        <w:t xml:space="preserve">    投标文件正文（信息公开部分）必须编制于“正文（公开部分）”部分，投标文件附件（非信息公开部分）必须编制于“附件（不公开部分）”部分</w:t>
      </w:r>
      <w:r>
        <w:rPr>
          <w:rFonts w:hint="eastAsia" w:ascii="仿宋_GB2312" w:hAnsi="Calibri" w:eastAsia="仿宋_GB2312" w:cs="宋体"/>
          <w:kern w:val="2"/>
          <w:szCs w:val="22"/>
          <w:lang w:eastAsia="zh-CN"/>
        </w:rPr>
        <w:t>。</w:t>
      </w:r>
    </w:p>
    <w:p w14:paraId="0E512962">
      <w:pPr>
        <w:widowControl w:val="0"/>
        <w:jc w:val="center"/>
        <w:rPr>
          <w:rFonts w:ascii="黑体" w:hAnsi="Calibri" w:eastAsia="黑体" w:cs="宋体"/>
          <w:b/>
          <w:bCs/>
          <w:color w:val="FF0000"/>
          <w:kern w:val="2"/>
          <w:sz w:val="28"/>
          <w:szCs w:val="22"/>
          <w:lang w:eastAsia="zh-CN"/>
        </w:rPr>
      </w:pPr>
    </w:p>
    <w:p w14:paraId="48BD1D1E">
      <w:pPr>
        <w:widowControl w:val="0"/>
        <w:ind w:firstLine="480" w:firstLineChars="200"/>
        <w:jc w:val="both"/>
        <w:rPr>
          <w:rFonts w:ascii="宋体" w:hAnsi="宋体" w:eastAsia="宋体" w:cs="宋体"/>
          <w:kern w:val="2"/>
          <w:szCs w:val="22"/>
          <w:lang w:eastAsia="zh-CN"/>
        </w:rPr>
      </w:pPr>
      <w:bookmarkStart w:id="20" w:name="_Hlk72257167"/>
      <w:r>
        <w:rPr>
          <w:rFonts w:hint="eastAsia" w:ascii="宋体" w:hAnsi="宋体" w:eastAsia="宋体" w:cs="宋体"/>
          <w:kern w:val="2"/>
          <w:szCs w:val="22"/>
          <w:lang w:eastAsia="zh-CN"/>
        </w:rPr>
        <w:t>采购代理机构公布投标文件正文（信息公开部分）时为计算机截取信息自动公布，</w:t>
      </w:r>
      <w:r>
        <w:rPr>
          <w:rFonts w:hint="eastAsia" w:ascii="宋体" w:hAnsi="宋体" w:eastAsia="宋体" w:cs="宋体"/>
          <w:b/>
          <w:bCs/>
          <w:kern w:val="2"/>
          <w:szCs w:val="22"/>
          <w:lang w:eastAsia="zh-CN"/>
        </w:rPr>
        <w:t>如投标人误将涉及个人隐私的信息放入投标文件正文，相关后果由投标人自负；</w:t>
      </w:r>
      <w:r>
        <w:rPr>
          <w:rFonts w:hint="eastAsia" w:ascii="宋体" w:hAnsi="宋体" w:eastAsia="宋体" w:cs="宋体"/>
          <w:kern w:val="2"/>
          <w:szCs w:val="22"/>
          <w:highlight w:val="yellow"/>
          <w:lang w:eastAsia="zh-CN"/>
        </w:rPr>
        <w:t>如投标人将必须放于投标文件正文（信息公开部分）的内容放入投标文件附件（非信息公开部分），将作投标无效处理。</w:t>
      </w:r>
    </w:p>
    <w:p w14:paraId="68FF5767">
      <w:pPr>
        <w:rPr>
          <w:rFonts w:ascii="宋体" w:hAnsi="宋体" w:eastAsia="宋体"/>
          <w:b/>
          <w:color w:val="FF0000"/>
          <w:kern w:val="2"/>
          <w:lang w:eastAsia="zh-CN"/>
        </w:rPr>
      </w:pPr>
      <w:r>
        <w:rPr>
          <w:rFonts w:ascii="宋体" w:hAnsi="宋体" w:eastAsia="宋体"/>
          <w:b/>
          <w:color w:val="FF0000"/>
          <w:kern w:val="2"/>
          <w:lang w:eastAsia="zh-CN"/>
        </w:rPr>
        <w:br w:type="page"/>
      </w:r>
    </w:p>
    <w:bookmarkEnd w:id="20"/>
    <w:p w14:paraId="1E8E5673">
      <w:pPr>
        <w:outlineLvl w:val="2"/>
        <w:rPr>
          <w:rFonts w:ascii="宋体" w:hAnsi="宋体" w:eastAsia="宋体" w:cs="宋体"/>
          <w:b/>
          <w:sz w:val="32"/>
          <w:szCs w:val="32"/>
          <w:lang w:eastAsia="zh-CN"/>
        </w:rPr>
      </w:pPr>
      <w:r>
        <w:rPr>
          <w:rFonts w:hint="eastAsia" w:ascii="宋体" w:hAnsi="宋体" w:eastAsia="宋体" w:cs="宋体"/>
          <w:b/>
          <w:sz w:val="32"/>
          <w:szCs w:val="32"/>
          <w:lang w:eastAsia="zh-CN"/>
        </w:rPr>
        <w:t>投标文件组成：</w:t>
      </w:r>
    </w:p>
    <w:p w14:paraId="2258C3B2">
      <w:pPr>
        <w:widowControl w:val="0"/>
        <w:snapToGrid w:val="0"/>
        <w:jc w:val="both"/>
        <w:rPr>
          <w:rFonts w:ascii="宋体" w:hAnsi="宋体" w:eastAsia="宋体" w:cs="宋体"/>
          <w:b/>
          <w:color w:val="FF0000"/>
          <w:kern w:val="2"/>
          <w:lang w:eastAsia="zh-CN"/>
        </w:rPr>
      </w:pPr>
      <w:r>
        <w:rPr>
          <w:rFonts w:hint="eastAsia" w:ascii="宋体" w:hAnsi="宋体" w:eastAsia="宋体" w:cs="宋体"/>
          <w:b/>
          <w:color w:val="FF0000"/>
          <w:lang w:eastAsia="zh-CN"/>
        </w:rPr>
        <w:t>1.投标文件正文（信息公开部分）</w:t>
      </w:r>
      <w:r>
        <w:rPr>
          <w:rFonts w:hint="eastAsia" w:ascii="宋体" w:hAnsi="宋体" w:eastAsia="宋体" w:cs="宋体"/>
          <w:kern w:val="2"/>
          <w:szCs w:val="22"/>
          <w:lang w:eastAsia="zh-CN"/>
        </w:rPr>
        <w:t>，主要包括以下内容</w:t>
      </w:r>
      <w:r>
        <w:rPr>
          <w:rFonts w:hint="eastAsia" w:ascii="宋体" w:hAnsi="宋体" w:eastAsia="宋体" w:cs="宋体"/>
          <w:b/>
          <w:color w:val="FF0000"/>
          <w:lang w:eastAsia="zh-CN"/>
        </w:rPr>
        <w:t>：</w:t>
      </w:r>
    </w:p>
    <w:p w14:paraId="424617F5">
      <w:pPr>
        <w:widowControl w:val="0"/>
        <w:numPr>
          <w:ilvl w:val="0"/>
          <w:numId w:val="3"/>
        </w:numPr>
        <w:snapToGrid w:val="0"/>
        <w:rPr>
          <w:rFonts w:ascii="宋体" w:hAnsi="宋体" w:eastAsia="宋体" w:cs="宋体"/>
          <w:kern w:val="2"/>
          <w:lang w:eastAsia="zh-CN"/>
        </w:rPr>
      </w:pPr>
      <w:r>
        <w:rPr>
          <w:rFonts w:hint="eastAsia" w:ascii="宋体" w:hAnsi="宋体" w:eastAsia="宋体" w:cs="宋体"/>
          <w:kern w:val="2"/>
          <w:lang w:eastAsia="zh-CN"/>
        </w:rPr>
        <w:t>投标函</w:t>
      </w:r>
    </w:p>
    <w:p w14:paraId="2CBEA52A">
      <w:pPr>
        <w:widowControl w:val="0"/>
        <w:numPr>
          <w:ilvl w:val="0"/>
          <w:numId w:val="3"/>
        </w:numPr>
        <w:snapToGrid w:val="0"/>
        <w:rPr>
          <w:rFonts w:ascii="宋体" w:hAnsi="宋体" w:eastAsia="宋体" w:cs="宋体"/>
          <w:kern w:val="2"/>
          <w:lang w:eastAsia="zh-CN"/>
        </w:rPr>
      </w:pPr>
      <w:bookmarkStart w:id="21" w:name="_Hlk72062521"/>
      <w:r>
        <w:rPr>
          <w:rFonts w:hint="eastAsia" w:ascii="宋体" w:hAnsi="宋体" w:eastAsia="宋体" w:cs="宋体"/>
          <w:kern w:val="2"/>
          <w:lang w:eastAsia="zh-CN"/>
        </w:rPr>
        <w:t>政府采购投标及履约承诺函</w:t>
      </w:r>
      <w:bookmarkEnd w:id="21"/>
    </w:p>
    <w:p w14:paraId="077051D7">
      <w:pPr>
        <w:widowControl w:val="0"/>
        <w:numPr>
          <w:ilvl w:val="0"/>
          <w:numId w:val="3"/>
        </w:numPr>
        <w:snapToGrid w:val="0"/>
        <w:rPr>
          <w:rFonts w:ascii="宋体" w:hAnsi="宋体" w:eastAsia="宋体" w:cs="宋体"/>
          <w:kern w:val="2"/>
          <w:lang w:eastAsia="zh-CN"/>
        </w:rPr>
      </w:pPr>
      <w:r>
        <w:rPr>
          <w:rFonts w:hint="eastAsia" w:ascii="宋体" w:hAnsi="宋体" w:eastAsia="宋体" w:cs="宋体"/>
          <w:kern w:val="2"/>
          <w:lang w:eastAsia="zh-CN"/>
        </w:rPr>
        <w:t>投标人情况及资格证明文件</w:t>
      </w:r>
    </w:p>
    <w:p w14:paraId="79839F0A">
      <w:pPr>
        <w:widowControl w:val="0"/>
        <w:numPr>
          <w:ilvl w:val="0"/>
          <w:numId w:val="3"/>
        </w:numPr>
        <w:snapToGrid w:val="0"/>
        <w:rPr>
          <w:rFonts w:ascii="宋体" w:hAnsi="宋体" w:eastAsia="宋体" w:cs="宋体"/>
          <w:sz w:val="24"/>
          <w:szCs w:val="24"/>
        </w:rPr>
      </w:pPr>
      <w:r>
        <w:rPr>
          <w:rFonts w:hint="eastAsia" w:ascii="宋体" w:hAnsi="宋体" w:eastAsia="宋体" w:cs="宋体"/>
          <w:kern w:val="2"/>
          <w:lang w:eastAsia="zh-CN"/>
        </w:rPr>
        <w:t>项目报价</w:t>
      </w:r>
    </w:p>
    <w:p w14:paraId="564C72D8">
      <w:pPr>
        <w:widowControl w:val="0"/>
        <w:numPr>
          <w:ilvl w:val="0"/>
          <w:numId w:val="3"/>
        </w:numPr>
        <w:snapToGrid w:val="0"/>
        <w:rPr>
          <w:rFonts w:ascii="宋体" w:hAnsi="宋体" w:eastAsia="宋体" w:cs="宋体"/>
          <w:sz w:val="24"/>
          <w:szCs w:val="24"/>
        </w:rPr>
      </w:pPr>
      <w:r>
        <w:rPr>
          <w:rFonts w:ascii="宋体" w:hAnsi="宋体" w:eastAsia="宋体" w:cs="宋体"/>
          <w:sz w:val="24"/>
          <w:szCs w:val="24"/>
        </w:rPr>
        <w:t>投标人通过相关认证情况</w:t>
      </w:r>
    </w:p>
    <w:p w14:paraId="6A20EAE5">
      <w:pPr>
        <w:widowControl w:val="0"/>
        <w:numPr>
          <w:ilvl w:val="0"/>
          <w:numId w:val="3"/>
        </w:numPr>
        <w:snapToGrid w:val="0"/>
        <w:rPr>
          <w:rFonts w:ascii="宋体" w:hAnsi="宋体" w:eastAsia="宋体" w:cs="宋体"/>
          <w:sz w:val="24"/>
          <w:szCs w:val="24"/>
        </w:rPr>
      </w:pPr>
      <w:r>
        <w:rPr>
          <w:rFonts w:ascii="宋体" w:hAnsi="宋体" w:eastAsia="宋体" w:cs="宋体"/>
          <w:sz w:val="24"/>
          <w:szCs w:val="24"/>
        </w:rPr>
        <w:t>投标人同类项目业绩</w:t>
      </w:r>
    </w:p>
    <w:p w14:paraId="74A2428F">
      <w:pPr>
        <w:widowControl w:val="0"/>
        <w:numPr>
          <w:ilvl w:val="0"/>
          <w:numId w:val="3"/>
        </w:numPr>
        <w:snapToGrid w:val="0"/>
        <w:rPr>
          <w:rFonts w:ascii="宋体" w:hAnsi="宋体" w:eastAsia="宋体" w:cs="宋体"/>
          <w:sz w:val="24"/>
          <w:szCs w:val="24"/>
        </w:rPr>
      </w:pPr>
      <w:r>
        <w:rPr>
          <w:rFonts w:ascii="宋体" w:hAnsi="宋体" w:eastAsia="宋体" w:cs="宋体"/>
          <w:sz w:val="24"/>
          <w:szCs w:val="24"/>
        </w:rPr>
        <w:t>履约评价</w:t>
      </w:r>
    </w:p>
    <w:p w14:paraId="79178C2D">
      <w:pPr>
        <w:widowControl w:val="0"/>
        <w:numPr>
          <w:ilvl w:val="0"/>
          <w:numId w:val="3"/>
        </w:numPr>
        <w:snapToGrid w:val="0"/>
        <w:rPr>
          <w:rFonts w:ascii="宋体" w:hAnsi="宋体" w:eastAsia="宋体" w:cs="宋体"/>
          <w:sz w:val="24"/>
          <w:szCs w:val="24"/>
        </w:rPr>
      </w:pPr>
      <w:r>
        <w:rPr>
          <w:rFonts w:ascii="宋体" w:hAnsi="宋体" w:eastAsia="宋体" w:cs="宋体"/>
          <w:sz w:val="24"/>
          <w:szCs w:val="24"/>
        </w:rPr>
        <w:t>获奖情况</w:t>
      </w:r>
    </w:p>
    <w:p w14:paraId="79499CBC">
      <w:pPr>
        <w:widowControl w:val="0"/>
        <w:numPr>
          <w:ilvl w:val="0"/>
          <w:numId w:val="3"/>
        </w:numPr>
        <w:snapToGrid w:val="0"/>
        <w:rPr>
          <w:rFonts w:ascii="宋体" w:hAnsi="宋体" w:eastAsia="宋体" w:cs="宋体"/>
          <w:sz w:val="24"/>
          <w:szCs w:val="24"/>
        </w:rPr>
      </w:pPr>
      <w:r>
        <w:rPr>
          <w:rFonts w:ascii="宋体" w:hAnsi="宋体" w:eastAsia="宋体" w:cs="宋体"/>
          <w:sz w:val="24"/>
          <w:szCs w:val="24"/>
        </w:rPr>
        <w:t>相关保险</w:t>
      </w:r>
    </w:p>
    <w:p w14:paraId="6C76DE5F">
      <w:pPr>
        <w:widowControl w:val="0"/>
        <w:snapToGrid w:val="0"/>
        <w:rPr>
          <w:rFonts w:ascii="宋体" w:hAnsi="宋体" w:eastAsia="宋体" w:cs="宋体"/>
          <w:b/>
          <w:color w:val="FF0000"/>
          <w:lang w:eastAsia="zh-CN"/>
        </w:rPr>
      </w:pPr>
      <w:r>
        <w:rPr>
          <w:rFonts w:hint="eastAsia" w:ascii="宋体" w:hAnsi="宋体" w:eastAsia="宋体" w:cs="宋体"/>
          <w:b/>
          <w:color w:val="FF0000"/>
          <w:lang w:eastAsia="zh-CN"/>
        </w:rPr>
        <w:t>2.投标文件附件（信息不公开部分）</w:t>
      </w:r>
      <w:r>
        <w:rPr>
          <w:rFonts w:hint="eastAsia" w:ascii="宋体" w:hAnsi="宋体" w:eastAsia="宋体" w:cs="宋体"/>
          <w:kern w:val="2"/>
          <w:szCs w:val="22"/>
          <w:lang w:eastAsia="zh-CN"/>
        </w:rPr>
        <w:t>，主要包括以下内容</w:t>
      </w:r>
      <w:r>
        <w:rPr>
          <w:rFonts w:hint="eastAsia" w:ascii="宋体" w:hAnsi="宋体" w:eastAsia="宋体" w:cs="宋体"/>
          <w:b/>
          <w:color w:val="FF0000"/>
          <w:lang w:eastAsia="zh-CN"/>
        </w:rPr>
        <w:t>：</w:t>
      </w:r>
    </w:p>
    <w:p w14:paraId="76667B93">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供应商</w:t>
      </w:r>
      <w:r>
        <w:rPr>
          <w:rFonts w:ascii="宋体" w:hAnsi="宋体" w:eastAsia="宋体" w:cs="宋体"/>
          <w:kern w:val="2"/>
          <w:lang w:eastAsia="zh-CN"/>
        </w:rPr>
        <w:t>基本情况表</w:t>
      </w:r>
    </w:p>
    <w:p w14:paraId="32FBAD0F">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法定代表人（负责人）证明书</w:t>
      </w:r>
    </w:p>
    <w:p w14:paraId="1655F3F0">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投标文件签署授权委托书</w:t>
      </w:r>
    </w:p>
    <w:p w14:paraId="37647023">
      <w:pPr>
        <w:widowControl w:val="0"/>
        <w:numPr>
          <w:ilvl w:val="0"/>
          <w:numId w:val="3"/>
        </w:numPr>
        <w:snapToGrid w:val="0"/>
        <w:ind w:left="1456"/>
        <w:jc w:val="both"/>
        <w:rPr>
          <w:rFonts w:ascii="宋体" w:hAnsi="宋体" w:eastAsia="宋体" w:cs="宋体"/>
          <w:kern w:val="2"/>
          <w:lang w:eastAsia="zh-CN"/>
        </w:rPr>
      </w:pPr>
      <w:bookmarkStart w:id="22" w:name="_Hlk72257771"/>
      <w:r>
        <w:rPr>
          <w:rFonts w:hint="eastAsia" w:ascii="宋体" w:hAnsi="宋体" w:eastAsia="宋体" w:cs="宋体"/>
          <w:kern w:val="2"/>
          <w:lang w:eastAsia="zh-CN"/>
        </w:rPr>
        <w:t>实质性条款响应情况表</w:t>
      </w:r>
    </w:p>
    <w:p w14:paraId="3FE0DAD9">
      <w:pPr>
        <w:widowControl w:val="0"/>
        <w:numPr>
          <w:ilvl w:val="0"/>
          <w:numId w:val="3"/>
        </w:numPr>
        <w:ind w:left="1456"/>
        <w:jc w:val="both"/>
        <w:rPr>
          <w:rFonts w:ascii="宋体" w:hAnsi="宋体" w:eastAsia="宋体" w:cs="宋体"/>
          <w:sz w:val="24"/>
          <w:szCs w:val="24"/>
          <w:lang w:eastAsia="zh-CN"/>
        </w:rPr>
      </w:pPr>
      <w:r>
        <w:rPr>
          <w:rFonts w:ascii="宋体" w:hAnsi="宋体" w:eastAsia="宋体" w:cs="宋体"/>
          <w:sz w:val="24"/>
          <w:szCs w:val="24"/>
        </w:rPr>
        <w:t>实施方案</w:t>
      </w:r>
    </w:p>
    <w:p w14:paraId="7FBC1C27">
      <w:pPr>
        <w:widowControl w:val="0"/>
        <w:numPr>
          <w:ilvl w:val="0"/>
          <w:numId w:val="3"/>
        </w:numPr>
        <w:ind w:left="1456"/>
        <w:jc w:val="both"/>
        <w:rPr>
          <w:rFonts w:ascii="宋体" w:hAnsi="宋体" w:eastAsia="宋体" w:cs="宋体"/>
          <w:sz w:val="24"/>
          <w:szCs w:val="24"/>
          <w:lang w:eastAsia="zh-CN"/>
        </w:rPr>
      </w:pPr>
      <w:r>
        <w:rPr>
          <w:rFonts w:ascii="宋体" w:hAnsi="宋体" w:eastAsia="宋体" w:cs="宋体"/>
          <w:sz w:val="24"/>
          <w:szCs w:val="24"/>
        </w:rPr>
        <w:t>服务质量保证措施</w:t>
      </w:r>
    </w:p>
    <w:p w14:paraId="577B8186">
      <w:pPr>
        <w:widowControl w:val="0"/>
        <w:numPr>
          <w:ilvl w:val="0"/>
          <w:numId w:val="3"/>
        </w:numPr>
        <w:ind w:left="1456"/>
        <w:jc w:val="both"/>
        <w:rPr>
          <w:rFonts w:ascii="宋体" w:hAnsi="宋体" w:eastAsia="宋体" w:cs="宋体"/>
          <w:sz w:val="24"/>
          <w:szCs w:val="24"/>
          <w:lang w:eastAsia="zh-CN"/>
        </w:rPr>
      </w:pPr>
      <w:r>
        <w:rPr>
          <w:rFonts w:ascii="宋体" w:hAnsi="宋体" w:eastAsia="宋体" w:cs="宋体"/>
          <w:sz w:val="24"/>
          <w:szCs w:val="24"/>
        </w:rPr>
        <w:t>整体管理方案</w:t>
      </w:r>
    </w:p>
    <w:p w14:paraId="4AD94020">
      <w:pPr>
        <w:widowControl w:val="0"/>
        <w:numPr>
          <w:ilvl w:val="0"/>
          <w:numId w:val="3"/>
        </w:numPr>
        <w:ind w:left="1456"/>
        <w:jc w:val="both"/>
        <w:rPr>
          <w:rFonts w:ascii="宋体" w:hAnsi="宋体" w:eastAsia="宋体" w:cs="宋体"/>
          <w:sz w:val="24"/>
          <w:szCs w:val="24"/>
          <w:lang w:eastAsia="zh-CN"/>
        </w:rPr>
      </w:pPr>
      <w:r>
        <w:rPr>
          <w:rFonts w:ascii="宋体" w:hAnsi="宋体" w:eastAsia="宋体" w:cs="宋体"/>
          <w:sz w:val="24"/>
          <w:szCs w:val="24"/>
        </w:rPr>
        <w:t>供餐方案</w:t>
      </w:r>
    </w:p>
    <w:p w14:paraId="7ADF4C69">
      <w:pPr>
        <w:widowControl w:val="0"/>
        <w:numPr>
          <w:ilvl w:val="0"/>
          <w:numId w:val="3"/>
        </w:numPr>
        <w:ind w:left="1456"/>
        <w:jc w:val="both"/>
        <w:rPr>
          <w:rFonts w:ascii="宋体" w:hAnsi="宋体" w:eastAsia="宋体" w:cs="宋体"/>
          <w:sz w:val="24"/>
          <w:szCs w:val="24"/>
          <w:lang w:eastAsia="zh-CN"/>
        </w:rPr>
      </w:pPr>
      <w:r>
        <w:rPr>
          <w:rFonts w:ascii="宋体" w:hAnsi="宋体" w:eastAsia="宋体" w:cs="宋体"/>
          <w:sz w:val="24"/>
          <w:szCs w:val="24"/>
        </w:rPr>
        <w:t>应急方案</w:t>
      </w:r>
    </w:p>
    <w:p w14:paraId="649990FA">
      <w:pPr>
        <w:widowControl w:val="0"/>
        <w:numPr>
          <w:ilvl w:val="0"/>
          <w:numId w:val="3"/>
        </w:numPr>
        <w:ind w:left="1456"/>
        <w:jc w:val="both"/>
        <w:rPr>
          <w:rFonts w:ascii="宋体" w:hAnsi="宋体" w:eastAsia="宋体" w:cs="宋体"/>
          <w:sz w:val="24"/>
          <w:szCs w:val="24"/>
          <w:lang w:eastAsia="zh-CN"/>
        </w:rPr>
      </w:pPr>
      <w:r>
        <w:rPr>
          <w:rFonts w:ascii="宋体" w:hAnsi="宋体" w:eastAsia="宋体" w:cs="宋体"/>
          <w:sz w:val="24"/>
          <w:szCs w:val="24"/>
        </w:rPr>
        <w:t>项目负责人（仅限1人）</w:t>
      </w:r>
    </w:p>
    <w:p w14:paraId="49BCE6E3">
      <w:pPr>
        <w:widowControl w:val="0"/>
        <w:numPr>
          <w:ilvl w:val="0"/>
          <w:numId w:val="3"/>
        </w:numPr>
        <w:ind w:left="1456"/>
        <w:jc w:val="both"/>
        <w:rPr>
          <w:rFonts w:ascii="宋体" w:hAnsi="宋体" w:eastAsia="宋体" w:cs="宋体"/>
          <w:sz w:val="24"/>
          <w:szCs w:val="24"/>
          <w:lang w:eastAsia="zh-CN"/>
        </w:rPr>
      </w:pPr>
      <w:r>
        <w:rPr>
          <w:rFonts w:ascii="宋体" w:hAnsi="宋体" w:eastAsia="宋体" w:cs="宋体"/>
          <w:sz w:val="24"/>
          <w:szCs w:val="24"/>
        </w:rPr>
        <w:t>拟派项目团队人员情况（兼厨师长，不含项目负责人）</w:t>
      </w:r>
    </w:p>
    <w:p w14:paraId="262B4D44">
      <w:pPr>
        <w:widowControl w:val="0"/>
        <w:numPr>
          <w:ilvl w:val="0"/>
          <w:numId w:val="3"/>
        </w:numPr>
        <w:ind w:left="1456"/>
        <w:jc w:val="both"/>
        <w:rPr>
          <w:rFonts w:ascii="宋体" w:hAnsi="宋体" w:eastAsia="宋体" w:cs="宋体"/>
          <w:sz w:val="24"/>
          <w:szCs w:val="24"/>
          <w:lang w:eastAsia="zh-CN"/>
        </w:rPr>
      </w:pPr>
      <w:r>
        <w:rPr>
          <w:rFonts w:ascii="宋体" w:hAnsi="宋体" w:eastAsia="宋体" w:cs="宋体"/>
          <w:sz w:val="24"/>
          <w:szCs w:val="24"/>
        </w:rPr>
        <w:t>项目组织和管理承诺</w:t>
      </w:r>
    </w:p>
    <w:p w14:paraId="03C8841D">
      <w:pPr>
        <w:widowControl w:val="0"/>
        <w:numPr>
          <w:ilvl w:val="0"/>
          <w:numId w:val="3"/>
        </w:numPr>
        <w:ind w:left="1456"/>
        <w:jc w:val="both"/>
        <w:rPr>
          <w:rFonts w:ascii="宋体" w:hAnsi="宋体" w:eastAsia="宋体" w:cs="宋体"/>
          <w:kern w:val="2"/>
          <w:lang w:eastAsia="zh-CN"/>
        </w:rPr>
      </w:pPr>
      <w:r>
        <w:rPr>
          <w:rFonts w:hint="eastAsia" w:ascii="宋体" w:hAnsi="宋体" w:eastAsia="宋体" w:cs="宋体"/>
          <w:sz w:val="24"/>
          <w:szCs w:val="24"/>
          <w:lang w:eastAsia="zh-CN"/>
        </w:rPr>
        <w:t>投标人认为需要加以说</w:t>
      </w:r>
      <w:r>
        <w:rPr>
          <w:rFonts w:hint="eastAsia" w:ascii="宋体" w:hAnsi="宋体" w:eastAsia="宋体" w:cs="宋体"/>
          <w:kern w:val="2"/>
          <w:lang w:eastAsia="zh-CN"/>
        </w:rPr>
        <w:t>明的其他内容</w:t>
      </w:r>
    </w:p>
    <w:p w14:paraId="03E3A258">
      <w:pPr>
        <w:widowControl w:val="0"/>
        <w:ind w:left="1036"/>
        <w:jc w:val="both"/>
        <w:rPr>
          <w:rFonts w:ascii="宋体" w:hAnsi="宋体" w:eastAsia="宋体" w:cs="宋体"/>
          <w:b/>
          <w:kern w:val="2"/>
          <w:lang w:eastAsia="zh-CN"/>
        </w:rPr>
      </w:pPr>
      <w:r>
        <w:rPr>
          <w:rFonts w:hint="eastAsia" w:ascii="宋体" w:hAnsi="宋体" w:eastAsia="宋体" w:cs="宋体"/>
          <w:b/>
          <w:kern w:val="2"/>
          <w:lang w:eastAsia="zh-CN"/>
        </w:rPr>
        <w:t>备注：</w:t>
      </w:r>
    </w:p>
    <w:p w14:paraId="15C8458E">
      <w:pPr>
        <w:widowControl w:val="0"/>
        <w:snapToGrid w:val="0"/>
        <w:spacing w:after="60" w:afterLines="25"/>
        <w:ind w:firstLine="482" w:firstLineChars="200"/>
        <w:jc w:val="both"/>
        <w:rPr>
          <w:rFonts w:ascii="宋体" w:hAnsi="宋体" w:eastAsia="宋体" w:cs="宋体"/>
          <w:b/>
          <w:kern w:val="2"/>
          <w:lang w:eastAsia="zh-CN"/>
        </w:rPr>
      </w:pPr>
      <w:r>
        <w:rPr>
          <w:rFonts w:hint="eastAsia" w:ascii="宋体" w:hAnsi="宋体" w:eastAsia="宋体" w:cs="宋体"/>
          <w:b/>
          <w:kern w:val="2"/>
          <w:lang w:eastAsia="zh-CN"/>
        </w:rPr>
        <w:t>1.本项目为网上电子投标项目，投标文件不需法人或授权委托人另行签字，无需加盖单位公章，招标文件另有规定的除外。</w:t>
      </w:r>
    </w:p>
    <w:p w14:paraId="41F7C238">
      <w:pPr>
        <w:widowControl w:val="0"/>
        <w:snapToGrid w:val="0"/>
        <w:spacing w:after="60" w:afterLines="25"/>
        <w:ind w:firstLine="482" w:firstLineChars="200"/>
        <w:jc w:val="both"/>
        <w:rPr>
          <w:rFonts w:ascii="宋体" w:hAnsi="宋体" w:eastAsia="黑体"/>
          <w:bCs/>
          <w:kern w:val="44"/>
          <w:sz w:val="32"/>
          <w:szCs w:val="32"/>
          <w:lang w:eastAsia="zh-CN"/>
        </w:rPr>
      </w:pPr>
      <w:bookmarkStart w:id="23" w:name="_Hlk72263559"/>
      <w:r>
        <w:rPr>
          <w:rFonts w:hint="eastAsia" w:ascii="宋体" w:hAnsi="宋体" w:eastAsia="宋体" w:cs="宋体"/>
          <w:b/>
          <w:kern w:val="2"/>
          <w:lang w:eastAsia="zh-CN"/>
        </w:rPr>
        <w:t>2.关于填写“开标一览表”的说明：“开标一览表”中除“投标总价”外，其他信息不作评审依据。</w:t>
      </w:r>
      <w:bookmarkEnd w:id="22"/>
      <w:bookmarkEnd w:id="23"/>
      <w:r>
        <w:rPr>
          <w:rFonts w:ascii="宋体" w:hAnsi="宋体" w:eastAsia="黑体"/>
          <w:bCs/>
          <w:kern w:val="44"/>
          <w:sz w:val="32"/>
          <w:szCs w:val="32"/>
          <w:lang w:eastAsia="zh-CN"/>
        </w:rPr>
        <w:br w:type="page"/>
      </w:r>
    </w:p>
    <w:p w14:paraId="532EB584">
      <w:pPr>
        <w:outlineLvl w:val="2"/>
        <w:rPr>
          <w:rFonts w:ascii="宋体" w:hAnsi="宋体" w:eastAsia="宋体" w:cs="宋体"/>
          <w:b/>
          <w:color w:val="FF0000"/>
          <w:sz w:val="32"/>
          <w:szCs w:val="32"/>
          <w:lang w:eastAsia="zh-CN"/>
        </w:rPr>
      </w:pPr>
      <w:r>
        <w:rPr>
          <w:rFonts w:hint="eastAsia" w:ascii="宋体" w:hAnsi="宋体" w:eastAsia="宋体" w:cs="宋体"/>
          <w:b/>
          <w:color w:val="FF0000"/>
          <w:sz w:val="32"/>
          <w:szCs w:val="32"/>
          <w:lang w:eastAsia="zh-CN"/>
        </w:rPr>
        <w:t>投标文件正文（信息公开部分）</w:t>
      </w:r>
    </w:p>
    <w:p w14:paraId="3090219F">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ascii="Calibri" w:hAnsi="Calibri" w:eastAsia="宋体" w:cs="宋体"/>
          <w:b/>
          <w:kern w:val="2"/>
          <w:sz w:val="21"/>
          <w:szCs w:val="22"/>
          <w:lang w:eastAsia="zh-CN"/>
        </w:rPr>
        <w:t>投标</w:t>
      </w:r>
      <w:r>
        <w:rPr>
          <w:rFonts w:hint="eastAsia" w:ascii="Calibri" w:hAnsi="Calibri" w:eastAsia="宋体" w:cs="宋体"/>
          <w:b/>
          <w:kern w:val="2"/>
          <w:sz w:val="21"/>
          <w:szCs w:val="22"/>
          <w:lang w:eastAsia="zh-CN"/>
        </w:rPr>
        <w:t>函</w:t>
      </w:r>
    </w:p>
    <w:p w14:paraId="0775AE3F">
      <w:pPr>
        <w:widowControl w:val="0"/>
        <w:snapToGrid w:val="0"/>
        <w:spacing w:line="360" w:lineRule="auto"/>
        <w:jc w:val="both"/>
        <w:rPr>
          <w:rFonts w:ascii="Arial" w:hAnsi="Arial" w:eastAsia="宋体"/>
          <w:kern w:val="2"/>
          <w:sz w:val="21"/>
          <w:lang w:eastAsia="zh-CN"/>
        </w:rPr>
      </w:pPr>
    </w:p>
    <w:p w14:paraId="1299C532">
      <w:pPr>
        <w:widowControl w:val="0"/>
        <w:spacing w:line="36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致：</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FF0000"/>
          <w:kern w:val="2"/>
          <w:sz w:val="21"/>
          <w:szCs w:val="21"/>
          <w:u w:val="single"/>
          <w:lang w:eastAsia="zh-CN"/>
        </w:rPr>
        <w:t>深圳市深汕交易有限公司</w:t>
      </w:r>
      <w:r>
        <w:rPr>
          <w:rFonts w:hint="eastAsia" w:ascii="宋体" w:hAnsi="宋体" w:eastAsia="宋体" w:cs="宋体"/>
          <w:kern w:val="2"/>
          <w:sz w:val="21"/>
          <w:szCs w:val="21"/>
          <w:u w:val="single"/>
          <w:lang w:eastAsia="zh-CN"/>
        </w:rPr>
        <w:t xml:space="preserve">  </w:t>
      </w:r>
    </w:p>
    <w:p w14:paraId="0FCDA7DC">
      <w:pPr>
        <w:widowControl w:val="0"/>
        <w:ind w:firstLine="420" w:firstLineChars="200"/>
        <w:jc w:val="both"/>
        <w:rPr>
          <w:rFonts w:ascii="宋体" w:hAnsi="宋体" w:eastAsia="宋体" w:cs="宋体"/>
          <w:kern w:val="2"/>
          <w:sz w:val="21"/>
          <w:szCs w:val="21"/>
          <w:lang w:eastAsia="zh-CN"/>
        </w:rPr>
      </w:pPr>
      <w:bookmarkStart w:id="24" w:name="_Hlk73818812"/>
      <w:r>
        <w:rPr>
          <w:rFonts w:hint="eastAsia" w:ascii="Calibri" w:hAnsi="Calibri" w:eastAsia="宋体" w:cs="宋体"/>
          <w:kern w:val="2"/>
          <w:sz w:val="21"/>
          <w:szCs w:val="21"/>
          <w:lang w:eastAsia="zh-CN"/>
        </w:rPr>
        <w:t>1、根据已收到贵单位的项目编号为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的</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的招标文件，遵照《深圳经济特区政府采购条例》和《深圳网上政府采购管理暂行办法》等有关规定，我单位经研究上述招标文件的专用条款及通用条款后，</w:t>
      </w:r>
      <w:bookmarkStart w:id="25" w:name="_Hlk72263588"/>
      <w:r>
        <w:rPr>
          <w:rFonts w:hint="eastAsia" w:ascii="Calibri" w:hAnsi="Calibri" w:eastAsia="宋体" w:cs="宋体"/>
          <w:kern w:val="2"/>
          <w:sz w:val="21"/>
          <w:szCs w:val="21"/>
          <w:lang w:eastAsia="zh-CN"/>
        </w:rPr>
        <w:t>愿意按照招标文件要求承包上述项目并修补其任何缺陷。</w:t>
      </w:r>
      <w:bookmarkEnd w:id="25"/>
    </w:p>
    <w:p w14:paraId="2295DD4D">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、投标价格见</w:t>
      </w:r>
      <w:r>
        <w:rPr>
          <w:rFonts w:hint="eastAsia" w:ascii="Calibri" w:hAnsi="Calibri" w:eastAsia="宋体" w:cs="宋体"/>
          <w:kern w:val="2"/>
          <w:sz w:val="21"/>
          <w:szCs w:val="21"/>
          <w:lang w:eastAsia="zh-CN"/>
        </w:rPr>
        <w:t>投标书编制软件中《开标一览表》中填写的投标总价。</w:t>
      </w:r>
    </w:p>
    <w:p w14:paraId="21A4428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3、如果我单位中标，我单位将按照招标文件的要求足额提交履约担保。</w:t>
      </w:r>
    </w:p>
    <w:p w14:paraId="7C00961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4、我单位同意所递交的投标文件在“对通用条款的补充内容”中明确的投标有效期内有效，在此期间内我单位的投标有可能中标，我方将受此约束。</w:t>
      </w:r>
    </w:p>
    <w:p w14:paraId="4F66E38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5、除非另外达成协议并生效，贵单位的中标通知书和本投标文件将构成合同的重要内容。</w:t>
      </w:r>
    </w:p>
    <w:p w14:paraId="6C4099ED">
      <w:pPr>
        <w:widowControl w:val="0"/>
        <w:ind w:left="480" w:left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6、我单位理解贵单位将不受必须接受所收到的最低报价或其它任何投标文件的约束。</w:t>
      </w:r>
      <w:bookmarkEnd w:id="24"/>
    </w:p>
    <w:p w14:paraId="19B8E2BB">
      <w:pPr>
        <w:widowControl w:val="0"/>
        <w:ind w:left="480" w:left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7</w:t>
      </w:r>
      <w:r>
        <w:rPr>
          <w:rFonts w:ascii="宋体" w:hAnsi="宋体" w:eastAsia="宋体" w:cs="宋体"/>
          <w:b/>
          <w:kern w:val="2"/>
          <w:sz w:val="21"/>
          <w:szCs w:val="21"/>
          <w:lang w:eastAsia="zh-CN"/>
        </w:rPr>
        <w:t>、如我单位提交样品，且未在规定时间内取回样品的，视同放弃取回，同意深圳市深汕交易有限公司对我单位提交的样品进行清理。</w:t>
      </w:r>
    </w:p>
    <w:p w14:paraId="15DF7AB8">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  单位地址：</w:t>
      </w:r>
      <w:r>
        <w:rPr>
          <w:rFonts w:hint="eastAsia" w:ascii="Calibri" w:hAnsi="Calibri" w:eastAsia="宋体" w:cs="宋体"/>
          <w:kern w:val="2"/>
          <w:sz w:val="21"/>
          <w:szCs w:val="21"/>
          <w:u w:val="thick"/>
          <w:lang w:eastAsia="zh-CN"/>
        </w:rPr>
        <w:t xml:space="preserve">       </w:t>
      </w:r>
      <w:r>
        <w:rPr>
          <w:rFonts w:hint="eastAsia" w:hAnsi="Calibri" w:eastAsia="宋体" w:cs="宋体"/>
          <w:kern w:val="2"/>
          <w:sz w:val="21"/>
          <w:szCs w:val="21"/>
          <w:u w:val="thick"/>
          <w:lang w:eastAsia="zh-CN"/>
        </w:rPr>
        <w:t xml:space="preserve">          </w:t>
      </w:r>
      <w:r>
        <w:rPr>
          <w:rFonts w:hint="eastAsia" w:ascii="Calibri" w:hAnsi="Calibri" w:eastAsia="宋体" w:cs="宋体"/>
          <w:kern w:val="2"/>
          <w:sz w:val="21"/>
          <w:szCs w:val="21"/>
          <w:u w:val="thick"/>
          <w:lang w:eastAsia="zh-CN"/>
        </w:rPr>
        <w:t xml:space="preserve"> </w:t>
      </w:r>
      <w:r>
        <w:rPr>
          <w:rFonts w:hint="eastAsia"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6018A6A9">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法定代表人（负责人）或其</w:t>
      </w:r>
      <w:r>
        <w:rPr>
          <w:rFonts w:hint="eastAsia" w:hAnsi="Calibri" w:eastAsia="宋体" w:cs="宋体"/>
          <w:kern w:val="2"/>
          <w:sz w:val="21"/>
          <w:szCs w:val="21"/>
          <w:lang w:eastAsia="zh-CN"/>
        </w:rPr>
        <w:t>授权</w:t>
      </w:r>
      <w:r>
        <w:rPr>
          <w:rFonts w:hint="eastAsia" w:ascii="Calibri" w:hAnsi="Calibri" w:eastAsia="宋体" w:cs="宋体"/>
          <w:kern w:val="2"/>
          <w:sz w:val="21"/>
          <w:szCs w:val="21"/>
          <w:lang w:eastAsia="zh-CN"/>
        </w:rPr>
        <w:t>委托代理人：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5EFA2B93">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电话：</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 xml:space="preserve"> ；     </w:t>
      </w:r>
    </w:p>
    <w:p w14:paraId="226B4CA3">
      <w:pPr>
        <w:widowControl w:val="0"/>
        <w:ind w:left="480" w:leftChars="200" w:firstLine="210" w:firstLineChars="100"/>
        <w:jc w:val="both"/>
        <w:rPr>
          <w:rFonts w:ascii="Calibri" w:hAnsi="Calibri" w:eastAsia="宋体" w:cs="宋体"/>
          <w:kern w:val="2"/>
          <w:szCs w:val="22"/>
          <w:lang w:eastAsia="zh-CN"/>
        </w:rPr>
      </w:pPr>
      <w:r>
        <w:rPr>
          <w:rFonts w:hint="eastAsia" w:ascii="宋体" w:hAnsi="宋体" w:eastAsia="宋体" w:cs="宋体"/>
          <w:kern w:val="2"/>
          <w:sz w:val="21"/>
          <w:szCs w:val="21"/>
          <w:lang w:eastAsia="zh-CN"/>
        </w:rPr>
        <w:t>日期：</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日</w:t>
      </w:r>
      <w:r>
        <w:rPr>
          <w:rFonts w:hint="eastAsia" w:ascii="Calibri" w:hAnsi="Calibri" w:eastAsia="宋体" w:cs="宋体"/>
          <w:kern w:val="2"/>
          <w:szCs w:val="22"/>
          <w:lang w:eastAsia="zh-CN"/>
        </w:rPr>
        <w:t xml:space="preserve">                                </w:t>
      </w:r>
    </w:p>
    <w:p w14:paraId="184C6D43">
      <w:pPr>
        <w:widowControl w:val="0"/>
        <w:ind w:left="480" w:leftChars="200"/>
        <w:jc w:val="both"/>
        <w:rPr>
          <w:rFonts w:ascii="Calibri" w:hAnsi="Calibri" w:eastAsia="宋体" w:cs="宋体"/>
          <w:kern w:val="2"/>
          <w:szCs w:val="22"/>
          <w:lang w:eastAsia="zh-CN"/>
        </w:rPr>
      </w:pPr>
      <w:r>
        <w:rPr>
          <w:rFonts w:hint="eastAsia" w:ascii="Calibri" w:hAnsi="Calibri" w:eastAsia="宋体" w:cs="宋体"/>
          <w:kern w:val="2"/>
          <w:szCs w:val="22"/>
          <w:lang w:eastAsia="zh-CN"/>
        </w:rPr>
        <w:t xml:space="preserve">                       </w:t>
      </w:r>
    </w:p>
    <w:p w14:paraId="5D4E7EB9">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政府采购投标及履约承诺函</w:t>
      </w:r>
    </w:p>
    <w:p w14:paraId="6B1A1D0C">
      <w:pPr>
        <w:widowControl w:val="0"/>
        <w:spacing w:line="260" w:lineRule="exact"/>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致：</w:t>
      </w:r>
      <w:r>
        <w:rPr>
          <w:rFonts w:hint="eastAsia" w:ascii="宋体" w:hAnsi="宋体" w:eastAsia="宋体" w:cs="宋体"/>
          <w:color w:val="FF0000"/>
          <w:kern w:val="2"/>
          <w:sz w:val="21"/>
          <w:szCs w:val="21"/>
          <w:u w:val="single"/>
          <w:lang w:eastAsia="zh-CN"/>
        </w:rPr>
        <w:t>深圳市深汕交易有限公司</w:t>
      </w:r>
    </w:p>
    <w:p w14:paraId="499D7BB6">
      <w:pPr>
        <w:widowControl w:val="0"/>
        <w:spacing w:line="260" w:lineRule="exact"/>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我单位承诺：</w:t>
      </w:r>
    </w:p>
    <w:p w14:paraId="59F6667D">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1.我单位参与本项目</w:t>
      </w:r>
      <w:r>
        <w:rPr>
          <w:rFonts w:hint="eastAsia" w:ascii="宋体" w:hAnsi="宋体" w:eastAsia="宋体" w:cs="宋体"/>
          <w:kern w:val="2"/>
          <w:sz w:val="21"/>
          <w:szCs w:val="22"/>
          <w:lang w:eastAsia="zh-CN"/>
        </w:rPr>
        <w:t>所投标（响应）的货物、工程或服务，不存在侵犯知识产权的情况。</w:t>
      </w:r>
    </w:p>
    <w:p w14:paraId="56DA3020">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2.我单位参与本项目</w:t>
      </w:r>
      <w:r>
        <w:rPr>
          <w:rFonts w:hint="eastAsia" w:ascii="Calibri" w:hAnsi="Calibri" w:eastAsia="宋体" w:cs="宋体"/>
          <w:kern w:val="2"/>
          <w:sz w:val="21"/>
          <w:szCs w:val="22"/>
          <w:lang w:eastAsia="zh-CN"/>
        </w:rPr>
        <w:t>政府采购活动时不存在被有关部门禁止参与政府采购活动且在有效期内的情况。</w:t>
      </w:r>
    </w:p>
    <w:p w14:paraId="163127A4">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3.我单位具备《中华人民共和国政府采购法》第二十二条第一款规定的六项条件。</w:t>
      </w:r>
    </w:p>
    <w:p w14:paraId="65397B85">
      <w:pPr>
        <w:widowControl w:val="0"/>
        <w:spacing w:line="260" w:lineRule="exact"/>
        <w:ind w:firstLine="420" w:firstLineChars="200"/>
        <w:jc w:val="both"/>
        <w:rPr>
          <w:rFonts w:ascii="Calibri" w:hAnsi="Calibri" w:eastAsia="宋体" w:cs="宋体"/>
          <w:kern w:val="2"/>
          <w:sz w:val="21"/>
          <w:szCs w:val="22"/>
          <w:lang w:eastAsia="zh-CN"/>
        </w:rPr>
      </w:pPr>
      <w:r>
        <w:rPr>
          <w:rFonts w:hint="eastAsia" w:ascii="宋体" w:hAnsi="宋体" w:eastAsia="宋体" w:cs="宋体"/>
          <w:kern w:val="2"/>
          <w:sz w:val="21"/>
          <w:szCs w:val="21"/>
          <w:lang w:eastAsia="zh-CN"/>
        </w:rPr>
        <w:t>4.我单位</w:t>
      </w:r>
      <w:r>
        <w:rPr>
          <w:rFonts w:hint="eastAsia" w:ascii="Calibri" w:hAnsi="Calibri" w:eastAsia="宋体" w:cs="宋体"/>
          <w:kern w:val="2"/>
          <w:sz w:val="21"/>
          <w:szCs w:val="22"/>
          <w:lang w:eastAsia="zh-CN"/>
        </w:rPr>
        <w:t>未被列入失信被执行人、重大税收违法案件当事人名单、政府采购严重违法失信行为记录名单。</w:t>
      </w:r>
    </w:p>
    <w:p w14:paraId="36D6AB87">
      <w:pPr>
        <w:widowControl w:val="0"/>
        <w:spacing w:line="260" w:lineRule="exact"/>
        <w:ind w:firstLine="420" w:firstLineChars="200"/>
        <w:jc w:val="both"/>
        <w:rPr>
          <w:rFonts w:ascii="Calibri" w:hAnsi="Calibri" w:eastAsia="宋体" w:cs="宋体"/>
          <w:kern w:val="2"/>
          <w:sz w:val="21"/>
          <w:szCs w:val="22"/>
          <w:lang w:eastAsia="zh-CN"/>
        </w:rPr>
      </w:pPr>
      <w:r>
        <w:rPr>
          <w:rFonts w:hint="eastAsia" w:hAnsi="Calibri" w:eastAsia="宋体" w:cs="宋体"/>
          <w:color w:val="FF0000"/>
          <w:kern w:val="2"/>
          <w:sz w:val="21"/>
          <w:szCs w:val="22"/>
          <w:lang w:eastAsia="zh-CN"/>
        </w:rPr>
        <w:t>5.我单位不存在《深圳市财政局政府采购供应商信用信息管理办法》（深财规〔2023〕3号）列明的严重违法失信行为。</w:t>
      </w:r>
    </w:p>
    <w:p w14:paraId="1B823870">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1917BD1">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5238105">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A6B5DAD">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6F67C9A">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9.我单位承诺中标后项目不转包，未经采购人同意不进行分包。</w:t>
      </w:r>
    </w:p>
    <w:p w14:paraId="24C8F930">
      <w:pPr>
        <w:widowControl w:val="0"/>
        <w:spacing w:line="260" w:lineRule="exact"/>
        <w:ind w:firstLine="420" w:firstLineChars="200"/>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10</w:t>
      </w:r>
      <w:r>
        <w:rPr>
          <w:rFonts w:ascii="宋体" w:hAnsi="宋体" w:eastAsia="宋体" w:cs="宋体"/>
          <w:kern w:val="2"/>
          <w:sz w:val="21"/>
          <w:szCs w:val="21"/>
          <w:lang w:eastAsia="zh-CN"/>
        </w:rPr>
        <w:t>.</w:t>
      </w:r>
      <w:r>
        <w:rPr>
          <w:rFonts w:hint="eastAsia" w:ascii="宋体" w:hAnsi="宋体" w:eastAsia="宋体" w:cs="宋体"/>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3C62408">
      <w:pPr>
        <w:widowControl w:val="0"/>
        <w:spacing w:line="260" w:lineRule="exact"/>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szCs w:val="22"/>
          <w:lang w:eastAsia="zh-CN"/>
        </w:rPr>
        <w:t>11</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我单位保证，若所投货物涉及</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财政部生态环境部关于印发节能产品政府采购品目清单的通知》（财库〔20</w:t>
      </w:r>
      <w:r>
        <w:rPr>
          <w:rFonts w:ascii="宋体" w:hAnsi="宋体" w:eastAsia="宋体" w:cs="宋体"/>
          <w:kern w:val="2"/>
          <w:sz w:val="21"/>
          <w:szCs w:val="22"/>
          <w:lang w:eastAsia="zh-CN"/>
        </w:rPr>
        <w:t>19</w:t>
      </w:r>
      <w:r>
        <w:rPr>
          <w:rFonts w:hint="eastAsia" w:ascii="宋体" w:hAnsi="宋体" w:eastAsia="宋体" w:cs="宋体"/>
          <w:kern w:val="2"/>
          <w:sz w:val="21"/>
          <w:szCs w:val="22"/>
          <w:lang w:eastAsia="zh-CN"/>
        </w:rPr>
        <w:t>〕</w:t>
      </w:r>
      <w:r>
        <w:rPr>
          <w:rFonts w:ascii="宋体" w:hAnsi="宋体" w:eastAsia="宋体" w:cs="宋体"/>
          <w:kern w:val="2"/>
          <w:sz w:val="21"/>
          <w:szCs w:val="22"/>
          <w:lang w:eastAsia="zh-CN"/>
        </w:rPr>
        <w:t>19</w:t>
      </w:r>
      <w:r>
        <w:rPr>
          <w:rFonts w:hint="eastAsia" w:ascii="宋体" w:hAnsi="宋体" w:eastAsia="宋体" w:cs="宋体"/>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宋体"/>
          <w:kern w:val="2"/>
          <w:sz w:val="21"/>
          <w:szCs w:val="22"/>
          <w:lang w:eastAsia="zh-CN"/>
        </w:rPr>
        <w:t>《财政部 生态环境部 工业和信息化部关于印发&lt;绿色数据中心政府采购需求标准（试行）&gt;的通知》（财库〔2023〕7号）</w:t>
      </w:r>
      <w:r>
        <w:rPr>
          <w:rFonts w:hint="eastAsia" w:hAnsi="Calibri" w:eastAsia="宋体" w:cs="宋体"/>
          <w:kern w:val="2"/>
          <w:sz w:val="21"/>
          <w:szCs w:val="22"/>
          <w:lang w:eastAsia="zh-CN"/>
        </w:rPr>
        <w:t>要求。若所投产品涉及国家强制性标准的，所投产品应符合国家强制性标准相关要求。</w:t>
      </w:r>
    </w:p>
    <w:p w14:paraId="7D4B21E0">
      <w:pPr>
        <w:widowControl w:val="0"/>
        <w:spacing w:line="260" w:lineRule="exact"/>
        <w:ind w:firstLine="420" w:firstLineChars="200"/>
        <w:jc w:val="both"/>
        <w:rPr>
          <w:rFonts w:ascii="宋体" w:hAnsi="宋体" w:eastAsia="宋体" w:cs="宋体"/>
          <w:bCs/>
          <w:kern w:val="2"/>
          <w:sz w:val="21"/>
          <w:szCs w:val="22"/>
          <w:highlight w:val="yellow"/>
          <w:lang w:eastAsia="zh-CN"/>
        </w:rPr>
      </w:pPr>
      <w:bookmarkStart w:id="87" w:name="_GoBack"/>
      <w:r>
        <w:rPr>
          <w:rFonts w:hint="eastAsia" w:ascii="宋体" w:hAnsi="宋体" w:eastAsia="宋体" w:cs="宋体"/>
          <w:bCs/>
          <w:sz w:val="21"/>
          <w:szCs w:val="21"/>
          <w:highlight w:val="yellow"/>
          <w:lang w:eastAsia="zh-CN"/>
        </w:rPr>
        <w:t>12.</w:t>
      </w:r>
      <w:r>
        <w:rPr>
          <w:rFonts w:hint="eastAsia" w:ascii="宋体" w:hAnsi="宋体" w:eastAsia="宋体" w:cs="宋体"/>
          <w:bCs/>
          <w:kern w:val="2"/>
          <w:sz w:val="21"/>
          <w:szCs w:val="22"/>
          <w:highlight w:val="yellow"/>
          <w:lang w:eastAsia="zh-CN"/>
        </w:rPr>
        <w:t>我单位已知悉并同意中标（成交）结果信息公示（公开）的内容。</w:t>
      </w:r>
    </w:p>
    <w:bookmarkEnd w:id="87"/>
    <w:p w14:paraId="3D331CBC">
      <w:pPr>
        <w:widowControl w:val="0"/>
        <w:spacing w:line="260" w:lineRule="exact"/>
        <w:ind w:firstLine="420" w:firstLineChars="200"/>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A668DC9">
      <w:pPr>
        <w:widowControl w:val="0"/>
        <w:spacing w:line="260" w:lineRule="exact"/>
        <w:ind w:firstLine="422" w:firstLineChars="200"/>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42F072E3">
      <w:pPr>
        <w:widowControl w:val="0"/>
        <w:spacing w:line="260" w:lineRule="exact"/>
        <w:ind w:firstLine="420" w:firstLineChars="20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0A96D0D">
      <w:pPr>
        <w:widowControl w:val="0"/>
        <w:spacing w:line="360" w:lineRule="auto"/>
        <w:ind w:firstLine="482" w:firstLineChars="200"/>
        <w:jc w:val="both"/>
        <w:rPr>
          <w:rFonts w:ascii="楷体_GB2312" w:hAnsi="Calibri" w:eastAsia="楷体_GB2312" w:cs="宋体"/>
          <w:b/>
          <w:bCs/>
          <w:kern w:val="2"/>
          <w:lang w:eastAsia="zh-CN"/>
        </w:rPr>
      </w:pPr>
    </w:p>
    <w:p w14:paraId="3100069B">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以上承诺，如有违反，愿依照国家相关法律法规处理，并承担由此给采购人带来的损失。</w:t>
      </w:r>
    </w:p>
    <w:p w14:paraId="3C9B76AB">
      <w:pPr>
        <w:widowControl w:val="0"/>
        <w:spacing w:before="60" w:beforeLines="25" w:after="60" w:afterLines="25" w:line="260" w:lineRule="exact"/>
        <w:ind w:firstLine="5460" w:firstLineChars="26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p>
    <w:p w14:paraId="21E03310">
      <w:pPr>
        <w:widowControl w:val="0"/>
        <w:spacing w:before="60" w:beforeLines="25" w:after="60" w:afterLines="25" w:line="260" w:lineRule="exact"/>
        <w:ind w:firstLine="5460" w:firstLineChars="2600"/>
        <w:jc w:val="both"/>
        <w:rPr>
          <w:rFonts w:ascii="Calibri" w:hAnsi="Calibri" w:eastAsia="宋体" w:cs="宋体"/>
          <w:color w:val="FF0000"/>
          <w:kern w:val="2"/>
          <w:sz w:val="21"/>
          <w:szCs w:val="22"/>
          <w:lang w:eastAsia="zh-CN"/>
        </w:rPr>
      </w:pPr>
      <w:r>
        <w:rPr>
          <w:rFonts w:hint="eastAsia" w:ascii="Calibri" w:hAnsi="Calibri" w:eastAsia="宋体" w:cs="宋体"/>
          <w:color w:val="FF0000"/>
          <w:kern w:val="2"/>
          <w:sz w:val="21"/>
          <w:szCs w:val="21"/>
          <w:lang w:eastAsia="zh-CN"/>
        </w:rPr>
        <w:t>投标人：</w:t>
      </w:r>
      <w:r>
        <w:rPr>
          <w:rFonts w:hint="eastAsia" w:ascii="Calibri" w:hAnsi="Calibri" w:eastAsia="宋体" w:cs="宋体"/>
          <w:color w:val="FF0000"/>
          <w:kern w:val="2"/>
          <w:sz w:val="21"/>
          <w:szCs w:val="21"/>
          <w:u w:val="single"/>
          <w:lang w:eastAsia="zh-CN"/>
        </w:rPr>
        <w:t xml:space="preserve">              </w:t>
      </w:r>
    </w:p>
    <w:p w14:paraId="57BBE72D">
      <w:pPr>
        <w:widowControl w:val="0"/>
        <w:spacing w:line="260" w:lineRule="exact"/>
        <w:jc w:val="both"/>
        <w:rPr>
          <w:rFonts w:ascii="宋体" w:hAnsi="宋体" w:eastAsia="宋体"/>
          <w:b/>
          <w:bCs/>
          <w:szCs w:val="20"/>
          <w:lang w:eastAsia="zh-CN"/>
        </w:rPr>
      </w:pPr>
      <w:r>
        <w:rPr>
          <w:rFonts w:hint="eastAsia" w:ascii="宋体" w:hAnsi="宋体" w:eastAsia="宋体" w:cs="宋体"/>
          <w:color w:val="FF0000"/>
          <w:kern w:val="2"/>
          <w:sz w:val="21"/>
          <w:szCs w:val="21"/>
          <w:lang w:eastAsia="zh-CN"/>
        </w:rPr>
        <w:t xml:space="preserve">                                                    日期：</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年</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月</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日</w:t>
      </w:r>
      <w:r>
        <w:rPr>
          <w:rFonts w:hint="eastAsia" w:ascii="宋体" w:hAnsi="宋体" w:eastAsia="宋体"/>
          <w:b/>
          <w:bCs/>
          <w:szCs w:val="20"/>
          <w:lang w:eastAsia="zh-CN"/>
        </w:rPr>
        <w:br w:type="page"/>
      </w:r>
    </w:p>
    <w:p w14:paraId="0FAE75F3">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投标人情况及资格证明文件</w:t>
      </w:r>
    </w:p>
    <w:p w14:paraId="4CDCEEBF">
      <w:pPr>
        <w:widowControl w:val="0"/>
        <w:spacing w:before="120" w:beforeLines="50"/>
        <w:jc w:val="center"/>
        <w:rPr>
          <w:rFonts w:ascii="Calibri" w:hAnsi="Calibri" w:eastAsia="宋体" w:cs="宋体"/>
          <w:b/>
          <w:bCs/>
          <w:color w:val="FF0000"/>
          <w:kern w:val="2"/>
          <w:sz w:val="21"/>
          <w:szCs w:val="22"/>
          <w:lang w:eastAsia="zh-CN"/>
        </w:rPr>
      </w:pPr>
      <w:r>
        <w:rPr>
          <w:rFonts w:hint="eastAsia" w:ascii="黑体" w:hAnsi="宋体" w:eastAsia="黑体" w:cs="宋体"/>
          <w:bCs/>
          <w:szCs w:val="32"/>
          <w:lang w:eastAsia="zh-CN"/>
        </w:rPr>
        <w:t>（一）投标人资格证明文件</w:t>
      </w:r>
    </w:p>
    <w:p w14:paraId="05943382">
      <w:pPr>
        <w:widowControl w:val="0"/>
        <w:spacing w:before="120" w:beforeLines="50"/>
        <w:jc w:val="center"/>
        <w:rPr>
          <w:rFonts w:ascii="Calibri" w:hAnsi="Calibri" w:eastAsia="宋体" w:cs="宋体"/>
          <w:b/>
          <w:bCs/>
          <w:color w:val="FF0000"/>
          <w:kern w:val="2"/>
          <w:sz w:val="21"/>
          <w:szCs w:val="22"/>
          <w:lang w:eastAsia="zh-CN"/>
        </w:rPr>
      </w:pPr>
      <w:r>
        <w:rPr>
          <w:rFonts w:hint="eastAsia" w:ascii="Calibri" w:hAnsi="Calibri" w:eastAsia="宋体" w:cs="宋体"/>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w:t>
      </w:r>
      <w:r>
        <w:rPr>
          <w:rFonts w:hint="eastAsia" w:hAnsi="Calibri" w:eastAsia="宋体" w:cs="宋体"/>
          <w:b/>
          <w:bCs/>
          <w:color w:val="FF0000"/>
          <w:kern w:val="2"/>
          <w:sz w:val="21"/>
          <w:szCs w:val="22"/>
          <w:lang w:eastAsia="zh-CN"/>
        </w:rPr>
        <w:t>其中要求提供《政府采购投标及履约承诺函》《供应商基本情况表》且已在规定章节中提供的，此处不重复提供</w:t>
      </w:r>
      <w:r>
        <w:rPr>
          <w:rFonts w:hint="eastAsia" w:ascii="Calibri" w:hAnsi="Calibri" w:eastAsia="宋体" w:cs="宋体"/>
          <w:b/>
          <w:bCs/>
          <w:color w:val="FF0000"/>
          <w:kern w:val="2"/>
          <w:sz w:val="21"/>
          <w:szCs w:val="22"/>
          <w:lang w:eastAsia="zh-CN"/>
        </w:rPr>
        <w:t>。）</w:t>
      </w:r>
    </w:p>
    <w:p w14:paraId="0AD54426">
      <w:pPr>
        <w:widowControl w:val="0"/>
        <w:spacing w:line="360" w:lineRule="auto"/>
        <w:ind w:firstLine="482" w:firstLineChars="200"/>
        <w:jc w:val="both"/>
        <w:rPr>
          <w:rFonts w:ascii="楷体_GB2312" w:hAnsi="Calibri" w:eastAsia="楷体_GB2312" w:cs="宋体"/>
          <w:b/>
          <w:bCs/>
          <w:kern w:val="2"/>
          <w:lang w:eastAsia="zh-CN"/>
        </w:rPr>
      </w:pPr>
    </w:p>
    <w:p w14:paraId="4F445DE0">
      <w:pPr>
        <w:widowControl w:val="0"/>
        <w:spacing w:before="120" w:beforeLines="50"/>
        <w:jc w:val="center"/>
        <w:rPr>
          <w:rFonts w:ascii="宋体" w:hAnsi="宋体" w:eastAsia="宋体"/>
          <w:b/>
          <w:bCs/>
          <w:szCs w:val="20"/>
          <w:lang w:eastAsia="zh-CN"/>
        </w:rPr>
      </w:pPr>
      <w:r>
        <w:rPr>
          <w:rFonts w:hint="eastAsia" w:ascii="黑体" w:hAnsi="宋体" w:eastAsia="黑体" w:cs="宋体"/>
          <w:bCs/>
          <w:szCs w:val="32"/>
          <w:lang w:eastAsia="zh-CN"/>
        </w:rPr>
        <w:t>（二）中小企业声明函、残疾人福利性单位声明函及监狱企业声明函</w:t>
      </w:r>
    </w:p>
    <w:p w14:paraId="37732AC1">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填写指引：</w:t>
      </w:r>
    </w:p>
    <w:p w14:paraId="53EFA868">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1、该部分内容由投标人根据自身实际情况填写，投标人提供的声明函不属实的，属于提供虚假资料谋取中标，依照《中华人民共和国政府采购法》等国家有关规定追究相应责任。</w:t>
      </w:r>
    </w:p>
    <w:p w14:paraId="00D94FB2">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2、该部分内容填写需要参考的相关文件：</w:t>
      </w:r>
    </w:p>
    <w:p w14:paraId="33CD744C">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(1)财政部《政府采购促进中小企业发展管理办法》（财库〔2020〕46号）；</w:t>
      </w:r>
    </w:p>
    <w:p w14:paraId="685C3824">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(2)《工业和信息化部、国家统计局、国家发展和改革委员会、财政部关于印发中小企业划型标准规定的通知》（工信部联企业〔2011〕300 号，以下简称300号文）；</w:t>
      </w:r>
    </w:p>
    <w:p w14:paraId="3BB3A384">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(3)《统计上大中小微型企业划分办法(2017)》（国统字〔2017〕213 号）；</w:t>
      </w:r>
    </w:p>
    <w:p w14:paraId="7FA86E79">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(4)《关于促进残疾人就业政府采购政策的通知》（财库〔2017〕141号）；</w:t>
      </w:r>
    </w:p>
    <w:p w14:paraId="671FC4A1">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(5)《关于政府采购支持监狱企业发展有关问题的通知》（财库〔2014〕68号）</w:t>
      </w:r>
    </w:p>
    <w:p w14:paraId="4461EC80">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3、请依照提供的格式和内容填写声明函，不要随意变更格式；声明函不需要盖章或签字。</w:t>
      </w:r>
    </w:p>
    <w:p w14:paraId="7B80E70E">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 xml:space="preserve">    4、声明函具体填写要求：</w:t>
      </w:r>
    </w:p>
    <w:p w14:paraId="47E6DF76">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 xml:space="preserve">    （1）声明是中小企业须填写《中小企业声明函》的以下内容：</w:t>
      </w:r>
    </w:p>
    <w:p w14:paraId="5DFD6ED8">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 xml:space="preserve">    第一处，在“采购人名称”下划线处如实填写采购人名称（深圳市深汕交易有限公司不是本项目的采购人，而是组织实施机构）；</w:t>
      </w:r>
    </w:p>
    <w:p w14:paraId="16AFF946">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 xml:space="preserve">    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3475B276">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 xml:space="preserve">    第三处，在“标的名称”下划线处填写所采购服务（标的）的具体名称（以招标文件第一册第三章用户需求书“服务需求明细”的“服务需求名称”一栏为准）；如果涉及多项服务（标的）为同一企业承接，“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33EDC7F">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7F797862">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4EC2FB96">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26E7396D">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0691C531">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1E91D9A">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（3）事业单位、社会组织等非企业主体不享受中小企业扶持政策。</w:t>
      </w:r>
    </w:p>
    <w:p w14:paraId="4BF4A44C">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（4）声明是残疾人福利性单位须填写《残疾人福利性单位声明函》的相关内容，具体参照以上《中小企业声明函》填写要求执行。</w:t>
      </w:r>
    </w:p>
    <w:p w14:paraId="4A6287AA">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（5）声明是监狱企业须填写《监狱企业声明函》的三项内容（填写位置的字体已加粗），具体参照以上《中小企业声明函》填写要求执行。</w:t>
      </w:r>
    </w:p>
    <w:p w14:paraId="507B84EC">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5、本项目属于服务类项目，相关服务承接商应当为中小企业或残疾人福利性单位或监狱企业，如包含硬件设备、产品等货物采购的，不再对其中涉及的货物制造商作出要求。</w:t>
      </w:r>
    </w:p>
    <w:p w14:paraId="5A18845D">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0C2255C">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C412A3A">
      <w:pPr>
        <w:widowControl w:val="0"/>
        <w:snapToGrid w:val="0"/>
        <w:jc w:val="center"/>
        <w:rPr>
          <w:rFonts w:ascii="宋体" w:hAnsi="宋体" w:eastAsia="宋体"/>
          <w:b/>
          <w:bCs/>
          <w:kern w:val="2"/>
          <w:lang w:eastAsia="zh-CN"/>
        </w:rPr>
      </w:pPr>
    </w:p>
    <w:p w14:paraId="4AC2DCE8">
      <w:pPr>
        <w:widowControl w:val="0"/>
        <w:snapToGrid w:val="0"/>
        <w:jc w:val="center"/>
        <w:rPr>
          <w:rFonts w:ascii="Arial" w:hAnsi="Arial" w:eastAsia="宋体"/>
          <w:b/>
          <w:kern w:val="2"/>
          <w:lang w:eastAsia="zh-CN"/>
        </w:rPr>
      </w:pPr>
      <w:r>
        <w:rPr>
          <w:rFonts w:ascii="宋体" w:hAnsi="宋体" w:eastAsia="宋体"/>
          <w:b/>
          <w:bCs/>
          <w:kern w:val="2"/>
          <w:lang w:eastAsia="zh-CN"/>
        </w:rPr>
        <w:t>1</w:t>
      </w:r>
      <w:r>
        <w:rPr>
          <w:rFonts w:hint="eastAsia" w:ascii="宋体" w:hAnsi="宋体" w:eastAsia="宋体"/>
          <w:b/>
          <w:bCs/>
          <w:kern w:val="2"/>
          <w:lang w:eastAsia="zh-CN"/>
        </w:rPr>
        <w:t>、</w:t>
      </w:r>
      <w:r>
        <w:rPr>
          <w:rFonts w:hint="eastAsia" w:ascii="Arial" w:hAnsi="Arial" w:eastAsia="宋体"/>
          <w:b/>
          <w:kern w:val="2"/>
          <w:lang w:eastAsia="zh-CN"/>
        </w:rPr>
        <w:t>中小企业声明函（服务）</w:t>
      </w:r>
    </w:p>
    <w:p w14:paraId="53D86B2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Theme="minorEastAsia" w:hAnsiTheme="minorEastAsia" w:cstheme="minorEastAsia"/>
          <w:b/>
          <w:bCs/>
          <w:i/>
          <w:iCs/>
          <w:szCs w:val="21"/>
          <w:u w:val="single"/>
          <w:lang w:eastAsia="zh-CN"/>
        </w:rPr>
        <w:t xml:space="preserve">    </w:t>
      </w:r>
      <w:r>
        <w:rPr>
          <w:rFonts w:hint="eastAsia" w:ascii="宋体" w:hAnsi="宋体" w:eastAsia="宋体" w:cs="宋体"/>
          <w:b/>
          <w:bCs/>
          <w:i/>
          <w:iCs/>
          <w:kern w:val="2"/>
          <w:sz w:val="21"/>
          <w:szCs w:val="21"/>
          <w:u w:val="single"/>
          <w:lang w:eastAsia="zh-CN"/>
        </w:rPr>
        <w:t xml:space="preserve">（单位名称） </w:t>
      </w:r>
      <w:r>
        <w:rPr>
          <w:rFonts w:hint="eastAsia" w:asciiTheme="minorEastAsia" w:hAnsiTheme="minorEastAsia" w:cstheme="minorEastAsia"/>
          <w:b/>
          <w:bCs/>
          <w:i/>
          <w:iCs/>
          <w:szCs w:val="21"/>
          <w:u w:val="single"/>
          <w:lang w:eastAsia="zh-CN"/>
        </w:rPr>
        <w:t xml:space="preserve">   </w:t>
      </w:r>
      <w:r>
        <w:rPr>
          <w:rFonts w:hint="eastAsia" w:asciiTheme="minorEastAsia" w:hAnsiTheme="minorEastAsia" w:cstheme="minorEastAsia"/>
          <w:szCs w:val="21"/>
          <w:lang w:eastAsia="zh-CN"/>
        </w:rPr>
        <w:t>的</w:t>
      </w:r>
      <w:r>
        <w:rPr>
          <w:rFonts w:hint="eastAsia" w:asciiTheme="minorEastAsia" w:hAnsiTheme="minorEastAsia" w:cstheme="minorEastAsia"/>
          <w:b/>
          <w:bCs/>
          <w:i/>
          <w:iCs/>
          <w:szCs w:val="21"/>
          <w:u w:val="single"/>
          <w:lang w:eastAsia="zh-CN"/>
        </w:rPr>
        <w:t xml:space="preserve">   </w:t>
      </w:r>
      <w:r>
        <w:rPr>
          <w:rFonts w:hint="eastAsia" w:ascii="宋体" w:hAnsi="宋体" w:eastAsia="宋体" w:cs="宋体"/>
          <w:b/>
          <w:bCs/>
          <w:i/>
          <w:iCs/>
          <w:kern w:val="2"/>
          <w:sz w:val="21"/>
          <w:szCs w:val="21"/>
          <w:u w:val="single"/>
          <w:lang w:eastAsia="zh-CN"/>
        </w:rPr>
        <w:t xml:space="preserve"> （项目名称）  </w:t>
      </w:r>
      <w:r>
        <w:rPr>
          <w:rFonts w:hint="eastAsia" w:asciiTheme="minorEastAsia" w:hAnsiTheme="minorEastAsia" w:cstheme="minorEastAsia"/>
          <w:b/>
          <w:bCs/>
          <w:i/>
          <w:iCs/>
          <w:szCs w:val="21"/>
          <w:u w:val="single"/>
          <w:lang w:eastAsia="zh-CN"/>
        </w:rPr>
        <w:t xml:space="preserve">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14:paraId="6B6B5D61">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336F15A1">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4A594909">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76634E58">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12EC746B">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14:paraId="5714C608">
      <w:pPr>
        <w:widowControl w:val="0"/>
        <w:spacing w:line="360" w:lineRule="auto"/>
        <w:ind w:firstLine="420" w:firstLineChars="200"/>
        <w:jc w:val="both"/>
        <w:rPr>
          <w:rFonts w:ascii="宋体" w:hAnsi="宋体" w:eastAsia="宋体" w:cs="宋体"/>
          <w:kern w:val="2"/>
          <w:sz w:val="21"/>
          <w:szCs w:val="21"/>
          <w:lang w:eastAsia="zh-CN"/>
        </w:rPr>
      </w:pPr>
      <w:bookmarkStart w:id="26"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6"/>
    </w:p>
    <w:p w14:paraId="41BBF093">
      <w:pPr>
        <w:widowControl w:val="0"/>
        <w:spacing w:after="60" w:afterLines="25" w:line="300" w:lineRule="auto"/>
        <w:jc w:val="center"/>
        <w:rPr>
          <w:rFonts w:ascii="宋体" w:hAnsi="宋体" w:eastAsia="宋体"/>
          <w:b/>
          <w:kern w:val="2"/>
          <w:lang w:eastAsia="zh-CN"/>
        </w:rPr>
      </w:pPr>
    </w:p>
    <w:p w14:paraId="64D44A0E">
      <w:pPr>
        <w:widowControl w:val="0"/>
        <w:spacing w:after="60" w:afterLines="25" w:line="300" w:lineRule="auto"/>
        <w:jc w:val="center"/>
        <w:rPr>
          <w:rFonts w:ascii="宋体" w:hAnsi="宋体" w:eastAsia="宋体"/>
          <w:b/>
          <w:kern w:val="2"/>
          <w:lang w:eastAsia="zh-CN"/>
        </w:rPr>
      </w:pPr>
    </w:p>
    <w:p w14:paraId="630C9E2E">
      <w:pPr>
        <w:widowControl w:val="0"/>
        <w:spacing w:after="60" w:afterLines="25" w:line="300" w:lineRule="auto"/>
        <w:jc w:val="center"/>
        <w:rPr>
          <w:rFonts w:ascii="Arial" w:hAnsi="Arial" w:eastAsia="宋体"/>
          <w:b/>
          <w:kern w:val="2"/>
          <w:lang w:eastAsia="zh-CN"/>
        </w:rPr>
      </w:pPr>
      <w:r>
        <w:rPr>
          <w:rFonts w:hint="eastAsia" w:ascii="宋体" w:hAnsi="宋体" w:eastAsia="宋体"/>
          <w:b/>
          <w:kern w:val="2"/>
          <w:lang w:eastAsia="zh-CN"/>
        </w:rPr>
        <w:t>2、残疾人福利性单位声明函（服务）</w:t>
      </w:r>
    </w:p>
    <w:p w14:paraId="5A7A47F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14:paraId="093BB2EC">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467199CB">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14:paraId="6094E590">
      <w:pPr>
        <w:widowControl w:val="0"/>
        <w:wordWrap w:val="0"/>
        <w:spacing w:after="60" w:afterLines="25" w:line="300" w:lineRule="auto"/>
        <w:ind w:firstLine="420" w:firstLineChars="200"/>
        <w:jc w:val="right"/>
        <w:rPr>
          <w:rFonts w:ascii="宋体" w:hAnsi="宋体" w:eastAsia="宋体"/>
          <w:kern w:val="2"/>
          <w:sz w:val="21"/>
          <w:lang w:eastAsia="zh-CN"/>
        </w:rPr>
      </w:pPr>
      <w:r>
        <w:rPr>
          <w:rFonts w:hint="eastAsia" w:ascii="宋体" w:hAnsi="宋体" w:eastAsia="宋体"/>
          <w:kern w:val="2"/>
          <w:sz w:val="21"/>
          <w:szCs w:val="21"/>
          <w:lang w:eastAsia="zh-CN"/>
        </w:rPr>
        <w:t xml:space="preserve">      </w:t>
      </w:r>
    </w:p>
    <w:p w14:paraId="580341F7">
      <w:pPr>
        <w:widowControl w:val="0"/>
        <w:spacing w:after="60" w:afterLines="25" w:line="300" w:lineRule="auto"/>
        <w:ind w:firstLine="422" w:firstLineChars="200"/>
        <w:jc w:val="both"/>
        <w:rPr>
          <w:rFonts w:ascii="宋体" w:hAnsi="宋体" w:eastAsia="宋体"/>
          <w:kern w:val="2"/>
          <w:sz w:val="21"/>
          <w:szCs w:val="21"/>
          <w:highlight w:val="none"/>
          <w:lang w:eastAsia="zh-CN"/>
        </w:rPr>
      </w:pPr>
      <w:r>
        <w:rPr>
          <w:rFonts w:hint="eastAsia" w:ascii="宋体" w:hAnsi="宋体" w:eastAsia="宋体"/>
          <w:b/>
          <w:kern w:val="2"/>
          <w:sz w:val="21"/>
          <w:szCs w:val="21"/>
          <w:highlight w:val="none"/>
          <w:lang w:eastAsia="zh-CN"/>
        </w:rPr>
        <w:t>说明：</w:t>
      </w:r>
      <w:r>
        <w:rPr>
          <w:rFonts w:hint="eastAsia" w:ascii="宋体" w:hAnsi="宋体" w:eastAsia="宋体"/>
          <w:kern w:val="2"/>
          <w:sz w:val="21"/>
          <w:szCs w:val="21"/>
          <w:highlight w:val="none"/>
          <w:lang w:eastAsia="zh-CN"/>
        </w:rPr>
        <w:t>根据财库〔2017〕141号文件的规定,享受政府采购支持政策的残疾人福利性单位应当同时满足以下条件：</w:t>
      </w:r>
    </w:p>
    <w:p w14:paraId="0929A772">
      <w:pPr>
        <w:widowControl w:val="0"/>
        <w:spacing w:after="60" w:afterLines="25" w:line="300" w:lineRule="auto"/>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（一）</w:t>
      </w:r>
      <w:r>
        <w:rPr>
          <w:rFonts w:hint="eastAsia" w:ascii="宋体" w:hAnsi="宋体" w:eastAsia="宋体"/>
          <w:b/>
          <w:kern w:val="2"/>
          <w:sz w:val="21"/>
          <w:szCs w:val="21"/>
          <w:highlight w:val="none"/>
          <w:lang w:eastAsia="zh-CN"/>
        </w:rPr>
        <w:t>安置的残疾人占本单位在职职工人数的比例不低于25%（含25%），并且安置的残疾人人数不少于10人（含10人）</w:t>
      </w:r>
      <w:r>
        <w:rPr>
          <w:rFonts w:hint="eastAsia" w:ascii="宋体" w:hAnsi="宋体" w:eastAsia="宋体"/>
          <w:kern w:val="2"/>
          <w:sz w:val="21"/>
          <w:szCs w:val="21"/>
          <w:highlight w:val="none"/>
          <w:lang w:eastAsia="zh-CN"/>
        </w:rPr>
        <w:t>；</w:t>
      </w:r>
    </w:p>
    <w:p w14:paraId="2EC2C396">
      <w:pPr>
        <w:widowControl w:val="0"/>
        <w:spacing w:after="60" w:afterLines="25" w:line="300" w:lineRule="auto"/>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（二）依法与安置的每位残疾人签订了一年以上（含一年）的劳动合同或服务协议；</w:t>
      </w:r>
    </w:p>
    <w:p w14:paraId="518D8EC5">
      <w:pPr>
        <w:widowControl w:val="0"/>
        <w:spacing w:after="60" w:afterLines="25" w:line="300" w:lineRule="auto"/>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（三）为安置的每位残疾人按月足额缴纳了基本养老保险、基本医疗保险、失业保险、工伤保险和生育保险等社会保险费；</w:t>
      </w:r>
    </w:p>
    <w:p w14:paraId="6591AA5E">
      <w:pPr>
        <w:widowControl w:val="0"/>
        <w:spacing w:after="60" w:afterLines="25" w:line="300" w:lineRule="auto"/>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（四）通过银行等金融机构向安置的每位残疾人，按月支付了不低于单位所在区县适用的经省级人民政府批准的月最低工资标准的工资；</w:t>
      </w:r>
    </w:p>
    <w:p w14:paraId="4B8D8849">
      <w:pPr>
        <w:widowControl w:val="0"/>
        <w:spacing w:after="60" w:afterLines="25" w:line="300" w:lineRule="auto"/>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A099C8A">
      <w:pPr>
        <w:jc w:val="center"/>
        <w:rPr>
          <w:rFonts w:ascii="Arial" w:hAnsi="Arial" w:eastAsia="宋体"/>
          <w:b/>
          <w:kern w:val="2"/>
          <w:lang w:eastAsia="zh-CN"/>
        </w:rPr>
      </w:pPr>
      <w:r>
        <w:rPr>
          <w:rFonts w:hint="eastAsia" w:ascii="宋体" w:hAnsi="宋体" w:eastAsia="宋体"/>
          <w:b/>
          <w:kern w:val="2"/>
          <w:lang w:eastAsia="zh-CN"/>
        </w:rPr>
        <w:t>3、</w:t>
      </w:r>
      <w:r>
        <w:rPr>
          <w:rFonts w:hint="eastAsia" w:ascii="Arial" w:hAnsi="Arial" w:eastAsia="宋体"/>
          <w:b/>
          <w:kern w:val="2"/>
          <w:lang w:eastAsia="zh-CN"/>
        </w:rPr>
        <w:t>监狱企业声明函</w:t>
      </w:r>
      <w:r>
        <w:rPr>
          <w:rFonts w:hint="eastAsia" w:ascii="Calibri" w:hAnsi="Calibri" w:eastAsia="宋体" w:cs="宋体"/>
          <w:b/>
          <w:kern w:val="2"/>
          <w:szCs w:val="22"/>
          <w:lang w:eastAsia="zh-CN"/>
        </w:rPr>
        <w:t>【服务类，监狱企业如需享受优惠政策，还须另行提供省级以上监狱管理局、戒毒管理局（含新疆生产建设兵团）出具的监狱企业证明文件】</w:t>
      </w:r>
    </w:p>
    <w:p w14:paraId="046B977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本投标人郑重声明，根据《财政部司法部关于政府采购支持监狱企业发展有关问题的通知》（财库〔</w:t>
      </w:r>
      <w:r>
        <w:rPr>
          <w:rFonts w:ascii="宋体" w:hAnsi="宋体" w:eastAsia="宋体" w:cs="宋体"/>
          <w:kern w:val="2"/>
          <w:sz w:val="21"/>
          <w:szCs w:val="21"/>
          <w:lang w:eastAsia="zh-CN"/>
        </w:rPr>
        <w:t>2014</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68</w:t>
      </w:r>
      <w:r>
        <w:rPr>
          <w:rFonts w:hint="eastAsia" w:ascii="宋体" w:hAnsi="宋体" w:eastAsia="宋体" w:cs="宋体"/>
          <w:kern w:val="2"/>
          <w:sz w:val="21"/>
          <w:szCs w:val="21"/>
          <w:lang w:eastAsia="zh-CN"/>
        </w:rPr>
        <w:t>号）的规定，本投标人</w:t>
      </w:r>
      <w:r>
        <w:rPr>
          <w:rFonts w:ascii="宋体" w:hAnsi="宋体" w:eastAsia="宋体" w:cs="宋体"/>
          <w:kern w:val="2"/>
          <w:sz w:val="21"/>
          <w:szCs w:val="21"/>
          <w:lang w:eastAsia="zh-CN"/>
        </w:rPr>
        <w:t>参加</w:t>
      </w:r>
      <w:r>
        <w:rPr>
          <w:rFonts w:ascii="宋体" w:hAnsi="宋体" w:eastAsia="宋体" w:cs="宋体"/>
          <w:b/>
          <w:bCs/>
          <w:kern w:val="2"/>
          <w:sz w:val="21"/>
          <w:szCs w:val="21"/>
          <w:u w:val="single"/>
          <w:lang w:eastAsia="zh-CN"/>
        </w:rPr>
        <w:t>（</w:t>
      </w:r>
      <w:r>
        <w:rPr>
          <w:rFonts w:hint="eastAsia" w:ascii="宋体" w:hAnsi="宋体" w:eastAsia="宋体" w:cs="宋体"/>
          <w:b/>
          <w:bCs/>
          <w:kern w:val="2"/>
          <w:sz w:val="21"/>
          <w:szCs w:val="21"/>
          <w:u w:val="single"/>
          <w:lang w:eastAsia="zh-CN"/>
        </w:rPr>
        <w:t>采购人</w:t>
      </w:r>
      <w:r>
        <w:rPr>
          <w:rFonts w:ascii="宋体" w:hAnsi="宋体" w:eastAsia="宋体" w:cs="宋体"/>
          <w:b/>
          <w:bCs/>
          <w:kern w:val="2"/>
          <w:sz w:val="21"/>
          <w:szCs w:val="21"/>
          <w:u w:val="single"/>
          <w:lang w:eastAsia="zh-CN"/>
        </w:rPr>
        <w:t>名称）</w:t>
      </w:r>
      <w:r>
        <w:rPr>
          <w:rFonts w:ascii="宋体" w:hAnsi="宋体" w:eastAsia="宋体" w:cs="宋体"/>
          <w:kern w:val="2"/>
          <w:sz w:val="21"/>
          <w:szCs w:val="21"/>
          <w:lang w:eastAsia="zh-CN"/>
        </w:rPr>
        <w:t>的</w:t>
      </w:r>
      <w:r>
        <w:rPr>
          <w:rFonts w:ascii="宋体" w:hAnsi="宋体" w:eastAsia="宋体" w:cs="宋体"/>
          <w:b/>
          <w:bCs/>
          <w:kern w:val="2"/>
          <w:sz w:val="21"/>
          <w:szCs w:val="21"/>
          <w:u w:val="single"/>
          <w:lang w:eastAsia="zh-CN"/>
        </w:rPr>
        <w:t>（项目名称）</w:t>
      </w:r>
      <w:r>
        <w:rPr>
          <w:rFonts w:ascii="宋体" w:hAnsi="宋体" w:eastAsia="宋体" w:cs="宋体"/>
          <w:kern w:val="2"/>
          <w:sz w:val="21"/>
          <w:szCs w:val="21"/>
          <w:lang w:eastAsia="zh-CN"/>
        </w:rPr>
        <w:t>采购活动，</w:t>
      </w:r>
      <w:r>
        <w:rPr>
          <w:rFonts w:hint="eastAsia" w:ascii="宋体" w:hAnsi="宋体" w:eastAsia="宋体" w:cs="宋体"/>
          <w:kern w:val="2"/>
          <w:sz w:val="21"/>
          <w:szCs w:val="21"/>
          <w:lang w:eastAsia="zh-CN"/>
        </w:rPr>
        <w:t>服务</w:t>
      </w:r>
      <w:r>
        <w:rPr>
          <w:rFonts w:ascii="宋体" w:hAnsi="宋体" w:eastAsia="宋体" w:cs="宋体"/>
          <w:kern w:val="2"/>
          <w:sz w:val="21"/>
          <w:szCs w:val="21"/>
          <w:lang w:eastAsia="zh-CN"/>
        </w:rPr>
        <w:t>全部由符合政策要求的</w:t>
      </w:r>
      <w:r>
        <w:rPr>
          <w:rFonts w:hint="eastAsia" w:ascii="宋体" w:hAnsi="宋体" w:eastAsia="宋体" w:cs="宋体"/>
          <w:kern w:val="2"/>
          <w:sz w:val="21"/>
          <w:szCs w:val="21"/>
          <w:lang w:eastAsia="zh-CN"/>
        </w:rPr>
        <w:t>监狱企业承接</w:t>
      </w:r>
      <w:r>
        <w:rPr>
          <w:rFonts w:ascii="宋体" w:hAnsi="宋体" w:eastAsia="宋体" w:cs="宋体"/>
          <w:kern w:val="2"/>
          <w:sz w:val="21"/>
          <w:szCs w:val="21"/>
          <w:lang w:eastAsia="zh-CN"/>
        </w:rPr>
        <w:t>。相关</w:t>
      </w:r>
      <w:r>
        <w:rPr>
          <w:rFonts w:hint="eastAsia" w:ascii="宋体" w:hAnsi="宋体" w:eastAsia="宋体" w:cs="宋体"/>
          <w:kern w:val="2"/>
          <w:sz w:val="21"/>
          <w:szCs w:val="21"/>
          <w:lang w:eastAsia="zh-CN"/>
        </w:rPr>
        <w:t>监狱企业</w:t>
      </w:r>
      <w:r>
        <w:rPr>
          <w:rFonts w:ascii="宋体" w:hAnsi="宋体" w:eastAsia="宋体" w:cs="宋体"/>
          <w:kern w:val="2"/>
          <w:sz w:val="21"/>
          <w:szCs w:val="21"/>
          <w:lang w:eastAsia="zh-CN"/>
        </w:rPr>
        <w:t>的具体情况如下：</w:t>
      </w:r>
    </w:p>
    <w:p w14:paraId="3E309A69">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ascii="宋体" w:hAnsi="宋体" w:eastAsia="宋体" w:cs="宋体"/>
          <w:b/>
          <w:bCs/>
          <w:kern w:val="2"/>
          <w:sz w:val="21"/>
          <w:szCs w:val="21"/>
          <w:u w:val="single"/>
          <w:lang w:eastAsia="zh-CN"/>
        </w:rPr>
        <w:t xml:space="preserve"> </w:t>
      </w:r>
      <w:r>
        <w:rPr>
          <w:rFonts w:ascii="宋体" w:hAnsi="宋体" w:eastAsia="宋体" w:cs="宋体"/>
          <w:b/>
          <w:bCs/>
          <w:i/>
          <w:iCs/>
          <w:kern w:val="2"/>
          <w:sz w:val="21"/>
          <w:szCs w:val="21"/>
          <w:u w:val="single"/>
          <w:lang w:eastAsia="zh-CN"/>
        </w:rPr>
        <w:t>（标的名称</w:t>
      </w:r>
      <w:r>
        <w:rPr>
          <w:rFonts w:ascii="宋体" w:hAnsi="宋体" w:eastAsia="宋体" w:cs="宋体"/>
          <w:b/>
          <w:bCs/>
          <w:kern w:val="2"/>
          <w:sz w:val="21"/>
          <w:szCs w:val="21"/>
          <w:u w:val="single"/>
          <w:lang w:eastAsia="zh-CN"/>
        </w:rPr>
        <w:t>）</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，承接单位</w:t>
      </w:r>
      <w:r>
        <w:rPr>
          <w:rFonts w:ascii="宋体" w:hAnsi="宋体" w:eastAsia="宋体" w:cs="宋体"/>
          <w:kern w:val="2"/>
          <w:sz w:val="21"/>
          <w:szCs w:val="21"/>
          <w:lang w:eastAsia="zh-CN"/>
        </w:rPr>
        <w:t>为</w:t>
      </w:r>
      <w:r>
        <w:rPr>
          <w:rFonts w:ascii="宋体" w:hAnsi="宋体" w:eastAsia="宋体" w:cs="宋体"/>
          <w:b/>
          <w:bCs/>
          <w:i/>
          <w:iCs/>
          <w:kern w:val="2"/>
          <w:sz w:val="21"/>
          <w:szCs w:val="21"/>
          <w:u w:val="single"/>
          <w:lang w:eastAsia="zh-CN"/>
        </w:rPr>
        <w:t>（</w:t>
      </w:r>
      <w:r>
        <w:rPr>
          <w:rFonts w:hint="eastAsia" w:ascii="宋体" w:hAnsi="宋体" w:eastAsia="宋体" w:cs="宋体"/>
          <w:b/>
          <w:bCs/>
          <w:i/>
          <w:iCs/>
          <w:kern w:val="2"/>
          <w:sz w:val="21"/>
          <w:szCs w:val="21"/>
          <w:u w:val="single"/>
          <w:lang w:eastAsia="zh-CN"/>
        </w:rPr>
        <w:t>企业</w:t>
      </w:r>
      <w:r>
        <w:rPr>
          <w:rFonts w:ascii="宋体" w:hAnsi="宋体" w:eastAsia="宋体" w:cs="宋体"/>
          <w:b/>
          <w:bCs/>
          <w:i/>
          <w:iCs/>
          <w:kern w:val="2"/>
          <w:sz w:val="21"/>
          <w:szCs w:val="21"/>
          <w:u w:val="single"/>
          <w:lang w:eastAsia="zh-CN"/>
        </w:rPr>
        <w:t>名称）</w:t>
      </w:r>
      <w:r>
        <w:rPr>
          <w:rFonts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监狱企业</w:t>
      </w:r>
      <w:r>
        <w:rPr>
          <w:rFonts w:ascii="宋体" w:hAnsi="宋体" w:eastAsia="宋体" w:cs="宋体"/>
          <w:kern w:val="2"/>
          <w:sz w:val="21"/>
          <w:szCs w:val="21"/>
          <w:lang w:eastAsia="zh-CN"/>
        </w:rPr>
        <w:t>；</w:t>
      </w:r>
    </w:p>
    <w:p w14:paraId="0EEC3EC3">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ascii="宋体" w:hAnsi="宋体" w:eastAsia="宋体" w:cs="宋体"/>
          <w:b/>
          <w:bCs/>
          <w:kern w:val="2"/>
          <w:sz w:val="21"/>
          <w:szCs w:val="21"/>
          <w:u w:val="single"/>
          <w:lang w:eastAsia="zh-CN"/>
        </w:rPr>
        <w:t xml:space="preserve"> </w:t>
      </w:r>
      <w:r>
        <w:rPr>
          <w:rFonts w:ascii="宋体" w:hAnsi="宋体" w:eastAsia="宋体" w:cs="宋体"/>
          <w:b/>
          <w:bCs/>
          <w:i/>
          <w:iCs/>
          <w:kern w:val="2"/>
          <w:sz w:val="21"/>
          <w:szCs w:val="21"/>
          <w:u w:val="single"/>
          <w:lang w:eastAsia="zh-CN"/>
        </w:rPr>
        <w:t>（标的名称）</w:t>
      </w:r>
      <w:r>
        <w:rPr>
          <w:rFonts w:ascii="宋体" w:hAnsi="宋体" w:eastAsia="宋体" w:cs="宋体"/>
          <w:i/>
          <w:iCs/>
          <w:kern w:val="2"/>
          <w:sz w:val="21"/>
          <w:szCs w:val="21"/>
          <w:lang w:eastAsia="zh-CN"/>
        </w:rPr>
        <w:t xml:space="preserve"> </w:t>
      </w:r>
      <w:r>
        <w:rPr>
          <w:rFonts w:hint="eastAsia" w:ascii="宋体" w:hAnsi="宋体" w:eastAsia="宋体" w:cs="宋体"/>
          <w:kern w:val="2"/>
          <w:sz w:val="21"/>
          <w:szCs w:val="21"/>
          <w:lang w:eastAsia="zh-CN"/>
        </w:rPr>
        <w:t>，承接单位</w:t>
      </w:r>
      <w:r>
        <w:rPr>
          <w:rFonts w:ascii="宋体" w:hAnsi="宋体" w:eastAsia="宋体" w:cs="宋体"/>
          <w:kern w:val="2"/>
          <w:sz w:val="21"/>
          <w:szCs w:val="21"/>
          <w:lang w:eastAsia="zh-CN"/>
        </w:rPr>
        <w:t>为</w:t>
      </w:r>
      <w:r>
        <w:rPr>
          <w:rFonts w:ascii="宋体" w:hAnsi="宋体" w:eastAsia="宋体" w:cs="宋体"/>
          <w:b/>
          <w:bCs/>
          <w:i/>
          <w:iCs/>
          <w:kern w:val="2"/>
          <w:sz w:val="21"/>
          <w:szCs w:val="21"/>
          <w:u w:val="single"/>
          <w:lang w:eastAsia="zh-CN"/>
        </w:rPr>
        <w:t>（</w:t>
      </w:r>
      <w:r>
        <w:rPr>
          <w:rFonts w:hint="eastAsia" w:ascii="宋体" w:hAnsi="宋体" w:eastAsia="宋体" w:cs="宋体"/>
          <w:b/>
          <w:bCs/>
          <w:i/>
          <w:iCs/>
          <w:kern w:val="2"/>
          <w:sz w:val="21"/>
          <w:szCs w:val="21"/>
          <w:u w:val="single"/>
          <w:lang w:eastAsia="zh-CN"/>
        </w:rPr>
        <w:t>企业</w:t>
      </w:r>
      <w:r>
        <w:rPr>
          <w:rFonts w:ascii="宋体" w:hAnsi="宋体" w:eastAsia="宋体" w:cs="宋体"/>
          <w:b/>
          <w:bCs/>
          <w:i/>
          <w:iCs/>
          <w:kern w:val="2"/>
          <w:sz w:val="21"/>
          <w:szCs w:val="21"/>
          <w:u w:val="single"/>
          <w:lang w:eastAsia="zh-CN"/>
        </w:rPr>
        <w:t>名称）</w:t>
      </w:r>
      <w:r>
        <w:rPr>
          <w:rFonts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监狱企业</w:t>
      </w:r>
      <w:r>
        <w:rPr>
          <w:rFonts w:hint="eastAsia" w:ascii="宋体" w:hAnsi="宋体" w:eastAsia="宋体" w:cs="宋体"/>
          <w:kern w:val="2"/>
          <w:sz w:val="21"/>
          <w:szCs w:val="21"/>
          <w:lang w:eastAsia="zh-CN"/>
        </w:rPr>
        <w:t>。</w:t>
      </w:r>
    </w:p>
    <w:p w14:paraId="78992F19">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 xml:space="preserve">…… </w:t>
      </w:r>
    </w:p>
    <w:p w14:paraId="2C1EBC9E">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本</w:t>
      </w:r>
      <w:r>
        <w:rPr>
          <w:rFonts w:hint="eastAsia" w:ascii="宋体" w:hAnsi="宋体" w:eastAsia="宋体" w:cs="宋体"/>
          <w:kern w:val="2"/>
          <w:sz w:val="21"/>
          <w:szCs w:val="21"/>
          <w:lang w:eastAsia="zh-CN"/>
        </w:rPr>
        <w:t>投标人</w:t>
      </w:r>
      <w:r>
        <w:rPr>
          <w:rFonts w:ascii="宋体" w:hAnsi="宋体" w:eastAsia="宋体" w:cs="宋体"/>
          <w:kern w:val="2"/>
          <w:sz w:val="21"/>
          <w:szCs w:val="21"/>
          <w:lang w:eastAsia="zh-CN"/>
        </w:rPr>
        <w:t>对上述声明内容的真实性负责。如有虚假，将依法承担相应责任。</w:t>
      </w:r>
    </w:p>
    <w:p w14:paraId="65D1195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附：省级以上监狱管理局、戒毒管理局（含新疆生产建设兵团）出具的监狱企业证明文件。</w:t>
      </w:r>
    </w:p>
    <w:p w14:paraId="64DF7125">
      <w:pPr>
        <w:widowControl w:val="0"/>
        <w:tabs>
          <w:tab w:val="left" w:pos="720"/>
        </w:tabs>
        <w:jc w:val="center"/>
        <w:rPr>
          <w:rFonts w:ascii="Calibri" w:hAnsi="Calibri" w:eastAsia="宋体" w:cs="宋体"/>
          <w:b/>
          <w:kern w:val="2"/>
          <w:szCs w:val="22"/>
          <w:lang w:eastAsia="zh-CN"/>
        </w:rPr>
      </w:pPr>
    </w:p>
    <w:p w14:paraId="1FC57E6C">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项目报价</w:t>
      </w:r>
    </w:p>
    <w:p w14:paraId="6030CDB5">
      <w:pPr>
        <w:jc w:val="center"/>
        <w:rPr>
          <w:rFonts w:eastAsia="黑体"/>
          <w:b/>
          <w:lang w:eastAsia="zh-CN"/>
        </w:rPr>
      </w:pPr>
      <w:r>
        <w:rPr>
          <w:rFonts w:hint="eastAsia" w:eastAsia="黑体"/>
          <w:b/>
          <w:lang w:eastAsia="zh-CN"/>
        </w:rPr>
        <w:t>（一）</w:t>
      </w:r>
      <w:r>
        <w:rPr>
          <w:rFonts w:eastAsia="黑体"/>
          <w:b/>
          <w:lang w:eastAsia="zh-CN"/>
        </w:rPr>
        <w:t>报价清单</w:t>
      </w:r>
    </w:p>
    <w:p w14:paraId="64C805D2">
      <w:pPr>
        <w:jc w:val="center"/>
        <w:rPr>
          <w:lang w:eastAsia="zh-CN"/>
        </w:rPr>
      </w:pPr>
    </w:p>
    <w:tbl>
      <w:tblPr>
        <w:tblStyle w:val="1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2D4E99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6E69719C">
            <w:pPr>
              <w:adjustRightInd w:val="0"/>
              <w:snapToGrid w:val="0"/>
              <w:spacing w:line="300" w:lineRule="auto"/>
              <w:jc w:val="center"/>
              <w:rPr>
                <w:rFonts w:ascii="宋体" w:hAnsi="宋体"/>
                <w:snapToGrid w:val="0"/>
                <w:szCs w:val="21"/>
              </w:rPr>
            </w:pPr>
            <w:r>
              <w:rPr>
                <w:rFonts w:hint="eastAsia" w:ascii="宋体" w:hAnsi="宋体"/>
                <w:snapToGrid w:val="0"/>
                <w:szCs w:val="21"/>
              </w:rPr>
              <w:t>项目名称</w:t>
            </w:r>
          </w:p>
        </w:tc>
        <w:tc>
          <w:tcPr>
            <w:tcW w:w="2625" w:type="dxa"/>
            <w:tcBorders>
              <w:top w:val="double" w:color="auto" w:sz="4" w:space="0"/>
              <w:bottom w:val="single" w:color="auto" w:sz="4" w:space="0"/>
            </w:tcBorders>
            <w:vAlign w:val="center"/>
          </w:tcPr>
          <w:p w14:paraId="167C380F">
            <w:pPr>
              <w:adjustRightInd w:val="0"/>
              <w:snapToGrid w:val="0"/>
              <w:spacing w:line="300" w:lineRule="auto"/>
              <w:jc w:val="center"/>
              <w:rPr>
                <w:rFonts w:ascii="宋体" w:hAnsi="宋体"/>
                <w:snapToGrid w:val="0"/>
                <w:szCs w:val="21"/>
                <w:lang w:eastAsia="zh-CN"/>
              </w:rPr>
            </w:pPr>
            <w:r>
              <w:rPr>
                <w:rFonts w:hint="eastAsia" w:ascii="宋体" w:hAnsi="宋体"/>
                <w:snapToGrid w:val="0"/>
                <w:szCs w:val="21"/>
              </w:rPr>
              <w:t>投标</w:t>
            </w:r>
            <w:r>
              <w:rPr>
                <w:rFonts w:hint="eastAsia" w:ascii="宋体" w:hAnsi="宋体"/>
                <w:snapToGrid w:val="0"/>
                <w:szCs w:val="21"/>
                <w:lang w:val="en-US" w:eastAsia="zh-CN"/>
              </w:rPr>
              <w:t>报价（元）</w:t>
            </w:r>
          </w:p>
        </w:tc>
        <w:tc>
          <w:tcPr>
            <w:tcW w:w="2034" w:type="dxa"/>
            <w:tcBorders>
              <w:top w:val="double" w:color="auto" w:sz="4" w:space="0"/>
              <w:bottom w:val="single" w:color="auto" w:sz="4" w:space="0"/>
            </w:tcBorders>
            <w:vAlign w:val="center"/>
          </w:tcPr>
          <w:p w14:paraId="346838B6">
            <w:pPr>
              <w:adjustRightInd w:val="0"/>
              <w:snapToGrid w:val="0"/>
              <w:spacing w:line="300" w:lineRule="auto"/>
              <w:jc w:val="center"/>
              <w:rPr>
                <w:rFonts w:ascii="宋体" w:hAnsi="宋体"/>
                <w:snapToGrid w:val="0"/>
                <w:szCs w:val="21"/>
              </w:rPr>
            </w:pPr>
            <w:r>
              <w:rPr>
                <w:rFonts w:hint="eastAsia" w:ascii="宋体" w:hAnsi="宋体"/>
                <w:snapToGrid w:val="0"/>
                <w:szCs w:val="21"/>
              </w:rPr>
              <w:t>备注</w:t>
            </w:r>
          </w:p>
        </w:tc>
      </w:tr>
      <w:tr w14:paraId="2D82CD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5EE24E7E">
            <w:pPr>
              <w:adjustRightInd w:val="0"/>
              <w:snapToGrid w:val="0"/>
              <w:spacing w:line="300" w:lineRule="auto"/>
              <w:jc w:val="center"/>
              <w:rPr>
                <w:rFonts w:ascii="宋体" w:hAnsi="宋体"/>
                <w:snapToGrid w:val="0"/>
                <w:szCs w:val="21"/>
                <w:u w:val="single"/>
              </w:rPr>
            </w:pPr>
            <w:r>
              <w:rPr>
                <w:rFonts w:hint="eastAsia" w:ascii="宋体" w:hAnsi="宋体"/>
                <w:snapToGrid w:val="0"/>
                <w:szCs w:val="21"/>
                <w:u w:val="single"/>
              </w:rPr>
              <w:t xml:space="preserve">                 项目</w:t>
            </w:r>
          </w:p>
        </w:tc>
        <w:tc>
          <w:tcPr>
            <w:tcW w:w="2625" w:type="dxa"/>
            <w:tcBorders>
              <w:top w:val="single" w:color="auto" w:sz="4" w:space="0"/>
            </w:tcBorders>
            <w:vAlign w:val="center"/>
          </w:tcPr>
          <w:p w14:paraId="4EE58C7D">
            <w:pPr>
              <w:adjustRightInd w:val="0"/>
              <w:snapToGrid w:val="0"/>
              <w:spacing w:line="300" w:lineRule="auto"/>
              <w:rPr>
                <w:rFonts w:hint="eastAsia"/>
                <w:lang w:val="en-US" w:eastAsia="zh-CN"/>
              </w:rPr>
            </w:pPr>
            <w:r>
              <w:rPr>
                <w:rFonts w:hint="eastAsia"/>
                <w:lang w:val="en-US" w:eastAsia="zh-CN"/>
              </w:rPr>
              <w:t>大写：</w:t>
            </w:r>
          </w:p>
          <w:p w14:paraId="31831519">
            <w:pPr>
              <w:adjustRightInd w:val="0"/>
              <w:snapToGrid w:val="0"/>
              <w:spacing w:line="300" w:lineRule="auto"/>
              <w:rPr>
                <w:rFonts w:hint="default"/>
                <w:lang w:val="en-US" w:eastAsia="zh-CN"/>
              </w:rPr>
            </w:pPr>
            <w:r>
              <w:rPr>
                <w:rFonts w:hint="eastAsia"/>
                <w:lang w:val="en-US" w:eastAsia="zh-CN"/>
              </w:rPr>
              <w:t>小写：</w:t>
            </w:r>
          </w:p>
        </w:tc>
        <w:tc>
          <w:tcPr>
            <w:tcW w:w="2034" w:type="dxa"/>
            <w:tcBorders>
              <w:top w:val="single" w:color="auto" w:sz="4" w:space="0"/>
            </w:tcBorders>
            <w:vAlign w:val="center"/>
          </w:tcPr>
          <w:p w14:paraId="43396DEA">
            <w:pPr>
              <w:adjustRightInd w:val="0"/>
              <w:snapToGrid w:val="0"/>
              <w:spacing w:line="300" w:lineRule="auto"/>
              <w:jc w:val="center"/>
              <w:rPr>
                <w:rFonts w:ascii="宋体" w:hAnsi="宋体"/>
                <w:snapToGrid w:val="0"/>
                <w:szCs w:val="21"/>
              </w:rPr>
            </w:pPr>
          </w:p>
        </w:tc>
      </w:tr>
    </w:tbl>
    <w:p w14:paraId="4C5D2F0C">
      <w:pPr>
        <w:tabs>
          <w:tab w:val="left" w:pos="720"/>
        </w:tabs>
        <w:jc w:val="both"/>
        <w:rPr>
          <w:b/>
          <w:lang w:eastAsia="zh-CN"/>
        </w:rPr>
      </w:pPr>
    </w:p>
    <w:p w14:paraId="71009909">
      <w:pPr>
        <w:tabs>
          <w:tab w:val="left" w:pos="720"/>
        </w:tabs>
        <w:jc w:val="center"/>
        <w:rPr>
          <w:b/>
          <w:lang w:eastAsia="zh-CN"/>
        </w:rPr>
      </w:pPr>
    </w:p>
    <w:p w14:paraId="3E9BB605">
      <w:pPr>
        <w:tabs>
          <w:tab w:val="left" w:pos="720"/>
        </w:tabs>
        <w:jc w:val="center"/>
        <w:rPr>
          <w:b/>
          <w:lang w:eastAsia="zh-CN"/>
        </w:rPr>
      </w:pPr>
      <w:r>
        <w:rPr>
          <w:rFonts w:hint="eastAsia"/>
          <w:b/>
          <w:lang w:eastAsia="zh-CN"/>
        </w:rPr>
        <w:t>（二）</w:t>
      </w:r>
      <w:bookmarkStart w:id="27" w:name="_Hlk72073235"/>
      <w:r>
        <w:rPr>
          <w:rFonts w:hint="eastAsia"/>
          <w:b/>
          <w:lang w:eastAsia="zh-CN"/>
        </w:rPr>
        <w:t>投标人认为需要涉及的其他内容报价清单</w:t>
      </w:r>
      <w:bookmarkEnd w:id="27"/>
    </w:p>
    <w:p w14:paraId="4AFAC34C">
      <w:pPr>
        <w:rPr>
          <w:b/>
          <w:bCs/>
          <w:lang w:eastAsia="zh-CN"/>
        </w:rPr>
      </w:pPr>
    </w:p>
    <w:p w14:paraId="552912C7">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宋体" w:hAnsi="宋体" w:eastAsia="宋体" w:cs="宋体"/>
          <w:b/>
          <w:bCs/>
          <w:sz w:val="24"/>
          <w:szCs w:val="24"/>
          <w:lang w:eastAsia="zh-CN"/>
        </w:rPr>
      </w:pPr>
      <w:r>
        <w:rPr>
          <w:rFonts w:ascii="宋体" w:hAnsi="宋体" w:eastAsia="宋体" w:cs="宋体"/>
          <w:b/>
          <w:bCs/>
          <w:sz w:val="24"/>
          <w:szCs w:val="24"/>
        </w:rPr>
        <w:t>投标人通过相关认证情况</w:t>
      </w:r>
    </w:p>
    <w:p w14:paraId="24B2674E">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宋体" w:hAnsi="宋体" w:eastAsia="宋体" w:cs="宋体"/>
          <w:b/>
          <w:bCs/>
          <w:sz w:val="24"/>
          <w:szCs w:val="24"/>
          <w:lang w:eastAsia="zh-CN"/>
        </w:rPr>
      </w:pPr>
      <w:r>
        <w:rPr>
          <w:rFonts w:ascii="宋体" w:hAnsi="宋体" w:eastAsia="宋体" w:cs="宋体"/>
          <w:b/>
          <w:bCs/>
          <w:sz w:val="24"/>
          <w:szCs w:val="24"/>
        </w:rPr>
        <w:t>投标人同类项目业绩</w:t>
      </w:r>
    </w:p>
    <w:p w14:paraId="7DB3313C">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宋体" w:hAnsi="宋体" w:eastAsia="宋体" w:cs="宋体"/>
          <w:b/>
          <w:bCs/>
          <w:sz w:val="24"/>
          <w:szCs w:val="24"/>
          <w:lang w:eastAsia="zh-CN"/>
        </w:rPr>
      </w:pPr>
      <w:r>
        <w:rPr>
          <w:rFonts w:ascii="宋体" w:hAnsi="宋体" w:eastAsia="宋体" w:cs="宋体"/>
          <w:b/>
          <w:bCs/>
          <w:sz w:val="24"/>
          <w:szCs w:val="24"/>
        </w:rPr>
        <w:t>履约评价</w:t>
      </w:r>
    </w:p>
    <w:p w14:paraId="7223F591">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宋体" w:hAnsi="宋体" w:eastAsia="宋体" w:cs="宋体"/>
          <w:b/>
          <w:bCs/>
          <w:sz w:val="24"/>
          <w:szCs w:val="24"/>
          <w:lang w:eastAsia="zh-CN"/>
        </w:rPr>
      </w:pPr>
      <w:r>
        <w:rPr>
          <w:rFonts w:ascii="宋体" w:hAnsi="宋体" w:eastAsia="宋体" w:cs="宋体"/>
          <w:b/>
          <w:bCs/>
          <w:sz w:val="24"/>
          <w:szCs w:val="24"/>
        </w:rPr>
        <w:t>获奖情况</w:t>
      </w:r>
    </w:p>
    <w:p w14:paraId="1661120D">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宋体" w:hAnsi="宋体" w:eastAsia="宋体" w:cs="宋体"/>
          <w:b/>
          <w:bCs/>
          <w:sz w:val="24"/>
          <w:szCs w:val="24"/>
          <w:lang w:eastAsia="zh-CN"/>
        </w:rPr>
      </w:pPr>
      <w:r>
        <w:rPr>
          <w:rFonts w:ascii="宋体" w:hAnsi="宋体" w:eastAsia="宋体" w:cs="宋体"/>
          <w:b/>
          <w:bCs/>
          <w:sz w:val="24"/>
          <w:szCs w:val="24"/>
        </w:rPr>
        <w:t>相关保险</w:t>
      </w:r>
    </w:p>
    <w:p w14:paraId="466548FC">
      <w:pPr>
        <w:widowControl w:val="0"/>
        <w:ind w:firstLine="723" w:firstLineChars="300"/>
        <w:jc w:val="center"/>
        <w:rPr>
          <w:rFonts w:ascii="Calibri" w:hAnsi="Calibri" w:eastAsia="宋体" w:cs="宋体"/>
          <w:b/>
          <w:color w:val="FF0000"/>
          <w:kern w:val="2"/>
          <w:szCs w:val="22"/>
          <w:lang w:eastAsia="zh-CN"/>
        </w:rPr>
      </w:pPr>
      <w:r>
        <w:rPr>
          <w:rFonts w:hint="eastAsia" w:ascii="Calibri" w:hAnsi="Calibri" w:eastAsia="宋体" w:cs="宋体"/>
          <w:b/>
          <w:color w:val="FF0000"/>
          <w:kern w:val="2"/>
          <w:szCs w:val="22"/>
          <w:lang w:eastAsia="zh-CN"/>
        </w:rPr>
        <w:t>（信息公开部分的内容到此为止！以下为信息不公开部分。）</w:t>
      </w:r>
    </w:p>
    <w:p w14:paraId="02B1C8D5">
      <w:pPr>
        <w:widowControl w:val="0"/>
        <w:spacing w:line="360" w:lineRule="auto"/>
        <w:ind w:firstLine="482" w:firstLineChars="200"/>
        <w:jc w:val="center"/>
        <w:rPr>
          <w:rFonts w:ascii="楷体_GB2312" w:hAnsi="Calibri" w:eastAsia="楷体_GB2312" w:cs="宋体"/>
          <w:b/>
          <w:kern w:val="2"/>
          <w:lang w:eastAsia="zh-CN"/>
        </w:rPr>
      </w:pPr>
    </w:p>
    <w:p w14:paraId="2F408650">
      <w:pPr>
        <w:outlineLvl w:val="2"/>
        <w:rPr>
          <w:rFonts w:ascii="Arial" w:hAnsi="Arial" w:eastAsia="宋体"/>
          <w:b/>
          <w:color w:val="FF0000"/>
          <w:kern w:val="2"/>
          <w:sz w:val="32"/>
          <w:szCs w:val="32"/>
          <w:lang w:eastAsia="zh-CN"/>
        </w:rPr>
      </w:pPr>
      <w:r>
        <w:rPr>
          <w:rFonts w:ascii="Arial" w:hAnsi="Arial" w:eastAsia="宋体"/>
          <w:kern w:val="2"/>
          <w:sz w:val="21"/>
          <w:lang w:eastAsia="zh-CN"/>
        </w:rPr>
        <w:br w:type="page"/>
      </w:r>
      <w:r>
        <w:rPr>
          <w:rFonts w:hint="eastAsia" w:ascii="宋体" w:hAnsi="宋体" w:eastAsia="宋体" w:cs="宋体"/>
          <w:b/>
          <w:color w:val="FF0000"/>
          <w:sz w:val="32"/>
          <w:szCs w:val="32"/>
          <w:lang w:eastAsia="zh-CN"/>
        </w:rPr>
        <w:t>投标文件附件（信息不公开部分）</w:t>
      </w:r>
    </w:p>
    <w:p w14:paraId="4F78367E">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bookmarkStart w:id="28" w:name="OLE_LINK12"/>
      <w:r>
        <w:rPr>
          <w:rFonts w:hint="eastAsia" w:ascii="Calibri" w:hAnsi="Calibri" w:eastAsia="宋体" w:cs="宋体"/>
          <w:b/>
          <w:kern w:val="2"/>
          <w:sz w:val="21"/>
          <w:szCs w:val="22"/>
          <w:lang w:eastAsia="zh-CN"/>
        </w:rPr>
        <w:t>供应商基本</w:t>
      </w:r>
      <w:r>
        <w:rPr>
          <w:rFonts w:ascii="Calibri" w:hAnsi="Calibri" w:eastAsia="宋体" w:cs="宋体"/>
          <w:b/>
          <w:kern w:val="2"/>
          <w:sz w:val="21"/>
          <w:szCs w:val="22"/>
          <w:lang w:eastAsia="zh-CN"/>
        </w:rPr>
        <w:t>情况表</w:t>
      </w:r>
    </w:p>
    <w:bookmarkEnd w:id="2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69"/>
        <w:gridCol w:w="1589"/>
        <w:gridCol w:w="939"/>
        <w:gridCol w:w="781"/>
        <w:gridCol w:w="1190"/>
        <w:gridCol w:w="1484"/>
        <w:gridCol w:w="1477"/>
      </w:tblGrid>
      <w:tr w14:paraId="785F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pct"/>
            <w:gridSpan w:val="2"/>
            <w:vAlign w:val="center"/>
          </w:tcPr>
          <w:p w14:paraId="2E65A777">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1427" w:type="pct"/>
            <w:gridSpan w:val="2"/>
            <w:vAlign w:val="center"/>
          </w:tcPr>
          <w:p w14:paraId="48418915">
            <w:pPr>
              <w:widowControl w:val="0"/>
              <w:jc w:val="center"/>
              <w:rPr>
                <w:rFonts w:ascii="宋体" w:hAnsi="宋体" w:eastAsia="宋体" w:cs="宋体"/>
                <w:kern w:val="2"/>
                <w:sz w:val="21"/>
                <w:szCs w:val="21"/>
                <w:lang w:eastAsia="zh-CN"/>
              </w:rPr>
            </w:pPr>
          </w:p>
        </w:tc>
        <w:tc>
          <w:tcPr>
            <w:tcW w:w="1113" w:type="pct"/>
            <w:gridSpan w:val="2"/>
            <w:vAlign w:val="center"/>
          </w:tcPr>
          <w:p w14:paraId="2749339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71" w:type="pct"/>
            <w:gridSpan w:val="2"/>
            <w:vAlign w:val="center"/>
          </w:tcPr>
          <w:p w14:paraId="097BF02C">
            <w:pPr>
              <w:widowControl w:val="0"/>
              <w:jc w:val="center"/>
              <w:rPr>
                <w:rFonts w:ascii="宋体" w:hAnsi="宋体" w:eastAsia="宋体" w:cs="宋体"/>
                <w:kern w:val="2"/>
                <w:sz w:val="21"/>
                <w:szCs w:val="21"/>
                <w:lang w:eastAsia="zh-CN"/>
              </w:rPr>
            </w:pPr>
          </w:p>
        </w:tc>
      </w:tr>
      <w:tr w14:paraId="7F5A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6854891">
            <w:pPr>
              <w:widowControl w:val="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6BE3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724E13A6">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119AD1AD">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30" w:type="pct"/>
            <w:tcBorders>
              <w:bottom w:val="single" w:color="auto" w:sz="4" w:space="0"/>
            </w:tcBorders>
            <w:vAlign w:val="center"/>
          </w:tcPr>
          <w:p w14:paraId="6C86F0D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vAlign w:val="center"/>
          </w:tcPr>
          <w:p w14:paraId="50B2B19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vAlign w:val="center"/>
          </w:tcPr>
          <w:p w14:paraId="4272815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56D72ACE">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3" w:type="pct"/>
            <w:tcBorders>
              <w:bottom w:val="single" w:color="auto" w:sz="4" w:space="0"/>
            </w:tcBorders>
            <w:vAlign w:val="center"/>
          </w:tcPr>
          <w:p w14:paraId="4DBA7BE5">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76BC7D8E">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2804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2E407AB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29ED9734">
            <w:pPr>
              <w:widowControl w:val="0"/>
              <w:spacing w:line="46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30" w:type="pct"/>
            <w:tcBorders>
              <w:top w:val="single" w:color="auto" w:sz="4" w:space="0"/>
              <w:left w:val="single" w:color="auto" w:sz="4" w:space="0"/>
              <w:bottom w:val="single" w:color="auto" w:sz="4" w:space="0"/>
              <w:right w:val="single" w:color="auto" w:sz="4" w:space="0"/>
            </w:tcBorders>
            <w:vAlign w:val="center"/>
          </w:tcPr>
          <w:p w14:paraId="63AF7B66">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0EB8613">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211920F9">
            <w:pPr>
              <w:widowControl w:val="0"/>
              <w:jc w:val="center"/>
              <w:rPr>
                <w:rFonts w:ascii="宋体" w:hAnsi="宋体" w:eastAsia="宋体" w:cs="宋体"/>
                <w:kern w:val="2"/>
                <w:sz w:val="21"/>
                <w:szCs w:val="21"/>
                <w:lang w:eastAsia="zh-CN"/>
              </w:rPr>
            </w:pPr>
          </w:p>
        </w:tc>
        <w:tc>
          <w:tcPr>
            <w:tcW w:w="833" w:type="pct"/>
            <w:tcBorders>
              <w:top w:val="single" w:color="auto" w:sz="4" w:space="0"/>
              <w:left w:val="single" w:color="auto" w:sz="4" w:space="0"/>
              <w:bottom w:val="single" w:color="auto" w:sz="4" w:space="0"/>
              <w:right w:val="single" w:color="auto" w:sz="4" w:space="0"/>
            </w:tcBorders>
            <w:vAlign w:val="center"/>
          </w:tcPr>
          <w:p w14:paraId="288DCDA5">
            <w:pPr>
              <w:widowControl w:val="0"/>
              <w:jc w:val="center"/>
              <w:rPr>
                <w:rFonts w:ascii="宋体" w:hAnsi="宋体" w:eastAsia="宋体" w:cs="宋体"/>
                <w:kern w:val="2"/>
                <w:sz w:val="21"/>
                <w:szCs w:val="21"/>
                <w:lang w:eastAsia="zh-CN"/>
              </w:rPr>
            </w:pPr>
          </w:p>
        </w:tc>
      </w:tr>
      <w:tr w14:paraId="2398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40DFEAB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CD8A67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30" w:type="pct"/>
            <w:tcBorders>
              <w:top w:val="single" w:color="auto" w:sz="4" w:space="0"/>
              <w:left w:val="single" w:color="auto" w:sz="4" w:space="0"/>
              <w:bottom w:val="single" w:color="auto" w:sz="4" w:space="0"/>
              <w:right w:val="single" w:color="auto" w:sz="4" w:space="0"/>
            </w:tcBorders>
            <w:vAlign w:val="center"/>
          </w:tcPr>
          <w:p w14:paraId="4C436EC8">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535D2148">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07E0DC6B">
            <w:pPr>
              <w:widowControl w:val="0"/>
              <w:jc w:val="center"/>
              <w:rPr>
                <w:rFonts w:ascii="宋体" w:hAnsi="宋体" w:eastAsia="宋体" w:cs="宋体"/>
                <w:kern w:val="2"/>
                <w:sz w:val="21"/>
                <w:szCs w:val="21"/>
                <w:lang w:eastAsia="zh-CN"/>
              </w:rPr>
            </w:pPr>
          </w:p>
        </w:tc>
        <w:tc>
          <w:tcPr>
            <w:tcW w:w="833" w:type="pct"/>
            <w:tcBorders>
              <w:top w:val="single" w:color="auto" w:sz="4" w:space="0"/>
              <w:left w:val="single" w:color="auto" w:sz="4" w:space="0"/>
              <w:bottom w:val="single" w:color="auto" w:sz="4" w:space="0"/>
              <w:right w:val="single" w:color="auto" w:sz="4" w:space="0"/>
            </w:tcBorders>
            <w:vAlign w:val="center"/>
          </w:tcPr>
          <w:p w14:paraId="397A818E">
            <w:pPr>
              <w:widowControl w:val="0"/>
              <w:jc w:val="center"/>
              <w:rPr>
                <w:rFonts w:ascii="宋体" w:hAnsi="宋体" w:eastAsia="宋体" w:cs="宋体"/>
                <w:kern w:val="2"/>
                <w:sz w:val="21"/>
                <w:szCs w:val="21"/>
                <w:lang w:eastAsia="zh-CN"/>
              </w:rPr>
            </w:pPr>
          </w:p>
        </w:tc>
      </w:tr>
      <w:tr w14:paraId="6D11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tcBorders>
            <w:vAlign w:val="center"/>
          </w:tcPr>
          <w:p w14:paraId="1DD636F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275" w:type="pct"/>
            <w:gridSpan w:val="2"/>
            <w:tcBorders>
              <w:top w:val="single" w:color="auto" w:sz="4" w:space="0"/>
            </w:tcBorders>
            <w:vAlign w:val="center"/>
          </w:tcPr>
          <w:p w14:paraId="1ABAB25D">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30" w:type="pct"/>
            <w:tcBorders>
              <w:top w:val="single" w:color="auto" w:sz="4" w:space="0"/>
            </w:tcBorders>
            <w:vAlign w:val="center"/>
          </w:tcPr>
          <w:p w14:paraId="5CDB7D0D">
            <w:pPr>
              <w:widowControl w:val="0"/>
              <w:jc w:val="center"/>
              <w:rPr>
                <w:rFonts w:ascii="宋体" w:hAnsi="宋体" w:eastAsia="宋体" w:cs="宋体"/>
                <w:kern w:val="2"/>
                <w:sz w:val="21"/>
                <w:szCs w:val="21"/>
                <w:lang w:eastAsia="zh-CN"/>
              </w:rPr>
            </w:pPr>
          </w:p>
        </w:tc>
        <w:tc>
          <w:tcPr>
            <w:tcW w:w="1113" w:type="pct"/>
            <w:gridSpan w:val="2"/>
            <w:tcBorders>
              <w:top w:val="single" w:color="auto" w:sz="4" w:space="0"/>
            </w:tcBorders>
            <w:vAlign w:val="center"/>
          </w:tcPr>
          <w:p w14:paraId="3F157961">
            <w:pPr>
              <w:widowControl w:val="0"/>
              <w:jc w:val="center"/>
              <w:rPr>
                <w:rFonts w:ascii="宋体" w:hAnsi="宋体" w:eastAsia="宋体" w:cs="宋体"/>
                <w:kern w:val="2"/>
                <w:sz w:val="21"/>
                <w:szCs w:val="21"/>
                <w:lang w:eastAsia="zh-CN"/>
              </w:rPr>
            </w:pPr>
          </w:p>
        </w:tc>
        <w:tc>
          <w:tcPr>
            <w:tcW w:w="838" w:type="pct"/>
            <w:tcBorders>
              <w:top w:val="single" w:color="auto" w:sz="4" w:space="0"/>
            </w:tcBorders>
            <w:vAlign w:val="center"/>
          </w:tcPr>
          <w:p w14:paraId="20BC3D1E">
            <w:pPr>
              <w:widowControl w:val="0"/>
              <w:jc w:val="center"/>
              <w:rPr>
                <w:rFonts w:ascii="宋体" w:hAnsi="宋体" w:eastAsia="宋体" w:cs="宋体"/>
                <w:kern w:val="2"/>
                <w:sz w:val="21"/>
                <w:szCs w:val="21"/>
                <w:lang w:eastAsia="zh-CN"/>
              </w:rPr>
            </w:pPr>
          </w:p>
        </w:tc>
        <w:tc>
          <w:tcPr>
            <w:tcW w:w="833" w:type="pct"/>
            <w:tcBorders>
              <w:top w:val="single" w:color="auto" w:sz="4" w:space="0"/>
            </w:tcBorders>
            <w:vAlign w:val="center"/>
          </w:tcPr>
          <w:p w14:paraId="68303FFC">
            <w:pPr>
              <w:widowControl w:val="0"/>
              <w:jc w:val="center"/>
              <w:rPr>
                <w:rFonts w:ascii="宋体" w:hAnsi="宋体" w:eastAsia="宋体" w:cs="宋体"/>
                <w:kern w:val="2"/>
                <w:sz w:val="21"/>
                <w:szCs w:val="21"/>
                <w:lang w:eastAsia="zh-CN"/>
              </w:rPr>
            </w:pPr>
          </w:p>
        </w:tc>
      </w:tr>
      <w:tr w14:paraId="0A77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B005C9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1275" w:type="pct"/>
            <w:gridSpan w:val="2"/>
            <w:vAlign w:val="center"/>
          </w:tcPr>
          <w:p w14:paraId="1E38A71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30" w:type="pct"/>
            <w:vAlign w:val="center"/>
          </w:tcPr>
          <w:p w14:paraId="647F6848">
            <w:pPr>
              <w:widowControl w:val="0"/>
              <w:jc w:val="center"/>
              <w:rPr>
                <w:rFonts w:ascii="宋体" w:hAnsi="宋体" w:eastAsia="宋体" w:cs="宋体"/>
                <w:kern w:val="2"/>
                <w:sz w:val="21"/>
                <w:szCs w:val="21"/>
                <w:lang w:eastAsia="zh-CN"/>
              </w:rPr>
            </w:pPr>
          </w:p>
        </w:tc>
        <w:tc>
          <w:tcPr>
            <w:tcW w:w="1113" w:type="pct"/>
            <w:gridSpan w:val="2"/>
            <w:vAlign w:val="center"/>
          </w:tcPr>
          <w:p w14:paraId="122F3691">
            <w:pPr>
              <w:widowControl w:val="0"/>
              <w:jc w:val="center"/>
              <w:rPr>
                <w:rFonts w:ascii="宋体" w:hAnsi="宋体" w:eastAsia="宋体" w:cs="宋体"/>
                <w:kern w:val="2"/>
                <w:sz w:val="21"/>
                <w:szCs w:val="21"/>
                <w:lang w:eastAsia="zh-CN"/>
              </w:rPr>
            </w:pPr>
          </w:p>
        </w:tc>
        <w:tc>
          <w:tcPr>
            <w:tcW w:w="838" w:type="pct"/>
            <w:vAlign w:val="center"/>
          </w:tcPr>
          <w:p w14:paraId="2CB16FEC">
            <w:pPr>
              <w:widowControl w:val="0"/>
              <w:jc w:val="center"/>
              <w:rPr>
                <w:rFonts w:ascii="宋体" w:hAnsi="宋体" w:eastAsia="宋体" w:cs="宋体"/>
                <w:kern w:val="2"/>
                <w:sz w:val="21"/>
                <w:szCs w:val="21"/>
                <w:lang w:eastAsia="zh-CN"/>
              </w:rPr>
            </w:pPr>
          </w:p>
        </w:tc>
        <w:tc>
          <w:tcPr>
            <w:tcW w:w="833" w:type="pct"/>
            <w:vAlign w:val="center"/>
          </w:tcPr>
          <w:p w14:paraId="2E3E8A42">
            <w:pPr>
              <w:widowControl w:val="0"/>
              <w:jc w:val="center"/>
              <w:rPr>
                <w:rFonts w:ascii="宋体" w:hAnsi="宋体" w:eastAsia="宋体" w:cs="宋体"/>
                <w:kern w:val="2"/>
                <w:sz w:val="21"/>
                <w:szCs w:val="21"/>
                <w:lang w:eastAsia="zh-CN"/>
              </w:rPr>
            </w:pPr>
          </w:p>
        </w:tc>
      </w:tr>
      <w:tr w14:paraId="4D19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B21CCE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1275" w:type="pct"/>
            <w:gridSpan w:val="2"/>
            <w:vAlign w:val="center"/>
          </w:tcPr>
          <w:p w14:paraId="5E27BA00">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30" w:type="pct"/>
            <w:vAlign w:val="center"/>
          </w:tcPr>
          <w:p w14:paraId="16190747">
            <w:pPr>
              <w:widowControl w:val="0"/>
              <w:jc w:val="center"/>
              <w:rPr>
                <w:rFonts w:ascii="宋体" w:hAnsi="宋体" w:eastAsia="宋体" w:cs="宋体"/>
                <w:kern w:val="2"/>
                <w:sz w:val="21"/>
                <w:szCs w:val="21"/>
                <w:lang w:eastAsia="zh-CN"/>
              </w:rPr>
            </w:pPr>
          </w:p>
        </w:tc>
        <w:tc>
          <w:tcPr>
            <w:tcW w:w="1113" w:type="pct"/>
            <w:gridSpan w:val="2"/>
            <w:vAlign w:val="center"/>
          </w:tcPr>
          <w:p w14:paraId="3336B2CC">
            <w:pPr>
              <w:widowControl w:val="0"/>
              <w:jc w:val="center"/>
              <w:rPr>
                <w:rFonts w:ascii="宋体" w:hAnsi="宋体" w:eastAsia="宋体" w:cs="宋体"/>
                <w:kern w:val="2"/>
                <w:sz w:val="21"/>
                <w:szCs w:val="21"/>
                <w:lang w:eastAsia="zh-CN"/>
              </w:rPr>
            </w:pPr>
          </w:p>
        </w:tc>
        <w:tc>
          <w:tcPr>
            <w:tcW w:w="838" w:type="pct"/>
            <w:vAlign w:val="center"/>
          </w:tcPr>
          <w:p w14:paraId="211FA391">
            <w:pPr>
              <w:widowControl w:val="0"/>
              <w:jc w:val="center"/>
              <w:rPr>
                <w:rFonts w:ascii="宋体" w:hAnsi="宋体" w:eastAsia="宋体" w:cs="宋体"/>
                <w:kern w:val="2"/>
                <w:sz w:val="21"/>
                <w:szCs w:val="21"/>
                <w:lang w:eastAsia="zh-CN"/>
              </w:rPr>
            </w:pPr>
          </w:p>
        </w:tc>
        <w:tc>
          <w:tcPr>
            <w:tcW w:w="833" w:type="pct"/>
            <w:vAlign w:val="center"/>
          </w:tcPr>
          <w:p w14:paraId="4807C513">
            <w:pPr>
              <w:widowControl w:val="0"/>
              <w:jc w:val="center"/>
              <w:rPr>
                <w:rFonts w:ascii="宋体" w:hAnsi="宋体" w:eastAsia="宋体" w:cs="宋体"/>
                <w:kern w:val="2"/>
                <w:sz w:val="21"/>
                <w:szCs w:val="21"/>
                <w:lang w:eastAsia="zh-CN"/>
              </w:rPr>
            </w:pPr>
          </w:p>
        </w:tc>
      </w:tr>
      <w:tr w14:paraId="79A2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FD29129">
            <w:pPr>
              <w:widowControl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7DCC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A1D104A">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282C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52E6F78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19E60C5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vAlign w:val="center"/>
          </w:tcPr>
          <w:p w14:paraId="0EAE989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3" w:type="pct"/>
            <w:gridSpan w:val="3"/>
            <w:tcBorders>
              <w:bottom w:val="single" w:color="auto" w:sz="4" w:space="0"/>
            </w:tcBorders>
            <w:vAlign w:val="center"/>
          </w:tcPr>
          <w:p w14:paraId="1E71C2C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4E46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524B922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B23146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0B53E3DD">
            <w:pPr>
              <w:widowControl w:val="0"/>
              <w:jc w:val="center"/>
              <w:rPr>
                <w:rFonts w:ascii="宋体" w:hAnsi="宋体" w:eastAsia="宋体" w:cs="宋体"/>
                <w:kern w:val="2"/>
                <w:sz w:val="21"/>
                <w:szCs w:val="21"/>
                <w:lang w:eastAsia="zh-CN"/>
              </w:rPr>
            </w:pP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1F6B176E">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9A9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213C8B5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C54A80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71FA9671">
            <w:pPr>
              <w:widowControl w:val="0"/>
              <w:jc w:val="center"/>
              <w:rPr>
                <w:rFonts w:ascii="宋体" w:hAnsi="宋体" w:eastAsia="宋体" w:cs="宋体"/>
                <w:kern w:val="2"/>
                <w:sz w:val="21"/>
                <w:szCs w:val="21"/>
                <w:lang w:eastAsia="zh-CN"/>
              </w:rPr>
            </w:pP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73F9DDF6">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4684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134847F">
            <w:pPr>
              <w:widowControl w:val="0"/>
              <w:snapToGrid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说明：同一关联关系类型有多个主体的，应分行填写。</w:t>
            </w:r>
          </w:p>
        </w:tc>
      </w:tr>
    </w:tbl>
    <w:p w14:paraId="4A3A98B8">
      <w:pPr>
        <w:widowControl w:val="0"/>
        <w:spacing w:line="300" w:lineRule="auto"/>
        <w:ind w:left="140"/>
        <w:jc w:val="center"/>
        <w:rPr>
          <w:rFonts w:ascii="宋体" w:hAnsi="宋体" w:eastAsia="宋体"/>
          <w:b/>
          <w:bCs/>
          <w:szCs w:val="20"/>
          <w:lang w:eastAsia="zh-CN"/>
        </w:rPr>
      </w:pPr>
    </w:p>
    <w:p w14:paraId="03E3E0D0">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法定代表人（负责人）证明书</w:t>
      </w:r>
    </w:p>
    <w:p w14:paraId="17892D0B">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r>
        <w:rPr>
          <w:rFonts w:hint="eastAsia" w:hAnsi="Calibri" w:eastAsia="宋体" w:cs="宋体"/>
          <w:kern w:val="2"/>
          <w:sz w:val="21"/>
          <w:szCs w:val="21"/>
          <w:lang w:eastAsia="zh-CN"/>
        </w:rPr>
        <w:t>姓名</w:t>
      </w:r>
      <w:r>
        <w:rPr>
          <w:rFonts w:hint="eastAsia" w:ascii="Calibri" w:hAnsi="Calibri" w:eastAsia="宋体" w:cs="宋体"/>
          <w:kern w:val="2"/>
          <w:sz w:val="21"/>
          <w:szCs w:val="21"/>
          <w:lang w:eastAsia="zh-CN"/>
        </w:rPr>
        <w:t>），现任我单位</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职务，为法定代表人（负责人），</w:t>
      </w:r>
      <w:r>
        <w:rPr>
          <w:rFonts w:hint="eastAsia" w:hAnsi="Calibri" w:eastAsia="宋体" w:cs="宋体"/>
          <w:kern w:val="2"/>
          <w:sz w:val="21"/>
          <w:szCs w:val="21"/>
          <w:lang w:eastAsia="zh-CN"/>
        </w:rPr>
        <w:t>身份证件</w:t>
      </w:r>
      <w:r>
        <w:rPr>
          <w:rFonts w:hint="eastAsia" w:ascii="Calibri" w:hAnsi="Calibri" w:eastAsia="宋体" w:cs="宋体"/>
          <w:kern w:val="2"/>
          <w:sz w:val="21"/>
          <w:szCs w:val="21"/>
          <w:lang w:eastAsia="zh-CN"/>
        </w:rPr>
        <w:t>号</w:t>
      </w:r>
      <w:r>
        <w:rPr>
          <w:rFonts w:hint="eastAsia" w:hAnsi="Calibri" w:eastAsia="宋体" w:cs="宋体"/>
          <w:kern w:val="2"/>
          <w:sz w:val="21"/>
          <w:szCs w:val="21"/>
          <w:lang w:eastAsia="zh-CN"/>
        </w:rPr>
        <w:t>为</w:t>
      </w:r>
      <w:r>
        <w:rPr>
          <w:rFonts w:hint="eastAsia" w:ascii="Calibri" w:hAnsi="Calibri" w:eastAsia="宋体" w:cs="宋体"/>
          <w:kern w:val="2"/>
          <w:sz w:val="21"/>
          <w:szCs w:val="21"/>
          <w:lang w:eastAsia="zh-CN"/>
        </w:rPr>
        <w:t>：</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，联系电话：</w:t>
      </w:r>
      <w:r>
        <w:rPr>
          <w:rFonts w:hint="eastAsia" w:hAnsi="Calibri" w:eastAsia="宋体" w:cs="宋体"/>
          <w:kern w:val="2"/>
          <w:sz w:val="21"/>
          <w:szCs w:val="21"/>
          <w:u w:val="single"/>
          <w:lang w:eastAsia="zh-CN"/>
        </w:rPr>
        <w:t xml:space="preserve">                </w:t>
      </w:r>
      <w:r>
        <w:rPr>
          <w:rFonts w:hint="eastAsia" w:hAnsi="Calibri" w:eastAsia="宋体" w:cs="宋体"/>
          <w:kern w:val="2"/>
          <w:sz w:val="21"/>
          <w:szCs w:val="21"/>
          <w:lang w:eastAsia="zh-CN"/>
        </w:rPr>
        <w:t>。</w:t>
      </w:r>
    </w:p>
    <w:p w14:paraId="54F29C6A">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特此证明。</w:t>
      </w:r>
    </w:p>
    <w:p w14:paraId="771C1E14">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说明：1、法定代表人为投标人（企业事业单位、国家机关、社会团体）的主要行政负责人。</w:t>
      </w:r>
    </w:p>
    <w:p w14:paraId="7E91590B">
      <w:pPr>
        <w:widowControl w:val="0"/>
        <w:numPr>
          <w:ilvl w:val="0"/>
          <w:numId w:val="4"/>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本证明书要供法定代表人（负责人）</w:t>
      </w:r>
      <w:r>
        <w:rPr>
          <w:rFonts w:hint="eastAsia" w:hAnsi="Calibri" w:eastAsia="宋体" w:cs="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35F5B67C">
      <w:pPr>
        <w:widowControl w:val="0"/>
        <w:numPr>
          <w:ilvl w:val="0"/>
          <w:numId w:val="4"/>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本项目投标授权代表为法定代表人（负责人）的，无需提供《投标文件签署授权委托书》。</w:t>
      </w:r>
    </w:p>
    <w:p w14:paraId="66221649">
      <w:pPr>
        <w:widowControl w:val="0"/>
        <w:numPr>
          <w:ilvl w:val="0"/>
          <w:numId w:val="4"/>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内容必须填写真实、清楚，涂改无效，不得转让、买卖。</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158F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E6C99EC">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证件扫描件正面</w:t>
            </w:r>
          </w:p>
          <w:p w14:paraId="66068262">
            <w:pPr>
              <w:widowControl w:val="0"/>
              <w:spacing w:line="360" w:lineRule="auto"/>
              <w:ind w:firstLine="482" w:firstLineChars="200"/>
              <w:jc w:val="both"/>
              <w:rPr>
                <w:rFonts w:ascii="楷体_GB2312" w:hAnsi="Calibri" w:eastAsia="楷体_GB2312" w:cs="宋体"/>
                <w:b/>
                <w:bCs/>
                <w:kern w:val="2"/>
                <w:lang w:eastAsia="zh-CN"/>
              </w:rPr>
            </w:pPr>
            <w:r>
              <w:rPr>
                <w:rFonts w:hint="eastAsia" w:ascii="楷体_GB2312" w:hAnsi="Calibri" w:eastAsia="楷体_GB2312" w:cs="宋体"/>
                <w:b/>
                <w:bCs/>
                <w:kern w:val="2"/>
                <w:lang w:eastAsia="zh-CN"/>
              </w:rPr>
              <w:t xml:space="preserve"> </w:t>
            </w:r>
          </w:p>
          <w:p w14:paraId="729611CF">
            <w:pPr>
              <w:widowControl w:val="0"/>
              <w:spacing w:line="360" w:lineRule="auto"/>
              <w:ind w:firstLine="482" w:firstLineChars="200"/>
              <w:jc w:val="center"/>
              <w:rPr>
                <w:rFonts w:ascii="楷体_GB2312" w:hAnsi="Calibri" w:eastAsia="楷体_GB2312" w:cs="宋体"/>
                <w:b/>
                <w:kern w:val="2"/>
                <w:lang w:eastAsia="zh-CN"/>
              </w:rPr>
            </w:pPr>
          </w:p>
          <w:p w14:paraId="2CD158A9">
            <w:pPr>
              <w:widowControl w:val="0"/>
              <w:spacing w:line="360" w:lineRule="auto"/>
              <w:ind w:firstLine="482" w:firstLineChars="200"/>
              <w:jc w:val="center"/>
              <w:rPr>
                <w:rFonts w:ascii="楷体_GB2312" w:hAnsi="Calibri" w:eastAsia="楷体_GB2312" w:cs="宋体"/>
                <w:b/>
                <w:kern w:val="2"/>
                <w:lang w:eastAsia="zh-CN"/>
              </w:rPr>
            </w:pPr>
          </w:p>
          <w:p w14:paraId="6C86DFFE">
            <w:pPr>
              <w:widowControl w:val="0"/>
              <w:spacing w:line="360" w:lineRule="auto"/>
              <w:ind w:firstLine="482" w:firstLineChars="200"/>
              <w:jc w:val="center"/>
              <w:rPr>
                <w:rFonts w:ascii="楷体_GB2312" w:hAnsi="Calibri" w:eastAsia="楷体_GB2312" w:cs="宋体"/>
                <w:b/>
                <w:kern w:val="2"/>
                <w:lang w:eastAsia="zh-CN"/>
              </w:rPr>
            </w:pPr>
          </w:p>
          <w:p w14:paraId="2E23A41C">
            <w:pPr>
              <w:widowControl w:val="0"/>
              <w:spacing w:line="360" w:lineRule="auto"/>
              <w:ind w:firstLine="482" w:firstLineChars="200"/>
              <w:jc w:val="center"/>
              <w:rPr>
                <w:rFonts w:ascii="楷体_GB2312" w:hAnsi="Calibri" w:eastAsia="楷体_GB2312" w:cs="宋体"/>
                <w:b/>
                <w:kern w:val="2"/>
                <w:lang w:eastAsia="zh-CN"/>
              </w:rPr>
            </w:pPr>
          </w:p>
          <w:p w14:paraId="190B3C0F">
            <w:pPr>
              <w:widowControl w:val="0"/>
              <w:spacing w:line="360" w:lineRule="auto"/>
              <w:ind w:firstLine="482" w:firstLineChars="200"/>
              <w:jc w:val="center"/>
              <w:rPr>
                <w:rFonts w:ascii="楷体_GB2312" w:hAnsi="Calibri" w:eastAsia="楷体_GB2312" w:cs="宋体"/>
                <w:b/>
                <w:kern w:val="2"/>
                <w:lang w:eastAsia="zh-CN"/>
              </w:rPr>
            </w:pPr>
          </w:p>
        </w:tc>
        <w:tc>
          <w:tcPr>
            <w:tcW w:w="4265" w:type="dxa"/>
          </w:tcPr>
          <w:p w14:paraId="4EB16692">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证件扫描件反面</w:t>
            </w:r>
          </w:p>
          <w:p w14:paraId="2CF76DAD">
            <w:pPr>
              <w:widowControl w:val="0"/>
              <w:spacing w:line="360" w:lineRule="auto"/>
              <w:ind w:firstLine="482" w:firstLineChars="200"/>
              <w:jc w:val="both"/>
              <w:rPr>
                <w:rFonts w:ascii="楷体_GB2312" w:hAnsi="Calibri" w:eastAsia="楷体_GB2312" w:cs="宋体"/>
                <w:b/>
                <w:bCs/>
                <w:kern w:val="2"/>
                <w:lang w:eastAsia="zh-CN"/>
              </w:rPr>
            </w:pPr>
          </w:p>
          <w:p w14:paraId="5295DA46">
            <w:pPr>
              <w:widowControl w:val="0"/>
              <w:spacing w:line="360" w:lineRule="auto"/>
              <w:ind w:firstLine="482" w:firstLineChars="200"/>
              <w:jc w:val="center"/>
              <w:rPr>
                <w:rFonts w:ascii="楷体_GB2312" w:hAnsi="Calibri" w:eastAsia="楷体_GB2312" w:cs="宋体"/>
                <w:b/>
                <w:kern w:val="2"/>
                <w:lang w:eastAsia="zh-CN"/>
              </w:rPr>
            </w:pPr>
          </w:p>
        </w:tc>
      </w:tr>
    </w:tbl>
    <w:p w14:paraId="566FF98F">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716BF2D">
      <w:pPr>
        <w:widowControl w:val="0"/>
        <w:snapToGrid w:val="0"/>
        <w:jc w:val="both"/>
        <w:rPr>
          <w:rFonts w:ascii="Arial" w:hAnsi="Arial" w:eastAsia="宋体"/>
          <w:kern w:val="2"/>
          <w:sz w:val="21"/>
          <w:lang w:eastAsia="zh-CN"/>
        </w:rPr>
      </w:pPr>
    </w:p>
    <w:p w14:paraId="72F701E7">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投标文件签署授权委托书</w:t>
      </w:r>
    </w:p>
    <w:p w14:paraId="3C0FEE76">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本授权委托书声明：我</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（姓名）系</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（投标人名称）的法定代表人（负责人），现授权委托</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168C013F">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代理人无转委托权，特此委托。</w:t>
      </w:r>
    </w:p>
    <w:p w14:paraId="2FB8765E">
      <w:pPr>
        <w:widowControl w:val="0"/>
        <w:spacing w:line="360" w:lineRule="auto"/>
        <w:ind w:firstLine="420" w:firstLineChars="200"/>
        <w:jc w:val="both"/>
        <w:rPr>
          <w:rFonts w:ascii="Calibri" w:hAnsi="Calibri" w:eastAsia="宋体" w:cs="宋体"/>
          <w:kern w:val="2"/>
          <w:sz w:val="21"/>
          <w:szCs w:val="21"/>
          <w:lang w:eastAsia="zh-CN"/>
        </w:rPr>
      </w:pPr>
    </w:p>
    <w:p w14:paraId="2C4CA23C">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代理人：</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53F61CB3">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身份</w:t>
      </w:r>
      <w:r>
        <w:rPr>
          <w:rFonts w:hint="eastAsia" w:hAnsi="Calibri" w:eastAsia="宋体" w:cs="宋体"/>
          <w:kern w:val="2"/>
          <w:sz w:val="21"/>
          <w:szCs w:val="21"/>
          <w:lang w:eastAsia="zh-CN"/>
        </w:rPr>
        <w:t>证件号</w:t>
      </w:r>
      <w:r>
        <w:rPr>
          <w:rFonts w:hint="eastAsia" w:ascii="Calibri" w:hAnsi="Calibri" w:eastAsia="宋体" w:cs="宋体"/>
          <w:kern w:val="2"/>
          <w:sz w:val="21"/>
          <w:szCs w:val="21"/>
          <w:lang w:eastAsia="zh-CN"/>
        </w:rPr>
        <w:t>：</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，职务：</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18B3FDDF">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联系电话：</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，手机：</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r>
        <w:rPr>
          <w:rFonts w:hint="eastAsia" w:hAnsi="Calibri" w:eastAsia="宋体" w:cs="宋体"/>
          <w:kern w:val="2"/>
          <w:sz w:val="21"/>
          <w:szCs w:val="21"/>
          <w:lang w:eastAsia="zh-CN"/>
        </w:rPr>
        <w:t>电子邮箱：</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0B16BF6A">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授权委托日期：</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年</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 xml:space="preserve">月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日。</w:t>
      </w:r>
    </w:p>
    <w:p w14:paraId="1AA3CF99">
      <w:pPr>
        <w:widowControl w:val="0"/>
        <w:spacing w:line="360" w:lineRule="auto"/>
        <w:ind w:firstLine="422" w:firstLineChars="200"/>
        <w:jc w:val="both"/>
        <w:rPr>
          <w:rFonts w:ascii="Calibri" w:hAnsi="Calibri" w:eastAsia="宋体" w:cs="宋体"/>
          <w:b/>
          <w:color w:val="FF0000"/>
          <w:kern w:val="2"/>
          <w:sz w:val="21"/>
          <w:szCs w:val="21"/>
          <w:lang w:eastAsia="zh-CN"/>
        </w:rPr>
      </w:pPr>
      <w:r>
        <w:rPr>
          <w:rFonts w:hint="eastAsia" w:ascii="Calibri" w:hAnsi="Calibri" w:eastAsia="宋体" w:cs="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08C0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4264" w:type="dxa"/>
          </w:tcPr>
          <w:p w14:paraId="1A12F475">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证件扫描件正面</w:t>
            </w:r>
          </w:p>
          <w:p w14:paraId="63F6A993">
            <w:pPr>
              <w:widowControl w:val="0"/>
              <w:spacing w:line="360" w:lineRule="auto"/>
              <w:ind w:firstLine="482" w:firstLineChars="200"/>
              <w:jc w:val="both"/>
              <w:rPr>
                <w:rFonts w:ascii="楷体_GB2312" w:hAnsi="Calibri" w:eastAsia="楷体_GB2312" w:cs="宋体"/>
                <w:b/>
                <w:bCs/>
                <w:kern w:val="2"/>
                <w:lang w:eastAsia="zh-CN"/>
              </w:rPr>
            </w:pPr>
          </w:p>
          <w:p w14:paraId="3C38F096">
            <w:pPr>
              <w:widowControl w:val="0"/>
              <w:spacing w:line="360" w:lineRule="auto"/>
              <w:ind w:firstLine="482" w:firstLineChars="200"/>
              <w:jc w:val="center"/>
              <w:rPr>
                <w:rFonts w:ascii="楷体_GB2312" w:hAnsi="Calibri" w:eastAsia="楷体_GB2312" w:cs="宋体"/>
                <w:b/>
                <w:kern w:val="2"/>
                <w:lang w:eastAsia="zh-CN"/>
              </w:rPr>
            </w:pPr>
          </w:p>
        </w:tc>
        <w:tc>
          <w:tcPr>
            <w:tcW w:w="4265" w:type="dxa"/>
          </w:tcPr>
          <w:p w14:paraId="3ED97EE0">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证件扫描件反面</w:t>
            </w:r>
          </w:p>
          <w:p w14:paraId="4A72DCF5">
            <w:pPr>
              <w:widowControl w:val="0"/>
              <w:spacing w:line="360" w:lineRule="auto"/>
              <w:ind w:firstLine="482" w:firstLineChars="200"/>
              <w:jc w:val="both"/>
              <w:rPr>
                <w:rFonts w:ascii="楷体_GB2312" w:hAnsi="Calibri" w:eastAsia="楷体_GB2312" w:cs="宋体"/>
                <w:b/>
                <w:bCs/>
                <w:kern w:val="2"/>
                <w:lang w:eastAsia="zh-CN"/>
              </w:rPr>
            </w:pPr>
          </w:p>
          <w:p w14:paraId="6FEF8E45">
            <w:pPr>
              <w:widowControl w:val="0"/>
              <w:spacing w:line="360" w:lineRule="auto"/>
              <w:ind w:firstLine="482" w:firstLineChars="200"/>
              <w:jc w:val="center"/>
              <w:rPr>
                <w:rFonts w:ascii="楷体_GB2312" w:hAnsi="Calibri" w:eastAsia="楷体_GB2312" w:cs="宋体"/>
                <w:b/>
                <w:kern w:val="2"/>
                <w:lang w:eastAsia="zh-CN"/>
              </w:rPr>
            </w:pPr>
          </w:p>
        </w:tc>
      </w:tr>
    </w:tbl>
    <w:p w14:paraId="4BD7B6AF">
      <w:pPr>
        <w:widowControl w:val="0"/>
        <w:jc w:val="both"/>
        <w:rPr>
          <w:rFonts w:ascii="宋体" w:hAnsi="宋体" w:eastAsia="宋体"/>
          <w:color w:val="FF0000"/>
          <w:kern w:val="2"/>
          <w:sz w:val="28"/>
          <w:szCs w:val="28"/>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BB83D90">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实质性条款响应情况表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873"/>
        <w:gridCol w:w="1710"/>
        <w:gridCol w:w="1986"/>
        <w:gridCol w:w="1525"/>
      </w:tblGrid>
      <w:tr w14:paraId="02C8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0" w:type="pct"/>
            <w:vAlign w:val="center"/>
          </w:tcPr>
          <w:p w14:paraId="36672D91">
            <w:pPr>
              <w:widowControl w:val="0"/>
              <w:adjustRightInd w:val="0"/>
              <w:snapToGrid w:val="0"/>
              <w:spacing w:line="360" w:lineRule="auto"/>
              <w:jc w:val="center"/>
              <w:rPr>
                <w:rFonts w:ascii="宋体" w:hAnsi="宋体" w:eastAsia="宋体" w:cs="宋体"/>
                <w:sz w:val="21"/>
                <w:szCs w:val="21"/>
                <w:lang w:eastAsia="zh-CN"/>
              </w:rPr>
            </w:pPr>
            <w:bookmarkStart w:id="29" w:name="_Hlk72092651"/>
            <w:r>
              <w:rPr>
                <w:rFonts w:hint="eastAsia" w:ascii="宋体" w:hAnsi="宋体" w:eastAsia="宋体" w:cs="宋体"/>
                <w:sz w:val="21"/>
                <w:szCs w:val="21"/>
                <w:lang w:eastAsia="zh-CN"/>
              </w:rPr>
              <w:t>序号</w:t>
            </w:r>
          </w:p>
        </w:tc>
        <w:tc>
          <w:tcPr>
            <w:tcW w:w="1621" w:type="pct"/>
            <w:vAlign w:val="center"/>
          </w:tcPr>
          <w:p w14:paraId="7D36A7F0">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实质性条款具体内容</w:t>
            </w:r>
          </w:p>
        </w:tc>
        <w:tc>
          <w:tcPr>
            <w:tcW w:w="965" w:type="pct"/>
            <w:vAlign w:val="center"/>
          </w:tcPr>
          <w:p w14:paraId="01A11E63">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投标响应</w:t>
            </w:r>
          </w:p>
        </w:tc>
        <w:tc>
          <w:tcPr>
            <w:tcW w:w="1121" w:type="pct"/>
            <w:vAlign w:val="center"/>
          </w:tcPr>
          <w:p w14:paraId="7C789F5A">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偏离情况</w:t>
            </w:r>
          </w:p>
        </w:tc>
        <w:tc>
          <w:tcPr>
            <w:tcW w:w="861" w:type="pct"/>
            <w:vAlign w:val="center"/>
          </w:tcPr>
          <w:p w14:paraId="4A306527">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说明</w:t>
            </w:r>
          </w:p>
        </w:tc>
      </w:tr>
      <w:bookmarkEnd w:id="29"/>
      <w:tr w14:paraId="3A3C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14:paraId="7577D5A5">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621" w:type="pct"/>
            <w:vAlign w:val="center"/>
          </w:tcPr>
          <w:p w14:paraId="6B9EE57F">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满足本项目标★的条款要求</w:t>
            </w:r>
          </w:p>
        </w:tc>
        <w:tc>
          <w:tcPr>
            <w:tcW w:w="965" w:type="pct"/>
          </w:tcPr>
          <w:p w14:paraId="3FF59D36">
            <w:pPr>
              <w:widowControl w:val="0"/>
              <w:adjustRightInd w:val="0"/>
              <w:snapToGrid w:val="0"/>
              <w:spacing w:line="360" w:lineRule="auto"/>
              <w:jc w:val="both"/>
              <w:rPr>
                <w:rFonts w:ascii="宋体" w:hAnsi="宋体" w:eastAsia="宋体" w:cs="宋体"/>
                <w:sz w:val="21"/>
                <w:szCs w:val="21"/>
                <w:lang w:eastAsia="zh-CN"/>
              </w:rPr>
            </w:pPr>
          </w:p>
        </w:tc>
        <w:tc>
          <w:tcPr>
            <w:tcW w:w="1121" w:type="pct"/>
          </w:tcPr>
          <w:p w14:paraId="65111DBB">
            <w:pPr>
              <w:widowControl w:val="0"/>
              <w:adjustRightInd w:val="0"/>
              <w:snapToGrid w:val="0"/>
              <w:spacing w:line="360" w:lineRule="auto"/>
              <w:jc w:val="both"/>
              <w:rPr>
                <w:rFonts w:ascii="宋体" w:hAnsi="宋体" w:eastAsia="宋体" w:cs="宋体"/>
                <w:sz w:val="21"/>
                <w:szCs w:val="21"/>
                <w:lang w:eastAsia="zh-CN"/>
              </w:rPr>
            </w:pPr>
          </w:p>
        </w:tc>
        <w:tc>
          <w:tcPr>
            <w:tcW w:w="861" w:type="pct"/>
          </w:tcPr>
          <w:p w14:paraId="2E5E476D">
            <w:pPr>
              <w:widowControl w:val="0"/>
              <w:adjustRightInd w:val="0"/>
              <w:snapToGrid w:val="0"/>
              <w:spacing w:line="360" w:lineRule="auto"/>
              <w:jc w:val="both"/>
              <w:rPr>
                <w:rFonts w:ascii="宋体" w:hAnsi="宋体" w:eastAsia="宋体" w:cs="宋体"/>
                <w:sz w:val="21"/>
                <w:szCs w:val="21"/>
                <w:lang w:eastAsia="zh-CN"/>
              </w:rPr>
            </w:pPr>
          </w:p>
        </w:tc>
      </w:tr>
    </w:tbl>
    <w:p w14:paraId="5CBD7069">
      <w:pPr>
        <w:widowControl w:val="0"/>
        <w:snapToGrid w:val="0"/>
        <w:jc w:val="both"/>
        <w:rPr>
          <w:rFonts w:ascii="宋体" w:hAnsi="宋体" w:eastAsia="宋体"/>
          <w:b/>
          <w:kern w:val="2"/>
          <w:lang w:eastAsia="zh-CN"/>
        </w:rPr>
      </w:pPr>
      <w:r>
        <w:rPr>
          <w:rFonts w:hint="eastAsia" w:ascii="宋体" w:hAnsi="宋体" w:eastAsia="宋体"/>
          <w:b/>
          <w:kern w:val="2"/>
          <w:lang w:eastAsia="zh-CN"/>
        </w:rPr>
        <w:t>注：</w:t>
      </w:r>
    </w:p>
    <w:p w14:paraId="7363C275">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1.上表所列各项均为不可负偏离条款。</w:t>
      </w:r>
    </w:p>
    <w:p w14:paraId="2C704E55">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2.“投标响应”一栏应当详细填写投标人自身响应情况，而不能不合理照搬照抄招实质性条款具体内容。</w:t>
      </w:r>
      <w:r>
        <w:rPr>
          <w:rFonts w:hint="eastAsia" w:ascii="Calibri" w:hAnsi="Calibri" w:eastAsia="宋体" w:cs="宋体"/>
          <w:b/>
          <w:kern w:val="2"/>
          <w:szCs w:val="22"/>
          <w:lang w:eastAsia="zh-CN"/>
        </w:rPr>
        <w:t>如完全满足实质性条款具体内容可填写“完全响应”，除招标文件另有注明外，不强制要求逐条列出响应。</w:t>
      </w:r>
    </w:p>
    <w:p w14:paraId="2112FFAB">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3</w:t>
      </w:r>
      <w:r>
        <w:rPr>
          <w:rFonts w:ascii="Calibri" w:hAnsi="Calibri" w:eastAsia="宋体" w:cs="宋体"/>
          <w:bCs/>
          <w:kern w:val="2"/>
          <w:szCs w:val="22"/>
          <w:lang w:eastAsia="zh-CN"/>
        </w:rPr>
        <w:t>.</w:t>
      </w:r>
      <w:r>
        <w:rPr>
          <w:rFonts w:hint="eastAsia" w:ascii="Calibri" w:hAnsi="Calibri" w:eastAsia="宋体" w:cs="宋体"/>
          <w:bCs/>
          <w:kern w:val="2"/>
          <w:szCs w:val="22"/>
          <w:lang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6C438A0">
      <w:pPr>
        <w:widowControl w:val="0"/>
        <w:ind w:firstLine="480" w:firstLineChars="200"/>
        <w:jc w:val="both"/>
        <w:rPr>
          <w:rFonts w:ascii="Calibri" w:hAnsi="Calibri" w:eastAsia="宋体" w:cs="宋体"/>
          <w:bCs/>
          <w:kern w:val="2"/>
          <w:szCs w:val="22"/>
          <w:lang w:eastAsia="zh-CN"/>
        </w:rPr>
      </w:pPr>
      <w:r>
        <w:rPr>
          <w:rFonts w:ascii="Calibri" w:hAnsi="Calibri" w:eastAsia="宋体" w:cs="宋体"/>
          <w:bCs/>
          <w:kern w:val="2"/>
          <w:szCs w:val="22"/>
          <w:lang w:eastAsia="zh-CN"/>
        </w:rPr>
        <w:t>4.</w:t>
      </w:r>
      <w:r>
        <w:rPr>
          <w:rFonts w:hint="eastAsia" w:ascii="Calibri" w:hAnsi="Calibri" w:eastAsia="宋体" w:cs="宋体"/>
          <w:bCs/>
          <w:kern w:val="2"/>
          <w:szCs w:val="22"/>
          <w:lang w:eastAsia="zh-CN"/>
        </w:rPr>
        <w:t>评审委员会有权对投标响应情况作出判断（作出评审结论）。</w:t>
      </w:r>
    </w:p>
    <w:p w14:paraId="52001AD6">
      <w:pPr>
        <w:widowControl w:val="0"/>
        <w:ind w:firstLine="480" w:firstLineChars="200"/>
        <w:jc w:val="both"/>
        <w:rPr>
          <w:rFonts w:ascii="Calibri" w:hAnsi="Calibri" w:eastAsia="宋体" w:cs="宋体"/>
          <w:bCs/>
          <w:kern w:val="2"/>
          <w:szCs w:val="22"/>
          <w:lang w:eastAsia="zh-CN"/>
        </w:rPr>
      </w:pPr>
      <w:r>
        <w:rPr>
          <w:rFonts w:ascii="Calibri" w:hAnsi="Calibri" w:eastAsia="宋体" w:cs="宋体"/>
          <w:bCs/>
          <w:kern w:val="2"/>
          <w:szCs w:val="22"/>
          <w:lang w:eastAsia="zh-CN"/>
        </w:rPr>
        <w:t>5</w:t>
      </w:r>
      <w:r>
        <w:rPr>
          <w:rFonts w:hint="eastAsia" w:ascii="Calibri" w:hAnsi="Calibri" w:eastAsia="宋体" w:cs="宋体"/>
          <w:bCs/>
          <w:kern w:val="2"/>
          <w:szCs w:val="22"/>
          <w:lang w:eastAsia="zh-CN"/>
        </w:rPr>
        <w:t>.实质性响应条款“投标响应情况”与投标文件其它内容冲突的，以实质性响应条款“投标响应情况”为准。</w:t>
      </w:r>
    </w:p>
    <w:p w14:paraId="2E3EF809">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6.要求提供证明资料，在“说明”一栏中列明证明资料的位置,以便评审；未要求提供证明材料的，投标人可以不提供。</w:t>
      </w:r>
    </w:p>
    <w:p w14:paraId="7B7565FF">
      <w:pPr>
        <w:widowControl w:val="0"/>
        <w:jc w:val="both"/>
        <w:rPr>
          <w:rFonts w:ascii="Calibri" w:hAnsi="Calibri" w:eastAsia="宋体" w:cs="宋体"/>
          <w:kern w:val="2"/>
          <w:sz w:val="21"/>
          <w:szCs w:val="22"/>
          <w:lang w:eastAsia="zh-CN"/>
        </w:rPr>
      </w:pPr>
    </w:p>
    <w:p w14:paraId="5F30AD26">
      <w:pPr>
        <w:widowControl w:val="0"/>
        <w:spacing w:line="300" w:lineRule="auto"/>
        <w:jc w:val="both"/>
        <w:rPr>
          <w:rFonts w:ascii="Arial" w:hAnsi="Arial" w:eastAsia="宋体"/>
          <w:kern w:val="2"/>
          <w:lang w:eastAsia="zh-CN"/>
        </w:rPr>
      </w:pPr>
      <w:r>
        <w:rPr>
          <w:rFonts w:hint="eastAsia" w:ascii="Arial" w:hAnsi="Arial" w:eastAsia="宋体"/>
          <w:kern w:val="2"/>
          <w:lang w:eastAsia="zh-CN"/>
        </w:rPr>
        <w:t>此表格式可根据评分准则要求进行调整，并将要求提供的证明材料扫描件附后。</w:t>
      </w:r>
    </w:p>
    <w:p w14:paraId="453C30D8">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实施方案</w:t>
      </w:r>
    </w:p>
    <w:p w14:paraId="17FC247E">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服务质量保证措施</w:t>
      </w:r>
    </w:p>
    <w:p w14:paraId="7F5E8134">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整体管理方案</w:t>
      </w:r>
    </w:p>
    <w:p w14:paraId="7A32F2FC">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供餐方案</w:t>
      </w:r>
    </w:p>
    <w:p w14:paraId="527D5B3D">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应急方案</w:t>
      </w:r>
    </w:p>
    <w:p w14:paraId="15F4E23D">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项目负责人（仅限1人）</w:t>
      </w:r>
    </w:p>
    <w:p w14:paraId="38CA69FA">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拟派项目团队人员情况（兼厨师长，不含项目负责人）</w:t>
      </w:r>
    </w:p>
    <w:p w14:paraId="3CE3604D">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项目组织和管理承诺</w:t>
      </w:r>
    </w:p>
    <w:p w14:paraId="6B85D7A4">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投标人认为需要加以说明的其他内容</w:t>
      </w:r>
    </w:p>
    <w:p w14:paraId="46A761C9">
      <w:pPr>
        <w:jc w:val="center"/>
        <w:rPr>
          <w:rFonts w:ascii="黑体" w:hAnsi="宋体" w:eastAsia="黑体" w:cs="宋体"/>
          <w:szCs w:val="20"/>
          <w:lang w:eastAsia="zh-CN"/>
        </w:rPr>
      </w:pPr>
      <w:r>
        <w:rPr>
          <w:rFonts w:hint="eastAsia" w:ascii="黑体" w:hAnsi="宋体" w:eastAsia="黑体" w:cs="宋体"/>
          <w:szCs w:val="20"/>
          <w:lang w:eastAsia="zh-CN"/>
        </w:rPr>
        <w:t>（一）</w:t>
      </w:r>
      <w:r>
        <w:rPr>
          <w:rFonts w:hint="eastAsia" w:ascii="黑体" w:hAnsi="宋体" w:eastAsia="黑体" w:cs="宋体"/>
          <w:szCs w:val="20"/>
          <w:highlight w:val="yellow"/>
          <w:lang w:eastAsia="zh-CN"/>
        </w:rPr>
        <w:t>政府采购违法行为风险知悉确认书</w:t>
      </w:r>
    </w:p>
    <w:p w14:paraId="00A599A5">
      <w:pPr>
        <w:jc w:val="center"/>
        <w:rPr>
          <w:rFonts w:ascii="黑体" w:hAnsi="宋体" w:eastAsia="黑体" w:cs="宋体"/>
          <w:szCs w:val="20"/>
          <w:lang w:eastAsia="zh-CN"/>
        </w:rPr>
      </w:pPr>
    </w:p>
    <w:p w14:paraId="0FC1B715">
      <w:pPr>
        <w:widowControl w:val="0"/>
        <w:spacing w:after="120" w:afterLines="50" w:line="360" w:lineRule="exact"/>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3A26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tcPr>
          <w:p w14:paraId="7EFB38FC">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7811" w:type="dxa"/>
          </w:tcPr>
          <w:p w14:paraId="67AB319D">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供应商参与投标禁止情形</w:t>
            </w:r>
          </w:p>
        </w:tc>
      </w:tr>
      <w:tr w14:paraId="235B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40B937A0">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811" w:type="dxa"/>
            <w:vAlign w:val="center"/>
          </w:tcPr>
          <w:p w14:paraId="29C55D22">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rPr>
              <w:t>同一人、属同一单位或者在同一单位缴纳社会保险</w:t>
            </w:r>
            <w:r>
              <w:rPr>
                <w:rFonts w:hint="eastAsia" w:ascii="宋体" w:hAnsi="宋体" w:eastAsia="宋体" w:cs="宋体"/>
                <w:kern w:val="2"/>
                <w:sz w:val="21"/>
                <w:szCs w:val="21"/>
                <w:lang w:eastAsia="zh-CN"/>
              </w:rPr>
              <w:t>。</w:t>
            </w:r>
          </w:p>
        </w:tc>
      </w:tr>
      <w:tr w14:paraId="42EA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Pr>
          <w:p w14:paraId="3B971C37">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811" w:type="dxa"/>
            <w:vAlign w:val="center"/>
          </w:tcPr>
          <w:p w14:paraId="187D0F8C">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参与本项目政府采购活动时，与其他投标供应商存在单位负责人为</w:t>
            </w:r>
            <w:r>
              <w:rPr>
                <w:rFonts w:hint="eastAsia" w:ascii="宋体" w:hAnsi="宋体" w:eastAsia="宋体" w:cs="宋体"/>
                <w:b/>
                <w:bCs/>
                <w:kern w:val="2"/>
                <w:sz w:val="21"/>
                <w:szCs w:val="21"/>
                <w:lang w:eastAsia="zh-CN"/>
              </w:rPr>
              <w:t>同一人或直接控股、管理关系</w:t>
            </w:r>
            <w:r>
              <w:rPr>
                <w:rFonts w:hint="eastAsia" w:ascii="宋体" w:hAnsi="宋体" w:eastAsia="宋体" w:cs="宋体"/>
                <w:kern w:val="2"/>
                <w:sz w:val="21"/>
                <w:szCs w:val="21"/>
                <w:lang w:eastAsia="zh-CN"/>
              </w:rPr>
              <w:t>。</w:t>
            </w:r>
          </w:p>
        </w:tc>
      </w:tr>
      <w:tr w14:paraId="4B21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48F56400">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811" w:type="dxa"/>
            <w:vAlign w:val="center"/>
          </w:tcPr>
          <w:p w14:paraId="248F0A89">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与其他投标供应商的投标文件或部分投标文件</w:t>
            </w:r>
            <w:r>
              <w:rPr>
                <w:rFonts w:hint="eastAsia" w:ascii="宋体" w:hAnsi="宋体" w:eastAsia="宋体" w:cs="宋体"/>
                <w:b/>
                <w:bCs/>
                <w:kern w:val="2"/>
                <w:sz w:val="21"/>
                <w:szCs w:val="21"/>
                <w:lang w:eastAsia="zh-CN"/>
              </w:rPr>
              <w:t>相互混装或存在非正常一致</w:t>
            </w:r>
            <w:r>
              <w:rPr>
                <w:rFonts w:hint="eastAsia" w:ascii="宋体" w:hAnsi="宋体" w:eastAsia="宋体" w:cs="宋体"/>
                <w:kern w:val="2"/>
                <w:sz w:val="21"/>
                <w:szCs w:val="21"/>
                <w:lang w:eastAsia="zh-CN"/>
              </w:rPr>
              <w:t>。</w:t>
            </w:r>
          </w:p>
        </w:tc>
      </w:tr>
      <w:tr w14:paraId="12CA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34FFFDD9">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7811" w:type="dxa"/>
            <w:vAlign w:val="center"/>
          </w:tcPr>
          <w:p w14:paraId="1BF5C127">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与其他投标供应商的投标文件由</w:t>
            </w:r>
            <w:r>
              <w:rPr>
                <w:rFonts w:hint="eastAsia" w:ascii="宋体" w:hAnsi="宋体" w:eastAsia="宋体" w:cs="宋体"/>
                <w:b/>
                <w:bCs/>
                <w:kern w:val="2"/>
                <w:sz w:val="21"/>
                <w:szCs w:val="21"/>
                <w:lang w:eastAsia="zh-CN"/>
              </w:rPr>
              <w:t>同一单位或者同一人编制</w:t>
            </w:r>
            <w:r>
              <w:rPr>
                <w:rFonts w:hint="eastAsia" w:ascii="宋体" w:hAnsi="宋体" w:eastAsia="宋体" w:cs="宋体"/>
                <w:kern w:val="2"/>
                <w:sz w:val="21"/>
                <w:szCs w:val="21"/>
                <w:lang w:eastAsia="zh-CN"/>
              </w:rPr>
              <w:t>，或者使用</w:t>
            </w:r>
            <w:r>
              <w:rPr>
                <w:rFonts w:hint="eastAsia" w:ascii="宋体" w:hAnsi="宋体" w:eastAsia="宋体" w:cs="宋体"/>
                <w:b/>
                <w:bCs/>
                <w:kern w:val="2"/>
                <w:sz w:val="21"/>
                <w:szCs w:val="21"/>
                <w:lang w:eastAsia="zh-CN"/>
              </w:rPr>
              <w:t>同一设备编制</w:t>
            </w:r>
            <w:r>
              <w:rPr>
                <w:rFonts w:hint="eastAsia" w:ascii="宋体" w:hAnsi="宋体" w:eastAsia="宋体" w:cs="宋体"/>
                <w:kern w:val="2"/>
                <w:sz w:val="21"/>
                <w:szCs w:val="21"/>
                <w:lang w:eastAsia="zh-CN"/>
              </w:rPr>
              <w:t>（“文件制作机器码”“文件创建标识码”一致）。</w:t>
            </w:r>
          </w:p>
        </w:tc>
      </w:tr>
      <w:tr w14:paraId="16EC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Pr>
          <w:p w14:paraId="73E6796E">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811" w:type="dxa"/>
            <w:vAlign w:val="center"/>
          </w:tcPr>
          <w:p w14:paraId="29DB2607">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hint="eastAsia" w:ascii="宋体" w:hAnsi="宋体" w:eastAsia="宋体" w:cs="宋体"/>
                <w:b/>
                <w:bCs/>
                <w:kern w:val="2"/>
                <w:sz w:val="21"/>
                <w:szCs w:val="21"/>
                <w:lang w:eastAsia="zh-CN"/>
              </w:rPr>
              <w:t>未经出具机构核实</w:t>
            </w:r>
            <w:r>
              <w:rPr>
                <w:rFonts w:hint="eastAsia" w:ascii="宋体" w:hAnsi="宋体" w:eastAsia="宋体" w:cs="宋体"/>
                <w:kern w:val="2"/>
                <w:sz w:val="21"/>
                <w:szCs w:val="21"/>
                <w:lang w:eastAsia="zh-CN"/>
              </w:rPr>
              <w:t>的虚假的检验检测报告、业绩材料、社保缴纳证明、学历学位证书、职称认证证书等材料。</w:t>
            </w:r>
          </w:p>
        </w:tc>
      </w:tr>
      <w:tr w14:paraId="1348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4E6E9429">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7811" w:type="dxa"/>
            <w:vAlign w:val="center"/>
          </w:tcPr>
          <w:p w14:paraId="44A08F0E">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擅自将投标密钥或电子营业执照出借他人使用或未妥善保管。</w:t>
            </w:r>
          </w:p>
        </w:tc>
      </w:tr>
    </w:tbl>
    <w:p w14:paraId="19D76E9D">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一、本公司已充分知悉“隐瞒真实情况，提供虚假资料”的法定情形，相关情形包括但不限于：</w:t>
      </w:r>
    </w:p>
    <w:p w14:paraId="4585B2D4">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（一）通过转让或者租借等方式从其他单位获取资格或者资质证书投标的。</w:t>
      </w:r>
    </w:p>
    <w:p w14:paraId="6FDBA258">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（二）由其他单位或者其他单位负责人在投标供应商编制的投标文件上加盖印章或者签字的。</w:t>
      </w:r>
    </w:p>
    <w:p w14:paraId="02141EDE">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（三）项目负责人或者主要技术人员不是本单位人员的。</w:t>
      </w:r>
    </w:p>
    <w:p w14:paraId="7F8B37C0">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（四）投标保证金不是从投标供应商基本账户转出的。</w:t>
      </w:r>
    </w:p>
    <w:p w14:paraId="4F1657AC">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（五）其他隐瞒真实情况、提供虚假资料的行为。</w:t>
      </w:r>
    </w:p>
    <w:p w14:paraId="25512E45">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二、本公司已充分知悉“与其他采购参加人串通投标”的法定情形，相关情形包括但不限于：</w:t>
      </w:r>
    </w:p>
    <w:p w14:paraId="3D990465">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（一）投标供应商之间相互约定给予未中标的供应商利益补偿。</w:t>
      </w:r>
    </w:p>
    <w:p w14:paraId="2B473FC0">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（二）不同投标供应商的法定代表人、主要经营负责人、项目投标授权代表人、项目负责人、主要技术人员为同一人、属同一单位或者在同一单位缴纳社会保险。</w:t>
      </w:r>
    </w:p>
    <w:p w14:paraId="3990DBB8">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（三）不同投标供应商的投标文件由同一单位或者同一人编制，或者由同一人分阶段参与编制的。</w:t>
      </w:r>
    </w:p>
    <w:p w14:paraId="35A3BF88">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（四）不同投标供应商的投标文件或部分投标文件相互混装。</w:t>
      </w:r>
    </w:p>
    <w:p w14:paraId="5965BC22">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（五）不同投标供应商的投标文件内容存在非正常一致。</w:t>
      </w:r>
    </w:p>
    <w:p w14:paraId="03F687CF">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（六）由同一单位工作人员为两家以上（含两家）供应商进行同一项投标活动的。</w:t>
      </w:r>
    </w:p>
    <w:p w14:paraId="07C16E32">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（七）不同投标人的投标报价呈规律性差异。</w:t>
      </w:r>
    </w:p>
    <w:p w14:paraId="4DB6672F">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（八）不同投标人的投标保证金从同一单位或者个人的账户转出。</w:t>
      </w:r>
    </w:p>
    <w:p w14:paraId="4BFD9567">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（九）主管部门依照法律、法规认定的其他情形。</w:t>
      </w:r>
    </w:p>
    <w:p w14:paraId="644DAD96">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三、本公司已充分知悉下列情形所对应的法律风险，并在投标前已对相关风险事项进行排查。</w:t>
      </w:r>
    </w:p>
    <w:p w14:paraId="3A6DC60D">
      <w:pPr>
        <w:widowControl w:val="0"/>
        <w:ind w:firstLine="420" w:firstLineChars="200"/>
        <w:jc w:val="both"/>
        <w:rPr>
          <w:rFonts w:ascii="Calibri" w:hAnsi="Calibri" w:eastAsia="宋体" w:cs="宋体"/>
          <w:b/>
          <w:kern w:val="2"/>
          <w:sz w:val="21"/>
          <w:szCs w:val="22"/>
          <w:lang w:eastAsia="zh-CN"/>
        </w:rPr>
      </w:pPr>
      <w:r>
        <w:rPr>
          <w:rFonts w:hint="eastAsia" w:ascii="Calibri" w:hAnsi="Calibri" w:eastAsia="宋体" w:cs="宋体"/>
          <w:kern w:val="2"/>
          <w:sz w:val="21"/>
          <w:szCs w:val="22"/>
          <w:lang w:eastAsia="zh-CN"/>
        </w:rPr>
        <w:t>（一）对于从其他主体获取的投标资料，供应商应审慎核查，确保投标资料的真实性。</w:t>
      </w:r>
      <w:r>
        <w:rPr>
          <w:rFonts w:hint="eastAsia" w:ascii="Calibri" w:hAnsi="Calibri" w:eastAsia="宋体" w:cs="宋体"/>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1A626BEF">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52D66E2E">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kern w:val="2"/>
          <w:sz w:val="21"/>
          <w:szCs w:val="21"/>
          <w:lang w:eastAsia="zh-CN"/>
        </w:rPr>
        <w:t>擅自将投标密钥或电子营业执照出借他人使用所造成的法律后果，由我单位自行承担</w:t>
      </w:r>
      <w:r>
        <w:rPr>
          <w:rFonts w:hint="eastAsia" w:ascii="宋体" w:hAnsi="宋体" w:eastAsia="宋体" w:cs="宋体"/>
          <w:kern w:val="2"/>
          <w:sz w:val="21"/>
          <w:szCs w:val="21"/>
          <w:lang w:eastAsia="zh-CN"/>
        </w:rPr>
        <w:t>。</w:t>
      </w:r>
    </w:p>
    <w:p w14:paraId="6FA5B7EF">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四、本公司已充分知悉政府采购违法、违规行为的法律后果。</w:t>
      </w:r>
    </w:p>
    <w:p w14:paraId="1BC5F2E6">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经查实，若我单位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8B2CC47">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31"/>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F759EE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656766F3">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44925E0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73D89A3">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0627F4E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4069CD9">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125F628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C5493F4">
            <w:pPr>
              <w:widowControl w:val="0"/>
              <w:autoSpaceDE w:val="0"/>
              <w:autoSpaceDN w:val="0"/>
              <w:spacing w:line="400" w:lineRule="exact"/>
              <w:ind w:firstLine="1866"/>
              <w:jc w:val="both"/>
              <w:rPr>
                <w:rFonts w:ascii="宋体" w:hAnsi="宋体" w:eastAsia="宋体" w:cs="宋体"/>
                <w:spacing w:val="-4"/>
                <w:sz w:val="21"/>
                <w:szCs w:val="21"/>
                <w:lang w:eastAsia="zh-CN"/>
              </w:rPr>
            </w:pPr>
          </w:p>
        </w:tc>
      </w:tr>
    </w:tbl>
    <w:p w14:paraId="6206F04B">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负责人/投标授权代表签名：</w:t>
      </w:r>
      <w:r>
        <w:rPr>
          <w:rFonts w:hint="eastAsia" w:ascii="宋体" w:hAnsi="宋体" w:eastAsia="宋体" w:cs="宋体"/>
          <w:spacing w:val="-4"/>
          <w:sz w:val="21"/>
          <w:szCs w:val="21"/>
          <w:u w:val="single"/>
          <w:lang w:eastAsia="zh-CN"/>
        </w:rPr>
        <w:t xml:space="preserve">              </w:t>
      </w:r>
    </w:p>
    <w:p w14:paraId="2CAA89B1">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知悉人（公章）：</w:t>
      </w:r>
      <w:r>
        <w:rPr>
          <w:rFonts w:hint="eastAsia" w:ascii="宋体" w:hAnsi="宋体" w:eastAsia="宋体" w:cs="宋体"/>
          <w:spacing w:val="-4"/>
          <w:sz w:val="21"/>
          <w:szCs w:val="21"/>
          <w:u w:val="single"/>
          <w:lang w:eastAsia="zh-CN"/>
        </w:rPr>
        <w:t xml:space="preserve">              </w:t>
      </w:r>
    </w:p>
    <w:p w14:paraId="78337FB7">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日期：</w:t>
      </w:r>
      <w:r>
        <w:rPr>
          <w:rFonts w:hint="eastAsia" w:ascii="宋体" w:hAnsi="宋体" w:eastAsia="宋体" w:cs="宋体"/>
          <w:spacing w:val="-4"/>
          <w:sz w:val="21"/>
          <w:szCs w:val="21"/>
          <w:u w:val="single"/>
          <w:lang w:eastAsia="zh-CN"/>
        </w:rPr>
        <w:t xml:space="preserve">              </w:t>
      </w:r>
    </w:p>
    <w:p w14:paraId="6E565EA7">
      <w:pPr>
        <w:autoSpaceDE w:val="0"/>
        <w:autoSpaceDN w:val="0"/>
        <w:spacing w:line="400" w:lineRule="exact"/>
        <w:ind w:right="1414" w:firstLine="404" w:firstLineChars="200"/>
        <w:rPr>
          <w:rFonts w:ascii="宋体" w:hAnsi="宋体" w:eastAsia="宋体" w:cs="宋体"/>
          <w:b/>
          <w:bCs/>
          <w:color w:val="FF0000"/>
          <w:spacing w:val="-4"/>
          <w:sz w:val="21"/>
          <w:szCs w:val="21"/>
          <w:lang w:eastAsia="zh-CN"/>
        </w:rPr>
      </w:pPr>
      <w:r>
        <w:rPr>
          <w:rFonts w:hint="eastAsia" w:ascii="宋体" w:hAnsi="宋体" w:eastAsia="宋体" w:cs="宋体"/>
          <w:spacing w:val="-4"/>
          <w:sz w:val="21"/>
          <w:szCs w:val="21"/>
          <w:lang w:eastAsia="zh-CN"/>
        </w:rPr>
        <w:t xml:space="preserve">    </w:t>
      </w:r>
      <w:r>
        <w:rPr>
          <w:rFonts w:hint="eastAsia" w:ascii="宋体" w:hAnsi="宋体" w:eastAsia="宋体" w:cs="宋体"/>
          <w:b/>
          <w:bCs/>
          <w:color w:val="FF0000"/>
          <w:spacing w:val="-4"/>
          <w:sz w:val="21"/>
          <w:szCs w:val="21"/>
          <w:lang w:eastAsia="zh-CN"/>
        </w:rPr>
        <w:t>注：</w:t>
      </w:r>
    </w:p>
    <w:p w14:paraId="0F695946">
      <w:pPr>
        <w:autoSpaceDE w:val="0"/>
        <w:autoSpaceDN w:val="0"/>
        <w:spacing w:line="400" w:lineRule="exact"/>
        <w:ind w:firstLine="406" w:firstLineChars="200"/>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1.</w:t>
      </w:r>
      <w:r>
        <w:rPr>
          <w:rFonts w:hint="eastAsia" w:ascii="Calibri" w:hAnsi="Calibri" w:eastAsia="宋体" w:cs="宋体"/>
          <w:kern w:val="2"/>
          <w:sz w:val="21"/>
          <w:szCs w:val="22"/>
          <w:lang w:eastAsia="zh-CN"/>
        </w:rPr>
        <w:t xml:space="preserve"> </w:t>
      </w:r>
      <w:r>
        <w:rPr>
          <w:rFonts w:hint="eastAsia" w:ascii="宋体" w:hAnsi="宋体" w:eastAsia="宋体" w:cs="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41F0C939">
      <w:pPr>
        <w:autoSpaceDE w:val="0"/>
        <w:autoSpaceDN w:val="0"/>
        <w:spacing w:line="400" w:lineRule="exact"/>
        <w:ind w:firstLine="406" w:firstLineChars="200"/>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2.投标供应商负责人或投标授权代表签字</w:t>
      </w:r>
      <w:r>
        <w:rPr>
          <w:rFonts w:hint="eastAsia" w:ascii="宋体" w:hAnsi="宋体" w:eastAsia="宋体" w:cs="宋体"/>
          <w:b/>
          <w:bCs/>
          <w:color w:val="FF0000"/>
          <w:spacing w:val="-4"/>
          <w:sz w:val="21"/>
          <w:szCs w:val="21"/>
          <w:highlight w:val="yellow"/>
          <w:lang w:eastAsia="zh-CN"/>
        </w:rPr>
        <w:t>并加盖单位公章</w:t>
      </w:r>
      <w:r>
        <w:rPr>
          <w:rFonts w:hint="eastAsia" w:ascii="宋体" w:hAnsi="宋体" w:eastAsia="宋体" w:cs="宋体"/>
          <w:b/>
          <w:bCs/>
          <w:color w:val="FF0000"/>
          <w:spacing w:val="-4"/>
          <w:sz w:val="21"/>
          <w:szCs w:val="21"/>
          <w:lang w:eastAsia="zh-CN"/>
        </w:rPr>
        <w:t>后，扫描上传至投标文件一并提交。</w:t>
      </w:r>
    </w:p>
    <w:p w14:paraId="6140CD96">
      <w:pPr>
        <w:widowControl w:val="0"/>
        <w:spacing w:line="360" w:lineRule="auto"/>
        <w:ind w:firstLine="482" w:firstLineChars="200"/>
        <w:jc w:val="both"/>
        <w:rPr>
          <w:rFonts w:ascii="楷体_GB2312" w:hAnsi="Calibri" w:eastAsia="楷体_GB2312" w:cs="宋体"/>
          <w:b/>
          <w:bCs/>
          <w:kern w:val="2"/>
          <w:lang w:eastAsia="zh-CN"/>
        </w:rPr>
      </w:pPr>
    </w:p>
    <w:p w14:paraId="72A2E56E">
      <w:pPr>
        <w:widowControl w:val="0"/>
        <w:jc w:val="center"/>
        <w:rPr>
          <w:rFonts w:ascii="黑体" w:hAnsi="Calibri" w:eastAsia="黑体" w:cs="宋体"/>
          <w:kern w:val="2"/>
          <w:szCs w:val="20"/>
          <w:lang w:eastAsia="zh-CN"/>
        </w:rPr>
      </w:pPr>
      <w:r>
        <w:rPr>
          <w:rFonts w:hint="eastAsia" w:ascii="黑体" w:hAnsi="Calibri" w:eastAsia="黑体" w:cs="宋体"/>
          <w:kern w:val="2"/>
          <w:szCs w:val="20"/>
          <w:lang w:eastAsia="zh-CN"/>
        </w:rPr>
        <w:t>（二）订单融资情况</w:t>
      </w:r>
    </w:p>
    <w:p w14:paraId="1EDC17D0">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1、关于政府采购订单融资政策</w:t>
      </w:r>
    </w:p>
    <w:p w14:paraId="27EF94F4">
      <w:pPr>
        <w:widowControl w:val="0"/>
        <w:ind w:firstLine="420" w:firstLineChars="200"/>
        <w:jc w:val="both"/>
        <w:rPr>
          <w:rFonts w:ascii="楷体_GB2312" w:hAnsi="Calibri" w:eastAsia="楷体_GB2312" w:cs="宋体"/>
          <w:bCs/>
          <w:kern w:val="2"/>
          <w:sz w:val="21"/>
          <w:szCs w:val="21"/>
          <w:lang w:eastAsia="zh-CN"/>
        </w:rPr>
      </w:pPr>
      <w:r>
        <w:rPr>
          <w:rFonts w:hint="eastAsia" w:ascii="楷体_GB2312" w:hAnsi="Calibri" w:eastAsia="楷体_GB2312" w:cs="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2354950">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7F63A847">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投标人（单位全称）：</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 xml:space="preserve">；  </w:t>
      </w:r>
    </w:p>
    <w:p w14:paraId="5DCEE12E">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投标人单位地址：</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2300EDD7">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法定代表人（负责人）或其授权委托代理人：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08AA81D6">
      <w:pPr>
        <w:widowControl w:val="0"/>
        <w:ind w:left="480" w:leftChars="200" w:firstLine="210" w:firstLineChars="100"/>
        <w:jc w:val="both"/>
        <w:rPr>
          <w:rFonts w:ascii="Calibri" w:hAnsi="Calibri" w:eastAsia="宋体" w:cs="宋体"/>
          <w:kern w:val="2"/>
          <w:sz w:val="21"/>
          <w:szCs w:val="21"/>
          <w:u w:val="thick"/>
          <w:lang w:eastAsia="zh-CN"/>
        </w:rPr>
      </w:pPr>
      <w:r>
        <w:rPr>
          <w:rFonts w:hint="eastAsia" w:ascii="Calibri" w:hAnsi="Calibri" w:eastAsia="宋体" w:cs="宋体"/>
          <w:kern w:val="2"/>
          <w:sz w:val="21"/>
          <w:szCs w:val="21"/>
          <w:lang w:eastAsia="zh-CN"/>
        </w:rPr>
        <w:t>联系电话：</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36E9291F">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开户银行名称：</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76C138B0">
      <w:pPr>
        <w:widowControl w:val="0"/>
        <w:ind w:left="480" w:leftChars="200" w:firstLine="210" w:firstLineChars="100"/>
        <w:jc w:val="both"/>
        <w:rPr>
          <w:rFonts w:ascii="Calibri" w:hAnsi="Calibri" w:eastAsia="宋体" w:cs="宋体"/>
          <w:kern w:val="2"/>
          <w:sz w:val="21"/>
          <w:szCs w:val="21"/>
          <w:u w:val="thick"/>
          <w:lang w:eastAsia="zh-CN"/>
        </w:rPr>
      </w:pPr>
      <w:r>
        <w:rPr>
          <w:rFonts w:hint="eastAsia" w:ascii="Calibri" w:hAnsi="Calibri" w:eastAsia="宋体" w:cs="宋体"/>
          <w:kern w:val="2"/>
          <w:sz w:val="21"/>
          <w:szCs w:val="21"/>
          <w:lang w:eastAsia="zh-CN"/>
        </w:rPr>
        <w:t>开户银行账号：</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517A9D18">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开户银行地址：</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2C2E1636">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 xml:space="preserve"> </w:t>
      </w:r>
      <w:r>
        <w:rPr>
          <w:rFonts w:hint="eastAsia" w:ascii="宋体" w:hAnsi="宋体" w:eastAsia="宋体" w:cs="宋体"/>
          <w:b/>
          <w:bCs/>
          <w:color w:val="FF0000"/>
          <w:spacing w:val="-4"/>
          <w:sz w:val="21"/>
          <w:szCs w:val="21"/>
          <w:lang w:eastAsia="zh-CN"/>
        </w:rPr>
        <w:t>注：本项填写内容作为订单融资开展的参考信息，不作为供应商资格性审查及符合性审查条件。</w:t>
      </w:r>
    </w:p>
    <w:p w14:paraId="4A6727C6">
      <w:pPr>
        <w:widowControl w:val="0"/>
        <w:spacing w:line="360" w:lineRule="auto"/>
        <w:ind w:firstLine="482" w:firstLineChars="200"/>
        <w:jc w:val="center"/>
        <w:rPr>
          <w:rFonts w:ascii="楷体_GB2312" w:hAnsi="Calibri" w:eastAsia="楷体_GB2312" w:cs="宋体"/>
          <w:b/>
          <w:kern w:val="2"/>
          <w:lang w:eastAsia="zh-CN"/>
        </w:rPr>
      </w:pPr>
    </w:p>
    <w:p w14:paraId="0FA2CE0E">
      <w:pPr>
        <w:widowControl w:val="0"/>
        <w:spacing w:line="360" w:lineRule="auto"/>
        <w:ind w:firstLine="482" w:firstLineChars="200"/>
        <w:jc w:val="center"/>
        <w:rPr>
          <w:rFonts w:ascii="楷体_GB2312" w:hAnsi="Calibri" w:eastAsia="楷体_GB2312" w:cs="宋体"/>
          <w:b/>
          <w:kern w:val="2"/>
          <w:lang w:eastAsia="zh-CN"/>
        </w:rPr>
      </w:pPr>
      <w:r>
        <w:rPr>
          <w:rFonts w:hint="eastAsia" w:ascii="楷体_GB2312" w:hAnsi="Calibri" w:eastAsia="楷体_GB2312" w:cs="宋体"/>
          <w:b/>
          <w:kern w:val="2"/>
          <w:lang w:eastAsia="zh-CN"/>
        </w:rPr>
        <w:t>（三）投标人认为需要加以说明的其他内容（格式自定）</w:t>
      </w:r>
    </w:p>
    <w:p w14:paraId="4B8A14DD">
      <w:pPr>
        <w:wordWrap w:val="0"/>
        <w:autoSpaceDE w:val="0"/>
        <w:autoSpaceDN w:val="0"/>
        <w:spacing w:line="400" w:lineRule="exact"/>
        <w:ind w:right="808" w:firstLine="404" w:firstLineChars="200"/>
        <w:jc w:val="right"/>
        <w:rPr>
          <w:rFonts w:ascii="Arial" w:hAnsi="Arial" w:eastAsia="宋体"/>
          <w:kern w:val="2"/>
          <w:lang w:eastAsia="zh-CN"/>
        </w:rPr>
      </w:pPr>
      <w:r>
        <w:rPr>
          <w:rFonts w:hint="eastAsia" w:ascii="宋体" w:hAnsi="宋体" w:eastAsia="宋体" w:cs="宋体"/>
          <w:spacing w:val="-4"/>
          <w:sz w:val="21"/>
          <w:szCs w:val="21"/>
          <w:lang w:eastAsia="zh-CN"/>
        </w:rPr>
        <w:t xml:space="preserve">    </w:t>
      </w:r>
    </w:p>
    <w:p w14:paraId="2ECC73BF">
      <w:pPr>
        <w:widowControl w:val="0"/>
        <w:spacing w:after="60" w:afterLines="25" w:line="300" w:lineRule="auto"/>
        <w:jc w:val="center"/>
        <w:rPr>
          <w:rFonts w:ascii="Arial" w:hAnsi="Arial" w:eastAsia="宋体"/>
          <w:b/>
          <w:kern w:val="2"/>
          <w:lang w:eastAsia="zh-CN"/>
        </w:rPr>
      </w:pPr>
      <w:r>
        <w:rPr>
          <w:rFonts w:hint="eastAsia" w:ascii="Arial" w:hAnsi="Arial" w:eastAsia="宋体"/>
          <w:b/>
          <w:kern w:val="2"/>
          <w:lang w:eastAsia="zh-CN"/>
        </w:rPr>
        <w:t>（本章未提供的招标要求的其他文件格式由供应商自拟）</w:t>
      </w:r>
    </w:p>
    <w:p w14:paraId="7E790A18">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ascii="Arial" w:hAnsi="Arial" w:eastAsia="宋体"/>
          <w:b/>
          <w:kern w:val="2"/>
          <w:lang w:eastAsia="zh-CN"/>
        </w:rPr>
        <w:br w:type="page"/>
      </w:r>
      <w:r>
        <w:rPr>
          <w:rFonts w:hint="eastAsia" w:ascii="宋体" w:hAnsi="宋体" w:eastAsia="宋体"/>
          <w:b/>
          <w:bCs/>
          <w:sz w:val="28"/>
          <w:szCs w:val="28"/>
          <w:lang w:eastAsia="zh-CN"/>
        </w:rPr>
        <w:t>第五章  合同条款及格式</w:t>
      </w:r>
    </w:p>
    <w:p w14:paraId="1CD55D61">
      <w:pPr>
        <w:jc w:val="center"/>
        <w:outlineLvl w:val="0"/>
        <w:rPr>
          <w:lang w:eastAsia="zh-CN"/>
        </w:rPr>
      </w:pPr>
      <w:r>
        <w:rPr>
          <w:rFonts w:hint="eastAsia"/>
          <w:b/>
          <w:lang w:eastAsia="zh-CN"/>
        </w:rPr>
        <w:t>（仅供参考，具体以项目需求及采购结果为准）</w:t>
      </w:r>
    </w:p>
    <w:p w14:paraId="2FDE3F23">
      <w:pPr>
        <w:rPr>
          <w:rFonts w:ascii="宋体" w:hAnsi="宋体"/>
          <w:b/>
          <w:bCs/>
          <w:szCs w:val="21"/>
          <w:lang w:eastAsia="zh-CN"/>
        </w:rPr>
      </w:pPr>
    </w:p>
    <w:p w14:paraId="6DD461A9">
      <w:pPr>
        <w:snapToGrid w:val="0"/>
        <w:spacing w:line="360" w:lineRule="auto"/>
        <w:jc w:val="center"/>
        <w:rPr>
          <w:rFonts w:cs="仿宋" w:asciiTheme="minorEastAsia" w:hAnsiTheme="minorEastAsia"/>
          <w:b/>
          <w:szCs w:val="21"/>
          <w:lang w:eastAsia="zh-CN"/>
        </w:rPr>
      </w:pPr>
    </w:p>
    <w:p w14:paraId="1F15150A">
      <w:pPr>
        <w:snapToGrid w:val="0"/>
        <w:spacing w:line="360" w:lineRule="auto"/>
        <w:jc w:val="center"/>
        <w:rPr>
          <w:rFonts w:cs="仿宋" w:asciiTheme="minorEastAsia" w:hAnsiTheme="minorEastAsia"/>
          <w:b/>
          <w:szCs w:val="21"/>
          <w:lang w:eastAsia="zh-CN"/>
        </w:rPr>
      </w:pPr>
    </w:p>
    <w:p w14:paraId="7EC80DE7">
      <w:pPr>
        <w:snapToGrid w:val="0"/>
        <w:spacing w:line="360" w:lineRule="auto"/>
        <w:jc w:val="center"/>
        <w:rPr>
          <w:rFonts w:cs="仿宋" w:asciiTheme="minorEastAsia" w:hAnsiTheme="minorEastAsia"/>
          <w:b/>
          <w:szCs w:val="21"/>
          <w:lang w:eastAsia="zh-CN"/>
        </w:rPr>
      </w:pPr>
      <w:r>
        <w:rPr>
          <w:rFonts w:hint="eastAsia" w:cs="仿宋" w:asciiTheme="minorEastAsia" w:hAnsiTheme="minorEastAsia"/>
          <w:b/>
          <w:szCs w:val="21"/>
          <w:lang w:eastAsia="zh-CN"/>
        </w:rPr>
        <w:t>深圳市第二高级中学深汕学校食堂运营管理服务</w:t>
      </w:r>
    </w:p>
    <w:p w14:paraId="73E0F442">
      <w:pPr>
        <w:snapToGrid w:val="0"/>
        <w:spacing w:line="360" w:lineRule="auto"/>
        <w:jc w:val="center"/>
        <w:rPr>
          <w:rFonts w:cs="仿宋" w:asciiTheme="minorEastAsia" w:hAnsiTheme="minorEastAsia"/>
          <w:b/>
          <w:szCs w:val="21"/>
          <w:lang w:eastAsia="zh-CN"/>
        </w:rPr>
      </w:pPr>
      <w:r>
        <w:rPr>
          <w:rFonts w:hint="eastAsia" w:cs="仿宋" w:asciiTheme="minorEastAsia" w:hAnsiTheme="minorEastAsia"/>
          <w:b/>
          <w:szCs w:val="21"/>
          <w:lang w:eastAsia="zh-CN"/>
        </w:rPr>
        <w:t>项目合同</w:t>
      </w:r>
    </w:p>
    <w:p w14:paraId="2AA74234">
      <w:pPr>
        <w:snapToGrid w:val="0"/>
        <w:spacing w:line="360" w:lineRule="auto"/>
        <w:jc w:val="right"/>
        <w:rPr>
          <w:rFonts w:cs="仿宋" w:asciiTheme="minorEastAsia" w:hAnsiTheme="minorEastAsia"/>
          <w:b/>
          <w:szCs w:val="21"/>
          <w:lang w:eastAsia="zh-CN"/>
        </w:rPr>
      </w:pPr>
    </w:p>
    <w:p w14:paraId="6E24B8F3">
      <w:pPr>
        <w:snapToGrid w:val="0"/>
        <w:spacing w:line="360" w:lineRule="auto"/>
        <w:jc w:val="right"/>
        <w:rPr>
          <w:rFonts w:cs="仿宋" w:asciiTheme="minorEastAsia" w:hAnsiTheme="minorEastAsia"/>
          <w:b/>
          <w:szCs w:val="21"/>
          <w:lang w:eastAsia="zh-CN"/>
        </w:rPr>
      </w:pPr>
      <w:r>
        <w:rPr>
          <w:rFonts w:hint="eastAsia" w:cs="仿宋" w:asciiTheme="minorEastAsia" w:hAnsiTheme="minorEastAsia"/>
          <w:b/>
          <w:szCs w:val="21"/>
          <w:lang w:eastAsia="zh-CN"/>
        </w:rPr>
        <w:t>合同编号</w:t>
      </w:r>
      <w:r>
        <w:rPr>
          <w:rFonts w:cs="仿宋" w:asciiTheme="minorEastAsia" w:hAnsiTheme="minorEastAsia"/>
          <w:b/>
          <w:szCs w:val="21"/>
          <w:lang w:eastAsia="zh-CN"/>
        </w:rPr>
        <w:t>：</w:t>
      </w:r>
      <w:r>
        <w:rPr>
          <w:rFonts w:hint="eastAsia" w:cs="仿宋" w:asciiTheme="minorEastAsia" w:hAnsiTheme="minorEastAsia"/>
          <w:b/>
          <w:szCs w:val="21"/>
          <w:lang w:eastAsia="zh-CN"/>
        </w:rPr>
        <w:t>******</w:t>
      </w:r>
    </w:p>
    <w:p w14:paraId="58A1D38D">
      <w:pPr>
        <w:snapToGrid w:val="0"/>
        <w:spacing w:line="360" w:lineRule="auto"/>
        <w:rPr>
          <w:rFonts w:cs="仿宋" w:asciiTheme="minorEastAsia" w:hAnsiTheme="minorEastAsia"/>
          <w:b/>
          <w:szCs w:val="21"/>
          <w:lang w:eastAsia="zh-CN"/>
        </w:rPr>
      </w:pPr>
      <w:r>
        <w:rPr>
          <w:rFonts w:hint="eastAsia" w:cs="仿宋" w:asciiTheme="minorEastAsia" w:hAnsiTheme="minorEastAsia"/>
          <w:b/>
          <w:szCs w:val="21"/>
          <w:lang w:eastAsia="zh-CN"/>
        </w:rPr>
        <w:t>甲方</w:t>
      </w:r>
      <w:r>
        <w:rPr>
          <w:rFonts w:cs="仿宋" w:asciiTheme="minorEastAsia" w:hAnsiTheme="minorEastAsia"/>
          <w:b/>
          <w:szCs w:val="21"/>
          <w:lang w:eastAsia="zh-CN"/>
        </w:rPr>
        <w:t>：</w:t>
      </w:r>
      <w:r>
        <w:rPr>
          <w:rFonts w:hint="eastAsia" w:cs="仿宋" w:asciiTheme="minorEastAsia" w:hAnsiTheme="minorEastAsia"/>
          <w:b/>
          <w:szCs w:val="21"/>
          <w:lang w:eastAsia="zh-CN"/>
        </w:rPr>
        <w:t>深圳市第二高级中学深汕学校</w:t>
      </w:r>
    </w:p>
    <w:p w14:paraId="4C8A4167">
      <w:pPr>
        <w:snapToGrid w:val="0"/>
        <w:spacing w:line="360" w:lineRule="auto"/>
        <w:rPr>
          <w:rFonts w:cs="仿宋" w:asciiTheme="minorEastAsia" w:hAnsiTheme="minorEastAsia"/>
          <w:b/>
          <w:szCs w:val="21"/>
          <w:lang w:eastAsia="zh-CN"/>
        </w:rPr>
      </w:pPr>
      <w:r>
        <w:rPr>
          <w:rFonts w:hint="eastAsia" w:cs="仿宋" w:asciiTheme="minorEastAsia" w:hAnsiTheme="minorEastAsia"/>
          <w:b/>
          <w:szCs w:val="21"/>
          <w:lang w:eastAsia="zh-CN"/>
        </w:rPr>
        <w:t>甲方联系人</w:t>
      </w:r>
      <w:r>
        <w:rPr>
          <w:rFonts w:cs="仿宋" w:asciiTheme="minorEastAsia" w:hAnsiTheme="minorEastAsia"/>
          <w:b/>
          <w:szCs w:val="21"/>
          <w:lang w:eastAsia="zh-CN"/>
        </w:rPr>
        <w:t>：</w:t>
      </w:r>
    </w:p>
    <w:p w14:paraId="27DFCAD1">
      <w:pPr>
        <w:snapToGrid w:val="0"/>
        <w:spacing w:line="360" w:lineRule="auto"/>
        <w:rPr>
          <w:rFonts w:cs="仿宋" w:asciiTheme="minorEastAsia" w:hAnsiTheme="minorEastAsia"/>
          <w:b/>
          <w:szCs w:val="21"/>
          <w:lang w:eastAsia="zh-CN"/>
        </w:rPr>
      </w:pPr>
      <w:r>
        <w:rPr>
          <w:rFonts w:hint="eastAsia" w:cs="仿宋" w:asciiTheme="minorEastAsia" w:hAnsiTheme="minorEastAsia"/>
          <w:b/>
          <w:szCs w:val="21"/>
          <w:lang w:eastAsia="zh-CN"/>
        </w:rPr>
        <w:t>电话</w:t>
      </w:r>
      <w:r>
        <w:rPr>
          <w:rFonts w:cs="仿宋" w:asciiTheme="minorEastAsia" w:hAnsiTheme="minorEastAsia"/>
          <w:b/>
          <w:szCs w:val="21"/>
          <w:lang w:eastAsia="zh-CN"/>
        </w:rPr>
        <w:t>：</w:t>
      </w:r>
    </w:p>
    <w:p w14:paraId="6E46963B">
      <w:pPr>
        <w:snapToGrid w:val="0"/>
        <w:spacing w:line="360" w:lineRule="auto"/>
        <w:rPr>
          <w:rFonts w:cs="仿宋" w:asciiTheme="minorEastAsia" w:hAnsiTheme="minorEastAsia"/>
          <w:b/>
          <w:szCs w:val="21"/>
          <w:lang w:eastAsia="zh-CN"/>
        </w:rPr>
      </w:pPr>
      <w:r>
        <w:rPr>
          <w:rFonts w:hint="eastAsia" w:cs="仿宋" w:asciiTheme="minorEastAsia" w:hAnsiTheme="minorEastAsia"/>
          <w:b/>
          <w:szCs w:val="21"/>
          <w:lang w:eastAsia="zh-CN"/>
        </w:rPr>
        <w:t xml:space="preserve">地址: </w:t>
      </w:r>
    </w:p>
    <w:p w14:paraId="32824139">
      <w:pPr>
        <w:snapToGrid w:val="0"/>
        <w:spacing w:line="360" w:lineRule="auto"/>
        <w:rPr>
          <w:rFonts w:cs="仿宋" w:asciiTheme="minorEastAsia" w:hAnsiTheme="minorEastAsia"/>
          <w:b/>
          <w:szCs w:val="21"/>
          <w:lang w:eastAsia="zh-CN"/>
        </w:rPr>
      </w:pPr>
      <w:r>
        <w:rPr>
          <w:rFonts w:hint="eastAsia" w:cs="仿宋" w:asciiTheme="minorEastAsia" w:hAnsiTheme="minorEastAsia"/>
          <w:b/>
          <w:szCs w:val="21"/>
          <w:lang w:eastAsia="zh-CN"/>
        </w:rPr>
        <w:t>邮政编码：</w:t>
      </w:r>
    </w:p>
    <w:p w14:paraId="67AF889B">
      <w:pPr>
        <w:pStyle w:val="2"/>
        <w:jc w:val="both"/>
        <w:rPr>
          <w:lang w:eastAsia="zh-CN"/>
        </w:rPr>
      </w:pPr>
    </w:p>
    <w:p w14:paraId="1D38EFEB">
      <w:pPr>
        <w:rPr>
          <w:lang w:eastAsia="zh-CN"/>
        </w:rPr>
      </w:pPr>
    </w:p>
    <w:p w14:paraId="24A24224">
      <w:pPr>
        <w:snapToGrid w:val="0"/>
        <w:spacing w:line="360" w:lineRule="auto"/>
        <w:rPr>
          <w:rFonts w:cs="仿宋" w:asciiTheme="minorEastAsia" w:hAnsiTheme="minorEastAsia"/>
          <w:b/>
          <w:szCs w:val="21"/>
          <w:lang w:eastAsia="zh-CN"/>
        </w:rPr>
      </w:pPr>
      <w:r>
        <w:rPr>
          <w:rFonts w:hint="eastAsia" w:cs="仿宋" w:asciiTheme="minorEastAsia" w:hAnsiTheme="minorEastAsia"/>
          <w:b/>
          <w:szCs w:val="21"/>
          <w:lang w:eastAsia="zh-CN"/>
        </w:rPr>
        <w:t>乙方：</w:t>
      </w:r>
    </w:p>
    <w:p w14:paraId="672AA8EE">
      <w:pPr>
        <w:snapToGrid w:val="0"/>
        <w:spacing w:line="360" w:lineRule="auto"/>
        <w:rPr>
          <w:rFonts w:cs="仿宋" w:asciiTheme="minorEastAsia" w:hAnsiTheme="minorEastAsia"/>
          <w:b/>
          <w:szCs w:val="21"/>
          <w:lang w:eastAsia="zh-CN"/>
        </w:rPr>
      </w:pPr>
      <w:r>
        <w:rPr>
          <w:rFonts w:hint="eastAsia" w:cs="仿宋" w:asciiTheme="minorEastAsia" w:hAnsiTheme="minorEastAsia"/>
          <w:b/>
          <w:szCs w:val="21"/>
          <w:lang w:eastAsia="zh-CN"/>
        </w:rPr>
        <w:t>统一</w:t>
      </w:r>
      <w:r>
        <w:rPr>
          <w:rFonts w:cs="仿宋" w:asciiTheme="minorEastAsia" w:hAnsiTheme="minorEastAsia"/>
          <w:b/>
          <w:szCs w:val="21"/>
          <w:lang w:eastAsia="zh-CN"/>
        </w:rPr>
        <w:t>社会信用代码：</w:t>
      </w:r>
    </w:p>
    <w:p w14:paraId="2FD88C98">
      <w:pPr>
        <w:snapToGrid w:val="0"/>
        <w:spacing w:line="360" w:lineRule="auto"/>
        <w:rPr>
          <w:rFonts w:cs="仿宋" w:asciiTheme="minorEastAsia" w:hAnsiTheme="minorEastAsia"/>
          <w:b/>
          <w:szCs w:val="21"/>
          <w:lang w:eastAsia="zh-CN"/>
        </w:rPr>
      </w:pPr>
      <w:r>
        <w:rPr>
          <w:rFonts w:hint="eastAsia" w:cs="仿宋" w:asciiTheme="minorEastAsia" w:hAnsiTheme="minorEastAsia"/>
          <w:b/>
          <w:szCs w:val="21"/>
          <w:lang w:eastAsia="zh-CN"/>
        </w:rPr>
        <w:t>乙方</w:t>
      </w:r>
      <w:r>
        <w:rPr>
          <w:rFonts w:cs="仿宋" w:asciiTheme="minorEastAsia" w:hAnsiTheme="minorEastAsia"/>
          <w:b/>
          <w:szCs w:val="21"/>
          <w:lang w:eastAsia="zh-CN"/>
        </w:rPr>
        <w:t>联系人：</w:t>
      </w:r>
    </w:p>
    <w:p w14:paraId="0FBFA250">
      <w:pPr>
        <w:snapToGrid w:val="0"/>
        <w:spacing w:line="360" w:lineRule="auto"/>
        <w:rPr>
          <w:rFonts w:cs="仿宋" w:asciiTheme="minorEastAsia" w:hAnsiTheme="minorEastAsia"/>
          <w:b/>
          <w:szCs w:val="21"/>
          <w:lang w:eastAsia="zh-CN"/>
        </w:rPr>
      </w:pPr>
      <w:r>
        <w:rPr>
          <w:rFonts w:hint="eastAsia" w:asciiTheme="minorEastAsia" w:hAnsiTheme="minorEastAsia"/>
          <w:b/>
          <w:szCs w:val="21"/>
          <w:lang w:eastAsia="zh-CN"/>
        </w:rPr>
        <w:t>电话</w:t>
      </w:r>
      <w:r>
        <w:rPr>
          <w:rFonts w:asciiTheme="minorEastAsia" w:hAnsiTheme="minorEastAsia"/>
          <w:b/>
          <w:szCs w:val="21"/>
          <w:lang w:eastAsia="zh-CN"/>
        </w:rPr>
        <w:t>：</w:t>
      </w:r>
    </w:p>
    <w:p w14:paraId="2AE1F2AD">
      <w:pPr>
        <w:snapToGrid w:val="0"/>
        <w:spacing w:line="360" w:lineRule="auto"/>
        <w:rPr>
          <w:rFonts w:cs="仿宋" w:asciiTheme="minorEastAsia" w:hAnsiTheme="minorEastAsia"/>
          <w:b/>
          <w:szCs w:val="21"/>
          <w:lang w:eastAsia="zh-CN"/>
        </w:rPr>
      </w:pPr>
      <w:r>
        <w:rPr>
          <w:rFonts w:hint="eastAsia" w:cs="仿宋" w:asciiTheme="minorEastAsia" w:hAnsiTheme="minorEastAsia"/>
          <w:b/>
          <w:szCs w:val="21"/>
          <w:lang w:eastAsia="zh-CN"/>
        </w:rPr>
        <w:t>地址</w:t>
      </w:r>
      <w:r>
        <w:rPr>
          <w:rFonts w:cs="仿宋" w:asciiTheme="minorEastAsia" w:hAnsiTheme="minorEastAsia"/>
          <w:b/>
          <w:szCs w:val="21"/>
          <w:lang w:eastAsia="zh-CN"/>
        </w:rPr>
        <w:t>：</w:t>
      </w:r>
    </w:p>
    <w:p w14:paraId="6AAE410E">
      <w:pPr>
        <w:snapToGrid w:val="0"/>
        <w:spacing w:line="360" w:lineRule="auto"/>
        <w:rPr>
          <w:rFonts w:cs="仿宋" w:asciiTheme="minorEastAsia" w:hAnsiTheme="minorEastAsia"/>
          <w:b/>
          <w:szCs w:val="21"/>
          <w:lang w:eastAsia="zh-CN"/>
        </w:rPr>
      </w:pPr>
      <w:r>
        <w:rPr>
          <w:rFonts w:hint="eastAsia" w:cs="仿宋" w:asciiTheme="minorEastAsia" w:hAnsiTheme="minorEastAsia"/>
          <w:b/>
          <w:szCs w:val="21"/>
          <w:lang w:eastAsia="zh-CN"/>
        </w:rPr>
        <w:t>邮政编码</w:t>
      </w:r>
      <w:r>
        <w:rPr>
          <w:rFonts w:cs="仿宋" w:asciiTheme="minorEastAsia" w:hAnsiTheme="minorEastAsia"/>
          <w:b/>
          <w:szCs w:val="21"/>
          <w:lang w:eastAsia="zh-CN"/>
        </w:rPr>
        <w:t>：</w:t>
      </w:r>
    </w:p>
    <w:p w14:paraId="4BCA8B29">
      <w:pPr>
        <w:snapToGrid w:val="0"/>
        <w:spacing w:line="360" w:lineRule="auto"/>
        <w:ind w:firstLine="480" w:firstLineChars="200"/>
        <w:rPr>
          <w:rFonts w:asciiTheme="minorEastAsia" w:hAnsiTheme="minorEastAsia"/>
          <w:szCs w:val="21"/>
          <w:lang w:eastAsia="zh-CN"/>
        </w:rPr>
      </w:pPr>
    </w:p>
    <w:p w14:paraId="46BE4C14">
      <w:pPr>
        <w:snapToGrid w:val="0"/>
        <w:spacing w:line="360" w:lineRule="auto"/>
        <w:ind w:firstLine="600" w:firstLineChars="250"/>
        <w:rPr>
          <w:rFonts w:asciiTheme="minorEastAsia" w:hAnsiTheme="minorEastAsia"/>
          <w:szCs w:val="21"/>
          <w:lang w:eastAsia="zh-CN"/>
        </w:rPr>
      </w:pPr>
      <w:r>
        <w:rPr>
          <w:rFonts w:hint="eastAsia" w:asciiTheme="minorEastAsia" w:hAnsiTheme="minorEastAsia"/>
          <w:szCs w:val="21"/>
          <w:u w:val="single"/>
          <w:lang w:eastAsia="zh-CN"/>
        </w:rPr>
        <w:t>按照《中华人民共和国民法典》</w:t>
      </w:r>
      <w:r>
        <w:rPr>
          <w:rFonts w:hint="eastAsia" w:asciiTheme="minorEastAsia" w:hAnsiTheme="minorEastAsia"/>
          <w:szCs w:val="21"/>
          <w:lang w:eastAsia="zh-CN"/>
        </w:rPr>
        <w:t>和《深圳经济特区政府采购条例》，经深圳市第二高级中学深汕学校（以下简称甲方）和XXXX公司（以下简称乙方）协商，就甲方委托乙方承担深圳市第二高级中学深汕学校</w:t>
      </w:r>
      <w:r>
        <w:rPr>
          <w:rFonts w:asciiTheme="minorEastAsia" w:hAnsiTheme="minorEastAsia"/>
          <w:bCs/>
          <w:snapToGrid w:val="0"/>
          <w:szCs w:val="21"/>
          <w:lang w:val="zh-CN" w:eastAsia="zh-CN"/>
        </w:rPr>
        <w:t>食堂托管</w:t>
      </w:r>
      <w:r>
        <w:rPr>
          <w:rFonts w:hint="eastAsia" w:asciiTheme="minorEastAsia" w:hAnsiTheme="minorEastAsia"/>
          <w:bCs/>
          <w:snapToGrid w:val="0"/>
          <w:szCs w:val="21"/>
          <w:lang w:val="zh-CN" w:eastAsia="zh-CN"/>
        </w:rPr>
        <w:t>服务项目</w:t>
      </w:r>
      <w:r>
        <w:rPr>
          <w:rFonts w:hint="eastAsia" w:asciiTheme="minorEastAsia" w:hAnsiTheme="minorEastAsia"/>
          <w:szCs w:val="21"/>
          <w:lang w:eastAsia="zh-CN"/>
        </w:rPr>
        <w:t>，达成以下合同条款：</w:t>
      </w:r>
    </w:p>
    <w:p w14:paraId="42A3EDE7">
      <w:pPr>
        <w:snapToGrid w:val="0"/>
        <w:spacing w:line="360" w:lineRule="auto"/>
        <w:ind w:firstLine="120" w:firstLineChars="50"/>
        <w:rPr>
          <w:rFonts w:asciiTheme="minorEastAsia" w:hAnsiTheme="minorEastAsia"/>
          <w:szCs w:val="21"/>
          <w:lang w:eastAsia="zh-CN"/>
        </w:rPr>
      </w:pPr>
      <w:r>
        <w:rPr>
          <w:rFonts w:hint="eastAsia" w:asciiTheme="minorEastAsia" w:hAnsiTheme="minorEastAsia"/>
          <w:szCs w:val="21"/>
          <w:lang w:eastAsia="zh-CN"/>
        </w:rPr>
        <w:t>第一条 项目</w:t>
      </w:r>
      <w:r>
        <w:rPr>
          <w:rFonts w:asciiTheme="minorEastAsia" w:hAnsiTheme="minorEastAsia"/>
          <w:szCs w:val="21"/>
          <w:lang w:eastAsia="zh-CN"/>
        </w:rPr>
        <w:t>概</w:t>
      </w:r>
      <w:r>
        <w:rPr>
          <w:rFonts w:hint="eastAsia" w:asciiTheme="minorEastAsia" w:hAnsiTheme="minorEastAsia"/>
          <w:szCs w:val="21"/>
          <w:lang w:eastAsia="zh-CN"/>
        </w:rPr>
        <w:t>况</w:t>
      </w:r>
    </w:p>
    <w:p w14:paraId="1655E51A">
      <w:pPr>
        <w:snapToGrid w:val="0"/>
        <w:spacing w:line="360" w:lineRule="auto"/>
        <w:ind w:firstLine="360" w:firstLineChars="150"/>
        <w:rPr>
          <w:rFonts w:asciiTheme="minorEastAsia" w:hAnsiTheme="minorEastAsia"/>
          <w:szCs w:val="21"/>
          <w:lang w:eastAsia="zh-CN"/>
        </w:rPr>
      </w:pPr>
      <w:r>
        <w:rPr>
          <w:rFonts w:hint="eastAsia" w:asciiTheme="minorEastAsia" w:hAnsiTheme="minorEastAsia"/>
          <w:szCs w:val="21"/>
          <w:lang w:eastAsia="zh-CN"/>
        </w:rPr>
        <w:t>1、项目名称：深圳市第二高级中学深汕学校</w:t>
      </w:r>
      <w:r>
        <w:rPr>
          <w:rFonts w:asciiTheme="minorEastAsia" w:hAnsiTheme="minorEastAsia"/>
          <w:szCs w:val="21"/>
          <w:lang w:eastAsia="zh-CN"/>
        </w:rPr>
        <w:t>食堂</w:t>
      </w:r>
      <w:r>
        <w:rPr>
          <w:rFonts w:hint="eastAsia" w:asciiTheme="minorEastAsia" w:hAnsiTheme="minorEastAsia"/>
          <w:szCs w:val="21"/>
          <w:lang w:eastAsia="zh-CN"/>
        </w:rPr>
        <w:t>运营</w:t>
      </w:r>
      <w:r>
        <w:rPr>
          <w:rFonts w:asciiTheme="minorEastAsia" w:hAnsiTheme="minorEastAsia"/>
          <w:szCs w:val="21"/>
          <w:lang w:eastAsia="zh-CN"/>
        </w:rPr>
        <w:t>服务</w:t>
      </w:r>
    </w:p>
    <w:p w14:paraId="48E6F51C">
      <w:pPr>
        <w:snapToGrid w:val="0"/>
        <w:spacing w:line="360" w:lineRule="auto"/>
        <w:ind w:firstLine="360" w:firstLineChars="150"/>
        <w:rPr>
          <w:rFonts w:asciiTheme="minorEastAsia" w:hAnsiTheme="minorEastAsia"/>
          <w:szCs w:val="21"/>
          <w:lang w:eastAsia="zh-CN"/>
        </w:rPr>
      </w:pPr>
      <w:r>
        <w:rPr>
          <w:rFonts w:asciiTheme="minorEastAsia" w:hAnsiTheme="minorEastAsia"/>
          <w:szCs w:val="21"/>
          <w:lang w:eastAsia="zh-CN"/>
        </w:rPr>
        <w:t>2</w:t>
      </w:r>
      <w:r>
        <w:rPr>
          <w:rFonts w:hint="eastAsia" w:asciiTheme="minorEastAsia" w:hAnsiTheme="minorEastAsia"/>
          <w:szCs w:val="21"/>
          <w:lang w:eastAsia="zh-CN"/>
        </w:rPr>
        <w:t>、项目内容</w:t>
      </w:r>
    </w:p>
    <w:p w14:paraId="660A91B3">
      <w:pPr>
        <w:snapToGrid w:val="0"/>
        <w:spacing w:line="360" w:lineRule="auto"/>
        <w:ind w:firstLine="480" w:firstLineChars="200"/>
        <w:rPr>
          <w:rFonts w:asciiTheme="minorEastAsia" w:hAnsiTheme="minorEastAsia"/>
          <w:szCs w:val="21"/>
          <w:lang w:eastAsia="zh-CN"/>
        </w:rPr>
      </w:pPr>
      <w:r>
        <w:rPr>
          <w:rFonts w:hint="eastAsia" w:asciiTheme="minorEastAsia" w:hAnsiTheme="minorEastAsia"/>
          <w:szCs w:val="21"/>
          <w:lang w:eastAsia="zh-CN"/>
        </w:rPr>
        <w:t>二高深汕学校食堂面积共3651㎡，2025—2026学年预计服务学生早中用餐300人、教职工全天用餐50人。厨房和餐厅功能分区合理、设施完善。学生餐厅以窗口配餐方式供应，教师餐厅以自助餐方式供应，供餐时段包括早餐、午餐、晚餐。菜品供应类以中式为主。</w:t>
      </w:r>
    </w:p>
    <w:p w14:paraId="697E8E01">
      <w:pPr>
        <w:snapToGrid w:val="0"/>
        <w:spacing w:line="360" w:lineRule="auto"/>
        <w:ind w:firstLine="360" w:firstLineChars="150"/>
        <w:rPr>
          <w:rFonts w:asciiTheme="minorEastAsia" w:hAnsiTheme="minorEastAsia"/>
          <w:szCs w:val="21"/>
          <w:lang w:eastAsia="zh-CN"/>
        </w:rPr>
      </w:pPr>
      <w:r>
        <w:rPr>
          <w:rFonts w:hint="eastAsia" w:asciiTheme="minorEastAsia" w:hAnsiTheme="minorEastAsia"/>
          <w:szCs w:val="21"/>
          <w:lang w:eastAsia="zh-CN"/>
        </w:rPr>
        <w:t>3、服务时间：本项目为长期服务项目，本次招标项目服务期限为一年</w:t>
      </w:r>
      <w:r>
        <w:rPr>
          <w:rFonts w:hint="eastAsia" w:asciiTheme="minorEastAsia" w:hAnsiTheme="minorEastAsia"/>
          <w:bCs/>
          <w:szCs w:val="21"/>
          <w:lang w:eastAsia="zh-CN"/>
        </w:rPr>
        <w:t>。合同期届满前，甲方对乙方作履约评价，甲方可根据乙方履约情况确定合同是否续签，合同一年一签，最多可续签两次。因为政策原因需要终止服务的，甲方可以通知乙方解除合同。</w:t>
      </w:r>
    </w:p>
    <w:p w14:paraId="74BAA3E0">
      <w:pPr>
        <w:tabs>
          <w:tab w:val="left" w:pos="1440"/>
        </w:tabs>
        <w:snapToGrid w:val="0"/>
        <w:spacing w:line="360" w:lineRule="auto"/>
        <w:ind w:firstLine="240" w:firstLineChars="100"/>
        <w:rPr>
          <w:rFonts w:cs="仿宋" w:asciiTheme="minorEastAsia" w:hAnsiTheme="minorEastAsia"/>
          <w:szCs w:val="21"/>
          <w:lang w:eastAsia="zh-CN"/>
        </w:rPr>
      </w:pPr>
      <w:r>
        <w:rPr>
          <w:rFonts w:asciiTheme="minorEastAsia" w:hAnsiTheme="minorEastAsia"/>
          <w:szCs w:val="21"/>
          <w:lang w:eastAsia="zh-CN"/>
        </w:rPr>
        <w:t>4</w:t>
      </w:r>
      <w:r>
        <w:rPr>
          <w:rFonts w:hint="eastAsia" w:asciiTheme="minorEastAsia" w:hAnsiTheme="minorEastAsia"/>
          <w:szCs w:val="21"/>
          <w:lang w:eastAsia="zh-CN"/>
        </w:rPr>
        <w:t>、</w:t>
      </w:r>
      <w:r>
        <w:rPr>
          <w:rFonts w:hint="eastAsia" w:cs="仿宋" w:asciiTheme="minorEastAsia" w:hAnsiTheme="minorEastAsia"/>
          <w:szCs w:val="21"/>
          <w:lang w:eastAsia="zh-CN"/>
        </w:rPr>
        <w:t>考核办法</w:t>
      </w:r>
      <w:r>
        <w:rPr>
          <w:rFonts w:cs="仿宋" w:asciiTheme="minorEastAsia" w:hAnsiTheme="minorEastAsia"/>
          <w:szCs w:val="21"/>
          <w:lang w:eastAsia="zh-CN"/>
        </w:rPr>
        <w:t>如下：</w:t>
      </w:r>
    </w:p>
    <w:p w14:paraId="5006130C">
      <w:pPr>
        <w:tabs>
          <w:tab w:val="left" w:pos="1440"/>
        </w:tabs>
        <w:snapToGrid w:val="0"/>
        <w:spacing w:line="360" w:lineRule="auto"/>
        <w:rPr>
          <w:rFonts w:asciiTheme="minorEastAsia" w:hAnsiTheme="minorEastAsia"/>
          <w:bCs/>
          <w:szCs w:val="21"/>
          <w:lang w:eastAsia="zh-CN"/>
        </w:rPr>
      </w:pPr>
      <w:r>
        <w:rPr>
          <w:rFonts w:hint="eastAsia" w:cs="仿宋" w:asciiTheme="minorEastAsia" w:hAnsiTheme="minorEastAsia"/>
          <w:szCs w:val="21"/>
          <w:lang w:eastAsia="zh-CN"/>
        </w:rPr>
        <w:t xml:space="preserve">   </w:t>
      </w:r>
      <w:r>
        <w:rPr>
          <w:rFonts w:hint="eastAsia" w:asciiTheme="minorEastAsia" w:hAnsiTheme="minorEastAsia"/>
          <w:bCs/>
          <w:szCs w:val="21"/>
          <w:lang w:eastAsia="zh-CN"/>
        </w:rPr>
        <w:t>甲方每月对乙方提供的服务情况进行考核评价，考核满分为100分，90分以上（含90分）全额支付当月服务费；80-89分扣当月服务费1万元；70-79分扣当月服务费1.5万元；60-69分扣当月服务费2万元；60分以下扣当月服务费3万元。如连续2个月或一年内累计三个月达不到全额支付考核要求，甲方有权取消乙方的承包资格，重新组织招标。</w:t>
      </w:r>
    </w:p>
    <w:p w14:paraId="50A48823">
      <w:pPr>
        <w:snapToGrid w:val="0"/>
        <w:spacing w:line="360" w:lineRule="auto"/>
        <w:ind w:firstLine="120" w:firstLineChars="50"/>
        <w:rPr>
          <w:rFonts w:asciiTheme="minorEastAsia" w:hAnsiTheme="minorEastAsia"/>
          <w:bCs/>
          <w:szCs w:val="21"/>
          <w:lang w:eastAsia="zh-CN"/>
        </w:rPr>
      </w:pPr>
      <w:r>
        <w:rPr>
          <w:rFonts w:hint="eastAsia" w:asciiTheme="minorEastAsia" w:hAnsiTheme="minorEastAsia"/>
          <w:bCs/>
          <w:szCs w:val="21"/>
          <w:lang w:eastAsia="zh-CN"/>
        </w:rPr>
        <w:t>第二条  服务范围及</w:t>
      </w:r>
      <w:r>
        <w:rPr>
          <w:rFonts w:asciiTheme="minorEastAsia" w:hAnsiTheme="minorEastAsia"/>
          <w:bCs/>
          <w:szCs w:val="21"/>
          <w:lang w:eastAsia="zh-CN"/>
        </w:rPr>
        <w:t>服务要求</w:t>
      </w:r>
    </w:p>
    <w:p w14:paraId="6A889337">
      <w:pPr>
        <w:snapToGrid w:val="0"/>
        <w:spacing w:line="360" w:lineRule="auto"/>
        <w:ind w:firstLine="360" w:firstLineChars="150"/>
        <w:rPr>
          <w:rFonts w:asciiTheme="minorEastAsia" w:hAnsiTheme="minorEastAsia"/>
          <w:bCs/>
          <w:szCs w:val="21"/>
          <w:lang w:eastAsia="zh-CN"/>
        </w:rPr>
      </w:pPr>
      <w:r>
        <w:rPr>
          <w:rFonts w:hint="eastAsia" w:asciiTheme="minorEastAsia" w:hAnsiTheme="minorEastAsia"/>
          <w:bCs/>
          <w:szCs w:val="21"/>
          <w:lang w:eastAsia="zh-CN"/>
        </w:rPr>
        <w:t>1、</w:t>
      </w:r>
      <w:r>
        <w:rPr>
          <w:rFonts w:asciiTheme="minorEastAsia" w:hAnsiTheme="minorEastAsia"/>
          <w:bCs/>
          <w:szCs w:val="21"/>
          <w:lang w:eastAsia="zh-CN"/>
        </w:rPr>
        <w:t>服务范围</w:t>
      </w:r>
    </w:p>
    <w:p w14:paraId="1F8E874E">
      <w:pPr>
        <w:snapToGrid w:val="0"/>
        <w:spacing w:line="360" w:lineRule="auto"/>
        <w:ind w:firstLine="480" w:firstLineChars="200"/>
        <w:rPr>
          <w:rFonts w:asciiTheme="minorEastAsia" w:hAnsiTheme="minorEastAsia"/>
          <w:szCs w:val="21"/>
          <w:lang w:eastAsia="zh-CN"/>
        </w:rPr>
      </w:pPr>
      <w:r>
        <w:rPr>
          <w:rFonts w:asciiTheme="minorEastAsia" w:hAnsiTheme="minorEastAsia"/>
          <w:szCs w:val="21"/>
          <w:lang w:eastAsia="zh-CN"/>
        </w:rPr>
        <w:t>1.1</w:t>
      </w:r>
      <w:r>
        <w:rPr>
          <w:rFonts w:hint="eastAsia" w:asciiTheme="minorEastAsia" w:hAnsiTheme="minorEastAsia"/>
          <w:bCs/>
          <w:szCs w:val="21"/>
          <w:lang w:eastAsia="zh-CN"/>
        </w:rPr>
        <w:t>学校师生用餐；</w:t>
      </w:r>
    </w:p>
    <w:p w14:paraId="470FA586">
      <w:pPr>
        <w:snapToGrid w:val="0"/>
        <w:spacing w:line="360" w:lineRule="auto"/>
        <w:ind w:firstLine="480" w:firstLineChars="200"/>
        <w:rPr>
          <w:rFonts w:asciiTheme="minorEastAsia" w:hAnsiTheme="minorEastAsia"/>
          <w:bCs/>
          <w:szCs w:val="21"/>
          <w:lang w:eastAsia="zh-CN"/>
        </w:rPr>
      </w:pPr>
      <w:r>
        <w:rPr>
          <w:rFonts w:asciiTheme="minorEastAsia" w:hAnsiTheme="minorEastAsia"/>
          <w:szCs w:val="21"/>
          <w:lang w:eastAsia="zh-CN"/>
        </w:rPr>
        <w:t>1.2</w:t>
      </w:r>
      <w:r>
        <w:rPr>
          <w:rFonts w:hint="eastAsia" w:asciiTheme="minorEastAsia" w:hAnsiTheme="minorEastAsia"/>
          <w:bCs/>
          <w:szCs w:val="21"/>
          <w:lang w:eastAsia="zh-CN"/>
        </w:rPr>
        <w:t>接待类用餐；</w:t>
      </w:r>
    </w:p>
    <w:p w14:paraId="6BABC2E0">
      <w:pPr>
        <w:snapToGrid w:val="0"/>
        <w:spacing w:line="360" w:lineRule="auto"/>
        <w:ind w:firstLine="480" w:firstLineChars="200"/>
        <w:rPr>
          <w:rFonts w:asciiTheme="minorEastAsia" w:hAnsiTheme="minorEastAsia"/>
          <w:bCs/>
          <w:szCs w:val="21"/>
          <w:lang w:eastAsia="zh-CN"/>
        </w:rPr>
      </w:pPr>
      <w:r>
        <w:rPr>
          <w:rFonts w:hint="eastAsia" w:asciiTheme="minorEastAsia" w:hAnsiTheme="minorEastAsia"/>
          <w:bCs/>
          <w:szCs w:val="21"/>
          <w:lang w:eastAsia="zh-CN"/>
        </w:rPr>
        <w:t>1.3负责食堂日常事务管理，有权自方聘用、调用食堂工作人员，以保证食堂正常供餐和食品安全。</w:t>
      </w:r>
    </w:p>
    <w:p w14:paraId="0ACF3455">
      <w:pPr>
        <w:snapToGrid w:val="0"/>
        <w:spacing w:line="360" w:lineRule="auto"/>
        <w:ind w:firstLine="360" w:firstLineChars="150"/>
        <w:rPr>
          <w:rFonts w:asciiTheme="minorEastAsia" w:hAnsiTheme="minorEastAsia"/>
          <w:bCs/>
          <w:szCs w:val="21"/>
          <w:lang w:eastAsia="zh-CN"/>
        </w:rPr>
      </w:pPr>
      <w:r>
        <w:rPr>
          <w:rFonts w:hint="eastAsia" w:asciiTheme="minorEastAsia" w:hAnsiTheme="minorEastAsia"/>
          <w:bCs/>
          <w:szCs w:val="21"/>
          <w:lang w:eastAsia="zh-CN"/>
        </w:rPr>
        <w:t>2、服务内容和服务要求</w:t>
      </w:r>
    </w:p>
    <w:p w14:paraId="6E6825AE">
      <w:pPr>
        <w:snapToGrid w:val="0"/>
        <w:spacing w:line="360" w:lineRule="auto"/>
        <w:ind w:firstLine="482" w:firstLineChars="200"/>
        <w:rPr>
          <w:rFonts w:asciiTheme="minorEastAsia" w:hAnsiTheme="minorEastAsia"/>
          <w:b/>
          <w:szCs w:val="21"/>
          <w:lang w:eastAsia="zh-CN"/>
        </w:rPr>
      </w:pPr>
      <w:r>
        <w:rPr>
          <w:rFonts w:asciiTheme="minorEastAsia" w:hAnsiTheme="minorEastAsia"/>
          <w:b/>
          <w:szCs w:val="21"/>
          <w:lang w:eastAsia="zh-CN"/>
        </w:rPr>
        <w:t>2</w:t>
      </w:r>
      <w:r>
        <w:rPr>
          <w:rFonts w:hint="eastAsia" w:asciiTheme="minorEastAsia" w:hAnsiTheme="minorEastAsia"/>
          <w:b/>
          <w:szCs w:val="21"/>
          <w:lang w:eastAsia="zh-CN"/>
        </w:rPr>
        <w:t>.1服务内容</w:t>
      </w:r>
    </w:p>
    <w:p w14:paraId="59DCAF17">
      <w:pPr>
        <w:snapToGrid w:val="0"/>
        <w:spacing w:line="360" w:lineRule="auto"/>
        <w:ind w:firstLine="360" w:firstLineChars="150"/>
        <w:rPr>
          <w:rFonts w:asciiTheme="minorEastAsia" w:hAnsiTheme="minorEastAsia"/>
          <w:bCs/>
          <w:szCs w:val="21"/>
          <w:lang w:eastAsia="zh-CN"/>
        </w:rPr>
      </w:pPr>
      <w:r>
        <w:rPr>
          <w:rFonts w:hint="eastAsia" w:asciiTheme="minorEastAsia" w:hAnsiTheme="minorEastAsia"/>
          <w:bCs/>
          <w:szCs w:val="21"/>
          <w:lang w:eastAsia="zh-CN"/>
        </w:rPr>
        <w:t>2.1.1、食材加工制作。根据提前拟定的菜单和就餐人数提前一天提交食材采购清单供学校审核，收到学校定点食材配送单位所配送的食材后负责加工制作餐食，餐食类别包括中餐和西餐。</w:t>
      </w:r>
    </w:p>
    <w:p w14:paraId="7ED08576">
      <w:pPr>
        <w:snapToGrid w:val="0"/>
        <w:spacing w:line="360" w:lineRule="auto"/>
        <w:ind w:firstLine="360" w:firstLineChars="150"/>
        <w:rPr>
          <w:rFonts w:asciiTheme="minorEastAsia" w:hAnsiTheme="minorEastAsia"/>
          <w:bCs/>
          <w:szCs w:val="21"/>
          <w:lang w:eastAsia="zh-CN"/>
        </w:rPr>
      </w:pPr>
      <w:r>
        <w:rPr>
          <w:rFonts w:hint="eastAsia" w:asciiTheme="minorEastAsia" w:hAnsiTheme="minorEastAsia"/>
          <w:bCs/>
          <w:szCs w:val="21"/>
          <w:lang w:eastAsia="zh-CN"/>
        </w:rPr>
        <w:t>2.1.2、学校供餐服务时间：</w:t>
      </w:r>
    </w:p>
    <w:p w14:paraId="66ACC21D">
      <w:pPr>
        <w:snapToGrid w:val="0"/>
        <w:spacing w:line="360" w:lineRule="auto"/>
        <w:ind w:firstLine="360" w:firstLineChars="150"/>
        <w:rPr>
          <w:rFonts w:asciiTheme="minorEastAsia" w:hAnsiTheme="minorEastAsia"/>
          <w:bCs/>
          <w:szCs w:val="21"/>
          <w:lang w:eastAsia="zh-CN"/>
        </w:rPr>
      </w:pPr>
      <w:r>
        <w:rPr>
          <w:rFonts w:hint="eastAsia" w:asciiTheme="minorEastAsia" w:hAnsiTheme="minorEastAsia"/>
          <w:bCs/>
          <w:szCs w:val="21"/>
          <w:lang w:eastAsia="zh-CN"/>
        </w:rPr>
        <w:t>早餐6:30-8:00；中餐11:20-13:00；晚餐17:20-19:00。如遇特殊情况需进行特别保障的（如提前或延后开饭等有关情形），乙方需无条件执行保障任务。</w:t>
      </w:r>
    </w:p>
    <w:p w14:paraId="6BCA5174">
      <w:pPr>
        <w:snapToGrid w:val="0"/>
        <w:spacing w:line="360" w:lineRule="auto"/>
        <w:ind w:firstLine="360" w:firstLineChars="150"/>
        <w:rPr>
          <w:rFonts w:asciiTheme="minorEastAsia" w:hAnsiTheme="minorEastAsia"/>
          <w:bCs/>
          <w:szCs w:val="21"/>
          <w:lang w:eastAsia="zh-CN"/>
        </w:rPr>
      </w:pPr>
      <w:r>
        <w:rPr>
          <w:rFonts w:hint="eastAsia" w:asciiTheme="minorEastAsia" w:hAnsiTheme="minorEastAsia"/>
          <w:bCs/>
          <w:szCs w:val="21"/>
          <w:lang w:eastAsia="zh-CN"/>
        </w:rPr>
        <w:t>2.1.3、餐厅配餐服务。小学餐厅以窗口配餐方式供应，中学餐厅以自助餐方式供应，两个餐厅需要同时供餐。</w:t>
      </w:r>
    </w:p>
    <w:p w14:paraId="3B7ED81C">
      <w:pPr>
        <w:snapToGrid w:val="0"/>
        <w:spacing w:line="360" w:lineRule="auto"/>
        <w:ind w:firstLine="360" w:firstLineChars="150"/>
        <w:rPr>
          <w:rFonts w:asciiTheme="minorEastAsia" w:hAnsiTheme="minorEastAsia"/>
          <w:bCs/>
          <w:szCs w:val="21"/>
          <w:lang w:eastAsia="zh-CN"/>
        </w:rPr>
      </w:pPr>
      <w:r>
        <w:rPr>
          <w:rFonts w:hint="eastAsia" w:asciiTheme="minorEastAsia" w:hAnsiTheme="minorEastAsia"/>
          <w:bCs/>
          <w:szCs w:val="21"/>
          <w:lang w:eastAsia="zh-CN"/>
        </w:rPr>
        <w:t>2.1.4、食堂卫生保洁。负责食堂厨房、小学餐厅和中学餐厅全部区域的清洁卫生。</w:t>
      </w:r>
    </w:p>
    <w:p w14:paraId="27061D4E">
      <w:pPr>
        <w:snapToGrid w:val="0"/>
        <w:spacing w:line="360" w:lineRule="auto"/>
        <w:ind w:firstLine="360" w:firstLineChars="150"/>
        <w:rPr>
          <w:rFonts w:asciiTheme="minorEastAsia" w:hAnsiTheme="minorEastAsia"/>
          <w:bCs/>
          <w:szCs w:val="21"/>
          <w:lang w:eastAsia="zh-CN"/>
        </w:rPr>
      </w:pPr>
      <w:r>
        <w:rPr>
          <w:rFonts w:hint="eastAsia" w:asciiTheme="minorEastAsia" w:hAnsiTheme="minorEastAsia"/>
          <w:bCs/>
          <w:szCs w:val="21"/>
          <w:lang w:eastAsia="zh-CN"/>
        </w:rPr>
        <w:t>2.1.5、食品安全保障管理。按照国家、省市有关规定，规范执行食品安全相关制度，细化食品安全操作流程。</w:t>
      </w:r>
    </w:p>
    <w:p w14:paraId="4C190F56">
      <w:pPr>
        <w:snapToGrid w:val="0"/>
        <w:spacing w:line="360" w:lineRule="auto"/>
        <w:ind w:firstLine="482" w:firstLineChars="200"/>
        <w:rPr>
          <w:rFonts w:asciiTheme="minorEastAsia" w:hAnsiTheme="minorEastAsia"/>
          <w:b/>
          <w:szCs w:val="21"/>
          <w:lang w:eastAsia="zh-CN"/>
        </w:rPr>
      </w:pPr>
      <w:r>
        <w:rPr>
          <w:rFonts w:asciiTheme="minorEastAsia" w:hAnsiTheme="minorEastAsia"/>
          <w:b/>
          <w:szCs w:val="21"/>
          <w:lang w:eastAsia="zh-CN"/>
        </w:rPr>
        <w:t>2</w:t>
      </w:r>
      <w:r>
        <w:rPr>
          <w:rFonts w:hint="eastAsia" w:asciiTheme="minorEastAsia" w:hAnsiTheme="minorEastAsia"/>
          <w:b/>
          <w:szCs w:val="21"/>
          <w:lang w:eastAsia="zh-CN"/>
        </w:rPr>
        <w:t>.2服务总体要求</w:t>
      </w:r>
    </w:p>
    <w:p w14:paraId="743FC7F3">
      <w:pPr>
        <w:snapToGrid w:val="0"/>
        <w:spacing w:line="360" w:lineRule="auto"/>
        <w:ind w:firstLine="480" w:firstLineChars="200"/>
        <w:rPr>
          <w:rFonts w:asciiTheme="minorEastAsia" w:hAnsiTheme="minorEastAsia"/>
          <w:bCs/>
          <w:szCs w:val="21"/>
          <w:lang w:eastAsia="zh-CN"/>
        </w:rPr>
      </w:pPr>
      <w:r>
        <w:rPr>
          <w:rFonts w:hint="eastAsia" w:asciiTheme="minorEastAsia" w:hAnsiTheme="minorEastAsia"/>
          <w:bCs/>
          <w:szCs w:val="21"/>
          <w:lang w:eastAsia="zh-CN"/>
        </w:rPr>
        <w:t>2.2.1、</w:t>
      </w:r>
      <w:r>
        <w:rPr>
          <w:rFonts w:asciiTheme="minorEastAsia" w:hAnsiTheme="minorEastAsia"/>
          <w:bCs/>
          <w:szCs w:val="21"/>
          <w:lang w:eastAsia="zh-CN"/>
        </w:rPr>
        <w:t>对</w:t>
      </w:r>
      <w:r>
        <w:rPr>
          <w:rFonts w:hint="eastAsia" w:asciiTheme="minorEastAsia" w:hAnsiTheme="minorEastAsia"/>
          <w:bCs/>
          <w:szCs w:val="21"/>
          <w:lang w:eastAsia="zh-CN"/>
        </w:rPr>
        <w:t>甲方</w:t>
      </w:r>
      <w:r>
        <w:rPr>
          <w:rFonts w:asciiTheme="minorEastAsia" w:hAnsiTheme="minorEastAsia"/>
          <w:bCs/>
          <w:szCs w:val="21"/>
          <w:lang w:eastAsia="zh-CN"/>
        </w:rPr>
        <w:t>的食堂日常事务管理，</w:t>
      </w:r>
      <w:r>
        <w:rPr>
          <w:rFonts w:hint="eastAsia" w:asciiTheme="minorEastAsia" w:hAnsiTheme="minorEastAsia"/>
          <w:bCs/>
          <w:szCs w:val="21"/>
          <w:lang w:eastAsia="zh-CN"/>
        </w:rPr>
        <w:t>乙方</w:t>
      </w:r>
      <w:r>
        <w:rPr>
          <w:rFonts w:asciiTheme="minorEastAsia" w:hAnsiTheme="minorEastAsia"/>
          <w:bCs/>
          <w:szCs w:val="21"/>
          <w:lang w:eastAsia="zh-CN"/>
        </w:rPr>
        <w:t>应严格执行国家、广东省</w:t>
      </w:r>
      <w:r>
        <w:rPr>
          <w:rFonts w:hint="eastAsia" w:asciiTheme="minorEastAsia" w:hAnsiTheme="minorEastAsia"/>
          <w:bCs/>
          <w:szCs w:val="21"/>
          <w:lang w:eastAsia="zh-CN"/>
        </w:rPr>
        <w:t>和</w:t>
      </w:r>
      <w:r>
        <w:rPr>
          <w:rFonts w:asciiTheme="minorEastAsia" w:hAnsiTheme="minorEastAsia"/>
          <w:bCs/>
          <w:szCs w:val="21"/>
          <w:lang w:eastAsia="zh-CN"/>
        </w:rPr>
        <w:t>深圳市食品卫生安全法规的规范要求</w:t>
      </w:r>
      <w:r>
        <w:rPr>
          <w:rFonts w:hint="eastAsia" w:asciiTheme="minorEastAsia" w:hAnsiTheme="minorEastAsia"/>
          <w:bCs/>
          <w:szCs w:val="21"/>
          <w:lang w:eastAsia="zh-CN"/>
        </w:rPr>
        <w:t>，严格按照深圳市“A级食堂”标准运营管理</w:t>
      </w:r>
      <w:r>
        <w:rPr>
          <w:rFonts w:asciiTheme="minorEastAsia" w:hAnsiTheme="minorEastAsia"/>
          <w:bCs/>
          <w:szCs w:val="21"/>
          <w:lang w:eastAsia="zh-CN"/>
        </w:rPr>
        <w:t>；食堂工作人员必须持有效健康证上岗；做好个人卫生、环境卫生和餐厨用具用品的消毒工作，保障食堂出品的食品卫生安全；严防食物中毒和食源性疾病；严格执行安全生产制度，做好防火防盗的预防工作，杜绝重大事故的发生</w:t>
      </w:r>
      <w:r>
        <w:rPr>
          <w:rFonts w:hint="eastAsia" w:asciiTheme="minorEastAsia" w:hAnsiTheme="minorEastAsia"/>
          <w:bCs/>
          <w:szCs w:val="21"/>
          <w:lang w:eastAsia="zh-CN"/>
        </w:rPr>
        <w:t>及发生偷盗甲方食材物资的现象</w:t>
      </w:r>
      <w:r>
        <w:rPr>
          <w:rFonts w:asciiTheme="minorEastAsia" w:hAnsiTheme="minorEastAsia"/>
          <w:bCs/>
          <w:szCs w:val="21"/>
          <w:lang w:eastAsia="zh-CN"/>
        </w:rPr>
        <w:t>。</w:t>
      </w:r>
    </w:p>
    <w:p w14:paraId="7C2EFFC8">
      <w:pPr>
        <w:snapToGrid w:val="0"/>
        <w:spacing w:line="360" w:lineRule="auto"/>
        <w:ind w:firstLine="480" w:firstLineChars="200"/>
        <w:rPr>
          <w:rFonts w:asciiTheme="minorEastAsia" w:hAnsiTheme="minorEastAsia"/>
          <w:bCs/>
          <w:szCs w:val="21"/>
          <w:lang w:eastAsia="zh-CN"/>
        </w:rPr>
      </w:pPr>
      <w:r>
        <w:rPr>
          <w:rFonts w:hint="eastAsia" w:asciiTheme="minorEastAsia" w:hAnsiTheme="minorEastAsia"/>
          <w:bCs/>
          <w:szCs w:val="21"/>
          <w:lang w:eastAsia="zh-CN"/>
        </w:rPr>
        <w:t>2.2.2、每半年进行一次较大规模的员工餐饮服务满意度调查，针对调查结果和就餐师生的意见建议提出有效的整改方案。</w:t>
      </w:r>
    </w:p>
    <w:p w14:paraId="231CADAF">
      <w:pPr>
        <w:snapToGrid w:val="0"/>
        <w:spacing w:line="360" w:lineRule="auto"/>
        <w:ind w:firstLine="480" w:firstLineChars="200"/>
        <w:rPr>
          <w:rFonts w:asciiTheme="minorEastAsia" w:hAnsiTheme="minorEastAsia"/>
          <w:bCs/>
          <w:szCs w:val="21"/>
          <w:lang w:eastAsia="zh-CN"/>
        </w:rPr>
      </w:pPr>
      <w:r>
        <w:rPr>
          <w:rFonts w:hint="eastAsia" w:asciiTheme="minorEastAsia" w:hAnsiTheme="minorEastAsia"/>
          <w:bCs/>
          <w:szCs w:val="21"/>
          <w:lang w:eastAsia="zh-CN"/>
        </w:rPr>
        <w:t>2.2.3、自觉接受学校膳食委员会的监督和指导，与就餐师生保持良好沟通，降低就餐师生的不满意率，提升甲方在餐饮服务方面的形象。</w:t>
      </w:r>
    </w:p>
    <w:p w14:paraId="22931344">
      <w:pPr>
        <w:snapToGrid w:val="0"/>
        <w:spacing w:line="360" w:lineRule="auto"/>
        <w:ind w:firstLine="480" w:firstLineChars="200"/>
        <w:rPr>
          <w:rFonts w:asciiTheme="minorEastAsia" w:hAnsiTheme="minorEastAsia"/>
          <w:bCs/>
          <w:szCs w:val="21"/>
          <w:lang w:eastAsia="zh-CN"/>
        </w:rPr>
      </w:pPr>
      <w:r>
        <w:rPr>
          <w:rFonts w:hint="eastAsia" w:asciiTheme="minorEastAsia" w:hAnsiTheme="minorEastAsia"/>
          <w:bCs/>
          <w:szCs w:val="21"/>
          <w:lang w:eastAsia="zh-CN"/>
        </w:rPr>
        <w:t>2.2.4、</w:t>
      </w:r>
      <w:r>
        <w:rPr>
          <w:rFonts w:asciiTheme="minorEastAsia" w:hAnsiTheme="minorEastAsia"/>
          <w:bCs/>
          <w:szCs w:val="21"/>
          <w:lang w:eastAsia="zh-CN"/>
        </w:rPr>
        <w:t>食堂环境卫生清洁要达到国家有关规定及行业规范的标准。食堂工作场所及周边区域</w:t>
      </w:r>
      <w:r>
        <w:rPr>
          <w:rFonts w:hint="eastAsia" w:asciiTheme="minorEastAsia" w:hAnsiTheme="minorEastAsia"/>
          <w:bCs/>
          <w:szCs w:val="21"/>
          <w:lang w:eastAsia="zh-CN"/>
        </w:rPr>
        <w:t>乙方</w:t>
      </w:r>
      <w:r>
        <w:rPr>
          <w:rFonts w:asciiTheme="minorEastAsia" w:hAnsiTheme="minorEastAsia"/>
          <w:bCs/>
          <w:szCs w:val="21"/>
          <w:lang w:eastAsia="zh-CN"/>
        </w:rPr>
        <w:t>应做到每天及时清洁，每周彻底打扫一次</w:t>
      </w:r>
      <w:r>
        <w:rPr>
          <w:rFonts w:hint="eastAsia" w:asciiTheme="minorEastAsia" w:hAnsiTheme="minorEastAsia"/>
          <w:bCs/>
          <w:szCs w:val="21"/>
          <w:lang w:eastAsia="zh-CN"/>
        </w:rPr>
        <w:t>；污水的排放按照环保部门的要求进行排放，定期联系学校物业单位清理厨房隔油池；协助消杀公司做好除“四害”消杀工作，并做好相关的记录；主动对接辖区厨余垃圾接收单位，及时清运产生的厨余垃圾。</w:t>
      </w:r>
    </w:p>
    <w:p w14:paraId="3FE62EB6">
      <w:pPr>
        <w:snapToGrid w:val="0"/>
        <w:spacing w:line="360" w:lineRule="auto"/>
        <w:ind w:firstLine="480" w:firstLineChars="200"/>
        <w:rPr>
          <w:rFonts w:asciiTheme="minorEastAsia" w:hAnsiTheme="minorEastAsia"/>
          <w:bCs/>
          <w:szCs w:val="21"/>
          <w:lang w:eastAsia="zh-CN"/>
        </w:rPr>
      </w:pPr>
      <w:r>
        <w:rPr>
          <w:rFonts w:hint="eastAsia" w:asciiTheme="minorEastAsia" w:hAnsiTheme="minorEastAsia"/>
          <w:bCs/>
          <w:szCs w:val="21"/>
          <w:lang w:eastAsia="zh-CN"/>
        </w:rPr>
        <w:t>2.2.5、乙方每年组织员工进行健康体检一次，并将上述有关资料交采购单位存档，由此产生的一切费用由乙方承担。</w:t>
      </w:r>
    </w:p>
    <w:p w14:paraId="61B44F5E">
      <w:pPr>
        <w:snapToGrid w:val="0"/>
        <w:spacing w:line="360" w:lineRule="auto"/>
        <w:ind w:firstLine="482" w:firstLineChars="200"/>
        <w:rPr>
          <w:rFonts w:asciiTheme="minorEastAsia" w:hAnsiTheme="minorEastAsia"/>
          <w:b/>
          <w:szCs w:val="21"/>
          <w:lang w:eastAsia="zh-CN"/>
        </w:rPr>
      </w:pPr>
      <w:r>
        <w:rPr>
          <w:rFonts w:asciiTheme="minorEastAsia" w:hAnsiTheme="minorEastAsia"/>
          <w:b/>
          <w:szCs w:val="21"/>
          <w:lang w:eastAsia="zh-CN"/>
        </w:rPr>
        <w:t>2</w:t>
      </w:r>
      <w:r>
        <w:rPr>
          <w:rFonts w:hint="eastAsia" w:asciiTheme="minorEastAsia" w:hAnsiTheme="minorEastAsia"/>
          <w:b/>
          <w:szCs w:val="21"/>
          <w:lang w:eastAsia="zh-CN"/>
        </w:rPr>
        <w:t>.3食品安全保障管理</w:t>
      </w:r>
    </w:p>
    <w:p w14:paraId="300DEB1D">
      <w:pPr>
        <w:snapToGrid w:val="0"/>
        <w:spacing w:line="360" w:lineRule="auto"/>
        <w:ind w:firstLine="480" w:firstLineChars="200"/>
        <w:rPr>
          <w:rFonts w:asciiTheme="minorEastAsia" w:hAnsiTheme="minorEastAsia"/>
          <w:bCs/>
          <w:szCs w:val="21"/>
          <w:lang w:eastAsia="zh-CN"/>
        </w:rPr>
      </w:pPr>
      <w:r>
        <w:rPr>
          <w:rFonts w:asciiTheme="minorEastAsia" w:hAnsiTheme="minorEastAsia"/>
          <w:bCs/>
          <w:szCs w:val="21"/>
          <w:lang w:eastAsia="zh-CN"/>
        </w:rPr>
        <w:t>2</w:t>
      </w:r>
      <w:r>
        <w:rPr>
          <w:rFonts w:hint="eastAsia" w:asciiTheme="minorEastAsia" w:hAnsiTheme="minorEastAsia"/>
          <w:bCs/>
          <w:szCs w:val="21"/>
          <w:lang w:eastAsia="zh-CN"/>
        </w:rPr>
        <w:t>.3.1、设立厨师长（兼项目经理）为本项目第一安全责任人、厨师及其他成员为安全管理员的组织架构。严格执行食堂安全管理制度，有效预防和杜绝食堂各类安全隐患的发生。</w:t>
      </w:r>
    </w:p>
    <w:p w14:paraId="1FAFDC0C">
      <w:pPr>
        <w:snapToGrid w:val="0"/>
        <w:spacing w:line="360" w:lineRule="auto"/>
        <w:ind w:firstLine="480" w:firstLineChars="200"/>
        <w:rPr>
          <w:rFonts w:asciiTheme="minorEastAsia" w:hAnsiTheme="minorEastAsia"/>
          <w:bCs/>
          <w:szCs w:val="21"/>
          <w:lang w:eastAsia="zh-CN"/>
        </w:rPr>
      </w:pPr>
      <w:r>
        <w:rPr>
          <w:rFonts w:asciiTheme="minorEastAsia" w:hAnsiTheme="minorEastAsia"/>
          <w:bCs/>
          <w:szCs w:val="21"/>
          <w:lang w:eastAsia="zh-CN"/>
        </w:rPr>
        <w:t>2</w:t>
      </w:r>
      <w:r>
        <w:rPr>
          <w:rFonts w:hint="eastAsia" w:asciiTheme="minorEastAsia" w:hAnsiTheme="minorEastAsia"/>
          <w:bCs/>
          <w:szCs w:val="21"/>
          <w:lang w:eastAsia="zh-CN"/>
        </w:rPr>
        <w:t>.3.2、不定期的组织食堂全体员工食品安全、消防安全、卫生等培训，每年不少于</w:t>
      </w:r>
      <w:r>
        <w:rPr>
          <w:rFonts w:asciiTheme="minorEastAsia" w:hAnsiTheme="minorEastAsia"/>
          <w:bCs/>
          <w:szCs w:val="21"/>
          <w:lang w:eastAsia="zh-CN"/>
        </w:rPr>
        <w:t>2次 。</w:t>
      </w:r>
    </w:p>
    <w:p w14:paraId="6BC2FC37">
      <w:pPr>
        <w:snapToGrid w:val="0"/>
        <w:spacing w:line="360" w:lineRule="auto"/>
        <w:ind w:firstLine="480" w:firstLineChars="200"/>
        <w:rPr>
          <w:rFonts w:asciiTheme="minorEastAsia" w:hAnsiTheme="minorEastAsia"/>
          <w:bCs/>
          <w:szCs w:val="21"/>
          <w:lang w:eastAsia="zh-CN"/>
        </w:rPr>
      </w:pPr>
      <w:r>
        <w:rPr>
          <w:rFonts w:asciiTheme="minorEastAsia" w:hAnsiTheme="minorEastAsia"/>
          <w:bCs/>
          <w:szCs w:val="21"/>
          <w:lang w:eastAsia="zh-CN"/>
        </w:rPr>
        <w:t>2</w:t>
      </w:r>
      <w:r>
        <w:rPr>
          <w:rFonts w:hint="eastAsia" w:asciiTheme="minorEastAsia" w:hAnsiTheme="minorEastAsia"/>
          <w:bCs/>
          <w:szCs w:val="21"/>
          <w:lang w:eastAsia="zh-CN"/>
        </w:rPr>
        <w:t>.3.3、定期检查食堂设备系统及电力线路完好，如发现异常隐患应及时排除。危险设备专人使用（如压面机、搅拌机等）并严格操作规程，防止意外事故发生。</w:t>
      </w:r>
    </w:p>
    <w:p w14:paraId="471448DD">
      <w:pPr>
        <w:snapToGrid w:val="0"/>
        <w:spacing w:line="360" w:lineRule="auto"/>
        <w:ind w:firstLine="480" w:firstLineChars="200"/>
        <w:rPr>
          <w:rFonts w:asciiTheme="minorEastAsia" w:hAnsiTheme="minorEastAsia"/>
          <w:bCs/>
          <w:szCs w:val="21"/>
          <w:lang w:eastAsia="zh-CN"/>
        </w:rPr>
      </w:pPr>
      <w:r>
        <w:rPr>
          <w:rFonts w:asciiTheme="minorEastAsia" w:hAnsiTheme="minorEastAsia"/>
          <w:bCs/>
          <w:szCs w:val="21"/>
          <w:lang w:eastAsia="zh-CN"/>
        </w:rPr>
        <w:t>2</w:t>
      </w:r>
      <w:r>
        <w:rPr>
          <w:rFonts w:hint="eastAsia" w:asciiTheme="minorEastAsia" w:hAnsiTheme="minorEastAsia"/>
          <w:bCs/>
          <w:szCs w:val="21"/>
          <w:lang w:eastAsia="zh-CN"/>
        </w:rPr>
        <w:t xml:space="preserve">.3.4、严格做好餐厅、厨房垃圾分类（垃圾必须装在套垃圾袋的垃圾桶并且加盖存放）处理，各种垃圾和剩余饭菜在供餐结束半小时内清运整理完毕，每日至少清运三次。 </w:t>
      </w:r>
    </w:p>
    <w:p w14:paraId="590F97AC">
      <w:pPr>
        <w:snapToGrid w:val="0"/>
        <w:spacing w:line="360" w:lineRule="auto"/>
        <w:ind w:firstLine="480" w:firstLineChars="200"/>
        <w:rPr>
          <w:rFonts w:asciiTheme="minorEastAsia" w:hAnsiTheme="minorEastAsia"/>
          <w:bCs/>
          <w:szCs w:val="21"/>
          <w:lang w:eastAsia="zh-CN"/>
        </w:rPr>
      </w:pPr>
      <w:r>
        <w:rPr>
          <w:rFonts w:asciiTheme="minorEastAsia" w:hAnsiTheme="minorEastAsia"/>
          <w:bCs/>
          <w:szCs w:val="21"/>
          <w:lang w:eastAsia="zh-CN"/>
        </w:rPr>
        <w:t>2</w:t>
      </w:r>
      <w:r>
        <w:rPr>
          <w:rFonts w:hint="eastAsia" w:asciiTheme="minorEastAsia" w:hAnsiTheme="minorEastAsia"/>
          <w:bCs/>
          <w:szCs w:val="21"/>
          <w:lang w:eastAsia="zh-CN"/>
        </w:rPr>
        <w:t>.3.5、严格按照卫生防疫部门的要求，及时联系消杀公司做好厨房、餐厅周围的除“四害”消杀工作，避免各种病毒及细菌传播。</w:t>
      </w:r>
    </w:p>
    <w:p w14:paraId="3F827075">
      <w:pPr>
        <w:snapToGrid w:val="0"/>
        <w:spacing w:line="360" w:lineRule="auto"/>
        <w:ind w:firstLine="480" w:firstLineChars="200"/>
        <w:rPr>
          <w:rFonts w:asciiTheme="minorEastAsia" w:hAnsiTheme="minorEastAsia"/>
          <w:bCs/>
          <w:szCs w:val="21"/>
          <w:lang w:eastAsia="zh-CN"/>
        </w:rPr>
      </w:pPr>
      <w:r>
        <w:rPr>
          <w:rFonts w:asciiTheme="minorEastAsia" w:hAnsiTheme="minorEastAsia"/>
          <w:bCs/>
          <w:szCs w:val="21"/>
          <w:lang w:eastAsia="zh-CN"/>
        </w:rPr>
        <w:t>2</w:t>
      </w:r>
      <w:r>
        <w:rPr>
          <w:rFonts w:hint="eastAsia" w:asciiTheme="minorEastAsia" w:hAnsiTheme="minorEastAsia"/>
          <w:bCs/>
          <w:szCs w:val="21"/>
          <w:lang w:eastAsia="zh-CN"/>
        </w:rPr>
        <w:t>.3.6、供餐完毕及时将餐具、用具进行清洗、消毒、保存；餐厅卫生及时保洁，保持通风干燥，杜绝各种病毒相互传染。员工进厨房前，必须按着装标准执行方可上岗。</w:t>
      </w:r>
    </w:p>
    <w:p w14:paraId="2F32C774">
      <w:pPr>
        <w:snapToGrid w:val="0"/>
        <w:spacing w:line="360" w:lineRule="auto"/>
        <w:ind w:firstLine="360" w:firstLineChars="150"/>
        <w:rPr>
          <w:rFonts w:asciiTheme="minorEastAsia" w:hAnsiTheme="minorEastAsia"/>
          <w:bCs/>
          <w:szCs w:val="21"/>
          <w:lang w:eastAsia="zh-CN"/>
        </w:rPr>
      </w:pPr>
      <w:r>
        <w:rPr>
          <w:rFonts w:asciiTheme="minorEastAsia" w:hAnsiTheme="minorEastAsia"/>
          <w:bCs/>
          <w:szCs w:val="21"/>
          <w:lang w:eastAsia="zh-CN"/>
        </w:rPr>
        <w:t>2.</w:t>
      </w:r>
      <w:r>
        <w:rPr>
          <w:rFonts w:hint="eastAsia" w:asciiTheme="minorEastAsia" w:hAnsiTheme="minorEastAsia"/>
          <w:bCs/>
          <w:szCs w:val="21"/>
          <w:lang w:eastAsia="zh-CN"/>
        </w:rPr>
        <w:t>4卫生要求</w:t>
      </w:r>
    </w:p>
    <w:p w14:paraId="1E2AD81F">
      <w:pPr>
        <w:snapToGrid w:val="0"/>
        <w:spacing w:line="360" w:lineRule="auto"/>
        <w:ind w:firstLine="480" w:firstLineChars="200"/>
        <w:rPr>
          <w:rFonts w:asciiTheme="minorEastAsia" w:hAnsiTheme="minorEastAsia"/>
          <w:szCs w:val="21"/>
          <w:lang w:eastAsia="zh-CN"/>
        </w:rPr>
      </w:pPr>
      <w:r>
        <w:rPr>
          <w:rFonts w:asciiTheme="minorEastAsia" w:hAnsiTheme="minorEastAsia"/>
          <w:bCs/>
          <w:szCs w:val="21"/>
          <w:lang w:eastAsia="zh-CN"/>
        </w:rPr>
        <w:t>2</w:t>
      </w:r>
      <w:r>
        <w:rPr>
          <w:rFonts w:hint="eastAsia" w:asciiTheme="minorEastAsia" w:hAnsiTheme="minorEastAsia"/>
          <w:bCs/>
          <w:szCs w:val="21"/>
          <w:lang w:eastAsia="zh-CN"/>
        </w:rPr>
        <w:t>.4.1</w:t>
      </w:r>
      <w:r>
        <w:rPr>
          <w:rFonts w:hint="eastAsia" w:asciiTheme="minorEastAsia" w:hAnsiTheme="minorEastAsia"/>
          <w:szCs w:val="21"/>
          <w:lang w:eastAsia="zh-CN"/>
        </w:rPr>
        <w:t>食堂工作人员必须持现行合法有效健康证上岗，应严格执行食品安全法，搞好食品卫生、个人卫生和环境卫生。做好消毒工作，把住病从口入关，严防食物中毒和食源性疾病。严格执行安全生产制度，做好防火、防盗，杜绝重大事故；对经营范围内发生的食品安全事故及因人为操作失误或管理不善引起的其它安全事故均由乙方负全责，</w:t>
      </w:r>
      <w:r>
        <w:rPr>
          <w:rFonts w:asciiTheme="minorEastAsia" w:hAnsiTheme="minorEastAsia"/>
          <w:szCs w:val="21"/>
          <w:lang w:eastAsia="zh-CN"/>
        </w:rPr>
        <w:t>甲方在承担相应的赔偿责任后有权向乙方</w:t>
      </w:r>
      <w:r>
        <w:rPr>
          <w:rFonts w:hint="eastAsia" w:asciiTheme="minorEastAsia" w:hAnsiTheme="minorEastAsia"/>
          <w:szCs w:val="21"/>
          <w:lang w:eastAsia="zh-CN"/>
        </w:rPr>
        <w:t>全</w:t>
      </w:r>
      <w:r>
        <w:rPr>
          <w:rFonts w:asciiTheme="minorEastAsia" w:hAnsiTheme="minorEastAsia"/>
          <w:szCs w:val="21"/>
          <w:lang w:eastAsia="zh-CN"/>
        </w:rPr>
        <w:t>额追偿</w:t>
      </w:r>
      <w:r>
        <w:rPr>
          <w:rFonts w:hint="eastAsia" w:asciiTheme="minorEastAsia" w:hAnsiTheme="minorEastAsia"/>
          <w:szCs w:val="21"/>
          <w:lang w:eastAsia="zh-CN"/>
        </w:rPr>
        <w:t>。</w:t>
      </w:r>
    </w:p>
    <w:p w14:paraId="43C1042B">
      <w:pPr>
        <w:snapToGrid w:val="0"/>
        <w:spacing w:line="360" w:lineRule="auto"/>
        <w:ind w:firstLine="480" w:firstLineChars="200"/>
        <w:rPr>
          <w:rFonts w:asciiTheme="minorEastAsia" w:hAnsiTheme="minorEastAsia"/>
          <w:szCs w:val="21"/>
          <w:lang w:eastAsia="zh-CN"/>
        </w:rPr>
      </w:pPr>
      <w:r>
        <w:rPr>
          <w:rFonts w:asciiTheme="minorEastAsia" w:hAnsiTheme="minorEastAsia"/>
          <w:szCs w:val="21"/>
          <w:lang w:eastAsia="zh-CN"/>
        </w:rPr>
        <w:t>2</w:t>
      </w:r>
      <w:r>
        <w:rPr>
          <w:rFonts w:hint="eastAsia" w:asciiTheme="minorEastAsia" w:hAnsiTheme="minorEastAsia"/>
          <w:szCs w:val="21"/>
          <w:lang w:eastAsia="zh-CN"/>
        </w:rPr>
        <w:t>.4.2保证食堂室内外卫生清洁。食堂室内外是指内到厨房卫生、洗手间卫生、用餐区卫生，外到食堂室外就餐区卫生、周边门口卫生，均有乙方负责。各项餐饮标准都要达到国家有关标准规定。</w:t>
      </w:r>
    </w:p>
    <w:p w14:paraId="5452FBE5">
      <w:pPr>
        <w:snapToGrid w:val="0"/>
        <w:spacing w:line="360" w:lineRule="auto"/>
        <w:ind w:firstLine="360" w:firstLineChars="150"/>
        <w:rPr>
          <w:rFonts w:cs="仿宋" w:asciiTheme="minorEastAsia" w:hAnsiTheme="minorEastAsia"/>
          <w:bCs/>
          <w:szCs w:val="21"/>
          <w:lang w:eastAsia="zh-CN"/>
        </w:rPr>
      </w:pPr>
      <w:r>
        <w:rPr>
          <w:rFonts w:cs="仿宋" w:asciiTheme="minorEastAsia" w:hAnsiTheme="minorEastAsia"/>
          <w:bCs/>
          <w:szCs w:val="21"/>
          <w:lang w:eastAsia="zh-CN"/>
        </w:rPr>
        <w:t>2</w:t>
      </w:r>
      <w:r>
        <w:rPr>
          <w:rFonts w:hint="eastAsia" w:cs="仿宋" w:asciiTheme="minorEastAsia" w:hAnsiTheme="minorEastAsia"/>
          <w:bCs/>
          <w:szCs w:val="21"/>
          <w:lang w:eastAsia="zh-CN"/>
        </w:rPr>
        <w:t>.5服务质量要求</w:t>
      </w:r>
    </w:p>
    <w:p w14:paraId="1882F702">
      <w:pPr>
        <w:snapToGrid w:val="0"/>
        <w:spacing w:line="360" w:lineRule="auto"/>
        <w:ind w:firstLine="480" w:firstLineChars="200"/>
        <w:rPr>
          <w:rFonts w:cs="仿宋" w:asciiTheme="minorEastAsia" w:hAnsiTheme="minorEastAsia"/>
          <w:szCs w:val="21"/>
          <w:lang w:eastAsia="zh-CN"/>
        </w:rPr>
      </w:pPr>
      <w:r>
        <w:rPr>
          <w:rFonts w:cs="仿宋" w:asciiTheme="minorEastAsia" w:hAnsiTheme="minorEastAsia"/>
          <w:szCs w:val="21"/>
          <w:lang w:eastAsia="zh-CN"/>
        </w:rPr>
        <w:t>2</w:t>
      </w:r>
      <w:r>
        <w:rPr>
          <w:rFonts w:hint="eastAsia" w:cs="仿宋" w:asciiTheme="minorEastAsia" w:hAnsiTheme="minorEastAsia"/>
          <w:szCs w:val="21"/>
          <w:lang w:eastAsia="zh-CN"/>
        </w:rPr>
        <w:t>.5.1乙方在未取得甲方书面同意的情况下，不得将项目非法分包或转包给任何单位和个人。否则，甲方有权立即终止合同，没收乙方的履约保证金，并要求赔偿相应损失。</w:t>
      </w:r>
    </w:p>
    <w:p w14:paraId="3D483D35">
      <w:pPr>
        <w:snapToGrid w:val="0"/>
        <w:spacing w:line="360" w:lineRule="auto"/>
        <w:ind w:firstLine="480" w:firstLineChars="200"/>
        <w:rPr>
          <w:rFonts w:cs="仿宋" w:asciiTheme="minorEastAsia" w:hAnsiTheme="minorEastAsia"/>
          <w:szCs w:val="21"/>
          <w:lang w:eastAsia="zh-CN"/>
        </w:rPr>
      </w:pPr>
      <w:r>
        <w:rPr>
          <w:rFonts w:cs="仿宋" w:asciiTheme="minorEastAsia" w:hAnsiTheme="minorEastAsia"/>
          <w:szCs w:val="21"/>
          <w:lang w:eastAsia="zh-CN"/>
        </w:rPr>
        <w:t>2</w:t>
      </w:r>
      <w:r>
        <w:rPr>
          <w:rFonts w:hint="eastAsia" w:cs="仿宋" w:asciiTheme="minorEastAsia" w:hAnsiTheme="minorEastAsia"/>
          <w:szCs w:val="21"/>
          <w:lang w:eastAsia="zh-CN"/>
        </w:rPr>
        <w:t>.5.2因乙方服务不合格导致终止服务合同的，乙方应承担全部的责任，不得向甲方提出任何</w:t>
      </w:r>
      <w:r>
        <w:rPr>
          <w:rFonts w:cs="仿宋" w:asciiTheme="minorEastAsia" w:hAnsiTheme="minorEastAsia"/>
          <w:szCs w:val="21"/>
          <w:lang w:eastAsia="zh-CN"/>
        </w:rPr>
        <w:t>补偿或</w:t>
      </w:r>
      <w:r>
        <w:rPr>
          <w:rFonts w:hint="eastAsia" w:cs="仿宋" w:asciiTheme="minorEastAsia" w:hAnsiTheme="minorEastAsia"/>
          <w:szCs w:val="21"/>
          <w:lang w:eastAsia="zh-CN"/>
        </w:rPr>
        <w:t>赔偿要求。</w:t>
      </w:r>
    </w:p>
    <w:p w14:paraId="3AF93047">
      <w:pPr>
        <w:snapToGrid w:val="0"/>
        <w:spacing w:line="360" w:lineRule="auto"/>
        <w:ind w:firstLine="361" w:firstLineChars="150"/>
        <w:rPr>
          <w:rFonts w:asciiTheme="minorEastAsia" w:hAnsiTheme="minorEastAsia"/>
          <w:b/>
          <w:bCs/>
          <w:szCs w:val="21"/>
        </w:rPr>
      </w:pPr>
      <w:r>
        <w:rPr>
          <w:rFonts w:hint="eastAsia" w:cs="仿宋" w:asciiTheme="minorEastAsia" w:hAnsiTheme="minorEastAsia"/>
          <w:b/>
          <w:bCs/>
          <w:szCs w:val="21"/>
        </w:rPr>
        <w:t>3、服务</w:t>
      </w:r>
      <w:r>
        <w:rPr>
          <w:rFonts w:cs="仿宋" w:asciiTheme="minorEastAsia" w:hAnsiTheme="minorEastAsia"/>
          <w:b/>
          <w:bCs/>
          <w:szCs w:val="21"/>
        </w:rPr>
        <w:t>内容及作业标准</w:t>
      </w:r>
    </w:p>
    <w:tbl>
      <w:tblPr>
        <w:tblStyle w:val="18"/>
        <w:tblW w:w="645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97"/>
        <w:gridCol w:w="824"/>
        <w:gridCol w:w="1674"/>
        <w:gridCol w:w="1973"/>
      </w:tblGrid>
      <w:tr w14:paraId="19F5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87" w:type="dxa"/>
            <w:gridSpan w:val="2"/>
            <w:vMerge w:val="restart"/>
            <w:vAlign w:val="center"/>
          </w:tcPr>
          <w:p w14:paraId="7A45D20E">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项目</w:t>
            </w:r>
          </w:p>
        </w:tc>
        <w:tc>
          <w:tcPr>
            <w:tcW w:w="2498" w:type="dxa"/>
            <w:gridSpan w:val="2"/>
            <w:vAlign w:val="center"/>
          </w:tcPr>
          <w:p w14:paraId="1599393E">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日常维修周期及内容</w:t>
            </w:r>
          </w:p>
        </w:tc>
        <w:tc>
          <w:tcPr>
            <w:tcW w:w="1973" w:type="dxa"/>
            <w:vMerge w:val="restart"/>
            <w:vAlign w:val="center"/>
          </w:tcPr>
          <w:p w14:paraId="2C6567CA">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标准</w:t>
            </w:r>
          </w:p>
        </w:tc>
      </w:tr>
      <w:tr w14:paraId="06FB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87" w:type="dxa"/>
            <w:gridSpan w:val="2"/>
            <w:vMerge w:val="continue"/>
            <w:vAlign w:val="center"/>
          </w:tcPr>
          <w:p w14:paraId="2D369AB9">
            <w:pPr>
              <w:autoSpaceDE w:val="0"/>
              <w:autoSpaceDN w:val="0"/>
              <w:snapToGrid w:val="0"/>
              <w:spacing w:line="360" w:lineRule="auto"/>
              <w:jc w:val="center"/>
              <w:rPr>
                <w:rFonts w:cs="仿宋" w:asciiTheme="minorEastAsia" w:hAnsiTheme="minorEastAsia"/>
                <w:szCs w:val="21"/>
              </w:rPr>
            </w:pPr>
          </w:p>
        </w:tc>
        <w:tc>
          <w:tcPr>
            <w:tcW w:w="824" w:type="dxa"/>
            <w:vAlign w:val="center"/>
          </w:tcPr>
          <w:p w14:paraId="523F141E">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检查周期</w:t>
            </w:r>
          </w:p>
        </w:tc>
        <w:tc>
          <w:tcPr>
            <w:tcW w:w="1674" w:type="dxa"/>
            <w:vAlign w:val="center"/>
          </w:tcPr>
          <w:p w14:paraId="6DFE9361">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内容</w:t>
            </w:r>
          </w:p>
        </w:tc>
        <w:tc>
          <w:tcPr>
            <w:tcW w:w="1973" w:type="dxa"/>
            <w:vMerge w:val="continue"/>
            <w:vAlign w:val="center"/>
          </w:tcPr>
          <w:p w14:paraId="7210008F">
            <w:pPr>
              <w:autoSpaceDE w:val="0"/>
              <w:autoSpaceDN w:val="0"/>
              <w:snapToGrid w:val="0"/>
              <w:spacing w:line="360" w:lineRule="auto"/>
              <w:jc w:val="center"/>
              <w:rPr>
                <w:rFonts w:cs="仿宋" w:asciiTheme="minorEastAsia" w:hAnsiTheme="minorEastAsia"/>
                <w:szCs w:val="21"/>
              </w:rPr>
            </w:pPr>
          </w:p>
        </w:tc>
      </w:tr>
      <w:tr w14:paraId="6C74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90" w:type="dxa"/>
            <w:vMerge w:val="restart"/>
            <w:vAlign w:val="center"/>
          </w:tcPr>
          <w:p w14:paraId="6EF7BAEC">
            <w:pPr>
              <w:autoSpaceDE w:val="0"/>
              <w:autoSpaceDN w:val="0"/>
              <w:snapToGrid w:val="0"/>
              <w:spacing w:line="360" w:lineRule="auto"/>
              <w:jc w:val="center"/>
              <w:rPr>
                <w:rFonts w:cs="仿宋" w:asciiTheme="minorEastAsia" w:hAnsiTheme="minorEastAsia"/>
                <w:szCs w:val="21"/>
              </w:rPr>
            </w:pPr>
          </w:p>
          <w:p w14:paraId="0348D756">
            <w:pPr>
              <w:autoSpaceDE w:val="0"/>
              <w:autoSpaceDN w:val="0"/>
              <w:snapToGrid w:val="0"/>
              <w:spacing w:line="360" w:lineRule="auto"/>
              <w:jc w:val="center"/>
              <w:rPr>
                <w:rFonts w:cs="仿宋" w:asciiTheme="minorEastAsia" w:hAnsiTheme="minorEastAsia"/>
                <w:szCs w:val="21"/>
              </w:rPr>
            </w:pPr>
          </w:p>
          <w:p w14:paraId="26C6C67F">
            <w:pPr>
              <w:autoSpaceDE w:val="0"/>
              <w:autoSpaceDN w:val="0"/>
              <w:snapToGrid w:val="0"/>
              <w:spacing w:line="360" w:lineRule="auto"/>
              <w:jc w:val="center"/>
              <w:rPr>
                <w:rFonts w:cs="仿宋" w:asciiTheme="minorEastAsia" w:hAnsiTheme="minorEastAsia"/>
                <w:szCs w:val="21"/>
              </w:rPr>
            </w:pPr>
          </w:p>
          <w:p w14:paraId="7240667E">
            <w:pPr>
              <w:autoSpaceDE w:val="0"/>
              <w:autoSpaceDN w:val="0"/>
              <w:snapToGrid w:val="0"/>
              <w:spacing w:line="360" w:lineRule="auto"/>
              <w:jc w:val="center"/>
              <w:rPr>
                <w:rFonts w:cs="仿宋" w:asciiTheme="minorEastAsia" w:hAnsiTheme="minorEastAsia"/>
                <w:szCs w:val="21"/>
              </w:rPr>
            </w:pPr>
          </w:p>
          <w:p w14:paraId="728D3FFD">
            <w:pPr>
              <w:autoSpaceDE w:val="0"/>
              <w:autoSpaceDN w:val="0"/>
              <w:snapToGrid w:val="0"/>
              <w:spacing w:line="360" w:lineRule="auto"/>
              <w:jc w:val="center"/>
              <w:rPr>
                <w:rFonts w:cs="仿宋" w:asciiTheme="minorEastAsia" w:hAnsiTheme="minorEastAsia"/>
                <w:szCs w:val="21"/>
              </w:rPr>
            </w:pPr>
          </w:p>
          <w:p w14:paraId="6BED5B52">
            <w:pPr>
              <w:autoSpaceDE w:val="0"/>
              <w:autoSpaceDN w:val="0"/>
              <w:snapToGrid w:val="0"/>
              <w:spacing w:line="360" w:lineRule="auto"/>
              <w:jc w:val="center"/>
              <w:rPr>
                <w:rFonts w:cs="仿宋" w:asciiTheme="minorEastAsia" w:hAnsiTheme="minorEastAsia"/>
                <w:szCs w:val="21"/>
              </w:rPr>
            </w:pPr>
          </w:p>
          <w:p w14:paraId="3C068F2E">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设</w:t>
            </w:r>
          </w:p>
          <w:p w14:paraId="2FC2FBA3">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施</w:t>
            </w:r>
          </w:p>
          <w:p w14:paraId="4135CC6B">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及</w:t>
            </w:r>
          </w:p>
          <w:p w14:paraId="7C0E3B74">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日</w:t>
            </w:r>
          </w:p>
          <w:p w14:paraId="76F793E9">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常</w:t>
            </w:r>
          </w:p>
          <w:p w14:paraId="4DFDA052">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操</w:t>
            </w:r>
          </w:p>
          <w:p w14:paraId="3D2A53A6">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作</w:t>
            </w:r>
          </w:p>
        </w:tc>
        <w:tc>
          <w:tcPr>
            <w:tcW w:w="1397" w:type="dxa"/>
            <w:vAlign w:val="center"/>
          </w:tcPr>
          <w:p w14:paraId="051DEA5E">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厨具、饮具、餐具</w:t>
            </w:r>
          </w:p>
        </w:tc>
        <w:tc>
          <w:tcPr>
            <w:tcW w:w="824" w:type="dxa"/>
            <w:vAlign w:val="center"/>
          </w:tcPr>
          <w:p w14:paraId="5A7B1821">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3次/日</w:t>
            </w:r>
          </w:p>
        </w:tc>
        <w:tc>
          <w:tcPr>
            <w:tcW w:w="1674" w:type="dxa"/>
            <w:vAlign w:val="center"/>
          </w:tcPr>
          <w:p w14:paraId="7B829308">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清洗消毒</w:t>
            </w:r>
          </w:p>
        </w:tc>
        <w:tc>
          <w:tcPr>
            <w:tcW w:w="1973" w:type="dxa"/>
            <w:vAlign w:val="center"/>
          </w:tcPr>
          <w:p w14:paraId="0556A463">
            <w:pPr>
              <w:autoSpaceDE w:val="0"/>
              <w:autoSpaceDN w:val="0"/>
              <w:snapToGrid w:val="0"/>
              <w:spacing w:line="360" w:lineRule="auto"/>
              <w:jc w:val="center"/>
              <w:rPr>
                <w:rFonts w:cs="仿宋" w:asciiTheme="minorEastAsia" w:hAnsiTheme="minorEastAsia"/>
                <w:szCs w:val="21"/>
                <w:lang w:eastAsia="zh-CN"/>
              </w:rPr>
            </w:pPr>
            <w:r>
              <w:rPr>
                <w:rFonts w:hint="eastAsia" w:cs="仿宋" w:asciiTheme="minorEastAsia" w:hAnsiTheme="minorEastAsia"/>
                <w:szCs w:val="21"/>
                <w:lang w:eastAsia="zh-CN"/>
              </w:rPr>
              <w:t>清洁、无油腻、无水渍</w:t>
            </w:r>
          </w:p>
        </w:tc>
      </w:tr>
      <w:tr w14:paraId="3759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90" w:type="dxa"/>
            <w:vMerge w:val="continue"/>
            <w:vAlign w:val="center"/>
          </w:tcPr>
          <w:p w14:paraId="0FFF013C">
            <w:pPr>
              <w:autoSpaceDE w:val="0"/>
              <w:autoSpaceDN w:val="0"/>
              <w:snapToGrid w:val="0"/>
              <w:spacing w:line="360" w:lineRule="auto"/>
              <w:jc w:val="center"/>
              <w:rPr>
                <w:rFonts w:cs="仿宋" w:asciiTheme="minorEastAsia" w:hAnsiTheme="minorEastAsia"/>
                <w:szCs w:val="21"/>
                <w:lang w:eastAsia="zh-CN"/>
              </w:rPr>
            </w:pPr>
          </w:p>
        </w:tc>
        <w:tc>
          <w:tcPr>
            <w:tcW w:w="1397" w:type="dxa"/>
            <w:vAlign w:val="center"/>
          </w:tcPr>
          <w:p w14:paraId="7BA9D014">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餐台</w:t>
            </w:r>
          </w:p>
        </w:tc>
        <w:tc>
          <w:tcPr>
            <w:tcW w:w="824" w:type="dxa"/>
            <w:vAlign w:val="center"/>
          </w:tcPr>
          <w:p w14:paraId="682EA9AE">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3次/日</w:t>
            </w:r>
          </w:p>
        </w:tc>
        <w:tc>
          <w:tcPr>
            <w:tcW w:w="1674" w:type="dxa"/>
            <w:vAlign w:val="center"/>
          </w:tcPr>
          <w:p w14:paraId="37DEC3B3">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清洗消毒</w:t>
            </w:r>
          </w:p>
        </w:tc>
        <w:tc>
          <w:tcPr>
            <w:tcW w:w="1973" w:type="dxa"/>
            <w:vAlign w:val="center"/>
          </w:tcPr>
          <w:p w14:paraId="55F509E5">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整洁、美观、无锈迹</w:t>
            </w:r>
          </w:p>
        </w:tc>
      </w:tr>
      <w:tr w14:paraId="3798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90" w:type="dxa"/>
            <w:vMerge w:val="continue"/>
            <w:vAlign w:val="center"/>
          </w:tcPr>
          <w:p w14:paraId="1C46D848">
            <w:pPr>
              <w:autoSpaceDE w:val="0"/>
              <w:autoSpaceDN w:val="0"/>
              <w:snapToGrid w:val="0"/>
              <w:spacing w:line="360" w:lineRule="auto"/>
              <w:jc w:val="center"/>
              <w:rPr>
                <w:rFonts w:cs="仿宋" w:asciiTheme="minorEastAsia" w:hAnsiTheme="minorEastAsia"/>
                <w:szCs w:val="21"/>
              </w:rPr>
            </w:pPr>
          </w:p>
        </w:tc>
        <w:tc>
          <w:tcPr>
            <w:tcW w:w="1397" w:type="dxa"/>
            <w:vAlign w:val="center"/>
          </w:tcPr>
          <w:p w14:paraId="6902A979">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厨房沟渠、水池</w:t>
            </w:r>
          </w:p>
        </w:tc>
        <w:tc>
          <w:tcPr>
            <w:tcW w:w="824" w:type="dxa"/>
            <w:vAlign w:val="center"/>
          </w:tcPr>
          <w:p w14:paraId="0D340021">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3次/日</w:t>
            </w:r>
          </w:p>
        </w:tc>
        <w:tc>
          <w:tcPr>
            <w:tcW w:w="1674" w:type="dxa"/>
            <w:vAlign w:val="center"/>
          </w:tcPr>
          <w:p w14:paraId="3633D524">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检查、维修、疏通</w:t>
            </w:r>
          </w:p>
        </w:tc>
        <w:tc>
          <w:tcPr>
            <w:tcW w:w="1973" w:type="dxa"/>
            <w:vAlign w:val="center"/>
          </w:tcPr>
          <w:p w14:paraId="040A626D">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畅通、无损坏</w:t>
            </w:r>
          </w:p>
        </w:tc>
      </w:tr>
      <w:tr w14:paraId="477B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90" w:type="dxa"/>
            <w:vMerge w:val="continue"/>
            <w:vAlign w:val="center"/>
          </w:tcPr>
          <w:p w14:paraId="6307FDFA">
            <w:pPr>
              <w:autoSpaceDE w:val="0"/>
              <w:autoSpaceDN w:val="0"/>
              <w:snapToGrid w:val="0"/>
              <w:spacing w:line="360" w:lineRule="auto"/>
              <w:jc w:val="center"/>
              <w:rPr>
                <w:rFonts w:cs="仿宋" w:asciiTheme="minorEastAsia" w:hAnsiTheme="minorEastAsia"/>
                <w:szCs w:val="21"/>
              </w:rPr>
            </w:pPr>
          </w:p>
        </w:tc>
        <w:tc>
          <w:tcPr>
            <w:tcW w:w="1397" w:type="dxa"/>
            <w:vAlign w:val="center"/>
          </w:tcPr>
          <w:p w14:paraId="5F4494F5">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肉类、蔬菜</w:t>
            </w:r>
          </w:p>
        </w:tc>
        <w:tc>
          <w:tcPr>
            <w:tcW w:w="824" w:type="dxa"/>
            <w:vAlign w:val="center"/>
          </w:tcPr>
          <w:p w14:paraId="4AAB0A10">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3次/日</w:t>
            </w:r>
          </w:p>
        </w:tc>
        <w:tc>
          <w:tcPr>
            <w:tcW w:w="1674" w:type="dxa"/>
            <w:vAlign w:val="center"/>
          </w:tcPr>
          <w:p w14:paraId="7F360053">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清洗</w:t>
            </w:r>
          </w:p>
        </w:tc>
        <w:tc>
          <w:tcPr>
            <w:tcW w:w="1973" w:type="dxa"/>
            <w:vAlign w:val="center"/>
          </w:tcPr>
          <w:p w14:paraId="3BBDBF29">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无沙砾等杂物</w:t>
            </w:r>
          </w:p>
        </w:tc>
      </w:tr>
      <w:tr w14:paraId="6F61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90" w:type="dxa"/>
            <w:vMerge w:val="continue"/>
            <w:vAlign w:val="center"/>
          </w:tcPr>
          <w:p w14:paraId="490B28ED">
            <w:pPr>
              <w:autoSpaceDE w:val="0"/>
              <w:autoSpaceDN w:val="0"/>
              <w:snapToGrid w:val="0"/>
              <w:spacing w:line="360" w:lineRule="auto"/>
              <w:jc w:val="center"/>
              <w:rPr>
                <w:rFonts w:cs="仿宋" w:asciiTheme="minorEastAsia" w:hAnsiTheme="minorEastAsia"/>
                <w:szCs w:val="21"/>
              </w:rPr>
            </w:pPr>
          </w:p>
        </w:tc>
        <w:tc>
          <w:tcPr>
            <w:tcW w:w="1397" w:type="dxa"/>
            <w:vAlign w:val="center"/>
          </w:tcPr>
          <w:p w14:paraId="621631B8">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洗手间</w:t>
            </w:r>
          </w:p>
        </w:tc>
        <w:tc>
          <w:tcPr>
            <w:tcW w:w="824" w:type="dxa"/>
            <w:vAlign w:val="center"/>
          </w:tcPr>
          <w:p w14:paraId="24E332A9">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每日</w:t>
            </w:r>
          </w:p>
        </w:tc>
        <w:tc>
          <w:tcPr>
            <w:tcW w:w="1674" w:type="dxa"/>
            <w:vAlign w:val="center"/>
          </w:tcPr>
          <w:p w14:paraId="499A82C1">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检查、清洁、疏通</w:t>
            </w:r>
          </w:p>
        </w:tc>
        <w:tc>
          <w:tcPr>
            <w:tcW w:w="1973" w:type="dxa"/>
            <w:vAlign w:val="center"/>
          </w:tcPr>
          <w:p w14:paraId="60AA6145">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整洁、畅通</w:t>
            </w:r>
          </w:p>
        </w:tc>
      </w:tr>
      <w:tr w14:paraId="6A9F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590" w:type="dxa"/>
            <w:vMerge w:val="continue"/>
            <w:vAlign w:val="center"/>
          </w:tcPr>
          <w:p w14:paraId="69360997">
            <w:pPr>
              <w:autoSpaceDE w:val="0"/>
              <w:autoSpaceDN w:val="0"/>
              <w:snapToGrid w:val="0"/>
              <w:spacing w:line="360" w:lineRule="auto"/>
              <w:jc w:val="center"/>
              <w:rPr>
                <w:rFonts w:cs="仿宋" w:asciiTheme="minorEastAsia" w:hAnsiTheme="minorEastAsia"/>
                <w:szCs w:val="21"/>
              </w:rPr>
            </w:pPr>
          </w:p>
        </w:tc>
        <w:tc>
          <w:tcPr>
            <w:tcW w:w="1397" w:type="dxa"/>
            <w:vAlign w:val="center"/>
          </w:tcPr>
          <w:p w14:paraId="7850629A">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水电、煤气设备</w:t>
            </w:r>
          </w:p>
        </w:tc>
        <w:tc>
          <w:tcPr>
            <w:tcW w:w="824" w:type="dxa"/>
            <w:vAlign w:val="center"/>
          </w:tcPr>
          <w:p w14:paraId="487077F8">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随时</w:t>
            </w:r>
          </w:p>
        </w:tc>
        <w:tc>
          <w:tcPr>
            <w:tcW w:w="1674" w:type="dxa"/>
            <w:vAlign w:val="center"/>
          </w:tcPr>
          <w:p w14:paraId="573B1F60">
            <w:pPr>
              <w:autoSpaceDE w:val="0"/>
              <w:autoSpaceDN w:val="0"/>
              <w:snapToGrid w:val="0"/>
              <w:spacing w:line="360" w:lineRule="auto"/>
              <w:jc w:val="center"/>
              <w:rPr>
                <w:rFonts w:cs="仿宋" w:asciiTheme="minorEastAsia" w:hAnsiTheme="minorEastAsia"/>
                <w:szCs w:val="21"/>
                <w:lang w:eastAsia="zh-CN"/>
              </w:rPr>
            </w:pPr>
            <w:r>
              <w:rPr>
                <w:rFonts w:hint="eastAsia" w:cs="仿宋" w:asciiTheme="minorEastAsia" w:hAnsiTheme="minorEastAsia"/>
                <w:szCs w:val="21"/>
                <w:lang w:eastAsia="zh-CN"/>
              </w:rPr>
              <w:t>每日巡视检查、记录、发现问题及时报告跟踪处理结果</w:t>
            </w:r>
          </w:p>
        </w:tc>
        <w:tc>
          <w:tcPr>
            <w:tcW w:w="1973" w:type="dxa"/>
            <w:vAlign w:val="center"/>
          </w:tcPr>
          <w:p w14:paraId="4DD9B753">
            <w:pPr>
              <w:autoSpaceDE w:val="0"/>
              <w:autoSpaceDN w:val="0"/>
              <w:snapToGrid w:val="0"/>
              <w:spacing w:line="360" w:lineRule="auto"/>
              <w:jc w:val="center"/>
              <w:rPr>
                <w:rFonts w:cs="仿宋" w:asciiTheme="minorEastAsia" w:hAnsiTheme="minorEastAsia"/>
                <w:szCs w:val="21"/>
                <w:lang w:eastAsia="zh-CN"/>
              </w:rPr>
            </w:pPr>
            <w:r>
              <w:rPr>
                <w:rFonts w:hint="eastAsia" w:cs="仿宋" w:asciiTheme="minorEastAsia" w:hAnsiTheme="minorEastAsia"/>
                <w:szCs w:val="21"/>
                <w:lang w:eastAsia="zh-CN"/>
              </w:rPr>
              <w:t>使用正常、安全无故障</w:t>
            </w:r>
          </w:p>
        </w:tc>
      </w:tr>
      <w:tr w14:paraId="4644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590" w:type="dxa"/>
            <w:vMerge w:val="continue"/>
            <w:vAlign w:val="center"/>
          </w:tcPr>
          <w:p w14:paraId="404B79CA">
            <w:pPr>
              <w:autoSpaceDE w:val="0"/>
              <w:autoSpaceDN w:val="0"/>
              <w:snapToGrid w:val="0"/>
              <w:spacing w:line="360" w:lineRule="auto"/>
              <w:jc w:val="center"/>
              <w:rPr>
                <w:rFonts w:cs="仿宋" w:asciiTheme="minorEastAsia" w:hAnsiTheme="minorEastAsia"/>
                <w:szCs w:val="21"/>
                <w:lang w:eastAsia="zh-CN"/>
              </w:rPr>
            </w:pPr>
          </w:p>
        </w:tc>
        <w:tc>
          <w:tcPr>
            <w:tcW w:w="1397" w:type="dxa"/>
            <w:vAlign w:val="center"/>
          </w:tcPr>
          <w:p w14:paraId="683741C4">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消防设施</w:t>
            </w:r>
          </w:p>
        </w:tc>
        <w:tc>
          <w:tcPr>
            <w:tcW w:w="824" w:type="dxa"/>
            <w:vAlign w:val="center"/>
          </w:tcPr>
          <w:p w14:paraId="34D7E853">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随时</w:t>
            </w:r>
          </w:p>
        </w:tc>
        <w:tc>
          <w:tcPr>
            <w:tcW w:w="1674" w:type="dxa"/>
            <w:vAlign w:val="center"/>
          </w:tcPr>
          <w:p w14:paraId="5716DD00">
            <w:pPr>
              <w:autoSpaceDE w:val="0"/>
              <w:autoSpaceDN w:val="0"/>
              <w:snapToGrid w:val="0"/>
              <w:spacing w:line="360" w:lineRule="auto"/>
              <w:jc w:val="center"/>
              <w:rPr>
                <w:rFonts w:cs="仿宋" w:asciiTheme="minorEastAsia" w:hAnsiTheme="minorEastAsia"/>
                <w:szCs w:val="21"/>
                <w:lang w:eastAsia="zh-CN"/>
              </w:rPr>
            </w:pPr>
            <w:r>
              <w:rPr>
                <w:rFonts w:hint="eastAsia" w:cs="仿宋" w:asciiTheme="minorEastAsia" w:hAnsiTheme="minorEastAsia"/>
                <w:szCs w:val="21"/>
                <w:lang w:eastAsia="zh-CN"/>
              </w:rPr>
              <w:t>检查，参加检查发现问题及时报告跟踪处理结果</w:t>
            </w:r>
          </w:p>
        </w:tc>
        <w:tc>
          <w:tcPr>
            <w:tcW w:w="1973" w:type="dxa"/>
            <w:vAlign w:val="center"/>
          </w:tcPr>
          <w:p w14:paraId="1BD6B0D3">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完备、使用正常</w:t>
            </w:r>
          </w:p>
        </w:tc>
      </w:tr>
      <w:tr w14:paraId="7C91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590" w:type="dxa"/>
            <w:vMerge w:val="continue"/>
            <w:vAlign w:val="center"/>
          </w:tcPr>
          <w:p w14:paraId="3F216DED">
            <w:pPr>
              <w:autoSpaceDE w:val="0"/>
              <w:autoSpaceDN w:val="0"/>
              <w:snapToGrid w:val="0"/>
              <w:spacing w:line="360" w:lineRule="auto"/>
              <w:jc w:val="center"/>
              <w:rPr>
                <w:rFonts w:cs="仿宋" w:asciiTheme="minorEastAsia" w:hAnsiTheme="minorEastAsia"/>
                <w:szCs w:val="21"/>
              </w:rPr>
            </w:pPr>
          </w:p>
        </w:tc>
        <w:tc>
          <w:tcPr>
            <w:tcW w:w="1397" w:type="dxa"/>
            <w:vAlign w:val="center"/>
          </w:tcPr>
          <w:p w14:paraId="78EE9751">
            <w:pPr>
              <w:autoSpaceDE w:val="0"/>
              <w:autoSpaceDN w:val="0"/>
              <w:snapToGrid w:val="0"/>
              <w:spacing w:line="360" w:lineRule="auto"/>
              <w:jc w:val="center"/>
              <w:rPr>
                <w:rFonts w:cs="仿宋" w:asciiTheme="minorEastAsia" w:hAnsiTheme="minorEastAsia"/>
                <w:szCs w:val="21"/>
                <w:lang w:eastAsia="zh-CN"/>
              </w:rPr>
            </w:pPr>
            <w:r>
              <w:rPr>
                <w:rFonts w:hint="eastAsia" w:cs="仿宋" w:asciiTheme="minorEastAsia" w:hAnsiTheme="minorEastAsia"/>
                <w:szCs w:val="21"/>
                <w:lang w:eastAsia="zh-CN"/>
              </w:rPr>
              <w:t>室内外灯光照明、消毒灯管和室内电路</w:t>
            </w:r>
          </w:p>
        </w:tc>
        <w:tc>
          <w:tcPr>
            <w:tcW w:w="824" w:type="dxa"/>
            <w:vAlign w:val="center"/>
          </w:tcPr>
          <w:p w14:paraId="072310B9">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随时</w:t>
            </w:r>
          </w:p>
        </w:tc>
        <w:tc>
          <w:tcPr>
            <w:tcW w:w="1674" w:type="dxa"/>
            <w:vAlign w:val="center"/>
          </w:tcPr>
          <w:p w14:paraId="61C66A0B">
            <w:pPr>
              <w:autoSpaceDE w:val="0"/>
              <w:autoSpaceDN w:val="0"/>
              <w:snapToGrid w:val="0"/>
              <w:spacing w:line="360" w:lineRule="auto"/>
              <w:jc w:val="center"/>
              <w:rPr>
                <w:rFonts w:cs="仿宋" w:asciiTheme="minorEastAsia" w:hAnsiTheme="minorEastAsia"/>
                <w:szCs w:val="21"/>
                <w:lang w:eastAsia="zh-CN"/>
              </w:rPr>
            </w:pPr>
            <w:r>
              <w:rPr>
                <w:rFonts w:hint="eastAsia" w:cs="仿宋" w:asciiTheme="minorEastAsia" w:hAnsiTheme="minorEastAsia"/>
                <w:szCs w:val="21"/>
                <w:lang w:eastAsia="zh-CN"/>
              </w:rPr>
              <w:t>检查，参加检查发现问题及时报告跟踪处理结果</w:t>
            </w:r>
          </w:p>
        </w:tc>
        <w:tc>
          <w:tcPr>
            <w:tcW w:w="1973" w:type="dxa"/>
            <w:vAlign w:val="center"/>
          </w:tcPr>
          <w:p w14:paraId="63463D39">
            <w:pPr>
              <w:autoSpaceDE w:val="0"/>
              <w:autoSpaceDN w:val="0"/>
              <w:snapToGrid w:val="0"/>
              <w:spacing w:line="360" w:lineRule="auto"/>
              <w:jc w:val="center"/>
              <w:rPr>
                <w:rFonts w:cs="仿宋" w:asciiTheme="minorEastAsia" w:hAnsiTheme="minorEastAsia"/>
                <w:szCs w:val="21"/>
                <w:lang w:eastAsia="zh-CN"/>
              </w:rPr>
            </w:pPr>
            <w:r>
              <w:rPr>
                <w:rFonts w:hint="eastAsia" w:cs="仿宋" w:asciiTheme="minorEastAsia" w:hAnsiTheme="minorEastAsia"/>
                <w:szCs w:val="21"/>
                <w:lang w:eastAsia="zh-CN"/>
              </w:rPr>
              <w:t>符合安全标准，正常使用</w:t>
            </w:r>
          </w:p>
        </w:tc>
      </w:tr>
      <w:tr w14:paraId="34F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90" w:type="dxa"/>
            <w:vMerge w:val="continue"/>
            <w:vAlign w:val="center"/>
          </w:tcPr>
          <w:p w14:paraId="58A52506">
            <w:pPr>
              <w:autoSpaceDE w:val="0"/>
              <w:autoSpaceDN w:val="0"/>
              <w:snapToGrid w:val="0"/>
              <w:spacing w:line="360" w:lineRule="auto"/>
              <w:jc w:val="center"/>
              <w:rPr>
                <w:rFonts w:cs="仿宋" w:asciiTheme="minorEastAsia" w:hAnsiTheme="minorEastAsia"/>
                <w:szCs w:val="21"/>
                <w:lang w:eastAsia="zh-CN"/>
              </w:rPr>
            </w:pPr>
          </w:p>
        </w:tc>
        <w:tc>
          <w:tcPr>
            <w:tcW w:w="1397" w:type="dxa"/>
            <w:vAlign w:val="center"/>
          </w:tcPr>
          <w:p w14:paraId="38D45D8D">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空调系统</w:t>
            </w:r>
          </w:p>
        </w:tc>
        <w:tc>
          <w:tcPr>
            <w:tcW w:w="824" w:type="dxa"/>
            <w:vAlign w:val="center"/>
          </w:tcPr>
          <w:p w14:paraId="5472C45E">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每周</w:t>
            </w:r>
          </w:p>
        </w:tc>
        <w:tc>
          <w:tcPr>
            <w:tcW w:w="1674" w:type="dxa"/>
            <w:vAlign w:val="center"/>
          </w:tcPr>
          <w:p w14:paraId="4366F10C">
            <w:pPr>
              <w:autoSpaceDE w:val="0"/>
              <w:autoSpaceDN w:val="0"/>
              <w:snapToGrid w:val="0"/>
              <w:spacing w:line="360" w:lineRule="auto"/>
              <w:jc w:val="center"/>
              <w:rPr>
                <w:rFonts w:cs="仿宋" w:asciiTheme="minorEastAsia" w:hAnsiTheme="minorEastAsia"/>
                <w:szCs w:val="21"/>
                <w:lang w:eastAsia="zh-CN"/>
              </w:rPr>
            </w:pPr>
            <w:r>
              <w:rPr>
                <w:rFonts w:hint="eastAsia" w:cs="仿宋" w:asciiTheme="minorEastAsia" w:hAnsiTheme="minorEastAsia"/>
                <w:szCs w:val="21"/>
                <w:lang w:eastAsia="zh-CN"/>
              </w:rPr>
              <w:t>检查，参加检查发现问题及时报告跟踪处理结果</w:t>
            </w:r>
          </w:p>
        </w:tc>
        <w:tc>
          <w:tcPr>
            <w:tcW w:w="1973" w:type="dxa"/>
            <w:vAlign w:val="center"/>
          </w:tcPr>
          <w:p w14:paraId="0D698E4E">
            <w:pPr>
              <w:autoSpaceDE w:val="0"/>
              <w:autoSpaceDN w:val="0"/>
              <w:snapToGrid w:val="0"/>
              <w:spacing w:line="360" w:lineRule="auto"/>
              <w:jc w:val="center"/>
              <w:rPr>
                <w:rFonts w:cs="仿宋" w:asciiTheme="minorEastAsia" w:hAnsiTheme="minorEastAsia"/>
                <w:szCs w:val="21"/>
              </w:rPr>
            </w:pPr>
            <w:r>
              <w:rPr>
                <w:rFonts w:hint="eastAsia" w:cs="仿宋" w:asciiTheme="minorEastAsia" w:hAnsiTheme="minorEastAsia"/>
                <w:szCs w:val="21"/>
              </w:rPr>
              <w:t>符合标准，正常使用</w:t>
            </w:r>
          </w:p>
        </w:tc>
      </w:tr>
    </w:tbl>
    <w:p w14:paraId="48636249">
      <w:pPr>
        <w:snapToGrid w:val="0"/>
        <w:spacing w:line="360" w:lineRule="auto"/>
        <w:rPr>
          <w:rFonts w:asciiTheme="minorEastAsia" w:hAnsiTheme="minorEastAsia"/>
          <w:color w:val="000000"/>
          <w:szCs w:val="21"/>
        </w:rPr>
      </w:pPr>
    </w:p>
    <w:p w14:paraId="2E85CF31">
      <w:pPr>
        <w:snapToGrid w:val="0"/>
        <w:spacing w:line="360" w:lineRule="auto"/>
        <w:ind w:firstLine="240" w:firstLineChars="100"/>
        <w:rPr>
          <w:rFonts w:asciiTheme="minorEastAsia" w:hAnsiTheme="minorEastAsia"/>
          <w:color w:val="000000"/>
          <w:szCs w:val="21"/>
        </w:rPr>
      </w:pPr>
      <w:r>
        <w:rPr>
          <w:rFonts w:hint="eastAsia" w:asciiTheme="minorEastAsia" w:hAnsiTheme="minorEastAsia"/>
          <w:color w:val="000000"/>
          <w:szCs w:val="21"/>
        </w:rPr>
        <w:t>第三条  甲方</w:t>
      </w:r>
      <w:r>
        <w:rPr>
          <w:rFonts w:asciiTheme="minorEastAsia" w:hAnsiTheme="minorEastAsia"/>
          <w:color w:val="000000"/>
          <w:szCs w:val="21"/>
        </w:rPr>
        <w:t>的义务</w:t>
      </w:r>
    </w:p>
    <w:p w14:paraId="33B6245C">
      <w:pPr>
        <w:snapToGrid w:val="0"/>
        <w:spacing w:line="360" w:lineRule="auto"/>
        <w:ind w:firstLine="480" w:firstLineChars="200"/>
        <w:rPr>
          <w:rFonts w:cs="仿宋" w:asciiTheme="minorEastAsia" w:hAnsiTheme="minorEastAsia"/>
          <w:szCs w:val="21"/>
          <w:lang w:eastAsia="zh-CN"/>
        </w:rPr>
      </w:pPr>
      <w:r>
        <w:rPr>
          <w:rFonts w:asciiTheme="minorEastAsia" w:hAnsiTheme="minorEastAsia"/>
          <w:szCs w:val="21"/>
          <w:lang w:eastAsia="zh-CN"/>
        </w:rPr>
        <w:t>1</w:t>
      </w:r>
      <w:r>
        <w:rPr>
          <w:rFonts w:hint="eastAsia" w:asciiTheme="minorEastAsia" w:hAnsiTheme="minorEastAsia"/>
          <w:szCs w:val="21"/>
          <w:lang w:eastAsia="zh-CN"/>
        </w:rPr>
        <w:t>、</w:t>
      </w:r>
      <w:r>
        <w:rPr>
          <w:rFonts w:hint="eastAsia" w:cs="仿宋" w:asciiTheme="minorEastAsia" w:hAnsiTheme="minorEastAsia"/>
          <w:szCs w:val="21"/>
          <w:lang w:eastAsia="zh-CN"/>
        </w:rPr>
        <w:t>负责食堂设备、中央空调、电梯、消防设施、与建筑物本体有关的维护、维修。</w:t>
      </w:r>
    </w:p>
    <w:p w14:paraId="62A37875">
      <w:pPr>
        <w:snapToGrid w:val="0"/>
        <w:spacing w:line="360" w:lineRule="auto"/>
        <w:ind w:firstLine="480" w:firstLineChars="200"/>
        <w:rPr>
          <w:rFonts w:cs="仿宋" w:asciiTheme="minorEastAsia" w:hAnsiTheme="minorEastAsia"/>
          <w:szCs w:val="21"/>
          <w:lang w:eastAsia="zh-CN"/>
        </w:rPr>
      </w:pPr>
      <w:r>
        <w:rPr>
          <w:rFonts w:cs="仿宋" w:asciiTheme="minorEastAsia" w:hAnsiTheme="minorEastAsia"/>
          <w:szCs w:val="21"/>
          <w:lang w:eastAsia="zh-CN"/>
        </w:rPr>
        <w:t>2</w:t>
      </w:r>
      <w:r>
        <w:rPr>
          <w:rFonts w:hint="eastAsia" w:cs="仿宋" w:asciiTheme="minorEastAsia" w:hAnsiTheme="minorEastAsia"/>
          <w:szCs w:val="21"/>
          <w:lang w:eastAsia="zh-CN"/>
        </w:rPr>
        <w:t>、负责提供各餐饮项目装修完毕的就餐场地、全套厨房设备、餐桌椅、餐具和低耗用品用具（纸巾、牙签等），提供中央空调，水、电、煤气开通，并支付水电燃气费用。甲方对移交给乙方使用的场地、设施、设备等资产享有法定的所有权和防止资产流失的监督保护权。</w:t>
      </w:r>
    </w:p>
    <w:p w14:paraId="209DB40A">
      <w:pPr>
        <w:snapToGrid w:val="0"/>
        <w:spacing w:line="360" w:lineRule="auto"/>
        <w:ind w:firstLine="480" w:firstLineChars="200"/>
        <w:rPr>
          <w:rFonts w:cs="仿宋" w:asciiTheme="minorEastAsia" w:hAnsiTheme="minorEastAsia"/>
          <w:szCs w:val="21"/>
          <w:lang w:eastAsia="zh-CN"/>
        </w:rPr>
      </w:pPr>
      <w:r>
        <w:rPr>
          <w:rFonts w:hint="eastAsia" w:cs="仿宋" w:asciiTheme="minorEastAsia" w:hAnsiTheme="minorEastAsia"/>
          <w:szCs w:val="21"/>
          <w:lang w:eastAsia="zh-CN"/>
        </w:rPr>
        <w:t>3、负责就餐师生意见的征询和传达。</w:t>
      </w:r>
    </w:p>
    <w:p w14:paraId="32B17B1A">
      <w:pPr>
        <w:snapToGrid w:val="0"/>
        <w:spacing w:line="360" w:lineRule="auto"/>
        <w:ind w:firstLine="480" w:firstLineChars="200"/>
        <w:rPr>
          <w:rFonts w:cs="仿宋" w:asciiTheme="minorEastAsia" w:hAnsiTheme="minorEastAsia"/>
          <w:szCs w:val="21"/>
          <w:lang w:eastAsia="zh-CN"/>
        </w:rPr>
      </w:pPr>
      <w:r>
        <w:rPr>
          <w:rFonts w:hint="eastAsia" w:cs="仿宋" w:asciiTheme="minorEastAsia" w:hAnsiTheme="minorEastAsia"/>
          <w:szCs w:val="21"/>
          <w:lang w:eastAsia="zh-CN"/>
        </w:rPr>
        <w:t>4、负责对乙方的服务质量进行监督检查。按合同规定，每月按时向乙方给付餐饮服务费用。</w:t>
      </w:r>
    </w:p>
    <w:p w14:paraId="4EC3517B">
      <w:pPr>
        <w:tabs>
          <w:tab w:val="left" w:pos="750"/>
        </w:tabs>
        <w:snapToGrid w:val="0"/>
        <w:spacing w:line="360" w:lineRule="auto"/>
        <w:ind w:firstLine="480" w:firstLineChars="200"/>
        <w:rPr>
          <w:rFonts w:asciiTheme="minorEastAsia" w:hAnsiTheme="minorEastAsia"/>
          <w:szCs w:val="21"/>
          <w:lang w:eastAsia="zh-CN"/>
        </w:rPr>
      </w:pPr>
      <w:r>
        <w:rPr>
          <w:rFonts w:hint="eastAsia" w:asciiTheme="minorEastAsia" w:hAnsiTheme="minorEastAsia"/>
          <w:szCs w:val="21"/>
          <w:lang w:eastAsia="zh-CN"/>
        </w:rPr>
        <w:t>5、负责提供食堂场地和厨房设备、餐具等硬件设施，并承担食品原材料采购、水电费用、燃料费用、日常消耗品和硬件设施维修费用，以及食堂服务人员的食宿费用。</w:t>
      </w:r>
    </w:p>
    <w:p w14:paraId="5290115E">
      <w:pPr>
        <w:tabs>
          <w:tab w:val="left" w:pos="750"/>
        </w:tabs>
        <w:snapToGrid w:val="0"/>
        <w:spacing w:line="360" w:lineRule="auto"/>
        <w:ind w:firstLine="240" w:firstLineChars="100"/>
        <w:rPr>
          <w:rFonts w:asciiTheme="minorEastAsia" w:hAnsiTheme="minorEastAsia"/>
          <w:szCs w:val="21"/>
          <w:lang w:eastAsia="zh-CN"/>
        </w:rPr>
      </w:pPr>
      <w:r>
        <w:rPr>
          <w:rFonts w:hint="eastAsia" w:asciiTheme="minorEastAsia" w:hAnsiTheme="minorEastAsia"/>
          <w:szCs w:val="21"/>
          <w:lang w:eastAsia="zh-CN"/>
        </w:rPr>
        <w:t>第四条  乙方</w:t>
      </w:r>
      <w:r>
        <w:rPr>
          <w:rFonts w:asciiTheme="minorEastAsia" w:hAnsiTheme="minorEastAsia"/>
          <w:szCs w:val="21"/>
          <w:lang w:eastAsia="zh-CN"/>
        </w:rPr>
        <w:t>的义务</w:t>
      </w:r>
    </w:p>
    <w:p w14:paraId="51C443A4">
      <w:pPr>
        <w:tabs>
          <w:tab w:val="left" w:pos="750"/>
        </w:tabs>
        <w:snapToGrid w:val="0"/>
        <w:spacing w:line="360" w:lineRule="auto"/>
        <w:ind w:firstLine="480" w:firstLineChars="200"/>
        <w:rPr>
          <w:rFonts w:asciiTheme="minorEastAsia" w:hAnsiTheme="minorEastAsia"/>
          <w:szCs w:val="21"/>
          <w:lang w:eastAsia="zh-CN"/>
        </w:rPr>
      </w:pPr>
      <w:r>
        <w:rPr>
          <w:rFonts w:asciiTheme="minorEastAsia" w:hAnsiTheme="minorEastAsia"/>
          <w:bCs/>
          <w:color w:val="000000"/>
          <w:szCs w:val="21"/>
          <w:lang w:eastAsia="zh-CN"/>
        </w:rPr>
        <w:t>1</w:t>
      </w:r>
      <w:r>
        <w:rPr>
          <w:rFonts w:hint="eastAsia" w:asciiTheme="minorEastAsia" w:hAnsiTheme="minorEastAsia"/>
          <w:bCs/>
          <w:color w:val="000000"/>
          <w:szCs w:val="21"/>
          <w:lang w:eastAsia="zh-CN"/>
        </w:rPr>
        <w:t>、在合同履行期间，乙方须接受市、区行业主管部门的监管。</w:t>
      </w:r>
    </w:p>
    <w:p w14:paraId="65E68FBC">
      <w:pPr>
        <w:snapToGrid w:val="0"/>
        <w:spacing w:line="360" w:lineRule="auto"/>
        <w:ind w:firstLine="480" w:firstLineChars="200"/>
        <w:rPr>
          <w:rFonts w:cs="仿宋" w:asciiTheme="minorEastAsia" w:hAnsiTheme="minorEastAsia"/>
          <w:szCs w:val="21"/>
          <w:lang w:eastAsia="zh-CN"/>
        </w:rPr>
      </w:pPr>
      <w:r>
        <w:rPr>
          <w:rFonts w:cs="仿宋" w:asciiTheme="minorEastAsia" w:hAnsiTheme="minorEastAsia"/>
          <w:szCs w:val="21"/>
          <w:lang w:eastAsia="zh-CN"/>
        </w:rPr>
        <w:t>2</w:t>
      </w:r>
      <w:r>
        <w:rPr>
          <w:rFonts w:hint="eastAsia" w:cs="仿宋" w:asciiTheme="minorEastAsia" w:hAnsiTheme="minorEastAsia"/>
          <w:szCs w:val="21"/>
          <w:lang w:eastAsia="zh-CN"/>
        </w:rPr>
        <w:t>、在合同期限内，除人员管理外，在食品质量、卫生标准、服务质量、安全管理等方面接受甲方的监督管理，并以书面形式作出相关的服务承诺。合同期内，乙方需每日登记经营工作日志，包括</w:t>
      </w:r>
      <w:r>
        <w:rPr>
          <w:rFonts w:cs="仿宋" w:asciiTheme="minorEastAsia" w:hAnsiTheme="minorEastAsia"/>
          <w:szCs w:val="21"/>
          <w:lang w:eastAsia="zh-CN"/>
        </w:rPr>
        <w:t>但不限于</w:t>
      </w:r>
      <w:r>
        <w:rPr>
          <w:rFonts w:hint="eastAsia" w:cs="仿宋" w:asciiTheme="minorEastAsia" w:hAnsiTheme="minorEastAsia"/>
          <w:szCs w:val="21"/>
          <w:lang w:eastAsia="zh-CN"/>
        </w:rPr>
        <w:t>原材料使用数量、售卖总金额、投诉等相关情况，并登记在册以供甲方检查。</w:t>
      </w:r>
    </w:p>
    <w:p w14:paraId="33BEA824">
      <w:pPr>
        <w:snapToGrid w:val="0"/>
        <w:spacing w:line="360" w:lineRule="auto"/>
        <w:ind w:firstLine="480" w:firstLineChars="200"/>
        <w:rPr>
          <w:rFonts w:cs="仿宋" w:asciiTheme="minorEastAsia" w:hAnsiTheme="minorEastAsia"/>
          <w:szCs w:val="21"/>
          <w:lang w:eastAsia="zh-CN"/>
        </w:rPr>
      </w:pPr>
      <w:r>
        <w:rPr>
          <w:rFonts w:cs="仿宋" w:asciiTheme="minorEastAsia" w:hAnsiTheme="minorEastAsia"/>
          <w:szCs w:val="21"/>
          <w:lang w:eastAsia="zh-CN"/>
        </w:rPr>
        <w:t>3</w:t>
      </w:r>
      <w:r>
        <w:rPr>
          <w:rFonts w:hint="eastAsia" w:cs="仿宋" w:asciiTheme="minorEastAsia" w:hAnsiTheme="minorEastAsia"/>
          <w:szCs w:val="21"/>
          <w:lang w:eastAsia="zh-CN"/>
        </w:rPr>
        <w:t>、承担乙方有关办公用品、员工工作服、工作帽、口罩等物资，承担餐具和餐厅的清洁、消毒工作。所有餐具的清洗和消毒必须专人负责；食具清洗必须做到一洗、二刷、三冲、四消毒、五保洁；清洗完的食具必须无污垢、无油渍、无残渣；消毒后食具应该无水、干爽、无油迹、无污迹、无异味。</w:t>
      </w:r>
    </w:p>
    <w:p w14:paraId="28E4EBF7">
      <w:pPr>
        <w:snapToGrid w:val="0"/>
        <w:spacing w:line="360" w:lineRule="auto"/>
        <w:ind w:firstLine="480" w:firstLineChars="200"/>
        <w:rPr>
          <w:rFonts w:cs="仿宋" w:asciiTheme="minorEastAsia" w:hAnsiTheme="minorEastAsia"/>
          <w:szCs w:val="21"/>
          <w:lang w:eastAsia="zh-CN"/>
        </w:rPr>
      </w:pPr>
      <w:r>
        <w:rPr>
          <w:rFonts w:cs="仿宋" w:asciiTheme="minorEastAsia" w:hAnsiTheme="minorEastAsia"/>
          <w:szCs w:val="21"/>
          <w:lang w:eastAsia="zh-CN"/>
        </w:rPr>
        <w:t>4</w:t>
      </w:r>
      <w:r>
        <w:rPr>
          <w:rFonts w:hint="eastAsia" w:cs="仿宋" w:asciiTheme="minorEastAsia" w:hAnsiTheme="minorEastAsia"/>
          <w:szCs w:val="21"/>
          <w:lang w:eastAsia="zh-CN"/>
        </w:rPr>
        <w:t>、承担乙方员工工资、社保、交通、福利、奖金薪酬等费用开支。乙方须按深圳市劳动法规的相关规定，为所有选派到本项目的工作人员办理工伤、养老等保险并签定劳动合同。乙方人员的工资水平不得低于深圳市劳务工最低工资标准。</w:t>
      </w:r>
    </w:p>
    <w:p w14:paraId="4021ED3B">
      <w:pPr>
        <w:snapToGrid w:val="0"/>
        <w:spacing w:line="360" w:lineRule="auto"/>
        <w:ind w:firstLine="600" w:firstLineChars="250"/>
        <w:rPr>
          <w:rFonts w:cs="仿宋" w:asciiTheme="minorEastAsia" w:hAnsiTheme="minorEastAsia"/>
          <w:szCs w:val="21"/>
          <w:lang w:eastAsia="zh-CN"/>
        </w:rPr>
      </w:pPr>
      <w:r>
        <w:rPr>
          <w:rFonts w:cs="仿宋" w:asciiTheme="minorEastAsia" w:hAnsiTheme="minorEastAsia"/>
          <w:szCs w:val="21"/>
          <w:lang w:eastAsia="zh-CN"/>
        </w:rPr>
        <w:t>5</w:t>
      </w:r>
      <w:r>
        <w:rPr>
          <w:rFonts w:hint="eastAsia" w:cs="仿宋" w:asciiTheme="minorEastAsia" w:hAnsiTheme="minorEastAsia"/>
          <w:szCs w:val="21"/>
          <w:lang w:eastAsia="zh-CN"/>
        </w:rPr>
        <w:t>、合理使用和维护餐厅设备和水电设施等，如乙方员工人为因素造成甲方提供的就餐场地、设备、用具及物品损害，乙方需承担维修和照价赔偿义务。</w:t>
      </w:r>
    </w:p>
    <w:p w14:paraId="26792E94">
      <w:pPr>
        <w:snapToGrid w:val="0"/>
        <w:spacing w:line="360" w:lineRule="auto"/>
        <w:ind w:firstLine="600" w:firstLineChars="250"/>
        <w:rPr>
          <w:rFonts w:cs="仿宋" w:asciiTheme="minorEastAsia" w:hAnsiTheme="minorEastAsia"/>
          <w:szCs w:val="21"/>
          <w:lang w:eastAsia="zh-CN"/>
        </w:rPr>
      </w:pPr>
      <w:r>
        <w:rPr>
          <w:rFonts w:cs="仿宋" w:asciiTheme="minorEastAsia" w:hAnsiTheme="minorEastAsia"/>
          <w:szCs w:val="21"/>
          <w:lang w:eastAsia="zh-CN"/>
        </w:rPr>
        <w:t>6</w:t>
      </w:r>
      <w:r>
        <w:rPr>
          <w:rFonts w:hint="eastAsia" w:cs="仿宋" w:asciiTheme="minorEastAsia" w:hAnsiTheme="minorEastAsia"/>
          <w:szCs w:val="21"/>
          <w:lang w:eastAsia="zh-CN"/>
        </w:rPr>
        <w:t>、乙方供应的饭菜必须具备保温，确保饭、汤、菜的食用温度。</w:t>
      </w:r>
    </w:p>
    <w:p w14:paraId="1EDE60B7">
      <w:pPr>
        <w:snapToGrid w:val="0"/>
        <w:spacing w:line="360" w:lineRule="auto"/>
        <w:ind w:firstLine="600" w:firstLineChars="250"/>
        <w:rPr>
          <w:rFonts w:cs="仿宋" w:asciiTheme="minorEastAsia" w:hAnsiTheme="minorEastAsia"/>
          <w:szCs w:val="21"/>
          <w:lang w:eastAsia="zh-CN"/>
        </w:rPr>
      </w:pPr>
      <w:r>
        <w:rPr>
          <w:rFonts w:cs="仿宋" w:asciiTheme="minorEastAsia" w:hAnsiTheme="minorEastAsia"/>
          <w:szCs w:val="21"/>
          <w:lang w:eastAsia="zh-CN"/>
        </w:rPr>
        <w:t>7</w:t>
      </w:r>
      <w:r>
        <w:rPr>
          <w:rFonts w:hint="eastAsia" w:cs="仿宋" w:asciiTheme="minorEastAsia" w:hAnsiTheme="minorEastAsia"/>
          <w:szCs w:val="21"/>
          <w:lang w:eastAsia="zh-CN"/>
        </w:rPr>
        <w:t>、乙方应接受就餐人员的投诉和批评，为甲方提供保质保量、优质快捷的服务；应广泛搜集并整理就餐人员的建议和意见，尽量满足大多数就餐者的口味、品种。</w:t>
      </w:r>
    </w:p>
    <w:p w14:paraId="0FB88228">
      <w:pPr>
        <w:snapToGrid w:val="0"/>
        <w:spacing w:line="360" w:lineRule="auto"/>
        <w:ind w:firstLine="480" w:firstLineChars="200"/>
        <w:rPr>
          <w:rFonts w:cs="仿宋" w:asciiTheme="minorEastAsia" w:hAnsiTheme="minorEastAsia"/>
          <w:szCs w:val="21"/>
          <w:lang w:eastAsia="zh-CN"/>
        </w:rPr>
      </w:pPr>
      <w:r>
        <w:rPr>
          <w:rFonts w:cs="仿宋" w:asciiTheme="minorEastAsia" w:hAnsiTheme="minorEastAsia"/>
          <w:szCs w:val="21"/>
          <w:lang w:eastAsia="zh-CN"/>
        </w:rPr>
        <w:t>8</w:t>
      </w:r>
      <w:r>
        <w:rPr>
          <w:rFonts w:hint="eastAsia" w:cs="仿宋" w:asciiTheme="minorEastAsia" w:hAnsiTheme="minorEastAsia"/>
          <w:szCs w:val="21"/>
          <w:lang w:eastAsia="zh-CN"/>
        </w:rPr>
        <w:t>、乙方现场上岗工作人员必须持有国家卫生主管部门颁发的有效健康证明和资格证，严格按《食品卫生法》有关要求组织生产，保证食品质量及食品卫生安全。</w:t>
      </w:r>
    </w:p>
    <w:p w14:paraId="1C229950">
      <w:pPr>
        <w:snapToGrid w:val="0"/>
        <w:spacing w:line="360" w:lineRule="auto"/>
        <w:ind w:firstLine="480" w:firstLineChars="200"/>
        <w:rPr>
          <w:rFonts w:cs="仿宋" w:asciiTheme="minorEastAsia" w:hAnsiTheme="minorEastAsia"/>
          <w:szCs w:val="21"/>
          <w:lang w:eastAsia="zh-CN"/>
        </w:rPr>
      </w:pPr>
      <w:r>
        <w:rPr>
          <w:rFonts w:cs="仿宋" w:asciiTheme="minorEastAsia" w:hAnsiTheme="minorEastAsia"/>
          <w:szCs w:val="21"/>
          <w:lang w:eastAsia="zh-CN"/>
        </w:rPr>
        <w:t>9</w:t>
      </w:r>
      <w:r>
        <w:rPr>
          <w:rFonts w:hint="eastAsia" w:cs="仿宋" w:asciiTheme="minorEastAsia" w:hAnsiTheme="minorEastAsia"/>
          <w:szCs w:val="21"/>
          <w:lang w:eastAsia="zh-CN"/>
        </w:rPr>
        <w:t>、服从甲方治安、消防安全、环保等方面的管理，乙方人员只能在指定范围内活动，并应佩带专用临时通行证；未经甲方许可，乙方所有工作人员不得随意进入甲方其他场所，不得干扰所入驻单位的工作。如发现、甲方有权制止，且乙方应</w:t>
      </w:r>
      <w:r>
        <w:rPr>
          <w:rFonts w:cs="仿宋" w:asciiTheme="minorEastAsia" w:hAnsiTheme="minorEastAsia"/>
          <w:szCs w:val="21"/>
          <w:lang w:eastAsia="zh-CN"/>
        </w:rPr>
        <w:t>根据甲方的建议</w:t>
      </w:r>
      <w:r>
        <w:rPr>
          <w:rFonts w:hint="eastAsia" w:cs="仿宋" w:asciiTheme="minorEastAsia" w:hAnsiTheme="minorEastAsia"/>
          <w:szCs w:val="21"/>
          <w:lang w:eastAsia="zh-CN"/>
        </w:rPr>
        <w:t>对该员工进行相应的</w:t>
      </w:r>
      <w:r>
        <w:rPr>
          <w:rFonts w:cs="仿宋" w:asciiTheme="minorEastAsia" w:hAnsiTheme="minorEastAsia"/>
          <w:szCs w:val="21"/>
          <w:lang w:eastAsia="zh-CN"/>
        </w:rPr>
        <w:t>处理</w:t>
      </w:r>
      <w:r>
        <w:rPr>
          <w:rFonts w:hint="eastAsia" w:cs="仿宋" w:asciiTheme="minorEastAsia" w:hAnsiTheme="minorEastAsia"/>
          <w:szCs w:val="21"/>
          <w:lang w:eastAsia="zh-CN"/>
        </w:rPr>
        <w:t>。乙方须配置安全、消防责任人，并书面明确责任制度，确保食堂操作间的消防安全和防盗安全，如因乙方工作人员失职导致食堂操作间发生消防安全事故和盗窃事故，甲方将依法追求乙方法律责任并有权要求乙方赔偿损失直至解除合同和追究违约责任。</w:t>
      </w:r>
    </w:p>
    <w:p w14:paraId="30E3A042">
      <w:pPr>
        <w:snapToGrid w:val="0"/>
        <w:spacing w:line="360" w:lineRule="auto"/>
        <w:ind w:firstLine="480" w:firstLineChars="200"/>
        <w:rPr>
          <w:rFonts w:cs="仿宋" w:asciiTheme="minorEastAsia" w:hAnsiTheme="minorEastAsia"/>
          <w:szCs w:val="21"/>
          <w:lang w:eastAsia="zh-CN"/>
        </w:rPr>
      </w:pPr>
      <w:r>
        <w:rPr>
          <w:rFonts w:cs="仿宋" w:asciiTheme="minorEastAsia" w:hAnsiTheme="minorEastAsia"/>
          <w:szCs w:val="21"/>
          <w:lang w:eastAsia="zh-CN"/>
        </w:rPr>
        <w:t>10</w:t>
      </w:r>
      <w:r>
        <w:rPr>
          <w:rFonts w:hint="eastAsia" w:cs="仿宋" w:asciiTheme="minorEastAsia" w:hAnsiTheme="minorEastAsia"/>
          <w:szCs w:val="21"/>
          <w:lang w:eastAsia="zh-CN"/>
        </w:rPr>
        <w:t>、乙方应保持餐饮项目就餐场地的清洁卫生（包括地面、台面、配餐台的设施设备及下水管道等），餐后乙方应将餐具用品、剩饭、剩菜等及时运离供餐现场，将现场清理干净。剩饭、剩菜放在甲方指定的地方，由甲方处理。餐厨垃圾要按照上级有关部门要求，进行科学分类，以便实现无害化处理。如甲方发现乙方未履行该项义务或经甲方检查不合格，甲方有权责令乙方立即整改。</w:t>
      </w:r>
    </w:p>
    <w:p w14:paraId="0805F994">
      <w:pPr>
        <w:snapToGrid w:val="0"/>
        <w:spacing w:line="360" w:lineRule="auto"/>
        <w:ind w:firstLine="600" w:firstLineChars="250"/>
        <w:rPr>
          <w:rFonts w:cs="仿宋" w:asciiTheme="minorEastAsia" w:hAnsiTheme="minorEastAsia"/>
          <w:szCs w:val="21"/>
          <w:lang w:eastAsia="zh-CN"/>
        </w:rPr>
      </w:pPr>
      <w:r>
        <w:rPr>
          <w:rFonts w:cs="仿宋" w:asciiTheme="minorEastAsia" w:hAnsiTheme="minorEastAsia"/>
          <w:szCs w:val="21"/>
          <w:lang w:eastAsia="zh-CN"/>
        </w:rPr>
        <w:t>11</w:t>
      </w:r>
      <w:r>
        <w:rPr>
          <w:rFonts w:hint="eastAsia" w:cs="仿宋" w:asciiTheme="minorEastAsia" w:hAnsiTheme="minorEastAsia"/>
          <w:szCs w:val="21"/>
          <w:lang w:eastAsia="zh-CN"/>
        </w:rPr>
        <w:t>、乙方设专门人员具体负责食品留样工作。当日供应的各种菜肴（包括面食制品），均取样留存48小时，并做好记录。乙方因原材料加工、制作过程出现问题而导致的食物中毒或因乙方厨师食材搭配错误，造成就餐人员身体不适等食品安全事故，乙方应自行负责并承担责任，与甲方无关。</w:t>
      </w:r>
    </w:p>
    <w:p w14:paraId="3564FE9C">
      <w:pPr>
        <w:snapToGrid w:val="0"/>
        <w:spacing w:line="360" w:lineRule="auto"/>
        <w:ind w:firstLine="480" w:firstLineChars="200"/>
        <w:rPr>
          <w:rFonts w:cs="仿宋" w:asciiTheme="minorEastAsia" w:hAnsiTheme="minorEastAsia"/>
          <w:szCs w:val="21"/>
          <w:lang w:eastAsia="zh-CN"/>
        </w:rPr>
      </w:pPr>
      <w:r>
        <w:rPr>
          <w:rFonts w:hint="eastAsia" w:cs="仿宋" w:asciiTheme="minorEastAsia" w:hAnsiTheme="minorEastAsia"/>
          <w:szCs w:val="21"/>
          <w:lang w:eastAsia="zh-CN"/>
        </w:rPr>
        <w:t>1</w:t>
      </w:r>
      <w:r>
        <w:rPr>
          <w:rFonts w:cs="仿宋" w:asciiTheme="minorEastAsia" w:hAnsiTheme="minorEastAsia"/>
          <w:szCs w:val="21"/>
          <w:lang w:eastAsia="zh-CN"/>
        </w:rPr>
        <w:t>2</w:t>
      </w:r>
      <w:r>
        <w:rPr>
          <w:rFonts w:hint="eastAsia" w:cs="仿宋" w:asciiTheme="minorEastAsia" w:hAnsiTheme="minorEastAsia"/>
          <w:szCs w:val="21"/>
          <w:lang w:eastAsia="zh-CN"/>
        </w:rPr>
        <w:t>、乙方应教育好自己的员工，无论何等原因均不得与就餐人员发生争吵或其他形式的争执。</w:t>
      </w:r>
    </w:p>
    <w:p w14:paraId="38091B02">
      <w:pPr>
        <w:snapToGrid w:val="0"/>
        <w:spacing w:line="360" w:lineRule="auto"/>
        <w:ind w:firstLine="480" w:firstLineChars="200"/>
        <w:rPr>
          <w:rFonts w:cs="仿宋" w:asciiTheme="minorEastAsia" w:hAnsiTheme="minorEastAsia"/>
          <w:szCs w:val="21"/>
          <w:lang w:eastAsia="zh-CN"/>
        </w:rPr>
      </w:pPr>
      <w:r>
        <w:rPr>
          <w:rFonts w:hint="eastAsia" w:cs="仿宋" w:asciiTheme="minorEastAsia" w:hAnsiTheme="minorEastAsia"/>
          <w:szCs w:val="21"/>
          <w:lang w:eastAsia="zh-CN"/>
        </w:rPr>
        <w:t>1</w:t>
      </w:r>
      <w:r>
        <w:rPr>
          <w:rFonts w:cs="仿宋" w:asciiTheme="minorEastAsia" w:hAnsiTheme="minorEastAsia"/>
          <w:szCs w:val="21"/>
          <w:lang w:eastAsia="zh-CN"/>
        </w:rPr>
        <w:t>3</w:t>
      </w:r>
      <w:r>
        <w:rPr>
          <w:rFonts w:hint="eastAsia" w:cs="仿宋" w:asciiTheme="minorEastAsia" w:hAnsiTheme="minorEastAsia"/>
          <w:szCs w:val="21"/>
          <w:lang w:eastAsia="zh-CN"/>
        </w:rPr>
        <w:t>、乙方需为本项目正式录用的工作人员每月按照不少于最低工资标准购买“五险一金”，且签订合同后每月需提供有效保单给甲方查验及存档，承诺中标后为本项目员工购买社保一档医疗保险（员工自愿放弃的除外）。</w:t>
      </w:r>
    </w:p>
    <w:p w14:paraId="61C9E46E">
      <w:pPr>
        <w:snapToGrid w:val="0"/>
        <w:spacing w:line="360" w:lineRule="auto"/>
        <w:ind w:firstLine="480" w:firstLineChars="200"/>
        <w:rPr>
          <w:rFonts w:cs="仿宋" w:asciiTheme="minorEastAsia" w:hAnsiTheme="minorEastAsia"/>
          <w:szCs w:val="21"/>
          <w:lang w:eastAsia="zh-CN"/>
        </w:rPr>
      </w:pPr>
      <w:r>
        <w:rPr>
          <w:rFonts w:hint="eastAsia" w:cs="仿宋" w:asciiTheme="minorEastAsia" w:hAnsiTheme="minorEastAsia"/>
          <w:szCs w:val="21"/>
          <w:lang w:eastAsia="zh-CN"/>
        </w:rPr>
        <w:t>1</w:t>
      </w:r>
      <w:r>
        <w:rPr>
          <w:rFonts w:cs="仿宋" w:asciiTheme="minorEastAsia" w:hAnsiTheme="minorEastAsia"/>
          <w:szCs w:val="21"/>
          <w:lang w:eastAsia="zh-CN"/>
        </w:rPr>
        <w:t>4</w:t>
      </w:r>
      <w:r>
        <w:rPr>
          <w:rFonts w:hint="eastAsia" w:cs="仿宋" w:asciiTheme="minorEastAsia" w:hAnsiTheme="minorEastAsia"/>
          <w:szCs w:val="21"/>
          <w:lang w:eastAsia="zh-CN"/>
        </w:rPr>
        <w:t>、乙方固定配备员工的工作服、服务员统一服装配饰、鞋、帽等的购买及日常清洗等均由乙方自理。乙方应按甲方要求的形象气质招聘符合标准的服务人员，人员工作期间必须注重个人仪表，穿工作服上班，统一装束，并保持清洁、整齐、无污渍。</w:t>
      </w:r>
    </w:p>
    <w:p w14:paraId="757551FA">
      <w:pPr>
        <w:snapToGrid w:val="0"/>
        <w:spacing w:line="360" w:lineRule="auto"/>
        <w:ind w:firstLine="480" w:firstLineChars="200"/>
        <w:rPr>
          <w:rFonts w:cs="仿宋" w:asciiTheme="minorEastAsia" w:hAnsiTheme="minorEastAsia"/>
          <w:szCs w:val="21"/>
          <w:lang w:eastAsia="zh-CN"/>
        </w:rPr>
      </w:pPr>
      <w:r>
        <w:rPr>
          <w:rFonts w:hint="eastAsia" w:cs="仿宋" w:asciiTheme="minorEastAsia" w:hAnsiTheme="minorEastAsia"/>
          <w:szCs w:val="21"/>
          <w:lang w:eastAsia="zh-CN"/>
        </w:rPr>
        <w:t>1</w:t>
      </w:r>
      <w:r>
        <w:rPr>
          <w:rFonts w:cs="仿宋" w:asciiTheme="minorEastAsia" w:hAnsiTheme="minorEastAsia"/>
          <w:szCs w:val="21"/>
          <w:lang w:eastAsia="zh-CN"/>
        </w:rPr>
        <w:t>5</w:t>
      </w:r>
      <w:r>
        <w:rPr>
          <w:rFonts w:hint="eastAsia" w:cs="仿宋" w:asciiTheme="minorEastAsia" w:hAnsiTheme="minorEastAsia"/>
          <w:szCs w:val="21"/>
          <w:lang w:eastAsia="zh-CN"/>
        </w:rPr>
        <w:t>、未经甲方同意，乙方工作人员不得带亲朋至甲方餐厅就餐。不得携带甲方餐厅的任何设备、餐具、原料、食品、饮料离开食堂。</w:t>
      </w:r>
    </w:p>
    <w:p w14:paraId="0A02CBF5">
      <w:pPr>
        <w:snapToGrid w:val="0"/>
        <w:spacing w:line="360" w:lineRule="auto"/>
        <w:ind w:firstLine="480" w:firstLineChars="200"/>
        <w:rPr>
          <w:rFonts w:cs="仿宋" w:asciiTheme="minorEastAsia" w:hAnsiTheme="minorEastAsia"/>
          <w:szCs w:val="21"/>
          <w:lang w:eastAsia="zh-CN"/>
        </w:rPr>
      </w:pPr>
      <w:r>
        <w:rPr>
          <w:rFonts w:hint="eastAsia" w:cs="仿宋" w:asciiTheme="minorEastAsia" w:hAnsiTheme="minorEastAsia"/>
          <w:szCs w:val="21"/>
          <w:lang w:eastAsia="zh-CN"/>
        </w:rPr>
        <w:t>1</w:t>
      </w:r>
      <w:r>
        <w:rPr>
          <w:rFonts w:cs="仿宋" w:asciiTheme="minorEastAsia" w:hAnsiTheme="minorEastAsia"/>
          <w:szCs w:val="21"/>
          <w:lang w:eastAsia="zh-CN"/>
        </w:rPr>
        <w:t>6</w:t>
      </w:r>
      <w:r>
        <w:rPr>
          <w:rFonts w:hint="eastAsia" w:cs="仿宋" w:asciiTheme="minorEastAsia" w:hAnsiTheme="minorEastAsia"/>
          <w:szCs w:val="21"/>
          <w:lang w:eastAsia="zh-CN"/>
        </w:rPr>
        <w:t>、乙方应以节约为原则，不浪费水、电、物料等，净化水仅限于食用和淘米并不得做其他用途。乙方有责任保管好甲方委托其代管的餐具、设备或其他用品，消耗品按仓储规定管理，耐用品双方交接时办好书面移交手续，每半年协助甲方盘点一次。耐用品因合理原因损耗的，乙方应在损坏时立即报甲方仓管验明并记录，因乙方人为原因造成耐用品损耗，由乙方负责添加。</w:t>
      </w:r>
    </w:p>
    <w:p w14:paraId="1C945528">
      <w:pPr>
        <w:snapToGrid w:val="0"/>
        <w:spacing w:line="360" w:lineRule="auto"/>
        <w:ind w:firstLine="480" w:firstLineChars="200"/>
        <w:rPr>
          <w:rFonts w:cs="仿宋" w:asciiTheme="minorEastAsia" w:hAnsiTheme="minorEastAsia"/>
          <w:szCs w:val="21"/>
          <w:lang w:eastAsia="zh-CN"/>
        </w:rPr>
      </w:pPr>
      <w:r>
        <w:rPr>
          <w:rFonts w:hint="eastAsia" w:cs="仿宋" w:asciiTheme="minorEastAsia" w:hAnsiTheme="minorEastAsia"/>
          <w:szCs w:val="21"/>
          <w:lang w:eastAsia="zh-CN"/>
        </w:rPr>
        <w:t>17、乙方严格遵循深圳市第二高级中学深汕学校内各项管理制度，服从学校管理，维护好甲方校园环境。</w:t>
      </w:r>
    </w:p>
    <w:p w14:paraId="1C2B035B">
      <w:pPr>
        <w:snapToGrid w:val="0"/>
        <w:spacing w:line="360" w:lineRule="auto"/>
        <w:ind w:firstLine="240" w:firstLineChars="100"/>
        <w:rPr>
          <w:rFonts w:cs="仿宋" w:asciiTheme="minorEastAsia" w:hAnsiTheme="minorEastAsia"/>
          <w:szCs w:val="21"/>
          <w:lang w:eastAsia="zh-CN"/>
        </w:rPr>
      </w:pPr>
      <w:r>
        <w:rPr>
          <w:rFonts w:hint="eastAsia" w:cs="仿宋" w:asciiTheme="minorEastAsia" w:hAnsiTheme="minorEastAsia"/>
          <w:szCs w:val="21"/>
          <w:lang w:eastAsia="zh-CN"/>
        </w:rPr>
        <w:t>第五条  甲方</w:t>
      </w:r>
      <w:r>
        <w:rPr>
          <w:rFonts w:cs="仿宋" w:asciiTheme="minorEastAsia" w:hAnsiTheme="minorEastAsia"/>
          <w:szCs w:val="21"/>
          <w:lang w:eastAsia="zh-CN"/>
        </w:rPr>
        <w:t>的权利</w:t>
      </w:r>
    </w:p>
    <w:p w14:paraId="7D90EF6D">
      <w:pPr>
        <w:snapToGrid w:val="0"/>
        <w:spacing w:line="360" w:lineRule="auto"/>
        <w:ind w:firstLine="480" w:firstLineChars="200"/>
        <w:rPr>
          <w:rFonts w:cs="仿宋" w:asciiTheme="minorEastAsia" w:hAnsiTheme="minorEastAsia"/>
          <w:szCs w:val="21"/>
          <w:lang w:eastAsia="zh-CN"/>
        </w:rPr>
      </w:pPr>
      <w:r>
        <w:rPr>
          <w:rFonts w:hint="eastAsia" w:asciiTheme="minorEastAsia" w:hAnsiTheme="minorEastAsia"/>
          <w:color w:val="000000"/>
          <w:szCs w:val="21"/>
          <w:lang w:eastAsia="zh-CN"/>
        </w:rPr>
        <w:t>1、甲方有权对本项目资金的投入情况（主要是人员费用支出情况）进行监管。</w:t>
      </w:r>
    </w:p>
    <w:p w14:paraId="2D3CB955">
      <w:pPr>
        <w:snapToGrid w:val="0"/>
        <w:spacing w:line="360" w:lineRule="auto"/>
        <w:ind w:firstLine="570"/>
        <w:rPr>
          <w:rFonts w:cs="仿宋" w:asciiTheme="minorEastAsia" w:hAnsiTheme="minorEastAsia"/>
          <w:szCs w:val="21"/>
          <w:lang w:eastAsia="zh-CN"/>
        </w:rPr>
      </w:pPr>
      <w:r>
        <w:rPr>
          <w:rFonts w:cs="仿宋" w:asciiTheme="minorEastAsia" w:hAnsiTheme="minorEastAsia"/>
          <w:szCs w:val="21"/>
          <w:lang w:eastAsia="zh-CN"/>
        </w:rPr>
        <w:t>2</w:t>
      </w:r>
      <w:r>
        <w:rPr>
          <w:rFonts w:hint="eastAsia" w:cs="仿宋" w:asciiTheme="minorEastAsia" w:hAnsiTheme="minorEastAsia"/>
          <w:szCs w:val="21"/>
          <w:lang w:eastAsia="zh-CN"/>
        </w:rPr>
        <w:t>、食堂监管人员和财务仓管人员等由甲方选定，专门负责管理、监督、协调乙方服务餐饮项目，执行合同中甲方权利和义务。</w:t>
      </w:r>
    </w:p>
    <w:p w14:paraId="19F067DF">
      <w:pPr>
        <w:snapToGrid w:val="0"/>
        <w:spacing w:line="360" w:lineRule="auto"/>
        <w:ind w:firstLine="480" w:firstLineChars="200"/>
        <w:rPr>
          <w:rFonts w:cs="仿宋" w:asciiTheme="minorEastAsia" w:hAnsiTheme="minorEastAsia"/>
          <w:szCs w:val="21"/>
          <w:lang w:eastAsia="zh-CN"/>
        </w:rPr>
      </w:pPr>
      <w:r>
        <w:rPr>
          <w:rFonts w:cs="仿宋" w:asciiTheme="minorEastAsia" w:hAnsiTheme="minorEastAsia"/>
          <w:szCs w:val="21"/>
          <w:lang w:eastAsia="zh-CN"/>
        </w:rPr>
        <w:t>3</w:t>
      </w:r>
      <w:r>
        <w:rPr>
          <w:rFonts w:hint="eastAsia" w:cs="仿宋" w:asciiTheme="minorEastAsia" w:hAnsiTheme="minorEastAsia"/>
          <w:szCs w:val="21"/>
          <w:lang w:eastAsia="zh-CN"/>
        </w:rPr>
        <w:t>、按本合同有关规定及国家有关法律、法规、规章的规定和政府规范性文件、行业标准，以及乙方的各项承诺，对乙方食品的质量、卫生、服务、安全和现场人员的管理等方面进行全面监督，有权就监督情况向乙方提出整改意见，并要求乙方及时予以整改；并有权根据具体情况对乙方违约行为要求乙方承担相应的违约责任，有权建议有关部门对其进行行政处罚。</w:t>
      </w:r>
    </w:p>
    <w:p w14:paraId="05F1F075">
      <w:pPr>
        <w:snapToGrid w:val="0"/>
        <w:spacing w:line="360" w:lineRule="auto"/>
        <w:ind w:firstLine="480" w:firstLineChars="200"/>
        <w:rPr>
          <w:rFonts w:cs="仿宋" w:asciiTheme="minorEastAsia" w:hAnsiTheme="minorEastAsia"/>
          <w:szCs w:val="21"/>
          <w:lang w:eastAsia="zh-CN"/>
        </w:rPr>
      </w:pPr>
      <w:r>
        <w:rPr>
          <w:rFonts w:cs="仿宋" w:asciiTheme="minorEastAsia" w:hAnsiTheme="minorEastAsia"/>
          <w:szCs w:val="21"/>
          <w:lang w:eastAsia="zh-CN"/>
        </w:rPr>
        <w:t>4</w:t>
      </w:r>
      <w:r>
        <w:rPr>
          <w:rFonts w:hint="eastAsia" w:cs="仿宋" w:asciiTheme="minorEastAsia" w:hAnsiTheme="minorEastAsia"/>
          <w:szCs w:val="21"/>
          <w:lang w:eastAsia="zh-CN"/>
        </w:rPr>
        <w:t>、甲方有权要求乙方提供有效的工作人员厨师证、健康证、卫生知识培训合格证等证件，并可随时抽查，乙方需按时办理员工的劳动保险和各种经营手续。甲方经检查发现没有有效健康证的乙方员工，有权要求乙方予以更换。</w:t>
      </w:r>
    </w:p>
    <w:p w14:paraId="212BB1E1">
      <w:pPr>
        <w:snapToGrid w:val="0"/>
        <w:spacing w:line="360" w:lineRule="auto"/>
        <w:ind w:firstLine="480" w:firstLineChars="200"/>
        <w:rPr>
          <w:rFonts w:cs="仿宋" w:asciiTheme="minorEastAsia" w:hAnsiTheme="minorEastAsia"/>
          <w:szCs w:val="21"/>
          <w:lang w:eastAsia="zh-CN"/>
        </w:rPr>
      </w:pPr>
      <w:r>
        <w:rPr>
          <w:rFonts w:cs="仿宋" w:asciiTheme="minorEastAsia" w:hAnsiTheme="minorEastAsia"/>
          <w:szCs w:val="21"/>
          <w:lang w:eastAsia="zh-CN"/>
        </w:rPr>
        <w:t>5</w:t>
      </w:r>
      <w:r>
        <w:rPr>
          <w:rFonts w:hint="eastAsia" w:cs="仿宋" w:asciiTheme="minorEastAsia" w:hAnsiTheme="minorEastAsia"/>
          <w:szCs w:val="21"/>
          <w:lang w:eastAsia="zh-CN"/>
        </w:rPr>
        <w:t>、甲方有权对不遵守本合同规定的乙方管理和生产服务人员进行管理、监督和批评教育，对服务不到位或不服从管理的有关人员有权要求乙方处理，乙方须按要求予以及时更换。</w:t>
      </w:r>
    </w:p>
    <w:p w14:paraId="659DAC6C">
      <w:pPr>
        <w:snapToGrid w:val="0"/>
        <w:spacing w:line="360" w:lineRule="auto"/>
        <w:ind w:firstLine="240" w:firstLineChars="100"/>
        <w:rPr>
          <w:rFonts w:cs="仿宋" w:asciiTheme="minorEastAsia" w:hAnsiTheme="minorEastAsia"/>
          <w:szCs w:val="21"/>
          <w:lang w:eastAsia="zh-CN"/>
        </w:rPr>
      </w:pPr>
      <w:r>
        <w:rPr>
          <w:rFonts w:hint="eastAsia" w:cs="仿宋" w:asciiTheme="minorEastAsia" w:hAnsiTheme="minorEastAsia"/>
          <w:szCs w:val="21"/>
          <w:lang w:eastAsia="zh-CN"/>
        </w:rPr>
        <w:t>第六条  乙方</w:t>
      </w:r>
      <w:r>
        <w:rPr>
          <w:rFonts w:cs="仿宋" w:asciiTheme="minorEastAsia" w:hAnsiTheme="minorEastAsia"/>
          <w:szCs w:val="21"/>
          <w:lang w:eastAsia="zh-CN"/>
        </w:rPr>
        <w:t>的权利</w:t>
      </w:r>
    </w:p>
    <w:p w14:paraId="2DA100D7">
      <w:pPr>
        <w:snapToGrid w:val="0"/>
        <w:spacing w:line="360" w:lineRule="auto"/>
        <w:ind w:firstLine="480" w:firstLineChars="200"/>
        <w:rPr>
          <w:rFonts w:cs="仿宋" w:asciiTheme="minorEastAsia" w:hAnsiTheme="minorEastAsia"/>
          <w:szCs w:val="21"/>
          <w:lang w:eastAsia="zh-CN"/>
        </w:rPr>
      </w:pPr>
      <w:r>
        <w:rPr>
          <w:rFonts w:hint="eastAsia" w:cs="仿宋" w:asciiTheme="minorEastAsia" w:hAnsiTheme="minorEastAsia"/>
          <w:szCs w:val="21"/>
          <w:lang w:eastAsia="zh-CN"/>
        </w:rPr>
        <w:t>1、有权要求甲方在合同约定的时间内及时提供使用场地的主要设备。</w:t>
      </w:r>
    </w:p>
    <w:p w14:paraId="3A705A08">
      <w:pPr>
        <w:snapToGrid w:val="0"/>
        <w:spacing w:line="360" w:lineRule="auto"/>
        <w:ind w:firstLine="480" w:firstLineChars="200"/>
        <w:rPr>
          <w:rFonts w:cs="仿宋" w:asciiTheme="minorEastAsia" w:hAnsiTheme="minorEastAsia"/>
          <w:szCs w:val="21"/>
          <w:lang w:eastAsia="zh-CN"/>
        </w:rPr>
      </w:pPr>
      <w:r>
        <w:rPr>
          <w:rFonts w:hint="eastAsia" w:cs="仿宋" w:asciiTheme="minorEastAsia" w:hAnsiTheme="minorEastAsia"/>
          <w:szCs w:val="21"/>
          <w:lang w:eastAsia="zh-CN"/>
        </w:rPr>
        <w:t>2、有权对甲方就餐人员、监管人员及相关部门的不合理行为向甲方提出投诉。</w:t>
      </w:r>
    </w:p>
    <w:p w14:paraId="6C121685">
      <w:pPr>
        <w:tabs>
          <w:tab w:val="left" w:pos="750"/>
        </w:tabs>
        <w:snapToGrid w:val="0"/>
        <w:spacing w:line="360" w:lineRule="auto"/>
        <w:ind w:firstLine="240" w:firstLineChars="100"/>
        <w:rPr>
          <w:rFonts w:cs="仿宋" w:asciiTheme="minorEastAsia" w:hAnsiTheme="minorEastAsia"/>
          <w:szCs w:val="21"/>
          <w:lang w:eastAsia="zh-CN"/>
        </w:rPr>
      </w:pPr>
      <w:r>
        <w:rPr>
          <w:rFonts w:hint="eastAsia" w:cs="仿宋" w:asciiTheme="minorEastAsia" w:hAnsiTheme="minorEastAsia"/>
          <w:szCs w:val="21"/>
          <w:lang w:eastAsia="zh-CN"/>
        </w:rPr>
        <w:t>第七条  人员要求</w:t>
      </w:r>
    </w:p>
    <w:p w14:paraId="3F3C32F1">
      <w:pPr>
        <w:tabs>
          <w:tab w:val="left" w:pos="750"/>
        </w:tabs>
        <w:snapToGrid w:val="0"/>
        <w:spacing w:line="360" w:lineRule="auto"/>
        <w:ind w:firstLine="480" w:firstLineChars="200"/>
        <w:rPr>
          <w:rFonts w:asciiTheme="minorEastAsia" w:hAnsiTheme="minorEastAsia"/>
          <w:szCs w:val="21"/>
          <w:lang w:eastAsia="zh-CN"/>
        </w:rPr>
      </w:pPr>
      <w:r>
        <w:rPr>
          <w:rFonts w:hint="eastAsia" w:asciiTheme="minorEastAsia" w:hAnsiTheme="minorEastAsia"/>
          <w:szCs w:val="21"/>
          <w:lang w:eastAsia="zh-CN"/>
        </w:rPr>
        <w:t>1、人员岗位配置要求：需配备厨师长、厨师、面点师及厨工四个岗位。</w:t>
      </w:r>
    </w:p>
    <w:p w14:paraId="3430A32B">
      <w:pPr>
        <w:tabs>
          <w:tab w:val="left" w:pos="750"/>
        </w:tabs>
        <w:snapToGrid w:val="0"/>
        <w:spacing w:line="360" w:lineRule="auto"/>
        <w:ind w:firstLine="480" w:firstLineChars="200"/>
        <w:rPr>
          <w:rFonts w:asciiTheme="minorEastAsia" w:hAnsiTheme="minorEastAsia"/>
          <w:szCs w:val="21"/>
          <w:lang w:eastAsia="zh-CN"/>
        </w:rPr>
      </w:pPr>
      <w:r>
        <w:rPr>
          <w:rFonts w:hint="eastAsia" w:asciiTheme="minorEastAsia" w:hAnsiTheme="minorEastAsia"/>
          <w:szCs w:val="21"/>
          <w:lang w:eastAsia="zh-CN"/>
        </w:rPr>
        <w:t>2、素质要求</w:t>
      </w:r>
    </w:p>
    <w:p w14:paraId="051F465A">
      <w:pPr>
        <w:tabs>
          <w:tab w:val="left" w:pos="750"/>
        </w:tabs>
        <w:snapToGrid w:val="0"/>
        <w:spacing w:line="360" w:lineRule="auto"/>
        <w:ind w:firstLine="480" w:firstLineChars="200"/>
        <w:rPr>
          <w:rFonts w:asciiTheme="minorEastAsia" w:hAnsiTheme="minorEastAsia"/>
          <w:szCs w:val="21"/>
          <w:lang w:eastAsia="zh-CN"/>
        </w:rPr>
      </w:pPr>
      <w:r>
        <w:rPr>
          <w:rFonts w:hint="eastAsia" w:asciiTheme="minorEastAsia" w:hAnsiTheme="minorEastAsia"/>
          <w:szCs w:val="21"/>
          <w:lang w:eastAsia="zh-CN"/>
        </w:rPr>
        <w:t>厨师长（兼项目经理）：具有中式烹调师职业资格（或厨师证）四级（或中级）或以上职称，有2年以上的食堂管理经验，技术精湛，具有食品安全管理员证书。</w:t>
      </w:r>
    </w:p>
    <w:p w14:paraId="37A5CAED">
      <w:pPr>
        <w:tabs>
          <w:tab w:val="left" w:pos="750"/>
        </w:tabs>
        <w:snapToGrid w:val="0"/>
        <w:spacing w:line="360" w:lineRule="auto"/>
        <w:ind w:firstLine="480" w:firstLineChars="200"/>
        <w:rPr>
          <w:rFonts w:asciiTheme="minorEastAsia" w:hAnsiTheme="minorEastAsia"/>
          <w:szCs w:val="21"/>
          <w:lang w:eastAsia="zh-CN"/>
        </w:rPr>
      </w:pPr>
      <w:r>
        <w:rPr>
          <w:rFonts w:hint="eastAsia" w:asciiTheme="minorEastAsia" w:hAnsiTheme="minorEastAsia"/>
          <w:szCs w:val="21"/>
          <w:lang w:eastAsia="zh-CN"/>
        </w:rPr>
        <w:t>厨师：具有中/西式烹调师职业资格（或厨师证）四级（或中级）或以上职称，负责早中晚餐食谱的制作、出品质量、岗位卫生、食材管理等工作。男女不限，工作积极性高、品德良好、具有相关职业证书或具备多年学校或政府机关食堂烹饪工作经验。</w:t>
      </w:r>
    </w:p>
    <w:p w14:paraId="32D8C04A">
      <w:pPr>
        <w:tabs>
          <w:tab w:val="left" w:pos="750"/>
        </w:tabs>
        <w:snapToGrid w:val="0"/>
        <w:spacing w:line="360" w:lineRule="auto"/>
        <w:ind w:firstLine="480" w:firstLineChars="200"/>
        <w:rPr>
          <w:rFonts w:asciiTheme="minorEastAsia" w:hAnsiTheme="minorEastAsia"/>
          <w:szCs w:val="21"/>
          <w:lang w:eastAsia="zh-CN"/>
        </w:rPr>
      </w:pPr>
      <w:r>
        <w:rPr>
          <w:rFonts w:hint="eastAsia" w:asciiTheme="minorEastAsia" w:hAnsiTheme="minorEastAsia"/>
          <w:szCs w:val="21"/>
          <w:lang w:eastAsia="zh-CN"/>
        </w:rPr>
        <w:t>面点师：具备中级（国家职业资格四级）或以上面点师证书，或具备多年学校或政府机关食堂烹饪工作经验或曾获得区级及以上美食烹饪类奖项，负责食堂点心制作。</w:t>
      </w:r>
    </w:p>
    <w:p w14:paraId="1DD8602B">
      <w:pPr>
        <w:snapToGrid w:val="0"/>
        <w:spacing w:line="360" w:lineRule="auto"/>
        <w:ind w:firstLine="480" w:firstLineChars="200"/>
        <w:rPr>
          <w:rFonts w:asciiTheme="minorEastAsia" w:hAnsiTheme="minorEastAsia"/>
          <w:szCs w:val="21"/>
          <w:lang w:eastAsia="zh-CN"/>
        </w:rPr>
      </w:pPr>
      <w:r>
        <w:rPr>
          <w:rFonts w:hint="eastAsia" w:asciiTheme="minorEastAsia" w:hAnsiTheme="minorEastAsia"/>
          <w:szCs w:val="21"/>
          <w:lang w:eastAsia="zh-CN"/>
        </w:rPr>
        <w:t>厨工：负责蔬菜清洗粗加工；餐具、用具、清洗消毒、食堂卫生、负责切配、粗加工、厨房卫生、冰箱及厨具卫生、食品留样、传送饭菜、分餐等工作。男女不限，工作积极性高、品德良好，吃苦耐劳。</w:t>
      </w:r>
    </w:p>
    <w:p w14:paraId="49024773">
      <w:pPr>
        <w:snapToGrid w:val="0"/>
        <w:spacing w:line="360" w:lineRule="auto"/>
        <w:ind w:firstLine="480" w:firstLineChars="200"/>
        <w:rPr>
          <w:rFonts w:asciiTheme="minorEastAsia" w:hAnsiTheme="minorEastAsia"/>
          <w:szCs w:val="21"/>
          <w:lang w:eastAsia="zh-CN"/>
        </w:rPr>
      </w:pPr>
      <w:r>
        <w:rPr>
          <w:rFonts w:hint="eastAsia" w:asciiTheme="minorEastAsia" w:hAnsiTheme="minorEastAsia"/>
          <w:szCs w:val="21"/>
          <w:lang w:eastAsia="zh-CN"/>
        </w:rPr>
        <w:t>第八条 付款方式</w:t>
      </w:r>
    </w:p>
    <w:p w14:paraId="072981E6">
      <w:pPr>
        <w:snapToGrid w:val="0"/>
        <w:spacing w:line="360" w:lineRule="auto"/>
        <w:ind w:firstLine="240" w:firstLineChars="100"/>
        <w:rPr>
          <w:rFonts w:hint="eastAsia" w:asciiTheme="minorEastAsia" w:hAnsiTheme="minorEastAsia"/>
          <w:szCs w:val="21"/>
          <w:lang w:eastAsia="zh-CN"/>
        </w:rPr>
      </w:pPr>
      <w:r>
        <w:rPr>
          <w:rFonts w:hint="eastAsia" w:asciiTheme="minorEastAsia" w:hAnsiTheme="minorEastAsia"/>
          <w:szCs w:val="21"/>
          <w:lang w:eastAsia="zh-CN"/>
        </w:rPr>
        <w:t>款项实行按月结算，当月支付上月费用。每月20号前，由中标人提出申请，采购人按照财务管理规定结算上月费用，结算总价不得超过本项目预算金额。</w:t>
      </w:r>
    </w:p>
    <w:p w14:paraId="6DF0D30D">
      <w:pPr>
        <w:snapToGrid w:val="0"/>
        <w:spacing w:line="360" w:lineRule="auto"/>
        <w:ind w:firstLine="480" w:firstLineChars="200"/>
        <w:rPr>
          <w:rFonts w:asciiTheme="minorEastAsia" w:hAnsiTheme="minorEastAsia"/>
          <w:bCs/>
          <w:szCs w:val="21"/>
          <w:lang w:eastAsia="zh-CN"/>
        </w:rPr>
      </w:pPr>
      <w:r>
        <w:rPr>
          <w:rFonts w:hint="eastAsia" w:asciiTheme="minorEastAsia" w:hAnsiTheme="minorEastAsia"/>
          <w:bCs/>
          <w:szCs w:val="21"/>
          <w:lang w:eastAsia="zh-CN"/>
        </w:rPr>
        <w:t>第九条  保密要求</w:t>
      </w:r>
    </w:p>
    <w:p w14:paraId="4A1B77A8">
      <w:pPr>
        <w:snapToGrid w:val="0"/>
        <w:spacing w:line="360" w:lineRule="auto"/>
        <w:ind w:firstLine="480" w:firstLineChars="200"/>
        <w:rPr>
          <w:rFonts w:asciiTheme="minorEastAsia" w:hAnsiTheme="minorEastAsia"/>
          <w:szCs w:val="21"/>
          <w:lang w:eastAsia="zh-CN"/>
        </w:rPr>
      </w:pPr>
      <w:r>
        <w:rPr>
          <w:rFonts w:hint="eastAsia" w:asciiTheme="minorEastAsia" w:hAnsiTheme="minorEastAsia"/>
          <w:szCs w:val="21"/>
          <w:lang w:eastAsia="zh-CN"/>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6744BC05">
      <w:pPr>
        <w:snapToGrid w:val="0"/>
        <w:spacing w:line="360" w:lineRule="auto"/>
        <w:ind w:firstLine="480" w:firstLineChars="200"/>
        <w:rPr>
          <w:rFonts w:asciiTheme="minorEastAsia" w:hAnsiTheme="minorEastAsia"/>
          <w:szCs w:val="21"/>
          <w:lang w:eastAsia="zh-CN"/>
        </w:rPr>
      </w:pPr>
      <w:r>
        <w:rPr>
          <w:rFonts w:hint="eastAsia" w:asciiTheme="minorEastAsia" w:hAnsiTheme="minorEastAsia"/>
          <w:szCs w:val="21"/>
          <w:lang w:eastAsia="zh-CN"/>
        </w:rPr>
        <w:t>2、乙方在履行合同过程中所获得或接触到的任何内部数据资料，未经甲方同意，不得向第三方透露。</w:t>
      </w:r>
    </w:p>
    <w:p w14:paraId="61802056">
      <w:pPr>
        <w:snapToGrid w:val="0"/>
        <w:spacing w:line="360" w:lineRule="auto"/>
        <w:ind w:firstLine="480" w:firstLineChars="200"/>
        <w:rPr>
          <w:rFonts w:asciiTheme="minorEastAsia" w:hAnsiTheme="minorEastAsia"/>
          <w:szCs w:val="21"/>
          <w:lang w:eastAsia="zh-CN"/>
        </w:rPr>
      </w:pPr>
      <w:r>
        <w:rPr>
          <w:rFonts w:hint="eastAsia" w:asciiTheme="minorEastAsia" w:hAnsiTheme="minorEastAsia"/>
          <w:szCs w:val="21"/>
          <w:lang w:eastAsia="zh-CN"/>
        </w:rPr>
        <w:t>3、乙方实施项目的一切程序都应符合国家安全、保密的有关规定和标准。</w:t>
      </w:r>
    </w:p>
    <w:p w14:paraId="7E22B114">
      <w:pPr>
        <w:snapToGrid w:val="0"/>
        <w:spacing w:line="360" w:lineRule="auto"/>
        <w:ind w:firstLine="480" w:firstLineChars="200"/>
        <w:rPr>
          <w:rFonts w:asciiTheme="minorEastAsia" w:hAnsiTheme="minorEastAsia"/>
          <w:bCs/>
          <w:szCs w:val="21"/>
          <w:lang w:eastAsia="zh-CN"/>
        </w:rPr>
      </w:pPr>
      <w:r>
        <w:rPr>
          <w:rFonts w:hint="eastAsia" w:asciiTheme="minorEastAsia" w:hAnsiTheme="minorEastAsia"/>
          <w:szCs w:val="21"/>
          <w:lang w:eastAsia="zh-CN"/>
        </w:rPr>
        <w:t>4、乙方参加项目的有关人员均需同甲方签订保密协议。</w:t>
      </w:r>
    </w:p>
    <w:p w14:paraId="2E939FEF">
      <w:pPr>
        <w:snapToGrid w:val="0"/>
        <w:spacing w:line="360" w:lineRule="auto"/>
        <w:ind w:firstLine="240" w:firstLineChars="100"/>
        <w:rPr>
          <w:rFonts w:asciiTheme="minorEastAsia" w:hAnsiTheme="minorEastAsia"/>
          <w:bCs/>
          <w:szCs w:val="21"/>
          <w:lang w:eastAsia="zh-CN"/>
        </w:rPr>
      </w:pPr>
      <w:r>
        <w:rPr>
          <w:rFonts w:hint="eastAsia" w:asciiTheme="minorEastAsia" w:hAnsiTheme="minorEastAsia"/>
          <w:bCs/>
          <w:szCs w:val="21"/>
          <w:lang w:eastAsia="zh-CN"/>
        </w:rPr>
        <w:t>第</w:t>
      </w:r>
      <w:r>
        <w:rPr>
          <w:rFonts w:hint="eastAsia" w:asciiTheme="minorEastAsia" w:hAnsiTheme="minorEastAsia"/>
          <w:bCs/>
          <w:szCs w:val="21"/>
          <w:lang w:val="en-US" w:eastAsia="zh-CN"/>
        </w:rPr>
        <w:t>十</w:t>
      </w:r>
      <w:r>
        <w:rPr>
          <w:rFonts w:hint="eastAsia" w:asciiTheme="minorEastAsia" w:hAnsiTheme="minorEastAsia"/>
          <w:bCs/>
          <w:szCs w:val="21"/>
          <w:lang w:eastAsia="zh-CN"/>
        </w:rPr>
        <w:t>条 争议解决办法</w:t>
      </w:r>
    </w:p>
    <w:p w14:paraId="2BC2880D">
      <w:pPr>
        <w:tabs>
          <w:tab w:val="left" w:pos="750"/>
        </w:tabs>
        <w:snapToGrid w:val="0"/>
        <w:spacing w:line="360" w:lineRule="auto"/>
        <w:ind w:firstLine="480" w:firstLineChars="200"/>
        <w:rPr>
          <w:rFonts w:asciiTheme="minorEastAsia" w:hAnsiTheme="minorEastAsia"/>
          <w:bCs/>
          <w:szCs w:val="21"/>
          <w:lang w:eastAsia="zh-CN"/>
        </w:rPr>
      </w:pPr>
      <w:r>
        <w:rPr>
          <w:rFonts w:hint="eastAsia" w:asciiTheme="minorEastAsia" w:hAnsiTheme="minorEastAsia"/>
          <w:color w:val="000000"/>
          <w:szCs w:val="21"/>
          <w:lang w:eastAsia="zh-CN"/>
        </w:rPr>
        <w:t>乙方违反国家相关法规，与甲方人员发生纠纷，均由乙方负责调解与处理，甲方不承担任何责任，并有权解除合同</w:t>
      </w:r>
      <w:r>
        <w:rPr>
          <w:rFonts w:asciiTheme="minorEastAsia" w:hAnsiTheme="minorEastAsia"/>
          <w:color w:val="000000"/>
          <w:szCs w:val="21"/>
          <w:lang w:eastAsia="zh-CN"/>
        </w:rPr>
        <w:t>。</w:t>
      </w:r>
    </w:p>
    <w:p w14:paraId="113FD2FB">
      <w:pPr>
        <w:snapToGrid w:val="0"/>
        <w:spacing w:line="360" w:lineRule="auto"/>
        <w:ind w:firstLine="240" w:firstLineChars="100"/>
        <w:rPr>
          <w:rFonts w:asciiTheme="minorEastAsia" w:hAnsiTheme="minorEastAsia"/>
          <w:bCs/>
          <w:szCs w:val="21"/>
          <w:lang w:eastAsia="zh-CN"/>
        </w:rPr>
      </w:pPr>
      <w:r>
        <w:rPr>
          <w:rFonts w:hint="eastAsia" w:asciiTheme="minorEastAsia" w:hAnsiTheme="minorEastAsia"/>
          <w:bCs/>
          <w:szCs w:val="21"/>
          <w:lang w:eastAsia="zh-CN"/>
        </w:rPr>
        <w:t>第十</w:t>
      </w:r>
      <w:r>
        <w:rPr>
          <w:rFonts w:hint="eastAsia" w:asciiTheme="minorEastAsia" w:hAnsiTheme="minorEastAsia"/>
          <w:bCs/>
          <w:szCs w:val="21"/>
          <w:lang w:val="en-US" w:eastAsia="zh-CN"/>
        </w:rPr>
        <w:t>一</w:t>
      </w:r>
      <w:r>
        <w:rPr>
          <w:rFonts w:hint="eastAsia" w:asciiTheme="minorEastAsia" w:hAnsiTheme="minorEastAsia"/>
          <w:bCs/>
          <w:szCs w:val="21"/>
          <w:lang w:eastAsia="zh-CN"/>
        </w:rPr>
        <w:t>条 违约责任</w:t>
      </w:r>
    </w:p>
    <w:p w14:paraId="7ED66666">
      <w:pPr>
        <w:snapToGrid w:val="0"/>
        <w:spacing w:line="360" w:lineRule="auto"/>
        <w:ind w:firstLine="480" w:firstLineChars="200"/>
        <w:rPr>
          <w:rFonts w:asciiTheme="minorEastAsia" w:hAnsiTheme="minorEastAsia"/>
          <w:bCs/>
          <w:szCs w:val="21"/>
          <w:lang w:eastAsia="zh-CN"/>
        </w:rPr>
      </w:pPr>
      <w:r>
        <w:rPr>
          <w:rFonts w:hint="eastAsia" w:asciiTheme="minorEastAsia" w:hAnsiTheme="minorEastAsia"/>
          <w:szCs w:val="21"/>
          <w:lang w:eastAsia="zh-CN"/>
        </w:rPr>
        <w:t>因供应货物时间、数量、质量等原因造成伙食无法按时供应的，甲方有权</w:t>
      </w:r>
      <w:r>
        <w:rPr>
          <w:rFonts w:asciiTheme="minorEastAsia" w:hAnsiTheme="minorEastAsia"/>
          <w:szCs w:val="21"/>
          <w:lang w:eastAsia="zh-CN"/>
        </w:rPr>
        <w:t>扣除</w:t>
      </w:r>
      <w:r>
        <w:rPr>
          <w:rFonts w:hint="eastAsia" w:asciiTheme="minorEastAsia" w:hAnsiTheme="minorEastAsia"/>
          <w:szCs w:val="21"/>
          <w:lang w:eastAsia="zh-CN"/>
        </w:rPr>
        <w:t>一定金额的履约担保金。</w:t>
      </w:r>
    </w:p>
    <w:p w14:paraId="731A2235">
      <w:pPr>
        <w:tabs>
          <w:tab w:val="left" w:pos="750"/>
        </w:tabs>
        <w:snapToGrid w:val="0"/>
        <w:spacing w:line="360" w:lineRule="auto"/>
        <w:ind w:firstLine="480" w:firstLineChars="200"/>
        <w:rPr>
          <w:rFonts w:asciiTheme="minorEastAsia" w:hAnsiTheme="minorEastAsia"/>
          <w:szCs w:val="21"/>
          <w:lang w:eastAsia="zh-CN"/>
        </w:rPr>
      </w:pPr>
      <w:r>
        <w:rPr>
          <w:rFonts w:hint="eastAsia" w:asciiTheme="minorEastAsia" w:hAnsiTheme="minorEastAsia"/>
          <w:szCs w:val="21"/>
          <w:lang w:eastAsia="zh-CN"/>
        </w:rPr>
        <w:t>如在合同执行期间因乙方违约导致履约担保金部分扣除的，乙方需在五个工作日内将扣除的履约担保金补齐。</w:t>
      </w:r>
    </w:p>
    <w:p w14:paraId="2CB57603">
      <w:pPr>
        <w:snapToGrid w:val="0"/>
        <w:spacing w:line="360" w:lineRule="auto"/>
        <w:ind w:firstLine="480" w:firstLineChars="200"/>
        <w:rPr>
          <w:rFonts w:asciiTheme="minorEastAsia" w:hAnsiTheme="minorEastAsia"/>
          <w:szCs w:val="21"/>
          <w:lang w:eastAsia="zh-CN"/>
        </w:rPr>
      </w:pPr>
      <w:r>
        <w:rPr>
          <w:rFonts w:hint="eastAsia" w:asciiTheme="minorEastAsia" w:hAnsiTheme="minorEastAsia"/>
          <w:szCs w:val="21"/>
          <w:lang w:eastAsia="zh-CN"/>
        </w:rPr>
        <w:t>如乙方在合同执行过程中单方面终止合同或因重大食品安全事故被取消服务资格，履约担保金不退还，并承担事件造成的一切经济损失或法律责任。</w:t>
      </w:r>
    </w:p>
    <w:p w14:paraId="5236BAE2">
      <w:pPr>
        <w:snapToGrid w:val="0"/>
        <w:spacing w:line="360" w:lineRule="auto"/>
        <w:ind w:firstLine="480" w:firstLineChars="200"/>
        <w:rPr>
          <w:rFonts w:asciiTheme="minorEastAsia" w:hAnsiTheme="minorEastAsia"/>
          <w:bCs/>
          <w:szCs w:val="21"/>
          <w:lang w:eastAsia="zh-CN"/>
        </w:rPr>
      </w:pPr>
      <w:r>
        <w:rPr>
          <w:rFonts w:hint="eastAsia" w:asciiTheme="minorEastAsia" w:hAnsiTheme="minorEastAsia"/>
          <w:szCs w:val="21"/>
          <w:lang w:eastAsia="zh-CN"/>
        </w:rPr>
        <w:t>在乙方完成其合同义务，包括任何保证义务后30日内，甲方一次性无息退还履约担保金。</w:t>
      </w:r>
    </w:p>
    <w:p w14:paraId="4323CCA9">
      <w:pPr>
        <w:snapToGrid w:val="0"/>
        <w:spacing w:line="360" w:lineRule="auto"/>
        <w:ind w:firstLine="240" w:firstLineChars="100"/>
        <w:rPr>
          <w:rFonts w:asciiTheme="minorEastAsia" w:hAnsiTheme="minorEastAsia"/>
          <w:bCs/>
          <w:szCs w:val="21"/>
          <w:lang w:eastAsia="zh-CN"/>
        </w:rPr>
      </w:pPr>
      <w:r>
        <w:rPr>
          <w:rFonts w:hint="eastAsia" w:asciiTheme="minorEastAsia" w:hAnsiTheme="minorEastAsia"/>
          <w:bCs/>
          <w:szCs w:val="21"/>
          <w:lang w:eastAsia="zh-CN"/>
        </w:rPr>
        <w:t>第十</w:t>
      </w:r>
      <w:r>
        <w:rPr>
          <w:rFonts w:hint="eastAsia" w:asciiTheme="minorEastAsia" w:hAnsiTheme="minorEastAsia"/>
          <w:bCs/>
          <w:szCs w:val="21"/>
          <w:lang w:val="en-US" w:eastAsia="zh-CN"/>
        </w:rPr>
        <w:t>二</w:t>
      </w:r>
      <w:r>
        <w:rPr>
          <w:rFonts w:hint="eastAsia" w:asciiTheme="minorEastAsia" w:hAnsiTheme="minorEastAsia"/>
          <w:bCs/>
          <w:szCs w:val="21"/>
          <w:lang w:eastAsia="zh-CN"/>
        </w:rPr>
        <w:t>条 其他</w:t>
      </w:r>
    </w:p>
    <w:p w14:paraId="7C33C11A">
      <w:pPr>
        <w:snapToGrid w:val="0"/>
        <w:spacing w:line="360" w:lineRule="auto"/>
        <w:ind w:firstLine="480" w:firstLineChars="200"/>
        <w:rPr>
          <w:rFonts w:cs="仿宋" w:asciiTheme="minorEastAsia" w:hAnsiTheme="minorEastAsia"/>
          <w:szCs w:val="21"/>
          <w:lang w:eastAsia="zh-CN"/>
        </w:rPr>
      </w:pPr>
      <w:r>
        <w:rPr>
          <w:rFonts w:hint="eastAsia" w:cs="仿宋" w:asciiTheme="minorEastAsia" w:hAnsiTheme="minorEastAsia"/>
          <w:szCs w:val="21"/>
          <w:lang w:eastAsia="zh-CN"/>
        </w:rPr>
        <w:t>（一）本合同届满后，符合续约条件并经双方经友好协商同意的，可以续约。</w:t>
      </w:r>
    </w:p>
    <w:p w14:paraId="7101B32C">
      <w:pPr>
        <w:snapToGrid w:val="0"/>
        <w:spacing w:line="360" w:lineRule="auto"/>
        <w:ind w:firstLine="480" w:firstLineChars="200"/>
        <w:rPr>
          <w:rFonts w:cs="仿宋" w:asciiTheme="minorEastAsia" w:hAnsiTheme="minorEastAsia"/>
          <w:szCs w:val="21"/>
          <w:lang w:eastAsia="zh-CN"/>
        </w:rPr>
      </w:pPr>
      <w:r>
        <w:rPr>
          <w:rFonts w:hint="eastAsia" w:cs="仿宋" w:asciiTheme="minorEastAsia" w:hAnsiTheme="minorEastAsia"/>
          <w:szCs w:val="21"/>
          <w:lang w:eastAsia="zh-CN"/>
        </w:rPr>
        <w:t>（二）本合同如有未尽事宜，经甲乙双方协商一致，可作出补充协议；补充协议及双方正式往来函件，是本合同不可分割的组成部分，</w:t>
      </w:r>
      <w:r>
        <w:rPr>
          <w:rFonts w:cs="仿宋" w:asciiTheme="minorEastAsia" w:hAnsiTheme="minorEastAsia"/>
          <w:szCs w:val="21"/>
          <w:lang w:eastAsia="zh-CN"/>
        </w:rPr>
        <w:t>与本合同具有同等法律效力。</w:t>
      </w:r>
    </w:p>
    <w:p w14:paraId="3D87B45C">
      <w:pPr>
        <w:snapToGrid w:val="0"/>
        <w:spacing w:line="360" w:lineRule="auto"/>
        <w:ind w:firstLine="480" w:firstLineChars="200"/>
        <w:rPr>
          <w:rFonts w:cs="仿宋" w:asciiTheme="minorEastAsia" w:hAnsiTheme="minorEastAsia"/>
          <w:szCs w:val="21"/>
          <w:lang w:eastAsia="zh-CN"/>
        </w:rPr>
      </w:pPr>
      <w:r>
        <w:rPr>
          <w:rFonts w:hint="eastAsia" w:cs="仿宋" w:asciiTheme="minorEastAsia" w:hAnsiTheme="minorEastAsia"/>
          <w:szCs w:val="21"/>
          <w:lang w:eastAsia="zh-CN"/>
        </w:rPr>
        <w:t>（三）本合同受中华人民共和国法律约束，一切与本合同有关的争议，如双方无法通过协商解决，应提交深圳仲裁委员会，通过仲裁解决。</w:t>
      </w:r>
    </w:p>
    <w:p w14:paraId="2954DE61">
      <w:pPr>
        <w:snapToGrid w:val="0"/>
        <w:spacing w:line="360" w:lineRule="auto"/>
        <w:ind w:firstLine="480" w:firstLineChars="200"/>
        <w:rPr>
          <w:rFonts w:cs="仿宋" w:asciiTheme="minorEastAsia" w:hAnsiTheme="minorEastAsia"/>
          <w:szCs w:val="21"/>
          <w:lang w:eastAsia="zh-CN"/>
        </w:rPr>
      </w:pPr>
      <w:r>
        <w:rPr>
          <w:rFonts w:hint="eastAsia" w:cs="仿宋" w:asciiTheme="minorEastAsia" w:hAnsiTheme="minorEastAsia"/>
          <w:szCs w:val="21"/>
          <w:lang w:eastAsia="zh-CN"/>
        </w:rPr>
        <w:t>合同自双方签字盖章之日起生效，服务期满自行失效。合同未尽事宜，双方协商解决。合同正本一式陆份，甲方执肆份，乙方执贰份。</w:t>
      </w:r>
    </w:p>
    <w:p w14:paraId="7E091391">
      <w:pPr>
        <w:snapToGrid w:val="0"/>
        <w:spacing w:line="360" w:lineRule="auto"/>
        <w:ind w:firstLine="480" w:firstLineChars="200"/>
        <w:rPr>
          <w:rFonts w:cs="仿宋" w:asciiTheme="minorEastAsia" w:hAnsiTheme="minorEastAsia"/>
          <w:szCs w:val="21"/>
          <w:lang w:eastAsia="zh-CN"/>
        </w:rPr>
      </w:pPr>
    </w:p>
    <w:p w14:paraId="1B605285">
      <w:pPr>
        <w:snapToGrid w:val="0"/>
        <w:spacing w:line="360" w:lineRule="auto"/>
        <w:rPr>
          <w:rFonts w:cs="仿宋" w:asciiTheme="minorEastAsia" w:hAnsiTheme="minorEastAsia"/>
          <w:b/>
          <w:szCs w:val="21"/>
          <w:lang w:eastAsia="zh-CN"/>
        </w:rPr>
      </w:pPr>
      <w:r>
        <w:rPr>
          <w:rFonts w:hint="eastAsia" w:cs="仿宋" w:asciiTheme="minorEastAsia" w:hAnsiTheme="minorEastAsia"/>
          <w:b/>
          <w:szCs w:val="21"/>
          <w:lang w:eastAsia="zh-CN"/>
        </w:rPr>
        <w:t>甲方（盖章）：深圳市第二高级中学深汕学校</w:t>
      </w:r>
    </w:p>
    <w:p w14:paraId="642E3442">
      <w:pPr>
        <w:snapToGrid w:val="0"/>
        <w:spacing w:line="360" w:lineRule="auto"/>
        <w:rPr>
          <w:rFonts w:cs="仿宋" w:asciiTheme="minorEastAsia" w:hAnsiTheme="minorEastAsia"/>
          <w:b/>
          <w:szCs w:val="21"/>
          <w:lang w:eastAsia="zh-CN"/>
        </w:rPr>
      </w:pPr>
    </w:p>
    <w:p w14:paraId="556066A7">
      <w:pPr>
        <w:snapToGrid w:val="0"/>
        <w:spacing w:line="360" w:lineRule="auto"/>
        <w:rPr>
          <w:rFonts w:cs="仿宋" w:asciiTheme="minorEastAsia" w:hAnsiTheme="minorEastAsia"/>
          <w:szCs w:val="21"/>
          <w:lang w:eastAsia="zh-CN"/>
        </w:rPr>
      </w:pPr>
      <w:r>
        <w:rPr>
          <w:rFonts w:hint="eastAsia" w:cs="仿宋" w:asciiTheme="minorEastAsia" w:hAnsiTheme="minorEastAsia"/>
          <w:szCs w:val="21"/>
          <w:lang w:eastAsia="zh-CN"/>
        </w:rPr>
        <w:t>法定代表人/授权委托人（签字）：</w:t>
      </w:r>
    </w:p>
    <w:p w14:paraId="7DF0FECE">
      <w:pPr>
        <w:snapToGrid w:val="0"/>
        <w:spacing w:line="360" w:lineRule="auto"/>
        <w:rPr>
          <w:rFonts w:cs="仿宋" w:asciiTheme="minorEastAsia" w:hAnsiTheme="minorEastAsia"/>
          <w:szCs w:val="21"/>
          <w:lang w:eastAsia="zh-CN"/>
        </w:rPr>
      </w:pPr>
    </w:p>
    <w:p w14:paraId="4894434F">
      <w:pPr>
        <w:snapToGrid w:val="0"/>
        <w:spacing w:line="360" w:lineRule="auto"/>
        <w:rPr>
          <w:rFonts w:cs="仿宋" w:asciiTheme="minorEastAsia" w:hAnsiTheme="minorEastAsia"/>
          <w:szCs w:val="21"/>
          <w:lang w:eastAsia="zh-CN"/>
        </w:rPr>
      </w:pPr>
      <w:r>
        <w:rPr>
          <w:rFonts w:hint="eastAsia" w:cs="仿宋" w:asciiTheme="minorEastAsia" w:hAnsiTheme="minorEastAsia"/>
          <w:szCs w:val="21"/>
          <w:lang w:eastAsia="zh-CN"/>
        </w:rPr>
        <w:t>项目负责人（签字）：</w:t>
      </w:r>
    </w:p>
    <w:p w14:paraId="253C554C">
      <w:pPr>
        <w:snapToGrid w:val="0"/>
        <w:spacing w:line="360" w:lineRule="auto"/>
        <w:rPr>
          <w:rFonts w:cs="仿宋" w:asciiTheme="minorEastAsia" w:hAnsiTheme="minorEastAsia"/>
          <w:szCs w:val="21"/>
          <w:lang w:eastAsia="zh-CN"/>
        </w:rPr>
      </w:pPr>
    </w:p>
    <w:p w14:paraId="754EDA42">
      <w:pPr>
        <w:snapToGrid w:val="0"/>
        <w:spacing w:line="360" w:lineRule="auto"/>
        <w:rPr>
          <w:rFonts w:cs="仿宋" w:asciiTheme="minorEastAsia" w:hAnsiTheme="minorEastAsia"/>
          <w:b/>
          <w:szCs w:val="21"/>
          <w:lang w:eastAsia="zh-CN"/>
        </w:rPr>
      </w:pPr>
    </w:p>
    <w:p w14:paraId="336F606B">
      <w:pPr>
        <w:snapToGrid w:val="0"/>
        <w:spacing w:line="360" w:lineRule="auto"/>
        <w:rPr>
          <w:rFonts w:cs="仿宋" w:asciiTheme="minorEastAsia" w:hAnsiTheme="minorEastAsia"/>
          <w:b/>
          <w:szCs w:val="21"/>
          <w:lang w:eastAsia="zh-CN"/>
        </w:rPr>
      </w:pPr>
    </w:p>
    <w:p w14:paraId="3711CFF6">
      <w:pPr>
        <w:snapToGrid w:val="0"/>
        <w:spacing w:line="360" w:lineRule="auto"/>
        <w:rPr>
          <w:rFonts w:cs="仿宋" w:asciiTheme="minorEastAsia" w:hAnsiTheme="minorEastAsia"/>
          <w:b/>
          <w:szCs w:val="21"/>
          <w:lang w:eastAsia="zh-CN"/>
        </w:rPr>
      </w:pPr>
      <w:r>
        <w:rPr>
          <w:rFonts w:hint="eastAsia" w:cs="仿宋" w:asciiTheme="minorEastAsia" w:hAnsiTheme="minorEastAsia"/>
          <w:b/>
          <w:szCs w:val="21"/>
          <w:lang w:eastAsia="zh-CN"/>
        </w:rPr>
        <w:t>乙方（盖章）；</w:t>
      </w:r>
    </w:p>
    <w:p w14:paraId="535FD67A">
      <w:pPr>
        <w:snapToGrid w:val="0"/>
        <w:spacing w:line="360" w:lineRule="auto"/>
        <w:rPr>
          <w:rFonts w:cs="仿宋" w:asciiTheme="minorEastAsia" w:hAnsiTheme="minorEastAsia"/>
          <w:b/>
          <w:szCs w:val="21"/>
          <w:lang w:eastAsia="zh-CN"/>
        </w:rPr>
      </w:pPr>
    </w:p>
    <w:p w14:paraId="15952923">
      <w:pPr>
        <w:snapToGrid w:val="0"/>
        <w:spacing w:line="360" w:lineRule="auto"/>
        <w:rPr>
          <w:rFonts w:cs="仿宋" w:asciiTheme="minorEastAsia" w:hAnsiTheme="minorEastAsia"/>
          <w:szCs w:val="21"/>
          <w:lang w:eastAsia="zh-CN"/>
        </w:rPr>
      </w:pPr>
      <w:r>
        <w:rPr>
          <w:rFonts w:hint="eastAsia" w:cs="仿宋" w:asciiTheme="minorEastAsia" w:hAnsiTheme="minorEastAsia"/>
          <w:szCs w:val="21"/>
          <w:lang w:eastAsia="zh-CN"/>
        </w:rPr>
        <w:t>法定代表人/授权委托人（签字）：</w:t>
      </w:r>
    </w:p>
    <w:p w14:paraId="5C3513CE">
      <w:pPr>
        <w:snapToGrid w:val="0"/>
        <w:spacing w:line="360" w:lineRule="auto"/>
        <w:rPr>
          <w:rFonts w:cs="仿宋" w:asciiTheme="minorEastAsia" w:hAnsiTheme="minorEastAsia"/>
          <w:szCs w:val="21"/>
          <w:lang w:eastAsia="zh-CN"/>
        </w:rPr>
      </w:pPr>
    </w:p>
    <w:p w14:paraId="51150D4D">
      <w:pPr>
        <w:snapToGrid w:val="0"/>
        <w:spacing w:line="360" w:lineRule="auto"/>
        <w:rPr>
          <w:rFonts w:cs="仿宋" w:asciiTheme="minorEastAsia" w:hAnsiTheme="minorEastAsia"/>
          <w:szCs w:val="21"/>
          <w:lang w:eastAsia="zh-CN"/>
        </w:rPr>
      </w:pPr>
      <w:r>
        <w:rPr>
          <w:rFonts w:hint="eastAsia" w:cs="仿宋" w:asciiTheme="minorEastAsia" w:hAnsiTheme="minorEastAsia"/>
          <w:szCs w:val="21"/>
          <w:lang w:eastAsia="zh-CN"/>
        </w:rPr>
        <w:t>项目负责人（签字）：</w:t>
      </w:r>
    </w:p>
    <w:p w14:paraId="20806479">
      <w:pPr>
        <w:snapToGrid w:val="0"/>
        <w:spacing w:line="360" w:lineRule="auto"/>
        <w:rPr>
          <w:rFonts w:cs="仿宋" w:asciiTheme="minorEastAsia" w:hAnsiTheme="minorEastAsia"/>
          <w:szCs w:val="21"/>
          <w:lang w:eastAsia="zh-CN"/>
        </w:rPr>
      </w:pPr>
    </w:p>
    <w:p w14:paraId="31F68156">
      <w:pPr>
        <w:snapToGrid w:val="0"/>
        <w:spacing w:line="360" w:lineRule="auto"/>
        <w:ind w:right="1380"/>
        <w:jc w:val="right"/>
        <w:rPr>
          <w:rFonts w:cs="仿宋" w:asciiTheme="minorEastAsia" w:hAnsiTheme="minorEastAsia"/>
          <w:snapToGrid w:val="0"/>
          <w:szCs w:val="21"/>
          <w:lang w:eastAsia="zh-CN"/>
        </w:rPr>
      </w:pPr>
    </w:p>
    <w:p w14:paraId="4C41FDFF">
      <w:pPr>
        <w:snapToGrid w:val="0"/>
        <w:spacing w:line="360" w:lineRule="auto"/>
        <w:ind w:right="1380"/>
        <w:jc w:val="right"/>
        <w:rPr>
          <w:rFonts w:cs="仿宋" w:asciiTheme="minorEastAsia" w:hAnsiTheme="minorEastAsia"/>
          <w:snapToGrid w:val="0"/>
          <w:szCs w:val="21"/>
          <w:lang w:eastAsia="zh-CN"/>
        </w:rPr>
      </w:pPr>
      <w:r>
        <w:rPr>
          <w:rFonts w:hint="eastAsia" w:cs="仿宋" w:asciiTheme="minorEastAsia" w:hAnsiTheme="minorEastAsia"/>
          <w:snapToGrid w:val="0"/>
          <w:szCs w:val="21"/>
          <w:lang w:eastAsia="zh-CN"/>
        </w:rPr>
        <w:t xml:space="preserve">                                                        签订地点：</w:t>
      </w:r>
    </w:p>
    <w:p w14:paraId="04981FC7">
      <w:pPr>
        <w:snapToGrid w:val="0"/>
        <w:spacing w:line="360" w:lineRule="auto"/>
        <w:ind w:firstLine="480" w:firstLineChars="200"/>
        <w:jc w:val="right"/>
        <w:rPr>
          <w:rFonts w:cs="仿宋" w:asciiTheme="minorEastAsia" w:hAnsiTheme="minorEastAsia"/>
          <w:snapToGrid w:val="0"/>
          <w:szCs w:val="21"/>
          <w:lang w:eastAsia="zh-CN"/>
        </w:rPr>
      </w:pPr>
    </w:p>
    <w:p w14:paraId="40D8B7A6">
      <w:pPr>
        <w:snapToGrid w:val="0"/>
        <w:spacing w:line="360" w:lineRule="auto"/>
        <w:ind w:firstLine="480" w:firstLineChars="200"/>
        <w:jc w:val="right"/>
        <w:rPr>
          <w:rFonts w:cs="仿宋" w:asciiTheme="minorEastAsia" w:hAnsiTheme="minorEastAsia"/>
          <w:snapToGrid w:val="0"/>
          <w:szCs w:val="21"/>
          <w:lang w:eastAsia="zh-CN"/>
        </w:rPr>
      </w:pPr>
      <w:r>
        <w:rPr>
          <w:rFonts w:cs="仿宋" w:asciiTheme="minorEastAsia" w:hAnsiTheme="minorEastAsia"/>
          <w:snapToGrid w:val="0"/>
          <w:szCs w:val="21"/>
          <w:lang w:eastAsia="zh-CN"/>
        </w:rPr>
        <w:tab/>
      </w:r>
      <w:r>
        <w:rPr>
          <w:rFonts w:hint="eastAsia" w:cs="仿宋" w:asciiTheme="minorEastAsia" w:hAnsiTheme="minorEastAsia"/>
          <w:snapToGrid w:val="0"/>
          <w:szCs w:val="21"/>
          <w:lang w:eastAsia="zh-CN"/>
        </w:rPr>
        <w:t>签订日期：    年  月  日</w:t>
      </w:r>
    </w:p>
    <w:p w14:paraId="7BE58EA9">
      <w:pPr>
        <w:snapToGrid w:val="0"/>
        <w:spacing w:line="360" w:lineRule="auto"/>
        <w:ind w:firstLine="480" w:firstLineChars="200"/>
        <w:jc w:val="right"/>
        <w:rPr>
          <w:rFonts w:cs="仿宋" w:asciiTheme="minorEastAsia" w:hAnsiTheme="minorEastAsia"/>
          <w:snapToGrid w:val="0"/>
          <w:szCs w:val="21"/>
          <w:lang w:eastAsia="zh-CN"/>
        </w:rPr>
      </w:pPr>
    </w:p>
    <w:p w14:paraId="352B8890">
      <w:pPr>
        <w:snapToGrid w:val="0"/>
        <w:spacing w:line="360" w:lineRule="auto"/>
        <w:ind w:firstLine="480" w:firstLineChars="200"/>
        <w:jc w:val="right"/>
        <w:rPr>
          <w:rFonts w:cs="仿宋" w:asciiTheme="minorEastAsia" w:hAnsiTheme="minorEastAsia"/>
          <w:snapToGrid w:val="0"/>
          <w:szCs w:val="21"/>
          <w:lang w:eastAsia="zh-CN"/>
        </w:rPr>
      </w:pPr>
    </w:p>
    <w:p w14:paraId="40EE33AC">
      <w:pPr>
        <w:snapToGrid w:val="0"/>
        <w:spacing w:line="360" w:lineRule="auto"/>
        <w:ind w:firstLine="480" w:firstLineChars="200"/>
        <w:jc w:val="right"/>
        <w:rPr>
          <w:rFonts w:cs="仿宋" w:asciiTheme="minorEastAsia" w:hAnsiTheme="minorEastAsia"/>
          <w:snapToGrid w:val="0"/>
          <w:szCs w:val="21"/>
          <w:lang w:eastAsia="zh-CN"/>
        </w:rPr>
      </w:pPr>
    </w:p>
    <w:p w14:paraId="121F2A99">
      <w:pPr>
        <w:snapToGrid w:val="0"/>
        <w:spacing w:line="360" w:lineRule="auto"/>
        <w:ind w:firstLine="480" w:firstLineChars="200"/>
        <w:jc w:val="right"/>
        <w:rPr>
          <w:rFonts w:cs="仿宋" w:asciiTheme="minorEastAsia" w:hAnsiTheme="minorEastAsia"/>
          <w:snapToGrid w:val="0"/>
          <w:szCs w:val="21"/>
          <w:lang w:eastAsia="zh-CN"/>
        </w:rPr>
      </w:pPr>
    </w:p>
    <w:p w14:paraId="3AFA8AFA">
      <w:pPr>
        <w:snapToGrid w:val="0"/>
        <w:spacing w:line="360" w:lineRule="auto"/>
        <w:ind w:firstLine="480" w:firstLineChars="200"/>
        <w:jc w:val="right"/>
        <w:rPr>
          <w:rFonts w:cs="仿宋" w:asciiTheme="minorEastAsia" w:hAnsiTheme="minorEastAsia"/>
          <w:snapToGrid w:val="0"/>
          <w:szCs w:val="21"/>
          <w:lang w:eastAsia="zh-CN"/>
        </w:rPr>
      </w:pPr>
    </w:p>
    <w:p w14:paraId="5138453B">
      <w:pPr>
        <w:snapToGrid w:val="0"/>
        <w:spacing w:line="360" w:lineRule="auto"/>
        <w:ind w:firstLine="480" w:firstLineChars="200"/>
        <w:jc w:val="right"/>
        <w:rPr>
          <w:rFonts w:cs="仿宋" w:asciiTheme="minorEastAsia" w:hAnsiTheme="minorEastAsia"/>
          <w:snapToGrid w:val="0"/>
          <w:szCs w:val="21"/>
          <w:lang w:eastAsia="zh-CN"/>
        </w:rPr>
      </w:pPr>
    </w:p>
    <w:p w14:paraId="60E6ECC2">
      <w:pPr>
        <w:snapToGrid w:val="0"/>
        <w:spacing w:line="360" w:lineRule="auto"/>
        <w:ind w:firstLine="480" w:firstLineChars="200"/>
        <w:jc w:val="right"/>
        <w:rPr>
          <w:rFonts w:cs="仿宋" w:asciiTheme="minorEastAsia" w:hAnsiTheme="minorEastAsia"/>
          <w:snapToGrid w:val="0"/>
          <w:szCs w:val="21"/>
          <w:lang w:eastAsia="zh-CN"/>
        </w:rPr>
      </w:pPr>
    </w:p>
    <w:p w14:paraId="05553949">
      <w:pPr>
        <w:snapToGrid w:val="0"/>
        <w:spacing w:line="360" w:lineRule="auto"/>
        <w:ind w:firstLine="480" w:firstLineChars="200"/>
        <w:jc w:val="right"/>
        <w:rPr>
          <w:rFonts w:cs="仿宋" w:asciiTheme="minorEastAsia" w:hAnsiTheme="minorEastAsia"/>
          <w:snapToGrid w:val="0"/>
          <w:szCs w:val="21"/>
          <w:lang w:eastAsia="zh-CN"/>
        </w:rPr>
      </w:pPr>
    </w:p>
    <w:p w14:paraId="7718D60B">
      <w:pPr>
        <w:snapToGrid w:val="0"/>
        <w:spacing w:line="360" w:lineRule="auto"/>
        <w:ind w:firstLine="480" w:firstLineChars="200"/>
        <w:jc w:val="right"/>
        <w:rPr>
          <w:rFonts w:cs="仿宋" w:asciiTheme="minorEastAsia" w:hAnsiTheme="minorEastAsia"/>
          <w:snapToGrid w:val="0"/>
          <w:szCs w:val="21"/>
          <w:lang w:eastAsia="zh-CN"/>
        </w:rPr>
      </w:pPr>
    </w:p>
    <w:p w14:paraId="1CDC5933">
      <w:pPr>
        <w:snapToGrid w:val="0"/>
        <w:spacing w:line="360" w:lineRule="auto"/>
        <w:ind w:firstLine="480" w:firstLineChars="200"/>
        <w:jc w:val="right"/>
        <w:rPr>
          <w:rFonts w:cs="仿宋" w:asciiTheme="minorEastAsia" w:hAnsiTheme="minorEastAsia"/>
          <w:snapToGrid w:val="0"/>
          <w:szCs w:val="21"/>
          <w:lang w:eastAsia="zh-CN"/>
        </w:rPr>
      </w:pPr>
    </w:p>
    <w:p w14:paraId="1BFE2379">
      <w:pPr>
        <w:snapToGrid w:val="0"/>
        <w:spacing w:line="360" w:lineRule="auto"/>
        <w:ind w:firstLine="480" w:firstLineChars="200"/>
        <w:jc w:val="right"/>
        <w:rPr>
          <w:rFonts w:cs="仿宋" w:asciiTheme="minorEastAsia" w:hAnsiTheme="minorEastAsia"/>
          <w:snapToGrid w:val="0"/>
          <w:szCs w:val="21"/>
          <w:lang w:eastAsia="zh-CN"/>
        </w:rPr>
      </w:pPr>
    </w:p>
    <w:p w14:paraId="4A0C252A">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2868DDFD">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bookmarkStart w:id="30" w:name="_Hlk72399513"/>
      <w:r>
        <w:rPr>
          <w:rFonts w:hint="eastAsia" w:ascii="Cambria" w:hAnsi="Cambria" w:eastAsia="宋体" w:cs="宋体"/>
          <w:b/>
          <w:bCs/>
          <w:kern w:val="2"/>
          <w:sz w:val="28"/>
          <w:szCs w:val="28"/>
          <w:lang w:eastAsia="zh-CN"/>
        </w:rPr>
        <w:t>总则</w:t>
      </w:r>
    </w:p>
    <w:bookmarkEnd w:id="30"/>
    <w:p w14:paraId="1E7FFE20">
      <w:pPr>
        <w:widowControl w:val="0"/>
        <w:jc w:val="both"/>
        <w:rPr>
          <w:rFonts w:ascii="黑体" w:hAnsi="宋体" w:eastAsia="黑体" w:cs="宋体"/>
          <w:kern w:val="2"/>
          <w:szCs w:val="22"/>
          <w:lang w:eastAsia="zh-CN"/>
        </w:rPr>
      </w:pPr>
      <w:bookmarkStart w:id="31" w:name="_Hlk72439706"/>
      <w:r>
        <w:rPr>
          <w:rFonts w:hint="eastAsia" w:ascii="黑体" w:hAnsi="宋体" w:eastAsia="黑体" w:cs="宋体"/>
          <w:kern w:val="2"/>
          <w:szCs w:val="22"/>
          <w:lang w:eastAsia="zh-CN"/>
        </w:rPr>
        <w:t>1. 通用条款说明</w:t>
      </w:r>
    </w:p>
    <w:p w14:paraId="127735E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1.1采购代理机构发出招标文件通用条款版本，列出深圳市政府采购项目进行招标采购所适用的通用条款内容。</w:t>
      </w:r>
      <w:bookmarkStart w:id="32" w:name="_Hlk72399729"/>
      <w:r>
        <w:rPr>
          <w:rFonts w:hint="eastAsia" w:ascii="宋体" w:hAnsi="宋体" w:eastAsia="宋体" w:cs="宋体"/>
          <w:kern w:val="2"/>
          <w:sz w:val="21"/>
          <w:szCs w:val="21"/>
          <w:lang w:eastAsia="zh-CN"/>
        </w:rPr>
        <w:t>如有需要，采购代理机构可以对通用条款的内容进行补充。</w:t>
      </w:r>
      <w:bookmarkEnd w:id="32"/>
    </w:p>
    <w:p w14:paraId="11CAC57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1.2招标文件分为第一册“专用条款”和第二册“通用条款”。</w:t>
      </w:r>
    </w:p>
    <w:p w14:paraId="4129307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55CF2A6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1.4“通用条款”是适用于政府采购公开招标项目的基础性条款，具有普遍性和通用性。</w:t>
      </w:r>
    </w:p>
    <w:p w14:paraId="40BBEE0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1.5 “专用条款”和“通用条款”表述不一致或有冲突时，以“专用条款”为准。</w:t>
      </w:r>
    </w:p>
    <w:p w14:paraId="202E2DB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w:t>
      </w:r>
      <w:r>
        <w:rPr>
          <w:rFonts w:ascii="黑体" w:hAnsi="宋体" w:eastAsia="黑体" w:cs="宋体"/>
          <w:kern w:val="2"/>
          <w:szCs w:val="22"/>
          <w:lang w:eastAsia="zh-CN"/>
        </w:rPr>
        <w:t>．</w:t>
      </w:r>
      <w:r>
        <w:rPr>
          <w:rFonts w:hint="eastAsia" w:ascii="黑体" w:hAnsi="宋体" w:eastAsia="黑体" w:cs="宋体"/>
          <w:kern w:val="2"/>
          <w:szCs w:val="22"/>
          <w:lang w:eastAsia="zh-CN"/>
        </w:rPr>
        <w:t>招标说明</w:t>
      </w:r>
    </w:p>
    <w:p w14:paraId="0CABE36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w:t>
      </w:r>
      <w:r>
        <w:rPr>
          <w:rFonts w:hint="eastAsia" w:ascii="宋体" w:hAnsi="宋体" w:eastAsia="宋体" w:cs="宋体"/>
          <w:b/>
          <w:bCs/>
          <w:color w:val="FF0000"/>
          <w:kern w:val="2"/>
          <w:sz w:val="21"/>
          <w:szCs w:val="21"/>
          <w:lang w:eastAsia="zh-CN"/>
        </w:rPr>
        <w:t>参照</w:t>
      </w:r>
      <w:r>
        <w:rPr>
          <w:rFonts w:hint="eastAsia" w:ascii="宋体" w:hAnsi="宋体" w:eastAsia="宋体" w:cs="宋体"/>
          <w:kern w:val="2"/>
          <w:sz w:val="21"/>
          <w:szCs w:val="21"/>
          <w:lang w:eastAsia="zh-CN"/>
        </w:rPr>
        <w:t>《深圳经济特区政府采购条例》、《深圳经济特区政府采购条例实施细则》及政府采购其他法律法规，通过公开招标方式确定中标供应商。</w:t>
      </w:r>
    </w:p>
    <w:p w14:paraId="6F22D62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3．定义</w:t>
      </w:r>
    </w:p>
    <w:p w14:paraId="53CFE658">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招标文件中下列术语应解释为：</w:t>
      </w:r>
    </w:p>
    <w:p w14:paraId="3A61A41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“采购人”：指利用财政性资金依法进行</w:t>
      </w:r>
      <w:r>
        <w:rPr>
          <w:rFonts w:hint="eastAsia" w:ascii="宋体" w:hAnsi="宋体" w:eastAsia="宋体" w:cs="宋体"/>
          <w:b/>
          <w:bCs/>
          <w:color w:val="FF0000"/>
          <w:kern w:val="2"/>
          <w:sz w:val="21"/>
          <w:szCs w:val="21"/>
          <w:lang w:eastAsia="zh-CN"/>
        </w:rPr>
        <w:t>自行采购</w:t>
      </w:r>
      <w:r>
        <w:rPr>
          <w:rFonts w:hint="eastAsia" w:ascii="宋体" w:hAnsi="宋体" w:eastAsia="宋体" w:cs="宋体"/>
          <w:kern w:val="2"/>
          <w:sz w:val="21"/>
          <w:szCs w:val="21"/>
          <w:lang w:eastAsia="zh-CN"/>
        </w:rPr>
        <w:t>的国家机关、事业单位、团体组织；</w:t>
      </w:r>
      <w:r>
        <w:rPr>
          <w:rFonts w:ascii="宋体" w:hAnsi="宋体" w:eastAsia="宋体" w:cs="宋体"/>
          <w:kern w:val="2"/>
          <w:sz w:val="21"/>
          <w:szCs w:val="21"/>
          <w:lang w:eastAsia="zh-CN"/>
        </w:rPr>
        <w:t xml:space="preserve"> </w:t>
      </w:r>
    </w:p>
    <w:p w14:paraId="638C873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3.2 “采购代理机构”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cs="宋体"/>
          <w:kern w:val="2"/>
          <w:sz w:val="21"/>
          <w:szCs w:val="21"/>
          <w:lang w:eastAsia="zh-CN"/>
        </w:rPr>
        <w:t>本文件所述的“采购代理机构”</w:t>
      </w:r>
      <w:r>
        <w:rPr>
          <w:rFonts w:ascii="宋体" w:hAnsi="宋体" w:eastAsia="宋体" w:cs="宋体"/>
          <w:kern w:val="2"/>
          <w:sz w:val="21"/>
          <w:szCs w:val="21"/>
          <w:lang w:eastAsia="zh-CN"/>
        </w:rPr>
        <w:t>指</w:t>
      </w:r>
      <w:r>
        <w:rPr>
          <w:rFonts w:hint="eastAsia" w:ascii="宋体" w:hAnsi="宋体" w:eastAsia="宋体" w:cs="宋体"/>
          <w:b/>
          <w:bCs/>
          <w:kern w:val="2"/>
          <w:sz w:val="21"/>
          <w:szCs w:val="21"/>
          <w:lang w:eastAsia="zh-CN"/>
        </w:rPr>
        <w:t>深圳市深汕交易有限公司</w:t>
      </w:r>
      <w:r>
        <w:rPr>
          <w:rFonts w:hint="eastAsia" w:ascii="宋体" w:hAnsi="宋体" w:eastAsia="宋体" w:cs="宋体"/>
          <w:kern w:val="2"/>
          <w:sz w:val="21"/>
          <w:szCs w:val="21"/>
          <w:lang w:eastAsia="zh-CN"/>
        </w:rPr>
        <w:t>；</w:t>
      </w:r>
    </w:p>
    <w:p w14:paraId="6E4C977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3.3“投标人”，即供应商，指参加投标竞争并愿意按照招标文件要求向采购人提供货物、工程或者服务的依法成立的法人、其他组织或者自然人；</w:t>
      </w:r>
    </w:p>
    <w:p w14:paraId="6691C19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15F4CFC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3.5“日期”</w:t>
      </w:r>
      <w:r>
        <w:rPr>
          <w:rFonts w:ascii="宋体" w:hAnsi="宋体" w:eastAsia="宋体" w:cs="宋体"/>
          <w:kern w:val="2"/>
          <w:sz w:val="21"/>
          <w:szCs w:val="21"/>
          <w:lang w:eastAsia="zh-CN"/>
        </w:rPr>
        <w:t>指</w:t>
      </w:r>
      <w:r>
        <w:rPr>
          <w:rFonts w:hint="eastAsia" w:ascii="宋体" w:hAnsi="宋体" w:eastAsia="宋体" w:cs="宋体"/>
          <w:kern w:val="2"/>
          <w:sz w:val="21"/>
          <w:szCs w:val="21"/>
          <w:lang w:eastAsia="zh-CN"/>
        </w:rPr>
        <w:t>公历日；</w:t>
      </w:r>
    </w:p>
    <w:p w14:paraId="6BF9167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3.6“合同”指由本次招标所产生的合同或合约文件；</w:t>
      </w:r>
    </w:p>
    <w:p w14:paraId="46E089F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3.7“电子投标文件”指利用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5056340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3.8“网上投标”指通过</w:t>
      </w:r>
      <w:r>
        <w:rPr>
          <w:rFonts w:hint="eastAsia" w:ascii="宋体" w:hAnsi="宋体" w:eastAsia="宋体" w:cs="宋体"/>
          <w:b/>
          <w:bCs/>
          <w:color w:val="FF0000"/>
          <w:kern w:val="2"/>
          <w:sz w:val="21"/>
          <w:szCs w:val="22"/>
          <w:lang w:eastAsia="zh-CN"/>
        </w:rPr>
        <w:t>深圳政府采购自行采购系统</w:t>
      </w:r>
      <w:r>
        <w:rPr>
          <w:rFonts w:hint="eastAsia" w:ascii="宋体" w:hAnsi="宋体" w:eastAsia="宋体" w:cs="宋体"/>
          <w:kern w:val="2"/>
          <w:sz w:val="21"/>
          <w:szCs w:val="21"/>
          <w:lang w:eastAsia="zh-CN"/>
        </w:rPr>
        <w:t>网站上传电子投标文件；</w:t>
      </w:r>
    </w:p>
    <w:p w14:paraId="2EA13AA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3.9招标文件中的标题或题名仅起引导作用，而不应视为对招标文件内容的理解和解释。</w:t>
      </w:r>
    </w:p>
    <w:p w14:paraId="76E7C12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 xml:space="preserve">4. </w:t>
      </w:r>
      <w:bookmarkStart w:id="33" w:name="_Hlk72398643"/>
      <w:r>
        <w:rPr>
          <w:rFonts w:hint="eastAsia" w:ascii="黑体" w:hAnsi="宋体" w:eastAsia="黑体" w:cs="宋体"/>
          <w:kern w:val="2"/>
          <w:szCs w:val="22"/>
          <w:lang w:eastAsia="zh-CN"/>
        </w:rPr>
        <w:t>政府采购供应商责任</w:t>
      </w:r>
    </w:p>
    <w:p w14:paraId="53418B3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4.1欢迎诚信、有实力和有社会责任心的供应商参与政府采购事业。</w:t>
      </w:r>
    </w:p>
    <w:p w14:paraId="5E2332B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6B18651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5．投标人参加政府采购的条件</w:t>
      </w:r>
    </w:p>
    <w:p w14:paraId="24E1BF07">
      <w:pPr>
        <w:widowControl w:val="0"/>
        <w:ind w:firstLine="411" w:firstLineChars="196"/>
        <w:rPr>
          <w:rFonts w:ascii="宋体" w:hAnsi="宋体" w:eastAsia="宋体" w:cs="宋体"/>
          <w:kern w:val="2"/>
          <w:sz w:val="21"/>
          <w:szCs w:val="21"/>
          <w:lang w:eastAsia="zh-CN"/>
        </w:rPr>
      </w:pPr>
      <w:r>
        <w:rPr>
          <w:rFonts w:hint="eastAsia" w:ascii="宋体" w:hAnsi="宋体" w:eastAsia="宋体" w:cs="宋体"/>
          <w:kern w:val="2"/>
          <w:sz w:val="21"/>
          <w:szCs w:val="21"/>
          <w:lang w:eastAsia="zh-CN"/>
        </w:rPr>
        <w:t>5.1投标人应在投标前到</w:t>
      </w:r>
      <w:bookmarkStart w:id="34" w:name="OLE_LINK7"/>
      <w:r>
        <w:rPr>
          <w:rFonts w:hint="eastAsia" w:ascii="宋体" w:hAnsi="宋体" w:eastAsia="宋体" w:cs="宋体"/>
          <w:b/>
          <w:bCs/>
          <w:kern w:val="2"/>
          <w:sz w:val="21"/>
          <w:szCs w:val="21"/>
          <w:lang w:eastAsia="zh-CN"/>
        </w:rPr>
        <w:t>深圳市深汕交易有限公司</w:t>
      </w:r>
      <w:bookmarkEnd w:id="34"/>
      <w:r>
        <w:rPr>
          <w:rFonts w:hint="eastAsia" w:ascii="宋体" w:hAnsi="宋体" w:eastAsia="宋体" w:cs="宋体"/>
          <w:b/>
          <w:bCs/>
          <w:kern w:val="2"/>
          <w:sz w:val="21"/>
          <w:szCs w:val="21"/>
          <w:lang w:eastAsia="zh-CN"/>
        </w:rPr>
        <w:t>（具体在深圳交易集团有限公司政府采购业务分公司进行办理）</w:t>
      </w:r>
      <w:r>
        <w:rPr>
          <w:rFonts w:hint="eastAsia" w:ascii="宋体" w:hAnsi="宋体" w:eastAsia="宋体" w:cs="宋体"/>
          <w:kern w:val="2"/>
          <w:sz w:val="21"/>
          <w:szCs w:val="21"/>
          <w:lang w:eastAsia="zh-CN"/>
        </w:rPr>
        <w:t>进行注册并办理电子密钥。《供应商注册及信息变更指引》详见www.szggzy.com网站“交易服务指南-政府采购”。</w:t>
      </w:r>
    </w:p>
    <w:p w14:paraId="37D6DE5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5.2投标人资格要求</w:t>
      </w:r>
    </w:p>
    <w:p w14:paraId="0CD0F0D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参加本项目的投标人应具备的资格条件详见本项目招标公告中 “投标人资格要求”（即申请人的资格要求）的内容。</w:t>
      </w:r>
    </w:p>
    <w:p w14:paraId="2E8DD78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5.3联合体投标</w:t>
      </w:r>
    </w:p>
    <w:p w14:paraId="35F3CE8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5.3.1　以下有关联合体投标的条款仅适用于允许投标人组成联合体投标的项目。</w:t>
      </w:r>
    </w:p>
    <w:p w14:paraId="68B5F8D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5.3.2  由两个或两个以上的自然人、法人或者其他组织可以组成一个联合体，以一个供应商的身份共同投标时，应符合以下原则：</w:t>
      </w:r>
    </w:p>
    <w:p w14:paraId="53B608D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（1）投标联合体各方参加政府采购活动应当具备下列条件：</w:t>
      </w:r>
      <w:r>
        <w:rPr>
          <w:rFonts w:ascii="宋体" w:hAnsi="宋体" w:eastAsia="宋体" w:cs="宋体"/>
          <w:kern w:val="2"/>
          <w:sz w:val="21"/>
          <w:szCs w:val="22"/>
          <w:lang w:eastAsia="zh-CN"/>
        </w:rPr>
        <w:t xml:space="preserve"> </w:t>
      </w:r>
    </w:p>
    <w:p w14:paraId="37E1C2BA">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1、具有独立承担民事责任的能力；</w:t>
      </w:r>
      <w:r>
        <w:rPr>
          <w:rFonts w:ascii="宋体" w:hAnsi="宋体" w:eastAsia="宋体" w:cs="宋体"/>
          <w:kern w:val="2"/>
          <w:sz w:val="21"/>
          <w:szCs w:val="22"/>
          <w:lang w:eastAsia="zh-CN"/>
        </w:rPr>
        <w:t xml:space="preserve"> </w:t>
      </w:r>
    </w:p>
    <w:p w14:paraId="54A5D8CF">
      <w:pPr>
        <w:widowControl w:val="0"/>
        <w:ind w:left="42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2、有良好的商业信誉和健全的财务会计制度；</w:t>
      </w:r>
      <w:r>
        <w:rPr>
          <w:rFonts w:ascii="宋体" w:hAnsi="宋体" w:eastAsia="宋体" w:cs="宋体"/>
          <w:kern w:val="2"/>
          <w:sz w:val="21"/>
          <w:szCs w:val="22"/>
          <w:lang w:eastAsia="zh-CN"/>
        </w:rPr>
        <w:t xml:space="preserve"> </w:t>
      </w:r>
    </w:p>
    <w:p w14:paraId="070F4F56">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3、具有履行合同所必需的设备和专业技术能力；</w:t>
      </w:r>
      <w:r>
        <w:rPr>
          <w:rFonts w:ascii="宋体" w:hAnsi="宋体" w:eastAsia="宋体" w:cs="宋体"/>
          <w:kern w:val="2"/>
          <w:sz w:val="21"/>
          <w:szCs w:val="22"/>
          <w:lang w:eastAsia="zh-CN"/>
        </w:rPr>
        <w:t xml:space="preserve"> </w:t>
      </w:r>
    </w:p>
    <w:p w14:paraId="39BB4EC4">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4、有依法缴纳税收和社会保障资金的良好记录；</w:t>
      </w:r>
      <w:r>
        <w:rPr>
          <w:rFonts w:ascii="宋体" w:hAnsi="宋体" w:eastAsia="宋体" w:cs="宋体"/>
          <w:kern w:val="2"/>
          <w:sz w:val="21"/>
          <w:szCs w:val="22"/>
          <w:lang w:eastAsia="zh-CN"/>
        </w:rPr>
        <w:t xml:space="preserve"> </w:t>
      </w:r>
    </w:p>
    <w:p w14:paraId="4C69E953">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5、参加政府采购活动前三年内，在经营活动中没有重大违法记录；</w:t>
      </w:r>
      <w:r>
        <w:rPr>
          <w:rFonts w:ascii="宋体" w:hAnsi="宋体" w:eastAsia="宋体" w:cs="宋体"/>
          <w:kern w:val="2"/>
          <w:sz w:val="21"/>
          <w:szCs w:val="22"/>
          <w:lang w:eastAsia="zh-CN"/>
        </w:rPr>
        <w:t xml:space="preserve"> </w:t>
      </w:r>
    </w:p>
    <w:p w14:paraId="2B2784C1">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6、法律、行政法规规定的其他条件。</w:t>
      </w:r>
      <w:r>
        <w:rPr>
          <w:rFonts w:ascii="宋体" w:hAnsi="宋体" w:eastAsia="宋体" w:cs="宋体"/>
          <w:kern w:val="2"/>
          <w:sz w:val="21"/>
          <w:szCs w:val="22"/>
          <w:lang w:eastAsia="zh-CN"/>
        </w:rPr>
        <w:t xml:space="preserve"> </w:t>
      </w:r>
    </w:p>
    <w:p w14:paraId="6333415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（2）在投标截止前，投标联合体各方均应注册成</w:t>
      </w:r>
      <w:r>
        <w:rPr>
          <w:rFonts w:hint="eastAsia" w:ascii="宋体" w:hAnsi="宋体" w:eastAsia="宋体" w:cs="宋体"/>
          <w:b/>
          <w:bCs/>
          <w:color w:val="FF0000"/>
          <w:kern w:val="2"/>
          <w:sz w:val="21"/>
          <w:szCs w:val="22"/>
          <w:lang w:eastAsia="zh-CN"/>
        </w:rPr>
        <w:t>深圳政府采购自行采购系统</w:t>
      </w:r>
      <w:r>
        <w:rPr>
          <w:rFonts w:hint="eastAsia" w:ascii="宋体" w:hAnsi="宋体" w:eastAsia="宋体" w:cs="宋体"/>
          <w:kern w:val="2"/>
          <w:sz w:val="21"/>
          <w:szCs w:val="22"/>
          <w:lang w:eastAsia="zh-CN"/>
        </w:rPr>
        <w:t>供应商；</w:t>
      </w:r>
    </w:p>
    <w:p w14:paraId="00012B3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（3）联合体中有同类资质的供应商按照联合体分工承担相同工作的，应当按照资质等级较低的供应商确定资质等级；</w:t>
      </w:r>
    </w:p>
    <w:p w14:paraId="39EF57A9">
      <w:pPr>
        <w:widowControl w:val="0"/>
        <w:ind w:firstLine="411" w:firstLineChars="196"/>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14:paraId="658BE96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（5）投标人的投标文件及中标后签署的合同协议对联合体各方均具法律约束力；</w:t>
      </w:r>
    </w:p>
    <w:p w14:paraId="7CE54D5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（6）联合体各方应当签订联合体投标协议，明确约定各方拟承担的工作和责任，并将该协议随投标文件一并递交给采购代理机构；</w:t>
      </w:r>
    </w:p>
    <w:p w14:paraId="7B08C1A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（7）联合体中标后，联合体各方应当共同与采购人签订合同，就中标项目向采购人承担连带责任；</w:t>
      </w:r>
    </w:p>
    <w:p w14:paraId="0DA241F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CF72E5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2"/>
          <w:lang w:eastAsia="zh-CN"/>
        </w:rPr>
        <w:t>（9）本通用条款中“投标人”一词亦指联合体各方，专用条款另有规定或说明的除外。</w:t>
      </w:r>
    </w:p>
    <w:p w14:paraId="3996B15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6．政策导向</w:t>
      </w:r>
    </w:p>
    <w:p w14:paraId="5EF865F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6.1</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政府采购扶持贫困地区、中小企业、监狱企业和残疾人福利性单位发展，支持节能减排、环境保护。</w:t>
      </w:r>
    </w:p>
    <w:p w14:paraId="08A96415">
      <w:pPr>
        <w:widowControl w:val="0"/>
        <w:ind w:firstLine="405"/>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6.2</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本项目落实深圳市政府采购供应商诚信管理政策要求。</w:t>
      </w:r>
    </w:p>
    <w:p w14:paraId="16F85278">
      <w:pPr>
        <w:widowControl w:val="0"/>
        <w:ind w:firstLine="405"/>
        <w:jc w:val="both"/>
        <w:rPr>
          <w:rFonts w:ascii="Calibri" w:hAnsi="Calibri" w:eastAsia="宋体" w:cs="宋体"/>
          <w:kern w:val="2"/>
          <w:sz w:val="21"/>
          <w:szCs w:val="22"/>
          <w:lang w:eastAsia="zh-CN"/>
        </w:rPr>
      </w:pPr>
      <w:r>
        <w:rPr>
          <w:rFonts w:hint="eastAsia" w:ascii="宋体" w:hAnsi="宋体" w:eastAsia="宋体" w:cs="宋体"/>
          <w:kern w:val="2"/>
          <w:sz w:val="21"/>
          <w:szCs w:val="22"/>
          <w:lang w:eastAsia="zh-CN"/>
        </w:rPr>
        <w:t>6.3  本项目支持投标人性别平等的相关政策。</w:t>
      </w:r>
    </w:p>
    <w:p w14:paraId="3757CE3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7. 本项目若涉及采购货物，则合格的货物及相应服务应满足以下要求：</w:t>
      </w:r>
    </w:p>
    <w:p w14:paraId="0B1626E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 xml:space="preserve">.1  </w:t>
      </w:r>
      <w:r>
        <w:rPr>
          <w:rFonts w:hint="eastAsia" w:ascii="宋体" w:hAnsi="宋体" w:eastAsia="宋体" w:cs="宋体"/>
          <w:kern w:val="2"/>
          <w:sz w:val="21"/>
          <w:szCs w:val="22"/>
          <w:lang w:eastAsia="zh-CN"/>
        </w:rPr>
        <w:t>必须是全新、未使用过的原装合格正品（包括零部件），如安装或配置了软件的，须为正版软件。</w:t>
      </w:r>
    </w:p>
    <w:p w14:paraId="75897A0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7.2  国产的货物及其有关服务必须符合中华人民共和国的设计、制造生产标准及行业标准。招标公告有其他要求的，亦应符合其要求。</w:t>
      </w:r>
    </w:p>
    <w:p w14:paraId="485B2F1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D2639F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4</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投标人</w:t>
      </w:r>
      <w:bookmarkStart w:id="35" w:name="_Hlk72152753"/>
      <w:r>
        <w:rPr>
          <w:rFonts w:hint="eastAsia" w:ascii="宋体" w:hAnsi="宋体" w:eastAsia="宋体" w:cs="宋体"/>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35"/>
    </w:p>
    <w:p w14:paraId="22171C2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49FEEC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7.6  工期要求：投标人在投标时对其所投项目应提交交货进度、交货计划等，在合同规定的时间内完成项目实施工作。</w:t>
      </w:r>
    </w:p>
    <w:p w14:paraId="5B94D71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7.7  投标人必须承担的设备运输、安装调试、验收检测和提供设备操作说明书、图纸等其他相关及类似的义务。</w:t>
      </w:r>
    </w:p>
    <w:p w14:paraId="713D2234">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8．投标费用</w:t>
      </w:r>
    </w:p>
    <w:p w14:paraId="75933C7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不论投标结果如何，投标人应承担其编制投标文件与递交投标文件所涉及的一切费用。</w:t>
      </w:r>
    </w:p>
    <w:p w14:paraId="764C6D56">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9．踏勘现场</w:t>
      </w:r>
    </w:p>
    <w:p w14:paraId="65D5932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036131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9.2投标人及其人员经过采购人的允许，可以进入采购人的项目现场踏勘。若招标文件要求投标人于统一时间地点踏勘现场的，投标人应当按时前往。</w:t>
      </w:r>
    </w:p>
    <w:p w14:paraId="5B2360B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9.3采购人应当通过采购代理机构向投标人提供有关现场的书面资料和数据。</w:t>
      </w:r>
    </w:p>
    <w:p w14:paraId="004BEEC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9.4任何人或任何组织在踏勘现场时向投标人提供的任何书面资料或口头承诺，未经采购代理机构在网上发布或书面通知，均作无效处理。</w:t>
      </w:r>
    </w:p>
    <w:p w14:paraId="43E5031C">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1"/>
          <w:lang w:eastAsia="zh-CN"/>
        </w:rPr>
        <w:t>9</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5</w:t>
      </w:r>
      <w:r>
        <w:rPr>
          <w:rFonts w:hint="eastAsia" w:ascii="宋体" w:hAnsi="宋体" w:eastAsia="宋体" w:cs="宋体"/>
          <w:kern w:val="2"/>
          <w:sz w:val="21"/>
          <w:szCs w:val="21"/>
          <w:lang w:eastAsia="zh-CN"/>
        </w:rPr>
        <w:t>未参与踏勘现场不作为否定投标人资格的理由。</w:t>
      </w:r>
    </w:p>
    <w:p w14:paraId="0209D36E">
      <w:pPr>
        <w:widowControl w:val="0"/>
        <w:jc w:val="both"/>
        <w:rPr>
          <w:rFonts w:ascii="宋体" w:hAnsi="宋体" w:eastAsia="宋体" w:cs="宋体"/>
          <w:kern w:val="2"/>
          <w:sz w:val="21"/>
          <w:szCs w:val="21"/>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0</w:t>
      </w:r>
      <w:r>
        <w:rPr>
          <w:rFonts w:hint="eastAsia" w:ascii="黑体" w:hAnsi="宋体" w:eastAsia="黑体" w:cs="宋体"/>
          <w:kern w:val="2"/>
          <w:szCs w:val="22"/>
          <w:lang w:eastAsia="zh-CN"/>
        </w:rPr>
        <w:t>．标前会议</w:t>
      </w:r>
    </w:p>
    <w:p w14:paraId="7867D1C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如采购人或采购代理机构认为有必要组织标前会议，投标人应按照招标文件规定的时间或采购代理机构另行书面通知（包括采购代理机构网站发布方式，如更正公告等）的时间和地点，参与标前会议。</w:t>
      </w:r>
    </w:p>
    <w:p w14:paraId="147E99DE">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2"/>
          <w:lang w:eastAsia="zh-CN"/>
        </w:rPr>
        <w:t>10</w:t>
      </w:r>
      <w:r>
        <w:rPr>
          <w:rFonts w:hint="eastAsia" w:ascii="宋体" w:hAnsi="宋体" w:eastAsia="宋体" w:cs="宋体"/>
          <w:kern w:val="2"/>
          <w:sz w:val="21"/>
          <w:szCs w:val="22"/>
          <w:lang w:eastAsia="zh-CN"/>
        </w:rPr>
        <w:t>.</w:t>
      </w: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任何人或任何组织在标前会议时向投标人提供的任何书面资料或口头承诺，未经采购代理机构在网上发布或书面通知，均作无效处理。</w:t>
      </w:r>
    </w:p>
    <w:p w14:paraId="5F90D87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未参与标前会议不作为否定投标人资格的理由。</w:t>
      </w:r>
    </w:p>
    <w:bookmarkEnd w:id="33"/>
    <w:p w14:paraId="63F01F92">
      <w:pPr>
        <w:widowControl w:val="0"/>
        <w:ind w:firstLine="411" w:firstLineChars="196"/>
        <w:jc w:val="both"/>
        <w:rPr>
          <w:rFonts w:ascii="宋体" w:hAnsi="宋体" w:eastAsia="宋体" w:cs="宋体"/>
          <w:kern w:val="2"/>
          <w:sz w:val="21"/>
          <w:szCs w:val="22"/>
          <w:lang w:eastAsia="zh-CN"/>
        </w:rPr>
      </w:pPr>
    </w:p>
    <w:p w14:paraId="73E1A354">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548F6E8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1</w:t>
      </w:r>
      <w:r>
        <w:rPr>
          <w:rFonts w:hint="eastAsia" w:ascii="黑体" w:hAnsi="宋体" w:eastAsia="黑体" w:cs="宋体"/>
          <w:kern w:val="2"/>
          <w:szCs w:val="22"/>
          <w:lang w:eastAsia="zh-CN"/>
        </w:rPr>
        <w:t>．</w:t>
      </w:r>
      <w:bookmarkStart w:id="36" w:name="_Hlk72399819"/>
      <w:r>
        <w:rPr>
          <w:rFonts w:hint="eastAsia" w:ascii="黑体" w:hAnsi="宋体" w:eastAsia="黑体" w:cs="宋体"/>
          <w:kern w:val="2"/>
          <w:szCs w:val="22"/>
          <w:lang w:eastAsia="zh-CN"/>
        </w:rPr>
        <w:t>招标文件的编制与组成</w:t>
      </w:r>
    </w:p>
    <w:p w14:paraId="2A3B5B92">
      <w:pPr>
        <w:widowControl w:val="0"/>
        <w:snapToGrid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.1招标文件除以下内容外，采购代理机构在招标期间发出的澄清或修改等相关公告或通知内容，均是招标文件的组成部分，对投标人起约束作用；</w:t>
      </w:r>
    </w:p>
    <w:p w14:paraId="5698E95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招标文件包括下列内容：</w:t>
      </w:r>
    </w:p>
    <w:p w14:paraId="197BC2D3">
      <w:pPr>
        <w:widowControl w:val="0"/>
        <w:ind w:left="480" w:leftChars="200" w:firstLine="413" w:firstLineChars="196"/>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第一册  专用条款</w:t>
      </w:r>
    </w:p>
    <w:p w14:paraId="22A886D4">
      <w:pPr>
        <w:widowControl w:val="0"/>
        <w:ind w:left="1234" w:leftChars="514"/>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关键信息</w:t>
      </w:r>
    </w:p>
    <w:p w14:paraId="6059C1CC">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招标公告</w:t>
      </w:r>
    </w:p>
    <w:p w14:paraId="07DDE50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对通用条款的补充内容及其他关键信息</w:t>
      </w:r>
    </w:p>
    <w:p w14:paraId="66BDEA68">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用户需求书</w:t>
      </w:r>
    </w:p>
    <w:p w14:paraId="10B74867">
      <w:pPr>
        <w:widowControl w:val="0"/>
        <w:ind w:left="720" w:leftChars="300" w:firstLine="411" w:firstLineChars="196"/>
        <w:jc w:val="both"/>
        <w:rPr>
          <w:rFonts w:ascii="宋体" w:hAnsi="宋体" w:eastAsia="宋体" w:cs="宋体"/>
          <w:kern w:val="2"/>
          <w:sz w:val="21"/>
          <w:szCs w:val="21"/>
          <w:lang w:eastAsia="zh-CN"/>
        </w:rPr>
      </w:pPr>
      <w:r>
        <w:rPr>
          <w:rFonts w:hint="eastAsia" w:ascii="Calibri" w:hAnsi="Calibri" w:eastAsia="宋体" w:cs="宋体"/>
          <w:kern w:val="2"/>
          <w:sz w:val="21"/>
          <w:szCs w:val="22"/>
          <w:lang w:eastAsia="zh-CN"/>
        </w:rPr>
        <w:t xml:space="preserve">第四章 </w:t>
      </w:r>
      <w:r>
        <w:rPr>
          <w:rFonts w:ascii="Calibri" w:hAnsi="Calibri" w:eastAsia="宋体" w:cs="宋体"/>
          <w:kern w:val="2"/>
          <w:sz w:val="21"/>
          <w:szCs w:val="22"/>
          <w:lang w:eastAsia="zh-CN"/>
        </w:rPr>
        <w:t xml:space="preserve"> </w:t>
      </w:r>
      <w:r>
        <w:rPr>
          <w:rFonts w:hint="eastAsia" w:ascii="Calibri" w:hAnsi="Calibri" w:eastAsia="宋体" w:cs="宋体"/>
          <w:kern w:val="2"/>
          <w:sz w:val="21"/>
          <w:szCs w:val="22"/>
          <w:lang w:eastAsia="zh-CN"/>
        </w:rPr>
        <w:t>投标文件格式及附件</w:t>
      </w:r>
    </w:p>
    <w:p w14:paraId="5E198868">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合同条款及格式</w:t>
      </w:r>
    </w:p>
    <w:p w14:paraId="6C58C735">
      <w:pPr>
        <w:widowControl w:val="0"/>
        <w:ind w:left="480" w:leftChars="200" w:firstLine="413" w:firstLineChars="196"/>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第二册  通用条款</w:t>
      </w:r>
    </w:p>
    <w:p w14:paraId="6626F19F">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总则</w:t>
      </w:r>
    </w:p>
    <w:p w14:paraId="5A3E2A42">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招标文件</w:t>
      </w:r>
    </w:p>
    <w:p w14:paraId="1DCE73C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投标文件的编制</w:t>
      </w:r>
    </w:p>
    <w:p w14:paraId="1E92DBBE">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投标文件的递交</w:t>
      </w:r>
    </w:p>
    <w:p w14:paraId="54F534A3">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开标</w:t>
      </w:r>
    </w:p>
    <w:p w14:paraId="12B24EC3">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第六章  评审要求</w:t>
      </w:r>
    </w:p>
    <w:p w14:paraId="79E63F0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第七章  评审程序及评审方法</w:t>
      </w:r>
    </w:p>
    <w:p w14:paraId="27E285C6">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第八章  定标及公示</w:t>
      </w:r>
    </w:p>
    <w:p w14:paraId="5379A16E">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第九章  公开招标失败的后续处理</w:t>
      </w:r>
    </w:p>
    <w:p w14:paraId="44238273">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第十章  合同的授予与备案</w:t>
      </w:r>
    </w:p>
    <w:p w14:paraId="1322D27C">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第十一章  质疑处理</w:t>
      </w:r>
    </w:p>
    <w:p w14:paraId="043ABD5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8F2456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w:t>
      </w:r>
      <w:r>
        <w:rPr>
          <w:rFonts w:hint="eastAsia" w:ascii="宋体" w:hAnsi="宋体" w:eastAsia="宋体" w:cs="宋体"/>
          <w:kern w:val="2"/>
          <w:sz w:val="21"/>
          <w:szCs w:val="22"/>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04D13D4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11.4招标文件所称“原件备查”，是指在项目产生质疑、投诉等阶段，主管部门、采购人、代理机构、评审委员会等可以要求供应商提供原件进行核查。</w:t>
      </w:r>
    </w:p>
    <w:p w14:paraId="21175D5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2</w:t>
      </w:r>
      <w:r>
        <w:rPr>
          <w:rFonts w:hint="eastAsia" w:ascii="黑体" w:hAnsi="宋体" w:eastAsia="黑体" w:cs="宋体"/>
          <w:kern w:val="2"/>
          <w:szCs w:val="22"/>
          <w:lang w:eastAsia="zh-CN"/>
        </w:rPr>
        <w:t>．招标文件的澄清</w:t>
      </w:r>
    </w:p>
    <w:p w14:paraId="318679C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.1招标文件澄清的目的是澄清、解答投标人在查阅招标文件后或现场踏勘中可能提出的与投标有关的疑问或询问。</w:t>
      </w:r>
    </w:p>
    <w:p w14:paraId="1430488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.2投标人如对招标文件内容有疑问，应当在招标公告规定的澄清（提问）截止时间前以网上提问的形式通过网上政府采购系统提交采购代理机构。</w:t>
      </w:r>
    </w:p>
    <w:p w14:paraId="6BE7806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ascii="宋体" w:hAnsi="宋体" w:eastAsia="宋体" w:cs="宋体"/>
          <w:kern w:val="2"/>
          <w:sz w:val="21"/>
          <w:szCs w:val="21"/>
          <w:lang w:eastAsia="zh-CN"/>
        </w:rPr>
        <w:t>3.3</w:t>
      </w: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3.4</w:t>
      </w:r>
      <w:r>
        <w:rPr>
          <w:rFonts w:hint="eastAsia" w:ascii="宋体" w:hAnsi="宋体" w:eastAsia="宋体" w:cs="宋体"/>
          <w:kern w:val="2"/>
          <w:sz w:val="21"/>
          <w:szCs w:val="21"/>
          <w:lang w:eastAsia="zh-CN"/>
        </w:rPr>
        <w:t>款规定执行。</w:t>
      </w:r>
    </w:p>
    <w:p w14:paraId="334C88EA">
      <w:pPr>
        <w:widowControl w:val="0"/>
        <w:jc w:val="both"/>
        <w:rPr>
          <w:rFonts w:ascii="黑体" w:hAnsi="宋体" w:eastAsia="黑体" w:cs="宋体"/>
          <w:kern w:val="2"/>
          <w:szCs w:val="22"/>
          <w:lang w:eastAsia="zh-CN"/>
        </w:rPr>
      </w:pPr>
      <w:r>
        <w:rPr>
          <w:rFonts w:ascii="黑体" w:hAnsi="宋体" w:eastAsia="黑体" w:cs="宋体"/>
          <w:kern w:val="2"/>
          <w:szCs w:val="22"/>
          <w:lang w:eastAsia="zh-CN"/>
        </w:rPr>
        <w:t>1</w:t>
      </w:r>
      <w:r>
        <w:rPr>
          <w:rFonts w:hint="eastAsia" w:ascii="黑体" w:hAnsi="宋体" w:eastAsia="黑体" w:cs="宋体"/>
          <w:kern w:val="2"/>
          <w:szCs w:val="22"/>
          <w:lang w:eastAsia="zh-CN"/>
        </w:rPr>
        <w:t>3．招标文件的修改</w:t>
      </w:r>
    </w:p>
    <w:p w14:paraId="01004627">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3.1招标文件发出后，在投标截止日期前任何时候，确需要变更招标文件内容的，采购代理机构可主动或在解答投标人提出的澄清问题时对招标文件进行修改。</w:t>
      </w:r>
    </w:p>
    <w:p w14:paraId="4B3881ED">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3.2招标文件的修改以书面形式（包括采购代理机构网站发布方式，如更正公告等）发送给所有投标人，招标文件的修改内容作为招标文件的组成部分，并具有约束力。</w:t>
      </w:r>
    </w:p>
    <w:p w14:paraId="1466F2BE">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0DA52B61">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6"/>
    </w:p>
    <w:p w14:paraId="799C5317">
      <w:pPr>
        <w:widowControl w:val="0"/>
        <w:jc w:val="both"/>
        <w:rPr>
          <w:rFonts w:ascii="宋体" w:hAnsi="宋体" w:eastAsia="宋体" w:cs="宋体"/>
          <w:kern w:val="2"/>
          <w:sz w:val="21"/>
          <w:szCs w:val="21"/>
          <w:lang w:eastAsia="zh-CN"/>
        </w:rPr>
      </w:pPr>
    </w:p>
    <w:p w14:paraId="587BE408">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6A6F686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14．</w:t>
      </w:r>
      <w:bookmarkStart w:id="37" w:name="_Hlk72400236"/>
      <w:r>
        <w:rPr>
          <w:rFonts w:hint="eastAsia" w:ascii="黑体" w:hAnsi="宋体" w:eastAsia="黑体" w:cs="宋体"/>
          <w:kern w:val="2"/>
          <w:szCs w:val="22"/>
          <w:lang w:eastAsia="zh-CN"/>
        </w:rPr>
        <w:t>投标文件的语言及度量单位</w:t>
      </w:r>
    </w:p>
    <w:p w14:paraId="46F18E8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03D1AA4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14.2 除技术规范另有规定外，投标文件使用的度量单位，均采用中华人民共和国法定计量单位。</w:t>
      </w:r>
    </w:p>
    <w:bookmarkEnd w:id="37"/>
    <w:p w14:paraId="1DAE961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15．</w:t>
      </w:r>
      <w:bookmarkStart w:id="38" w:name="_Hlk72401567"/>
      <w:r>
        <w:rPr>
          <w:rFonts w:hint="eastAsia" w:ascii="黑体" w:hAnsi="宋体" w:eastAsia="黑体" w:cs="宋体"/>
          <w:kern w:val="2"/>
          <w:szCs w:val="22"/>
          <w:lang w:eastAsia="zh-CN"/>
        </w:rPr>
        <w:t>投标文件的组成</w:t>
      </w:r>
    </w:p>
    <w:p w14:paraId="623368F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具体内容在招标文件专用条款中进行规定。</w:t>
      </w:r>
    </w:p>
    <w:p w14:paraId="42FEA3FD">
      <w:pPr>
        <w:widowControl w:val="0"/>
        <w:jc w:val="both"/>
        <w:rPr>
          <w:rFonts w:ascii="黑体" w:hAnsi="宋体" w:eastAsia="黑体" w:cs="宋体"/>
          <w:kern w:val="2"/>
          <w:szCs w:val="22"/>
          <w:lang w:eastAsia="zh-CN"/>
        </w:rPr>
      </w:pPr>
      <w:r>
        <w:rPr>
          <w:rFonts w:ascii="黑体" w:hAnsi="宋体" w:eastAsia="黑体" w:cs="宋体"/>
          <w:kern w:val="2"/>
          <w:szCs w:val="22"/>
          <w:lang w:eastAsia="zh-CN"/>
        </w:rPr>
        <w:t>16．投标文件格式</w:t>
      </w:r>
    </w:p>
    <w:p w14:paraId="4FB32E8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投标文件包括本通用条款第</w:t>
      </w:r>
      <w:r>
        <w:rPr>
          <w:rFonts w:ascii="宋体" w:hAnsi="宋体" w:eastAsia="宋体" w:cs="宋体"/>
          <w:kern w:val="2"/>
          <w:sz w:val="21"/>
          <w:szCs w:val="21"/>
          <w:lang w:eastAsia="zh-CN"/>
        </w:rPr>
        <w:t>15条中规定的内容。如招标文件提供了投标文件格式，则</w:t>
      </w:r>
      <w:r>
        <w:rPr>
          <w:rFonts w:hint="eastAsia" w:ascii="宋体" w:hAnsi="宋体" w:eastAsia="宋体" w:cs="宋体"/>
          <w:b/>
          <w:bCs/>
          <w:kern w:val="2"/>
          <w:sz w:val="21"/>
          <w:szCs w:val="21"/>
          <w:lang w:eastAsia="zh-CN"/>
        </w:rPr>
        <w:t>投标人提交的投标文件应毫无例外地使用招标文件所提供的相应格式</w:t>
      </w:r>
      <w:r>
        <w:rPr>
          <w:rFonts w:hint="eastAsia" w:ascii="宋体" w:hAnsi="宋体" w:eastAsia="宋体" w:cs="宋体"/>
          <w:kern w:val="2"/>
          <w:sz w:val="21"/>
          <w:szCs w:val="21"/>
          <w:lang w:eastAsia="zh-CN"/>
        </w:rPr>
        <w:t>（表格均可按同样格式扩展）。</w:t>
      </w:r>
    </w:p>
    <w:p w14:paraId="218A1D2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17．投标货币</w:t>
      </w:r>
    </w:p>
    <w:p w14:paraId="0CBCA94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本项目的投标报价应以人民币计。</w:t>
      </w:r>
    </w:p>
    <w:bookmarkEnd w:id="38"/>
    <w:p w14:paraId="68E47DD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18．</w:t>
      </w:r>
      <w:bookmarkStart w:id="39" w:name="_Hlk72401735"/>
      <w:r>
        <w:rPr>
          <w:rFonts w:hint="eastAsia" w:ascii="黑体" w:hAnsi="宋体" w:eastAsia="黑体" w:cs="宋体"/>
          <w:kern w:val="2"/>
          <w:szCs w:val="22"/>
          <w:lang w:eastAsia="zh-CN"/>
        </w:rPr>
        <w:t>证明投标文件投标技术方案的合格性和符合招标文件规定的文件要求</w:t>
      </w:r>
    </w:p>
    <w:p w14:paraId="1ACEAE4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w:t>
      </w:r>
      <w:r>
        <w:rPr>
          <w:rFonts w:ascii="宋体" w:hAnsi="宋体" w:eastAsia="宋体" w:cs="宋体"/>
          <w:kern w:val="2"/>
          <w:sz w:val="21"/>
          <w:szCs w:val="21"/>
          <w:lang w:eastAsia="zh-CN"/>
        </w:rPr>
        <w:t xml:space="preserve">.1 </w:t>
      </w:r>
      <w:r>
        <w:rPr>
          <w:rFonts w:hint="eastAsia" w:ascii="宋体" w:hAnsi="宋体" w:eastAsia="宋体" w:cs="宋体"/>
          <w:kern w:val="2"/>
          <w:sz w:val="21"/>
          <w:szCs w:val="21"/>
          <w:lang w:eastAsia="zh-CN"/>
        </w:rPr>
        <w:t>投标人应提交证明文件，证明其投标技术方案项下的货物和服务的合格性符合招标文件规定。该投标技术方案及其证明文件均作为投标文件组成部分。</w:t>
      </w:r>
    </w:p>
    <w:p w14:paraId="1FEEF021">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 xml:space="preserve">.2 </w:t>
      </w:r>
      <w:r>
        <w:rPr>
          <w:rFonts w:hint="eastAsia" w:ascii="宋体" w:hAnsi="宋体" w:eastAsia="宋体" w:cs="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7E9694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18.2.1主要技术指标和性能的详细说明。</w:t>
      </w:r>
    </w:p>
    <w:p w14:paraId="2144632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投标产品从采购人开始使用至招标文件中规定的周期内正常、连续地使用所必须的备件和专用工具清单，包括备件和专用工具的货源及现行价格。</w:t>
      </w:r>
    </w:p>
    <w:p w14:paraId="2A59729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C5E343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宋体"/>
          <w:kern w:val="2"/>
          <w:sz w:val="21"/>
          <w:szCs w:val="22"/>
          <w:lang w:eastAsia="zh-CN"/>
        </w:rPr>
        <w:t>清晰度要求能够使用电脑阅读、识别和判断</w:t>
      </w:r>
      <w:r>
        <w:rPr>
          <w:rFonts w:hint="eastAsia" w:ascii="宋体" w:hAnsi="宋体" w:eastAsia="宋体" w:cs="宋体"/>
          <w:kern w:val="2"/>
          <w:sz w:val="21"/>
          <w:szCs w:val="21"/>
          <w:lang w:eastAsia="zh-CN"/>
        </w:rPr>
        <w:t>；</w:t>
      </w:r>
    </w:p>
    <w:p w14:paraId="5C50C35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52B3B64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18.3相关资料不符合18.2款要求的，评审委员会有权认定为投标技术方案不合格响应，其相关分数予以扣减或作投标无效处理。</w:t>
      </w:r>
    </w:p>
    <w:p w14:paraId="14A0F6F0">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宋体"/>
          <w:kern w:val="2"/>
          <w:sz w:val="21"/>
          <w:szCs w:val="22"/>
          <w:lang w:eastAsia="zh-CN"/>
        </w:rPr>
        <w:t>满足要求</w:t>
      </w:r>
      <w:r>
        <w:rPr>
          <w:rFonts w:hint="eastAsia" w:ascii="宋体" w:hAnsi="宋体" w:eastAsia="宋体" w:cs="宋体"/>
          <w:kern w:val="2"/>
          <w:sz w:val="21"/>
          <w:szCs w:val="21"/>
          <w:lang w:eastAsia="zh-CN"/>
        </w:rPr>
        <w:t>，由评审委员会来评判。</w:t>
      </w:r>
    </w:p>
    <w:p w14:paraId="2CA6718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18.5除非另有规定或说明，投标人对同一项目投标时，不得同时提供两套或两套以上的投标方案。</w:t>
      </w:r>
    </w:p>
    <w:bookmarkEnd w:id="39"/>
    <w:p w14:paraId="2D36812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19．</w:t>
      </w:r>
      <w:bookmarkStart w:id="40" w:name="_Hlk72402034"/>
      <w:r>
        <w:rPr>
          <w:rFonts w:hint="eastAsia" w:ascii="黑体" w:hAnsi="宋体" w:eastAsia="黑体" w:cs="宋体"/>
          <w:kern w:val="2"/>
          <w:szCs w:val="22"/>
          <w:lang w:eastAsia="zh-CN"/>
        </w:rPr>
        <w:t>投标文件其他证明文件的要求</w:t>
      </w:r>
    </w:p>
    <w:p w14:paraId="470A692F">
      <w:pPr>
        <w:widowControl w:val="0"/>
        <w:jc w:val="both"/>
        <w:rPr>
          <w:rFonts w:ascii="宋体" w:hAnsi="宋体" w:eastAsia="宋体" w:cs="宋体"/>
          <w:color w:val="FF0000"/>
          <w:kern w:val="2"/>
          <w:sz w:val="21"/>
          <w:szCs w:val="21"/>
          <w:lang w:eastAsia="zh-CN"/>
        </w:rPr>
      </w:pPr>
      <w:r>
        <w:rPr>
          <w:rFonts w:hint="eastAsia" w:ascii="黑体" w:hAnsi="宋体" w:eastAsia="黑体" w:cs="宋体"/>
          <w:kern w:val="2"/>
          <w:szCs w:val="22"/>
          <w:lang w:eastAsia="zh-CN"/>
        </w:rPr>
        <w:t xml:space="preserve">    </w:t>
      </w:r>
      <w:r>
        <w:rPr>
          <w:rFonts w:hint="eastAsia" w:ascii="宋体" w:hAnsi="宋体" w:eastAsia="宋体" w:cs="宋体"/>
          <w:kern w:val="2"/>
          <w:sz w:val="21"/>
          <w:szCs w:val="21"/>
          <w:lang w:eastAsia="zh-CN"/>
        </w:rPr>
        <w:t>19.1</w:t>
      </w:r>
      <w:bookmarkStart w:id="41" w:name="_Hlk71407299"/>
      <w:r>
        <w:rPr>
          <w:rFonts w:hint="eastAsia" w:ascii="宋体" w:hAnsi="宋体" w:eastAsia="宋体" w:cs="宋体"/>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1"/>
    <w:p w14:paraId="513F2D2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515CA4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20．投标有效期</w:t>
      </w:r>
    </w:p>
    <w:bookmarkEnd w:id="40"/>
    <w:p w14:paraId="57E8D353">
      <w:pPr>
        <w:widowControl w:val="0"/>
        <w:ind w:firstLine="411" w:firstLineChars="196"/>
        <w:jc w:val="both"/>
        <w:rPr>
          <w:rFonts w:ascii="宋体" w:hAnsi="宋体" w:eastAsia="宋体" w:cs="宋体"/>
          <w:kern w:val="2"/>
          <w:sz w:val="21"/>
          <w:szCs w:val="21"/>
          <w:lang w:eastAsia="zh-CN"/>
        </w:rPr>
      </w:pPr>
      <w:bookmarkStart w:id="42" w:name="_Hlk72402214"/>
      <w:r>
        <w:rPr>
          <w:rFonts w:hint="eastAsia" w:ascii="宋体" w:hAnsi="宋体" w:eastAsia="宋体" w:cs="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宋体"/>
          <w:kern w:val="2"/>
          <w:sz w:val="21"/>
          <w:szCs w:val="21"/>
          <w:lang w:eastAsia="zh-CN"/>
        </w:rPr>
        <w:t>在此期限内，所有投标文件均保持有效。</w:t>
      </w:r>
    </w:p>
    <w:p w14:paraId="53C47B5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0B23C54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 xml:space="preserve"> 中标供应商的投标文件有效期，截止于完成本招标文件规定的全部项目内容，并通过竣工验收及保修期结束。</w:t>
      </w:r>
    </w:p>
    <w:bookmarkEnd w:id="42"/>
    <w:p w14:paraId="5E0A9A9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21．</w:t>
      </w:r>
      <w:bookmarkStart w:id="43" w:name="_Hlk72402325"/>
      <w:r>
        <w:rPr>
          <w:rFonts w:hint="eastAsia" w:ascii="黑体" w:hAnsi="宋体" w:eastAsia="黑体" w:cs="宋体"/>
          <w:kern w:val="2"/>
          <w:szCs w:val="22"/>
          <w:lang w:eastAsia="zh-CN"/>
        </w:rPr>
        <w:t xml:space="preserve">关于投标保证金 </w:t>
      </w:r>
    </w:p>
    <w:p w14:paraId="55E4470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21.1</w:t>
      </w:r>
      <w:r>
        <w:rPr>
          <w:rFonts w:hint="eastAsia" w:ascii="Calibri" w:hAnsi="Calibri" w:eastAsia="宋体" w:cs="宋体"/>
          <w:kern w:val="2"/>
          <w:sz w:val="21"/>
          <w:szCs w:val="22"/>
          <w:lang w:eastAsia="zh-CN"/>
        </w:rPr>
        <w:t>根据《深圳市财政局关于调整政府采购投标（响应）保证金管理政策的通知》（深财购〔2021〕51号）文的规定，本项目不收取投标保证金。</w:t>
      </w:r>
    </w:p>
    <w:p w14:paraId="515FC34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22．投标人的替代方案</w:t>
      </w:r>
    </w:p>
    <w:p w14:paraId="56DC6DE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05B9AE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3"/>
    <w:p w14:paraId="37F8704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23．</w:t>
      </w:r>
      <w:bookmarkStart w:id="44" w:name="_Hlk72402860"/>
      <w:r>
        <w:rPr>
          <w:rFonts w:ascii="黑体" w:hAnsi="宋体" w:eastAsia="黑体" w:cs="宋体"/>
          <w:kern w:val="2"/>
          <w:szCs w:val="22"/>
          <w:lang w:eastAsia="zh-CN"/>
        </w:rPr>
        <w:t>投标文件的</w:t>
      </w:r>
      <w:r>
        <w:rPr>
          <w:rFonts w:hint="eastAsia" w:ascii="黑体" w:hAnsi="宋体" w:eastAsia="黑体" w:cs="宋体"/>
          <w:kern w:val="2"/>
          <w:szCs w:val="22"/>
          <w:lang w:eastAsia="zh-CN"/>
        </w:rPr>
        <w:t>制作</w:t>
      </w:r>
      <w:r>
        <w:rPr>
          <w:rFonts w:ascii="黑体" w:hAnsi="宋体" w:eastAsia="黑体" w:cs="宋体"/>
          <w:kern w:val="2"/>
          <w:szCs w:val="22"/>
          <w:lang w:eastAsia="zh-CN"/>
        </w:rPr>
        <w:t>要求</w:t>
      </w:r>
    </w:p>
    <w:p w14:paraId="5408B0E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23.1投标人应准备所投项目的电子投标文件一份。</w:t>
      </w:r>
    </w:p>
    <w:p w14:paraId="5EC9B81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23.2投标人在使用《投标书编制软件》编制投标书时须注意：</w:t>
      </w:r>
    </w:p>
    <w:p w14:paraId="0FC8BC7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14:paraId="212CEDE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23.2.2不能用非本公司的电子密钥加密本公司的投标文件，或者用其它公司的登录用户上传本公司的投标文件。</w:t>
      </w:r>
    </w:p>
    <w:p w14:paraId="22AAA50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23.2.3要求用《投标书编制软件》编制投标书的包，不能用其它方式编制投标书。编制投标文件时，电脑须连通互联网。</w:t>
      </w:r>
    </w:p>
    <w:p w14:paraId="2525877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23.2.4投标文件不能带病毒。采购代理机构将用专业杀毒软件对投标文件进行病毒检测，如果这两种软件均报告发现病毒，则采购代理机构认为该投标文件带病毒。</w:t>
      </w:r>
    </w:p>
    <w:p w14:paraId="1ED1C2F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23.2.5完整填写“投标关键信息”。</w:t>
      </w:r>
    </w:p>
    <w:p w14:paraId="6AD5CD5B">
      <w:pPr>
        <w:widowControl w:val="0"/>
        <w:ind w:firstLine="413" w:firstLineChars="196"/>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备注： “开标一览表”中的“投标报价”将作为价格分计算依据；其它信息仅是对投标文件相关内容的概括性表述，不作为评审依据。</w:t>
      </w:r>
    </w:p>
    <w:p w14:paraId="3093F5A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23.2.6投标人在编辑投标文件时，</w:t>
      </w:r>
      <w:r>
        <w:rPr>
          <w:rFonts w:hint="eastAsia" w:ascii="宋体" w:hAnsi="宋体" w:eastAsia="宋体" w:cs="宋体"/>
          <w:b/>
          <w:kern w:val="2"/>
          <w:sz w:val="21"/>
          <w:szCs w:val="22"/>
          <w:lang w:eastAsia="zh-CN"/>
        </w:rPr>
        <w:t>在投标文件目录中属于本节点内容的必须在本节点中填写，填写到其他节点或附件，</w:t>
      </w:r>
      <w:r>
        <w:rPr>
          <w:rFonts w:hint="eastAsia" w:ascii="宋体" w:hAnsi="宋体" w:eastAsia="宋体" w:cs="宋体"/>
          <w:kern w:val="2"/>
          <w:sz w:val="21"/>
          <w:szCs w:val="22"/>
          <w:lang w:eastAsia="zh-CN"/>
        </w:rPr>
        <w:t>一切后果由供应商自行承担。</w:t>
      </w:r>
    </w:p>
    <w:p w14:paraId="6F5E6A4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23.2.7投标文件编写完成后，</w:t>
      </w:r>
      <w:r>
        <w:rPr>
          <w:rFonts w:hint="eastAsia" w:ascii="宋体" w:hAnsi="宋体" w:eastAsia="宋体" w:cs="宋体"/>
          <w:b/>
          <w:kern w:val="2"/>
          <w:sz w:val="21"/>
          <w:szCs w:val="22"/>
          <w:lang w:eastAsia="zh-CN"/>
        </w:rPr>
        <w:t>需要用属于投标人的电子密钥或电子营业执照进行加密。</w:t>
      </w:r>
    </w:p>
    <w:p w14:paraId="1BB0FBF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14:paraId="66C3A43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23.2.9如果开标时出现网络故障、技术故障，影响了政府采购活动，采购代理机构有权采取措施如延期、接受无法从网上上传的投标书等，以保障政府采购活动的公开、公平和公正。</w:t>
      </w:r>
    </w:p>
    <w:p w14:paraId="701E9C4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23.3电报、电话、传真形式的投标概不接受。</w:t>
      </w:r>
    </w:p>
    <w:p w14:paraId="3016BE11">
      <w:pPr>
        <w:widowControl w:val="0"/>
        <w:ind w:firstLine="413" w:firstLineChars="196"/>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23.4经投标人电子密钥或电子营业执照加密的投标文件无须盖章或签字，</w:t>
      </w:r>
      <w:r>
        <w:rPr>
          <w:rFonts w:hint="eastAsia" w:ascii="宋体" w:hAnsi="宋体" w:eastAsia="宋体" w:cs="宋体"/>
          <w:kern w:val="2"/>
          <w:sz w:val="21"/>
          <w:szCs w:val="22"/>
          <w:lang w:eastAsia="zh-CN"/>
        </w:rPr>
        <w:t>专用条款另有要求的除外。</w:t>
      </w:r>
    </w:p>
    <w:p w14:paraId="2C4AA6DC">
      <w:pPr>
        <w:widowControl w:val="0"/>
        <w:ind w:firstLine="413" w:firstLineChars="196"/>
        <w:jc w:val="both"/>
        <w:rPr>
          <w:rFonts w:ascii="宋体" w:hAnsi="宋体" w:eastAsia="宋体" w:cs="宋体"/>
          <w:kern w:val="2"/>
          <w:sz w:val="21"/>
          <w:szCs w:val="22"/>
          <w:lang w:eastAsia="zh-CN"/>
        </w:rPr>
      </w:pPr>
      <w:r>
        <w:rPr>
          <w:rFonts w:hint="eastAsia" w:ascii="宋体" w:hAnsi="宋体" w:eastAsia="宋体" w:cs="宋体"/>
          <w:b/>
          <w:kern w:val="2"/>
          <w:sz w:val="21"/>
          <w:szCs w:val="22"/>
          <w:lang w:eastAsia="zh-CN"/>
        </w:rPr>
        <w:t>23.5</w:t>
      </w:r>
      <w:r>
        <w:rPr>
          <w:rFonts w:hint="eastAsia" w:ascii="宋体" w:hAnsi="宋体" w:eastAsia="宋体" w:cs="宋体"/>
          <w:kern w:val="2"/>
          <w:sz w:val="21"/>
          <w:szCs w:val="22"/>
          <w:lang w:eastAsia="zh-CN"/>
        </w:rPr>
        <w:t xml:space="preserve"> 各类资格（资质）文件提供扫描件，专用条款另有要求的除外。</w:t>
      </w:r>
      <w:bookmarkEnd w:id="44"/>
    </w:p>
    <w:p w14:paraId="78C1C549">
      <w:pPr>
        <w:widowControl w:val="0"/>
        <w:ind w:firstLine="411" w:firstLineChars="196"/>
        <w:jc w:val="both"/>
        <w:rPr>
          <w:rFonts w:ascii="宋体" w:hAnsi="宋体" w:eastAsia="宋体" w:cs="宋体"/>
          <w:kern w:val="2"/>
          <w:sz w:val="21"/>
          <w:szCs w:val="21"/>
          <w:lang w:eastAsia="zh-CN"/>
        </w:rPr>
      </w:pPr>
    </w:p>
    <w:p w14:paraId="7BA565F9">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58BD8CC3">
      <w:pPr>
        <w:widowControl w:val="0"/>
        <w:jc w:val="both"/>
        <w:rPr>
          <w:rFonts w:ascii="黑体" w:hAnsi="宋体" w:eastAsia="黑体" w:cs="宋体"/>
          <w:kern w:val="2"/>
          <w:szCs w:val="22"/>
          <w:lang w:eastAsia="zh-CN"/>
        </w:rPr>
      </w:pPr>
      <w:bookmarkStart w:id="45" w:name="_Hlk72405459"/>
      <w:r>
        <w:rPr>
          <w:rFonts w:hint="eastAsia" w:ascii="黑体" w:hAnsi="宋体" w:eastAsia="黑体" w:cs="宋体"/>
          <w:kern w:val="2"/>
          <w:szCs w:val="22"/>
          <w:lang w:eastAsia="zh-CN"/>
        </w:rPr>
        <w:t>24．投标文件的保密</w:t>
      </w:r>
    </w:p>
    <w:p w14:paraId="624A0B2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24.1</w:t>
      </w:r>
      <w:r>
        <w:rPr>
          <w:rFonts w:hint="eastAsia" w:ascii="宋体" w:hAnsi="宋体" w:eastAsia="宋体" w:cs="宋体"/>
          <w:kern w:val="2"/>
          <w:sz w:val="21"/>
          <w:szCs w:val="22"/>
          <w:highlight w:val="cyan"/>
          <w:lang w:eastAsia="zh-CN"/>
        </w:rPr>
        <w:t>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1EE3C045">
      <w:pPr>
        <w:widowControl w:val="0"/>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24.2若采购项目出现延期情况：</w:t>
      </w:r>
    </w:p>
    <w:p w14:paraId="03355A8A">
      <w:pPr>
        <w:widowControl w:val="0"/>
        <w:ind w:firstLine="422" w:firstLineChars="200"/>
        <w:jc w:val="both"/>
        <w:rPr>
          <w:rFonts w:ascii="黑体" w:hAnsi="宋体" w:eastAsia="黑体" w:cs="宋体"/>
          <w:b/>
          <w:kern w:val="2"/>
          <w:szCs w:val="22"/>
          <w:lang w:eastAsia="zh-CN"/>
        </w:rPr>
      </w:pPr>
      <w:r>
        <w:rPr>
          <w:rFonts w:hint="eastAsia" w:ascii="宋体" w:hAnsi="宋体" w:eastAsia="宋体" w:cs="宋体"/>
          <w:b/>
          <w:kern w:val="2"/>
          <w:sz w:val="21"/>
          <w:szCs w:val="22"/>
          <w:lang w:eastAsia="zh-CN"/>
        </w:rPr>
        <w:t>如果供下载的招标文件有更新，投标人必须重新下载招标文件、重新制作投标文件、重新加密投标文件、重新上传投标文件。</w:t>
      </w:r>
    </w:p>
    <w:p w14:paraId="5E277724">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25．上传投标文件及投标截止日期</w:t>
      </w:r>
    </w:p>
    <w:p w14:paraId="5AF622A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1</w:t>
      </w:r>
      <w:r>
        <w:rPr>
          <w:rFonts w:hint="eastAsia" w:ascii="宋体" w:hAnsi="宋体" w:eastAsia="宋体" w:cs="宋体"/>
          <w:kern w:val="2"/>
          <w:sz w:val="21"/>
          <w:szCs w:val="22"/>
          <w:highlight w:val="cyan"/>
          <w:lang w:eastAsia="zh-CN"/>
        </w:rPr>
        <w:t>实行网上投标，</w:t>
      </w:r>
      <w:r>
        <w:rPr>
          <w:rFonts w:ascii="宋体" w:hAnsi="宋体" w:eastAsia="宋体" w:cs="宋体"/>
          <w:kern w:val="2"/>
          <w:sz w:val="21"/>
          <w:szCs w:val="22"/>
          <w:highlight w:val="cyan"/>
          <w:lang w:eastAsia="zh-CN"/>
        </w:rPr>
        <w:t>投标人必须</w:t>
      </w:r>
      <w:r>
        <w:rPr>
          <w:rFonts w:hint="eastAsia" w:ascii="宋体" w:hAnsi="宋体" w:eastAsia="宋体" w:cs="宋体"/>
          <w:kern w:val="2"/>
          <w:sz w:val="21"/>
          <w:szCs w:val="22"/>
          <w:highlight w:val="cyan"/>
          <w:lang w:eastAsia="zh-CN"/>
        </w:rPr>
        <w:t>在招标</w:t>
      </w:r>
      <w:r>
        <w:rPr>
          <w:rFonts w:ascii="宋体" w:hAnsi="宋体" w:eastAsia="宋体" w:cs="宋体"/>
          <w:kern w:val="2"/>
          <w:sz w:val="21"/>
          <w:szCs w:val="22"/>
          <w:highlight w:val="cyan"/>
          <w:lang w:eastAsia="zh-CN"/>
        </w:rPr>
        <w:t>文件规定的投标截止时间前</w:t>
      </w:r>
      <w:r>
        <w:rPr>
          <w:rFonts w:hint="eastAsia" w:ascii="宋体" w:hAnsi="宋体" w:eastAsia="宋体" w:cs="宋体"/>
          <w:kern w:val="2"/>
          <w:sz w:val="21"/>
          <w:szCs w:val="22"/>
          <w:highlight w:val="cyan"/>
          <w:lang w:eastAsia="zh-CN"/>
        </w:rPr>
        <w:t>用电子密钥登录“深圳政府采购自行采购系统（https://trade.szggzy.com/ggzy/center/#/login）”上传投标文件。</w:t>
      </w:r>
      <w:r>
        <w:rPr>
          <w:rFonts w:hint="eastAsia" w:ascii="宋体" w:hAnsi="宋体" w:eastAsia="宋体" w:cs="宋体"/>
          <w:kern w:val="2"/>
          <w:sz w:val="21"/>
          <w:szCs w:val="22"/>
          <w:lang w:eastAsia="zh-CN"/>
        </w:rPr>
        <w:t>如上传过程中遇到问题，可拨打采购公告中的技术支持电话。如多次上传均告失败，请在投标截止时间之前携带加密后的电子投标文件送达至</w:t>
      </w:r>
      <w:r>
        <w:rPr>
          <w:rFonts w:hint="eastAsia" w:ascii="宋体" w:hAnsi="宋体" w:eastAsia="宋体" w:cs="宋体"/>
          <w:b/>
          <w:bCs/>
          <w:kern w:val="2"/>
          <w:sz w:val="21"/>
          <w:szCs w:val="21"/>
          <w:lang w:eastAsia="zh-CN"/>
        </w:rPr>
        <w:t>深圳市深汕交易有限公司</w:t>
      </w:r>
      <w:r>
        <w:rPr>
          <w:rFonts w:hint="eastAsia" w:ascii="宋体" w:hAnsi="宋体" w:eastAsia="宋体" w:cs="宋体"/>
          <w:b/>
          <w:bCs/>
          <w:kern w:val="2"/>
          <w:sz w:val="21"/>
          <w:szCs w:val="22"/>
          <w:lang w:eastAsia="zh-CN"/>
        </w:rPr>
        <w:t>（地址：深圳市深汕特别合作区管委会怡和楼一栋四楼）</w:t>
      </w:r>
      <w:r>
        <w:rPr>
          <w:rFonts w:ascii="宋体" w:hAnsi="宋体" w:eastAsia="宋体" w:cs="宋体"/>
          <w:b/>
          <w:bCs/>
          <w:kern w:val="2"/>
          <w:sz w:val="21"/>
          <w:szCs w:val="22"/>
          <w:lang w:eastAsia="zh-CN"/>
        </w:rPr>
        <w:t>协助上传</w:t>
      </w:r>
      <w:r>
        <w:rPr>
          <w:rFonts w:hint="eastAsia" w:ascii="宋体" w:hAnsi="宋体" w:eastAsia="宋体" w:cs="宋体"/>
          <w:b/>
          <w:bCs/>
          <w:kern w:val="2"/>
          <w:sz w:val="21"/>
          <w:szCs w:val="22"/>
          <w:lang w:eastAsia="zh-CN"/>
        </w:rPr>
        <w:t>，</w:t>
      </w:r>
      <w:r>
        <w:rPr>
          <w:rFonts w:ascii="宋体" w:hAnsi="宋体" w:eastAsia="宋体" w:cs="宋体"/>
          <w:b/>
          <w:bCs/>
          <w:kern w:val="2"/>
          <w:sz w:val="21"/>
          <w:szCs w:val="22"/>
          <w:lang w:eastAsia="zh-CN"/>
        </w:rPr>
        <w:t>但上传过程</w:t>
      </w:r>
      <w:r>
        <w:rPr>
          <w:rFonts w:hint="eastAsia" w:ascii="宋体" w:hAnsi="宋体" w:eastAsia="宋体" w:cs="宋体"/>
          <w:b/>
          <w:bCs/>
          <w:kern w:val="2"/>
          <w:sz w:val="21"/>
          <w:szCs w:val="22"/>
          <w:lang w:eastAsia="zh-CN"/>
        </w:rPr>
        <w:t>中</w:t>
      </w:r>
      <w:r>
        <w:rPr>
          <w:rFonts w:ascii="宋体" w:hAnsi="宋体" w:eastAsia="宋体" w:cs="宋体"/>
          <w:b/>
          <w:bCs/>
          <w:kern w:val="2"/>
          <w:sz w:val="21"/>
          <w:szCs w:val="22"/>
          <w:lang w:eastAsia="zh-CN"/>
        </w:rPr>
        <w:t>投标截止时间到达仍无法上传成功的，由投标人自行负责</w:t>
      </w:r>
      <w:r>
        <w:rPr>
          <w:rFonts w:hint="eastAsia" w:ascii="宋体" w:hAnsi="宋体" w:eastAsia="宋体" w:cs="宋体"/>
          <w:kern w:val="2"/>
          <w:sz w:val="21"/>
          <w:szCs w:val="22"/>
          <w:lang w:eastAsia="zh-CN"/>
        </w:rPr>
        <w:t>。</w:t>
      </w:r>
    </w:p>
    <w:p w14:paraId="1BB13B2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730DFB1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3投标截止时间以后不得上传投标文件。</w:t>
      </w:r>
    </w:p>
    <w:p w14:paraId="09EC109D">
      <w:pPr>
        <w:widowControl w:val="0"/>
        <w:ind w:firstLine="411" w:firstLineChars="196"/>
        <w:jc w:val="both"/>
        <w:rPr>
          <w:rFonts w:ascii="宋体" w:hAnsi="宋体" w:eastAsia="宋体" w:cs="宋体"/>
          <w:kern w:val="2"/>
          <w:sz w:val="21"/>
          <w:szCs w:val="22"/>
          <w:lang w:eastAsia="zh-CN"/>
        </w:rPr>
      </w:pPr>
    </w:p>
    <w:p w14:paraId="7961661C">
      <w:pPr>
        <w:widowControl w:val="0"/>
        <w:ind w:firstLine="411" w:firstLineChars="196"/>
        <w:jc w:val="both"/>
        <w:rPr>
          <w:rFonts w:ascii="宋体" w:hAnsi="宋体" w:eastAsia="宋体" w:cs="宋体"/>
          <w:kern w:val="2"/>
          <w:sz w:val="21"/>
          <w:szCs w:val="22"/>
          <w:lang w:eastAsia="zh-CN"/>
        </w:rPr>
      </w:pPr>
    </w:p>
    <w:bookmarkEnd w:id="45"/>
    <w:p w14:paraId="40F70023">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26. 样品、现场演示、方案讲解</w:t>
      </w:r>
    </w:p>
    <w:p w14:paraId="2AC3424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26.1 样品、现场演示、方案讲解等事项在招标文件专用条款中进行规定。</w:t>
      </w:r>
    </w:p>
    <w:p w14:paraId="516D0566">
      <w:pPr>
        <w:widowControl w:val="0"/>
        <w:jc w:val="both"/>
        <w:rPr>
          <w:rFonts w:ascii="黑体" w:hAnsi="宋体" w:eastAsia="黑体" w:cs="宋体"/>
          <w:kern w:val="2"/>
          <w:szCs w:val="22"/>
          <w:lang w:eastAsia="zh-CN"/>
        </w:rPr>
      </w:pPr>
      <w:bookmarkStart w:id="46" w:name="_Hlk72428346"/>
      <w:r>
        <w:rPr>
          <w:rFonts w:ascii="黑体" w:hAnsi="宋体" w:eastAsia="黑体" w:cs="宋体"/>
          <w:kern w:val="2"/>
          <w:szCs w:val="22"/>
          <w:lang w:eastAsia="zh-CN"/>
        </w:rPr>
        <w:t>2</w:t>
      </w:r>
      <w:r>
        <w:rPr>
          <w:rFonts w:hint="eastAsia" w:ascii="黑体" w:hAnsi="宋体" w:eastAsia="黑体" w:cs="宋体"/>
          <w:kern w:val="2"/>
          <w:szCs w:val="22"/>
          <w:lang w:eastAsia="zh-CN"/>
        </w:rPr>
        <w:t>7．</w:t>
      </w:r>
      <w:r>
        <w:rPr>
          <w:rFonts w:ascii="黑体" w:hAnsi="宋体" w:eastAsia="黑体" w:cs="宋体"/>
          <w:kern w:val="2"/>
          <w:szCs w:val="22"/>
          <w:lang w:eastAsia="zh-CN"/>
        </w:rPr>
        <w:t>投标文件的修改和撤销</w:t>
      </w:r>
    </w:p>
    <w:p w14:paraId="4D4A1797">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投标方在提交投标文件后可对其投标文件进行修改</w:t>
      </w:r>
      <w:r>
        <w:rPr>
          <w:rFonts w:hint="eastAsia" w:ascii="宋体" w:hAnsi="宋体" w:eastAsia="宋体" w:cs="宋体"/>
          <w:kern w:val="2"/>
          <w:sz w:val="21"/>
          <w:szCs w:val="22"/>
          <w:lang w:eastAsia="zh-CN"/>
        </w:rPr>
        <w:t>并重新上传投标文件</w:t>
      </w:r>
      <w:r>
        <w:rPr>
          <w:rFonts w:ascii="宋体" w:hAnsi="宋体" w:eastAsia="宋体" w:cs="宋体"/>
          <w:kern w:val="2"/>
          <w:sz w:val="21"/>
          <w:szCs w:val="22"/>
          <w:lang w:eastAsia="zh-CN"/>
        </w:rPr>
        <w:t>或</w:t>
      </w:r>
      <w:r>
        <w:rPr>
          <w:rFonts w:hint="eastAsia" w:ascii="宋体" w:hAnsi="宋体" w:eastAsia="宋体" w:cs="宋体"/>
          <w:kern w:val="2"/>
          <w:sz w:val="21"/>
          <w:szCs w:val="22"/>
          <w:lang w:eastAsia="zh-CN"/>
        </w:rPr>
        <w:t>在网上进行</w:t>
      </w:r>
      <w:r>
        <w:rPr>
          <w:rFonts w:ascii="宋体" w:hAnsi="宋体" w:eastAsia="宋体" w:cs="宋体"/>
          <w:kern w:val="2"/>
          <w:sz w:val="21"/>
          <w:szCs w:val="22"/>
          <w:lang w:eastAsia="zh-CN"/>
        </w:rPr>
        <w:t>撤销</w:t>
      </w:r>
      <w:r>
        <w:rPr>
          <w:rFonts w:hint="eastAsia" w:ascii="宋体" w:hAnsi="宋体" w:eastAsia="宋体" w:cs="宋体"/>
          <w:kern w:val="2"/>
          <w:sz w:val="21"/>
          <w:szCs w:val="22"/>
          <w:lang w:eastAsia="zh-CN"/>
        </w:rPr>
        <w:t>投标的操作</w:t>
      </w:r>
      <w:r>
        <w:rPr>
          <w:rFonts w:ascii="宋体" w:hAnsi="宋体" w:eastAsia="宋体" w:cs="宋体"/>
          <w:kern w:val="2"/>
          <w:sz w:val="21"/>
          <w:szCs w:val="22"/>
          <w:lang w:eastAsia="zh-CN"/>
        </w:rPr>
        <w:t>。</w:t>
      </w:r>
    </w:p>
    <w:p w14:paraId="01A49748">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投标截止时间以后不得修改投标文件。</w:t>
      </w:r>
    </w:p>
    <w:p w14:paraId="28F02686">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3从投标截止期至投标人在投标文件中确定的投标有效期之间的这段时间内，投标人不得撤回其投标。</w:t>
      </w:r>
    </w:p>
    <w:p w14:paraId="1AB36DD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27.4采购代理机构不退还投标文件，专用条款另有规定的除外。</w:t>
      </w:r>
    </w:p>
    <w:bookmarkEnd w:id="46"/>
    <w:p w14:paraId="50F00EA8">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218763E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28．开标</w:t>
      </w:r>
    </w:p>
    <w:p w14:paraId="35FA0B6A">
      <w:pPr>
        <w:widowControl w:val="0"/>
        <w:ind w:firstLine="359" w:firstLineChars="171"/>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1投标人须在开标当日的开标时间至解密截止时间内进行解密，逾期未解密的作无效处理。解密方法：登录“</w:t>
      </w:r>
      <w:r>
        <w:rPr>
          <w:rFonts w:hint="eastAsia" w:ascii="宋体" w:hAnsi="宋体" w:eastAsia="宋体" w:cs="宋体"/>
          <w:kern w:val="2"/>
          <w:sz w:val="21"/>
          <w:szCs w:val="22"/>
          <w:lang w:eastAsia="zh-CN"/>
        </w:rPr>
        <w:t>深圳政府采购自行采购系统（https://trade.szggzy.com/ggzy/center/#/login）</w:t>
      </w:r>
      <w:r>
        <w:rPr>
          <w:rFonts w:hint="eastAsia" w:ascii="宋体" w:hAnsi="宋体" w:eastAsia="宋体" w:cs="宋体"/>
          <w:kern w:val="2"/>
          <w:sz w:val="21"/>
          <w:szCs w:val="21"/>
          <w:lang w:eastAsia="zh-CN"/>
        </w:rPr>
        <w:t>”，使用本单位制作电子投标文件同一个电子密钥进行在线解密、查询开标情况。</w:t>
      </w:r>
    </w:p>
    <w:p w14:paraId="41265860">
      <w:pPr>
        <w:widowControl w:val="0"/>
        <w:ind w:firstLine="315" w:firstLineChars="1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14:paraId="50C33FA5">
      <w:pPr>
        <w:widowControl w:val="0"/>
        <w:ind w:firstLine="315" w:firstLineChars="150"/>
        <w:jc w:val="both"/>
        <w:rPr>
          <w:rFonts w:ascii="宋体" w:hAnsi="宋体" w:eastAsia="宋体" w:cs="宋体"/>
          <w:kern w:val="2"/>
          <w:sz w:val="21"/>
          <w:szCs w:val="21"/>
          <w:lang w:eastAsia="zh-CN"/>
        </w:rPr>
      </w:pPr>
    </w:p>
    <w:p w14:paraId="1F9E1A17">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65A5CC04">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29．评审委员会组成</w:t>
      </w:r>
    </w:p>
    <w:p w14:paraId="7063B06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29.1网上开标结束后召开评审会议，</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由采购代理机构依法组建，负责评审活动。</w:t>
      </w:r>
    </w:p>
    <w:p w14:paraId="443471AB">
      <w:pPr>
        <w:widowControl w:val="0"/>
        <w:ind w:firstLine="411" w:firstLineChars="196"/>
        <w:jc w:val="both"/>
        <w:rPr>
          <w:rFonts w:ascii="宋体" w:hAnsi="宋体" w:eastAsia="宋体" w:cs="宋体"/>
          <w:kern w:val="2"/>
          <w:sz w:val="21"/>
          <w:szCs w:val="22"/>
          <w:lang w:eastAsia="zh-CN"/>
        </w:rPr>
      </w:pPr>
      <w:bookmarkStart w:id="47" w:name="_Hlk72436580"/>
      <w:r>
        <w:rPr>
          <w:rFonts w:hint="eastAsia" w:ascii="宋体" w:hAnsi="宋体" w:eastAsia="宋体" w:cs="宋体"/>
          <w:kern w:val="2"/>
          <w:sz w:val="21"/>
          <w:szCs w:val="22"/>
          <w:lang w:eastAsia="zh-CN"/>
        </w:rPr>
        <w:t>评审委员会由采购人代表和评审专家组成，成员人数应当为5人以上单数（部分条件下为7人以上单数），其中评审专家不得少于成员总数的三分之二。</w:t>
      </w:r>
      <w:bookmarkEnd w:id="47"/>
      <w:r>
        <w:rPr>
          <w:rFonts w:hint="eastAsia" w:ascii="宋体" w:hAnsi="宋体" w:eastAsia="宋体" w:cs="宋体"/>
          <w:kern w:val="2"/>
          <w:sz w:val="21"/>
          <w:szCs w:val="22"/>
          <w:lang w:eastAsia="zh-CN"/>
        </w:rPr>
        <w:t>评定</w:t>
      </w:r>
      <w:r>
        <w:rPr>
          <w:rFonts w:hint="eastAsia" w:ascii="Calibri" w:hAnsi="Calibri" w:eastAsia="宋体" w:cs="宋体"/>
          <w:kern w:val="2"/>
          <w:sz w:val="21"/>
          <w:szCs w:val="22"/>
          <w:lang w:eastAsia="zh-CN"/>
        </w:rPr>
        <w:t>分离项目</w:t>
      </w:r>
      <w:r>
        <w:rPr>
          <w:rFonts w:ascii="Calibri" w:hAnsi="Calibri" w:eastAsia="宋体" w:cs="宋体"/>
          <w:kern w:val="2"/>
          <w:sz w:val="21"/>
          <w:szCs w:val="22"/>
          <w:lang w:eastAsia="zh-CN"/>
        </w:rPr>
        <w:t>评审专家</w:t>
      </w:r>
      <w:r>
        <w:rPr>
          <w:rFonts w:hint="eastAsia" w:ascii="Calibri" w:hAnsi="Calibri" w:eastAsia="宋体" w:cs="宋体"/>
          <w:kern w:val="2"/>
          <w:sz w:val="21"/>
          <w:szCs w:val="22"/>
          <w:lang w:eastAsia="zh-CN"/>
        </w:rPr>
        <w:t>均</w:t>
      </w:r>
      <w:r>
        <w:rPr>
          <w:rFonts w:ascii="Calibri" w:hAnsi="Calibri" w:eastAsia="宋体" w:cs="宋体"/>
          <w:kern w:val="2"/>
          <w:sz w:val="21"/>
          <w:szCs w:val="22"/>
          <w:lang w:eastAsia="zh-CN"/>
        </w:rPr>
        <w:t>由</w:t>
      </w:r>
      <w:r>
        <w:rPr>
          <w:rFonts w:hint="eastAsia" w:ascii="Calibri" w:hAnsi="Calibri" w:eastAsia="宋体" w:cs="宋体"/>
          <w:kern w:val="2"/>
          <w:sz w:val="21"/>
          <w:szCs w:val="22"/>
          <w:lang w:eastAsia="zh-CN"/>
        </w:rPr>
        <w:t>评审专家组成。</w:t>
      </w:r>
      <w:r>
        <w:rPr>
          <w:rFonts w:hint="eastAsia" w:ascii="宋体" w:hAnsi="宋体" w:eastAsia="宋体" w:cs="宋体"/>
          <w:kern w:val="2"/>
          <w:sz w:val="21"/>
          <w:szCs w:val="21"/>
          <w:lang w:eastAsia="zh-CN"/>
        </w:rPr>
        <w:t>评审专家一般是</w:t>
      </w:r>
      <w:r>
        <w:rPr>
          <w:rFonts w:hint="eastAsia" w:ascii="宋体" w:hAnsi="宋体" w:eastAsia="宋体" w:cs="宋体"/>
          <w:kern w:val="2"/>
          <w:sz w:val="21"/>
          <w:szCs w:val="22"/>
          <w:lang w:eastAsia="zh-CN"/>
        </w:rPr>
        <w:t>从深圳市政府采购评审专家库中随机抽取。采购人代表须持本单位签发的《评审授权书》参加评审。</w:t>
      </w:r>
    </w:p>
    <w:p w14:paraId="229FA445">
      <w:pPr>
        <w:widowControl w:val="0"/>
        <w:spacing w:after="120"/>
        <w:ind w:firstLine="420" w:firstLineChars="200"/>
        <w:jc w:val="both"/>
        <w:rPr>
          <w:rFonts w:eastAsia="宋体"/>
          <w:kern w:val="2"/>
          <w:sz w:val="21"/>
          <w:lang w:eastAsia="zh-CN"/>
        </w:rPr>
      </w:pPr>
      <w:r>
        <w:rPr>
          <w:rFonts w:hint="eastAsia" w:ascii="宋体" w:hAnsi="宋体" w:eastAsia="宋体"/>
          <w:color w:val="FF0000"/>
          <w:kern w:val="2"/>
          <w:sz w:val="21"/>
          <w:lang w:eastAsia="zh-CN"/>
        </w:rPr>
        <w:t>根据财政部门要求，将食材、厨具、家具、窗帘、餐饮服务、物业管理、清扫服务、保安服务、园林绿化、社工服务、“城市管家”十一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6D4BA96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29.2评审定标应当遵循公平、公正、科学、择优的原则。</w:t>
      </w:r>
    </w:p>
    <w:p w14:paraId="4D7BF15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29.3评审活动依法进行，任何单位和个人不得非法干预评标过程和结果。</w:t>
      </w:r>
    </w:p>
    <w:p w14:paraId="58281D7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29.4评审过程中不允许违背评标程序或采用招标文件未载明的评标方法或评标因素进行评标。</w:t>
      </w:r>
    </w:p>
    <w:p w14:paraId="3E3B2E6E">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宋体"/>
          <w:kern w:val="2"/>
          <w:sz w:val="21"/>
          <w:szCs w:val="22"/>
          <w:lang w:eastAsia="zh-CN"/>
        </w:rPr>
        <w:t>信息公开的内容除外</w:t>
      </w:r>
      <w:r>
        <w:rPr>
          <w:rFonts w:hint="eastAsia" w:ascii="宋体" w:hAnsi="宋体" w:eastAsia="宋体" w:cs="宋体"/>
          <w:bCs/>
          <w:kern w:val="2"/>
          <w:sz w:val="21"/>
          <w:szCs w:val="22"/>
          <w:lang w:eastAsia="zh-CN"/>
        </w:rPr>
        <w:t>）。</w:t>
      </w:r>
    </w:p>
    <w:p w14:paraId="4953F31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30．向评审委员会提供的资料</w:t>
      </w:r>
    </w:p>
    <w:p w14:paraId="49C2C1C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30.1公开发布的招标文件，包括图纸、服务清单、答疑文件等；</w:t>
      </w:r>
    </w:p>
    <w:p w14:paraId="09EDCC5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30.2其他评标必须的资料。</w:t>
      </w:r>
    </w:p>
    <w:p w14:paraId="4809EDE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30.3</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应当认真研究招标文件，至少应了解熟悉以下内容：</w:t>
      </w:r>
    </w:p>
    <w:p w14:paraId="1057C3D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（1）招标的目的；</w:t>
      </w:r>
    </w:p>
    <w:p w14:paraId="09B0744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（2）招标项目需求的范围和性质；</w:t>
      </w:r>
    </w:p>
    <w:p w14:paraId="013B121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（3）招标文件规定的投标人的资格、财政预算限额、商务条款；</w:t>
      </w:r>
    </w:p>
    <w:p w14:paraId="425DE93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（4）招标文件规定的评标程序、评标方法和评标因素；</w:t>
      </w:r>
    </w:p>
    <w:p w14:paraId="5FA6C7F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（5）招标文件所列示的资格性审查表及符合性审查表。</w:t>
      </w:r>
    </w:p>
    <w:p w14:paraId="5183B7BC">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31．独立评审</w:t>
      </w:r>
    </w:p>
    <w:p w14:paraId="47709D07">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w:t>
      </w:r>
      <w:r>
        <w:rPr>
          <w:rFonts w:ascii="宋体" w:hAnsi="宋体" w:eastAsia="宋体" w:cs="宋体"/>
          <w:bCs/>
          <w:kern w:val="2"/>
          <w:sz w:val="21"/>
          <w:szCs w:val="22"/>
          <w:lang w:eastAsia="zh-CN"/>
        </w:rPr>
        <w:t>1</w:t>
      </w:r>
      <w:r>
        <w:rPr>
          <w:rFonts w:hint="eastAsia" w:ascii="宋体" w:hAnsi="宋体" w:eastAsia="宋体" w:cs="宋体"/>
          <w:bCs/>
          <w:kern w:val="2"/>
          <w:sz w:val="21"/>
          <w:szCs w:val="22"/>
          <w:lang w:eastAsia="zh-CN"/>
        </w:rPr>
        <w:t>.1</w:t>
      </w:r>
      <w:r>
        <w:rPr>
          <w:rFonts w:hint="eastAsia" w:ascii="宋体" w:hAnsi="宋体" w:eastAsia="宋体" w:cs="宋体"/>
          <w:kern w:val="2"/>
          <w:sz w:val="21"/>
          <w:szCs w:val="21"/>
          <w:lang w:eastAsia="zh-CN"/>
        </w:rPr>
        <w:t>评审委员会</w:t>
      </w:r>
      <w:r>
        <w:rPr>
          <w:rFonts w:hint="eastAsia" w:ascii="宋体" w:hAnsi="宋体" w:eastAsia="宋体" w:cs="宋体"/>
          <w:bCs/>
          <w:kern w:val="2"/>
          <w:sz w:val="21"/>
          <w:szCs w:val="22"/>
          <w:lang w:eastAsia="zh-CN"/>
        </w:rPr>
        <w:t>成员的评标活动应当独立进行，并应遵循投标文件初审、澄清有关问题、比较与评价、确定中标供应商、编写评审报告的工作程序。</w:t>
      </w:r>
    </w:p>
    <w:p w14:paraId="08DA46F5">
      <w:pPr>
        <w:widowControl w:val="0"/>
        <w:ind w:firstLine="411" w:firstLineChars="196"/>
        <w:jc w:val="both"/>
        <w:rPr>
          <w:rFonts w:ascii="宋体" w:hAnsi="宋体" w:eastAsia="宋体" w:cs="宋体"/>
          <w:bCs/>
          <w:kern w:val="2"/>
          <w:sz w:val="21"/>
          <w:szCs w:val="21"/>
          <w:lang w:eastAsia="zh-CN"/>
        </w:rPr>
      </w:pPr>
    </w:p>
    <w:p w14:paraId="3834CF28">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7E26E36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32．投标文件初审</w:t>
      </w:r>
    </w:p>
    <w:p w14:paraId="6523731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32.1投标文件初审包括资格性审查和符合性审查。</w:t>
      </w:r>
    </w:p>
    <w:p w14:paraId="7E13427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资格性审查：依据法律法规和招标文件的规定，对投标文件中的资格证明等进行审查，以确定投标供应商是否具备投标资格。</w:t>
      </w:r>
    </w:p>
    <w:p w14:paraId="1BBC78E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符合性审查：依据招标文件的规定，对投标文件的有效性、完整性和对招标文件的响应程度进行审查，以确定是否满足符合性审查的要求。</w:t>
      </w:r>
    </w:p>
    <w:p w14:paraId="4CBFBC2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32.2 投标文件初审内容请详见《资格性审查表》和《符合性审查表》部分。投标人若有一条审查不通过则按投标无效处理。</w:t>
      </w:r>
    </w:p>
    <w:p w14:paraId="69089F9E">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 投标文件初审中关于供应商家数的计算:</w:t>
      </w:r>
    </w:p>
    <w:p w14:paraId="49B68B91">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CB4059C">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宋体"/>
          <w:bCs/>
          <w:kern w:val="2"/>
          <w:sz w:val="21"/>
          <w:szCs w:val="21"/>
          <w:lang w:eastAsia="zh-CN"/>
        </w:rPr>
        <w:t>评审委员会</w:t>
      </w:r>
      <w:r>
        <w:rPr>
          <w:rFonts w:hint="eastAsia" w:ascii="宋体" w:hAnsi="宋体" w:eastAsia="宋体" w:cs="宋体"/>
          <w:bCs/>
          <w:kern w:val="2"/>
          <w:sz w:val="21"/>
          <w:szCs w:val="22"/>
          <w:lang w:eastAsia="zh-CN"/>
        </w:rPr>
        <w:t>按照招标文件规定的方式确定一个投标人获得中标人推荐资格，招标文件未规定的采取随机抽取方式确定，其他同品牌投标人不作为中标候选人。</w:t>
      </w:r>
    </w:p>
    <w:p w14:paraId="4356FE34">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14:paraId="48D9197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32.4投标人投标文件作无效处理的情形，具体包括但不限于以下：</w:t>
      </w:r>
    </w:p>
    <w:p w14:paraId="614DC9BC">
      <w:pPr>
        <w:widowControl w:val="0"/>
        <w:ind w:firstLine="411" w:firstLineChars="196"/>
        <w:jc w:val="both"/>
        <w:rPr>
          <w:rFonts w:ascii="Calibri" w:hAnsi="Calibri" w:eastAsia="宋体" w:cs="宋体"/>
          <w:kern w:val="2"/>
          <w:sz w:val="21"/>
          <w:szCs w:val="22"/>
          <w:lang w:eastAsia="zh-CN"/>
        </w:rPr>
      </w:pPr>
      <w:r>
        <w:rPr>
          <w:rFonts w:hint="eastAsia" w:ascii="宋体" w:hAnsi="宋体" w:eastAsia="宋体" w:cs="宋体"/>
          <w:kern w:val="2"/>
          <w:sz w:val="21"/>
          <w:szCs w:val="22"/>
          <w:lang w:eastAsia="zh-CN"/>
        </w:rPr>
        <w:t>32.4.1</w:t>
      </w:r>
      <w:r>
        <w:rPr>
          <w:rFonts w:hint="eastAsia" w:ascii="Calibri" w:hAnsi="Calibri" w:eastAsia="宋体" w:cs="宋体"/>
          <w:kern w:val="2"/>
          <w:sz w:val="21"/>
          <w:szCs w:val="22"/>
          <w:lang w:eastAsia="zh-CN"/>
        </w:rPr>
        <w:t>不同投标人的投标文件由同一单位或者同一个人编制，或者由同一个人分阶段参与编制；</w:t>
      </w:r>
    </w:p>
    <w:p w14:paraId="33E6D0CA">
      <w:pPr>
        <w:widowControl w:val="0"/>
        <w:ind w:firstLine="411" w:firstLineChars="196"/>
        <w:jc w:val="both"/>
        <w:rPr>
          <w:rFonts w:ascii="Calibri" w:hAnsi="Calibri" w:eastAsia="宋体" w:cs="宋体"/>
          <w:kern w:val="2"/>
          <w:sz w:val="21"/>
          <w:szCs w:val="22"/>
          <w:lang w:eastAsia="zh-CN"/>
        </w:rPr>
      </w:pPr>
      <w:r>
        <w:rPr>
          <w:rFonts w:ascii="宋体" w:hAnsi="宋体" w:eastAsia="宋体" w:cs="宋体"/>
          <w:kern w:val="2"/>
          <w:sz w:val="21"/>
          <w:szCs w:val="22"/>
          <w:lang w:eastAsia="zh-CN"/>
        </w:rPr>
        <w:t>32.4.</w:t>
      </w:r>
      <w:r>
        <w:rPr>
          <w:rFonts w:hint="eastAsia" w:ascii="宋体" w:hAnsi="宋体" w:eastAsia="宋体" w:cs="宋体"/>
          <w:kern w:val="2"/>
          <w:sz w:val="21"/>
          <w:szCs w:val="22"/>
          <w:lang w:eastAsia="zh-CN"/>
        </w:rPr>
        <w:t>2</w:t>
      </w:r>
      <w:r>
        <w:rPr>
          <w:rFonts w:hint="eastAsia" w:ascii="Calibri" w:hAnsi="Calibri" w:eastAsia="宋体" w:cs="宋体"/>
          <w:kern w:val="2"/>
          <w:sz w:val="21"/>
          <w:szCs w:val="22"/>
          <w:lang w:eastAsia="zh-CN"/>
        </w:rPr>
        <w:t>不同投标人委托同一单位或者个人办理投标事宜；</w:t>
      </w:r>
    </w:p>
    <w:p w14:paraId="407A21E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32.4.3不同投标人的投标文件载明的项目管理成员或者联系人员为同一人；</w:t>
      </w:r>
    </w:p>
    <w:p w14:paraId="03D600A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32.4.4不同投标人的投标文件异常一致或者投标报价呈规律性差异；</w:t>
      </w:r>
    </w:p>
    <w:p w14:paraId="30ED0CF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32.4.5</w:t>
      </w:r>
      <w:r>
        <w:rPr>
          <w:rFonts w:ascii="宋体" w:hAnsi="宋体" w:eastAsia="宋体" w:cs="宋体"/>
          <w:kern w:val="2"/>
          <w:sz w:val="21"/>
          <w:szCs w:val="22"/>
          <w:lang w:eastAsia="zh-CN"/>
        </w:rPr>
        <w:t>不同投标供应商的投标文件或部分投标文件相互混装</w:t>
      </w:r>
      <w:r>
        <w:rPr>
          <w:rFonts w:hint="eastAsia" w:ascii="宋体" w:hAnsi="宋体" w:eastAsia="宋体" w:cs="宋体"/>
          <w:kern w:val="2"/>
          <w:sz w:val="21"/>
          <w:szCs w:val="22"/>
          <w:lang w:eastAsia="zh-CN"/>
        </w:rPr>
        <w:t>；</w:t>
      </w:r>
    </w:p>
    <w:p w14:paraId="2D01A25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32.4.6投标供应商之间相互约定给予未中标的供应商利益补偿；</w:t>
      </w:r>
    </w:p>
    <w:p w14:paraId="474ECA9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32.4.7不同投标供应商的法定代表人、主要经营负责人、项目投标授权代表人、项目负责人、主要技术人员为同一人、属同一单位或者同一单位缴纳社会保险；</w:t>
      </w:r>
    </w:p>
    <w:p w14:paraId="6365107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32.4.8不同投标供应商的投标文件内容存在非正常一致；</w:t>
      </w:r>
    </w:p>
    <w:p w14:paraId="2804087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32.4.9在同一单位工作人员为两家以上（含两家）供应商进行同一项投标活动；</w:t>
      </w:r>
    </w:p>
    <w:p w14:paraId="067C1A5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32.4.10主管部门依照法律、法规认定的其他情形。</w:t>
      </w:r>
    </w:p>
    <w:p w14:paraId="33AF8D73">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32.5对不属于《资格性审查表》和《符合性审查表》所列的其他情形，除专用条款另有规定和32.4条款所列情形外，不得作为投标无效的理由。</w:t>
      </w:r>
    </w:p>
    <w:p w14:paraId="4D87517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33．澄清有关问题</w:t>
      </w:r>
    </w:p>
    <w:p w14:paraId="0FA97D6A">
      <w:pPr>
        <w:widowControl w:val="0"/>
        <w:ind w:firstLine="411" w:firstLineChars="196"/>
        <w:jc w:val="both"/>
        <w:rPr>
          <w:rFonts w:ascii="宋体" w:hAnsi="宋体" w:eastAsia="宋体" w:cs="宋体"/>
          <w:kern w:val="2"/>
          <w:sz w:val="21"/>
          <w:szCs w:val="22"/>
          <w:lang w:eastAsia="zh-CN"/>
        </w:rPr>
      </w:pPr>
      <w:bookmarkStart w:id="48" w:name="_Hlk71407321"/>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3.1</w:t>
      </w:r>
      <w:r>
        <w:rPr>
          <w:rFonts w:hint="eastAsia" w:ascii="宋体" w:hAnsi="宋体" w:eastAsia="宋体" w:cs="宋体"/>
          <w:kern w:val="2"/>
          <w:sz w:val="21"/>
          <w:szCs w:val="22"/>
          <w:lang w:eastAsia="zh-CN"/>
        </w:rPr>
        <w:t>对招标文件中描述有歧义或前后不一致的地方（不含</w:t>
      </w:r>
      <w:r>
        <w:rPr>
          <w:rFonts w:ascii="Calibri" w:hAnsi="Calibri" w:eastAsia="宋体" w:cs="宋体"/>
          <w:kern w:val="2"/>
          <w:sz w:val="21"/>
          <w:szCs w:val="21"/>
          <w:lang w:eastAsia="zh-CN"/>
        </w:rPr>
        <w:t>招标文件存在歧义、重大缺陷导致评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工作无法进行</w:t>
      </w:r>
      <w:r>
        <w:rPr>
          <w:rFonts w:hint="eastAsia" w:ascii="Calibri" w:hAnsi="Calibri" w:eastAsia="宋体" w:cs="宋体"/>
          <w:kern w:val="2"/>
          <w:sz w:val="21"/>
          <w:szCs w:val="21"/>
          <w:lang w:eastAsia="zh-CN"/>
        </w:rPr>
        <w:t>的情况）</w:t>
      </w:r>
      <w:r>
        <w:rPr>
          <w:rFonts w:hint="eastAsia" w:ascii="宋体" w:hAnsi="宋体" w:eastAsia="宋体" w:cs="宋体"/>
          <w:kern w:val="2"/>
          <w:sz w:val="21"/>
          <w:szCs w:val="22"/>
          <w:lang w:eastAsia="zh-CN"/>
        </w:rPr>
        <w:t>，评审委员会有权进行评判，但对同一条款的评判应适用于每个投标人。</w:t>
      </w:r>
      <w:bookmarkEnd w:id="48"/>
    </w:p>
    <w:p w14:paraId="4ECFDD8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3.2</w:t>
      </w:r>
      <w:r>
        <w:rPr>
          <w:rFonts w:ascii="Calibri" w:hAnsi="Calibri" w:eastAsia="宋体" w:cs="宋体"/>
          <w:kern w:val="2"/>
          <w:sz w:val="21"/>
          <w:szCs w:val="21"/>
          <w:lang w:eastAsia="zh-CN"/>
        </w:rPr>
        <w:t>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委员会发现招标文件存在歧义、重大缺陷导致评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工作无法进行，或者招标文件内容违反国家有关强制性规定的，应当停止评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工作，与</w:t>
      </w:r>
      <w:r>
        <w:rPr>
          <w:rFonts w:hint="eastAsia" w:ascii="Calibri" w:hAnsi="Calibri" w:eastAsia="宋体" w:cs="宋体"/>
          <w:kern w:val="2"/>
          <w:sz w:val="21"/>
          <w:szCs w:val="21"/>
          <w:lang w:eastAsia="zh-CN"/>
        </w:rPr>
        <w:t>采购代理机构</w:t>
      </w:r>
      <w:r>
        <w:rPr>
          <w:rFonts w:ascii="Calibri" w:hAnsi="Calibri" w:eastAsia="宋体" w:cs="宋体"/>
          <w:kern w:val="2"/>
          <w:sz w:val="21"/>
          <w:szCs w:val="21"/>
          <w:lang w:eastAsia="zh-CN"/>
        </w:rPr>
        <w:t>沟通并作书面记录。</w:t>
      </w:r>
      <w:r>
        <w:rPr>
          <w:rFonts w:hint="eastAsia" w:ascii="Calibri" w:hAnsi="Calibri" w:eastAsia="宋体" w:cs="宋体"/>
          <w:kern w:val="2"/>
          <w:sz w:val="21"/>
          <w:szCs w:val="21"/>
          <w:lang w:eastAsia="zh-CN"/>
        </w:rPr>
        <w:t>经</w:t>
      </w:r>
      <w:r>
        <w:rPr>
          <w:rFonts w:ascii="Calibri" w:hAnsi="Calibri" w:eastAsia="宋体" w:cs="宋体"/>
          <w:kern w:val="2"/>
          <w:sz w:val="21"/>
          <w:szCs w:val="21"/>
          <w:lang w:eastAsia="zh-CN"/>
        </w:rPr>
        <w:t>确认后，</w:t>
      </w:r>
      <w:r>
        <w:rPr>
          <w:rFonts w:hint="eastAsia" w:ascii="Calibri" w:hAnsi="Calibri" w:eastAsia="宋体" w:cs="宋体"/>
          <w:kern w:val="2"/>
          <w:sz w:val="21"/>
          <w:szCs w:val="21"/>
          <w:lang w:eastAsia="zh-CN"/>
        </w:rPr>
        <w:t>项目</w:t>
      </w:r>
      <w:r>
        <w:rPr>
          <w:rFonts w:ascii="Calibri" w:hAnsi="Calibri" w:eastAsia="宋体" w:cs="宋体"/>
          <w:kern w:val="2"/>
          <w:sz w:val="21"/>
          <w:szCs w:val="21"/>
          <w:lang w:eastAsia="zh-CN"/>
        </w:rPr>
        <w:t>应当修改招标文件，重新组织采购活动。</w:t>
      </w:r>
    </w:p>
    <w:p w14:paraId="2706D90B">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33.3</w:t>
      </w:r>
      <w:r>
        <w:rPr>
          <w:rFonts w:hint="eastAsia" w:ascii="宋体" w:hAnsi="宋体" w:eastAsia="宋体" w:cs="宋体"/>
          <w:kern w:val="2"/>
          <w:sz w:val="21"/>
          <w:szCs w:val="22"/>
          <w:lang w:eastAsia="zh-CN"/>
        </w:rPr>
        <w:t>对于投标文件中含义不明确、同类问题表述不一致或者有明显文字和计算错误的内容，评审委员会应当以书面形式要求投标人作出必要的澄清、说明或者补正。</w:t>
      </w:r>
    </w:p>
    <w:p w14:paraId="1C814A0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F72DD4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根据本通用条款第34条，凡属于评审委员会在评审中发现的算术错误进行核实的修改不在此列。</w:t>
      </w:r>
    </w:p>
    <w:p w14:paraId="36B53BB0">
      <w:pPr>
        <w:widowControl w:val="0"/>
        <w:jc w:val="both"/>
        <w:rPr>
          <w:rFonts w:ascii="黑体" w:hAnsi="宋体" w:eastAsia="黑体" w:cs="宋体"/>
          <w:kern w:val="2"/>
          <w:szCs w:val="22"/>
          <w:lang w:eastAsia="zh-CN"/>
        </w:rPr>
      </w:pPr>
      <w:bookmarkStart w:id="49" w:name="_Toc73521581"/>
      <w:bookmarkStart w:id="50" w:name="_Toc100052400"/>
      <w:bookmarkStart w:id="51" w:name="_Toc73517673"/>
      <w:bookmarkStart w:id="52" w:name="_Toc73518151"/>
      <w:bookmarkStart w:id="53" w:name="_Toc73521669"/>
      <w:r>
        <w:rPr>
          <w:rFonts w:hint="eastAsia" w:ascii="黑体" w:hAnsi="宋体" w:eastAsia="黑体" w:cs="宋体"/>
          <w:kern w:val="2"/>
          <w:szCs w:val="22"/>
          <w:lang w:eastAsia="zh-CN"/>
        </w:rPr>
        <w:t>34．错误的修正</w:t>
      </w:r>
      <w:bookmarkEnd w:id="49"/>
      <w:bookmarkEnd w:id="50"/>
      <w:bookmarkEnd w:id="51"/>
      <w:bookmarkEnd w:id="52"/>
      <w:bookmarkEnd w:id="53"/>
    </w:p>
    <w:p w14:paraId="7FEE29B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投标文件报价出现前后不一致的，除专用条款另有规定外，按照下列规定修正：</w:t>
      </w:r>
    </w:p>
    <w:p w14:paraId="0A4AEF1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34.1投标文件中开标一览表投标报价内容与投标文件中投标报价相应内容不一致的，以开标一览表为准；</w:t>
      </w:r>
    </w:p>
    <w:p w14:paraId="5E94BE4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34.2大写金额和小写金额不一致的，以大写金额为准；</w:t>
      </w:r>
    </w:p>
    <w:p w14:paraId="3DF6A60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34.3单价金额小数点或者百分比有明显错位，以开标一览表的总价为准，并修改单价；</w:t>
      </w:r>
    </w:p>
    <w:p w14:paraId="4416A45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34.4总价金额与按单价汇总金额不一致的，以单价金额计算结果为准。</w:t>
      </w:r>
    </w:p>
    <w:p w14:paraId="1ACA2AF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550769D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35．投标文件的比较与评价</w:t>
      </w:r>
    </w:p>
    <w:p w14:paraId="385AC1E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3C1976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237CFBD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36. 实地考察或资料查验</w:t>
      </w:r>
    </w:p>
    <w:p w14:paraId="3E30236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36.1在评审过程中，评审委员会有权决定是否对本项目投标人进行实地考察或资料查验（原件）。投标人应随时做好接受实地考察或资料查验的准备。</w:t>
      </w:r>
    </w:p>
    <w:p w14:paraId="7EF3DA6E">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37．评审方法</w:t>
      </w:r>
    </w:p>
    <w:p w14:paraId="762A4EE7">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37.1.1最低价法</w:t>
      </w:r>
    </w:p>
    <w:p w14:paraId="082994A9">
      <w:pPr>
        <w:widowControl w:val="0"/>
        <w:ind w:firstLine="411" w:firstLineChars="196"/>
        <w:jc w:val="both"/>
        <w:rPr>
          <w:rFonts w:ascii="ˎ̥" w:hAnsi="ˎ̥" w:eastAsia="宋体" w:cs="宋体"/>
          <w:kern w:val="2"/>
          <w:sz w:val="21"/>
          <w:szCs w:val="22"/>
          <w:lang w:eastAsia="zh-CN"/>
        </w:rPr>
      </w:pPr>
      <w:bookmarkStart w:id="54" w:name="_Hlk72438142"/>
      <w:r>
        <w:rPr>
          <w:rFonts w:ascii="ˎ̥" w:hAnsi="ˎ̥" w:eastAsia="宋体" w:cs="宋体"/>
          <w:kern w:val="2"/>
          <w:sz w:val="21"/>
          <w:szCs w:val="22"/>
          <w:lang w:eastAsia="zh-CN"/>
        </w:rPr>
        <w:t>最低价法，是指</w:t>
      </w:r>
      <w:r>
        <w:rPr>
          <w:rFonts w:hint="eastAsia" w:ascii="ˎ̥" w:hAnsi="ˎ̥" w:eastAsia="宋体" w:cs="宋体"/>
          <w:kern w:val="2"/>
          <w:sz w:val="21"/>
          <w:szCs w:val="22"/>
          <w:lang w:eastAsia="zh-CN"/>
        </w:rPr>
        <w:t>完全</w:t>
      </w:r>
      <w:r>
        <w:rPr>
          <w:rFonts w:ascii="ˎ̥" w:hAnsi="ˎ̥" w:eastAsia="宋体" w:cs="宋体"/>
          <w:kern w:val="2"/>
          <w:sz w:val="21"/>
          <w:szCs w:val="22"/>
          <w:lang w:eastAsia="zh-CN"/>
        </w:rPr>
        <w:t>满足招标文件实质性要求，</w:t>
      </w:r>
      <w:r>
        <w:rPr>
          <w:rFonts w:hint="eastAsia" w:ascii="ˎ̥" w:hAnsi="ˎ̥" w:eastAsia="宋体" w:cs="宋体"/>
          <w:kern w:val="2"/>
          <w:sz w:val="21"/>
          <w:szCs w:val="22"/>
          <w:lang w:eastAsia="zh-CN"/>
        </w:rPr>
        <w:t>按照报价由低到高的顺序，依据招标文件中规定的数量或者比例推荐候选中标供应商。</w:t>
      </w:r>
    </w:p>
    <w:p w14:paraId="31565145">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37.1.2综合评分法</w:t>
      </w:r>
    </w:p>
    <w:p w14:paraId="22CAE9E6">
      <w:pPr>
        <w:widowControl w:val="0"/>
        <w:ind w:firstLine="411" w:firstLineChars="196"/>
        <w:jc w:val="both"/>
        <w:rPr>
          <w:rFonts w:ascii="ˎ̥" w:hAnsi="ˎ̥" w:eastAsia="宋体" w:cs="宋体"/>
          <w:kern w:val="2"/>
          <w:sz w:val="21"/>
          <w:szCs w:val="22"/>
          <w:lang w:eastAsia="zh-CN"/>
        </w:rPr>
      </w:pPr>
      <w:r>
        <w:rPr>
          <w:rFonts w:ascii="ˎ̥" w:hAnsi="ˎ̥" w:eastAsia="宋体" w:cs="宋体"/>
          <w:kern w:val="2"/>
          <w:sz w:val="21"/>
          <w:szCs w:val="22"/>
          <w:lang w:eastAsia="zh-CN"/>
        </w:rPr>
        <w:t>综合评分法，是指</w:t>
      </w:r>
      <w:r>
        <w:rPr>
          <w:rFonts w:hint="eastAsia" w:ascii="ˎ̥" w:hAnsi="ˎ̥" w:eastAsia="宋体" w:cs="宋体"/>
          <w:kern w:val="2"/>
          <w:sz w:val="21"/>
          <w:szCs w:val="22"/>
          <w:lang w:eastAsia="zh-CN"/>
        </w:rPr>
        <w:t>在</w:t>
      </w:r>
      <w:r>
        <w:rPr>
          <w:rFonts w:ascii="ˎ̥" w:hAnsi="ˎ̥" w:eastAsia="宋体" w:cs="宋体"/>
          <w:kern w:val="2"/>
          <w:sz w:val="21"/>
          <w:szCs w:val="22"/>
          <w:lang w:eastAsia="zh-CN"/>
        </w:rPr>
        <w:t>满足招标文件全部实质性要求</w:t>
      </w:r>
      <w:r>
        <w:rPr>
          <w:rFonts w:hint="eastAsia" w:ascii="ˎ̥" w:hAnsi="ˎ̥" w:eastAsia="宋体" w:cs="宋体"/>
          <w:kern w:val="2"/>
          <w:sz w:val="21"/>
          <w:szCs w:val="22"/>
          <w:lang w:eastAsia="zh-CN"/>
        </w:rPr>
        <w:t>的前提下</w:t>
      </w:r>
      <w:r>
        <w:rPr>
          <w:rFonts w:ascii="ˎ̥" w:hAnsi="ˎ̥" w:eastAsia="宋体" w:cs="宋体"/>
          <w:kern w:val="2"/>
          <w:sz w:val="21"/>
          <w:szCs w:val="22"/>
          <w:lang w:eastAsia="zh-CN"/>
        </w:rPr>
        <w:t>，</w:t>
      </w:r>
      <w:r>
        <w:rPr>
          <w:rFonts w:hint="eastAsia" w:ascii="ˎ̥" w:hAnsi="ˎ̥" w:eastAsia="宋体" w:cs="宋体"/>
          <w:kern w:val="2"/>
          <w:sz w:val="21"/>
          <w:szCs w:val="22"/>
          <w:lang w:eastAsia="zh-CN"/>
        </w:rPr>
        <w:t>按照招标文件中规定的各项因素进行综合评审，评审总得分排名前列的投标人，作为推荐的候选中标供应商。</w:t>
      </w:r>
      <w:bookmarkEnd w:id="54"/>
      <w:r>
        <w:rPr>
          <w:rFonts w:hint="eastAsia" w:ascii="宋体" w:hAnsi="宋体" w:eastAsia="宋体" w:cs="宋体"/>
          <w:bCs/>
          <w:color w:val="FF0000"/>
          <w:kern w:val="2"/>
          <w:sz w:val="21"/>
          <w:szCs w:val="21"/>
          <w:lang w:eastAsia="zh-CN"/>
        </w:rPr>
        <w:t xml:space="preserve">  </w:t>
      </w:r>
      <w:r>
        <w:rPr>
          <w:rFonts w:hint="eastAsia" w:ascii="宋体" w:hAnsi="宋体" w:eastAsia="宋体" w:cs="宋体"/>
          <w:bCs/>
          <w:kern w:val="2"/>
          <w:sz w:val="21"/>
          <w:szCs w:val="21"/>
          <w:lang w:eastAsia="zh-CN"/>
        </w:rPr>
        <w:t xml:space="preserve">                                                                                                                                                                                                                                                                                                                                                                                                                                                                                                                                                                                                                                                                                                                                                                                                                                                                                                                                                                                                                                                                                                                                                                                                                                                                                                                                                                                                                                                                                                                                                                                                                                                                                                                                                                                                                                                                                                                                                                                                                                                                                                                                                                                                                                                                                                                                                                                                                                                                                                                                                                                                                                                                                                                                                                                                                                                                                                                                                                                                                           </w:t>
      </w:r>
    </w:p>
    <w:p w14:paraId="76228808">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37.2 本项目采用的评审方法见本项目招标文件第一册“专用条款”的相关内容。</w:t>
      </w:r>
    </w:p>
    <w:p w14:paraId="72F3A98A">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37.3重新评审的情形</w:t>
      </w:r>
    </w:p>
    <w:p w14:paraId="42BD5A0D">
      <w:pPr>
        <w:widowControl w:val="0"/>
        <w:ind w:firstLine="411" w:firstLineChars="196"/>
        <w:jc w:val="both"/>
        <w:rPr>
          <w:rFonts w:ascii="宋体" w:hAnsi="宋体" w:eastAsia="宋体" w:cs="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3871852C">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67E95D20">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424D6922">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1B300D52">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4FB9F193">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804C721">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299162A6">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 xml:space="preserve"> 37.4重新组建评审委员会的情形</w:t>
      </w:r>
    </w:p>
    <w:p w14:paraId="7E2C328F">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47C95440">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02EFC48C">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75104449">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5F91E3F9">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5EA0CAEA">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25AB7972">
      <w:pPr>
        <w:widowControl w:val="0"/>
        <w:ind w:firstLine="411" w:firstLineChars="196"/>
        <w:jc w:val="both"/>
        <w:rPr>
          <w:rFonts w:ascii="宋体" w:hAnsi="宋体" w:eastAsia="宋体" w:cs="宋体"/>
          <w:kern w:val="2"/>
          <w:sz w:val="21"/>
          <w:szCs w:val="21"/>
          <w:lang w:eastAsia="zh-CN"/>
        </w:rPr>
      </w:pPr>
    </w:p>
    <w:p w14:paraId="61571424">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0CFDE10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38．定标方法</w:t>
      </w:r>
    </w:p>
    <w:p w14:paraId="125ED897">
      <w:pPr>
        <w:widowControl w:val="0"/>
        <w:ind w:firstLine="411" w:firstLineChars="196"/>
        <w:jc w:val="both"/>
        <w:rPr>
          <w:rFonts w:ascii="宋体" w:hAnsi="宋体" w:eastAsia="宋体" w:cs="宋体"/>
          <w:kern w:val="2"/>
          <w:sz w:val="21"/>
          <w:szCs w:val="21"/>
          <w:lang w:eastAsia="zh-CN"/>
        </w:rPr>
      </w:pPr>
      <w:bookmarkStart w:id="55" w:name="_Hlk73782795"/>
      <w:r>
        <w:rPr>
          <w:rFonts w:hint="eastAsia" w:ascii="宋体" w:hAnsi="宋体" w:eastAsia="宋体" w:cs="宋体"/>
          <w:kern w:val="2"/>
          <w:sz w:val="21"/>
          <w:szCs w:val="21"/>
          <w:lang w:eastAsia="zh-CN"/>
        </w:rPr>
        <w:t>38.1非评定分离项目定标方法</w:t>
      </w:r>
    </w:p>
    <w:p w14:paraId="53DC17E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1.1评审委员会依据本项目招标文件所约定的评审方法进行评审和比较，向采购代理机构提交书面评审报告，并根据评审方法比较评价结果从优到劣进行排序，确定候选中标供应商。</w:t>
      </w:r>
    </w:p>
    <w:p w14:paraId="494FC2CE">
      <w:pPr>
        <w:widowControl w:val="0"/>
        <w:ind w:firstLine="411" w:firstLineChars="196"/>
        <w:jc w:val="both"/>
        <w:rPr>
          <w:rFonts w:ascii="ˎ̥" w:hAnsi="ˎ̥" w:eastAsia="宋体" w:cs="宋体"/>
          <w:kern w:val="2"/>
          <w:sz w:val="21"/>
          <w:szCs w:val="22"/>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1.2</w:t>
      </w:r>
      <w:r>
        <w:rPr>
          <w:rFonts w:ascii="ˎ̥" w:hAnsi="ˎ̥" w:eastAsia="宋体" w:cs="宋体"/>
          <w:kern w:val="2"/>
          <w:sz w:val="21"/>
          <w:szCs w:val="22"/>
          <w:lang w:eastAsia="zh-CN"/>
        </w:rPr>
        <w:t>采用最低价法的，评</w:t>
      </w:r>
      <w:r>
        <w:rPr>
          <w:rFonts w:hint="eastAsia" w:ascii="ˎ̥" w:hAnsi="ˎ̥" w:eastAsia="宋体" w:cs="宋体"/>
          <w:kern w:val="2"/>
          <w:sz w:val="21"/>
          <w:szCs w:val="22"/>
          <w:lang w:eastAsia="zh-CN"/>
        </w:rPr>
        <w:t>审</w:t>
      </w:r>
      <w:r>
        <w:rPr>
          <w:rFonts w:ascii="ˎ̥" w:hAnsi="ˎ̥" w:eastAsia="宋体" w:cs="宋体"/>
          <w:kern w:val="2"/>
          <w:sz w:val="21"/>
          <w:szCs w:val="22"/>
          <w:lang w:eastAsia="zh-CN"/>
        </w:rPr>
        <w:t>结果按投标报价由低到高顺序排列。投标报价相同的并列。投标文件满足招标文件全部实质性要求且投标报价最低的</w:t>
      </w:r>
      <w:r>
        <w:rPr>
          <w:rFonts w:hint="eastAsia" w:ascii="ˎ̥" w:hAnsi="ˎ̥" w:eastAsia="宋体" w:cs="宋体"/>
          <w:kern w:val="2"/>
          <w:sz w:val="21"/>
          <w:szCs w:val="22"/>
          <w:lang w:eastAsia="zh-CN"/>
        </w:rPr>
        <w:t>投标人为</w:t>
      </w:r>
      <w:bookmarkStart w:id="56" w:name="_Hlk73821177"/>
      <w:r>
        <w:rPr>
          <w:rFonts w:hint="eastAsia" w:ascii="ˎ̥" w:hAnsi="ˎ̥" w:eastAsia="宋体" w:cs="宋体"/>
          <w:kern w:val="2"/>
          <w:sz w:val="21"/>
          <w:szCs w:val="22"/>
          <w:lang w:eastAsia="zh-CN"/>
        </w:rPr>
        <w:t>唯一候选中标供应商</w:t>
      </w:r>
      <w:bookmarkEnd w:id="56"/>
      <w:r>
        <w:rPr>
          <w:rFonts w:ascii="ˎ̥" w:hAnsi="ˎ̥" w:eastAsia="宋体" w:cs="宋体"/>
          <w:kern w:val="2"/>
          <w:sz w:val="21"/>
          <w:szCs w:val="22"/>
          <w:lang w:eastAsia="zh-CN"/>
        </w:rPr>
        <w:t>。</w:t>
      </w:r>
    </w:p>
    <w:p w14:paraId="20ABDEC0">
      <w:pPr>
        <w:widowControl w:val="0"/>
        <w:ind w:firstLine="411" w:firstLineChars="196"/>
        <w:jc w:val="both"/>
        <w:rPr>
          <w:rFonts w:ascii="ˎ̥" w:hAnsi="ˎ̥" w:eastAsia="宋体" w:cs="宋体"/>
          <w:kern w:val="2"/>
          <w:sz w:val="21"/>
          <w:szCs w:val="22"/>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1.3</w:t>
      </w:r>
      <w:r>
        <w:rPr>
          <w:rFonts w:ascii="宋体" w:hAnsi="宋体" w:eastAsia="宋体" w:cs="宋体"/>
          <w:kern w:val="2"/>
          <w:sz w:val="21"/>
          <w:szCs w:val="21"/>
          <w:lang w:eastAsia="zh-CN"/>
        </w:rPr>
        <w:t>采</w:t>
      </w:r>
      <w:r>
        <w:rPr>
          <w:rFonts w:ascii="ˎ̥" w:hAnsi="ˎ̥" w:eastAsia="宋体" w:cs="宋体"/>
          <w:kern w:val="2"/>
          <w:sz w:val="21"/>
          <w:szCs w:val="22"/>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宋体"/>
          <w:kern w:val="2"/>
          <w:sz w:val="21"/>
          <w:szCs w:val="22"/>
          <w:lang w:eastAsia="zh-CN"/>
        </w:rPr>
        <w:t>为唯一候选中标供应商</w:t>
      </w:r>
      <w:r>
        <w:rPr>
          <w:rFonts w:ascii="ˎ̥" w:hAnsi="ˎ̥" w:eastAsia="宋体" w:cs="宋体"/>
          <w:kern w:val="2"/>
          <w:sz w:val="21"/>
          <w:szCs w:val="22"/>
          <w:lang w:eastAsia="zh-CN"/>
        </w:rPr>
        <w:t>。</w:t>
      </w:r>
      <w:r>
        <w:rPr>
          <w:rFonts w:hint="eastAsia" w:ascii="ˎ̥" w:hAnsi="ˎ̥" w:eastAsia="宋体" w:cs="宋体"/>
          <w:kern w:val="2"/>
          <w:sz w:val="21"/>
          <w:szCs w:val="22"/>
          <w:lang w:eastAsia="zh-CN"/>
        </w:rPr>
        <w:t>出现</w:t>
      </w:r>
      <w:r>
        <w:rPr>
          <w:rFonts w:ascii="ˎ̥" w:hAnsi="ˎ̥" w:eastAsia="宋体" w:cs="宋体"/>
          <w:kern w:val="2"/>
          <w:sz w:val="21"/>
          <w:szCs w:val="22"/>
          <w:lang w:eastAsia="zh-CN"/>
        </w:rPr>
        <w:t>得分且投标报价相同的并列</w:t>
      </w:r>
      <w:r>
        <w:rPr>
          <w:rFonts w:hint="eastAsia" w:ascii="ˎ̥" w:hAnsi="ˎ̥" w:eastAsia="宋体" w:cs="宋体"/>
          <w:kern w:val="2"/>
          <w:sz w:val="21"/>
          <w:szCs w:val="22"/>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7C38AD3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38.2评定分离项目定标方法</w:t>
      </w:r>
    </w:p>
    <w:p w14:paraId="6E8BFAB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ED7C06B">
      <w:pPr>
        <w:widowControl w:val="0"/>
        <w:ind w:firstLine="411" w:firstLineChars="196"/>
        <w:jc w:val="both"/>
        <w:rPr>
          <w:rFonts w:ascii="Calibri" w:hAnsi="Calibri" w:eastAsia="宋体" w:cs="宋体"/>
          <w:kern w:val="2"/>
          <w:sz w:val="21"/>
          <w:szCs w:val="22"/>
          <w:lang w:eastAsia="zh-CN"/>
        </w:rPr>
      </w:pPr>
      <w:r>
        <w:rPr>
          <w:rFonts w:ascii="宋体" w:hAnsi="宋体" w:eastAsia="宋体" w:cs="宋体"/>
          <w:kern w:val="2"/>
          <w:sz w:val="21"/>
          <w:szCs w:val="21"/>
          <w:lang w:eastAsia="zh-CN"/>
        </w:rPr>
        <w:t xml:space="preserve">38.2.2 </w:t>
      </w:r>
      <w:bookmarkStart w:id="57" w:name="_Hlk71469733"/>
      <w:r>
        <w:rPr>
          <w:rFonts w:ascii="Calibri" w:hAnsi="Calibri" w:eastAsia="宋体" w:cs="宋体"/>
          <w:kern w:val="2"/>
          <w:sz w:val="21"/>
          <w:szCs w:val="22"/>
          <w:lang w:eastAsia="zh-CN"/>
        </w:rPr>
        <w:t>适用评定分离的政府采购项目，采用综合评分法评</w:t>
      </w:r>
      <w:r>
        <w:rPr>
          <w:rFonts w:hint="eastAsia" w:ascii="Calibri" w:hAnsi="Calibri" w:eastAsia="宋体" w:cs="宋体"/>
          <w:kern w:val="2"/>
          <w:sz w:val="21"/>
          <w:szCs w:val="22"/>
          <w:lang w:eastAsia="zh-CN"/>
        </w:rPr>
        <w:t>审。</w:t>
      </w:r>
      <w:r>
        <w:rPr>
          <w:rFonts w:hint="eastAsia" w:ascii="宋体" w:hAnsi="宋体" w:eastAsia="宋体" w:cs="宋体"/>
          <w:kern w:val="2"/>
          <w:sz w:val="21"/>
          <w:szCs w:val="21"/>
          <w:lang w:eastAsia="zh-CN"/>
        </w:rPr>
        <w:t>评审委员会按照评审结果，推荐</w:t>
      </w:r>
      <w:r>
        <w:rPr>
          <w:rFonts w:ascii="Calibri" w:hAnsi="Calibri" w:eastAsia="宋体" w:cs="宋体"/>
          <w:kern w:val="2"/>
          <w:sz w:val="21"/>
          <w:szCs w:val="22"/>
          <w:lang w:eastAsia="zh-CN"/>
        </w:rPr>
        <w:t>三个合格的候选中标供应商。</w:t>
      </w:r>
    </w:p>
    <w:p w14:paraId="580DBFC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38.2.3</w:t>
      </w:r>
      <w:bookmarkStart w:id="58" w:name="_Hlk71469688"/>
      <w:r>
        <w:rPr>
          <w:rFonts w:ascii="Calibri" w:hAnsi="Calibri" w:eastAsia="宋体" w:cs="宋体"/>
          <w:kern w:val="2"/>
          <w:sz w:val="21"/>
          <w:szCs w:val="22"/>
          <w:lang w:eastAsia="zh-CN"/>
        </w:rPr>
        <w:t>适用评定分离的政府采购项目，</w:t>
      </w:r>
      <w:r>
        <w:rPr>
          <w:rFonts w:hint="eastAsia" w:ascii="宋体" w:hAnsi="宋体" w:eastAsia="宋体" w:cs="宋体"/>
          <w:kern w:val="2"/>
          <w:sz w:val="21"/>
          <w:szCs w:val="21"/>
          <w:lang w:eastAsia="zh-CN"/>
        </w:rPr>
        <w:t>按照自定法确定中标供应商：自定法是指采购人组织定标委员会，由定标委员会在三家候选中标供应商中确定中标供应商。</w:t>
      </w:r>
      <w:bookmarkEnd w:id="57"/>
      <w:bookmarkEnd w:id="58"/>
    </w:p>
    <w:p w14:paraId="727C1226">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38.2.4</w:t>
      </w:r>
      <w:r>
        <w:rPr>
          <w:rFonts w:hint="eastAsia" w:ascii="宋体" w:hAnsi="宋体" w:eastAsia="宋体" w:cs="宋体"/>
          <w:kern w:val="2"/>
          <w:sz w:val="21"/>
          <w:szCs w:val="21"/>
          <w:lang w:eastAsia="zh-CN"/>
        </w:rPr>
        <w:t>采购代理机构</w:t>
      </w:r>
      <w:r>
        <w:rPr>
          <w:rFonts w:ascii="Calibri" w:hAnsi="Calibri" w:eastAsia="宋体" w:cs="宋体"/>
          <w:kern w:val="2"/>
          <w:sz w:val="21"/>
          <w:szCs w:val="22"/>
          <w:lang w:eastAsia="zh-CN"/>
        </w:rPr>
        <w:t>应当自评审结束之日起两个工作日内将候选中标供应商名单及其投标文件、评审报告送交采购人</w:t>
      </w:r>
      <w:r>
        <w:rPr>
          <w:rFonts w:hint="eastAsia" w:ascii="宋体" w:hAnsi="宋体" w:eastAsia="宋体" w:cs="宋体"/>
          <w:kern w:val="2"/>
          <w:sz w:val="21"/>
          <w:szCs w:val="21"/>
          <w:lang w:eastAsia="zh-CN"/>
        </w:rPr>
        <w:t>。</w:t>
      </w:r>
      <w:r>
        <w:rPr>
          <w:rFonts w:ascii="Calibri" w:hAnsi="Calibri" w:eastAsia="宋体" w:cs="宋体"/>
          <w:kern w:val="2"/>
          <w:sz w:val="21"/>
          <w:szCs w:val="22"/>
          <w:lang w:eastAsia="zh-CN"/>
        </w:rPr>
        <w:t>采购人应当安排专人对定标过程进行书面记录，形成定标报告，作为采购文件的组成部分存档，并及时将定标结果反馈</w:t>
      </w:r>
      <w:r>
        <w:rPr>
          <w:rFonts w:hint="eastAsia" w:ascii="Calibri" w:hAnsi="Calibri" w:eastAsia="宋体" w:cs="宋体"/>
          <w:kern w:val="2"/>
          <w:sz w:val="21"/>
          <w:szCs w:val="22"/>
          <w:lang w:eastAsia="zh-CN"/>
        </w:rPr>
        <w:t>采购代理机构。具体定标程序及相关要求以按照《</w:t>
      </w:r>
      <w:r>
        <w:rPr>
          <w:rFonts w:ascii="Calibri" w:hAnsi="Calibri" w:eastAsia="宋体" w:cs="宋体"/>
          <w:kern w:val="2"/>
          <w:sz w:val="21"/>
          <w:szCs w:val="22"/>
          <w:lang w:eastAsia="zh-CN"/>
        </w:rPr>
        <w:t>深圳市财政局关于印发</w:t>
      </w:r>
      <w:r>
        <w:rPr>
          <w:rFonts w:hint="eastAsia" w:ascii="宋体" w:hAnsi="宋体" w:eastAsia="宋体" w:cs="宋体"/>
          <w:kern w:val="2"/>
          <w:sz w:val="21"/>
          <w:szCs w:val="22"/>
          <w:lang w:eastAsia="zh-CN"/>
        </w:rPr>
        <w:t>〈</w:t>
      </w:r>
      <w:r>
        <w:rPr>
          <w:rFonts w:ascii="Calibri" w:hAnsi="Calibri" w:eastAsia="宋体" w:cs="宋体"/>
          <w:kern w:val="2"/>
          <w:sz w:val="21"/>
          <w:szCs w:val="22"/>
          <w:lang w:eastAsia="zh-CN"/>
        </w:rPr>
        <w:t>深圳市政府采购评标定标分离管理办法</w:t>
      </w:r>
      <w:r>
        <w:rPr>
          <w:rFonts w:hint="eastAsia" w:ascii="宋体" w:hAnsi="宋体" w:eastAsia="宋体" w:cs="宋体"/>
          <w:kern w:val="2"/>
          <w:sz w:val="21"/>
          <w:szCs w:val="22"/>
          <w:lang w:eastAsia="zh-CN"/>
        </w:rPr>
        <w:t>〉</w:t>
      </w:r>
      <w:r>
        <w:rPr>
          <w:rFonts w:ascii="Calibri" w:hAnsi="Calibri" w:eastAsia="宋体" w:cs="宋体"/>
          <w:kern w:val="2"/>
          <w:sz w:val="21"/>
          <w:szCs w:val="22"/>
          <w:lang w:eastAsia="zh-CN"/>
        </w:rPr>
        <w:t>的通知</w:t>
      </w:r>
      <w:r>
        <w:rPr>
          <w:rFonts w:hint="eastAsia" w:ascii="Calibri" w:hAnsi="Calibri" w:eastAsia="宋体" w:cs="宋体"/>
          <w:kern w:val="2"/>
          <w:sz w:val="21"/>
          <w:szCs w:val="22"/>
          <w:lang w:eastAsia="zh-CN"/>
        </w:rPr>
        <w:t>》（深财规【2</w:t>
      </w:r>
      <w:r>
        <w:rPr>
          <w:rFonts w:ascii="Calibri" w:hAnsi="Calibri" w:eastAsia="宋体" w:cs="宋体"/>
          <w:kern w:val="2"/>
          <w:sz w:val="21"/>
          <w:szCs w:val="22"/>
          <w:lang w:eastAsia="zh-CN"/>
        </w:rPr>
        <w:t>020</w:t>
      </w:r>
      <w:r>
        <w:rPr>
          <w:rFonts w:hint="eastAsia" w:ascii="Calibri" w:hAnsi="Calibri" w:eastAsia="宋体" w:cs="宋体"/>
          <w:kern w:val="2"/>
          <w:sz w:val="21"/>
          <w:szCs w:val="22"/>
          <w:lang w:eastAsia="zh-CN"/>
        </w:rPr>
        <w:t>】1号）执行。</w:t>
      </w:r>
    </w:p>
    <w:p w14:paraId="3C753B8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说明：采购人及投标供应商应按照上述方法提前做好相关准备。</w:t>
      </w:r>
    </w:p>
    <w:p w14:paraId="19CECE0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38.3专用条款另有规定的，按专用条款相关要求定标。</w:t>
      </w:r>
      <w:bookmarkEnd w:id="55"/>
    </w:p>
    <w:p w14:paraId="62A8476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39．编写评审报告</w:t>
      </w:r>
    </w:p>
    <w:p w14:paraId="054BDE4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650082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40．中标公告</w:t>
      </w:r>
    </w:p>
    <w:p w14:paraId="2596E75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40.1</w:t>
      </w:r>
      <w:bookmarkStart w:id="59" w:name="_Hlk72438709"/>
      <w:r>
        <w:rPr>
          <w:rFonts w:hint="eastAsia" w:ascii="宋体" w:hAnsi="宋体" w:eastAsia="宋体" w:cs="宋体"/>
          <w:kern w:val="2"/>
          <w:sz w:val="21"/>
          <w:szCs w:val="21"/>
          <w:lang w:eastAsia="zh-CN"/>
        </w:rPr>
        <w:t>为体现“公开、公平、公正”的原则，评审结束后经采购人确认（确定）评审结果，采购代理机构将在</w:t>
      </w:r>
      <w:r>
        <w:rPr>
          <w:rFonts w:hint="eastAsia" w:ascii="宋体" w:hAnsi="宋体" w:eastAsia="宋体" w:cs="宋体"/>
          <w:b/>
          <w:bCs/>
          <w:kern w:val="2"/>
          <w:sz w:val="21"/>
          <w:szCs w:val="21"/>
          <w:lang w:eastAsia="zh-CN"/>
        </w:rPr>
        <w:t>深圳公共资源交易网（https://szggzy.com/）</w:t>
      </w:r>
      <w:r>
        <w:rPr>
          <w:rFonts w:hint="eastAsia" w:ascii="宋体" w:hAnsi="宋体" w:eastAsia="宋体" w:cs="宋体"/>
          <w:kern w:val="2"/>
          <w:sz w:val="21"/>
          <w:szCs w:val="21"/>
          <w:lang w:eastAsia="zh-CN"/>
        </w:rPr>
        <w:t>上发布中标结果公告。</w:t>
      </w:r>
      <w:bookmarkEnd w:id="59"/>
      <w:bookmarkStart w:id="60" w:name="_Hlk72438751"/>
      <w:r>
        <w:rPr>
          <w:rFonts w:hint="eastAsia" w:ascii="宋体" w:hAnsi="宋体" w:eastAsia="宋体" w:cs="宋体"/>
          <w:kern w:val="2"/>
          <w:sz w:val="21"/>
          <w:szCs w:val="21"/>
          <w:lang w:eastAsia="zh-CN"/>
        </w:rPr>
        <w:t>供应商如对评审结果有异议，</w:t>
      </w:r>
      <w:r>
        <w:rPr>
          <w:rFonts w:ascii="宋体" w:hAnsi="宋体" w:eastAsia="宋体" w:cs="宋体"/>
          <w:kern w:val="2"/>
          <w:sz w:val="21"/>
          <w:szCs w:val="21"/>
          <w:lang w:eastAsia="zh-CN"/>
        </w:rPr>
        <w:t>可在发布公示日期起</w:t>
      </w:r>
      <w:r>
        <w:rPr>
          <w:rFonts w:hint="eastAsia" w:ascii="宋体" w:hAnsi="宋体" w:eastAsia="宋体" w:cs="宋体"/>
          <w:kern w:val="2"/>
          <w:sz w:val="21"/>
          <w:szCs w:val="21"/>
          <w:lang w:eastAsia="zh-CN"/>
        </w:rPr>
        <w:t>七</w:t>
      </w:r>
      <w:r>
        <w:rPr>
          <w:rFonts w:ascii="宋体" w:hAnsi="宋体" w:eastAsia="宋体" w:cs="宋体"/>
          <w:kern w:val="2"/>
          <w:sz w:val="21"/>
          <w:szCs w:val="21"/>
          <w:lang w:eastAsia="zh-CN"/>
        </w:rPr>
        <w:t>个工作日内向</w:t>
      </w:r>
      <w:r>
        <w:rPr>
          <w:rFonts w:hint="eastAsia" w:ascii="宋体" w:hAnsi="宋体" w:eastAsia="宋体" w:cs="宋体"/>
          <w:kern w:val="2"/>
          <w:sz w:val="21"/>
          <w:szCs w:val="21"/>
          <w:lang w:eastAsia="zh-CN"/>
        </w:rPr>
        <w:t>采购代理机构</w:t>
      </w:r>
      <w:r>
        <w:rPr>
          <w:rFonts w:ascii="宋体" w:hAnsi="宋体" w:eastAsia="宋体" w:cs="宋体"/>
          <w:kern w:val="2"/>
          <w:sz w:val="21"/>
          <w:szCs w:val="21"/>
          <w:lang w:eastAsia="zh-CN"/>
        </w:rPr>
        <w:t>提出。 监督电话：0755-83948143。</w:t>
      </w:r>
      <w:r>
        <w:rPr>
          <w:rFonts w:hint="eastAsia" w:ascii="宋体" w:hAnsi="宋体" w:eastAsia="宋体" w:cs="宋体"/>
          <w:kern w:val="2"/>
          <w:sz w:val="21"/>
          <w:szCs w:val="21"/>
          <w:lang w:eastAsia="zh-CN"/>
        </w:rPr>
        <w:t>若在公示期内未提出质疑，则视为认同该评审结果。</w:t>
      </w:r>
    </w:p>
    <w:bookmarkEnd w:id="60"/>
    <w:p w14:paraId="608D5ED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40.2质疑、投诉供应商应保证质疑、投诉内容的真实性和可靠性，并承担相应的法律责任。</w:t>
      </w:r>
    </w:p>
    <w:p w14:paraId="6282CB2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41．中标通知书</w:t>
      </w:r>
    </w:p>
    <w:p w14:paraId="613DC67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w:t>
      </w:r>
      <w:bookmarkStart w:id="61" w:name="_Hlk72438863"/>
      <w:r>
        <w:rPr>
          <w:rFonts w:hint="eastAsia" w:ascii="宋体" w:hAnsi="宋体" w:eastAsia="宋体" w:cs="宋体"/>
          <w:kern w:val="2"/>
          <w:sz w:val="21"/>
          <w:szCs w:val="21"/>
          <w:lang w:eastAsia="zh-CN"/>
        </w:rPr>
        <w:t>中标公告公布以后无异常的情况下,中标供应商和采购人可自行登录</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2"/>
          <w:lang w:eastAsia="zh-CN"/>
        </w:rPr>
        <w:t>深圳政府采购自行采购系统（https://trade.szggzy.com/ggzy/center/#/login）</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1"/>
          <w:lang w:eastAsia="zh-CN"/>
        </w:rPr>
        <w:t>上打印</w:t>
      </w:r>
      <w:r>
        <w:rPr>
          <w:rFonts w:hint="eastAsia" w:ascii="宋体" w:hAnsi="宋体" w:eastAsia="宋体" w:cs="宋体"/>
          <w:b/>
          <w:kern w:val="2"/>
          <w:sz w:val="21"/>
          <w:szCs w:val="21"/>
          <w:lang w:eastAsia="zh-CN"/>
        </w:rPr>
        <w:t>数字中标通知书</w:t>
      </w:r>
      <w:r>
        <w:rPr>
          <w:rFonts w:hint="eastAsia" w:ascii="宋体" w:hAnsi="宋体" w:eastAsia="宋体" w:cs="宋体"/>
          <w:kern w:val="2"/>
          <w:sz w:val="21"/>
          <w:szCs w:val="21"/>
          <w:lang w:eastAsia="zh-CN"/>
        </w:rPr>
        <w:t>。</w:t>
      </w:r>
      <w:bookmarkEnd w:id="61"/>
    </w:p>
    <w:p w14:paraId="263484B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中标通知书是合同的重要组成部分。</w:t>
      </w:r>
    </w:p>
    <w:p w14:paraId="091429BE">
      <w:pPr>
        <w:widowControl w:val="0"/>
        <w:ind w:firstLine="411" w:firstLineChars="196"/>
        <w:jc w:val="both"/>
        <w:rPr>
          <w:rFonts w:ascii="宋体" w:hAnsi="宋体" w:eastAsia="宋体" w:cs="宋体"/>
          <w:kern w:val="2"/>
          <w:sz w:val="21"/>
          <w:szCs w:val="21"/>
          <w:lang w:eastAsia="zh-CN"/>
        </w:rPr>
      </w:pPr>
      <w:bookmarkStart w:id="62" w:name="_Hlk71407340"/>
      <w:r>
        <w:rPr>
          <w:rFonts w:hint="eastAsia" w:ascii="宋体" w:hAnsi="宋体" w:eastAsia="宋体" w:cs="宋体"/>
          <w:kern w:val="2"/>
          <w:sz w:val="21"/>
          <w:szCs w:val="21"/>
          <w:lang w:eastAsia="zh-CN"/>
        </w:rPr>
        <w:t>41.3因质疑投诉或其它原因导致项目结果变更或采购终止的，采购代理机构有权吊销中标通知书。</w:t>
      </w:r>
    </w:p>
    <w:bookmarkEnd w:id="62"/>
    <w:p w14:paraId="36B3FA9F">
      <w:pPr>
        <w:widowControl w:val="0"/>
        <w:ind w:firstLine="411" w:firstLineChars="196"/>
        <w:jc w:val="both"/>
        <w:rPr>
          <w:rFonts w:ascii="宋体" w:hAnsi="宋体" w:eastAsia="宋体" w:cs="宋体"/>
          <w:kern w:val="2"/>
          <w:sz w:val="21"/>
          <w:szCs w:val="21"/>
          <w:lang w:eastAsia="zh-CN"/>
        </w:rPr>
      </w:pPr>
    </w:p>
    <w:p w14:paraId="638B883A">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1BF30AA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42．公开招标失败的处理</w:t>
      </w:r>
    </w:p>
    <w:p w14:paraId="5D3211F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42.1本项目公开招标过程中若由于投标截止后</w:t>
      </w:r>
      <w:r>
        <w:rPr>
          <w:rFonts w:hint="eastAsia" w:ascii="宋体" w:hAnsi="宋体" w:eastAsia="宋体" w:cs="宋体"/>
          <w:kern w:val="2"/>
          <w:sz w:val="21"/>
          <w:szCs w:val="22"/>
          <w:lang w:eastAsia="zh-CN"/>
        </w:rPr>
        <w:t>实际递交</w:t>
      </w:r>
      <w:r>
        <w:rPr>
          <w:rFonts w:ascii="宋体" w:hAnsi="宋体" w:eastAsia="宋体" w:cs="宋体"/>
          <w:kern w:val="2"/>
          <w:sz w:val="21"/>
          <w:szCs w:val="22"/>
          <w:lang w:eastAsia="zh-CN"/>
        </w:rPr>
        <w:t>投标</w:t>
      </w:r>
      <w:r>
        <w:rPr>
          <w:rFonts w:hint="eastAsia" w:ascii="宋体" w:hAnsi="宋体" w:eastAsia="宋体" w:cs="宋体"/>
          <w:kern w:val="2"/>
          <w:sz w:val="21"/>
          <w:szCs w:val="22"/>
          <w:lang w:eastAsia="zh-CN"/>
        </w:rPr>
        <w:t>文件的供应商数量不足、经</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评审对招标文件作实质响应的供应商不足等原因造成公开招标失败，可由采购代理机构重新组织采购。</w:t>
      </w:r>
    </w:p>
    <w:p w14:paraId="1CCBCCA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2DB0498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42.3重新组织采购有以下两种组织形式：</w:t>
      </w:r>
    </w:p>
    <w:p w14:paraId="69F5F82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（1）由采购代理机构重新组织公开招标；</w:t>
      </w:r>
    </w:p>
    <w:p w14:paraId="35C33A0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（2）根据实际情况需要向同级财政部门提出非公开招标方式申请，经同级财政部门批准，公开招标失败采购项目可转为竞争性谈判或单一来源谈判方式采购。</w:t>
      </w:r>
    </w:p>
    <w:p w14:paraId="1464EC08">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42.4公开招标失败的采购项目重新组织公开招标，由采购代理机构重新按公开招标流程组织采购活动。</w:t>
      </w:r>
    </w:p>
    <w:p w14:paraId="418CE6F7">
      <w:pPr>
        <w:widowControl w:val="0"/>
        <w:jc w:val="both"/>
        <w:rPr>
          <w:rFonts w:ascii="宋体" w:hAnsi="宋体" w:eastAsia="宋体" w:cs="宋体"/>
          <w:kern w:val="2"/>
          <w:sz w:val="21"/>
          <w:szCs w:val="22"/>
          <w:lang w:eastAsia="zh-CN"/>
        </w:rPr>
      </w:pPr>
      <w:r>
        <w:rPr>
          <w:rFonts w:hint="eastAsia" w:ascii="黑体" w:hAnsi="宋体" w:eastAsia="黑体" w:cs="宋体"/>
          <w:kern w:val="2"/>
          <w:szCs w:val="22"/>
          <w:lang w:eastAsia="zh-CN"/>
        </w:rPr>
        <w:t xml:space="preserve">    </w:t>
      </w:r>
      <w:r>
        <w:rPr>
          <w:rFonts w:hint="eastAsia" w:ascii="宋体" w:hAnsi="宋体" w:eastAsia="宋体" w:cs="宋体"/>
          <w:kern w:val="2"/>
          <w:sz w:val="21"/>
          <w:szCs w:val="22"/>
          <w:lang w:eastAsia="zh-CN"/>
        </w:rPr>
        <w:t>42.5公开招标失败的采购项目经同级财政部门批准转为竞争性谈判或单一来源谈判方式采购的，按规定要求组织政府采购工作。</w:t>
      </w:r>
    </w:p>
    <w:p w14:paraId="72F6EF48">
      <w:pPr>
        <w:widowControl w:val="0"/>
        <w:jc w:val="both"/>
        <w:rPr>
          <w:rFonts w:ascii="黑体" w:hAnsi="宋体" w:eastAsia="黑体" w:cs="宋体"/>
          <w:kern w:val="2"/>
          <w:szCs w:val="22"/>
          <w:lang w:eastAsia="zh-CN"/>
        </w:rPr>
      </w:pPr>
    </w:p>
    <w:p w14:paraId="640AE0E7">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bookmarkStart w:id="63" w:name="_Hlk72439043"/>
      <w:r>
        <w:rPr>
          <w:rFonts w:hint="eastAsia" w:ascii="Cambria" w:hAnsi="Cambria" w:eastAsia="宋体" w:cs="宋体"/>
          <w:b/>
          <w:bCs/>
          <w:kern w:val="2"/>
          <w:sz w:val="28"/>
          <w:szCs w:val="28"/>
          <w:lang w:eastAsia="zh-CN"/>
        </w:rPr>
        <w:t>合同的授予与备案</w:t>
      </w:r>
      <w:bookmarkEnd w:id="63"/>
    </w:p>
    <w:p w14:paraId="257BB1C4">
      <w:pPr>
        <w:widowControl w:val="0"/>
        <w:jc w:val="both"/>
        <w:rPr>
          <w:rFonts w:ascii="黑体" w:hAnsi="宋体" w:eastAsia="黑体" w:cs="宋体"/>
          <w:kern w:val="2"/>
          <w:szCs w:val="22"/>
          <w:lang w:eastAsia="zh-CN"/>
        </w:rPr>
      </w:pPr>
      <w:bookmarkStart w:id="64" w:name="_Toc73521586"/>
      <w:bookmarkStart w:id="65" w:name="_Toc73518157"/>
      <w:bookmarkStart w:id="66" w:name="_Toc73521674"/>
      <w:bookmarkStart w:id="67" w:name="_Toc73517679"/>
      <w:bookmarkStart w:id="68" w:name="_Toc100052408"/>
      <w:bookmarkStart w:id="69" w:name="_Hlk72439088"/>
      <w:r>
        <w:rPr>
          <w:rFonts w:hint="eastAsia" w:ascii="黑体" w:hAnsi="宋体" w:eastAsia="黑体" w:cs="宋体"/>
          <w:kern w:val="2"/>
          <w:szCs w:val="22"/>
          <w:lang w:eastAsia="zh-CN"/>
        </w:rPr>
        <w:t>43．合同授予标准</w:t>
      </w:r>
      <w:bookmarkEnd w:id="64"/>
      <w:bookmarkEnd w:id="65"/>
      <w:bookmarkEnd w:id="66"/>
      <w:bookmarkEnd w:id="67"/>
      <w:bookmarkEnd w:id="68"/>
    </w:p>
    <w:p w14:paraId="579DE3F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本项目的合同将授予经本招标文件规定评审确定的中标供应商。</w:t>
      </w:r>
    </w:p>
    <w:p w14:paraId="26590C54">
      <w:pPr>
        <w:widowControl w:val="0"/>
        <w:jc w:val="both"/>
        <w:rPr>
          <w:rFonts w:ascii="黑体" w:hAnsi="宋体" w:eastAsia="黑体" w:cs="宋体"/>
          <w:kern w:val="2"/>
          <w:szCs w:val="22"/>
          <w:lang w:eastAsia="zh-CN"/>
        </w:rPr>
      </w:pPr>
      <w:bookmarkStart w:id="70" w:name="_Toc73517680"/>
      <w:bookmarkStart w:id="71" w:name="_Toc73521587"/>
      <w:bookmarkStart w:id="72" w:name="_Toc100052409"/>
      <w:bookmarkStart w:id="73" w:name="_Toc73521675"/>
      <w:bookmarkStart w:id="74" w:name="_Toc73518158"/>
      <w:r>
        <w:rPr>
          <w:rFonts w:hint="eastAsia" w:ascii="黑体" w:hAnsi="宋体" w:eastAsia="黑体" w:cs="宋体"/>
          <w:kern w:val="2"/>
          <w:szCs w:val="22"/>
          <w:lang w:eastAsia="zh-CN"/>
        </w:rPr>
        <w:t>44．</w:t>
      </w:r>
      <w:bookmarkEnd w:id="70"/>
      <w:bookmarkEnd w:id="71"/>
      <w:bookmarkEnd w:id="72"/>
      <w:bookmarkEnd w:id="73"/>
      <w:bookmarkEnd w:id="74"/>
      <w:r>
        <w:rPr>
          <w:rFonts w:hint="eastAsia" w:ascii="黑体" w:hAnsi="宋体" w:eastAsia="黑体" w:cs="宋体"/>
          <w:kern w:val="2"/>
          <w:szCs w:val="22"/>
          <w:lang w:eastAsia="zh-CN"/>
        </w:rPr>
        <w:t>接受和拒绝任何或所有投标的权力</w:t>
      </w:r>
    </w:p>
    <w:p w14:paraId="2FE95D5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63B4AC58">
      <w:pPr>
        <w:widowControl w:val="0"/>
        <w:jc w:val="both"/>
        <w:rPr>
          <w:rFonts w:ascii="黑体" w:hAnsi="宋体" w:eastAsia="黑体" w:cs="宋体"/>
          <w:kern w:val="2"/>
          <w:szCs w:val="22"/>
          <w:lang w:eastAsia="zh-CN"/>
        </w:rPr>
      </w:pPr>
      <w:bookmarkStart w:id="75" w:name="_Toc73517682"/>
      <w:bookmarkStart w:id="76" w:name="_Toc100052410"/>
      <w:bookmarkStart w:id="77" w:name="_Toc73521677"/>
      <w:bookmarkStart w:id="78" w:name="_Toc73521589"/>
      <w:bookmarkStart w:id="79" w:name="_Toc73518160"/>
      <w:r>
        <w:rPr>
          <w:rFonts w:hint="eastAsia" w:ascii="黑体" w:hAnsi="宋体" w:eastAsia="黑体" w:cs="宋体"/>
          <w:kern w:val="2"/>
          <w:szCs w:val="22"/>
          <w:lang w:eastAsia="zh-CN"/>
        </w:rPr>
        <w:t>45．合同的签订</w:t>
      </w:r>
      <w:bookmarkEnd w:id="75"/>
      <w:bookmarkEnd w:id="76"/>
      <w:bookmarkEnd w:id="77"/>
      <w:bookmarkEnd w:id="78"/>
      <w:bookmarkEnd w:id="79"/>
    </w:p>
    <w:p w14:paraId="3D6D4A3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70C1492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45.2中标人如不按本通用条款第45</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cs="宋体"/>
          <w:kern w:val="2"/>
          <w:sz w:val="21"/>
          <w:szCs w:val="21"/>
          <w:lang w:eastAsia="zh-CN"/>
        </w:rPr>
        <w:t>；</w:t>
      </w:r>
    </w:p>
    <w:p w14:paraId="1D9E2C0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45.3中标人应当按照合同约定履行义务，完成中标项目，不得将中标项目转让（转包）给他人。</w:t>
      </w:r>
    </w:p>
    <w:p w14:paraId="2662EE6F">
      <w:pPr>
        <w:widowControl w:val="0"/>
        <w:jc w:val="both"/>
        <w:rPr>
          <w:rFonts w:ascii="黑体" w:hAnsi="宋体" w:eastAsia="黑体" w:cs="宋体"/>
          <w:kern w:val="2"/>
          <w:szCs w:val="22"/>
          <w:lang w:eastAsia="zh-CN"/>
        </w:rPr>
      </w:pPr>
      <w:bookmarkStart w:id="80" w:name="_Toc73521590"/>
      <w:bookmarkStart w:id="81" w:name="_Toc73518161"/>
      <w:bookmarkStart w:id="82" w:name="_Toc100052411"/>
      <w:bookmarkStart w:id="83" w:name="_Toc73521678"/>
      <w:bookmarkStart w:id="84" w:name="_Toc73517683"/>
      <w:r>
        <w:rPr>
          <w:rFonts w:hint="eastAsia" w:ascii="黑体" w:hAnsi="宋体" w:eastAsia="黑体" w:cs="宋体"/>
          <w:kern w:val="2"/>
          <w:szCs w:val="22"/>
          <w:lang w:eastAsia="zh-CN"/>
        </w:rPr>
        <w:t>46．履约担保</w:t>
      </w:r>
      <w:bookmarkEnd w:id="80"/>
      <w:bookmarkEnd w:id="81"/>
      <w:bookmarkEnd w:id="82"/>
      <w:bookmarkEnd w:id="83"/>
      <w:bookmarkEnd w:id="84"/>
    </w:p>
    <w:p w14:paraId="78DADD5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46.1在签订项目合同的同时，中标人应按“对通用条款的补充内容”中规定的金额向采购人提交履约担保；</w:t>
      </w:r>
    </w:p>
    <w:p w14:paraId="18CC1AA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46.2，允许供应商自主选择以支票、汇票、本票、保函等非现金方式提交履约担保；</w:t>
      </w:r>
      <w:r>
        <w:rPr>
          <w:rFonts w:ascii="Calibri" w:hAnsi="Calibri" w:eastAsia="宋体" w:cs="宋体"/>
          <w:kern w:val="2"/>
          <w:sz w:val="21"/>
          <w:szCs w:val="22"/>
          <w:lang w:eastAsia="zh-CN"/>
        </w:rPr>
        <w:t>中标</w:t>
      </w:r>
      <w:r>
        <w:rPr>
          <w:rFonts w:hint="eastAsia" w:ascii="Calibri" w:hAnsi="Calibri" w:eastAsia="宋体" w:cs="宋体"/>
          <w:kern w:val="2"/>
          <w:sz w:val="21"/>
          <w:szCs w:val="22"/>
          <w:lang w:eastAsia="zh-CN"/>
        </w:rPr>
        <w:t>人</w:t>
      </w:r>
      <w:r>
        <w:rPr>
          <w:rFonts w:ascii="Calibri" w:hAnsi="Calibri" w:eastAsia="宋体" w:cs="宋体"/>
          <w:kern w:val="2"/>
          <w:sz w:val="21"/>
          <w:szCs w:val="22"/>
          <w:lang w:eastAsia="zh-CN"/>
        </w:rPr>
        <w:t>提交履约</w:t>
      </w:r>
      <w:r>
        <w:rPr>
          <w:rFonts w:hint="eastAsia" w:ascii="Calibri" w:hAnsi="Calibri" w:eastAsia="宋体" w:cs="宋体"/>
          <w:kern w:val="2"/>
          <w:sz w:val="21"/>
          <w:szCs w:val="22"/>
          <w:lang w:eastAsia="zh-CN"/>
        </w:rPr>
        <w:t>担保不是</w:t>
      </w:r>
      <w:r>
        <w:rPr>
          <w:rFonts w:ascii="Calibri" w:hAnsi="Calibri" w:eastAsia="宋体" w:cs="宋体"/>
          <w:kern w:val="2"/>
          <w:sz w:val="21"/>
          <w:szCs w:val="22"/>
          <w:lang w:eastAsia="zh-CN"/>
        </w:rPr>
        <w:t>合同签订的</w:t>
      </w:r>
      <w:r>
        <w:rPr>
          <w:rFonts w:hint="eastAsia" w:ascii="Calibri" w:hAnsi="Calibri" w:eastAsia="宋体" w:cs="宋体"/>
          <w:kern w:val="2"/>
          <w:sz w:val="21"/>
          <w:szCs w:val="22"/>
          <w:lang w:eastAsia="zh-CN"/>
        </w:rPr>
        <w:t>前提</w:t>
      </w:r>
      <w:r>
        <w:rPr>
          <w:rFonts w:ascii="Calibri" w:hAnsi="Calibri" w:eastAsia="宋体" w:cs="宋体"/>
          <w:kern w:val="2"/>
          <w:sz w:val="21"/>
          <w:szCs w:val="22"/>
          <w:lang w:eastAsia="zh-CN"/>
        </w:rPr>
        <w:t>条件，不要求中标</w:t>
      </w:r>
      <w:r>
        <w:rPr>
          <w:rFonts w:hint="eastAsia" w:ascii="Calibri" w:hAnsi="Calibri" w:eastAsia="宋体" w:cs="宋体"/>
          <w:kern w:val="2"/>
          <w:sz w:val="21"/>
          <w:szCs w:val="22"/>
          <w:lang w:eastAsia="zh-CN"/>
        </w:rPr>
        <w:t>人</w:t>
      </w:r>
      <w:r>
        <w:rPr>
          <w:rFonts w:ascii="Calibri" w:hAnsi="Calibri" w:eastAsia="宋体" w:cs="宋体"/>
          <w:kern w:val="2"/>
          <w:sz w:val="21"/>
          <w:szCs w:val="22"/>
          <w:lang w:eastAsia="zh-CN"/>
        </w:rPr>
        <w:t>提供除法律、法规明确规定外的其他担保</w:t>
      </w:r>
      <w:r>
        <w:rPr>
          <w:rFonts w:hint="eastAsia" w:ascii="Calibri" w:hAnsi="Calibri" w:eastAsia="宋体" w:cs="宋体"/>
          <w:kern w:val="2"/>
          <w:sz w:val="21"/>
          <w:szCs w:val="22"/>
          <w:lang w:eastAsia="zh-CN"/>
        </w:rPr>
        <w:t>。</w:t>
      </w:r>
    </w:p>
    <w:p w14:paraId="62B2F09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47. 合同备案</w:t>
      </w:r>
    </w:p>
    <w:p w14:paraId="7845045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采购人与中标供应商自中标通知书发出之日起10个工作日内签订采购合同，并按采购人内控制度规定提交备案。</w:t>
      </w:r>
    </w:p>
    <w:p w14:paraId="4DFA3CE3">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48. 合同变更</w:t>
      </w:r>
    </w:p>
    <w:p w14:paraId="6925CD1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合同变更事宜参照《深圳市财政局关于优化政府采购合同备案的通知》（深财发保〔2022〕2号）相关规定执行。</w:t>
      </w:r>
    </w:p>
    <w:p w14:paraId="2EA8D68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49. 项目验收</w:t>
      </w:r>
    </w:p>
    <w:p w14:paraId="0DF8F4BA">
      <w:pPr>
        <w:ind w:right="176" w:firstLine="420"/>
        <w:rPr>
          <w:rFonts w:ascii="宋体" w:hAnsi="宋体" w:eastAsia="宋体" w:cs="宋体"/>
          <w:kern w:val="2"/>
          <w:sz w:val="21"/>
          <w:szCs w:val="22"/>
          <w:lang w:eastAsia="zh-CN"/>
        </w:rPr>
      </w:pPr>
      <w:r>
        <w:rPr>
          <w:rFonts w:hint="eastAsia" w:ascii="宋体" w:hAnsi="宋体" w:eastAsia="宋体" w:cs="宋体"/>
          <w:kern w:val="2"/>
          <w:sz w:val="21"/>
          <w:szCs w:val="22"/>
          <w:lang w:eastAsia="zh-CN"/>
        </w:rPr>
        <w:t>49.1采购人应当按照招标文件和合同规定的标准和方法，及时组织验收。</w:t>
      </w:r>
      <w:r>
        <w:rPr>
          <w:rFonts w:ascii="宋体" w:hAnsi="宋体" w:eastAsia="宋体" w:cs="宋体"/>
          <w:kern w:val="2"/>
          <w:sz w:val="21"/>
          <w:szCs w:val="22"/>
          <w:lang w:eastAsia="zh-CN"/>
        </w:rPr>
        <w:t xml:space="preserve"> </w:t>
      </w:r>
    </w:p>
    <w:p w14:paraId="2F77EF2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50. 宣传</w:t>
      </w:r>
    </w:p>
    <w:p w14:paraId="765B75BD">
      <w:pPr>
        <w:widowControl w:val="0"/>
        <w:ind w:left="240" w:leftChars="1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凡与政府采购活动有关的宣传或广告，若当中提及政府采购，</w:t>
      </w:r>
      <w:r>
        <w:rPr>
          <w:rFonts w:ascii="宋体" w:hAnsi="宋体" w:eastAsia="宋体" w:cs="宋体"/>
          <w:kern w:val="2"/>
          <w:sz w:val="21"/>
          <w:szCs w:val="22"/>
          <w:lang w:eastAsia="zh-CN"/>
        </w:rPr>
        <w:t>必须事先将具体对外宣传方案报</w:t>
      </w:r>
      <w:r>
        <w:rPr>
          <w:rFonts w:hint="eastAsia" w:ascii="宋体" w:hAnsi="宋体" w:eastAsia="宋体" w:cs="宋体"/>
          <w:kern w:val="2"/>
          <w:sz w:val="21"/>
          <w:szCs w:val="22"/>
          <w:lang w:eastAsia="zh-CN"/>
        </w:rPr>
        <w:t>同级财政部门</w:t>
      </w:r>
      <w:r>
        <w:rPr>
          <w:rFonts w:ascii="宋体" w:hAnsi="宋体" w:eastAsia="宋体" w:cs="宋体"/>
          <w:kern w:val="2"/>
          <w:sz w:val="21"/>
          <w:szCs w:val="22"/>
          <w:lang w:eastAsia="zh-CN"/>
        </w:rPr>
        <w:t>和</w:t>
      </w:r>
      <w:r>
        <w:rPr>
          <w:rFonts w:hint="eastAsia" w:ascii="宋体" w:hAnsi="宋体" w:eastAsia="宋体" w:cs="宋体"/>
          <w:kern w:val="2"/>
          <w:sz w:val="21"/>
          <w:szCs w:val="22"/>
          <w:lang w:eastAsia="zh-CN"/>
        </w:rPr>
        <w:t>采购代理机构</w:t>
      </w:r>
      <w:r>
        <w:rPr>
          <w:rFonts w:ascii="宋体" w:hAnsi="宋体" w:eastAsia="宋体" w:cs="宋体"/>
          <w:kern w:val="2"/>
          <w:sz w:val="21"/>
          <w:szCs w:val="22"/>
          <w:lang w:eastAsia="zh-CN"/>
        </w:rPr>
        <w:t>，并征得其同意。对外市场宣传包括但不限于以下形式：</w:t>
      </w:r>
    </w:p>
    <w:p w14:paraId="33B77388">
      <w:pPr>
        <w:widowControl w:val="0"/>
        <w:ind w:left="240" w:leftChars="100"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a.名片、宣传册、广告标语等；</w:t>
      </w:r>
    </w:p>
    <w:p w14:paraId="2203A308">
      <w:pPr>
        <w:widowControl w:val="0"/>
        <w:ind w:left="240" w:leftChars="100"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b.案例介绍、推广等；</w:t>
      </w:r>
    </w:p>
    <w:p w14:paraId="3F4471F5">
      <w:pPr>
        <w:widowControl w:val="0"/>
        <w:ind w:left="240" w:leftChars="1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c.工作</w:t>
      </w:r>
      <w:r>
        <w:rPr>
          <w:rFonts w:ascii="宋体" w:hAnsi="宋体" w:eastAsia="宋体" w:cs="宋体"/>
          <w:kern w:val="2"/>
          <w:sz w:val="21"/>
          <w:szCs w:val="22"/>
          <w:lang w:eastAsia="zh-CN"/>
        </w:rPr>
        <w:t>人员向其他消费群体宣传。</w:t>
      </w:r>
    </w:p>
    <w:p w14:paraId="3182B002">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51. 供应商违法责任</w:t>
      </w:r>
    </w:p>
    <w:p w14:paraId="1B8E4CF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r>
        <w:rPr>
          <w:rFonts w:ascii="宋体" w:hAnsi="宋体" w:eastAsia="宋体" w:cs="宋体"/>
          <w:kern w:val="2"/>
          <w:sz w:val="21"/>
          <w:szCs w:val="21"/>
          <w:lang w:eastAsia="zh-CN"/>
        </w:rPr>
        <w:t>1.1</w:t>
      </w:r>
      <w:r>
        <w:rPr>
          <w:rFonts w:hint="eastAsia" w:ascii="宋体" w:hAnsi="宋体" w:eastAsia="宋体" w:cs="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853B3B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（1）在采购活动中应当回避而未回避的；</w:t>
      </w:r>
    </w:p>
    <w:p w14:paraId="411E6A6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（2）未按本条例规定签订、履行采购合同，造成严重后果的；</w:t>
      </w:r>
    </w:p>
    <w:p w14:paraId="30ADB15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（3）隐瞒真实情况，提供虚假资料的；</w:t>
      </w:r>
    </w:p>
    <w:p w14:paraId="30D0E33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（4）以非法手段排斥其他供应商参与竞争的；</w:t>
      </w:r>
    </w:p>
    <w:p w14:paraId="3D9EB9F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（5）与其他采购参加人串通投标的；</w:t>
      </w:r>
    </w:p>
    <w:p w14:paraId="1910BB2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（6）恶意投诉的；</w:t>
      </w:r>
    </w:p>
    <w:p w14:paraId="2520B93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（7）向采购项目相关人行贿或者提供其他不当利益的；</w:t>
      </w:r>
    </w:p>
    <w:p w14:paraId="0A29B35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（8）阻碍、抗拒主管部门监督检查的；</w:t>
      </w:r>
    </w:p>
    <w:p w14:paraId="5D58283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（9）其他违反本条例规定的行为。</w:t>
      </w:r>
    </w:p>
    <w:p w14:paraId="78ECBBF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r>
        <w:rPr>
          <w:rFonts w:ascii="宋体" w:hAnsi="宋体" w:eastAsia="宋体" w:cs="宋体"/>
          <w:kern w:val="2"/>
          <w:sz w:val="21"/>
          <w:szCs w:val="21"/>
          <w:lang w:eastAsia="zh-CN"/>
        </w:rPr>
        <w:t xml:space="preserve">1.2 </w:t>
      </w:r>
      <w:r>
        <w:rPr>
          <w:rFonts w:hint="eastAsia" w:ascii="宋体" w:hAnsi="宋体" w:eastAsia="宋体" w:cs="宋体"/>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85" w:name="_Hlk72440769"/>
      <w:r>
        <w:rPr>
          <w:rFonts w:hint="eastAsia" w:ascii="宋体" w:hAnsi="宋体" w:eastAsia="宋体" w:cs="宋体"/>
          <w:kern w:val="2"/>
          <w:sz w:val="21"/>
          <w:szCs w:val="21"/>
          <w:lang w:eastAsia="zh-CN"/>
        </w:rPr>
        <w:t>采购代理机构或采购人不予退还其交纳的谈判保证金，情节严重的，并由主管部门</w:t>
      </w:r>
      <w:bookmarkEnd w:id="85"/>
      <w:r>
        <w:rPr>
          <w:rFonts w:hint="eastAsia" w:ascii="宋体" w:hAnsi="宋体" w:eastAsia="宋体" w:cs="宋体"/>
          <w:kern w:val="2"/>
          <w:sz w:val="21"/>
          <w:szCs w:val="21"/>
          <w:lang w:eastAsia="zh-CN"/>
        </w:rPr>
        <w:t>记入供应商诚信档案，予以通报：</w:t>
      </w:r>
    </w:p>
    <w:p w14:paraId="45691A9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）投标截止后，撤销投标的；</w:t>
      </w:r>
    </w:p>
    <w:p w14:paraId="2830A516">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2</w:t>
      </w:r>
      <w:r>
        <w:rPr>
          <w:rFonts w:ascii="宋体" w:hAnsi="宋体" w:eastAsia="宋体" w:cs="宋体"/>
          <w:kern w:val="2"/>
          <w:sz w:val="21"/>
          <w:szCs w:val="21"/>
          <w:lang w:eastAsia="zh-CN"/>
        </w:rPr>
        <w:t>）中标后无正当理由未在规定期限内签订合同的；</w:t>
      </w:r>
    </w:p>
    <w:p w14:paraId="26710BD8">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）将中标项目转让给他人、或者在投标文件中未说明且未经采购人、采购招标机构同意，将中标项目分包给他人的；</w:t>
      </w:r>
    </w:p>
    <w:p w14:paraId="4B1A7F66">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4</w:t>
      </w:r>
      <w:r>
        <w:rPr>
          <w:rFonts w:ascii="宋体" w:hAnsi="宋体" w:eastAsia="宋体" w:cs="宋体"/>
          <w:kern w:val="2"/>
          <w:sz w:val="21"/>
          <w:szCs w:val="21"/>
          <w:lang w:eastAsia="zh-CN"/>
        </w:rPr>
        <w:t>）拒绝履行合同义务的</w:t>
      </w:r>
      <w:r>
        <w:rPr>
          <w:rFonts w:hint="eastAsia" w:ascii="宋体" w:hAnsi="宋体" w:eastAsia="宋体" w:cs="宋体"/>
          <w:kern w:val="2"/>
          <w:sz w:val="21"/>
          <w:szCs w:val="21"/>
          <w:lang w:eastAsia="zh-CN"/>
        </w:rPr>
        <w:t>。</w:t>
      </w:r>
    </w:p>
    <w:bookmarkEnd w:id="69"/>
    <w:p w14:paraId="62E63C92">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1229D572">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52.质疑提出与答复</w:t>
      </w:r>
    </w:p>
    <w:p w14:paraId="1140D08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52.1提出质疑</w:t>
      </w:r>
    </w:p>
    <w:p w14:paraId="3A375887">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14:paraId="7BA2452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52.2</w:t>
      </w:r>
      <w:r>
        <w:rPr>
          <w:rFonts w:ascii="宋体" w:hAnsi="宋体" w:eastAsia="宋体" w:cs="宋体"/>
          <w:kern w:val="2"/>
          <w:sz w:val="21"/>
          <w:szCs w:val="21"/>
          <w:lang w:eastAsia="zh-CN"/>
        </w:rPr>
        <w:t>法律依据</w:t>
      </w:r>
    </w:p>
    <w:p w14:paraId="3F91BAD6">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《中华人民共和国政府采购法》、《中华人民共和国政府采购法实施条例》、</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深圳经济特区政府采购</w:t>
      </w:r>
      <w:r>
        <w:rPr>
          <w:rFonts w:ascii="宋体" w:hAnsi="宋体" w:eastAsia="宋体" w:cs="宋体"/>
          <w:kern w:val="2"/>
          <w:sz w:val="21"/>
          <w:szCs w:val="21"/>
          <w:lang w:eastAsia="zh-CN"/>
        </w:rPr>
        <w:t>条例</w:t>
      </w:r>
      <w:r>
        <w:rPr>
          <w:rFonts w:hint="eastAsia" w:ascii="宋体" w:hAnsi="宋体" w:eastAsia="宋体" w:cs="宋体"/>
          <w:kern w:val="2"/>
          <w:sz w:val="21"/>
          <w:szCs w:val="21"/>
          <w:lang w:eastAsia="zh-CN"/>
        </w:rPr>
        <w:t>》、《深圳经济特区政府采购条例实施细则》、《政府采购质疑和投诉办法》（财政部令第94号）和其他有关法律法规规定。</w:t>
      </w:r>
    </w:p>
    <w:p w14:paraId="7D342D8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宋体" w:hAnsi="宋体" w:eastAsia="宋体" w:cs="宋体"/>
          <w:color w:val="FF0000"/>
          <w:kern w:val="2"/>
          <w:sz w:val="21"/>
          <w:szCs w:val="21"/>
          <w:lang w:eastAsia="zh-CN"/>
        </w:rPr>
        <w:t xml:space="preserve">  </w:t>
      </w:r>
      <w:r>
        <w:rPr>
          <w:rFonts w:hint="eastAsia" w:ascii="宋体" w:hAnsi="宋体" w:eastAsia="宋体" w:cs="宋体"/>
          <w:kern w:val="2"/>
          <w:sz w:val="21"/>
          <w:szCs w:val="21"/>
          <w:lang w:eastAsia="zh-CN"/>
        </w:rPr>
        <w:t>52.3质疑条件</w:t>
      </w:r>
    </w:p>
    <w:p w14:paraId="3737653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52.3.1提出质疑的供应商应当是参与所质疑项目采购活动的供应商；</w:t>
      </w:r>
      <w:bookmarkStart w:id="86" w:name="_Hlk75374941"/>
      <w:r>
        <w:rPr>
          <w:rFonts w:hint="eastAsia" w:ascii="宋体" w:hAnsi="宋体" w:eastAsia="宋体" w:cs="宋体"/>
          <w:kern w:val="2"/>
          <w:sz w:val="21"/>
          <w:szCs w:val="21"/>
          <w:lang w:eastAsia="zh-CN"/>
        </w:rPr>
        <w:t>以联合体形式参与的，质疑应当由组成联合体的所有成员共同提出</w:t>
      </w:r>
      <w:bookmarkEnd w:id="86"/>
      <w:r>
        <w:rPr>
          <w:rFonts w:hint="eastAsia" w:ascii="宋体" w:hAnsi="宋体" w:eastAsia="宋体" w:cs="宋体"/>
          <w:kern w:val="2"/>
          <w:sz w:val="21"/>
          <w:szCs w:val="21"/>
          <w:lang w:eastAsia="zh-CN"/>
        </w:rPr>
        <w:t>；</w:t>
      </w:r>
    </w:p>
    <w:p w14:paraId="10B5DC4A">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A0F9590">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52.3.3应提交书面质疑函，质疑函应当包括以下内容：</w:t>
      </w:r>
      <w:r>
        <w:rPr>
          <w:rFonts w:ascii="宋体" w:hAnsi="宋体" w:eastAsia="宋体" w:cs="宋体"/>
          <w:kern w:val="2"/>
          <w:sz w:val="21"/>
          <w:szCs w:val="21"/>
          <w:lang w:eastAsia="zh-CN"/>
        </w:rPr>
        <w:t xml:space="preserve"> </w:t>
      </w:r>
    </w:p>
    <w:p w14:paraId="38EF95CF">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（1）供应商的名称（或者姓名）、地址、邮编、邮箱、联系人及联系电话；</w:t>
      </w:r>
    </w:p>
    <w:p w14:paraId="3ECDCEC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（2）质疑项目的名称、编号；</w:t>
      </w:r>
    </w:p>
    <w:p w14:paraId="0202721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（3）具体、明确的质疑对象、质疑事项和质疑请求；</w:t>
      </w:r>
    </w:p>
    <w:p w14:paraId="46E447F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（4）因质疑事项而受损害的权益；</w:t>
      </w:r>
    </w:p>
    <w:p w14:paraId="5E26CC8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（5）事实依据；</w:t>
      </w:r>
    </w:p>
    <w:p w14:paraId="071CE8E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（6）必要的法律依据；</w:t>
      </w:r>
    </w:p>
    <w:p w14:paraId="5690A6E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（7）提出质疑的日期。</w:t>
      </w:r>
    </w:p>
    <w:p w14:paraId="4E234DA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供应商为自然人的，应当由本人签字；供应商为法人或者其他组织的，应当由法定代表人（负责人），或者其授权代理人签字或者盖章，并加盖公章。</w:t>
      </w:r>
    </w:p>
    <w:p w14:paraId="0F1AC11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52.4提交</w:t>
      </w:r>
      <w:r>
        <w:rPr>
          <w:rFonts w:ascii="宋体" w:hAnsi="宋体" w:eastAsia="宋体" w:cs="宋体"/>
          <w:kern w:val="2"/>
          <w:sz w:val="21"/>
          <w:szCs w:val="21"/>
          <w:lang w:eastAsia="zh-CN"/>
        </w:rPr>
        <w:t>材料</w:t>
      </w:r>
    </w:p>
    <w:p w14:paraId="0ADE9C0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3D4F00A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供应商可以委托代理人进行质疑。</w:t>
      </w:r>
      <w:r>
        <w:rPr>
          <w:rFonts w:ascii="宋体" w:hAnsi="宋体" w:eastAsia="宋体" w:cs="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66CE56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52.5收文地点</w:t>
      </w:r>
    </w:p>
    <w:p w14:paraId="7CD8F62C">
      <w:pPr>
        <w:widowControl w:val="0"/>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地址：深圳市深汕交易有限公司深圳市深汕特别合作区管委会怡和楼一栋四楼，质疑咨询电话：0755-22109056。</w:t>
      </w:r>
    </w:p>
    <w:p w14:paraId="0106978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52.6收文办理</w:t>
      </w:r>
      <w:r>
        <w:rPr>
          <w:rFonts w:ascii="宋体" w:hAnsi="宋体" w:eastAsia="宋体" w:cs="宋体"/>
          <w:kern w:val="2"/>
          <w:sz w:val="21"/>
          <w:szCs w:val="21"/>
          <w:lang w:eastAsia="zh-CN"/>
        </w:rPr>
        <w:t>程序</w:t>
      </w:r>
    </w:p>
    <w:p w14:paraId="4C92733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4EF6370D">
      <w:pPr>
        <w:widowControl w:val="0"/>
        <w:ind w:firstLine="420" w:firstLineChars="200"/>
        <w:jc w:val="both"/>
        <w:rPr>
          <w:rFonts w:ascii="仿宋" w:hAnsi="仿宋" w:eastAsia="仿宋" w:cs="宋体"/>
          <w:kern w:val="2"/>
          <w:sz w:val="28"/>
          <w:szCs w:val="28"/>
          <w:lang w:eastAsia="zh-CN"/>
        </w:rPr>
      </w:pPr>
      <w:r>
        <w:rPr>
          <w:rFonts w:hint="eastAsia" w:ascii="宋体" w:hAnsi="宋体" w:eastAsia="宋体" w:cs="宋体"/>
          <w:kern w:val="2"/>
          <w:sz w:val="21"/>
          <w:szCs w:val="21"/>
          <w:lang w:eastAsia="zh-CN"/>
        </w:rPr>
        <w:t>52.6.2供应商提交的质疑材料不符合质疑条件的，视情况处理：</w:t>
      </w:r>
    </w:p>
    <w:p w14:paraId="0A8D6C8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供应商提交的质疑材料不全或者未按要求签字或者盖章的，采购代理机构应当一次性告知供应商需补正的内容和补正期限。</w:t>
      </w:r>
    </w:p>
    <w:p w14:paraId="1C87D95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供应商提交的质疑存在下列情形之一的，不予受理：</w:t>
      </w:r>
    </w:p>
    <w:p w14:paraId="00EFAE5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（1）质疑主体不满足要求的；</w:t>
      </w:r>
    </w:p>
    <w:p w14:paraId="4D7C0E9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（2）供应商自身权益未受到损害的；</w:t>
      </w:r>
    </w:p>
    <w:p w14:paraId="4A61A4B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（3）供应商未在法定质疑期限内提出质疑的；</w:t>
      </w:r>
    </w:p>
    <w:p w14:paraId="4F86A20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（4）质疑材料不全或者未按要求签字或者盖章的情况下，要求补正后，逾期未补正或者补正后仍不符合规定的；</w:t>
      </w:r>
    </w:p>
    <w:p w14:paraId="3D93154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（5）其他不符合受理条件情形的。</w:t>
      </w:r>
    </w:p>
    <w:p w14:paraId="0C7C00A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质疑事项不予受理的，采购代理机构应当向供应商出具不符合质疑条件告知书。</w:t>
      </w:r>
    </w:p>
    <w:p w14:paraId="4AD9C394">
      <w:pPr>
        <w:widowControl w:val="0"/>
        <w:jc w:val="both"/>
        <w:rPr>
          <w:rFonts w:ascii="宋体" w:hAnsi="宋体" w:eastAsia="宋体" w:cs="宋体"/>
          <w:kern w:val="2"/>
          <w:sz w:val="21"/>
          <w:szCs w:val="21"/>
          <w:lang w:eastAsia="zh-CN"/>
        </w:rPr>
      </w:pPr>
      <w:r>
        <w:rPr>
          <w:rFonts w:hint="eastAsia" w:ascii="宋体" w:hAnsi="宋体" w:eastAsia="宋体" w:cs="宋体"/>
          <w:color w:val="FF0000"/>
          <w:kern w:val="2"/>
          <w:sz w:val="21"/>
          <w:szCs w:val="21"/>
          <w:lang w:eastAsia="zh-CN"/>
        </w:rPr>
        <w:t xml:space="preserve">  </w:t>
      </w:r>
      <w:r>
        <w:rPr>
          <w:rFonts w:hint="eastAsia" w:ascii="宋体" w:hAnsi="宋体" w:eastAsia="宋体" w:cs="宋体"/>
          <w:kern w:val="2"/>
          <w:sz w:val="21"/>
          <w:szCs w:val="21"/>
          <w:lang w:eastAsia="zh-CN"/>
        </w:rPr>
        <w:t xml:space="preserve">  52.7质疑答复时限</w:t>
      </w:r>
    </w:p>
    <w:p w14:paraId="05DEE50A">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自收文之日起七个工作日内。</w:t>
      </w:r>
    </w:p>
    <w:p w14:paraId="15F72AA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52.8投诉</w:t>
      </w:r>
    </w:p>
    <w:p w14:paraId="3D86F45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对质疑答复不满意或者未在规定时间内答复的，提出质疑的供应商可以在答复期满后15个工作日内向本项目预算主管单位投诉。</w:t>
      </w:r>
    </w:p>
    <w:p w14:paraId="041A371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53. 质疑后续处理</w:t>
      </w:r>
    </w:p>
    <w:p w14:paraId="594FCE3E">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53.1供应商质疑不成立，或者成立但未对中标、成交结果构成影响的，继续开展采购活动。</w:t>
      </w:r>
    </w:p>
    <w:p w14:paraId="43E3628F">
      <w:pPr>
        <w:widowControl w:val="0"/>
        <w:jc w:val="both"/>
        <w:rPr>
          <w:rFonts w:ascii="Calibri" w:hAnsi="Calibri" w:eastAsia="宋体" w:cs="宋体"/>
          <w:kern w:val="2"/>
          <w:sz w:val="21"/>
          <w:szCs w:val="22"/>
          <w:lang w:eastAsia="zh-CN"/>
        </w:rPr>
      </w:pPr>
      <w:r>
        <w:rPr>
          <w:rFonts w:hint="eastAsia" w:ascii="宋体" w:hAnsi="宋体" w:eastAsia="宋体" w:cs="宋体"/>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hAnsi="Calibri" w:eastAsia="宋体" w:cs="宋体"/>
          <w:kern w:val="2"/>
          <w:sz w:val="21"/>
          <w:szCs w:val="22"/>
          <w:lang w:eastAsia="zh-CN"/>
        </w:rPr>
        <w:t>---- END ----</w:t>
      </w:r>
    </w:p>
    <w:bookmarkEnd w:id="31"/>
    <w:p w14:paraId="36862FB7">
      <w:pPr>
        <w:widowControl w:val="0"/>
        <w:rPr>
          <w:rFonts w:ascii="微软雅黑" w:hAnsi="微软雅黑" w:eastAsia="微软雅黑" w:cs="微软雅黑"/>
          <w:color w:val="333333"/>
          <w:lang w:val="en" w:eastAsia="zh-CN"/>
        </w:rPr>
      </w:pPr>
    </w:p>
    <w:sectPr>
      <w:headerReference r:id="rId5" w:type="first"/>
      <w:headerReference r:id="rId3" w:type="default"/>
      <w:footerReference r:id="rId6" w:type="default"/>
      <w:headerReference r:id="rId4" w:type="even"/>
      <w:footerReference r:id="rId7" w:type="even"/>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altName w:val="等线"/>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74145">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B491F">
                          <w:pPr>
                            <w:pStyle w:val="12"/>
                            <w:jc w:val="center"/>
                          </w:pPr>
                          <w:r>
                            <w:fldChar w:fldCharType="begin"/>
                          </w:r>
                          <w:r>
                            <w:instrText xml:space="preserve"> PAGE   \* MERGEFORMAT </w:instrText>
                          </w:r>
                          <w:r>
                            <w:fldChar w:fldCharType="separate"/>
                          </w:r>
                          <w:r>
                            <w:rPr>
                              <w:lang w:val="zh-CN"/>
                            </w:rPr>
                            <w:t>32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97B491F">
                    <w:pPr>
                      <w:pStyle w:val="12"/>
                      <w:jc w:val="center"/>
                    </w:pPr>
                    <w:r>
                      <w:fldChar w:fldCharType="begin"/>
                    </w:r>
                    <w:r>
                      <w:instrText xml:space="preserve"> PAGE   \* MERGEFORMAT </w:instrText>
                    </w:r>
                    <w:r>
                      <w:fldChar w:fldCharType="separate"/>
                    </w:r>
                    <w:r>
                      <w:rPr>
                        <w:lang w:val="zh-CN"/>
                      </w:rPr>
                      <w:t>32</w:t>
                    </w:r>
                    <w:r>
                      <w:rPr>
                        <w:lang w:val="zh-CN"/>
                      </w:rPr>
                      <w:fldChar w:fldCharType="end"/>
                    </w:r>
                  </w:p>
                </w:txbxContent>
              </v:textbox>
            </v:shape>
          </w:pict>
        </mc:Fallback>
      </mc:AlternateContent>
    </w:r>
  </w:p>
  <w:p w14:paraId="79C802EE">
    <w:pPr>
      <w:pStyle w:val="12"/>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F1DE">
    <w:pPr>
      <w:pStyle w:val="12"/>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82B68">
    <w:pPr>
      <w:pStyle w:val="13"/>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A9400">
    <w:pPr>
      <w:pStyle w:val="13"/>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F91B">
    <w:pPr>
      <w:pStyle w:val="13"/>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00000003"/>
    <w:multiLevelType w:val="multilevel"/>
    <w:tmpl w:val="00000003"/>
    <w:lvl w:ilvl="0" w:tentative="0">
      <w:start w:val="1"/>
      <w:numFmt w:val="chineseCountingThousand"/>
      <w:pStyle w:val="30"/>
      <w:suff w:val="nothing"/>
      <w:lvlText w:val="%1、"/>
      <w:lvlJc w:val="left"/>
      <w:pPr>
        <w:ind w:left="57" w:hanging="5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7"/>
    <w:multiLevelType w:val="multilevel"/>
    <w:tmpl w:val="00000007"/>
    <w:lvl w:ilvl="0" w:tentative="0">
      <w:start w:val="1"/>
      <w:numFmt w:val="decimal"/>
      <w:lvlText w:val="%1)"/>
      <w:lvlJc w:val="left"/>
      <w:pPr>
        <w:tabs>
          <w:tab w:val="left" w:pos="1470"/>
        </w:tabs>
        <w:ind w:left="1470" w:hanging="420"/>
      </w:pPr>
      <w:rPr>
        <w:rFonts w:hint="default" w:ascii="宋体" w:hAnsi="宋体" w:eastAsia="宋体"/>
        <w:sz w:val="24"/>
        <w:szCs w:val="24"/>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EB94B80"/>
    <w:multiLevelType w:val="singleLevel"/>
    <w:tmpl w:val="4EB94B80"/>
    <w:lvl w:ilvl="0" w:tentative="0">
      <w:start w:val="3"/>
      <w:numFmt w:val="decimal"/>
      <w:suff w:val="nothing"/>
      <w:lvlText w:val="（%1）"/>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xY2FmZjU3YTNjYzNjMjcxOWEwZThmMTNjY2IyYTEifQ=="/>
  </w:docVars>
  <w:rsids>
    <w:rsidRoot w:val="00A77B3E"/>
    <w:rsid w:val="0001689B"/>
    <w:rsid w:val="00016CEB"/>
    <w:rsid w:val="000427A9"/>
    <w:rsid w:val="00076F16"/>
    <w:rsid w:val="00122953"/>
    <w:rsid w:val="00122B9A"/>
    <w:rsid w:val="00124C6E"/>
    <w:rsid w:val="001312A5"/>
    <w:rsid w:val="001567BE"/>
    <w:rsid w:val="00200108"/>
    <w:rsid w:val="00200DA4"/>
    <w:rsid w:val="00243BA5"/>
    <w:rsid w:val="0027581B"/>
    <w:rsid w:val="00287579"/>
    <w:rsid w:val="002E7105"/>
    <w:rsid w:val="003035F5"/>
    <w:rsid w:val="003056D4"/>
    <w:rsid w:val="00310C0B"/>
    <w:rsid w:val="00314D51"/>
    <w:rsid w:val="00345979"/>
    <w:rsid w:val="00350F28"/>
    <w:rsid w:val="003555C2"/>
    <w:rsid w:val="003578BF"/>
    <w:rsid w:val="00375321"/>
    <w:rsid w:val="003C5175"/>
    <w:rsid w:val="003E3843"/>
    <w:rsid w:val="00404BA4"/>
    <w:rsid w:val="00423CB5"/>
    <w:rsid w:val="00427836"/>
    <w:rsid w:val="00434B0C"/>
    <w:rsid w:val="00477266"/>
    <w:rsid w:val="00492556"/>
    <w:rsid w:val="004B09B5"/>
    <w:rsid w:val="004C39E8"/>
    <w:rsid w:val="004F54F3"/>
    <w:rsid w:val="00506B87"/>
    <w:rsid w:val="0052265F"/>
    <w:rsid w:val="00531992"/>
    <w:rsid w:val="00536BFA"/>
    <w:rsid w:val="0057170E"/>
    <w:rsid w:val="005D0182"/>
    <w:rsid w:val="005E284E"/>
    <w:rsid w:val="00620358"/>
    <w:rsid w:val="0066159B"/>
    <w:rsid w:val="00667D48"/>
    <w:rsid w:val="0067067B"/>
    <w:rsid w:val="00675E35"/>
    <w:rsid w:val="006E666B"/>
    <w:rsid w:val="00750FD6"/>
    <w:rsid w:val="00794887"/>
    <w:rsid w:val="007A687F"/>
    <w:rsid w:val="007B139C"/>
    <w:rsid w:val="007E2034"/>
    <w:rsid w:val="00801691"/>
    <w:rsid w:val="00833578"/>
    <w:rsid w:val="008342F8"/>
    <w:rsid w:val="008448AD"/>
    <w:rsid w:val="008662BD"/>
    <w:rsid w:val="00885CDE"/>
    <w:rsid w:val="008C6303"/>
    <w:rsid w:val="008E30DC"/>
    <w:rsid w:val="00901A21"/>
    <w:rsid w:val="00915E0B"/>
    <w:rsid w:val="009528FE"/>
    <w:rsid w:val="009603FF"/>
    <w:rsid w:val="009911BA"/>
    <w:rsid w:val="009D1F31"/>
    <w:rsid w:val="009E33C5"/>
    <w:rsid w:val="009E464D"/>
    <w:rsid w:val="009E6AA0"/>
    <w:rsid w:val="00A64FC0"/>
    <w:rsid w:val="00A77B3E"/>
    <w:rsid w:val="00A9711A"/>
    <w:rsid w:val="00AC35FD"/>
    <w:rsid w:val="00AF44D3"/>
    <w:rsid w:val="00B224F3"/>
    <w:rsid w:val="00B2710B"/>
    <w:rsid w:val="00B50BC3"/>
    <w:rsid w:val="00B5538C"/>
    <w:rsid w:val="00B97648"/>
    <w:rsid w:val="00BD19CC"/>
    <w:rsid w:val="00BD55B1"/>
    <w:rsid w:val="00BF039D"/>
    <w:rsid w:val="00C06634"/>
    <w:rsid w:val="00C20EF9"/>
    <w:rsid w:val="00C23503"/>
    <w:rsid w:val="00C37C64"/>
    <w:rsid w:val="00C47083"/>
    <w:rsid w:val="00C57ABA"/>
    <w:rsid w:val="00C6580E"/>
    <w:rsid w:val="00C77509"/>
    <w:rsid w:val="00CA2A55"/>
    <w:rsid w:val="00CE0545"/>
    <w:rsid w:val="00CE1406"/>
    <w:rsid w:val="00CE3678"/>
    <w:rsid w:val="00CF1D56"/>
    <w:rsid w:val="00D0520C"/>
    <w:rsid w:val="00D120D3"/>
    <w:rsid w:val="00D20A68"/>
    <w:rsid w:val="00D213E0"/>
    <w:rsid w:val="00D2305D"/>
    <w:rsid w:val="00D23FA3"/>
    <w:rsid w:val="00D40D96"/>
    <w:rsid w:val="00D639D1"/>
    <w:rsid w:val="00D721E7"/>
    <w:rsid w:val="00D850C5"/>
    <w:rsid w:val="00DC3EF5"/>
    <w:rsid w:val="00E153C3"/>
    <w:rsid w:val="00ED69BB"/>
    <w:rsid w:val="00F02762"/>
    <w:rsid w:val="00F42415"/>
    <w:rsid w:val="00F42DFF"/>
    <w:rsid w:val="00F45AB8"/>
    <w:rsid w:val="00F628A6"/>
    <w:rsid w:val="00F75707"/>
    <w:rsid w:val="00FB0790"/>
    <w:rsid w:val="00FB4967"/>
    <w:rsid w:val="00FC15A9"/>
    <w:rsid w:val="00FD258B"/>
    <w:rsid w:val="00FD6A8B"/>
    <w:rsid w:val="02692B63"/>
    <w:rsid w:val="02A96DC4"/>
    <w:rsid w:val="02F85C8E"/>
    <w:rsid w:val="03CC06C2"/>
    <w:rsid w:val="04312700"/>
    <w:rsid w:val="049C4707"/>
    <w:rsid w:val="04CD07AC"/>
    <w:rsid w:val="04DA6552"/>
    <w:rsid w:val="04EA4FB7"/>
    <w:rsid w:val="05C943F5"/>
    <w:rsid w:val="05D80E2C"/>
    <w:rsid w:val="06C7185A"/>
    <w:rsid w:val="071A50CA"/>
    <w:rsid w:val="07842CFC"/>
    <w:rsid w:val="079E34F9"/>
    <w:rsid w:val="07AA3227"/>
    <w:rsid w:val="07E31AE8"/>
    <w:rsid w:val="09141FCF"/>
    <w:rsid w:val="09243D02"/>
    <w:rsid w:val="09660343"/>
    <w:rsid w:val="0A7B1662"/>
    <w:rsid w:val="0A8D6CD2"/>
    <w:rsid w:val="0B1424EF"/>
    <w:rsid w:val="0BCA6807"/>
    <w:rsid w:val="0F82460E"/>
    <w:rsid w:val="0FF70F1C"/>
    <w:rsid w:val="113B10ED"/>
    <w:rsid w:val="11F37536"/>
    <w:rsid w:val="120765C2"/>
    <w:rsid w:val="12A847C9"/>
    <w:rsid w:val="156F5CF9"/>
    <w:rsid w:val="15DD14B5"/>
    <w:rsid w:val="168F7F5B"/>
    <w:rsid w:val="19E2563C"/>
    <w:rsid w:val="1C054BE2"/>
    <w:rsid w:val="1C3034D1"/>
    <w:rsid w:val="1CA711A7"/>
    <w:rsid w:val="1DCC0E2A"/>
    <w:rsid w:val="1EE77457"/>
    <w:rsid w:val="1F212F73"/>
    <w:rsid w:val="1F656404"/>
    <w:rsid w:val="228C65F4"/>
    <w:rsid w:val="23346DB4"/>
    <w:rsid w:val="23A123C0"/>
    <w:rsid w:val="24CD620E"/>
    <w:rsid w:val="25A82D61"/>
    <w:rsid w:val="26690C41"/>
    <w:rsid w:val="26CA3D98"/>
    <w:rsid w:val="29A529F3"/>
    <w:rsid w:val="29E133FC"/>
    <w:rsid w:val="2C850B5B"/>
    <w:rsid w:val="2DF40E16"/>
    <w:rsid w:val="306000ED"/>
    <w:rsid w:val="31364474"/>
    <w:rsid w:val="31550A3E"/>
    <w:rsid w:val="31C50167"/>
    <w:rsid w:val="32557D11"/>
    <w:rsid w:val="327D0F19"/>
    <w:rsid w:val="35F6537A"/>
    <w:rsid w:val="36AF6C71"/>
    <w:rsid w:val="3AB64CE9"/>
    <w:rsid w:val="3B1B2FD4"/>
    <w:rsid w:val="3B9767AA"/>
    <w:rsid w:val="3BFC1B6E"/>
    <w:rsid w:val="3C0C4260"/>
    <w:rsid w:val="3C4435FB"/>
    <w:rsid w:val="3C445E89"/>
    <w:rsid w:val="3C8A61A4"/>
    <w:rsid w:val="3D2E3538"/>
    <w:rsid w:val="3D9646D4"/>
    <w:rsid w:val="3DE713D4"/>
    <w:rsid w:val="3EB45FDE"/>
    <w:rsid w:val="3EF64ABA"/>
    <w:rsid w:val="3F5D3031"/>
    <w:rsid w:val="3F8C4BBF"/>
    <w:rsid w:val="3FCC5507"/>
    <w:rsid w:val="40883A53"/>
    <w:rsid w:val="41AB34D2"/>
    <w:rsid w:val="42AE04C0"/>
    <w:rsid w:val="42B636E0"/>
    <w:rsid w:val="42F664A0"/>
    <w:rsid w:val="43695C70"/>
    <w:rsid w:val="436A2F4C"/>
    <w:rsid w:val="465561DA"/>
    <w:rsid w:val="468240BF"/>
    <w:rsid w:val="469A2A13"/>
    <w:rsid w:val="47523D62"/>
    <w:rsid w:val="48F064F6"/>
    <w:rsid w:val="490E73EE"/>
    <w:rsid w:val="4A704CC1"/>
    <w:rsid w:val="4C266EE1"/>
    <w:rsid w:val="4DF92A0A"/>
    <w:rsid w:val="4E7057C9"/>
    <w:rsid w:val="4EEA0EB1"/>
    <w:rsid w:val="4F0E5BA7"/>
    <w:rsid w:val="50D900F1"/>
    <w:rsid w:val="51314000"/>
    <w:rsid w:val="51552AC7"/>
    <w:rsid w:val="559F332B"/>
    <w:rsid w:val="56685FB2"/>
    <w:rsid w:val="58193D09"/>
    <w:rsid w:val="5B1F1380"/>
    <w:rsid w:val="5B303F63"/>
    <w:rsid w:val="5DED57C8"/>
    <w:rsid w:val="5E1B460A"/>
    <w:rsid w:val="5E4D401A"/>
    <w:rsid w:val="5F9C5FEF"/>
    <w:rsid w:val="60DC52B1"/>
    <w:rsid w:val="61796CB2"/>
    <w:rsid w:val="626F6229"/>
    <w:rsid w:val="62895ABD"/>
    <w:rsid w:val="62D436DA"/>
    <w:rsid w:val="64D128D6"/>
    <w:rsid w:val="657D575E"/>
    <w:rsid w:val="65914601"/>
    <w:rsid w:val="65DE0342"/>
    <w:rsid w:val="674D0403"/>
    <w:rsid w:val="677B2C4D"/>
    <w:rsid w:val="67E46396"/>
    <w:rsid w:val="680160B2"/>
    <w:rsid w:val="68203D22"/>
    <w:rsid w:val="697620F3"/>
    <w:rsid w:val="6AED15AD"/>
    <w:rsid w:val="6D5355EE"/>
    <w:rsid w:val="6DA305C4"/>
    <w:rsid w:val="6E7602EE"/>
    <w:rsid w:val="71CE050E"/>
    <w:rsid w:val="73E5185D"/>
    <w:rsid w:val="74095F52"/>
    <w:rsid w:val="7425353A"/>
    <w:rsid w:val="748F4CA8"/>
    <w:rsid w:val="77335A32"/>
    <w:rsid w:val="78D27242"/>
    <w:rsid w:val="78EA2C1C"/>
    <w:rsid w:val="792F3C01"/>
    <w:rsid w:val="7AB87EF4"/>
    <w:rsid w:val="7ABB0CFB"/>
    <w:rsid w:val="7B7D6B3E"/>
    <w:rsid w:val="7B860A49"/>
    <w:rsid w:val="7BCD9B0A"/>
    <w:rsid w:val="7BD844F6"/>
    <w:rsid w:val="7CF90D26"/>
    <w:rsid w:val="7EB4363F"/>
    <w:rsid w:val="7EF45957"/>
    <w:rsid w:val="7F9F58C5"/>
    <w:rsid w:val="7FA67EBF"/>
    <w:rsid w:val="BF2F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qFormat/>
    <w:uiPriority w:val="0"/>
    <w:pPr>
      <w:keepNext/>
      <w:keepLines/>
      <w:spacing w:line="312" w:lineRule="auto"/>
      <w:jc w:val="center"/>
      <w:outlineLvl w:val="0"/>
    </w:pPr>
    <w:rPr>
      <w:rFonts w:ascii="宋体"/>
      <w:b/>
      <w:kern w:val="44"/>
      <w:sz w:val="36"/>
    </w:rPr>
  </w:style>
  <w:style w:type="paragraph" w:styleId="3">
    <w:name w:val="heading 2"/>
    <w:basedOn w:val="1"/>
    <w:next w:val="1"/>
    <w:link w:val="33"/>
    <w:autoRedefine/>
    <w:qFormat/>
    <w:uiPriority w:val="9"/>
    <w:pPr>
      <w:keepNext/>
      <w:keepLines/>
      <w:widowControl w:val="0"/>
      <w:spacing w:before="260" w:after="260" w:line="416" w:lineRule="auto"/>
      <w:jc w:val="both"/>
      <w:outlineLvl w:val="1"/>
    </w:pPr>
    <w:rPr>
      <w:rFonts w:ascii="Cambria" w:hAnsi="Cambria" w:eastAsia="宋体" w:cs="宋体"/>
      <w:b/>
      <w:bCs/>
      <w:kern w:val="2"/>
      <w:sz w:val="32"/>
      <w:szCs w:val="32"/>
      <w:lang w:eastAsia="zh-CN"/>
    </w:rPr>
  </w:style>
  <w:style w:type="paragraph" w:styleId="4">
    <w:name w:val="heading 3"/>
    <w:basedOn w:val="5"/>
    <w:next w:val="1"/>
    <w:autoRedefine/>
    <w:qFormat/>
    <w:uiPriority w:val="9"/>
    <w:pPr>
      <w:spacing w:before="260" w:after="260" w:line="240" w:lineRule="auto"/>
      <w:outlineLvl w:val="2"/>
    </w:pPr>
    <w:rPr>
      <w:rFonts w:ascii="宋体" w:hAnsi="宋体" w:eastAsia="宋体"/>
      <w:szCs w:val="32"/>
    </w:rPr>
  </w:style>
  <w:style w:type="paragraph" w:styleId="5">
    <w:name w:val="heading 4"/>
    <w:basedOn w:val="1"/>
    <w:next w:val="1"/>
    <w:autoRedefine/>
    <w:qFormat/>
    <w:uiPriority w:val="9"/>
    <w:pPr>
      <w:keepNext/>
      <w:keepLines/>
      <w:widowControl w:val="0"/>
      <w:spacing w:before="280" w:after="290" w:line="376" w:lineRule="auto"/>
      <w:jc w:val="both"/>
      <w:outlineLvl w:val="3"/>
    </w:pPr>
    <w:rPr>
      <w:rFonts w:ascii="Arial" w:hAnsi="Arial" w:eastAsia="黑体" w:cs="宋体"/>
      <w:b/>
      <w:bCs/>
      <w:kern w:val="2"/>
      <w:sz w:val="28"/>
      <w:szCs w:val="28"/>
      <w:lang w:eastAsia="zh-CN"/>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widowControl w:val="0"/>
      <w:ind w:firstLine="420"/>
      <w:jc w:val="both"/>
    </w:pPr>
    <w:rPr>
      <w:rFonts w:ascii="Calibri" w:hAnsi="Calibri" w:eastAsia="宋体" w:cs="宋体"/>
      <w:kern w:val="2"/>
      <w:sz w:val="21"/>
      <w:szCs w:val="20"/>
      <w:lang w:eastAsia="zh-CN"/>
    </w:rPr>
  </w:style>
  <w:style w:type="paragraph" w:styleId="7">
    <w:name w:val="annotation text"/>
    <w:basedOn w:val="1"/>
    <w:link w:val="44"/>
    <w:autoRedefine/>
    <w:unhideWhenUsed/>
    <w:qFormat/>
    <w:uiPriority w:val="99"/>
  </w:style>
  <w:style w:type="paragraph" w:styleId="8">
    <w:name w:val="Body Text"/>
    <w:basedOn w:val="1"/>
    <w:next w:val="9"/>
    <w:autoRedefine/>
    <w:qFormat/>
    <w:uiPriority w:val="0"/>
    <w:pPr>
      <w:widowControl w:val="0"/>
      <w:spacing w:line="360" w:lineRule="auto"/>
      <w:ind w:firstLine="482" w:firstLineChars="200"/>
      <w:jc w:val="both"/>
    </w:pPr>
    <w:rPr>
      <w:rFonts w:ascii="楷体_GB2312" w:hAnsi="Calibri" w:eastAsia="楷体_GB2312" w:cs="宋体"/>
      <w:b/>
      <w:bCs/>
      <w:kern w:val="2"/>
      <w:lang w:eastAsia="zh-CN"/>
    </w:rPr>
  </w:style>
  <w:style w:type="paragraph" w:styleId="9">
    <w:name w:val="Body Text 2"/>
    <w:basedOn w:val="1"/>
    <w:autoRedefine/>
    <w:qFormat/>
    <w:uiPriority w:val="0"/>
    <w:pPr>
      <w:widowControl w:val="0"/>
      <w:spacing w:line="360" w:lineRule="auto"/>
      <w:ind w:firstLine="482" w:firstLineChars="200"/>
      <w:jc w:val="center"/>
    </w:pPr>
    <w:rPr>
      <w:rFonts w:ascii="楷体_GB2312" w:hAnsi="Calibri" w:eastAsia="楷体_GB2312" w:cs="宋体"/>
      <w:b/>
      <w:kern w:val="2"/>
      <w:lang w:eastAsia="zh-CN"/>
    </w:rPr>
  </w:style>
  <w:style w:type="paragraph" w:styleId="10">
    <w:name w:val="Body Text Indent"/>
    <w:basedOn w:val="1"/>
    <w:link w:val="50"/>
    <w:autoRedefine/>
    <w:semiHidden/>
    <w:unhideWhenUsed/>
    <w:qFormat/>
    <w:uiPriority w:val="0"/>
    <w:pPr>
      <w:spacing w:after="120"/>
      <w:ind w:left="420" w:leftChars="200"/>
    </w:pPr>
  </w:style>
  <w:style w:type="paragraph" w:styleId="11">
    <w:name w:val="Balloon Text"/>
    <w:basedOn w:val="1"/>
    <w:link w:val="46"/>
    <w:autoRedefine/>
    <w:semiHidden/>
    <w:unhideWhenUsed/>
    <w:qFormat/>
    <w:uiPriority w:val="0"/>
    <w:rPr>
      <w:sz w:val="18"/>
      <w:szCs w:val="18"/>
    </w:rPr>
  </w:style>
  <w:style w:type="paragraph" w:styleId="12">
    <w:name w:val="footer"/>
    <w:basedOn w:val="1"/>
    <w:link w:val="26"/>
    <w:autoRedefine/>
    <w:qFormat/>
    <w:uiPriority w:val="0"/>
    <w:pPr>
      <w:widowControl w:val="0"/>
      <w:tabs>
        <w:tab w:val="center" w:pos="4153"/>
        <w:tab w:val="right" w:pos="8306"/>
      </w:tabs>
      <w:snapToGrid w:val="0"/>
    </w:pPr>
    <w:rPr>
      <w:rFonts w:ascii="Calibri" w:hAnsi="Calibri" w:eastAsia="宋体" w:cs="宋体"/>
      <w:kern w:val="2"/>
      <w:sz w:val="18"/>
      <w:szCs w:val="18"/>
      <w:lang w:eastAsia="zh-CN"/>
    </w:rPr>
  </w:style>
  <w:style w:type="paragraph" w:styleId="13">
    <w:name w:val="header"/>
    <w:basedOn w:val="1"/>
    <w:link w:val="25"/>
    <w:autoRedefine/>
    <w:qFormat/>
    <w:uiPriority w:val="99"/>
    <w:pPr>
      <w:widowControl w:val="0"/>
      <w:pBdr>
        <w:bottom w:val="single" w:color="auto" w:sz="6" w:space="1"/>
      </w:pBdr>
      <w:tabs>
        <w:tab w:val="center" w:pos="4153"/>
        <w:tab w:val="right" w:pos="8306"/>
      </w:tabs>
      <w:snapToGrid w:val="0"/>
      <w:jc w:val="center"/>
    </w:pPr>
    <w:rPr>
      <w:rFonts w:ascii="Calibri" w:hAnsi="Calibri" w:eastAsia="宋体" w:cs="宋体"/>
      <w:kern w:val="2"/>
      <w:sz w:val="18"/>
      <w:szCs w:val="18"/>
      <w:lang w:eastAsia="zh-CN"/>
    </w:rPr>
  </w:style>
  <w:style w:type="paragraph" w:styleId="14">
    <w:name w:val="Normal (Web)"/>
    <w:basedOn w:val="1"/>
    <w:link w:val="27"/>
    <w:autoRedefine/>
    <w:qFormat/>
    <w:uiPriority w:val="0"/>
    <w:pPr>
      <w:spacing w:before="100" w:beforeAutospacing="1" w:afterAutospacing="1"/>
    </w:pPr>
    <w:rPr>
      <w:rFonts w:ascii="宋体" w:hAnsi="宋体" w:eastAsia="宋体" w:cs="宋体"/>
      <w:kern w:val="2"/>
      <w:lang w:eastAsia="zh-CN"/>
    </w:rPr>
  </w:style>
  <w:style w:type="paragraph" w:styleId="15">
    <w:name w:val="Title"/>
    <w:basedOn w:val="1"/>
    <w:next w:val="1"/>
    <w:autoRedefine/>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7"/>
    <w:next w:val="7"/>
    <w:link w:val="45"/>
    <w:autoRedefine/>
    <w:unhideWhenUsed/>
    <w:qFormat/>
    <w:uiPriority w:val="99"/>
    <w:rPr>
      <w:b/>
      <w:bCs/>
    </w:rPr>
  </w:style>
  <w:style w:type="paragraph" w:styleId="17">
    <w:name w:val="Body Text First Indent 2"/>
    <w:basedOn w:val="10"/>
    <w:link w:val="51"/>
    <w:autoRedefine/>
    <w:qFormat/>
    <w:uiPriority w:val="0"/>
    <w:pPr>
      <w:widowControl w:val="0"/>
      <w:ind w:firstLine="420" w:firstLineChars="200"/>
      <w:jc w:val="both"/>
    </w:pPr>
    <w:rPr>
      <w:rFonts w:eastAsia="宋体"/>
      <w:kern w:val="2"/>
      <w:sz w:val="21"/>
      <w:lang w:eastAsia="zh-CN"/>
    </w:rPr>
  </w:style>
  <w:style w:type="table" w:styleId="19">
    <w:name w:val="Table Grid"/>
    <w:basedOn w:val="1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22"/>
    <w:rPr>
      <w:b/>
      <w:bCs/>
    </w:rPr>
  </w:style>
  <w:style w:type="character" w:styleId="22">
    <w:name w:val="Hyperlink"/>
    <w:basedOn w:val="20"/>
    <w:autoRedefine/>
    <w:unhideWhenUsed/>
    <w:qFormat/>
    <w:uiPriority w:val="99"/>
    <w:rPr>
      <w:color w:val="0000FF"/>
      <w:u w:val="single"/>
    </w:rPr>
  </w:style>
  <w:style w:type="character" w:styleId="23">
    <w:name w:val="annotation reference"/>
    <w:basedOn w:val="20"/>
    <w:autoRedefine/>
    <w:qFormat/>
    <w:uiPriority w:val="99"/>
    <w:rPr>
      <w:sz w:val="21"/>
      <w:szCs w:val="21"/>
    </w:rPr>
  </w:style>
  <w:style w:type="paragraph" w:styleId="2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25">
    <w:name w:val="页眉 字符"/>
    <w:basedOn w:val="20"/>
    <w:link w:val="13"/>
    <w:autoRedefine/>
    <w:qFormat/>
    <w:uiPriority w:val="99"/>
    <w:rPr>
      <w:rFonts w:eastAsia="宋体"/>
      <w:sz w:val="18"/>
      <w:szCs w:val="18"/>
      <w:lang w:eastAsia="zh-CN"/>
    </w:rPr>
  </w:style>
  <w:style w:type="character" w:customStyle="1" w:styleId="26">
    <w:name w:val="页脚 字符"/>
    <w:basedOn w:val="20"/>
    <w:link w:val="12"/>
    <w:autoRedefine/>
    <w:qFormat/>
    <w:uiPriority w:val="0"/>
    <w:rPr>
      <w:rFonts w:eastAsia="宋体"/>
      <w:sz w:val="18"/>
      <w:szCs w:val="18"/>
      <w:lang w:eastAsia="zh-CN"/>
    </w:rPr>
  </w:style>
  <w:style w:type="character" w:customStyle="1" w:styleId="27">
    <w:name w:val="普通(网站) 字符"/>
    <w:link w:val="14"/>
    <w:autoRedefine/>
    <w:qFormat/>
    <w:uiPriority w:val="99"/>
    <w:rPr>
      <w:rFonts w:ascii="宋体" w:hAnsi="宋体" w:eastAsia="宋体"/>
      <w:sz w:val="24"/>
      <w:szCs w:val="24"/>
      <w:lang w:eastAsia="zh-CN"/>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正文文本1"/>
    <w:basedOn w:val="1"/>
    <w:autoRedefine/>
    <w:qFormat/>
    <w:uiPriority w:val="0"/>
    <w:rPr>
      <w:rFonts w:ascii="宋体" w:hAnsi="宋体" w:eastAsia="宋体"/>
      <w:color w:val="003399"/>
      <w:kern w:val="2"/>
      <w:lang w:eastAsia="zh-CN"/>
    </w:rPr>
  </w:style>
  <w:style w:type="paragraph" w:styleId="30">
    <w:name w:val="List Paragraph"/>
    <w:basedOn w:val="1"/>
    <w:autoRedefine/>
    <w:qFormat/>
    <w:uiPriority w:val="34"/>
    <w:pPr>
      <w:keepNext/>
      <w:keepLines/>
      <w:widowControl w:val="0"/>
      <w:numPr>
        <w:ilvl w:val="0"/>
        <w:numId w:val="1"/>
      </w:numPr>
      <w:adjustRightInd w:val="0"/>
      <w:snapToGrid w:val="0"/>
      <w:spacing w:line="360" w:lineRule="auto"/>
      <w:ind w:right="141" w:rightChars="67"/>
      <w:jc w:val="center"/>
      <w:textAlignment w:val="baseline"/>
      <w:outlineLvl w:val="3"/>
    </w:pPr>
    <w:rPr>
      <w:rFonts w:ascii="Calibri" w:hAnsi="Calibri" w:eastAsia="宋体" w:cs="宋体"/>
      <w:b/>
      <w:kern w:val="2"/>
      <w:sz w:val="21"/>
      <w:szCs w:val="22"/>
      <w:lang w:eastAsia="zh-CN"/>
    </w:rPr>
  </w:style>
  <w:style w:type="table" w:customStyle="1" w:styleId="31">
    <w:name w:val="网格型1"/>
    <w:basedOn w:val="1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样式 小四 加粗 行距: 多倍行距 1.25 字行"/>
    <w:basedOn w:val="1"/>
    <w:autoRedefine/>
    <w:qFormat/>
    <w:uiPriority w:val="0"/>
    <w:pPr>
      <w:widowControl w:val="0"/>
      <w:tabs>
        <w:tab w:val="left" w:pos="1527"/>
      </w:tabs>
      <w:spacing w:before="50" w:beforeLines="50" w:after="50" w:afterLines="50" w:line="300" w:lineRule="auto"/>
      <w:ind w:left="57" w:hanging="57"/>
      <w:jc w:val="both"/>
    </w:pPr>
    <w:rPr>
      <w:rFonts w:eastAsia="宋体" w:cs="宋体"/>
      <w:b/>
      <w:bCs/>
      <w:kern w:val="2"/>
      <w:szCs w:val="20"/>
      <w:lang w:eastAsia="zh-CN"/>
    </w:rPr>
  </w:style>
  <w:style w:type="character" w:customStyle="1" w:styleId="33">
    <w:name w:val="标题 2 字符"/>
    <w:basedOn w:val="20"/>
    <w:link w:val="3"/>
    <w:autoRedefine/>
    <w:qFormat/>
    <w:uiPriority w:val="9"/>
    <w:rPr>
      <w:rFonts w:ascii="Cambria" w:hAnsi="Cambria" w:eastAsia="宋体" w:cs="宋体"/>
      <w:b/>
      <w:bCs/>
      <w:sz w:val="32"/>
      <w:szCs w:val="32"/>
      <w:lang w:eastAsia="zh-CN"/>
    </w:rPr>
  </w:style>
  <w:style w:type="table" w:customStyle="1" w:styleId="34">
    <w:name w:val="typo_table"/>
    <w:basedOn w:val="18"/>
    <w:autoRedefine/>
    <w:qFormat/>
    <w:uiPriority w:val="0"/>
  </w:style>
  <w:style w:type="paragraph" w:customStyle="1" w:styleId="35">
    <w:name w:val="typo_h1"/>
    <w:basedOn w:val="1"/>
    <w:autoRedefine/>
    <w:qFormat/>
    <w:uiPriority w:val="0"/>
    <w:pPr>
      <w:spacing w:line="648" w:lineRule="atLeast"/>
    </w:pPr>
    <w:rPr>
      <w:rFonts w:ascii="微软雅黑" w:hAnsi="微软雅黑" w:eastAsia="微软雅黑" w:cs="微软雅黑"/>
      <w:color w:val="333333"/>
      <w:sz w:val="48"/>
      <w:szCs w:val="48"/>
    </w:rPr>
  </w:style>
  <w:style w:type="character" w:customStyle="1" w:styleId="36">
    <w:name w:val="base"/>
    <w:basedOn w:val="20"/>
    <w:autoRedefine/>
    <w:qFormat/>
    <w:uiPriority w:val="0"/>
    <w:rPr>
      <w:rFonts w:ascii="仿宋" w:hAnsi="仿宋" w:eastAsia="仿宋" w:cs="仿宋"/>
      <w:b/>
      <w:bCs/>
      <w:sz w:val="28"/>
      <w:szCs w:val="28"/>
    </w:rPr>
  </w:style>
  <w:style w:type="paragraph" w:customStyle="1" w:styleId="37">
    <w:name w:val="typo_p"/>
    <w:basedOn w:val="1"/>
    <w:autoRedefine/>
    <w:qFormat/>
    <w:uiPriority w:val="0"/>
    <w:pPr>
      <w:spacing w:line="432" w:lineRule="atLeast"/>
    </w:pPr>
    <w:rPr>
      <w:rFonts w:ascii="微软雅黑" w:hAnsi="微软雅黑" w:eastAsia="微软雅黑" w:cs="微软雅黑"/>
      <w:color w:val="333333"/>
    </w:rPr>
  </w:style>
  <w:style w:type="character" w:customStyle="1" w:styleId="38">
    <w:name w:val="span"/>
    <w:basedOn w:val="20"/>
    <w:autoRedefine/>
    <w:qFormat/>
    <w:uiPriority w:val="0"/>
    <w:rPr>
      <w:rFonts w:ascii="仿宋" w:hAnsi="仿宋" w:eastAsia="仿宋" w:cs="仿宋"/>
    </w:rPr>
  </w:style>
  <w:style w:type="character" w:customStyle="1" w:styleId="39">
    <w:name w:val="underline"/>
    <w:basedOn w:val="20"/>
    <w:autoRedefine/>
    <w:qFormat/>
    <w:uiPriority w:val="0"/>
  </w:style>
  <w:style w:type="paragraph" w:customStyle="1" w:styleId="40">
    <w:name w:val="div"/>
    <w:basedOn w:val="1"/>
    <w:autoRedefine/>
    <w:qFormat/>
    <w:uiPriority w:val="0"/>
    <w:pPr>
      <w:keepLines/>
      <w:spacing w:line="432" w:lineRule="atLeast"/>
    </w:pPr>
    <w:rPr>
      <w:rFonts w:ascii="微软雅黑" w:hAnsi="微软雅黑" w:eastAsia="微软雅黑" w:cs="微软雅黑"/>
      <w:color w:val="333333"/>
    </w:rPr>
  </w:style>
  <w:style w:type="character" w:customStyle="1" w:styleId="41">
    <w:name w:val="step-methods_step-item_label"/>
    <w:basedOn w:val="20"/>
    <w:autoRedefine/>
    <w:qFormat/>
    <w:uiPriority w:val="0"/>
  </w:style>
  <w:style w:type="table" w:customStyle="1" w:styleId="42">
    <w:name w:val="typo_table_0"/>
    <w:basedOn w:val="18"/>
    <w:autoRedefine/>
    <w:qFormat/>
    <w:uiPriority w:val="0"/>
  </w:style>
  <w:style w:type="character" w:customStyle="1" w:styleId="43">
    <w:name w:val="要点1"/>
    <w:basedOn w:val="20"/>
    <w:autoRedefine/>
    <w:qFormat/>
    <w:uiPriority w:val="0"/>
    <w:rPr>
      <w:b/>
      <w:bCs/>
      <w:color w:val="000000"/>
    </w:rPr>
  </w:style>
  <w:style w:type="character" w:customStyle="1" w:styleId="44">
    <w:name w:val="批注文字 字符"/>
    <w:basedOn w:val="20"/>
    <w:link w:val="7"/>
    <w:autoRedefine/>
    <w:qFormat/>
    <w:uiPriority w:val="99"/>
    <w:rPr>
      <w:sz w:val="24"/>
      <w:szCs w:val="24"/>
    </w:rPr>
  </w:style>
  <w:style w:type="character" w:customStyle="1" w:styleId="45">
    <w:name w:val="批注主题 字符"/>
    <w:basedOn w:val="44"/>
    <w:link w:val="16"/>
    <w:autoRedefine/>
    <w:qFormat/>
    <w:uiPriority w:val="99"/>
    <w:rPr>
      <w:b/>
      <w:bCs/>
      <w:sz w:val="24"/>
      <w:szCs w:val="24"/>
    </w:rPr>
  </w:style>
  <w:style w:type="character" w:customStyle="1" w:styleId="46">
    <w:name w:val="批注框文本 字符"/>
    <w:basedOn w:val="20"/>
    <w:link w:val="11"/>
    <w:semiHidden/>
    <w:qFormat/>
    <w:uiPriority w:val="0"/>
    <w:rPr>
      <w:sz w:val="18"/>
      <w:szCs w:val="18"/>
    </w:rPr>
  </w:style>
  <w:style w:type="paragraph" w:customStyle="1" w:styleId="47">
    <w:name w:val="列出段落1"/>
    <w:basedOn w:val="1"/>
    <w:qFormat/>
    <w:uiPriority w:val="0"/>
    <w:pPr>
      <w:widowControl w:val="0"/>
      <w:ind w:firstLine="420" w:firstLineChars="200"/>
      <w:jc w:val="both"/>
    </w:pPr>
    <w:rPr>
      <w:rFonts w:eastAsia="宋体"/>
      <w:kern w:val="2"/>
      <w:sz w:val="21"/>
      <w:lang w:eastAsia="zh-CN"/>
    </w:rPr>
  </w:style>
  <w:style w:type="paragraph" w:customStyle="1" w:styleId="48">
    <w:name w:val="页脚1"/>
    <w:basedOn w:val="1"/>
    <w:qFormat/>
    <w:uiPriority w:val="0"/>
    <w:pPr>
      <w:widowControl w:val="0"/>
      <w:tabs>
        <w:tab w:val="center" w:pos="4153"/>
        <w:tab w:val="right" w:pos="8306"/>
      </w:tabs>
      <w:snapToGrid w:val="0"/>
    </w:pPr>
    <w:rPr>
      <w:rFonts w:eastAsia="宋体"/>
      <w:kern w:val="2"/>
      <w:sz w:val="18"/>
      <w:szCs w:val="18"/>
      <w:lang w:eastAsia="zh-CN"/>
    </w:rPr>
  </w:style>
  <w:style w:type="paragraph" w:customStyle="1" w:styleId="49">
    <w:name w:val="纯文本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jc w:val="both"/>
    </w:pPr>
    <w:rPr>
      <w:rFonts w:hint="eastAsia" w:ascii="宋体" w:hAnsi="Courier New" w:eastAsia="宋体" w:cs="Times New Roman"/>
      <w:kern w:val="2"/>
      <w:sz w:val="21"/>
      <w:szCs w:val="22"/>
      <w:lang w:val="en-US" w:eastAsia="zh-CN" w:bidi="en-US"/>
    </w:rPr>
  </w:style>
  <w:style w:type="character" w:customStyle="1" w:styleId="50">
    <w:name w:val="正文文本缩进 字符"/>
    <w:basedOn w:val="20"/>
    <w:link w:val="10"/>
    <w:semiHidden/>
    <w:qFormat/>
    <w:uiPriority w:val="0"/>
    <w:rPr>
      <w:sz w:val="24"/>
      <w:szCs w:val="24"/>
      <w:lang w:eastAsia="en-US"/>
    </w:rPr>
  </w:style>
  <w:style w:type="character" w:customStyle="1" w:styleId="51">
    <w:name w:val="正文首行缩进 2 字符"/>
    <w:basedOn w:val="50"/>
    <w:link w:val="17"/>
    <w:qFormat/>
    <w:uiPriority w:val="0"/>
    <w:rPr>
      <w:rFonts w:eastAsia="宋体"/>
      <w:kern w:val="2"/>
      <w:sz w:val="21"/>
      <w:szCs w:val="24"/>
      <w:lang w:eastAsia="en-US"/>
    </w:rPr>
  </w:style>
  <w:style w:type="character" w:customStyle="1" w:styleId="52">
    <w:name w:val="font31"/>
    <w:basedOn w:val="20"/>
    <w:qFormat/>
    <w:uiPriority w:val="0"/>
    <w:rPr>
      <w:rFonts w:ascii="宋体" w:hAnsi="宋体" w:eastAsia="宋体" w:cs="宋体"/>
      <w:color w:val="000000"/>
      <w:sz w:val="22"/>
      <w:szCs w:val="22"/>
      <w:u w:val="none"/>
    </w:rPr>
  </w:style>
  <w:style w:type="character" w:customStyle="1" w:styleId="53">
    <w:name w:val="font01"/>
    <w:basedOn w:val="20"/>
    <w:qFormat/>
    <w:uiPriority w:val="0"/>
    <w:rPr>
      <w:rFonts w:hint="default" w:ascii="Arial" w:hAnsi="Arial" w:cs="Arial"/>
      <w:color w:val="000000"/>
      <w:sz w:val="22"/>
      <w:szCs w:val="22"/>
      <w:u w:val="none"/>
    </w:rPr>
  </w:style>
  <w:style w:type="character" w:customStyle="1" w:styleId="54">
    <w:name w:val="font41"/>
    <w:basedOn w:val="20"/>
    <w:qFormat/>
    <w:uiPriority w:val="0"/>
    <w:rPr>
      <w:rFonts w:ascii="方正书宋_GBK" w:hAnsi="方正书宋_GBK" w:eastAsia="方正书宋_GBK" w:cs="方正书宋_GBK"/>
      <w:color w:val="000000"/>
      <w:sz w:val="22"/>
      <w:szCs w:val="22"/>
      <w:u w:val="none"/>
    </w:rPr>
  </w:style>
  <w:style w:type="character" w:customStyle="1" w:styleId="55">
    <w:name w:val="font51"/>
    <w:basedOn w:val="20"/>
    <w:qFormat/>
    <w:uiPriority w:val="0"/>
    <w:rPr>
      <w:rFonts w:hint="eastAsia" w:ascii="宋体" w:hAnsi="宋体" w:eastAsia="宋体" w:cs="宋体"/>
      <w:color w:val="000000"/>
      <w:sz w:val="18"/>
      <w:szCs w:val="18"/>
      <w:u w:val="none"/>
    </w:rPr>
  </w:style>
  <w:style w:type="character" w:customStyle="1" w:styleId="56">
    <w:name w:val="font61"/>
    <w:basedOn w:val="20"/>
    <w:qFormat/>
    <w:uiPriority w:val="0"/>
    <w:rPr>
      <w:rFonts w:ascii="宋体" w:hAnsi="宋体" w:eastAsia="宋体" w:cs="宋体"/>
      <w:color w:val="000000"/>
      <w:sz w:val="22"/>
      <w:szCs w:val="22"/>
      <w:u w:val="none"/>
      <w:vertAlign w:val="superscript"/>
    </w:rPr>
  </w:style>
  <w:style w:type="paragraph" w:customStyle="1" w:styleId="57">
    <w:name w:val="*正文"/>
    <w:basedOn w:val="1"/>
    <w:qFormat/>
    <w:uiPriority w:val="0"/>
    <w:pPr>
      <w:spacing w:line="360" w:lineRule="auto"/>
      <w:ind w:firstLine="200" w:firstLineChars="200"/>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49845</Words>
  <Characters>52375</Characters>
  <Lines>2242</Lines>
  <Paragraphs>978</Paragraphs>
  <TotalTime>5</TotalTime>
  <ScaleCrop>false</ScaleCrop>
  <LinksUpToDate>false</LinksUpToDate>
  <CharactersWithSpaces>56697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2025-07-16T01:54:00Z</dcterms:created>
  <dc:creator>Administrator</dc:creator>
  <cp:lastModifiedBy>姚</cp:lastModifiedBy>
  <dcterms:modified xsi:type="dcterms:W3CDTF">2025-08-08T09:19:43Z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7FF7170CDB0443E9B7287DD475DF6777_13</vt:lpwstr>
  </property>
  <property fmtid="{D5CDD505-2E9C-101B-9397-08002B2CF9AE}" pid="4" name="KSOTemplateDocerSaveRecord">
    <vt:lpwstr>eyJoZGlkIjoiNDc1YWMzMWRiOWVjMTlhMDY2YjFlZmYwNWZjNjM2MGIifQ==</vt:lpwstr>
  </property>
</Properties>
</file>