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bookmarkStart w:id="0" w:name="_Hlk71456902"/>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b/>
          <w:color w:val="FF0000"/>
        </w:rPr>
      </w:pPr>
      <w:r>
        <w:rPr>
          <w:rFonts w:hint="eastAsia"/>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54"/>
        <w:rPr>
          <w:rFonts w:hint="eastAsia"/>
          <w:lang w:val="en-US" w:eastAsia="zh-CN"/>
        </w:rPr>
      </w:pPr>
    </w:p>
    <w:p>
      <w:pPr>
        <w:pStyle w:val="38"/>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Times New Roman" w:hAnsi="Times New Roman" w:eastAsia="宋体" w:cs="Times New Roman"/>
          <w:b/>
          <w:color w:val="FF0000"/>
          <w:kern w:val="2"/>
          <w:sz w:val="21"/>
          <w:szCs w:val="24"/>
          <w:lang w:val="en-US" w:eastAsia="zh-CN" w:bidi="ar-SA"/>
        </w:r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pPr>
        <w:pStyle w:val="38"/>
        <w:widowControl/>
        <w:jc w:val="center"/>
        <w:outlineLvl w:val="1"/>
        <w:rPr>
          <w:rFonts w:hint="eastAsia" w:ascii="黑体" w:hAnsi="宋体" w:eastAsia="黑体" w:cs="黑体"/>
          <w:sz w:val="40"/>
          <w:szCs w:val="40"/>
        </w:rPr>
      </w:pPr>
    </w:p>
    <w:p>
      <w:pPr>
        <w:pStyle w:val="38"/>
        <w:widowControl/>
        <w:jc w:val="center"/>
        <w:outlineLvl w:val="1"/>
        <w:rPr>
          <w:rFonts w:hint="eastAsia"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pgBorders>
            <w:top w:val="none" w:sz="0" w:space="0"/>
            <w:left w:val="none" w:sz="0" w:space="0"/>
            <w:bottom w:val="none" w:sz="0" w:space="0"/>
            <w:right w:val="none" w:sz="0" w:space="0"/>
          </w:pgBorders>
          <w:cols w:space="425" w:num="1"/>
          <w:titlePg/>
          <w:docGrid w:linePitch="462" w:charSpace="0"/>
        </w:sectPr>
      </w:pPr>
    </w:p>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44"/>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SZZXCG-2025-00079</w:t>
            </w:r>
            <w:bookmarkStart w:id="140" w:name="_GoBack"/>
            <w:bookmarkEnd w:id="140"/>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深圳市第四人民医院2025年病床一批采购项目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 xml:space="preserve">包 </w:t>
            </w: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pStyle w:val="38"/>
        <w:widowControl/>
        <w:jc w:val="center"/>
        <w:outlineLvl w:val="1"/>
        <w:rPr>
          <w:rFonts w:hint="eastAsia" w:ascii="黑体" w:hAnsi="宋体" w:eastAsia="黑体" w:cs="黑体"/>
          <w:sz w:val="40"/>
          <w:szCs w:val="40"/>
        </w:rPr>
        <w:sectPr>
          <w:pgSz w:w="11907" w:h="16840"/>
          <w:pgMar w:top="1497" w:right="1418" w:bottom="1440" w:left="1531" w:header="851" w:footer="992" w:gutter="0"/>
          <w:pgBorders>
            <w:top w:val="none" w:sz="0" w:space="0"/>
            <w:left w:val="none" w:sz="0" w:space="0"/>
            <w:bottom w:val="none" w:sz="0" w:space="0"/>
            <w:right w:val="none" w:sz="0" w:space="0"/>
          </w:pgBorders>
          <w:cols w:space="425" w:num="1"/>
          <w:titlePg/>
          <w:docGrid w:linePitch="462" w:charSpace="0"/>
        </w:sectPr>
      </w:pPr>
    </w:p>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8"/>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w:t>
            </w:r>
            <w:r>
              <w:rPr>
                <w:rFonts w:hint="eastAsia"/>
                <w:lang w:val="en-US" w:eastAsia="zh-CN"/>
              </w:rPr>
              <w:t>不得</w:t>
            </w:r>
            <w:r>
              <w:rPr>
                <w:rFonts w:hint="eastAsia"/>
              </w:rPr>
              <w:t>高于</w:t>
            </w:r>
            <w:bookmarkStart w:id="1" w:name="_Hlk71832186"/>
            <w:r>
              <w:rPr>
                <w:rFonts w:hint="eastAsia"/>
              </w:rPr>
              <w:t>相应预算金额（或设定的预算金额下的最高限价）</w:t>
            </w:r>
            <w:bookmarkEnd w:id="1"/>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rPr>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eastAsia="宋体"/>
                <w:szCs w:val="21"/>
                <w:lang w:eastAsia="zh-CN"/>
              </w:rPr>
            </w:pPr>
            <w:r>
              <w:rPr>
                <w:rFonts w:hint="eastAsia" w:ascii="宋体" w:hAnsi="宋体" w:cs="宋体"/>
                <w:kern w:val="0"/>
                <w:szCs w:val="21"/>
                <w:lang w:val="en-US" w:eastAsia="zh-CN"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Cs w:val="24"/>
                <w:lang w:val="en-US" w:eastAsia="zh-CN"/>
              </w:rPr>
            </w:pPr>
            <w:r>
              <w:rPr>
                <w:rFonts w:hint="eastAsia" w:ascii="宋体" w:hAnsi="宋体" w:cs="宋体"/>
                <w:szCs w:val="24"/>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ascii="宋体" w:hAnsi="宋体" w:eastAsia="宋体" w:cs="宋体"/>
                <w:szCs w:val="24"/>
                <w:lang w:val="en-US" w:eastAsia="zh-CN"/>
              </w:rPr>
            </w:pPr>
            <w:r>
              <w:rPr>
                <w:rFonts w:hint="eastAsia" w:ascii="宋体" w:hAnsi="宋体" w:cs="宋体"/>
                <w:szCs w:val="24"/>
                <w:lang w:val="en-US" w:eastAsia="zh-CN"/>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eastAsia="宋体"/>
                <w:szCs w:val="21"/>
                <w:lang w:val="en-US" w:eastAsia="zh-CN"/>
              </w:rPr>
            </w:pPr>
            <w:r>
              <w:rPr>
                <w:rFonts w:hint="eastAsia" w:ascii="宋体" w:hAnsi="宋体" w:cs="宋体"/>
                <w:kern w:val="0"/>
                <w:szCs w:val="21"/>
                <w:lang w:val="en-US" w:eastAsia="zh-CN"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8"/>
        <w:widowControl/>
        <w:jc w:val="center"/>
        <w:outlineLvl w:val="1"/>
        <w:rPr>
          <w:rFonts w:hint="eastAsia" w:ascii="黑体" w:hAnsi="宋体" w:eastAsia="黑体" w:cs="黑体"/>
          <w:sz w:val="40"/>
          <w:szCs w:val="40"/>
        </w:rPr>
        <w:sectPr>
          <w:pgSz w:w="11907" w:h="16840"/>
          <w:pgMar w:top="1440" w:right="1418" w:bottom="1440" w:left="1418" w:header="851" w:footer="992" w:gutter="0"/>
          <w:pgBorders>
            <w:top w:val="none" w:sz="0" w:space="0"/>
            <w:left w:val="none" w:sz="0" w:space="0"/>
            <w:bottom w:val="none" w:sz="0" w:space="0"/>
            <w:right w:val="none" w:sz="0" w:space="0"/>
          </w:pgBorders>
          <w:cols w:space="425" w:num="1"/>
          <w:titlePg/>
          <w:docGrid w:linePitch="462" w:charSpace="0"/>
        </w:sectPr>
      </w:pPr>
    </w:p>
    <w:tbl>
      <w:tblPr>
        <w:tblStyle w:val="44"/>
        <w:tblpPr w:leftFromText="180" w:rightFromText="180" w:vertAnchor="text" w:horzAnchor="page" w:tblpX="1484" w:tblpY="779"/>
        <w:tblOverlap w:val="never"/>
        <w:tblW w:w="9141" w:type="dxa"/>
        <w:tblCellSpacing w:w="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63"/>
        <w:gridCol w:w="618"/>
        <w:gridCol w:w="681"/>
        <w:gridCol w:w="2837"/>
        <w:gridCol w:w="681"/>
        <w:gridCol w:w="4198"/>
        <w:gridCol w:w="6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63" w:type="dxa"/>
          <w:tblCellSpacing w:w="0" w:type="dxa"/>
        </w:trPr>
        <w:tc>
          <w:tcPr>
            <w:tcW w:w="9078" w:type="dxa"/>
            <w:gridSpan w:val="6"/>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63" w:type="dxa"/>
          <w:tblCellSpacing w:w="0" w:type="dxa"/>
        </w:trPr>
        <w:tc>
          <w:tcPr>
            <w:tcW w:w="9078" w:type="dxa"/>
            <w:gridSpan w:val="6"/>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t>综合评分法，</w:t>
            </w:r>
            <w:r>
              <w:rPr>
                <w:rFonts w:hint="eastAsia"/>
                <w:szCs w:val="21"/>
              </w:rPr>
              <w:t>是指投标文件满足招标文件全部实质性要求，且按照评审因素的量化指标评审得分</w:t>
            </w:r>
            <w:r>
              <w:rPr>
                <w:rFonts w:hint="eastAsia"/>
                <w:szCs w:val="21"/>
                <w:lang w:val="en-US" w:eastAsia="zh-CN"/>
              </w:rPr>
              <w:t>排名前列</w:t>
            </w:r>
            <w:r>
              <w:rPr>
                <w:szCs w:val="21"/>
              </w:rPr>
              <w:t>的投标人为中标候选人的评标方法。</w:t>
            </w:r>
            <w:r>
              <w:rPr>
                <w:rFonts w:hint="eastAsia" w:eastAsia="宋体"/>
                <w:szCs w:val="21"/>
                <w:lang w:eastAsia="zh-CN"/>
              </w:rPr>
              <w:t>（</w:t>
            </w:r>
            <w:r>
              <w:rPr>
                <w:rFonts w:hint="eastAsia" w:ascii="Times New Roman" w:eastAsia="宋体"/>
                <w:szCs w:val="21"/>
                <w:lang w:val="en-US" w:eastAsia="zh-CN"/>
              </w:rPr>
              <w:t>适用于中标候选人为</w:t>
            </w:r>
            <w:r>
              <w:rPr>
                <w:rFonts w:hint="eastAsia"/>
                <w:szCs w:val="21"/>
                <w:lang w:val="en-US" w:eastAsia="zh-CN"/>
              </w:rPr>
              <w:t>2家或以上</w:t>
            </w:r>
            <w:r>
              <w:rPr>
                <w:rFonts w:hint="eastAsia" w:ascii="Times New Roman" w:eastAsia="宋体"/>
                <w:szCs w:val="21"/>
                <w:lang w:val="en-US" w:eastAsia="zh-CN"/>
              </w:rPr>
              <w:t>的情形</w:t>
            </w:r>
            <w:r>
              <w:rPr>
                <w:rFonts w:hint="eastAsia" w:eastAsia="宋体"/>
                <w:szCs w:val="21"/>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szCs w:val="21"/>
              </w:rPr>
              <w:t>价格分计算方法：</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宋体"/>
                <w:kern w:val="2"/>
                <w:sz w:val="21"/>
                <w:szCs w:val="21"/>
                <w:lang w:eastAsia="zh-CN"/>
              </w:rPr>
            </w:pPr>
            <w:r>
              <w:rPr>
                <w:kern w:val="2"/>
                <w:sz w:val="21"/>
                <w:szCs w:val="21"/>
              </w:rPr>
              <w:t xml:space="preserve">采用低价优先法计算，即满足招标文件要求且投标价格最低的投标报价为评标基准价，其价格分为满分。其他投标人的价格分统一按照下列公式计算： </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宋体"/>
                <w:kern w:val="2"/>
                <w:sz w:val="21"/>
                <w:szCs w:val="21"/>
                <w:lang w:eastAsia="zh-CN"/>
              </w:rPr>
            </w:pPr>
            <w:r>
              <w:rPr>
                <w:kern w:val="2"/>
                <w:sz w:val="21"/>
                <w:szCs w:val="21"/>
              </w:rPr>
              <w:t xml:space="preserve">投标报价得分=(评标基准价／投标报价)×100 </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宋体"/>
                <w:kern w:val="2"/>
                <w:sz w:val="21"/>
                <w:szCs w:val="21"/>
                <w:lang w:eastAsia="zh-CN"/>
              </w:rPr>
            </w:pPr>
            <w:r>
              <w:rPr>
                <w:kern w:val="2"/>
                <w:sz w:val="21"/>
                <w:szCs w:val="21"/>
              </w:rPr>
              <w:t xml:space="preserve">评标总得分＝F1×A1＋F2×A2＋……＋Fn×An </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宋体"/>
                <w:kern w:val="2"/>
                <w:sz w:val="21"/>
                <w:szCs w:val="21"/>
                <w:lang w:eastAsia="zh-CN"/>
              </w:rPr>
            </w:pPr>
            <w:r>
              <w:rPr>
                <w:kern w:val="2"/>
                <w:sz w:val="21"/>
                <w:szCs w:val="21"/>
              </w:rPr>
              <w:t xml:space="preserve">F1、F2……Fn分别为各项评审因素的得分； </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宋体"/>
                <w:kern w:val="2"/>
                <w:sz w:val="21"/>
                <w:szCs w:val="21"/>
                <w:lang w:eastAsia="zh-CN"/>
              </w:rPr>
            </w:pPr>
            <w:r>
              <w:rPr>
                <w:kern w:val="2"/>
                <w:sz w:val="21"/>
                <w:szCs w:val="21"/>
              </w:rPr>
              <w:t xml:space="preserve">A1、A2、……An 分别为各项评审因素所占的权重(A1＋A2＋……＋An＝1)。 </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kern w:val="2"/>
                <w:sz w:val="21"/>
                <w:szCs w:val="21"/>
              </w:rPr>
            </w:pPr>
            <w:r>
              <w:rPr>
                <w:kern w:val="2"/>
                <w:sz w:val="21"/>
                <w:szCs w:val="21"/>
              </w:rPr>
              <w:t>评标过程中，不得去掉报价中的最高报价和最低报价。</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kern w:val="2"/>
                <w:sz w:val="21"/>
                <w:szCs w:val="21"/>
              </w:rPr>
            </w:pPr>
            <w:r>
              <w:rPr>
                <w:rFonts w:hint="eastAsia"/>
                <w:kern w:val="2"/>
                <w:sz w:val="21"/>
                <w:szCs w:val="21"/>
              </w:rPr>
              <w:t>因落实政府采购政策进行价格调整的，以调整后的价格计算评标基准价和投标报价。</w:t>
            </w:r>
          </w:p>
          <w:p>
            <w:pPr>
              <w:pStyle w:val="38"/>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rHeight w:val="90" w:hRule="atLeast"/>
          <w:tblCellSpacing w:w="0" w:type="dxa"/>
        </w:trPr>
        <w:tc>
          <w:tcPr>
            <w:tcW w:w="681"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b/>
                <w:bCs/>
                <w:sz w:val="24"/>
              </w:rPr>
            </w:pPr>
            <w:bookmarkStart w:id="2" w:name="_Hlk72360569"/>
            <w:r>
              <w:rPr>
                <w:rFonts w:ascii="宋体" w:hAnsi="宋体" w:cs="宋体"/>
                <w:b/>
                <w:bCs/>
                <w:kern w:val="0"/>
                <w:sz w:val="24"/>
                <w:lang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b/>
                <w:bCs/>
                <w:sz w:val="24"/>
              </w:rPr>
            </w:pPr>
            <w:r>
              <w:rPr>
                <w:rFonts w:ascii="宋体" w:hAnsi="宋体" w:cs="宋体"/>
                <w:b/>
                <w:bCs/>
                <w:kern w:val="0"/>
                <w:sz w:val="24"/>
                <w:lang w:bidi="ar"/>
              </w:rPr>
              <w:t>评分项</w:t>
            </w:r>
          </w:p>
        </w:tc>
        <w:tc>
          <w:tcPr>
            <w:tcW w:w="419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b/>
                <w:bCs/>
                <w:sz w:val="24"/>
              </w:rPr>
            </w:pPr>
            <w:r>
              <w:rPr>
                <w:rFonts w:ascii="宋体" w:hAnsi="宋体" w:cs="宋体"/>
                <w:b/>
                <w:bCs/>
                <w:kern w:val="0"/>
                <w:sz w:val="24"/>
                <w:lang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价格</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restart"/>
            <w:tcBorders>
              <w:top w:val="single" w:color="000000" w:sz="8" w:space="0"/>
              <w:left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技术部分</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hint="default" w:eastAsia="宋体"/>
                <w:b/>
                <w:bCs/>
                <w:color w:val="0000FF"/>
                <w:sz w:val="24"/>
                <w:lang w:val="en-US" w:eastAsia="zh-CN"/>
              </w:rPr>
            </w:pPr>
            <w:r>
              <w:rPr>
                <w:rFonts w:hint="eastAsia"/>
                <w:b/>
                <w:bCs/>
                <w:color w:val="0000FF"/>
                <w:sz w:val="24"/>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left w:val="single" w:color="000000" w:sz="8" w:space="0"/>
              <w:right w:val="single" w:color="000000" w:sz="8" w:space="0"/>
            </w:tcBorders>
            <w:shd w:val="clear" w:color="auto" w:fill="auto"/>
            <w:vAlign w:val="center"/>
          </w:tcPr>
          <w:p>
            <w:pPr>
              <w:jc w:val="center"/>
              <w:rPr>
                <w:rFonts w:ascii="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left w:val="single" w:color="000000" w:sz="8" w:space="0"/>
              <w:right w:val="single" w:color="000000" w:sz="8" w:space="0"/>
            </w:tcBorders>
            <w:shd w:val="clear" w:color="auto" w:fill="E6EFFA"/>
            <w:vAlign w:val="center"/>
          </w:tcPr>
          <w:p>
            <w:pPr>
              <w:jc w:val="center"/>
              <w:rPr>
                <w:rFonts w:ascii="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left w:val="single" w:color="000000" w:sz="8" w:space="0"/>
              <w:right w:val="single" w:color="000000" w:sz="8" w:space="0"/>
            </w:tcBorders>
            <w:shd w:val="clear" w:color="auto" w:fill="auto"/>
            <w:vAlign w:val="center"/>
          </w:tcPr>
          <w:p>
            <w:pPr>
              <w:jc w:val="center"/>
              <w:rPr>
                <w:rFonts w:ascii="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ascii="宋体" w:hAnsi="宋体" w:cs="宋体"/>
                <w:kern w:val="0"/>
                <w:szCs w:val="21"/>
                <w:lang w:bidi="ar"/>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hint="eastAsia" w:asciiTheme="minorEastAsia" w:hAnsiTheme="minorEastAsia" w:eastAsiaTheme="minorEastAsia" w:cstheme="minorEastAsia"/>
                <w:szCs w:val="21"/>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hint="eastAsia" w:eastAsia="宋体"/>
                <w:szCs w:val="21"/>
                <w:lang w:val="en-US" w:eastAsia="zh-CN"/>
              </w:rPr>
            </w:pPr>
            <w:r>
              <w:rPr>
                <w:rFonts w:hint="eastAsia"/>
                <w:szCs w:val="21"/>
                <w:lang w:val="en-US" w:eastAsia="zh-CN"/>
              </w:rPr>
              <w:t>3</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（一）评分内容：</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根据招标文件要求提供技术保障措施，内容应包括：</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①技术团队；</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②技术方案；</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③技术人员；</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④售后服务方案；</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（二）评分依据：</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1、每提供上述任意一项内容得15分，本小项累计最高得60分；</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2、在此基础上，专家根据各供应商的具体响应内容按照量化的评审因素指标进一步评审：</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（1）方案整体科学合理、针对性强、可操作性强，评审为优的，加40分；</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（2）方案较合理、有一定针对性、一定可操作性，评审为良的，加25分；</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（3）方案不尽合理、针对性一般、可操作性一般，评审为中的，加10分；</w:t>
            </w:r>
          </w:p>
          <w:p>
            <w:pPr>
              <w:pStyle w:val="17"/>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left w:val="single" w:color="000000" w:sz="8" w:space="0"/>
              <w:right w:val="single" w:color="000000" w:sz="8" w:space="0"/>
            </w:tcBorders>
            <w:shd w:val="clear" w:color="auto" w:fill="auto"/>
            <w:vAlign w:val="center"/>
          </w:tcPr>
          <w:p>
            <w:pPr>
              <w:jc w:val="center"/>
              <w:rPr>
                <w:rFonts w:ascii="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所投产品▲符号技术参数响应情况评价</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hint="default" w:eastAsia="宋体"/>
                <w:szCs w:val="21"/>
                <w:lang w:val="en-US" w:eastAsia="zh-CN"/>
              </w:rPr>
            </w:pPr>
            <w:r>
              <w:rPr>
                <w:rFonts w:hint="eastAsia"/>
                <w:szCs w:val="21"/>
                <w:lang w:val="en-US" w:eastAsia="zh-CN"/>
              </w:rPr>
              <w:t>30</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所投产品▲符号技术参数响应情况，全部满足得100分；有负偏离的，每负偏离一项扣</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分，扣完为止。</w:t>
            </w:r>
          </w:p>
          <w:p>
            <w:pPr>
              <w:widowControl/>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（二）评分依据：《技术要求偏离表》。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left w:val="single" w:color="000000" w:sz="8" w:space="0"/>
              <w:right w:val="single" w:color="000000" w:sz="8" w:space="0"/>
            </w:tcBorders>
            <w:shd w:val="clear" w:color="auto" w:fill="auto"/>
            <w:vAlign w:val="center"/>
          </w:tcPr>
          <w:p>
            <w:pPr>
              <w:jc w:val="center"/>
              <w:rPr>
                <w:rFonts w:ascii="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所投产品一般技术参数（非▲符号参数）响应情况评价</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hint="default" w:eastAsia="宋体"/>
                <w:szCs w:val="21"/>
                <w:lang w:val="en-US" w:eastAsia="zh-CN"/>
              </w:rPr>
            </w:pPr>
            <w:r>
              <w:rPr>
                <w:rFonts w:hint="eastAsia"/>
                <w:szCs w:val="21"/>
                <w:lang w:val="en-US" w:eastAsia="zh-CN"/>
              </w:rPr>
              <w:t>15</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所投产品一般技术参数响应情况，全部满足得100分；有负偏离的，每负偏离一项扣</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分，扣完为止。</w:t>
            </w:r>
          </w:p>
          <w:p>
            <w:pPr>
              <w:widowControl/>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（二）评分依据：《技术要求偏离表》。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ascii="宋体" w:hAnsi="宋体" w:cs="宋体"/>
                <w:b/>
                <w:bCs/>
                <w:color w:val="0000FF"/>
                <w:kern w:val="0"/>
                <w:sz w:val="24"/>
                <w:lang w:bidi="ar"/>
              </w:rPr>
              <w:t>商务</w:t>
            </w:r>
            <w:r>
              <w:rPr>
                <w:rFonts w:hint="eastAsia" w:ascii="宋体" w:hAnsi="宋体" w:cs="宋体"/>
                <w:b/>
                <w:bCs/>
                <w:color w:val="0000FF"/>
                <w:kern w:val="0"/>
                <w:sz w:val="24"/>
                <w:lang w:bidi="ar"/>
              </w:rPr>
              <w:t>部分</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hint="default" w:eastAsia="宋体"/>
                <w:b/>
                <w:bCs/>
                <w:color w:val="0000FF"/>
                <w:sz w:val="24"/>
                <w:lang w:val="en-US" w:eastAsia="zh-CN"/>
              </w:rPr>
            </w:pPr>
            <w:r>
              <w:rPr>
                <w:rFonts w:hint="eastAsia"/>
                <w:b/>
                <w:bCs/>
                <w:color w:val="0000FF"/>
                <w:sz w:val="24"/>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hint="eastAsia" w:eastAsia="宋体"/>
                <w:szCs w:val="21"/>
                <w:lang w:val="en-US" w:eastAsia="zh-CN"/>
              </w:rPr>
            </w:pPr>
            <w:r>
              <w:rPr>
                <w:rFonts w:hint="eastAsia"/>
                <w:szCs w:val="21"/>
                <w:lang w:val="en-US" w:eastAsia="zh-CN"/>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17</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spacing w:line="28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投标人应如实填写《商务要求偏离表》，评审委员会根据响应情况进行打分</w:t>
            </w:r>
            <w:r>
              <w:rPr>
                <w:rFonts w:hint="eastAsia" w:asciiTheme="minorEastAsia" w:hAnsiTheme="minorEastAsia" w:eastAsiaTheme="minorEastAsia" w:cstheme="minorEastAsia"/>
                <w:szCs w:val="21"/>
                <w:lang w:eastAsia="zh-CN"/>
              </w:rPr>
              <w:t>：</w:t>
            </w:r>
          </w:p>
          <w:p>
            <w:pPr>
              <w:spacing w:line="28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满足免费保修期的基础上，每增加一年加</w:t>
            </w:r>
            <w:r>
              <w:rPr>
                <w:rFonts w:hint="eastAsia" w:asciiTheme="minorEastAsia" w:hAnsiTheme="minorEastAsia" w:eastAsiaTheme="minorEastAsia" w:cstheme="minorEastAsia"/>
                <w:szCs w:val="21"/>
                <w:lang w:val="en-US" w:eastAsia="zh-CN"/>
              </w:rPr>
              <w:t>35</w:t>
            </w:r>
            <w:r>
              <w:rPr>
                <w:rFonts w:hint="eastAsia" w:asciiTheme="minorEastAsia" w:hAnsiTheme="minorEastAsia" w:eastAsiaTheme="minorEastAsia" w:cstheme="minorEastAsia"/>
                <w:szCs w:val="21"/>
              </w:rPr>
              <w:t>分，最高得</w:t>
            </w:r>
            <w:r>
              <w:rPr>
                <w:rFonts w:hint="eastAsia" w:asciiTheme="minorEastAsia" w:hAnsiTheme="minorEastAsia" w:eastAsiaTheme="minorEastAsia" w:cstheme="minorEastAsia"/>
                <w:szCs w:val="21"/>
                <w:lang w:val="en-US" w:eastAsia="zh-CN"/>
              </w:rPr>
              <w:t>100</w:t>
            </w:r>
            <w:r>
              <w:rPr>
                <w:rFonts w:hint="eastAsia" w:asciiTheme="minorEastAsia" w:hAnsiTheme="minorEastAsia" w:eastAsiaTheme="minorEastAsia" w:cstheme="minorEastAsia"/>
                <w:szCs w:val="21"/>
              </w:rPr>
              <w:t>分</w:t>
            </w:r>
          </w:p>
          <w:p>
            <w:pPr>
              <w:spacing w:line="280" w:lineRule="exac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（二）评分依据：《商务要求偏离表》。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hint="eastAsia" w:eastAsia="宋体"/>
                <w:b/>
                <w:bCs/>
                <w:color w:val="0000FF"/>
                <w:sz w:val="24"/>
                <w:lang w:eastAsia="zh-CN"/>
              </w:rPr>
            </w:pPr>
            <w:r>
              <w:rPr>
                <w:rFonts w:hint="eastAsia" w:ascii="宋体" w:hAnsi="宋体" w:cs="宋体"/>
                <w:b/>
                <w:bCs/>
                <w:color w:val="0000FF"/>
                <w:kern w:val="0"/>
                <w:sz w:val="24"/>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b/>
                <w:bCs/>
                <w:color w:val="0000FF"/>
                <w:sz w:val="24"/>
              </w:rPr>
            </w:pPr>
            <w:r>
              <w:rPr>
                <w:rFonts w:hint="eastAsia" w:ascii="宋体" w:hAnsi="宋体" w:cs="宋体"/>
                <w:b/>
                <w:bCs/>
                <w:color w:val="0000FF"/>
                <w:kern w:val="0"/>
                <w:sz w:val="24"/>
                <w:lang w:bidi="ar"/>
              </w:rPr>
              <w:t>诚信情况</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hint="default" w:eastAsia="宋体"/>
                <w:b/>
                <w:bCs/>
                <w:color w:val="0000FF"/>
                <w:sz w:val="24"/>
                <w:lang w:val="en-US" w:eastAsia="zh-CN"/>
              </w:rPr>
            </w:pPr>
            <w:r>
              <w:rPr>
                <w:rFonts w:hint="eastAsia"/>
                <w:b/>
                <w:bCs/>
                <w:color w:val="0000FF"/>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szCs w:val="21"/>
              </w:rPr>
            </w:pPr>
            <w:r>
              <w:rPr>
                <w:rFonts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hint="eastAsia"/>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hint="eastAsia"/>
              </w:rPr>
              <w:t>诚信情况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hint="eastAsia"/>
              </w:rPr>
              <w:t>5</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pStyle w:val="2"/>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pPr>
              <w:pStyle w:val="2"/>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评标信息</w:t>
      </w:r>
    </w:p>
    <w:p>
      <w:pPr>
        <w:sectPr>
          <w:pgSz w:w="11907" w:h="16840"/>
          <w:pgMar w:top="1440" w:right="1418" w:bottom="1440" w:left="1418" w:header="851" w:footer="992" w:gutter="0"/>
          <w:pgBorders>
            <w:top w:val="none" w:sz="0" w:space="0"/>
            <w:left w:val="none" w:sz="0" w:space="0"/>
            <w:bottom w:val="none" w:sz="0" w:space="0"/>
            <w:right w:val="none" w:sz="0" w:space="0"/>
          </w:pgBorders>
          <w:cols w:space="425" w:num="1"/>
          <w:titlePg/>
          <w:docGrid w:linePitch="462" w:charSpace="0"/>
        </w:sectPr>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b/>
          <w:sz w:val="44"/>
          <w:szCs w:val="44"/>
        </w:rPr>
        <w:t>）</w:t>
      </w:r>
    </w:p>
    <w:bookmarkEnd w:id="3"/>
    <w:p>
      <w:pPr>
        <w:widowControl/>
        <w:jc w:val="center"/>
      </w:pPr>
    </w:p>
    <w:p>
      <w:pPr>
        <w:widowControl/>
        <w:jc w:val="center"/>
      </w:pPr>
      <w:r>
        <w:br w:type="page"/>
      </w:r>
    </w:p>
    <w:p>
      <w:pPr>
        <w:keepNext w:val="0"/>
        <w:keepLines w:val="0"/>
        <w:pageBreakBefore w:val="0"/>
        <w:widowControl w:val="0"/>
        <w:kinsoku/>
        <w:wordWrap/>
        <w:overflowPunct/>
        <w:topLinePunct w:val="0"/>
        <w:autoSpaceDE/>
        <w:autoSpaceDN/>
        <w:bidi w:val="0"/>
        <w:adjustRightInd/>
        <w:snapToGrid/>
        <w:spacing w:before="464" w:beforeLines="100" w:after="464" w:afterLines="100"/>
        <w:jc w:val="center"/>
        <w:textAlignment w:val="auto"/>
        <w:rPr>
          <w:rFonts w:hint="eastAsia" w:ascii="黑体" w:hAnsi="黑体" w:eastAsia="黑体" w:cs="黑体"/>
          <w:b/>
          <w:bCs/>
          <w:sz w:val="28"/>
          <w:szCs w:val="36"/>
        </w:rPr>
      </w:pPr>
      <w:bookmarkStart w:id="4" w:name="_Hlk72218009"/>
      <w:r>
        <w:rPr>
          <w:rFonts w:hint="eastAsia" w:ascii="黑体" w:hAnsi="黑体" w:eastAsia="黑体" w:cs="黑体"/>
          <w:b/>
          <w:bCs/>
          <w:sz w:val="28"/>
          <w:szCs w:val="36"/>
        </w:rPr>
        <w:t>目   录</w:t>
      </w:r>
    </w:p>
    <w:p>
      <w:pPr>
        <w:outlineLvl w:val="0"/>
        <w:rPr>
          <w:b/>
          <w:sz w:val="24"/>
        </w:rPr>
      </w:pPr>
      <w:r>
        <w:rPr>
          <w:rFonts w:hint="eastAsia"/>
          <w:b/>
          <w:sz w:val="24"/>
        </w:rPr>
        <w:t xml:space="preserve">第一册  </w:t>
      </w:r>
      <w:r>
        <w:rPr>
          <w:rFonts w:hint="eastAsia"/>
          <w:b/>
          <w:sz w:val="24"/>
          <w:lang w:val="en-US" w:eastAsia="zh-CN"/>
        </w:rPr>
        <w:t xml:space="preserve">  </w:t>
      </w:r>
      <w:r>
        <w:rPr>
          <w:rFonts w:hint="eastAsia"/>
          <w:b/>
          <w:sz w:val="24"/>
        </w:rPr>
        <w:t>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5" w:name="_Hlk71994379"/>
      <w:r>
        <w:rPr>
          <w:rFonts w:hint="eastAsia" w:ascii="宋体" w:hAnsi="宋体"/>
          <w:szCs w:val="21"/>
        </w:rPr>
        <w:t>对通用条款的补充内容及其他关键信息</w:t>
      </w:r>
      <w:bookmarkEnd w:id="5"/>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w:t>
      </w:r>
      <w:r>
        <w:rPr>
          <w:rFonts w:hint="eastAsia"/>
          <w:b/>
          <w:sz w:val="24"/>
          <w:lang w:val="en-US" w:eastAsia="zh-CN"/>
        </w:rPr>
        <w:t xml:space="preserve">  </w:t>
      </w:r>
      <w:r>
        <w:rPr>
          <w:rFonts w:hint="eastAsia"/>
          <w:b/>
          <w:sz w:val="24"/>
        </w:rPr>
        <w:t xml:space="preserve">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rPr>
          <w:rFonts w:hint="eastAsia"/>
        </w:rPr>
      </w:pPr>
      <w:r>
        <w:rPr>
          <w:rFonts w:hint="eastAsia"/>
        </w:rPr>
        <w:t>第十一章  质疑处理</w:t>
      </w:r>
    </w:p>
    <w:p>
      <w:pPr>
        <w:pStyle w:val="2"/>
        <w:rPr>
          <w:rFonts w:hint="eastAsia"/>
        </w:rPr>
      </w:pPr>
    </w:p>
    <w:p>
      <w:pPr>
        <w:pStyle w:val="36"/>
        <w:rPr>
          <w:rFonts w:hint="eastAsia"/>
        </w:rPr>
      </w:pPr>
    </w:p>
    <w:p>
      <w:pPr>
        <w:pStyle w:val="36"/>
        <w:rPr>
          <w:rFonts w:hint="eastAsia"/>
        </w:rPr>
      </w:pPr>
    </w:p>
    <w:p>
      <w:pPr>
        <w:pStyle w:val="2"/>
        <w:rPr>
          <w:rFonts w:hint="eastAsia"/>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bookmarkEnd w:id="4"/>
    <w:p>
      <w:pPr>
        <w:pStyle w:val="3"/>
        <w:rPr>
          <w:color w:val="FF0000"/>
          <w:sz w:val="24"/>
        </w:rPr>
      </w:pPr>
      <w:bookmarkStart w:id="6" w:name="bt项目管理班子配备情况"/>
      <w:bookmarkEnd w:id="6"/>
      <w:bookmarkStart w:id="7" w:name="bt商务标投标文件格式"/>
      <w:bookmarkEnd w:id="7"/>
      <w:bookmarkStart w:id="8" w:name="bt投标报价汇总表"/>
      <w:bookmarkEnd w:id="8"/>
      <w:bookmarkStart w:id="9" w:name="bt投标人须知"/>
      <w:bookmarkEnd w:id="9"/>
      <w:bookmarkStart w:id="10" w:name="bt投标人情况介绍"/>
      <w:bookmarkEnd w:id="10"/>
      <w:bookmarkStart w:id="11" w:name="合同格式"/>
      <w:bookmarkEnd w:id="11"/>
      <w:bookmarkStart w:id="12" w:name="bt合同条款及格式"/>
      <w:bookmarkEnd w:id="12"/>
      <w:bookmarkStart w:id="13" w:name="bt技术标投标文件格式"/>
      <w:bookmarkEnd w:id="13"/>
      <w:bookmarkStart w:id="14" w:name="bt投标文件签署授权委托书"/>
      <w:bookmarkEnd w:id="14"/>
      <w:bookmarkStart w:id="15" w:name="bt开标一览表"/>
      <w:bookmarkEnd w:id="15"/>
      <w:bookmarkStart w:id="16" w:name="bt本工程承诺书"/>
      <w:bookmarkEnd w:id="16"/>
      <w:bookmarkStart w:id="17" w:name="bt合同条款"/>
      <w:bookmarkEnd w:id="17"/>
      <w:bookmarkStart w:id="18" w:name="bt其他资料2"/>
      <w:bookmarkEnd w:id="18"/>
      <w:bookmarkStart w:id="19" w:name="bt投标函"/>
      <w:bookmarkEnd w:id="19"/>
      <w:bookmarkStart w:id="20" w:name="bt说明"/>
      <w:bookmarkEnd w:id="20"/>
      <w:bookmarkStart w:id="21" w:name="bt其他资料由投标人自定"/>
      <w:bookmarkEnd w:id="21"/>
      <w:bookmarkStart w:id="22" w:name="bt合同格式"/>
      <w:bookmarkEnd w:id="22"/>
      <w:r>
        <w:rPr>
          <w:rFonts w:hint="eastAsia"/>
        </w:rPr>
        <w:t>第一册  专用条款</w:t>
      </w:r>
    </w:p>
    <w:p>
      <w:pPr>
        <w:pStyle w:val="6"/>
        <w:rPr>
          <w:sz w:val="28"/>
          <w:szCs w:val="28"/>
        </w:rPr>
      </w:pPr>
      <w:r>
        <w:rPr>
          <w:rFonts w:hint="eastAsia"/>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23"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3"/>
      <w:r>
        <w:rPr>
          <w:rFonts w:hint="eastAsia"/>
          <w:lang w:eastAsia="zh-CN"/>
        </w:rPr>
        <w:t>；</w:t>
      </w:r>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w:t>
      </w:r>
      <w:r>
        <w:rPr>
          <w:rFonts w:hint="eastAsia" w:ascii="宋体" w:hAnsi="宋体" w:cs="宋体"/>
          <w:color w:val="FF0000"/>
          <w:kern w:val="0"/>
          <w:szCs w:val="21"/>
          <w:lang w:val="en-US" w:eastAsia="zh-CN"/>
        </w:rPr>
        <w:t>不接受分包</w:t>
      </w:r>
      <w:r>
        <w:rPr>
          <w:rFonts w:hint="eastAsia" w:ascii="宋体" w:hAnsi="宋体" w:cs="宋体"/>
          <w:color w:val="FF0000"/>
          <w:kern w:val="0"/>
          <w:szCs w:val="21"/>
        </w:rPr>
        <w:t>；</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420" w:firstLineChars="2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val="en-US" w:eastAsia="zh-CN"/>
        </w:rPr>
        <w:t>；</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pStyle w:val="54"/>
        <w:ind w:firstLine="420" w:firstLineChars="200"/>
        <w:rPr>
          <w:rFonts w:hint="default"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专门面向中小企业采购：否</w:t>
      </w:r>
      <w:r>
        <w:rPr>
          <w:rFonts w:hint="eastAsia" w:ascii="宋体" w:hAnsi="宋体" w:cs="宋体"/>
          <w:kern w:val="0"/>
          <w:szCs w:val="21"/>
          <w:lang w:eastAsia="zh-CN"/>
        </w:rPr>
        <w:t>。</w:t>
      </w:r>
    </w:p>
    <w:p>
      <w:pPr>
        <w:adjustRightInd/>
        <w:snapToGrid/>
        <w:spacing w:line="240" w:lineRule="auto"/>
        <w:ind w:firstLine="420" w:firstLineChars="200"/>
        <w:jc w:val="left"/>
        <w:rPr>
          <w:rFonts w:hint="eastAsia" w:ascii="Times New Roman" w:hAnsi="宋体" w:eastAsia="宋体" w:cs="Times New Roman"/>
          <w:kern w:val="0"/>
          <w:szCs w:val="21"/>
          <w:highlight w:val="none"/>
        </w:rPr>
      </w:pPr>
      <w:r>
        <w:rPr>
          <w:rFonts w:hint="eastAsia" w:hAnsi="宋体"/>
          <w:b w:val="0"/>
          <w:bCs w:val="0"/>
          <w:kern w:val="0"/>
          <w:szCs w:val="21"/>
          <w:highlight w:val="none"/>
          <w:lang w:val="en-US" w:eastAsia="zh-CN"/>
        </w:rPr>
        <w:t>10.</w:t>
      </w:r>
      <w:r>
        <w:rPr>
          <w:rFonts w:hint="eastAsia" w:ascii="Times New Roman" w:hAnsi="宋体" w:eastAsia="宋体" w:cs="Times New Roman"/>
          <w:kern w:val="0"/>
          <w:szCs w:val="21"/>
          <w:highlight w:val="none"/>
        </w:rPr>
        <w:t>投标供应商若为生产企业：所投产品为第二、三类医疗器械的，提供监督管理部门签发的涵盖所投报医疗器械的《医疗器械生产许可证》(有效期内)扫描件，原件备查。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宋体" w:eastAsia="宋体" w:cs="Times New Roman"/>
          <w:kern w:val="0"/>
          <w:szCs w:val="21"/>
          <w:highlight w:val="none"/>
        </w:rPr>
      </w:pPr>
      <w:r>
        <w:rPr>
          <w:rFonts w:hint="eastAsia" w:ascii="Times New Roman" w:hAnsi="宋体" w:eastAsia="宋体" w:cs="Times New Roman"/>
          <w:kern w:val="0"/>
          <w:szCs w:val="21"/>
          <w:highlight w:val="none"/>
        </w:rPr>
        <w:t>投标供应商若为经营企业：所投产品为第二类医疗器械的，提供监督管理部门签发的涵盖所投医疗器械的《医疗器械经营备案凭证》(有效期内)扫描件，原件备查；所投产品为第三类医疗器械的，提供监督管理部门签发的涵盖所投报医疗器械的《医疗器械经营许可证》(有效期内)扫描件，原件备查。</w:t>
      </w:r>
    </w:p>
    <w:p>
      <w:pPr>
        <w:ind w:firstLine="420" w:firstLineChars="200"/>
        <w:rPr>
          <w:rFonts w:hint="eastAsia" w:eastAsia="宋体"/>
          <w:lang w:val="en-US" w:eastAsia="zh-CN"/>
        </w:rPr>
      </w:pP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ind w:firstLine="420" w:firstLineChars="200"/>
        <w:rPr>
          <w:rFonts w:ascii="宋体" w:hAnsi="宋体"/>
        </w:rPr>
      </w:pPr>
    </w:p>
    <w:p>
      <w:pPr>
        <w:ind w:firstLine="442" w:firstLineChars="200"/>
        <w:rPr>
          <w:b/>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p>
      <w:pPr>
        <w:ind w:firstLine="422" w:firstLineChars="200"/>
        <w:rPr>
          <w:b/>
        </w:rPr>
      </w:pPr>
    </w:p>
    <w:p>
      <w:pPr>
        <w:rPr>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pPr>
        <w:pStyle w:val="6"/>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pPr>
        <w:pStyle w:val="6"/>
        <w:spacing w:before="120" w:beforeLines="50" w:after="120" w:afterLines="50"/>
        <w:rPr>
          <w:szCs w:val="24"/>
        </w:rPr>
      </w:pPr>
      <w:bookmarkStart w:id="25" w:name="_Toc60560625"/>
      <w:bookmarkStart w:id="26" w:name="_Toc73518117"/>
      <w:bookmarkStart w:id="27" w:name="_Toc73517639"/>
      <w:bookmarkStart w:id="28" w:name="_Toc60631620"/>
      <w:bookmarkStart w:id="29" w:name="_Toc73521635"/>
      <w:bookmarkStart w:id="30" w:name="_Toc101074876"/>
      <w:bookmarkStart w:id="31" w:name="_Toc100052364"/>
      <w:bookmarkStart w:id="32" w:name="_Toc73521547"/>
      <w:r>
        <w:rPr>
          <w:rFonts w:hint="eastAsia"/>
          <w:szCs w:val="24"/>
        </w:rPr>
        <w:t>一、对通用条款的补充内容</w:t>
      </w:r>
    </w:p>
    <w:bookmarkEnd w:id="25"/>
    <w:bookmarkEnd w:id="26"/>
    <w:bookmarkEnd w:id="27"/>
    <w:bookmarkEnd w:id="28"/>
    <w:bookmarkEnd w:id="29"/>
    <w:bookmarkEnd w:id="30"/>
    <w:bookmarkEnd w:id="31"/>
    <w:bookmarkEnd w:id="32"/>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bookmarkStart w:id="33" w:name="_Hlk72218097"/>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Theme="minorEastAsia" w:hAnsiTheme="minorEastAsia" w:eastAsiaTheme="minorEastAsia" w:cstheme="minorEastAsia"/>
                <w:szCs w:val="21"/>
              </w:rPr>
              <w:t>深圳市</w:t>
            </w:r>
            <w:r>
              <w:rPr>
                <w:rFonts w:hint="eastAsia" w:asciiTheme="minorEastAsia" w:hAnsiTheme="minorEastAsia" w:eastAsiaTheme="minorEastAsia" w:cstheme="minorEastAsia"/>
                <w:szCs w:val="21"/>
                <w:lang w:val="en-US" w:eastAsia="zh-CN"/>
              </w:rPr>
              <w:t>第四人民医院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34" w:name="_Hlk71664860"/>
            <w:r>
              <w:rPr>
                <w:rFonts w:hint="eastAsia" w:ascii="宋体" w:hAnsi="宋体"/>
              </w:rPr>
              <w:t>样品、现场演示、方案讲解</w:t>
            </w:r>
            <w:bookmarkEnd w:id="34"/>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货到指定地点、安装验收合格、供应商提供全额发票并将5%合同价款作为履约保证金汇入采购方指定账户，采购方付100%货款。免费保修期满后并在无质量问题情况下且经需方确认后，由需方退还供方5％履约保证金。</w:t>
            </w:r>
          </w:p>
        </w:tc>
      </w:tr>
    </w:tbl>
    <w:p>
      <w:pPr>
        <w:rPr>
          <w:b/>
        </w:rPr>
      </w:pPr>
      <w:r>
        <w:rPr>
          <w:rFonts w:hint="eastAsia"/>
          <w:szCs w:val="21"/>
        </w:rPr>
        <w:t>备注：本表是通用条款相关条款的补充和明确，如与通用条款内容相冲突的，以本表为准。</w:t>
      </w:r>
    </w:p>
    <w:bookmarkEnd w:id="33"/>
    <w:p>
      <w:pPr>
        <w:pStyle w:val="6"/>
        <w:spacing w:before="120" w:beforeLines="50" w:after="120" w:afterLines="50"/>
        <w:rPr>
          <w:szCs w:val="24"/>
        </w:rPr>
      </w:pPr>
      <w:bookmarkStart w:id="35" w:name="_Hlk72218117"/>
      <w:r>
        <w:rPr>
          <w:rFonts w:hint="eastAsia"/>
          <w:szCs w:val="24"/>
        </w:rPr>
        <w:t>二、其他关键信息</w:t>
      </w:r>
    </w:p>
    <w:p>
      <w:pPr>
        <w:ind w:firstLine="422" w:firstLineChars="200"/>
        <w:rPr>
          <w:b/>
          <w:bCs/>
        </w:rPr>
      </w:pPr>
      <w:bookmarkStart w:id="36" w:name="_Hlk72579427"/>
      <w:r>
        <w:rPr>
          <w:rFonts w:hint="eastAsia"/>
          <w:b/>
          <w:bCs/>
        </w:rPr>
        <w:t>（一）与“对通用条款的补充内容”章节相关的事项</w:t>
      </w:r>
    </w:p>
    <w:p>
      <w:pPr>
        <w:spacing w:line="276" w:lineRule="auto"/>
        <w:jc w:val="left"/>
        <w:rPr>
          <w:rFonts w:asciiTheme="minorEastAsia" w:hAnsiTheme="minorEastAsia" w:eastAsiaTheme="minorEastAsia"/>
          <w:b/>
          <w:kern w:val="0"/>
          <w:szCs w:val="20"/>
        </w:rPr>
      </w:pPr>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2339" w:type="pct"/>
          </w:tcPr>
          <w:p>
            <w:pPr>
              <w:jc w:val="center"/>
            </w:pPr>
            <w:r>
              <w:rPr>
                <w:rFonts w:hint="eastAsia"/>
              </w:rPr>
              <w:t>评标方法</w:t>
            </w:r>
          </w:p>
        </w:tc>
        <w:tc>
          <w:tcPr>
            <w:tcW w:w="2660" w:type="pct"/>
          </w:tcPr>
          <w:p>
            <w:pPr>
              <w:jc w:val="center"/>
              <w:rPr>
                <w:rFonts w:hint="default" w:eastAsia="宋体"/>
                <w:lang w:val="en-US" w:eastAsia="zh-CN"/>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候选中标供应商家数</w:t>
            </w:r>
          </w:p>
        </w:tc>
        <w:tc>
          <w:tcPr>
            <w:tcW w:w="2660" w:type="pct"/>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中标供应商家数</w:t>
            </w:r>
          </w:p>
        </w:tc>
        <w:tc>
          <w:tcPr>
            <w:tcW w:w="2660" w:type="pct"/>
          </w:tcPr>
          <w:p>
            <w:pPr>
              <w:jc w:val="center"/>
            </w:pPr>
            <w:r>
              <w:rPr>
                <w:rFonts w:hint="eastAsia"/>
              </w:rPr>
              <w:t>1</w:t>
            </w:r>
          </w:p>
        </w:tc>
      </w:tr>
    </w:tbl>
    <w:p>
      <w:pPr>
        <w:pStyle w:val="36"/>
      </w:pPr>
    </w:p>
    <w:p>
      <w:pPr>
        <w:ind w:firstLine="422" w:firstLineChars="200"/>
        <w:rPr>
          <w:rFonts w:hint="eastAsia"/>
          <w:b/>
        </w:rPr>
      </w:pPr>
    </w:p>
    <w:p>
      <w:pPr>
        <w:ind w:firstLine="422" w:firstLineChars="200"/>
        <w:rPr>
          <w:rFonts w:hint="eastAsia"/>
          <w:b/>
        </w:rPr>
      </w:pPr>
    </w:p>
    <w:p>
      <w:pPr>
        <w:ind w:firstLine="422" w:firstLineChars="200"/>
        <w:rPr>
          <w:b/>
        </w:rPr>
      </w:pPr>
      <w:r>
        <w:rPr>
          <w:rFonts w:hint="eastAsia"/>
          <w:b/>
        </w:rPr>
        <w:t>（二）其他事项</w:t>
      </w:r>
      <w:bookmarkEnd w:id="36"/>
    </w:p>
    <w:p>
      <w:pPr>
        <w:ind w:firstLine="422" w:firstLineChars="200"/>
        <w:rPr>
          <w:rFonts w:hint="default" w:eastAsia="宋体"/>
          <w:b/>
          <w:bCs/>
          <w:lang w:val="en-US" w:eastAsia="zh-CN"/>
        </w:rPr>
      </w:pPr>
      <w:r>
        <w:rPr>
          <w:b/>
          <w:bCs/>
        </w:rPr>
        <w:t>1</w:t>
      </w:r>
      <w:r>
        <w:rPr>
          <w:rFonts w:hint="eastAsia"/>
          <w:b/>
          <w:bCs/>
        </w:rPr>
        <w:t>、</w:t>
      </w:r>
      <w:r>
        <w:rPr>
          <w:rFonts w:hint="eastAsia"/>
          <w:b/>
          <w:bCs/>
          <w:lang w:val="en-US" w:eastAsia="zh-CN"/>
        </w:rPr>
        <w:t>关于享受</w:t>
      </w:r>
      <w:r>
        <w:rPr>
          <w:rFonts w:hint="eastAsia"/>
          <w:b/>
          <w:bCs/>
        </w:rPr>
        <w:t>优惠政策的主体</w:t>
      </w:r>
      <w:r>
        <w:rPr>
          <w:rFonts w:hint="eastAsia"/>
          <w:b/>
          <w:bCs/>
          <w:lang w:eastAsia="zh-CN"/>
        </w:rPr>
        <w:t>、</w:t>
      </w:r>
      <w:r>
        <w:rPr>
          <w:rFonts w:hint="eastAsia"/>
          <w:b/>
          <w:bCs/>
        </w:rPr>
        <w:t>价格扣除比例</w:t>
      </w:r>
      <w:r>
        <w:rPr>
          <w:rFonts w:hint="eastAsia"/>
          <w:b/>
          <w:bCs/>
          <w:lang w:val="en-US" w:eastAsia="zh-CN"/>
        </w:rPr>
        <w:t>及采购标的所属行业的说明</w:t>
      </w:r>
    </w:p>
    <w:p>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pPr>
        <w:ind w:firstLine="420" w:firstLineChars="200"/>
      </w:pPr>
      <w:r>
        <w:rPr>
          <w:rFonts w:hint="eastAsia"/>
          <w:lang w:eastAsia="zh-CN"/>
        </w:rPr>
        <w:t>（</w:t>
      </w:r>
      <w:r>
        <w:rPr>
          <w:rFonts w:hint="eastAsia"/>
          <w:lang w:val="en-US" w:eastAsia="zh-CN"/>
        </w:rPr>
        <w:t>2</w:t>
      </w:r>
      <w:r>
        <w:rPr>
          <w:rFonts w:hint="eastAsia"/>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lang w:val="en-US" w:eastAsia="zh-CN"/>
        </w:rPr>
        <w:t>10</w:t>
      </w:r>
      <w:r>
        <w:rPr>
          <w:rFonts w:hint="eastAsia"/>
          <w:color w:val="FF0000"/>
          <w:u w:val="none"/>
          <w:lang w:val="en-US" w:eastAsia="zh-CN"/>
        </w:rPr>
        <w:t xml:space="preserve"> </w:t>
      </w:r>
      <w:r>
        <w:rPr>
          <w:color w:val="FF0000"/>
          <w:u w:val="none"/>
        </w:rPr>
        <w:t>%</w:t>
      </w:r>
      <w:r>
        <w:rPr>
          <w:rFonts w:hint="eastAsia"/>
        </w:rPr>
        <w:t>的扣除，用扣除后的价格参与评审。满足多项优惠政策的</w:t>
      </w:r>
      <w:r>
        <w:rPr>
          <w:rFonts w:hint="eastAsia"/>
          <w:lang w:val="en-US" w:eastAsia="zh-CN"/>
        </w:rPr>
        <w:t>供应商</w:t>
      </w:r>
      <w:r>
        <w:rPr>
          <w:rFonts w:hint="eastAsia"/>
        </w:rPr>
        <w:t>，不重复享受多项价格扣除政策。</w:t>
      </w:r>
    </w:p>
    <w:p>
      <w:pPr>
        <w:ind w:firstLine="420" w:firstLineChars="200"/>
      </w:pPr>
      <w:r>
        <w:rPr>
          <w:rFonts w:hint="eastAsia"/>
        </w:rPr>
        <w:t>备注：（a）</w:t>
      </w:r>
      <w:r>
        <w:rPr>
          <w:rFonts w:hint="eastAsia"/>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37"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货物制造商</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rPr>
        <w:t>所属行业应当与采购标的所属行业相一致</w:t>
      </w:r>
      <w:r>
        <w:rPr>
          <w:rFonts w:hint="eastAsia" w:asciiTheme="minorEastAsia" w:hAnsiTheme="minorEastAsia" w:eastAsiaTheme="minorEastAsia" w:cstheme="minorEastAsia"/>
          <w:b/>
          <w:bCs/>
          <w:color w:val="FF0000"/>
          <w:sz w:val="21"/>
          <w:szCs w:val="21"/>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以招标文件第一册第三章用户需求书“货物清单明细”的“标的所属行业”一栏为准</w:t>
      </w:r>
      <w:r>
        <w:rPr>
          <w:rFonts w:hint="eastAsia" w:asciiTheme="minorEastAsia" w:hAnsiTheme="minorEastAsia" w:eastAsiaTheme="minorEastAsia" w:cstheme="minorEastAsia"/>
          <w:b/>
          <w:bCs/>
          <w:color w:val="FF0000"/>
          <w:sz w:val="21"/>
          <w:szCs w:val="21"/>
        </w:rPr>
        <w:t>。</w:t>
      </w:r>
      <w:bookmarkEnd w:id="37"/>
    </w:p>
    <w:p>
      <w:pPr>
        <w:ind w:firstLine="420" w:firstLineChars="200"/>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color w:val="FF0000"/>
        </w:rPr>
      </w:pPr>
      <w:r>
        <w:rPr>
          <w:rFonts w:hint="eastAsia"/>
        </w:rPr>
        <w:t>（</w:t>
      </w:r>
      <w:r>
        <w:rPr>
          <w:rFonts w:hint="eastAsia"/>
          <w:lang w:val="en-US" w:eastAsia="zh-CN"/>
        </w:rPr>
        <w:t>5</w:t>
      </w:r>
      <w:r>
        <w:rPr>
          <w:rFonts w:hint="eastAsia"/>
        </w:rPr>
        <w:t>）享受价格扣除获得政府采购合同的，小微企业不得将合同分包给大中型企业。</w:t>
      </w:r>
    </w:p>
    <w:p>
      <w:pPr>
        <w:ind w:firstLine="422" w:firstLineChars="200"/>
        <w:rPr>
          <w:rFonts w:hint="eastAsia"/>
          <w:b/>
          <w:bCs/>
          <w:lang w:val="en-US" w:eastAsia="zh-CN"/>
        </w:rPr>
      </w:pPr>
      <w:r>
        <w:rPr>
          <w:rFonts w:hint="eastAsia"/>
          <w:b/>
          <w:bCs/>
          <w:lang w:val="en-US" w:eastAsia="zh-CN"/>
        </w:rPr>
        <w:t>2、本项目为代理服务项目，将向中标（成交）供应商收取代理服务费。</w:t>
      </w:r>
    </w:p>
    <w:p>
      <w:pPr>
        <w:ind w:firstLine="420" w:firstLineChars="200"/>
      </w:pPr>
      <w:r>
        <w:rPr>
          <w:rFonts w:hint="eastAsia"/>
        </w:rPr>
        <w:t>中标</w:t>
      </w:r>
      <w:r>
        <w:rPr>
          <w:rFonts w:hint="eastAsia"/>
          <w:lang w:eastAsia="zh-CN"/>
        </w:rPr>
        <w:t>（</w:t>
      </w:r>
      <w:r>
        <w:rPr>
          <w:rFonts w:hint="eastAsia"/>
          <w:lang w:val="en-US" w:eastAsia="zh-CN"/>
        </w:rPr>
        <w:t>成交</w:t>
      </w:r>
      <w:r>
        <w:rPr>
          <w:rFonts w:hint="eastAsia"/>
          <w:lang w:eastAsia="zh-CN"/>
        </w:rPr>
        <w:t>）</w:t>
      </w:r>
      <w:r>
        <w:rPr>
          <w:rFonts w:hint="eastAsia"/>
        </w:rPr>
        <w:t>供应商在领取《中标</w:t>
      </w:r>
      <w:r>
        <w:rPr>
          <w:rFonts w:hint="eastAsia"/>
          <w:lang w:eastAsia="zh-CN"/>
        </w:rPr>
        <w:t>（</w:t>
      </w:r>
      <w:r>
        <w:rPr>
          <w:rFonts w:hint="eastAsia"/>
          <w:lang w:val="en-US" w:eastAsia="zh-CN"/>
        </w:rPr>
        <w:t>成交</w:t>
      </w:r>
      <w:r>
        <w:rPr>
          <w:rFonts w:hint="eastAsia"/>
          <w:lang w:eastAsia="zh-CN"/>
        </w:rPr>
        <w:t>）</w:t>
      </w:r>
      <w:r>
        <w:rPr>
          <w:rFonts w:hint="eastAsia"/>
        </w:rPr>
        <w:t>通知书》之前须向深圳公共资源交易中心（深圳交易集团有限公司</w:t>
      </w:r>
      <w:r>
        <w:rPr>
          <w:rFonts w:hint="eastAsia"/>
          <w:lang w:val="en-US" w:eastAsia="zh-CN"/>
        </w:rPr>
        <w:t>政府采购业务</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lang w:val="en-US" w:eastAsia="zh-CN"/>
        </w:rPr>
        <w:t>下列</w:t>
      </w:r>
      <w:r>
        <w:rPr>
          <w:rFonts w:hint="eastAsia"/>
        </w:rPr>
        <w:t>标准收取。</w:t>
      </w:r>
      <w:r>
        <w:rPr>
          <w:rFonts w:hint="eastAsia"/>
          <w:b/>
          <w:color w:val="FF0000"/>
        </w:rPr>
        <w:t>本项目类型为货物采购：</w:t>
      </w:r>
    </w:p>
    <w:p>
      <w:pPr>
        <w:ind w:firstLine="420" w:firstLineChars="200"/>
      </w:pPr>
      <w:r>
        <w:rPr>
          <w:rFonts w:hint="eastAsia"/>
        </w:rPr>
        <w:t>（</w:t>
      </w:r>
      <w:r>
        <w:rPr>
          <w:rFonts w:hint="eastAsia"/>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lang w:val="en-US" w:eastAsia="zh-CN"/>
        </w:rPr>
        <w:t>中标（</w:t>
      </w:r>
      <w:r>
        <w:rPr>
          <w:rFonts w:hint="eastAsia"/>
        </w:rPr>
        <w:t>成交</w:t>
      </w:r>
      <w:r>
        <w:rPr>
          <w:rFonts w:hint="eastAsia"/>
          <w:lang w:eastAsia="zh-CN"/>
        </w:rPr>
        <w:t>）</w:t>
      </w:r>
      <w:r>
        <w:rPr>
          <w:rFonts w:hint="eastAsia"/>
        </w:rPr>
        <w:t>金额作为计算基数，按差额定率累进法计算。</w:t>
      </w:r>
    </w:p>
    <w:p>
      <w:pPr>
        <w:ind w:firstLine="420" w:firstLineChars="200"/>
      </w:pPr>
      <w:r>
        <w:rPr>
          <w:rFonts w:hint="eastAsia"/>
        </w:rPr>
        <w:t>（</w:t>
      </w:r>
      <w:r>
        <w:rPr>
          <w:rFonts w:hint="eastAsia"/>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lang w:eastAsia="zh-CN"/>
        </w:rPr>
        <w:t>（</w:t>
      </w:r>
      <w:r>
        <w:rPr>
          <w:rFonts w:hint="eastAsia"/>
          <w:lang w:val="en-US" w:eastAsia="zh-CN"/>
        </w:rPr>
        <w:t>成交</w:t>
      </w:r>
      <w:r>
        <w:rPr>
          <w:rFonts w:hint="eastAsia"/>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w:t>
      </w:r>
      <w:r>
        <w:rPr>
          <w:rFonts w:hint="eastAsia"/>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lang w:eastAsia="zh-CN"/>
        </w:rPr>
        <w:t>（</w:t>
      </w:r>
      <w:r>
        <w:rPr>
          <w:rFonts w:hint="eastAsia"/>
          <w:lang w:val="en-US" w:eastAsia="zh-CN"/>
        </w:rPr>
        <w:t>付款</w:t>
      </w:r>
      <w:r>
        <w:rPr>
          <w:rFonts w:hint="eastAsia"/>
          <w:lang w:eastAsia="zh-CN"/>
        </w:rPr>
        <w:t>）</w:t>
      </w:r>
      <w:r>
        <w:rPr>
          <w:rFonts w:hint="eastAsia"/>
        </w:rPr>
        <w:t>通知书执行。</w:t>
      </w:r>
    </w:p>
    <w:p>
      <w:pPr>
        <w:pStyle w:val="2"/>
        <w:rPr>
          <w:b/>
        </w:rPr>
      </w:pPr>
    </w:p>
    <w:p>
      <w:pPr>
        <w:pStyle w:val="36"/>
        <w:rPr>
          <w:b/>
        </w:rPr>
      </w:pPr>
    </w:p>
    <w:p>
      <w:pPr>
        <w:pStyle w:val="36"/>
        <w:rPr>
          <w:b/>
        </w:rPr>
      </w:pPr>
    </w:p>
    <w:p>
      <w:pPr>
        <w:pStyle w:val="36"/>
        <w:rPr>
          <w:b/>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bookmarkEnd w:id="35"/>
    <w:p>
      <w:pPr>
        <w:pStyle w:val="6"/>
        <w:rPr>
          <w:sz w:val="28"/>
          <w:szCs w:val="28"/>
        </w:rPr>
      </w:pPr>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4551"/>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9" w:type="pct"/>
            <w:vAlign w:val="center"/>
          </w:tcPr>
          <w:p>
            <w:pPr>
              <w:jc w:val="center"/>
              <w:rPr>
                <w:bCs/>
                <w:szCs w:val="21"/>
              </w:rPr>
            </w:pPr>
            <w:r>
              <w:rPr>
                <w:rFonts w:hint="eastAsia"/>
                <w:bCs/>
                <w:szCs w:val="21"/>
              </w:rPr>
              <w:t>序号</w:t>
            </w:r>
          </w:p>
        </w:tc>
        <w:tc>
          <w:tcPr>
            <w:tcW w:w="2668" w:type="pct"/>
            <w:vAlign w:val="center"/>
          </w:tcPr>
          <w:p>
            <w:pPr>
              <w:jc w:val="center"/>
              <w:rPr>
                <w:bCs/>
                <w:szCs w:val="21"/>
              </w:rPr>
            </w:pPr>
            <w:r>
              <w:rPr>
                <w:rFonts w:hint="eastAsia"/>
                <w:bCs/>
                <w:szCs w:val="21"/>
              </w:rPr>
              <w:t>采购项目名称</w:t>
            </w:r>
          </w:p>
        </w:tc>
        <w:tc>
          <w:tcPr>
            <w:tcW w:w="1902" w:type="pct"/>
            <w:vAlign w:val="center"/>
          </w:tcPr>
          <w:p>
            <w:pPr>
              <w:jc w:val="center"/>
              <w:rPr>
                <w:b/>
                <w:bCs/>
                <w:color w:val="FF0000"/>
                <w:szCs w:val="21"/>
              </w:rPr>
            </w:pPr>
            <w:r>
              <w:rPr>
                <w:rFonts w:hint="eastAsia"/>
                <w:b/>
                <w:bCs/>
                <w:color w:val="FF000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9" w:type="pct"/>
            <w:vAlign w:val="center"/>
          </w:tcPr>
          <w:p>
            <w:pPr>
              <w:jc w:val="center"/>
              <w:rPr>
                <w:bCs/>
                <w:color w:val="FF0000"/>
                <w:szCs w:val="21"/>
              </w:rPr>
            </w:pPr>
            <w:r>
              <w:rPr>
                <w:rFonts w:hint="eastAsia"/>
                <w:bCs/>
                <w:color w:val="FF0000"/>
                <w:szCs w:val="21"/>
              </w:rPr>
              <w:t>1</w:t>
            </w:r>
          </w:p>
        </w:tc>
        <w:tc>
          <w:tcPr>
            <w:tcW w:w="2668" w:type="pct"/>
            <w:vAlign w:val="center"/>
          </w:tcPr>
          <w:p>
            <w:pPr>
              <w:jc w:val="center"/>
              <w:rPr>
                <w:b/>
                <w:bCs/>
                <w:color w:val="FF0000"/>
                <w:szCs w:val="21"/>
              </w:rPr>
            </w:pPr>
            <w:r>
              <w:rPr>
                <w:rFonts w:hint="eastAsia"/>
                <w:b/>
                <w:bCs/>
                <w:color w:val="FF0000"/>
                <w:szCs w:val="21"/>
              </w:rPr>
              <w:t>深圳市第四人民医院2025年病床一批采购项目</w:t>
            </w:r>
          </w:p>
        </w:tc>
        <w:tc>
          <w:tcPr>
            <w:tcW w:w="1902" w:type="pct"/>
            <w:vAlign w:val="center"/>
          </w:tcPr>
          <w:p>
            <w:pPr>
              <w:jc w:val="center"/>
              <w:rPr>
                <w:bCs/>
                <w:color w:val="FF0000"/>
                <w:szCs w:val="21"/>
              </w:rPr>
            </w:pPr>
            <w:r>
              <w:rPr>
                <w:rFonts w:hint="eastAsia" w:asciiTheme="minorEastAsia" w:hAnsiTheme="minorEastAsia" w:eastAsiaTheme="minorEastAsia" w:cstheme="minorEastAsia"/>
                <w:bCs/>
                <w:szCs w:val="21"/>
              </w:rPr>
              <w:t>245,000.00</w:t>
            </w:r>
          </w:p>
        </w:tc>
      </w:tr>
    </w:tbl>
    <w:p>
      <w:pPr>
        <w:rPr>
          <w:rFonts w:ascii="宋体" w:hAnsi="宋体"/>
          <w:b/>
          <w:color w:val="FF0000"/>
          <w:szCs w:val="21"/>
        </w:rPr>
      </w:pPr>
    </w:p>
    <w:p>
      <w:pPr>
        <w:rPr>
          <w:rFonts w:ascii="宋体" w:hAnsi="宋体"/>
          <w:b/>
          <w:color w:val="FF0000"/>
          <w:szCs w:val="21"/>
        </w:rPr>
      </w:pPr>
    </w:p>
    <w:p>
      <w:pPr>
        <w:pStyle w:val="6"/>
        <w:spacing w:before="120" w:beforeLines="50" w:after="120" w:afterLines="50"/>
        <w:rPr>
          <w:szCs w:val="24"/>
        </w:rPr>
      </w:pPr>
      <w:bookmarkStart w:id="38" w:name="_Hlk72258617"/>
      <w:r>
        <w:rPr>
          <w:rFonts w:hint="eastAsia"/>
          <w:szCs w:val="24"/>
        </w:rPr>
        <w:t>二、</w:t>
      </w:r>
      <w:bookmarkStart w:id="39" w:name="_Hlk72073432"/>
      <w:r>
        <w:rPr>
          <w:rFonts w:hint="eastAsia"/>
          <w:szCs w:val="24"/>
        </w:rPr>
        <w:t>货物需求明细</w:t>
      </w:r>
      <w:bookmarkEnd w:id="39"/>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754"/>
        <w:gridCol w:w="703"/>
        <w:gridCol w:w="638"/>
        <w:gridCol w:w="1189"/>
        <w:gridCol w:w="1177"/>
        <w:gridCol w:w="128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vAlign w:val="center"/>
          </w:tcPr>
          <w:p>
            <w:pPr>
              <w:jc w:val="center"/>
              <w:rPr>
                <w:bCs/>
                <w:szCs w:val="21"/>
              </w:rPr>
            </w:pPr>
            <w:r>
              <w:rPr>
                <w:rFonts w:hint="eastAsia"/>
                <w:bCs/>
                <w:szCs w:val="21"/>
              </w:rPr>
              <w:t>序号</w:t>
            </w:r>
          </w:p>
        </w:tc>
        <w:tc>
          <w:tcPr>
            <w:tcW w:w="1028" w:type="pct"/>
            <w:vAlign w:val="center"/>
          </w:tcPr>
          <w:p>
            <w:pPr>
              <w:jc w:val="center"/>
              <w:rPr>
                <w:bCs/>
                <w:szCs w:val="21"/>
              </w:rPr>
            </w:pPr>
            <w:r>
              <w:rPr>
                <w:rFonts w:hint="eastAsia"/>
                <w:bCs/>
                <w:szCs w:val="21"/>
              </w:rPr>
              <w:t>货物名称（标的名称）</w:t>
            </w:r>
          </w:p>
        </w:tc>
        <w:tc>
          <w:tcPr>
            <w:tcW w:w="412" w:type="pct"/>
            <w:vAlign w:val="center"/>
          </w:tcPr>
          <w:p>
            <w:pPr>
              <w:jc w:val="center"/>
              <w:rPr>
                <w:bCs/>
                <w:szCs w:val="21"/>
              </w:rPr>
            </w:pPr>
            <w:r>
              <w:rPr>
                <w:rFonts w:hint="eastAsia"/>
                <w:bCs/>
                <w:szCs w:val="21"/>
              </w:rPr>
              <w:t>数量</w:t>
            </w:r>
          </w:p>
        </w:tc>
        <w:tc>
          <w:tcPr>
            <w:tcW w:w="374" w:type="pct"/>
            <w:vAlign w:val="center"/>
          </w:tcPr>
          <w:p>
            <w:pPr>
              <w:jc w:val="center"/>
              <w:rPr>
                <w:bCs/>
                <w:szCs w:val="21"/>
              </w:rPr>
            </w:pPr>
            <w:r>
              <w:rPr>
                <w:rFonts w:hint="eastAsia"/>
                <w:bCs/>
                <w:szCs w:val="21"/>
              </w:rPr>
              <w:t>单位</w:t>
            </w:r>
          </w:p>
        </w:tc>
        <w:tc>
          <w:tcPr>
            <w:tcW w:w="697" w:type="pct"/>
            <w:vAlign w:val="center"/>
          </w:tcPr>
          <w:p>
            <w:pPr>
              <w:jc w:val="center"/>
              <w:rPr>
                <w:rFonts w:hint="default" w:eastAsia="宋体"/>
                <w:b/>
                <w:bCs/>
                <w:color w:val="FF0000"/>
                <w:szCs w:val="21"/>
                <w:lang w:val="en-US" w:eastAsia="zh-CN"/>
              </w:rPr>
            </w:pPr>
            <w:r>
              <w:rPr>
                <w:rFonts w:hint="eastAsia"/>
                <w:b/>
                <w:bCs/>
                <w:color w:val="FF0000"/>
                <w:szCs w:val="21"/>
                <w:lang w:val="en-US" w:eastAsia="zh-CN"/>
              </w:rPr>
              <w:t>是否接受进口</w:t>
            </w:r>
          </w:p>
        </w:tc>
        <w:tc>
          <w:tcPr>
            <w:tcW w:w="690" w:type="pct"/>
            <w:vAlign w:val="center"/>
          </w:tcPr>
          <w:p>
            <w:pPr>
              <w:jc w:val="center"/>
              <w:rPr>
                <w:rFonts w:hint="default"/>
                <w:b/>
                <w:bCs/>
                <w:color w:val="FF0000"/>
                <w:szCs w:val="21"/>
                <w:lang w:val="en-US" w:eastAsia="zh-CN"/>
              </w:rPr>
            </w:pPr>
            <w:r>
              <w:rPr>
                <w:rFonts w:hint="eastAsia"/>
                <w:b/>
                <w:bCs/>
                <w:color w:val="FF0000"/>
                <w:szCs w:val="21"/>
                <w:lang w:val="en-US" w:eastAsia="zh-CN"/>
              </w:rPr>
              <w:t>是否专门面向中小企业</w:t>
            </w:r>
          </w:p>
        </w:tc>
        <w:tc>
          <w:tcPr>
            <w:tcW w:w="755" w:type="pct"/>
            <w:vAlign w:val="center"/>
          </w:tcPr>
          <w:p>
            <w:pPr>
              <w:jc w:val="center"/>
              <w:rPr>
                <w:rFonts w:hint="default"/>
                <w:b/>
                <w:bCs/>
                <w:color w:val="FF0000"/>
                <w:szCs w:val="21"/>
                <w:lang w:val="en-US" w:eastAsia="zh-CN"/>
              </w:rPr>
            </w:pPr>
            <w:r>
              <w:rPr>
                <w:rFonts w:hint="eastAsia"/>
                <w:b/>
                <w:bCs/>
                <w:color w:val="FF0000"/>
                <w:szCs w:val="21"/>
                <w:lang w:val="en-US" w:eastAsia="zh-CN"/>
              </w:rPr>
              <w:t>标的所属行业</w:t>
            </w:r>
          </w:p>
        </w:tc>
        <w:tc>
          <w:tcPr>
            <w:tcW w:w="755" w:type="pct"/>
            <w:vAlign w:val="center"/>
          </w:tcPr>
          <w:p>
            <w:pPr>
              <w:jc w:val="center"/>
              <w:rPr>
                <w:rFonts w:hint="eastAsia"/>
                <w:b/>
                <w:bCs/>
                <w:color w:val="FF0000"/>
                <w:szCs w:val="21"/>
                <w:lang w:val="en-US" w:eastAsia="zh-CN"/>
              </w:rPr>
            </w:pPr>
            <w:r>
              <w:rPr>
                <w:rFonts w:hint="eastAsia" w:asciiTheme="minorEastAsia" w:hAnsiTheme="minorEastAsia" w:eastAsiaTheme="minorEastAsia" w:cstheme="minorEastAsia"/>
                <w:b/>
                <w:bCs/>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vAlign w:val="center"/>
          </w:tcPr>
          <w:p>
            <w:pPr>
              <w:jc w:val="center"/>
              <w:rPr>
                <w:bCs/>
                <w:szCs w:val="21"/>
              </w:rPr>
            </w:pPr>
            <w:r>
              <w:rPr>
                <w:rFonts w:hint="eastAsia"/>
                <w:bCs/>
                <w:szCs w:val="21"/>
              </w:rPr>
              <w:t>1</w:t>
            </w:r>
          </w:p>
        </w:tc>
        <w:tc>
          <w:tcPr>
            <w:tcW w:w="1028" w:type="pct"/>
            <w:vAlign w:val="center"/>
          </w:tcPr>
          <w:p>
            <w:pPr>
              <w:widowControl/>
              <w:jc w:val="center"/>
              <w:textAlignment w:val="center"/>
              <w:rPr>
                <w:bCs/>
                <w:szCs w:val="21"/>
              </w:rPr>
            </w:pPr>
            <w:r>
              <w:rPr>
                <w:rFonts w:hint="eastAsia" w:asciiTheme="minorEastAsia" w:hAnsiTheme="minorEastAsia" w:eastAsiaTheme="minorEastAsia" w:cstheme="minorEastAsia"/>
                <w:kern w:val="0"/>
                <w:szCs w:val="21"/>
              </w:rPr>
              <w:t>手动三摇病床</w:t>
            </w:r>
          </w:p>
        </w:tc>
        <w:tc>
          <w:tcPr>
            <w:tcW w:w="412" w:type="pct"/>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Cs w:val="21"/>
                <w:lang w:bidi="ar"/>
              </w:rPr>
              <w:t>50</w:t>
            </w:r>
          </w:p>
        </w:tc>
        <w:tc>
          <w:tcPr>
            <w:tcW w:w="374" w:type="pct"/>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Cs w:val="21"/>
                <w:lang w:bidi="ar"/>
              </w:rPr>
              <w:t>套</w:t>
            </w:r>
          </w:p>
        </w:tc>
        <w:tc>
          <w:tcPr>
            <w:tcW w:w="697" w:type="pct"/>
            <w:vAlign w:val="center"/>
          </w:tcPr>
          <w:p>
            <w:pPr>
              <w:jc w:val="center"/>
              <w:rPr>
                <w:b/>
                <w:bCs/>
                <w:color w:val="FF0000"/>
                <w:szCs w:val="21"/>
              </w:rPr>
            </w:pPr>
            <w:r>
              <w:rPr>
                <w:rFonts w:hint="eastAsia"/>
                <w:b/>
                <w:bCs/>
                <w:szCs w:val="21"/>
              </w:rPr>
              <w:t>拒绝进口</w:t>
            </w:r>
          </w:p>
        </w:tc>
        <w:tc>
          <w:tcPr>
            <w:tcW w:w="690" w:type="pct"/>
            <w:vAlign w:val="center"/>
          </w:tcPr>
          <w:p>
            <w:pPr>
              <w:jc w:val="center"/>
              <w:rPr>
                <w:rFonts w:hint="eastAsia" w:eastAsia="宋体"/>
                <w:b/>
                <w:bCs/>
                <w:color w:val="FF0000"/>
                <w:szCs w:val="21"/>
                <w:lang w:val="en-US" w:eastAsia="zh-CN"/>
              </w:rPr>
            </w:pPr>
            <w:r>
              <w:rPr>
                <w:rFonts w:hint="eastAsia"/>
                <w:b/>
                <w:bCs/>
                <w:color w:val="FF0000"/>
                <w:szCs w:val="21"/>
                <w:lang w:val="en-US" w:eastAsia="zh-CN"/>
              </w:rPr>
              <w:t>否</w:t>
            </w:r>
          </w:p>
        </w:tc>
        <w:tc>
          <w:tcPr>
            <w:tcW w:w="755" w:type="pct"/>
            <w:vAlign w:val="center"/>
          </w:tcPr>
          <w:p>
            <w:pPr>
              <w:jc w:val="center"/>
              <w:rPr>
                <w:rFonts w:hint="eastAsia" w:eastAsia="宋体"/>
                <w:b/>
                <w:bCs/>
                <w:color w:val="FF0000"/>
                <w:szCs w:val="21"/>
                <w:lang w:val="en-US" w:eastAsia="zh-CN"/>
              </w:rPr>
            </w:pPr>
            <w:r>
              <w:rPr>
                <w:rFonts w:hint="eastAsia"/>
                <w:b/>
                <w:bCs/>
                <w:color w:val="FF0000"/>
                <w:szCs w:val="21"/>
                <w:lang w:val="en-US" w:eastAsia="zh-CN"/>
              </w:rPr>
              <w:t>工业</w:t>
            </w:r>
          </w:p>
        </w:tc>
        <w:tc>
          <w:tcPr>
            <w:tcW w:w="755" w:type="pct"/>
            <w:vAlign w:val="center"/>
          </w:tcPr>
          <w:p>
            <w:pPr>
              <w:widowControl/>
              <w:jc w:val="right"/>
              <w:textAlignment w:val="center"/>
              <w:rPr>
                <w:b/>
                <w:bCs/>
                <w:color w:val="FF0000"/>
                <w:szCs w:val="21"/>
              </w:rPr>
            </w:pPr>
            <w:r>
              <w:rPr>
                <w:rFonts w:hint="eastAsia" w:asciiTheme="minorEastAsia" w:hAnsiTheme="minorEastAsia" w:eastAsiaTheme="minorEastAsia" w:cstheme="minorEastAsia"/>
                <w:color w:val="000000"/>
                <w:kern w:val="0"/>
                <w:szCs w:val="21"/>
                <w:lang w:bidi="ar"/>
              </w:rPr>
              <w:t>235,000.00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vAlign w:val="center"/>
          </w:tcPr>
          <w:p>
            <w:pPr>
              <w:jc w:val="center"/>
              <w:rPr>
                <w:bCs/>
                <w:szCs w:val="21"/>
              </w:rPr>
            </w:pPr>
            <w:r>
              <w:rPr>
                <w:rFonts w:hint="eastAsia"/>
                <w:bCs/>
                <w:szCs w:val="21"/>
              </w:rPr>
              <w:t>2</w:t>
            </w:r>
          </w:p>
        </w:tc>
        <w:tc>
          <w:tcPr>
            <w:tcW w:w="1028" w:type="pct"/>
            <w:vAlign w:val="center"/>
          </w:tcPr>
          <w:p>
            <w:pPr>
              <w:widowControl/>
              <w:jc w:val="center"/>
              <w:textAlignment w:val="center"/>
              <w:rPr>
                <w:bCs/>
                <w:szCs w:val="21"/>
              </w:rPr>
            </w:pPr>
            <w:r>
              <w:rPr>
                <w:rFonts w:hint="eastAsia" w:asciiTheme="minorEastAsia" w:hAnsiTheme="minorEastAsia" w:eastAsiaTheme="minorEastAsia" w:cstheme="minorEastAsia"/>
                <w:szCs w:val="21"/>
              </w:rPr>
              <w:t>床头柜</w:t>
            </w:r>
          </w:p>
        </w:tc>
        <w:tc>
          <w:tcPr>
            <w:tcW w:w="412" w:type="pct"/>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Cs w:val="21"/>
                <w:lang w:bidi="ar"/>
              </w:rPr>
              <w:t>20</w:t>
            </w:r>
          </w:p>
        </w:tc>
        <w:tc>
          <w:tcPr>
            <w:tcW w:w="374" w:type="pct"/>
            <w:vAlign w:val="center"/>
          </w:tcPr>
          <w:p>
            <w:pPr>
              <w:widowControl/>
              <w:jc w:val="center"/>
              <w:textAlignment w:val="center"/>
              <w:rPr>
                <w:rFonts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Cs w:val="21"/>
                <w:lang w:bidi="ar"/>
              </w:rPr>
              <w:t>个</w:t>
            </w:r>
          </w:p>
        </w:tc>
        <w:tc>
          <w:tcPr>
            <w:tcW w:w="697" w:type="pct"/>
            <w:vAlign w:val="center"/>
          </w:tcPr>
          <w:p>
            <w:pPr>
              <w:jc w:val="center"/>
              <w:rPr>
                <w:b/>
                <w:bCs/>
                <w:color w:val="FF0000"/>
                <w:szCs w:val="21"/>
              </w:rPr>
            </w:pPr>
            <w:r>
              <w:rPr>
                <w:rFonts w:hint="eastAsia"/>
                <w:b/>
                <w:bCs/>
                <w:szCs w:val="21"/>
              </w:rPr>
              <w:t>拒绝进口</w:t>
            </w:r>
          </w:p>
        </w:tc>
        <w:tc>
          <w:tcPr>
            <w:tcW w:w="690" w:type="pct"/>
            <w:vAlign w:val="center"/>
          </w:tcPr>
          <w:p>
            <w:pPr>
              <w:jc w:val="center"/>
              <w:rPr>
                <w:rFonts w:hint="eastAsia"/>
                <w:b/>
                <w:bCs/>
                <w:color w:val="FF0000"/>
                <w:szCs w:val="21"/>
              </w:rPr>
            </w:pPr>
            <w:r>
              <w:rPr>
                <w:rFonts w:hint="eastAsia"/>
                <w:b/>
                <w:bCs/>
                <w:color w:val="FF0000"/>
                <w:szCs w:val="21"/>
                <w:lang w:val="en-US" w:eastAsia="zh-CN"/>
              </w:rPr>
              <w:t>否</w:t>
            </w:r>
          </w:p>
        </w:tc>
        <w:tc>
          <w:tcPr>
            <w:tcW w:w="755" w:type="pct"/>
            <w:vAlign w:val="center"/>
          </w:tcPr>
          <w:p>
            <w:pPr>
              <w:jc w:val="center"/>
              <w:rPr>
                <w:rFonts w:hint="eastAsia"/>
                <w:b/>
                <w:bCs/>
                <w:color w:val="FF0000"/>
                <w:szCs w:val="21"/>
              </w:rPr>
            </w:pPr>
            <w:r>
              <w:rPr>
                <w:rFonts w:hint="eastAsia"/>
                <w:b/>
                <w:bCs/>
                <w:color w:val="FF0000"/>
                <w:szCs w:val="21"/>
                <w:lang w:val="en-US" w:eastAsia="zh-CN"/>
              </w:rPr>
              <w:t>工业</w:t>
            </w:r>
          </w:p>
        </w:tc>
        <w:tc>
          <w:tcPr>
            <w:tcW w:w="755" w:type="pct"/>
            <w:vAlign w:val="center"/>
          </w:tcPr>
          <w:p>
            <w:pPr>
              <w:widowControl/>
              <w:jc w:val="right"/>
              <w:textAlignment w:val="center"/>
              <w:rPr>
                <w:rFonts w:hint="eastAsia"/>
                <w:b/>
                <w:bCs/>
                <w:color w:val="FF0000"/>
                <w:szCs w:val="21"/>
              </w:rPr>
            </w:pPr>
            <w:r>
              <w:rPr>
                <w:rFonts w:hint="eastAsia" w:asciiTheme="minorEastAsia" w:hAnsiTheme="minorEastAsia" w:eastAsiaTheme="minorEastAsia" w:cstheme="minorEastAsia"/>
                <w:color w:val="000000"/>
                <w:kern w:val="0"/>
                <w:szCs w:val="21"/>
                <w:lang w:bidi="ar"/>
              </w:rPr>
              <w:t>10,000.00</w:t>
            </w:r>
          </w:p>
        </w:tc>
      </w:tr>
    </w:tbl>
    <w:p>
      <w:pPr>
        <w:ind w:firstLine="422" w:firstLineChars="200"/>
        <w:rPr>
          <w:rFonts w:hint="eastAsia" w:ascii="宋体" w:hAnsi="宋体"/>
          <w:b/>
          <w:color w:val="FF0000"/>
          <w:szCs w:val="21"/>
        </w:rPr>
      </w:pPr>
    </w:p>
    <w:p>
      <w:pPr>
        <w:ind w:firstLine="422" w:firstLineChars="200"/>
        <w:rPr>
          <w:rFonts w:hint="eastAsia" w:ascii="宋体" w:hAnsi="宋体"/>
          <w:b/>
          <w:color w:val="FF0000"/>
          <w:szCs w:val="21"/>
        </w:rPr>
      </w:pPr>
    </w:p>
    <w:p>
      <w:pPr>
        <w:ind w:firstLine="422" w:firstLineChars="200"/>
        <w:rPr>
          <w:rFonts w:ascii="宋体" w:hAnsi="宋体"/>
          <w:b/>
          <w:color w:val="FF0000"/>
          <w:szCs w:val="21"/>
        </w:rPr>
      </w:pPr>
      <w:r>
        <w:rPr>
          <w:rFonts w:hint="eastAsia" w:ascii="宋体" w:hAnsi="宋体"/>
          <w:b/>
          <w:color w:val="FF0000"/>
          <w:szCs w:val="21"/>
        </w:rPr>
        <w:t>备注：1.</w:t>
      </w:r>
      <w:r>
        <w:rPr>
          <w:rFonts w:hint="eastAsia" w:ascii="宋体" w:hAnsi="宋体"/>
          <w:b/>
          <w:color w:val="FF0000"/>
          <w:szCs w:val="21"/>
          <w:lang w:eastAsia="zh-CN"/>
        </w:rPr>
        <w:t>“是否接受进口”</w:t>
      </w:r>
      <w:r>
        <w:rPr>
          <w:rFonts w:hint="eastAsia" w:ascii="宋体" w:hAnsi="宋体"/>
          <w:b/>
          <w:color w:val="FF0000"/>
          <w:szCs w:val="21"/>
        </w:rPr>
        <w:t>栏注明“拒绝进口”的产品不接受投标人选用进口产品参与投标；注明“接受进口”的产品允许投标人选用进口产品参与投标，但不排斥国内产品。</w:t>
      </w:r>
    </w:p>
    <w:p>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22" w:firstLineChars="200"/>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手动三摇病床   </w:t>
      </w:r>
      <w:r>
        <w:rPr>
          <w:rFonts w:hint="eastAsia" w:ascii="宋体" w:hAnsi="宋体"/>
          <w:b/>
          <w:color w:val="FF0000"/>
          <w:szCs w:val="21"/>
        </w:rPr>
        <w:t>。</w:t>
      </w:r>
    </w:p>
    <w:bookmarkEnd w:id="38"/>
    <w:p>
      <w:pPr>
        <w:rPr>
          <w:rFonts w:ascii="宋体" w:hAnsi="宋体"/>
          <w:b/>
          <w:color w:val="FF0000"/>
          <w:szCs w:val="21"/>
        </w:rPr>
      </w:pPr>
    </w:p>
    <w:p>
      <w:pPr>
        <w:pStyle w:val="2"/>
      </w:pPr>
    </w:p>
    <w:p>
      <w:pPr>
        <w:pStyle w:val="6"/>
        <w:spacing w:before="120" w:beforeLines="50" w:after="120" w:afterLines="50"/>
        <w:rPr>
          <w:sz w:val="28"/>
          <w:szCs w:val="28"/>
        </w:rPr>
      </w:pPr>
      <w:bookmarkStart w:id="40" w:name="_Toc128884461"/>
      <w:r>
        <w:rPr>
          <w:rFonts w:hint="eastAsia"/>
          <w:sz w:val="28"/>
          <w:szCs w:val="28"/>
        </w:rPr>
        <w:t>三、实质性条款</w:t>
      </w:r>
    </w:p>
    <w:tbl>
      <w:tblPr>
        <w:tblStyle w:val="4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698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Align w:val="center"/>
          </w:tcPr>
          <w:p>
            <w:pPr>
              <w:adjustRightInd w:val="0"/>
              <w:snapToGrid w:val="0"/>
              <w:spacing w:line="360" w:lineRule="auto"/>
              <w:jc w:val="both"/>
              <w:rPr>
                <w:rFonts w:hint="eastAsia" w:ascii="宋体" w:hAnsi="宋体" w:eastAsia="宋体"/>
                <w:kern w:val="0"/>
                <w:szCs w:val="21"/>
                <w:lang w:eastAsia="zh-CN"/>
              </w:rPr>
            </w:pPr>
            <w:r>
              <w:rPr>
                <w:rFonts w:hint="eastAsia" w:ascii="宋体" w:hAnsi="宋体"/>
                <w:kern w:val="0"/>
                <w:szCs w:val="21"/>
                <w:lang w:val="en-US" w:eastAsia="zh-CN"/>
              </w:rPr>
              <w:t>1</w:t>
            </w:r>
          </w:p>
        </w:tc>
        <w:tc>
          <w:tcPr>
            <w:tcW w:w="6984" w:type="dxa"/>
            <w:vAlign w:val="center"/>
          </w:tcPr>
          <w:p>
            <w:pPr>
              <w:keepNext w:val="0"/>
              <w:keepLines w:val="0"/>
              <w:widowControl/>
              <w:suppressLineNumbers w:val="0"/>
              <w:jc w:val="left"/>
              <w:textAlignment w:val="center"/>
              <w:rPr>
                <w:rFonts w:hint="eastAsia" w:ascii="Times New Roman" w:hAnsi="宋体" w:eastAsia="宋体" w:cs="Times New Roman"/>
                <w:kern w:val="0"/>
                <w:sz w:val="21"/>
                <w:szCs w:val="21"/>
                <w:lang w:val="en-US" w:eastAsia="zh-CN" w:bidi="ar-SA"/>
              </w:rPr>
            </w:pPr>
            <w:r>
              <w:rPr>
                <w:rFonts w:hint="eastAsia"/>
                <w:lang w:eastAsia="zh-CN"/>
              </w:rPr>
              <w:t>（</w:t>
            </w:r>
            <w:r>
              <w:rPr>
                <w:rFonts w:hint="eastAsia"/>
              </w:rPr>
              <w:t>手动三摇病床</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1、床体：        1张*50；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2、床头尾板：    1对*50；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3、欧式护栏：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4、双面中控轮：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5、引流袋挂钩：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6、床垫防滑装置：3个*50；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7、角度显示器：  1对*50；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8、输液架插座：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9、床头柜：      1个*50；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10、移动餐桌：   1张*50；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11、点滴架：     2根*50；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12、移动餐桌板： 1张*50；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both"/>
              <w:rPr>
                <w:rFonts w:hint="default" w:ascii="宋体" w:hAnsi="宋体"/>
                <w:kern w:val="0"/>
                <w:szCs w:val="21"/>
                <w:lang w:val="en-US" w:eastAsia="zh-CN"/>
              </w:rPr>
            </w:pPr>
            <w:r>
              <w:rPr>
                <w:rFonts w:hint="eastAsia" w:ascii="宋体" w:hAnsi="宋体"/>
                <w:kern w:val="0"/>
                <w:szCs w:val="21"/>
                <w:lang w:val="en-US" w:eastAsia="zh-CN"/>
              </w:rPr>
              <w:t>2</w:t>
            </w:r>
          </w:p>
        </w:tc>
        <w:tc>
          <w:tcPr>
            <w:tcW w:w="69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r>
              <w:rPr>
                <w:rFonts w:hint="eastAsia" w:hAnsi="宋体"/>
                <w:kern w:val="0"/>
                <w:szCs w:val="21"/>
              </w:rPr>
              <w:t>床头柜</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1、床头柜：1台*20；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2、脚轮：  4个*20。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both"/>
              <w:rPr>
                <w:rFonts w:hint="default" w:ascii="宋体" w:hAnsi="宋体"/>
                <w:kern w:val="0"/>
                <w:szCs w:val="21"/>
                <w:lang w:val="en-US" w:eastAsia="zh-CN"/>
              </w:rPr>
            </w:pPr>
            <w:r>
              <w:rPr>
                <w:rFonts w:hint="eastAsia" w:ascii="宋体" w:hAnsi="宋体"/>
                <w:kern w:val="0"/>
                <w:szCs w:val="21"/>
                <w:lang w:val="en-US" w:eastAsia="zh-CN"/>
              </w:rPr>
              <w:t>3</w:t>
            </w:r>
          </w:p>
        </w:tc>
        <w:tc>
          <w:tcPr>
            <w:tcW w:w="6984" w:type="dxa"/>
            <w:vAlign w:val="center"/>
          </w:tcPr>
          <w:p>
            <w:pPr>
              <w:keepNext w:val="0"/>
              <w:keepLines w:val="0"/>
              <w:widowControl/>
              <w:suppressLineNumbers w:val="0"/>
              <w:jc w:val="left"/>
              <w:textAlignment w:val="center"/>
              <w:rPr>
                <w:rFonts w:hint="eastAsia"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★1.1各投标人应在投标文件中列明各主机、配件和易耗品的保修期限，并承诺提供整机免费保修期 5 年，终身维修。保修期内，年度定期预防性维护保养次数应不少于 2 次。保修期内免费更换零配件、免工时费。设备在保修期内需由原厂进行维修，出原厂维修报告。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both"/>
              <w:rPr>
                <w:rFonts w:hint="default" w:ascii="宋体" w:hAnsi="宋体"/>
                <w:kern w:val="0"/>
                <w:szCs w:val="21"/>
                <w:lang w:val="en-US" w:eastAsia="zh-CN"/>
              </w:rPr>
            </w:pPr>
            <w:r>
              <w:rPr>
                <w:rFonts w:hint="eastAsia" w:ascii="宋体" w:hAnsi="宋体"/>
                <w:kern w:val="0"/>
                <w:szCs w:val="21"/>
                <w:lang w:val="en-US" w:eastAsia="zh-CN"/>
              </w:rPr>
              <w:t>4</w:t>
            </w:r>
          </w:p>
        </w:tc>
        <w:tc>
          <w:tcPr>
            <w:tcW w:w="6984" w:type="dxa"/>
            <w:vAlign w:val="center"/>
          </w:tcPr>
          <w:p>
            <w:pPr>
              <w:keepNext w:val="0"/>
              <w:keepLines w:val="0"/>
              <w:widowControl/>
              <w:suppressLineNumbers w:val="0"/>
              <w:jc w:val="left"/>
              <w:textAlignment w:val="center"/>
              <w:rPr>
                <w:rFonts w:hint="eastAsia"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★1.2由设备制造商提供售后服务， 1 小时内响应， 8 小时维修到位（不可抗力情况除外）。在规定时间内不能解决问题，应在 72 小时内免费提供相同档次的设备给医院代用。如不能修复：由公司售后服务部派人带故障机回公司检修处理，修复期间仪器由厂家安排使用。每两个月对仪器进行巡访，并对仪器进行维护和保养。LIS /HIS接入技术配合。消耗品和零配件供应及时，特殊情况下可提供备用机。承诺中标后在广东省内有相应的维修机构，并出具承诺书（格式自拟）。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both"/>
              <w:rPr>
                <w:rFonts w:hint="default" w:ascii="宋体" w:hAnsi="宋体"/>
                <w:kern w:val="0"/>
                <w:szCs w:val="21"/>
                <w:lang w:val="en-US" w:eastAsia="zh-CN"/>
              </w:rPr>
            </w:pPr>
            <w:r>
              <w:rPr>
                <w:rFonts w:hint="eastAsia" w:ascii="宋体" w:hAnsi="宋体"/>
                <w:kern w:val="0"/>
                <w:szCs w:val="21"/>
                <w:lang w:val="en-US" w:eastAsia="zh-CN"/>
              </w:rPr>
              <w:t>5</w:t>
            </w:r>
          </w:p>
        </w:tc>
        <w:tc>
          <w:tcPr>
            <w:tcW w:w="6984" w:type="dxa"/>
            <w:vAlign w:val="center"/>
          </w:tcPr>
          <w:p>
            <w:pPr>
              <w:keepNext w:val="0"/>
              <w:keepLines w:val="0"/>
              <w:widowControl/>
              <w:suppressLineNumbers w:val="0"/>
              <w:jc w:val="left"/>
              <w:textAlignment w:val="center"/>
              <w:rPr>
                <w:rFonts w:hint="eastAsia"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★1.1投标人在签订合同之日起30天（日历日）内交货。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both"/>
              <w:rPr>
                <w:rFonts w:hint="default" w:ascii="宋体" w:hAnsi="宋体"/>
                <w:kern w:val="0"/>
                <w:szCs w:val="21"/>
                <w:lang w:val="en-US" w:eastAsia="zh-CN"/>
              </w:rPr>
            </w:pPr>
            <w:r>
              <w:rPr>
                <w:rFonts w:hint="eastAsia" w:ascii="宋体" w:hAnsi="宋体"/>
                <w:kern w:val="0"/>
                <w:szCs w:val="21"/>
                <w:lang w:val="en-US" w:eastAsia="zh-CN"/>
              </w:rPr>
              <w:t>6</w:t>
            </w:r>
          </w:p>
        </w:tc>
        <w:tc>
          <w:tcPr>
            <w:tcW w:w="6984" w:type="dxa"/>
            <w:vAlign w:val="center"/>
          </w:tcPr>
          <w:p>
            <w:pPr>
              <w:keepNext w:val="0"/>
              <w:keepLines w:val="0"/>
              <w:widowControl/>
              <w:suppressLineNumbers w:val="0"/>
              <w:jc w:val="left"/>
              <w:textAlignment w:val="center"/>
              <w:rPr>
                <w:rFonts w:hint="eastAsia"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★1.3提供的所有货物必须为全新、经检验合格的产品，所有货物出厂时间不超过18个月（出厂日期至到货日期之间应不超过18个月），非积压和陈旧产品，否则无条件退货。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adjustRightInd w:val="0"/>
              <w:snapToGrid w:val="0"/>
              <w:spacing w:line="360" w:lineRule="auto"/>
              <w:jc w:val="both"/>
              <w:rPr>
                <w:rFonts w:hint="default" w:ascii="宋体" w:hAnsi="宋体"/>
                <w:kern w:val="0"/>
                <w:szCs w:val="21"/>
                <w:lang w:val="en-US" w:eastAsia="zh-CN"/>
              </w:rPr>
            </w:pPr>
            <w:r>
              <w:rPr>
                <w:rFonts w:hint="eastAsia" w:ascii="宋体" w:hAnsi="宋体"/>
                <w:kern w:val="0"/>
                <w:szCs w:val="21"/>
                <w:lang w:val="en-US" w:eastAsia="zh-CN"/>
              </w:rPr>
              <w:t>7</w:t>
            </w:r>
          </w:p>
        </w:tc>
        <w:tc>
          <w:tcPr>
            <w:tcW w:w="6984" w:type="dxa"/>
            <w:vAlign w:val="center"/>
          </w:tcPr>
          <w:p>
            <w:pPr>
              <w:keepNext w:val="0"/>
              <w:keepLines w:val="0"/>
              <w:widowControl/>
              <w:suppressLineNumbers w:val="0"/>
              <w:jc w:val="left"/>
              <w:textAlignment w:val="center"/>
              <w:rPr>
                <w:rFonts w:hint="eastAsia" w:ascii="宋体" w:hAnsi="宋体" w:eastAsia="宋体"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5.1货到指定地点、安装验收合格、供应商提供全额发票并将5%合同价款作为履约保证金汇入采购方指定账户，采购方付100%货款。免费保修期满后并在无质量问题情况下且经需方确认后，由需方退还供方5％履约保证金。</w:t>
            </w:r>
          </w:p>
        </w:tc>
      </w:tr>
    </w:tbl>
    <w:p>
      <w:pPr>
        <w:rPr>
          <w:b/>
        </w:rPr>
      </w:pPr>
      <w:r>
        <w:rPr>
          <w:rFonts w:hint="eastAsia"/>
          <w:b/>
        </w:rPr>
        <w:t>注：上表所列内容为不可负偏离条款</w:t>
      </w:r>
      <w:bookmarkEnd w:id="40"/>
      <w:r>
        <w:rPr>
          <w:rFonts w:hint="eastAsia"/>
          <w:b/>
        </w:rPr>
        <w:t>，负偏离将视为未实质性满足招标文件要求作投标无效处理。</w:t>
      </w:r>
    </w:p>
    <w:p>
      <w:pPr>
        <w:rPr>
          <w:b/>
          <w:szCs w:val="21"/>
        </w:rPr>
      </w:pPr>
    </w:p>
    <w:p>
      <w:pPr>
        <w:pStyle w:val="2"/>
      </w:pPr>
    </w:p>
    <w:p>
      <w:pPr>
        <w:pStyle w:val="6"/>
        <w:spacing w:before="120" w:beforeLines="50" w:after="120" w:afterLines="50"/>
        <w:rPr>
          <w:sz w:val="28"/>
          <w:szCs w:val="28"/>
        </w:rPr>
      </w:pPr>
      <w:r>
        <w:rPr>
          <w:rFonts w:hint="eastAsia"/>
          <w:sz w:val="28"/>
          <w:szCs w:val="28"/>
        </w:rPr>
        <w:t>四、技术要求</w:t>
      </w:r>
    </w:p>
    <w:p>
      <w:pPr>
        <w:ind w:firstLine="422" w:firstLineChars="200"/>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pPr>
        <w:ind w:firstLine="422" w:firstLineChars="200"/>
        <w:rPr>
          <w:b/>
          <w:szCs w:val="21"/>
        </w:rPr>
      </w:pPr>
      <w:r>
        <w:rPr>
          <w:b/>
          <w:szCs w:val="21"/>
        </w:rPr>
        <w:t>2</w:t>
      </w:r>
      <w:r>
        <w:rPr>
          <w:rFonts w:hint="eastAsia"/>
          <w:b/>
          <w:szCs w:val="21"/>
        </w:rPr>
        <w:t>、带★号条款为不可</w:t>
      </w:r>
      <w:r>
        <w:rPr>
          <w:rFonts w:hint="eastAsia"/>
          <w:b/>
          <w:szCs w:val="21"/>
          <w:lang w:val="en-US" w:eastAsia="zh-CN"/>
        </w:rPr>
        <w:t>负</w:t>
      </w:r>
      <w:r>
        <w:rPr>
          <w:rFonts w:hint="eastAsia"/>
          <w:b/>
          <w:szCs w:val="21"/>
        </w:rPr>
        <w:t>偏离条款，不作为评分准则中的评分内容</w:t>
      </w:r>
      <w:r>
        <w:rPr>
          <w:rFonts w:hint="eastAsia"/>
          <w:b/>
          <w:szCs w:val="21"/>
          <w:lang w:eastAsia="zh-CN"/>
        </w:rPr>
        <w:t>，</w:t>
      </w:r>
      <w:r>
        <w:rPr>
          <w:rFonts w:hint="eastAsia"/>
          <w:b/>
          <w:szCs w:val="21"/>
        </w:rPr>
        <w:t>如未响应或出现负偏离的，将作投标无效处理；带“</w:t>
      </w:r>
      <w:r>
        <w:t>▲</w:t>
      </w:r>
      <w:r>
        <w:rPr>
          <w:rFonts w:hint="eastAsia"/>
          <w:b/>
          <w:szCs w:val="21"/>
        </w:rPr>
        <w:t>”指标项为重要参数条款，负偏离时依相关评分准则内容作重点扣分处理。</w:t>
      </w:r>
    </w:p>
    <w:p>
      <w:pPr>
        <w:ind w:firstLine="422" w:firstLineChars="200"/>
        <w:rPr>
          <w:rFonts w:hint="eastAsia"/>
          <w:b/>
          <w:szCs w:val="21"/>
        </w:rPr>
      </w:pPr>
      <w:r>
        <w:rPr>
          <w:b/>
          <w:szCs w:val="21"/>
        </w:rPr>
        <w:t>3</w:t>
      </w:r>
      <w:r>
        <w:rPr>
          <w:rFonts w:hint="eastAsia"/>
          <w:b/>
          <w:szCs w:val="21"/>
        </w:rPr>
        <w:t>、</w:t>
      </w:r>
      <w:bookmarkStart w:id="41" w:name="_Hlk72585069"/>
      <w:r>
        <w:rPr>
          <w:rFonts w:hint="eastAsia"/>
          <w:b/>
          <w:szCs w:val="21"/>
        </w:rPr>
        <w:t>招标技术要求中，用红色加粗字体标注的指标项均要求提供证明资料；其余指标项未要求提供证明资料，无需提供相关证明资料。</w:t>
      </w:r>
    </w:p>
    <w:p>
      <w:pPr>
        <w:ind w:firstLine="422" w:firstLineChars="200"/>
        <w:rPr>
          <w:rFonts w:hint="eastAsia" w:ascii="Times New Roman" w:hAnsi="Times New Roman" w:eastAsia="宋体" w:cs="Times New Roman"/>
          <w:b/>
          <w:szCs w:val="21"/>
        </w:rPr>
      </w:pPr>
      <w:r>
        <w:rPr>
          <w:rFonts w:hint="eastAsia" w:ascii="Times New Roman" w:hAnsi="Times New Roman" w:eastAsia="宋体" w:cs="Times New Roman"/>
          <w:b/>
          <w:szCs w:val="21"/>
        </w:rPr>
        <w:t>4.涉及区间的技术要求，除特别注明以外，均包含首尾两端本数，所投产品响应数值在招标文件要求的区间范围内即认定为满足该项技术要求，产品参数区间与招标要求不一致的均视为负偏离。例：</w:t>
      </w:r>
    </w:p>
    <w:p>
      <w:pPr>
        <w:ind w:firstLine="422" w:firstLineChars="200"/>
        <w:rPr>
          <w:rFonts w:hint="eastAsia" w:ascii="Times New Roman" w:hAnsi="Times New Roman" w:eastAsia="宋体" w:cs="Times New Roman"/>
          <w:b/>
          <w:szCs w:val="21"/>
        </w:rPr>
      </w:pPr>
      <w:r>
        <w:rPr>
          <w:rFonts w:hint="eastAsia" w:ascii="Times New Roman" w:hAnsi="Times New Roman" w:eastAsia="宋体" w:cs="Times New Roman"/>
          <w:b/>
          <w:szCs w:val="21"/>
        </w:rPr>
        <w:t>（1）“20L”（凡是响应内容与该数值不一致者，均视为负偏离）；</w:t>
      </w:r>
    </w:p>
    <w:p>
      <w:pPr>
        <w:ind w:firstLine="422" w:firstLineChars="200"/>
        <w:rPr>
          <w:rFonts w:hint="eastAsia" w:ascii="Times New Roman" w:hAnsi="Times New Roman" w:eastAsia="宋体" w:cs="Times New Roman"/>
          <w:b/>
          <w:szCs w:val="21"/>
        </w:rPr>
      </w:pPr>
      <w:r>
        <w:rPr>
          <w:rFonts w:hint="eastAsia" w:ascii="Times New Roman" w:hAnsi="Times New Roman" w:eastAsia="宋体" w:cs="Times New Roman"/>
          <w:b/>
          <w:szCs w:val="21"/>
        </w:rPr>
        <w:t>（2）“H≥6m”（凡是响应内容存在小于6m可能情形的均视为负偏离）；</w:t>
      </w:r>
    </w:p>
    <w:p>
      <w:pPr>
        <w:ind w:firstLine="422" w:firstLineChars="200"/>
        <w:rPr>
          <w:rFonts w:hint="eastAsia" w:ascii="Times New Roman" w:hAnsi="Times New Roman" w:eastAsia="宋体" w:cs="Times New Roman"/>
          <w:b/>
          <w:szCs w:val="21"/>
        </w:rPr>
      </w:pPr>
      <w:r>
        <w:rPr>
          <w:rFonts w:hint="eastAsia" w:ascii="Times New Roman" w:hAnsi="Times New Roman" w:eastAsia="宋体" w:cs="Times New Roman"/>
          <w:b/>
          <w:szCs w:val="21"/>
        </w:rPr>
        <w:t>（3）区间要求为0-20ML,只要响应的不是广于等于“0-20ML”，如投标文件响应为 0-15ML、1-12ML 、 9-20ML 、6-21ML 、9ML 等情形均视为负偏离。</w:t>
      </w:r>
    </w:p>
    <w:p>
      <w:pPr>
        <w:widowControl w:val="0"/>
        <w:spacing w:line="240" w:lineRule="auto"/>
        <w:ind w:firstLine="211" w:firstLineChars="100"/>
        <w:jc w:val="both"/>
        <w:rPr>
          <w:rFonts w:hint="eastAsia"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5.相关证明材料的产品名称与招标技术要求的货物名称不一致的，需提供为同种产品的说明；若名称不一致又未提供说明的，由评审委员会判定是否符合文件要求。</w:t>
      </w:r>
    </w:p>
    <w:p>
      <w:pPr>
        <w:pStyle w:val="8"/>
        <w:rPr>
          <w:rFonts w:hint="eastAsia"/>
        </w:rPr>
      </w:pPr>
    </w:p>
    <w:bookmarkEnd w:id="41"/>
    <w:p>
      <w:pPr>
        <w:rPr>
          <w:b/>
          <w:szCs w:val="21"/>
        </w:rPr>
      </w:pP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8"/>
        <w:gridCol w:w="638"/>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429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手动三摇病床：（共50套）</w:t>
            </w: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1、规格：长*宽*高≥2180×1040×（460-700）（mm）；床面内宽≥900mm；床面外宽≤1040mm；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床头床尾板：采用ABS强化塑料一次性注塑成型，厚≥70mm，弧线形欧式款设计，床头床尾板采用插入式装置，具备按压锁定开关，拆卸方便，拆卸后床头床尾框无突出异物，可兼作CPR急救；床尾板外侧有病人信息卡插槽；</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3、摇手：具备隐藏式≥3组摇手，可灵活调节患者背部、腿部体位及整床水平升降；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4、具备摇杆传动升降系统：丝杆采用45#模具钢，全钢传动离合器系统结构，无塑料结构，加装双向到位无极限保护装置、增强使用寿命和安全性能；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5、背部升降范围0-70º±5º，脚部升降范围0-40º±5º，整床升降范围460-700mm，床体承载重量≥240kg；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具备欧式四片护栏，上身护栏与床板保持同步升降，并增加长腿部护栏；气弹簧辅助自动下降，下隐式收藏；上身护栏内嵌机械式角度显示器，具备实时显示背部床板升降角度功能；上身护栏长≥660mm，腿部护栏整体长≥900mm、上端平直面长≥640mm，能放置餐板；上身护栏与腿部护栏的间距范围30±2mm；</w:t>
            </w:r>
            <w:r>
              <w:rPr>
                <w:rFonts w:hint="eastAsia" w:ascii="宋体" w:hAnsi="宋体" w:eastAsia="宋体" w:cs="宋体"/>
                <w:b/>
                <w:bCs/>
                <w:i w:val="0"/>
                <w:iCs w:val="0"/>
                <w:color w:val="FF0000"/>
                <w:kern w:val="0"/>
                <w:sz w:val="21"/>
                <w:szCs w:val="21"/>
                <w:u w:val="none"/>
                <w:lang w:val="en-US" w:eastAsia="zh-CN" w:bidi="ar"/>
              </w:rPr>
              <w:t>（提供护栏实物图片或证明文件）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▲7、床板：采用≥1.0mm冷轧钢板，具备多孔设计，具备防滑功能，具备≥18条加强骨，床面板四侧具有≥2条波浪型加强筋；</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8、床体前后安装防护装置，长≥1040mm；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9、床体四边配备≥4寸内置轴承防撞滚轮；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10、床边具备≥4个点滴架插孔，且可插入蚊帐架，具备≥4个引流挂钩，点滴架不使用时可放置于引流挂钩内，同时可放置引流袋，尿壶等物品；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11、背部床板：采用“V”型双支撑卸力结构，加固≥φ25×2.5×820mm及≥φ32×2.5×845mm两条碳素钢管，增强背部板安全性能；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▲12、具备≥5寸中控脚轮，一脚制动刹车；轮面采用聚氨脂材料，静音耐磨，防缠绕，不生锈；</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13、点滴架：采用手控伸缩双段设计，可调节高度1000mm-1600mm，采用不锈钢材料；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▲14、床体表面涂料具备抗菌、防霉作用；</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床头柜：规格：长*宽*高≥480×480×800mm；使用ABS工程塑料，不能使用二手混合料；具备水壶座、隐藏式毛巾架、隐藏式杂物挂钩、餐桌板（托物板）、抽屉、储物柜；储物柜内中间隔板可调节高度；配带刹尼龙丝扣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▲16、餐桌板：规格：长*宽*高≥880-1050×320×27mm；采用ABS工程塑料注塑成型面板，铝合金伸缩杆；餐板可伸缩；摆放于护栏，可自由调节位置；ABS面板硬度高，易清洁，可用水冲洗；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移动餐桌：规格：长*宽*高≥800×400×（785-1085）mm；具备弹簧助力升降功能；采用ABS桌面，可承受≥30kg的重物；餐桌支架采用铝合金材料，不生锈，不褪色；配尺寸≥2寸万向轮且数量≥4个万向轮，可轻松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3" w:hRule="atLeast"/>
        </w:trPr>
        <w:tc>
          <w:tcPr>
            <w:tcW w:w="33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18</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★配置清单：</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1、床体：        1张*50；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2、床头尾板：    1对*50；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3、欧式护栏：    4个*50；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4、双面中控轮：  4个*50；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5、引流袋挂钩：  4个*50；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6、床垫防滑装置：3个*50；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7、角度显示器：  1对*50；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8、输液架插座：  4个*50；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9、床头柜：      1个*50；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10、移动餐桌：   1张*50；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11、点滴架：     2根*50；</w:t>
            </w:r>
          </w:p>
          <w:p>
            <w:pPr>
              <w:keepNext w:val="0"/>
              <w:keepLines w:val="0"/>
              <w:widowControl/>
              <w:suppressLineNumbers w:val="0"/>
              <w:ind w:firstLineChars="30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12、移动餐桌板： 1张*50；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19</w:t>
            </w:r>
          </w:p>
        </w:tc>
        <w:tc>
          <w:tcPr>
            <w:tcW w:w="3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床头柜</w:t>
            </w: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▲1、规格：长*宽*高≥480×480×800mm；配带刹尼龙丝扣轮；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20</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▲2、使用ABS工程塑料，使用全新材料；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21</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▲3、具备水壶座、隐藏式毛巾架、隐藏式杂物挂钩、餐桌板（托物板）、抽屉、储物柜；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33"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22</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▲4、储物柜内中间隔板可调节高度；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3"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23</w:t>
            </w:r>
          </w:p>
        </w:tc>
        <w:tc>
          <w:tcPr>
            <w:tcW w:w="374" w:type="pct"/>
            <w:vMerge w:val="continue"/>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292" w:type="pct"/>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★配置清单：</w:t>
            </w:r>
          </w:p>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1、床头柜：1台*20；</w:t>
            </w:r>
          </w:p>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2、脚轮：  4个*20。</w:t>
            </w:r>
          </w:p>
        </w:tc>
      </w:tr>
    </w:tbl>
    <w:p>
      <w:pPr>
        <w:rPr>
          <w:b/>
          <w:szCs w:val="21"/>
        </w:rPr>
      </w:pPr>
    </w:p>
    <w:p>
      <w:pPr>
        <w:pStyle w:val="6"/>
        <w:spacing w:before="120" w:beforeLines="50" w:after="120" w:afterLines="50"/>
        <w:rPr>
          <w:sz w:val="28"/>
          <w:szCs w:val="28"/>
        </w:rPr>
      </w:pPr>
      <w:r>
        <w:rPr>
          <w:rFonts w:hint="eastAsia"/>
          <w:sz w:val="28"/>
          <w:szCs w:val="28"/>
        </w:rPr>
        <w:t>五、商务要求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2" w:firstLineChars="200"/>
        <w:rPr>
          <w:b/>
          <w:szCs w:val="21"/>
        </w:rPr>
      </w:pPr>
      <w:r>
        <w:rPr>
          <w:b/>
          <w:szCs w:val="21"/>
        </w:rPr>
        <w:t>2</w:t>
      </w:r>
      <w:r>
        <w:rPr>
          <w:rFonts w:hint="eastAsia"/>
          <w:b/>
          <w:szCs w:val="21"/>
        </w:rPr>
        <w:t>、带★号条款为不可偏离条款，不作为评分准则中的评分内容</w:t>
      </w:r>
      <w:r>
        <w:rPr>
          <w:rFonts w:hint="eastAsia"/>
          <w:b/>
          <w:szCs w:val="21"/>
          <w:lang w:eastAsia="zh-CN"/>
        </w:rPr>
        <w:t>，</w:t>
      </w:r>
      <w:r>
        <w:rPr>
          <w:rFonts w:hint="eastAsia"/>
          <w:b/>
          <w:szCs w:val="21"/>
        </w:rPr>
        <w:t>如未响应或出现负偏离的，将作投标无效处理；带“</w:t>
      </w:r>
      <w:r>
        <w:t>▲</w:t>
      </w:r>
      <w:r>
        <w:rPr>
          <w:rFonts w:hint="eastAsia"/>
          <w:b/>
          <w:szCs w:val="21"/>
        </w:rPr>
        <w:t>”指标项为重要参数，负偏离时依相关评分准则内容作重点扣分处理。</w:t>
      </w:r>
    </w:p>
    <w:tbl>
      <w:tblPr>
        <w:tblStyle w:val="44"/>
        <w:tblW w:w="8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61"/>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261"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目录</w:t>
            </w:r>
          </w:p>
        </w:tc>
        <w:tc>
          <w:tcPr>
            <w:tcW w:w="6252"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33" w:type="dxa"/>
            <w:gridSpan w:val="3"/>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20" w:type="dxa"/>
            <w:vMerge w:val="restart"/>
            <w:vAlign w:val="center"/>
          </w:tcPr>
          <w:p>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1261" w:type="dxa"/>
            <w:vMerge w:val="restart"/>
            <w:vAlign w:val="center"/>
          </w:tcPr>
          <w:p>
            <w:p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维修及维护服务</w:t>
            </w:r>
          </w:p>
        </w:tc>
        <w:tc>
          <w:tcPr>
            <w:tcW w:w="6252" w:type="dxa"/>
          </w:tcPr>
          <w:p>
            <w:pPr>
              <w:pStyle w:val="17"/>
              <w:rPr>
                <w:rFonts w:asciiTheme="minorEastAsia" w:hAnsiTheme="minorEastAsia" w:cstheme="minorEastAsia"/>
                <w:b/>
                <w:sz w:val="21"/>
                <w:szCs w:val="21"/>
              </w:rPr>
            </w:pPr>
            <w:r>
              <w:rPr>
                <w:rFonts w:hint="eastAsia" w:asciiTheme="minorEastAsia" w:hAnsiTheme="minorEastAsia" w:eastAsiaTheme="minorEastAsia" w:cstheme="minorEastAsia"/>
                <w:sz w:val="21"/>
                <w:szCs w:val="21"/>
              </w:rPr>
              <w:t>★1.1各投标人应在投标文件中列明各主机、配件和易耗品的保修期限，并承诺提供整机免费保修期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bCs/>
                <w:sz w:val="21"/>
                <w:szCs w:val="21"/>
                <w:u w:val="single"/>
              </w:rPr>
              <w:t xml:space="preserve">5 </w:t>
            </w:r>
            <w:r>
              <w:rPr>
                <w:rFonts w:hint="eastAsia" w:asciiTheme="minorEastAsia" w:hAnsiTheme="minorEastAsia" w:eastAsiaTheme="minorEastAsia" w:cstheme="minorEastAsia"/>
                <w:sz w:val="21"/>
                <w:szCs w:val="21"/>
              </w:rPr>
              <w:t>年，终身维修。保修期内，年度定期预防性维护保养次数应不少于</w:t>
            </w:r>
            <w:r>
              <w:rPr>
                <w:rFonts w:hint="eastAsia" w:asciiTheme="minorEastAsia" w:hAnsiTheme="minorEastAsia" w:eastAsiaTheme="minorEastAsia" w:cstheme="minorEastAsia"/>
                <w:bCs/>
                <w:sz w:val="21"/>
                <w:szCs w:val="21"/>
                <w:u w:val="single"/>
              </w:rPr>
              <w:t xml:space="preserve"> 2 </w:t>
            </w:r>
            <w:r>
              <w:rPr>
                <w:rFonts w:hint="eastAsia" w:asciiTheme="minorEastAsia" w:hAnsiTheme="minorEastAsia" w:eastAsiaTheme="minorEastAsia" w:cstheme="minorEastAsia"/>
                <w:sz w:val="21"/>
                <w:szCs w:val="21"/>
              </w:rPr>
              <w:t>次。保修期内免费更换零配件、免工时费。设备在保修期内需由原厂进行维修，出原厂维修报告。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0" w:type="dxa"/>
            <w:vMerge w:val="continue"/>
            <w:vAlign w:val="center"/>
          </w:tcPr>
          <w:p>
            <w:pPr>
              <w:spacing w:line="300" w:lineRule="exact"/>
              <w:jc w:val="center"/>
              <w:rPr>
                <w:rFonts w:asciiTheme="minorEastAsia" w:hAnsiTheme="minorEastAsia" w:eastAsiaTheme="minorEastAsia" w:cstheme="minorEastAsia"/>
                <w:b/>
                <w:szCs w:val="21"/>
              </w:rPr>
            </w:pPr>
          </w:p>
        </w:tc>
        <w:tc>
          <w:tcPr>
            <w:tcW w:w="1261" w:type="dxa"/>
            <w:vMerge w:val="continue"/>
            <w:vAlign w:val="center"/>
          </w:tcPr>
          <w:p>
            <w:pPr>
              <w:spacing w:line="300" w:lineRule="exact"/>
              <w:rPr>
                <w:rFonts w:asciiTheme="minorEastAsia" w:hAnsiTheme="minorEastAsia" w:eastAsiaTheme="minorEastAsia" w:cstheme="minorEastAsia"/>
                <w:b/>
                <w:kern w:val="0"/>
                <w:szCs w:val="21"/>
              </w:rPr>
            </w:pPr>
          </w:p>
        </w:tc>
        <w:tc>
          <w:tcPr>
            <w:tcW w:w="6252" w:type="dxa"/>
          </w:tcPr>
          <w:p>
            <w:pPr>
              <w:spacing w:before="100" w:line="36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Cs w:val="21"/>
              </w:rPr>
              <w:t>1.2由设备制造商提供售后服务，</w:t>
            </w:r>
            <w:r>
              <w:rPr>
                <w:rFonts w:hint="eastAsia" w:asciiTheme="minorEastAsia" w:hAnsiTheme="minorEastAsia" w:eastAsiaTheme="minorEastAsia" w:cstheme="minorEastAsia"/>
                <w:bCs/>
                <w:kern w:val="0"/>
                <w:szCs w:val="21"/>
                <w:u w:val="single"/>
              </w:rPr>
              <w:t xml:space="preserve"> 1 </w:t>
            </w:r>
            <w:r>
              <w:rPr>
                <w:rFonts w:hint="eastAsia" w:asciiTheme="minorEastAsia" w:hAnsiTheme="minorEastAsia" w:eastAsiaTheme="minorEastAsia" w:cstheme="minorEastAsia"/>
                <w:kern w:val="0"/>
                <w:szCs w:val="21"/>
              </w:rPr>
              <w:t>小时内响应，</w:t>
            </w:r>
            <w:r>
              <w:rPr>
                <w:rFonts w:hint="eastAsia" w:asciiTheme="minorEastAsia" w:hAnsiTheme="minorEastAsia" w:eastAsiaTheme="minorEastAsia" w:cstheme="minorEastAsia"/>
                <w:bCs/>
                <w:kern w:val="0"/>
                <w:szCs w:val="21"/>
                <w:u w:val="single"/>
              </w:rPr>
              <w:t xml:space="preserve"> 8 </w:t>
            </w:r>
            <w:r>
              <w:rPr>
                <w:rFonts w:hint="eastAsia" w:asciiTheme="minorEastAsia" w:hAnsiTheme="minorEastAsia" w:eastAsiaTheme="minorEastAsia" w:cstheme="minorEastAsia"/>
                <w:kern w:val="0"/>
                <w:szCs w:val="21"/>
              </w:rPr>
              <w:t>小时维修到位（不可抗力情况除外）。在规定时间内不能解决问题，应在</w:t>
            </w:r>
            <w:r>
              <w:rPr>
                <w:rFonts w:hint="eastAsia" w:asciiTheme="minorEastAsia" w:hAnsiTheme="minorEastAsia" w:eastAsiaTheme="minorEastAsia" w:cstheme="minorEastAsia"/>
                <w:kern w:val="0"/>
                <w:szCs w:val="21"/>
                <w:u w:val="single"/>
              </w:rPr>
              <w:t xml:space="preserve"> 72 </w:t>
            </w:r>
            <w:r>
              <w:rPr>
                <w:rFonts w:hint="eastAsia" w:asciiTheme="minorEastAsia" w:hAnsiTheme="minorEastAsia" w:eastAsiaTheme="minorEastAsia" w:cstheme="minorEastAsia"/>
                <w:kern w:val="0"/>
                <w:szCs w:val="21"/>
              </w:rPr>
              <w:t>小时内免费提供相同档次的设备给医院代用。</w:t>
            </w:r>
            <w:r>
              <w:rPr>
                <w:rFonts w:hint="eastAsia" w:asciiTheme="minorEastAsia" w:hAnsiTheme="minorEastAsia" w:eastAsiaTheme="minorEastAsia" w:cstheme="minorEastAsia"/>
                <w:szCs w:val="21"/>
              </w:rPr>
              <w:t>如不能修复：由公司售后服务部派人带故障机回公司检修处理，修复期间仪器由厂家安排使用。每两个月对仪器进行巡访，并对仪器进行维护和保养。</w:t>
            </w:r>
            <w:r>
              <w:rPr>
                <w:rFonts w:hint="eastAsia" w:asciiTheme="minorEastAsia" w:hAnsiTheme="minorEastAsia" w:eastAsiaTheme="minorEastAsia" w:cstheme="minorEastAsia"/>
                <w:color w:val="000000"/>
                <w:szCs w:val="21"/>
              </w:rPr>
              <w:t>LIS /HIS接入技术配合。</w:t>
            </w:r>
            <w:r>
              <w:rPr>
                <w:rFonts w:hint="eastAsia" w:asciiTheme="minorEastAsia" w:hAnsiTheme="minorEastAsia" w:eastAsiaTheme="minorEastAsia" w:cstheme="minorEastAsia"/>
                <w:kern w:val="0"/>
                <w:szCs w:val="21"/>
              </w:rPr>
              <w:t>消耗品和零配件供应及时，特殊情况下可提供备用机。</w:t>
            </w:r>
            <w:r>
              <w:rPr>
                <w:rFonts w:hint="eastAsia" w:asciiTheme="minorEastAsia" w:hAnsiTheme="minorEastAsia" w:eastAsiaTheme="minorEastAsia" w:cstheme="minorEastAsia"/>
                <w:kern w:val="0"/>
                <w:szCs w:val="21"/>
                <w:highlight w:val="yellow"/>
                <w:lang w:val="en-US" w:eastAsia="zh-CN"/>
              </w:rPr>
              <w:t>承诺中标后在</w:t>
            </w:r>
            <w:r>
              <w:rPr>
                <w:rFonts w:hint="eastAsia" w:asciiTheme="minorEastAsia" w:hAnsiTheme="minorEastAsia" w:eastAsiaTheme="minorEastAsia" w:cstheme="minorEastAsia"/>
                <w:kern w:val="0"/>
                <w:szCs w:val="21"/>
                <w:highlight w:val="yellow"/>
              </w:rPr>
              <w:t>广东省内有相应的维修机构，并出具</w:t>
            </w:r>
            <w:r>
              <w:rPr>
                <w:rFonts w:hint="eastAsia" w:asciiTheme="minorEastAsia" w:hAnsiTheme="minorEastAsia" w:eastAsiaTheme="minorEastAsia" w:cstheme="minorEastAsia"/>
                <w:kern w:val="0"/>
                <w:szCs w:val="21"/>
                <w:highlight w:val="yellow"/>
                <w:lang w:val="en-US" w:eastAsia="zh-CN"/>
              </w:rPr>
              <w:t>承诺书（格式自拟）</w:t>
            </w:r>
            <w:r>
              <w:rPr>
                <w:rFonts w:hint="eastAsia" w:asciiTheme="minorEastAsia" w:hAnsiTheme="minorEastAsia" w:eastAsiaTheme="minorEastAsia" w:cstheme="minorEastAsia"/>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0" w:type="dxa"/>
            <w:vMerge w:val="continue"/>
            <w:vAlign w:val="center"/>
          </w:tcPr>
          <w:p>
            <w:pPr>
              <w:spacing w:line="300" w:lineRule="exact"/>
              <w:jc w:val="center"/>
              <w:rPr>
                <w:rFonts w:asciiTheme="minorEastAsia" w:hAnsiTheme="minorEastAsia" w:eastAsiaTheme="minorEastAsia" w:cstheme="minorEastAsia"/>
                <w:b/>
                <w:szCs w:val="21"/>
              </w:rPr>
            </w:pPr>
          </w:p>
        </w:tc>
        <w:tc>
          <w:tcPr>
            <w:tcW w:w="1261" w:type="dxa"/>
            <w:vMerge w:val="continue"/>
            <w:vAlign w:val="center"/>
          </w:tcPr>
          <w:p>
            <w:pPr>
              <w:spacing w:line="300" w:lineRule="exact"/>
              <w:rPr>
                <w:rFonts w:asciiTheme="minorEastAsia" w:hAnsiTheme="minorEastAsia" w:eastAsiaTheme="minorEastAsia" w:cstheme="minorEastAsia"/>
                <w:b/>
                <w:kern w:val="0"/>
                <w:szCs w:val="21"/>
              </w:rPr>
            </w:pPr>
          </w:p>
        </w:tc>
        <w:tc>
          <w:tcPr>
            <w:tcW w:w="6252" w:type="dxa"/>
          </w:tcPr>
          <w:p>
            <w:pPr>
              <w:spacing w:before="100" w:line="3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1.3投标人负责货物的终身维修，保证</w:t>
            </w:r>
            <w:r>
              <w:rPr>
                <w:rFonts w:hint="eastAsia" w:asciiTheme="minorEastAsia" w:hAnsiTheme="minorEastAsia" w:eastAsiaTheme="minorEastAsia" w:cstheme="minorEastAsia"/>
                <w:bCs/>
                <w:kern w:val="0"/>
                <w:szCs w:val="21"/>
                <w:u w:val="single"/>
              </w:rPr>
              <w:t xml:space="preserve"> 10 </w:t>
            </w:r>
            <w:r>
              <w:rPr>
                <w:rFonts w:hint="eastAsia" w:asciiTheme="minorEastAsia" w:hAnsiTheme="minorEastAsia" w:eastAsiaTheme="minorEastAsia" w:cstheme="minorEastAsia"/>
                <w:kern w:val="0"/>
                <w:szCs w:val="21"/>
              </w:rPr>
              <w:t>年以上供应维修配件，如果因机器和配件停产造成设备无法维修者（维修周期同故障处理条款内容），必须无条件免费更换整机保证完好使用。</w:t>
            </w:r>
          </w:p>
          <w:p>
            <w:pPr>
              <w:spacing w:before="100" w:line="36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u w:val="single"/>
              </w:rPr>
              <w:t xml:space="preserve"> 5 </w:t>
            </w:r>
            <w:r>
              <w:rPr>
                <w:rFonts w:hint="eastAsia" w:asciiTheme="minorEastAsia" w:hAnsiTheme="minorEastAsia" w:eastAsiaTheme="minorEastAsia" w:cstheme="minorEastAsia"/>
                <w:kern w:val="0"/>
                <w:szCs w:val="21"/>
              </w:rPr>
              <w:t>年内免费提供软件升级及维保服务,并免费开放设备接口参数，无偿派人配合与医院信息系统的连接工作，直至该设备与医院信息系统可进行完整的数据交换；在设备保修期内，当医院信息系统变更并需要与该设备连接时，需无偿派人配合直至该设备与医院信息系统可进行完整的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0" w:type="dxa"/>
            <w:vMerge w:val="continue"/>
            <w:vAlign w:val="center"/>
          </w:tcPr>
          <w:p>
            <w:pPr>
              <w:spacing w:line="300" w:lineRule="exact"/>
              <w:jc w:val="center"/>
              <w:rPr>
                <w:rFonts w:asciiTheme="minorEastAsia" w:hAnsiTheme="minorEastAsia" w:eastAsiaTheme="minorEastAsia" w:cstheme="minorEastAsia"/>
                <w:b/>
                <w:szCs w:val="21"/>
              </w:rPr>
            </w:pPr>
          </w:p>
        </w:tc>
        <w:tc>
          <w:tcPr>
            <w:tcW w:w="1261" w:type="dxa"/>
            <w:vMerge w:val="continue"/>
            <w:vAlign w:val="center"/>
          </w:tcPr>
          <w:p>
            <w:pPr>
              <w:spacing w:line="300" w:lineRule="exact"/>
              <w:rPr>
                <w:rFonts w:asciiTheme="minorEastAsia" w:hAnsiTheme="minorEastAsia" w:eastAsiaTheme="minorEastAsia" w:cstheme="minorEastAsia"/>
                <w:b/>
                <w:kern w:val="0"/>
                <w:szCs w:val="21"/>
              </w:rPr>
            </w:pPr>
          </w:p>
        </w:tc>
        <w:tc>
          <w:tcPr>
            <w:tcW w:w="6252" w:type="dxa"/>
          </w:tcPr>
          <w:p>
            <w:pPr>
              <w:spacing w:before="100"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1.4投标人负责承担该项目接入院内所有系统所产生的接口（含第三方系统）等一切费用。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0" w:type="dxa"/>
            <w:vMerge w:val="restart"/>
            <w:vAlign w:val="center"/>
          </w:tcPr>
          <w:p>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1261" w:type="dxa"/>
            <w:vMerge w:val="restart"/>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质量保证</w:t>
            </w:r>
          </w:p>
        </w:tc>
        <w:tc>
          <w:tcPr>
            <w:tcW w:w="6252" w:type="dxa"/>
          </w:tcPr>
          <w:p>
            <w:pPr>
              <w:spacing w:line="3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2.1在保修期内, 投标人应确保年开机率在95%以上, 若不能达到此开机率，将作以下处理：a.年开机率在90-95%之间按一赔</w:t>
            </w:r>
            <w:r>
              <w:rPr>
                <w:rFonts w:hint="eastAsia" w:asciiTheme="minorEastAsia" w:hAnsiTheme="minorEastAsia" w:eastAsiaTheme="minorEastAsia" w:cstheme="minorEastAsia"/>
                <w:kern w:val="0"/>
                <w:szCs w:val="21"/>
                <w:u w:val="single"/>
              </w:rPr>
              <w:t xml:space="preserve"> 2 </w:t>
            </w:r>
            <w:r>
              <w:rPr>
                <w:rFonts w:hint="eastAsia" w:asciiTheme="minorEastAsia" w:hAnsiTheme="minorEastAsia" w:eastAsiaTheme="minorEastAsia" w:cstheme="minorEastAsia"/>
                <w:kern w:val="0"/>
                <w:szCs w:val="21"/>
              </w:rPr>
              <w:t>延长保修期；b.年开机率在85-90%之间按一赔</w:t>
            </w:r>
            <w:r>
              <w:rPr>
                <w:rFonts w:hint="eastAsia" w:asciiTheme="minorEastAsia" w:hAnsiTheme="minorEastAsia" w:eastAsiaTheme="minorEastAsia" w:cstheme="minorEastAsia"/>
                <w:kern w:val="0"/>
                <w:szCs w:val="21"/>
                <w:u w:val="single"/>
              </w:rPr>
              <w:t xml:space="preserve"> 5 </w:t>
            </w:r>
            <w:r>
              <w:rPr>
                <w:rFonts w:hint="eastAsia" w:asciiTheme="minorEastAsia" w:hAnsiTheme="minorEastAsia" w:eastAsiaTheme="minorEastAsia" w:cstheme="minorEastAsia"/>
                <w:kern w:val="0"/>
                <w:szCs w:val="21"/>
              </w:rPr>
              <w:t>延长保修期；c.年开机率低于85%，投标人必须无条件更换新机，并重新计算保修期，以及赔偿用户的直接经济损失和间接经济损失。注：年开机率=（365-停机天数）/365）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0" w:type="dxa"/>
            <w:vMerge w:val="continue"/>
            <w:vAlign w:val="center"/>
          </w:tcPr>
          <w:p>
            <w:pPr>
              <w:spacing w:line="300" w:lineRule="exact"/>
              <w:jc w:val="center"/>
              <w:rPr>
                <w:rFonts w:asciiTheme="minorEastAsia" w:hAnsiTheme="minorEastAsia" w:eastAsiaTheme="minorEastAsia" w:cstheme="minorEastAsia"/>
                <w:b/>
                <w:szCs w:val="21"/>
              </w:rPr>
            </w:pPr>
          </w:p>
        </w:tc>
        <w:tc>
          <w:tcPr>
            <w:tcW w:w="1261" w:type="dxa"/>
            <w:vMerge w:val="continue"/>
            <w:vAlign w:val="center"/>
          </w:tcPr>
          <w:p>
            <w:pPr>
              <w:spacing w:line="300" w:lineRule="exact"/>
              <w:jc w:val="center"/>
              <w:rPr>
                <w:rFonts w:asciiTheme="minorEastAsia" w:hAnsiTheme="minorEastAsia" w:eastAsiaTheme="minorEastAsia" w:cstheme="minorEastAsia"/>
                <w:b/>
                <w:kern w:val="0"/>
                <w:szCs w:val="21"/>
              </w:rPr>
            </w:pPr>
          </w:p>
        </w:tc>
        <w:tc>
          <w:tcPr>
            <w:tcW w:w="6252" w:type="dxa"/>
          </w:tcPr>
          <w:p>
            <w:pPr>
              <w:tabs>
                <w:tab w:val="left" w:pos="1815"/>
              </w:tabs>
              <w:spacing w:line="3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2.2保修期到期前一个月内投标人需提供设备运行状态评估报告及过保后设备维护方案，保证提供有效的非现场技术支持服务和联系方式。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33" w:type="dxa"/>
            <w:gridSpan w:val="3"/>
          </w:tcPr>
          <w:p>
            <w:pPr>
              <w:spacing w:line="3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restart"/>
            <w:vAlign w:val="center"/>
          </w:tcPr>
          <w:p>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1261" w:type="dxa"/>
            <w:vMerge w:val="restart"/>
            <w:vAlign w:val="center"/>
          </w:tcPr>
          <w:p>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维修零配件、消耗品和延续保修合同的报价</w:t>
            </w:r>
          </w:p>
        </w:tc>
        <w:tc>
          <w:tcPr>
            <w:tcW w:w="6252" w:type="dxa"/>
          </w:tcPr>
          <w:p>
            <w:pPr>
              <w:spacing w:line="3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1.1由设备制造商提供售后服务，</w:t>
            </w:r>
            <w:r>
              <w:rPr>
                <w:rFonts w:hint="eastAsia" w:asciiTheme="minorEastAsia" w:hAnsiTheme="minorEastAsia" w:eastAsiaTheme="minorEastAsia" w:cstheme="minorEastAsia"/>
                <w:bCs/>
                <w:kern w:val="0"/>
                <w:szCs w:val="21"/>
                <w:u w:val="single"/>
              </w:rPr>
              <w:t xml:space="preserve"> 1 </w:t>
            </w:r>
            <w:r>
              <w:rPr>
                <w:rFonts w:hint="eastAsia" w:asciiTheme="minorEastAsia" w:hAnsiTheme="minorEastAsia" w:eastAsiaTheme="minorEastAsia" w:cstheme="minorEastAsia"/>
                <w:kern w:val="0"/>
                <w:szCs w:val="21"/>
              </w:rPr>
              <w:t>小时内响应，</w:t>
            </w:r>
            <w:r>
              <w:rPr>
                <w:rFonts w:hint="eastAsia" w:asciiTheme="minorEastAsia" w:hAnsiTheme="minorEastAsia" w:eastAsiaTheme="minorEastAsia" w:cstheme="minorEastAsia"/>
                <w:bCs/>
                <w:kern w:val="0"/>
                <w:szCs w:val="21"/>
                <w:u w:val="single"/>
              </w:rPr>
              <w:t xml:space="preserve"> 8 </w:t>
            </w:r>
            <w:r>
              <w:rPr>
                <w:rFonts w:hint="eastAsia" w:asciiTheme="minorEastAsia" w:hAnsiTheme="minorEastAsia" w:eastAsiaTheme="minorEastAsia" w:cstheme="minorEastAsia"/>
                <w:kern w:val="0"/>
                <w:szCs w:val="21"/>
              </w:rPr>
              <w:t>小时维修到位（不可抗力情况除外）。在规定时间内不能解决问题，应在</w:t>
            </w:r>
            <w:r>
              <w:rPr>
                <w:rFonts w:hint="eastAsia" w:asciiTheme="minorEastAsia" w:hAnsiTheme="minorEastAsia" w:eastAsiaTheme="minorEastAsia" w:cstheme="minorEastAsia"/>
                <w:kern w:val="0"/>
                <w:szCs w:val="21"/>
                <w:u w:val="single"/>
              </w:rPr>
              <w:t xml:space="preserve"> 72 </w:t>
            </w:r>
            <w:r>
              <w:rPr>
                <w:rFonts w:hint="eastAsia" w:asciiTheme="minorEastAsia" w:hAnsiTheme="minorEastAsia" w:eastAsiaTheme="minorEastAsia" w:cstheme="minorEastAsia"/>
                <w:kern w:val="0"/>
                <w:szCs w:val="21"/>
              </w:rPr>
              <w:t>小时内免费提供相同档次的设备给医院代用。消耗品和零配件供应及时，特殊情况下可提供备用机。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spacing w:line="300" w:lineRule="exact"/>
              <w:jc w:val="center"/>
              <w:rPr>
                <w:rFonts w:asciiTheme="minorEastAsia" w:hAnsiTheme="minorEastAsia" w:eastAsiaTheme="minorEastAsia" w:cstheme="minorEastAsia"/>
                <w:b/>
                <w:szCs w:val="21"/>
              </w:rPr>
            </w:pPr>
          </w:p>
        </w:tc>
        <w:tc>
          <w:tcPr>
            <w:tcW w:w="1261" w:type="dxa"/>
            <w:vMerge w:val="continue"/>
            <w:vAlign w:val="center"/>
          </w:tcPr>
          <w:p>
            <w:pPr>
              <w:spacing w:line="300" w:lineRule="exact"/>
              <w:jc w:val="center"/>
              <w:rPr>
                <w:rFonts w:asciiTheme="minorEastAsia" w:hAnsiTheme="minorEastAsia" w:eastAsiaTheme="minorEastAsia" w:cstheme="minorEastAsia"/>
                <w:b/>
                <w:kern w:val="0"/>
                <w:szCs w:val="21"/>
              </w:rPr>
            </w:pPr>
          </w:p>
        </w:tc>
        <w:tc>
          <w:tcPr>
            <w:tcW w:w="6252" w:type="dxa"/>
          </w:tcPr>
          <w:p>
            <w:pPr>
              <w:spacing w:line="3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签订合同时约定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spacing w:line="300" w:lineRule="exact"/>
              <w:jc w:val="center"/>
              <w:rPr>
                <w:rFonts w:asciiTheme="minorEastAsia" w:hAnsiTheme="minorEastAsia" w:eastAsiaTheme="minorEastAsia" w:cstheme="minorEastAsia"/>
                <w:b/>
                <w:szCs w:val="21"/>
              </w:rPr>
            </w:pPr>
          </w:p>
        </w:tc>
        <w:tc>
          <w:tcPr>
            <w:tcW w:w="1261" w:type="dxa"/>
            <w:vMerge w:val="continue"/>
          </w:tcPr>
          <w:p>
            <w:pPr>
              <w:spacing w:line="300" w:lineRule="exact"/>
              <w:rPr>
                <w:rFonts w:asciiTheme="minorEastAsia" w:hAnsiTheme="minorEastAsia" w:eastAsiaTheme="minorEastAsia" w:cstheme="minorEastAsia"/>
                <w:b/>
                <w:szCs w:val="21"/>
              </w:rPr>
            </w:pPr>
          </w:p>
        </w:tc>
        <w:tc>
          <w:tcPr>
            <w:tcW w:w="6252" w:type="dxa"/>
          </w:tcPr>
          <w:p>
            <w:pPr>
              <w:spacing w:line="3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tcPr>
          <w:p>
            <w:pPr>
              <w:rPr>
                <w:rFonts w:asciiTheme="minorEastAsia" w:hAnsiTheme="minorEastAsia" w:eastAsiaTheme="minorEastAsia" w:cstheme="minorEastAsia"/>
                <w:b/>
                <w:szCs w:val="21"/>
              </w:rPr>
            </w:pPr>
          </w:p>
        </w:tc>
        <w:tc>
          <w:tcPr>
            <w:tcW w:w="6252"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tcPr>
          <w:p>
            <w:pPr>
              <w:rPr>
                <w:rFonts w:asciiTheme="minorEastAsia" w:hAnsiTheme="minorEastAsia" w:eastAsiaTheme="minorEastAsia" w:cstheme="minorEastAsia"/>
                <w:b/>
                <w:szCs w:val="21"/>
              </w:rPr>
            </w:pPr>
          </w:p>
        </w:tc>
        <w:tc>
          <w:tcPr>
            <w:tcW w:w="6252"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33" w:type="dxa"/>
            <w:gridSpan w:val="3"/>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restart"/>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1261"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交货要求</w:t>
            </w:r>
          </w:p>
        </w:tc>
        <w:tc>
          <w:tcPr>
            <w:tcW w:w="6252"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1.1</w:t>
            </w:r>
            <w:r>
              <w:rPr>
                <w:rFonts w:hint="eastAsia" w:asciiTheme="minorEastAsia" w:hAnsiTheme="minorEastAsia" w:eastAsiaTheme="minorEastAsia" w:cstheme="minorEastAsia"/>
                <w:bCs/>
                <w:kern w:val="0"/>
                <w:szCs w:val="21"/>
              </w:rPr>
              <w:t>投标人在签订合同之日起</w:t>
            </w:r>
            <w:r>
              <w:rPr>
                <w:rFonts w:hint="eastAsia" w:asciiTheme="minorEastAsia" w:hAnsiTheme="minorEastAsia" w:eastAsiaTheme="minorEastAsia" w:cstheme="minorEastAsia"/>
                <w:bCs/>
                <w:kern w:val="0"/>
                <w:szCs w:val="21"/>
                <w:u w:val="single"/>
              </w:rPr>
              <w:t>30</w:t>
            </w:r>
            <w:r>
              <w:rPr>
                <w:rFonts w:hint="eastAsia" w:asciiTheme="minorEastAsia" w:hAnsiTheme="minorEastAsia" w:eastAsiaTheme="minorEastAsia" w:cstheme="minorEastAsia"/>
                <w:bCs/>
                <w:kern w:val="0"/>
                <w:szCs w:val="21"/>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szCs w:val="21"/>
              </w:rPr>
            </w:pPr>
          </w:p>
        </w:tc>
        <w:tc>
          <w:tcPr>
            <w:tcW w:w="6252"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1.2投标人</w:t>
            </w:r>
            <w:r>
              <w:rPr>
                <w:rFonts w:hint="eastAsia" w:asciiTheme="minorEastAsia" w:hAnsiTheme="minorEastAsia" w:eastAsiaTheme="minorEastAsia" w:cs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szCs w:val="21"/>
              </w:rPr>
            </w:pPr>
          </w:p>
        </w:tc>
        <w:tc>
          <w:tcPr>
            <w:tcW w:w="6252"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pacing w:val="-3"/>
                <w:szCs w:val="21"/>
              </w:rPr>
              <w:t>1.3提供的所有货物必须为全新、经检验合格的产品，所有货物出厂时间不超过</w:t>
            </w:r>
            <w:r>
              <w:rPr>
                <w:rFonts w:hint="eastAsia" w:asciiTheme="minorEastAsia" w:hAnsiTheme="minorEastAsia" w:eastAsiaTheme="minorEastAsia" w:cstheme="minorEastAsia"/>
                <w:spacing w:val="-3"/>
                <w:szCs w:val="21"/>
                <w:u w:val="single"/>
              </w:rPr>
              <w:t>18</w:t>
            </w:r>
            <w:r>
              <w:rPr>
                <w:rFonts w:hint="eastAsia" w:asciiTheme="minorEastAsia" w:hAnsiTheme="minorEastAsia" w:eastAsiaTheme="minorEastAsia" w:cstheme="minorEastAsia"/>
                <w:spacing w:val="-3"/>
                <w:szCs w:val="21"/>
              </w:rPr>
              <w:t>个月（出厂日期至到货日期之间应不超过</w:t>
            </w:r>
            <w:r>
              <w:rPr>
                <w:rFonts w:hint="eastAsia" w:asciiTheme="minorEastAsia" w:hAnsiTheme="minorEastAsia" w:eastAsiaTheme="minorEastAsia" w:cstheme="minorEastAsia"/>
                <w:spacing w:val="-3"/>
                <w:szCs w:val="21"/>
                <w:u w:val="single"/>
              </w:rPr>
              <w:t>18</w:t>
            </w:r>
            <w:r>
              <w:rPr>
                <w:rFonts w:hint="eastAsia" w:asciiTheme="minorEastAsia" w:hAnsiTheme="minorEastAsia" w:eastAsiaTheme="minorEastAsia" w:cstheme="minorEastAsia"/>
                <w:spacing w:val="-3"/>
                <w:szCs w:val="21"/>
              </w:rPr>
              <w:t>个月），非积压和陈旧产品，否则无条件退货。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szCs w:val="21"/>
              </w:rPr>
            </w:pPr>
          </w:p>
        </w:tc>
        <w:tc>
          <w:tcPr>
            <w:tcW w:w="6252" w:type="dxa"/>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3"/>
                <w:szCs w:val="21"/>
              </w:rPr>
              <w:t>1.4所有货物如需要计量检定的应提供相关计量检定部门出具的合法检定报告。其中，进口设备必须具有</w:t>
            </w:r>
            <w:r>
              <w:rPr>
                <w:rFonts w:hint="eastAsia" w:asciiTheme="minorEastAsia" w:hAnsiTheme="minorEastAsia" w:eastAsiaTheme="minorEastAsia" w:cstheme="minorEastAsia"/>
                <w:kern w:val="0"/>
                <w:szCs w:val="21"/>
              </w:rPr>
              <w:t>报关证明</w:t>
            </w:r>
            <w:r>
              <w:rPr>
                <w:rFonts w:hint="eastAsia" w:asciiTheme="minorEastAsia" w:hAnsiTheme="minorEastAsia" w:eastAsiaTheme="minorEastAsia" w:cstheme="minorEastAsia"/>
                <w:spacing w:val="-3"/>
                <w:szCs w:val="21"/>
              </w:rPr>
              <w:t>文件、</w:t>
            </w:r>
            <w:r>
              <w:rPr>
                <w:rFonts w:hint="eastAsia" w:asciiTheme="minorEastAsia" w:hAnsiTheme="minorEastAsia" w:eastAsiaTheme="minorEastAsia" w:cstheme="minorEastAsia"/>
                <w:kern w:val="0"/>
                <w:szCs w:val="21"/>
              </w:rPr>
              <w:t>原产地证明和</w:t>
            </w:r>
            <w:r>
              <w:rPr>
                <w:rFonts w:hint="eastAsia" w:asciiTheme="minorEastAsia" w:hAnsiTheme="minorEastAsia" w:eastAsiaTheme="minorEastAsia" w:cstheme="minorEastAsia"/>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restart"/>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1261"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kern w:val="0"/>
                <w:szCs w:val="21"/>
              </w:rPr>
              <w:t>运输、安装和验收</w:t>
            </w:r>
          </w:p>
        </w:tc>
        <w:tc>
          <w:tcPr>
            <w:tcW w:w="6252" w:type="dxa"/>
          </w:tcPr>
          <w:p>
            <w:pPr>
              <w:spacing w:line="34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2.1投标人</w:t>
            </w:r>
            <w:r>
              <w:rPr>
                <w:rFonts w:hint="eastAsia" w:asciiTheme="minorEastAsia" w:hAnsiTheme="minorEastAsia" w:eastAsiaTheme="minorEastAsia" w:cstheme="minorEastAsia"/>
                <w:bCs/>
                <w:kern w:val="0"/>
                <w:szCs w:val="21"/>
              </w:rPr>
              <w:t>负责将</w:t>
            </w:r>
            <w:r>
              <w:rPr>
                <w:rFonts w:hint="eastAsia" w:asciiTheme="minorEastAsia" w:hAnsiTheme="minorEastAsia" w:eastAsiaTheme="minorEastAsia" w:cstheme="minorEastAsia"/>
                <w:kern w:val="0"/>
                <w:szCs w:val="21"/>
              </w:rPr>
              <w:t>货物</w:t>
            </w:r>
            <w:r>
              <w:rPr>
                <w:rFonts w:hint="eastAsia" w:asciiTheme="minorEastAsia" w:hAnsiTheme="minorEastAsia" w:eastAsiaTheme="minorEastAsia" w:cstheme="minorEastAsia"/>
                <w:bCs/>
                <w:kern w:val="0"/>
                <w:szCs w:val="21"/>
              </w:rPr>
              <w:t>安全无损运抵采购人指定地点,并承担设备的包装、运输、保险、装卸、安装调试、培训、商检及计量检测、关税、增值税和进口代理等费用。</w:t>
            </w:r>
            <w:r>
              <w:rPr>
                <w:rFonts w:hint="eastAsia" w:asciiTheme="minorEastAsia" w:hAnsiTheme="minorEastAsia" w:eastAsiaTheme="minorEastAsia" w:cstheme="minorEastAsia"/>
                <w:kern w:val="0"/>
                <w:szCs w:val="21"/>
              </w:rPr>
              <w:t>机器安装调试完毕，医院正式投入使用1个月后，无故障方签署验收报告，保修期自签署验收报告之日起开始计算。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tcPr>
          <w:p>
            <w:pPr>
              <w:rPr>
                <w:rFonts w:asciiTheme="minorEastAsia" w:hAnsiTheme="minorEastAsia" w:eastAsiaTheme="minorEastAsia" w:cstheme="minorEastAsia"/>
                <w:b/>
                <w:szCs w:val="21"/>
              </w:rPr>
            </w:pPr>
          </w:p>
        </w:tc>
        <w:tc>
          <w:tcPr>
            <w:tcW w:w="6252" w:type="dxa"/>
          </w:tcPr>
          <w:p>
            <w:pPr>
              <w:tabs>
                <w:tab w:val="left" w:pos="1260"/>
              </w:tabs>
              <w:spacing w:line="34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w:t>
            </w:r>
            <w:r>
              <w:rPr>
                <w:rFonts w:hint="eastAsia" w:asciiTheme="minorEastAsia" w:hAnsiTheme="minorEastAsia" w:eastAsiaTheme="minorEastAsia" w:cstheme="minorEastAsia"/>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Theme="minorEastAsia" w:hAnsiTheme="minorEastAsia" w:eastAsiaTheme="minorEastAsia" w:cstheme="minorEastAsia"/>
                <w:bCs/>
                <w:kern w:val="0"/>
                <w:szCs w:val="21"/>
                <w:u w:val="single"/>
              </w:rPr>
              <w:t xml:space="preserve"> 7 </w:t>
            </w:r>
            <w:r>
              <w:rPr>
                <w:rFonts w:hint="eastAsia" w:asciiTheme="minorEastAsia" w:hAnsiTheme="minorEastAsia" w:eastAsiaTheme="minorEastAsia" w:cstheme="minorEastAsia"/>
                <w:bCs/>
                <w:kern w:val="0"/>
                <w:szCs w:val="21"/>
              </w:rPr>
              <w:t>天内采取补足、更换或退货等措施,以满足规格的要求，由此发生的一切损失和费用由投标人承担。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tcPr>
          <w:p>
            <w:pPr>
              <w:rPr>
                <w:rFonts w:asciiTheme="minorEastAsia" w:hAnsiTheme="minorEastAsia" w:eastAsiaTheme="minorEastAsia" w:cstheme="minorEastAsia"/>
                <w:b/>
                <w:szCs w:val="21"/>
              </w:rPr>
            </w:pPr>
          </w:p>
        </w:tc>
        <w:tc>
          <w:tcPr>
            <w:tcW w:w="6252" w:type="dxa"/>
          </w:tcPr>
          <w:p>
            <w:pPr>
              <w:tabs>
                <w:tab w:val="left" w:pos="1260"/>
              </w:tabs>
              <w:spacing w:line="34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spacing w:val="-3"/>
                <w:szCs w:val="21"/>
              </w:rPr>
              <w:t>2.3投标人负责货物的现场安装和调试,提供货物安装、调试和维修所需的专用工具和辅助材料。投标人应在货物运至指定地点后一周内开始安装调试,并在</w:t>
            </w:r>
            <w:r>
              <w:rPr>
                <w:rFonts w:hint="eastAsia" w:asciiTheme="minorEastAsia" w:hAnsiTheme="minorEastAsia" w:eastAsiaTheme="minorEastAsia" w:cstheme="minorEastAsia"/>
                <w:bCs/>
                <w:kern w:val="0"/>
                <w:szCs w:val="21"/>
                <w:u w:val="single"/>
              </w:rPr>
              <w:t xml:space="preserve"> 7 </w:t>
            </w:r>
            <w:r>
              <w:rPr>
                <w:rFonts w:hint="eastAsia" w:asciiTheme="minorEastAsia" w:hAnsiTheme="minorEastAsia" w:eastAsiaTheme="minorEastAsia" w:cstheme="minorEastAsia"/>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tcPr>
          <w:p>
            <w:pPr>
              <w:rPr>
                <w:rFonts w:asciiTheme="minorEastAsia" w:hAnsiTheme="minorEastAsia" w:eastAsiaTheme="minorEastAsia" w:cstheme="minorEastAsia"/>
                <w:b/>
                <w:szCs w:val="21"/>
              </w:rPr>
            </w:pPr>
          </w:p>
        </w:tc>
        <w:tc>
          <w:tcPr>
            <w:tcW w:w="6252" w:type="dxa"/>
          </w:tcPr>
          <w:p>
            <w:pPr>
              <w:tabs>
                <w:tab w:val="left" w:pos="1260"/>
              </w:tabs>
              <w:spacing w:line="34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spacing w:val="-3"/>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tcPr>
          <w:p>
            <w:pPr>
              <w:rPr>
                <w:rFonts w:asciiTheme="minorEastAsia" w:hAnsiTheme="minorEastAsia" w:eastAsiaTheme="minorEastAsia" w:cstheme="minorEastAsia"/>
                <w:b/>
                <w:szCs w:val="21"/>
              </w:rPr>
            </w:pPr>
          </w:p>
        </w:tc>
        <w:tc>
          <w:tcPr>
            <w:tcW w:w="6252" w:type="dxa"/>
          </w:tcPr>
          <w:p>
            <w:pPr>
              <w:tabs>
                <w:tab w:val="left" w:pos="1260"/>
              </w:tabs>
              <w:spacing w:line="340" w:lineRule="exact"/>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2.5采购人可委托由国家和市政府认可的技术单位（如：“深圳市计量质量检测研究院”）对投标人的货物进行质量鉴定，一切质量鉴定费用由投标人承担，若投标人货物被证明不符合本协议约定或设备质量说明所承诺的标准，投标人应承担相应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0"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p>
        </w:tc>
        <w:tc>
          <w:tcPr>
            <w:tcW w:w="1261"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培训</w:t>
            </w:r>
          </w:p>
        </w:tc>
        <w:tc>
          <w:tcPr>
            <w:tcW w:w="6252"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restart"/>
            <w:vAlign w:val="center"/>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261" w:type="dxa"/>
            <w:vMerge w:val="restart"/>
            <w:vAlign w:val="center"/>
          </w:tcPr>
          <w:p>
            <w:pPr>
              <w:tabs>
                <w:tab w:val="left" w:pos="1260"/>
              </w:tabs>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知识产权</w:t>
            </w:r>
          </w:p>
        </w:tc>
        <w:tc>
          <w:tcPr>
            <w:tcW w:w="6252" w:type="dxa"/>
          </w:tcPr>
          <w:p>
            <w:pPr>
              <w:tabs>
                <w:tab w:val="left" w:pos="1260"/>
              </w:tabs>
              <w:spacing w:line="3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0" w:type="dxa"/>
            <w:vMerge w:val="continue"/>
            <w:vAlign w:val="center"/>
          </w:tcPr>
          <w:p>
            <w:pPr>
              <w:jc w:val="center"/>
              <w:rPr>
                <w:rFonts w:asciiTheme="minorEastAsia" w:hAnsiTheme="minorEastAsia" w:eastAsiaTheme="minorEastAsia" w:cstheme="minorEastAsia"/>
                <w:b/>
                <w:kern w:val="0"/>
                <w:szCs w:val="21"/>
              </w:rPr>
            </w:pPr>
          </w:p>
        </w:tc>
        <w:tc>
          <w:tcPr>
            <w:tcW w:w="1261" w:type="dxa"/>
            <w:vMerge w:val="continue"/>
            <w:vAlign w:val="center"/>
          </w:tcPr>
          <w:p>
            <w:pPr>
              <w:jc w:val="center"/>
              <w:rPr>
                <w:rFonts w:asciiTheme="minorEastAsia" w:hAnsiTheme="minorEastAsia" w:eastAsiaTheme="minorEastAsia" w:cstheme="minorEastAsia"/>
                <w:b/>
                <w:kern w:val="0"/>
                <w:szCs w:val="21"/>
              </w:rPr>
            </w:pPr>
          </w:p>
        </w:tc>
        <w:tc>
          <w:tcPr>
            <w:tcW w:w="6252" w:type="dxa"/>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0"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p>
        </w:tc>
        <w:tc>
          <w:tcPr>
            <w:tcW w:w="1261"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付款方式</w:t>
            </w:r>
          </w:p>
        </w:tc>
        <w:tc>
          <w:tcPr>
            <w:tcW w:w="6252"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5.1货到指定地点、安装验收合格、</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提供全额发票并将</w:t>
            </w:r>
            <w:r>
              <w:rPr>
                <w:rFonts w:hint="eastAsia" w:asciiTheme="minorEastAsia" w:hAnsiTheme="minorEastAsia" w:eastAsiaTheme="minorEastAsia" w:cstheme="minorEastAsia"/>
                <w:kern w:val="0"/>
                <w:szCs w:val="21"/>
                <w:highlight w:val="yellow"/>
              </w:rPr>
              <w:t>5%</w:t>
            </w:r>
            <w:r>
              <w:rPr>
                <w:rFonts w:hint="eastAsia" w:asciiTheme="minorEastAsia" w:hAnsiTheme="minorEastAsia" w:eastAsiaTheme="minorEastAsia" w:cstheme="minorEastAsia"/>
                <w:kern w:val="0"/>
                <w:szCs w:val="21"/>
                <w:highlight w:val="yellow"/>
                <w:lang w:val="en-US" w:eastAsia="zh-CN"/>
              </w:rPr>
              <w:t>合同价款作为</w:t>
            </w:r>
            <w:r>
              <w:rPr>
                <w:rFonts w:hint="eastAsia" w:asciiTheme="minorEastAsia" w:hAnsiTheme="minorEastAsia" w:eastAsiaTheme="minorEastAsia" w:cstheme="minorEastAsia"/>
                <w:kern w:val="0"/>
                <w:szCs w:val="21"/>
                <w:highlight w:val="yellow"/>
              </w:rPr>
              <w:t>履约保证金</w:t>
            </w:r>
            <w:r>
              <w:rPr>
                <w:rFonts w:hint="eastAsia" w:asciiTheme="minorEastAsia" w:hAnsiTheme="minorEastAsia" w:eastAsiaTheme="minorEastAsia" w:cstheme="minorEastAsia"/>
                <w:kern w:val="0"/>
                <w:szCs w:val="21"/>
              </w:rPr>
              <w:t>汇入</w:t>
            </w:r>
            <w:r>
              <w:rPr>
                <w:rFonts w:hint="eastAsia" w:asciiTheme="minorEastAsia" w:hAnsiTheme="minorEastAsia" w:eastAsiaTheme="minorEastAsia" w:cstheme="minorEastAsia"/>
                <w:kern w:val="0"/>
                <w:szCs w:val="21"/>
                <w:lang w:val="en-US" w:eastAsia="zh-CN"/>
              </w:rPr>
              <w:t>采购</w:t>
            </w:r>
            <w:r>
              <w:rPr>
                <w:rFonts w:hint="eastAsia" w:asciiTheme="minorEastAsia" w:hAnsiTheme="minorEastAsia" w:eastAsiaTheme="minorEastAsia" w:cstheme="minorEastAsia"/>
                <w:kern w:val="0"/>
                <w:szCs w:val="21"/>
              </w:rPr>
              <w:t>方指定账户</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采购方</w:t>
            </w:r>
            <w:r>
              <w:rPr>
                <w:rFonts w:hint="eastAsia" w:asciiTheme="minorEastAsia" w:hAnsiTheme="minorEastAsia" w:eastAsiaTheme="minorEastAsia" w:cstheme="minorEastAsia"/>
                <w:kern w:val="0"/>
                <w:szCs w:val="21"/>
              </w:rPr>
              <w:t>付100%货款。免费保修期满后并在无质量问题情况下且经需方确认后，由需方退还供方5％履约保证金。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20" w:type="dxa"/>
            <w:vMerge w:val="restart"/>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w:t>
            </w:r>
          </w:p>
        </w:tc>
        <w:tc>
          <w:tcPr>
            <w:tcW w:w="1261" w:type="dxa"/>
            <w:vMerge w:val="restart"/>
            <w:vAlign w:val="center"/>
          </w:tcPr>
          <w:p>
            <w:pPr>
              <w:tabs>
                <w:tab w:val="left" w:pos="1260"/>
              </w:tabs>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违约责任</w:t>
            </w:r>
          </w:p>
        </w:tc>
        <w:tc>
          <w:tcPr>
            <w:tcW w:w="6252" w:type="dxa"/>
          </w:tcPr>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b/>
                <w:kern w:val="0"/>
                <w:szCs w:val="21"/>
              </w:rPr>
            </w:pPr>
          </w:p>
        </w:tc>
        <w:tc>
          <w:tcPr>
            <w:tcW w:w="6252" w:type="dxa"/>
          </w:tcPr>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cstheme="minorEastAsia"/>
                <w:bCs/>
                <w:kern w:val="0"/>
                <w:szCs w:val="21"/>
                <w:u w:val="single"/>
              </w:rPr>
              <w:t xml:space="preserve"> 10 </w:t>
            </w:r>
            <w:r>
              <w:rPr>
                <w:rFonts w:hint="eastAsia" w:asciiTheme="minorEastAsia" w:hAnsiTheme="minorEastAsia" w:eastAsiaTheme="minorEastAsia" w:cstheme="minorEastAsia"/>
                <w:bCs/>
                <w:kern w:val="0"/>
                <w:szCs w:val="21"/>
              </w:rPr>
              <w:t>（千分之十以上千分之二十以下）的违约金；造成严重后果的，根据《深圳经济特区政府采购条例》第五十七条第（二）款规定，由主管部门对中标人进行处罚。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b/>
                <w:kern w:val="0"/>
                <w:szCs w:val="21"/>
              </w:rPr>
            </w:pPr>
          </w:p>
        </w:tc>
        <w:tc>
          <w:tcPr>
            <w:tcW w:w="6252" w:type="dxa"/>
          </w:tcPr>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6.3投标人不能交付设备的，投标人向采购人偿付项目采购金额千分之</w:t>
            </w:r>
            <w:r>
              <w:rPr>
                <w:rFonts w:hint="eastAsia" w:asciiTheme="minorEastAsia" w:hAnsiTheme="minorEastAsia" w:eastAsiaTheme="minorEastAsia" w:cstheme="minorEastAsia"/>
                <w:bCs/>
                <w:kern w:val="0"/>
                <w:szCs w:val="21"/>
                <w:u w:val="single"/>
              </w:rPr>
              <w:t xml:space="preserve"> 10 </w:t>
            </w:r>
            <w:r>
              <w:rPr>
                <w:rFonts w:hint="eastAsia" w:asciiTheme="minorEastAsia" w:hAnsiTheme="minorEastAsia" w:eastAsiaTheme="minorEastAsia" w:cstheme="minorEastAsia"/>
                <w:bCs/>
                <w:kern w:val="0"/>
                <w:szCs w:val="21"/>
              </w:rPr>
              <w:t>（千分之十以上千分之二十以下）的违约金；造成严重后果的，根据《深圳经济特区政府采购条例》第五十七条第（二）款规定，由主管部门对中标人进行处罚。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b/>
                <w:kern w:val="0"/>
                <w:szCs w:val="21"/>
              </w:rPr>
            </w:pPr>
          </w:p>
        </w:tc>
        <w:tc>
          <w:tcPr>
            <w:tcW w:w="6252" w:type="dxa"/>
          </w:tcPr>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6.4投标人逾期未交设备的，投标人向采购人每日偿付设备款千分之</w:t>
            </w:r>
            <w:r>
              <w:rPr>
                <w:rFonts w:hint="eastAsia" w:asciiTheme="minorEastAsia" w:hAnsiTheme="minorEastAsia" w:eastAsiaTheme="minorEastAsia" w:cstheme="minorEastAsia"/>
                <w:bCs/>
                <w:kern w:val="0"/>
                <w:szCs w:val="21"/>
                <w:u w:val="single"/>
              </w:rPr>
              <w:t xml:space="preserve"> 10 </w:t>
            </w:r>
            <w:r>
              <w:rPr>
                <w:rFonts w:hint="eastAsia" w:asciiTheme="minorEastAsia" w:hAnsiTheme="minorEastAsia" w:eastAsiaTheme="minorEastAsia" w:cstheme="minorEastAsia"/>
                <w:bCs/>
                <w:kern w:val="0"/>
                <w:szCs w:val="21"/>
              </w:rPr>
              <w:t>（千分之十以上千分之二十以下）的违约金。投标人超过交货期限</w:t>
            </w:r>
            <w:r>
              <w:rPr>
                <w:rFonts w:hint="eastAsia" w:asciiTheme="minorEastAsia" w:hAnsiTheme="minorEastAsia" w:eastAsiaTheme="minorEastAsia" w:cstheme="minorEastAsia"/>
                <w:bCs/>
                <w:kern w:val="0"/>
                <w:szCs w:val="21"/>
                <w:u w:val="single"/>
              </w:rPr>
              <w:t xml:space="preserve"> 30 </w:t>
            </w:r>
            <w:r>
              <w:rPr>
                <w:rFonts w:hint="eastAsia" w:asciiTheme="minorEastAsia" w:hAnsiTheme="minorEastAsia" w:eastAsiaTheme="minorEastAsia" w:cstheme="minorEastAsia"/>
                <w:bCs/>
                <w:kern w:val="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Merge w:val="continue"/>
            <w:vAlign w:val="center"/>
          </w:tcPr>
          <w:p>
            <w:pPr>
              <w:jc w:val="center"/>
              <w:rPr>
                <w:rFonts w:asciiTheme="minorEastAsia" w:hAnsiTheme="minorEastAsia" w:eastAsiaTheme="minorEastAsia" w:cstheme="minorEastAsia"/>
                <w:b/>
                <w:szCs w:val="21"/>
              </w:rPr>
            </w:pPr>
          </w:p>
        </w:tc>
        <w:tc>
          <w:tcPr>
            <w:tcW w:w="1261" w:type="dxa"/>
            <w:vMerge w:val="continue"/>
            <w:vAlign w:val="center"/>
          </w:tcPr>
          <w:p>
            <w:pPr>
              <w:jc w:val="center"/>
              <w:rPr>
                <w:rFonts w:asciiTheme="minorEastAsia" w:hAnsiTheme="minorEastAsia" w:eastAsiaTheme="minorEastAsia" w:cstheme="minorEastAsia"/>
                <w:b/>
                <w:kern w:val="0"/>
                <w:szCs w:val="21"/>
              </w:rPr>
            </w:pPr>
          </w:p>
        </w:tc>
        <w:tc>
          <w:tcPr>
            <w:tcW w:w="6252" w:type="dxa"/>
          </w:tcPr>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0" w:type="dxa"/>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p>
        </w:tc>
        <w:tc>
          <w:tcPr>
            <w:tcW w:w="1261" w:type="dxa"/>
            <w:vAlign w:val="center"/>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其他</w:t>
            </w:r>
          </w:p>
        </w:tc>
        <w:tc>
          <w:tcPr>
            <w:tcW w:w="6252" w:type="dxa"/>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投标人应按其投标文件中的承诺，进行其他售后服务工作。</w:t>
            </w:r>
          </w:p>
        </w:tc>
      </w:tr>
    </w:tbl>
    <w:p>
      <w:pPr>
        <w:rPr>
          <w:b/>
        </w:rPr>
      </w:pPr>
    </w:p>
    <w:p>
      <w:pPr>
        <w:pStyle w:val="8"/>
        <w:spacing w:before="60" w:beforeLines="25" w:after="60" w:afterLines="25"/>
        <w:ind w:firstLine="0" w:firstLineChars="0"/>
        <w:rPr>
          <w:rFonts w:ascii="宋体" w:hAnsi="宋体"/>
          <w:szCs w:val="21"/>
        </w:rPr>
      </w:pPr>
    </w:p>
    <w:p>
      <w:pPr>
        <w:pStyle w:val="6"/>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lang w:val="en-US" w:eastAsia="zh-CN"/>
        </w:rPr>
        <w:t>。</w:t>
      </w:r>
    </w:p>
    <w:p>
      <w:pPr>
        <w:rPr>
          <w:rFonts w:ascii="宋体" w:hAnsi="宋体"/>
        </w:rPr>
      </w:pPr>
    </w:p>
    <w:p>
      <w:pPr>
        <w:pStyle w:val="2"/>
        <w:rPr>
          <w:rFonts w:ascii="宋体" w:hAnsi="宋体"/>
        </w:rPr>
      </w:pPr>
    </w:p>
    <w:p>
      <w:pPr>
        <w:pStyle w:val="36"/>
      </w:pPr>
    </w:p>
    <w:p>
      <w:pPr>
        <w:pStyle w:val="2"/>
        <w:rPr>
          <w:rFonts w:ascii="宋体" w:hAnsi="宋体"/>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pPr>
        <w:pStyle w:val="6"/>
        <w:rPr>
          <w:kern w:val="2"/>
        </w:rPr>
      </w:pPr>
      <w:r>
        <w:rPr>
          <w:rFonts w:hint="eastAsia"/>
          <w:kern w:val="2"/>
        </w:rPr>
        <w:t>第四章</w:t>
      </w:r>
      <w:r>
        <w:rPr>
          <w:kern w:val="2"/>
        </w:rPr>
        <w:t xml:space="preserve"> </w:t>
      </w:r>
      <w:r>
        <w:rPr>
          <w:rFonts w:hint="eastAsia"/>
          <w:kern w:val="2"/>
        </w:rPr>
        <w:t xml:space="preserve"> 投标文件组成要求及格式</w:t>
      </w:r>
    </w:p>
    <w:p>
      <w:pPr>
        <w:outlineLvl w:val="0"/>
        <w:rPr>
          <w:rStyle w:val="60"/>
          <w:sz w:val="28"/>
          <w:szCs w:val="28"/>
        </w:rPr>
      </w:pPr>
      <w:r>
        <w:rPr>
          <w:rStyle w:val="60"/>
          <w:rFonts w:hint="eastAsia"/>
          <w:sz w:val="28"/>
          <w:szCs w:val="28"/>
        </w:rPr>
        <w:t>投标文件组成：</w:t>
      </w:r>
    </w:p>
    <w:p>
      <w:pPr>
        <w:ind w:firstLine="1200" w:firstLineChars="500"/>
        <w:outlineLvl w:val="0"/>
        <w:rPr>
          <w:rFonts w:ascii="宋体" w:hAnsi="宋体"/>
          <w:sz w:val="24"/>
        </w:rPr>
      </w:pPr>
      <w:bookmarkStart w:id="42" w:name="_Hlk72257253"/>
      <w:r>
        <w:rPr>
          <w:rFonts w:hint="eastAsia" w:ascii="宋体" w:hAnsi="宋体"/>
          <w:sz w:val="24"/>
        </w:rPr>
        <w:t>1.投标文件主要包括以下内容：</w:t>
      </w:r>
    </w:p>
    <w:p>
      <w:pPr>
        <w:ind w:left="718" w:leftChars="342" w:firstLine="1417" w:firstLineChars="675"/>
        <w:rPr>
          <w:szCs w:val="21"/>
        </w:rPr>
      </w:pPr>
      <w:r>
        <w:rPr>
          <w:rFonts w:hint="eastAsia"/>
          <w:szCs w:val="21"/>
        </w:rPr>
        <w:t>（1）</w:t>
      </w:r>
      <w:bookmarkStart w:id="43" w:name="_Hlk72070784"/>
      <w:r>
        <w:rPr>
          <w:rFonts w:hint="eastAsia"/>
          <w:szCs w:val="21"/>
        </w:rPr>
        <w:t>投标函</w:t>
      </w:r>
      <w:bookmarkEnd w:id="43"/>
    </w:p>
    <w:p>
      <w:pPr>
        <w:ind w:left="718" w:leftChars="342" w:firstLine="1417" w:firstLineChars="675"/>
        <w:rPr>
          <w:szCs w:val="21"/>
        </w:rPr>
      </w:pPr>
      <w:r>
        <w:rPr>
          <w:rFonts w:hint="eastAsia"/>
          <w:szCs w:val="21"/>
        </w:rPr>
        <w:t>（2）</w:t>
      </w:r>
      <w:bookmarkStart w:id="44" w:name="_Hlk72062521"/>
      <w:r>
        <w:rPr>
          <w:rFonts w:hint="eastAsia"/>
          <w:szCs w:val="21"/>
        </w:rPr>
        <w:t>政府采购投标及履约承诺函</w:t>
      </w:r>
      <w:bookmarkEnd w:id="44"/>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45" w:name="_Hlk72257201"/>
      <w:r>
        <w:rPr>
          <w:rFonts w:hint="eastAsia"/>
          <w:szCs w:val="21"/>
        </w:rPr>
        <w:t>（</w:t>
      </w:r>
      <w:r>
        <w:rPr>
          <w:szCs w:val="21"/>
        </w:rPr>
        <w:t>4</w:t>
      </w:r>
      <w:r>
        <w:rPr>
          <w:rFonts w:hint="eastAsia"/>
          <w:szCs w:val="21"/>
        </w:rPr>
        <w:t>）项目详细报价</w:t>
      </w:r>
    </w:p>
    <w:bookmarkEnd w:id="45"/>
    <w:p>
      <w:pPr>
        <w:ind w:firstLine="2100" w:firstLineChars="1000"/>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）供应商基本情况表</w:t>
      </w:r>
    </w:p>
    <w:p>
      <w:pPr>
        <w:ind w:firstLine="2100" w:firstLineChars="1000"/>
        <w:rPr>
          <w:szCs w:val="21"/>
        </w:rPr>
      </w:pPr>
      <w:r>
        <w:rPr>
          <w:rFonts w:hint="eastAsia"/>
          <w:szCs w:val="21"/>
        </w:rPr>
        <w:t>（</w:t>
      </w:r>
      <w:r>
        <w:rPr>
          <w:rFonts w:hint="eastAsia"/>
          <w:szCs w:val="21"/>
          <w:lang w:val="en-US" w:eastAsia="zh-CN"/>
        </w:rPr>
        <w:t>6</w:t>
      </w:r>
      <w:r>
        <w:rPr>
          <w:rFonts w:hint="eastAsia"/>
          <w:szCs w:val="21"/>
        </w:rPr>
        <w:t>）法定代表人（负责人）证明书</w:t>
      </w:r>
    </w:p>
    <w:p>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）投标文件签署授权委托书</w:t>
      </w:r>
    </w:p>
    <w:p>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）实质性条款响应情况表</w:t>
      </w:r>
    </w:p>
    <w:p>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）技术要求偏离表</w:t>
      </w:r>
    </w:p>
    <w:p>
      <w:pPr>
        <w:ind w:left="718" w:leftChars="342" w:firstLine="1417" w:firstLineChars="675"/>
        <w:rPr>
          <w:rFonts w:hint="eastAsia"/>
          <w:szCs w:val="21"/>
        </w:rPr>
      </w:pPr>
      <w:r>
        <w:rPr>
          <w:rFonts w:hint="eastAsia"/>
          <w:szCs w:val="21"/>
        </w:rPr>
        <w:t>（</w:t>
      </w:r>
      <w:r>
        <w:rPr>
          <w:rFonts w:hint="eastAsia"/>
          <w:szCs w:val="21"/>
          <w:lang w:val="en-US" w:eastAsia="zh-CN"/>
        </w:rPr>
        <w:t>10</w:t>
      </w:r>
      <w:r>
        <w:rPr>
          <w:rFonts w:hint="eastAsia"/>
          <w:szCs w:val="21"/>
        </w:rPr>
        <w:t>）商务要求偏离表</w:t>
      </w:r>
    </w:p>
    <w:p>
      <w:pPr>
        <w:ind w:left="718" w:leftChars="342" w:firstLine="1417" w:firstLineChars="675"/>
        <w:rPr>
          <w:rFonts w:hint="eastAsia"/>
          <w:szCs w:val="21"/>
        </w:rPr>
      </w:pPr>
      <w:r>
        <w:rPr>
          <w:rFonts w:hint="eastAsia"/>
          <w:szCs w:val="21"/>
        </w:rPr>
        <w:t>（</w:t>
      </w:r>
      <w:r>
        <w:rPr>
          <w:rFonts w:hint="eastAsia"/>
          <w:szCs w:val="21"/>
          <w:lang w:val="en-US" w:eastAsia="zh-CN"/>
        </w:rPr>
        <w:t>11</w:t>
      </w:r>
      <w:r>
        <w:rPr>
          <w:rFonts w:hint="eastAsia"/>
          <w:szCs w:val="21"/>
        </w:rPr>
        <w:t>）技术保障措施</w:t>
      </w:r>
    </w:p>
    <w:p>
      <w:pPr>
        <w:ind w:left="718" w:leftChars="342" w:firstLine="1417" w:firstLineChars="675"/>
        <w:rPr>
          <w:rFonts w:hint="eastAsia"/>
          <w:szCs w:val="21"/>
        </w:rPr>
      </w:pPr>
      <w:r>
        <w:rPr>
          <w:rFonts w:hint="eastAsia"/>
          <w:szCs w:val="21"/>
        </w:rPr>
        <w:t>（</w:t>
      </w:r>
      <w:r>
        <w:rPr>
          <w:rFonts w:hint="eastAsia"/>
          <w:szCs w:val="21"/>
          <w:lang w:val="en-US" w:eastAsia="zh-CN"/>
        </w:rPr>
        <w:t>12</w:t>
      </w:r>
      <w:r>
        <w:rPr>
          <w:rFonts w:hint="eastAsia"/>
          <w:szCs w:val="21"/>
        </w:rPr>
        <w:t>）诚信情况</w:t>
      </w:r>
    </w:p>
    <w:p>
      <w:pPr>
        <w:ind w:left="718" w:leftChars="342" w:firstLine="1417" w:firstLineChars="675"/>
        <w:rPr>
          <w:rFonts w:ascii="宋体" w:hAnsi="宋体"/>
          <w:szCs w:val="21"/>
        </w:rPr>
      </w:pPr>
      <w:r>
        <w:rPr>
          <w:rFonts w:hint="eastAsia"/>
          <w:szCs w:val="21"/>
        </w:rPr>
        <w:t>（</w:t>
      </w:r>
      <w:r>
        <w:rPr>
          <w:rFonts w:hint="eastAsia"/>
          <w:szCs w:val="21"/>
          <w:lang w:val="en-US" w:eastAsia="zh-CN"/>
        </w:rPr>
        <w:t>13</w:t>
      </w:r>
      <w:r>
        <w:rPr>
          <w:rFonts w:hint="eastAsia"/>
          <w:szCs w:val="21"/>
        </w:rPr>
        <w:t>）投标人认为需要加以说明的其他内容</w:t>
      </w:r>
    </w:p>
    <w:p>
      <w:pPr>
        <w:pStyle w:val="2"/>
      </w:pPr>
    </w:p>
    <w:bookmarkEnd w:id="42"/>
    <w:p>
      <w:pPr>
        <w:ind w:left="718" w:leftChars="342" w:firstLine="1417" w:firstLineChars="675"/>
        <w:rPr>
          <w:szCs w:val="21"/>
        </w:rPr>
      </w:pPr>
    </w:p>
    <w:p>
      <w:pPr>
        <w:ind w:firstLine="426" w:firstLineChars="202"/>
        <w:rPr>
          <w:rFonts w:ascii="宋体" w:hAnsi="宋体"/>
          <w:b/>
          <w:szCs w:val="21"/>
        </w:rPr>
      </w:pPr>
      <w:bookmarkStart w:id="46" w:name="_Hlk72257771"/>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2" w:firstLineChars="200"/>
        <w:rPr>
          <w:rFonts w:ascii="宋体" w:hAnsi="宋体"/>
          <w:color w:val="FF0000"/>
          <w:sz w:val="24"/>
        </w:rPr>
      </w:pPr>
      <w:bookmarkStart w:id="47" w:name="_Hlk72263559"/>
      <w:r>
        <w:rPr>
          <w:rFonts w:hint="eastAsia" w:ascii="宋体" w:hAnsi="宋体"/>
          <w:b/>
          <w:szCs w:val="21"/>
        </w:rPr>
        <w:t>2.关于填写“开标一览表”的说明：“开标一览表”中除“投标总价”外，其他信息不作评审依据。</w:t>
      </w:r>
      <w:bookmarkEnd w:id="46"/>
      <w:bookmarkEnd w:id="47"/>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pPr>
        <w:pStyle w:val="4"/>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bookmarkStart w:id="48"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49" w:name="_Hlk73818812"/>
      <w:r>
        <w:rPr>
          <w:rFonts w:hint="eastAsia"/>
          <w:szCs w:val="21"/>
        </w:rPr>
        <w:t>1、根据已收到贵单位的项目编号为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lang w:val="en-US" w:eastAsia="zh-CN"/>
        </w:rPr>
        <w:t xml:space="preserve">  </w:t>
      </w:r>
      <w:r>
        <w:rPr>
          <w:rFonts w:hint="eastAsia"/>
          <w:szCs w:val="21"/>
          <w:u w:val="thick"/>
          <w:lang w:eastAsia="zh-CN"/>
        </w:rPr>
        <w:t>（</w:t>
      </w:r>
      <w:r>
        <w:rPr>
          <w:rFonts w:hint="eastAsia"/>
          <w:szCs w:val="21"/>
          <w:u w:val="thick"/>
        </w:rPr>
        <w:t>项目</w:t>
      </w:r>
      <w:r>
        <w:rPr>
          <w:rFonts w:hint="eastAsia"/>
          <w:szCs w:val="21"/>
          <w:u w:val="thick"/>
          <w:lang w:val="en-US" w:eastAsia="zh-CN"/>
        </w:rPr>
        <w:t>名称</w:t>
      </w:r>
      <w:r>
        <w:rPr>
          <w:rFonts w:hint="eastAsia"/>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50" w:name="_Hlk72263588"/>
      <w:r>
        <w:rPr>
          <w:rFonts w:hint="eastAsia"/>
          <w:szCs w:val="21"/>
        </w:rPr>
        <w:t>愿意按照招标文件要求承包上述项目并修补其任何缺陷。</w:t>
      </w:r>
      <w:bookmarkEnd w:id="50"/>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51" w:name="_Hlk73819847"/>
      <w:r>
        <w:rPr>
          <w:rFonts w:hint="eastAsia" w:ascii="宋体" w:hAnsi="宋体"/>
          <w:szCs w:val="21"/>
        </w:rPr>
        <w:t>投标价格见</w:t>
      </w:r>
      <w:r>
        <w:rPr>
          <w:rFonts w:hint="eastAsia"/>
          <w:szCs w:val="21"/>
        </w:rPr>
        <w:t>投标书编制软件中《开标一览表》中填写的投标总价。</w:t>
      </w:r>
      <w:bookmarkEnd w:id="51"/>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firstLine="0" w:firstLineChars="0"/>
        <w:rPr>
          <w:rFonts w:ascii="宋体" w:hAnsi="宋体"/>
          <w:b/>
          <w:szCs w:val="21"/>
        </w:rPr>
      </w:pPr>
      <w:r>
        <w:rPr>
          <w:rFonts w:hint="eastAsia" w:ascii="宋体" w:hAnsi="宋体"/>
          <w:szCs w:val="21"/>
        </w:rPr>
        <w:t>6、我单位理解贵单位将不受必须接受所收到的最低报价或其它任何投标文件的约束。</w:t>
      </w:r>
      <w:bookmarkEnd w:id="49"/>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rPr>
      </w:pP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szCs w:val="21"/>
        </w:rPr>
        <w:t xml:space="preserve">  </w:t>
      </w:r>
      <w:r>
        <w:rPr>
          <w:rFonts w:hint="eastAsia"/>
          <w:szCs w:val="21"/>
          <w:lang w:eastAsia="zh-CN"/>
        </w:rPr>
        <w:t>；</w:t>
      </w:r>
      <w:r>
        <w:rPr>
          <w:rFonts w:hint="eastAsia"/>
          <w:szCs w:val="21"/>
        </w:rPr>
        <w:t xml:space="preserve">  单位地址：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bookmarkEnd w:id="48"/>
    <w:p>
      <w:pPr>
        <w:pStyle w:val="4"/>
        <w:jc w:val="center"/>
        <w:rPr>
          <w:rFonts w:ascii="黑体" w:eastAsia="黑体"/>
          <w:b w:val="0"/>
          <w:sz w:val="24"/>
        </w:rPr>
      </w:pPr>
      <w:r>
        <w:rPr>
          <w:rFonts w:hint="eastAsia" w:ascii="黑体" w:eastAsia="黑体"/>
          <w:b w:val="0"/>
          <w:sz w:val="24"/>
        </w:rPr>
        <w:t>二、政府采购投标及履约承诺函</w:t>
      </w:r>
    </w:p>
    <w:p>
      <w:pPr>
        <w:rPr>
          <w:rFonts w:ascii="宋体" w:hAnsi="宋体"/>
          <w:color w:val="FF0000"/>
          <w:szCs w:val="21"/>
        </w:rPr>
      </w:pPr>
      <w:bookmarkStart w:id="52"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hint="eastAsia" w:ascii="宋体" w:hAnsi="宋体"/>
          <w:b/>
          <w:szCs w:val="21"/>
        </w:rPr>
      </w:pPr>
      <w:r>
        <w:rPr>
          <w:rFonts w:hint="eastAsia" w:ascii="宋体" w:hAnsi="宋体"/>
          <w:b w:val="0"/>
          <w:bCs/>
          <w:szCs w:val="21"/>
        </w:rPr>
        <w:t>1.我单位参与本项目所投标（响应）的货物、工程或服务，不存在侵犯知识产权的情况。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rPr>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rPr>
          <w:rFonts w:hint="default" w:eastAsia="宋体"/>
          <w:color w:val="FF0000"/>
          <w:lang w:val="en-US" w:eastAsia="zh-CN"/>
        </w:rPr>
      </w:pPr>
      <w:r>
        <w:rPr>
          <w:rFonts w:hint="eastAsia"/>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bookmarkStart w:id="53" w:name="_Hlk72587269"/>
      <w:bookmarkStart w:id="5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3"/>
      <w:r>
        <w:rPr>
          <w:rFonts w:hint="eastAsia" w:ascii="宋体" w:hAnsi="宋体"/>
          <w:szCs w:val="21"/>
        </w:rPr>
        <w:t>。</w:t>
      </w:r>
    </w:p>
    <w:bookmarkEnd w:id="54"/>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lang w:val="en-US" w:eastAsia="zh-CN"/>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lang w:eastAsia="zh-CN"/>
        </w:rPr>
        <w:t>（</w:t>
      </w:r>
      <w:r>
        <w:rPr>
          <w:rFonts w:hint="eastAsia"/>
        </w:rPr>
        <w:t>财库〔2023〕7号）</w:t>
      </w:r>
      <w:r>
        <w:rPr>
          <w:rFonts w:hint="eastAsia"/>
          <w:lang w:val="en-US" w:eastAsia="zh-CN"/>
        </w:rPr>
        <w:t>要求。若所投产品涉及国家强制性标准的，所投产品应符合国家强制性标准相关要求。</w:t>
      </w:r>
    </w:p>
    <w:p>
      <w:pPr>
        <w:ind w:firstLine="420" w:firstLineChars="200"/>
        <w:rPr>
          <w:rFonts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eastAsia="宋体" w:cs="宋体"/>
          <w:b/>
          <w:color w:val="FF0000"/>
          <w:kern w:val="0"/>
          <w:szCs w:val="21"/>
          <w:lang w:eastAsia="zh-CN"/>
        </w:rPr>
      </w:pPr>
      <w:r>
        <w:rPr>
          <w:rFonts w:hint="eastAsia" w:ascii="宋体" w:hAnsi="宋体"/>
          <w:b w:val="0"/>
          <w:bCs/>
        </w:rPr>
        <w:t>1</w:t>
      </w:r>
      <w:r>
        <w:rPr>
          <w:rFonts w:hint="eastAsia" w:ascii="宋体" w:hAnsi="宋体"/>
          <w:b w:val="0"/>
          <w:bCs/>
          <w:lang w:val="en-US" w:eastAsia="zh-CN"/>
        </w:rPr>
        <w:t>3</w:t>
      </w:r>
      <w:r>
        <w:rPr>
          <w:rFonts w:ascii="宋体" w:hAnsi="宋体"/>
          <w:b w:val="0"/>
          <w:bCs/>
        </w:rPr>
        <w:t>.我单位保证，符合《中华人民共和国政府采购法实施条例》第十八条规定，与其他投标供应商不存在单位负责人为同一人或者存在直接控股</w:t>
      </w:r>
      <w:r>
        <w:rPr>
          <w:rFonts w:ascii="宋体" w:hAnsi="宋体"/>
          <w:b w:val="0"/>
          <w:bCs/>
          <w:color w:val="auto"/>
        </w:rPr>
        <w:t>、管理关系；</w:t>
      </w:r>
      <w:r>
        <w:rPr>
          <w:rFonts w:hint="eastAsia" w:ascii="宋体" w:hAnsi="宋体"/>
          <w:b w:val="0"/>
          <w:bCs/>
          <w:color w:val="auto"/>
          <w:lang w:val="en-US" w:eastAsia="zh-CN"/>
        </w:rPr>
        <w:t>不存在为</w:t>
      </w:r>
      <w:r>
        <w:rPr>
          <w:rFonts w:ascii="宋体" w:hAnsi="宋体"/>
          <w:b w:val="0"/>
          <w:bCs/>
          <w:color w:val="auto"/>
        </w:rPr>
        <w:t>本次采购项目提供整体设计、规范编制或者项目管理、监理、检测等服务的情形。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2" w:firstLineChars="200"/>
        <w:rPr>
          <w:rFonts w:hint="default" w:ascii="宋体" w:hAnsi="宋体"/>
          <w:b/>
          <w:szCs w:val="21"/>
          <w:lang w:val="en-US"/>
        </w:rPr>
      </w:pPr>
      <w:r>
        <w:rPr>
          <w:rFonts w:hint="eastAsia" w:ascii="宋体" w:hAnsi="宋体"/>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bookmarkEnd w:id="52"/>
    <w:p>
      <w:pPr>
        <w:spacing w:before="60" w:beforeLines="25" w:after="60" w:afterLines="25"/>
        <w:ind w:firstLine="5460" w:firstLineChars="2600"/>
        <w:rPr>
          <w:rFonts w:hint="eastAsia" w:eastAsia="宋体"/>
          <w:color w:val="FF0000"/>
          <w:u w:val="none"/>
          <w:lang w:eastAsia="zh-CN"/>
        </w:rPr>
      </w:pPr>
      <w:r>
        <w:rPr>
          <w:rFonts w:hint="eastAsia"/>
          <w:color w:val="FF0000"/>
          <w:szCs w:val="21"/>
        </w:rPr>
        <w:t>投标人</w:t>
      </w:r>
      <w:r>
        <w:rPr>
          <w:rFonts w:hint="eastAsia"/>
          <w:color w:val="FF0000"/>
          <w:szCs w:val="21"/>
          <w:u w:val="none"/>
        </w:rPr>
        <w:t>：</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color w:val="FF0000"/>
          <w:szCs w:val="21"/>
          <w:u w:val="none"/>
          <w:lang w:val="en-US" w:eastAsia="zh-CN"/>
        </w:rPr>
        <w:t>.</w:t>
      </w:r>
    </w:p>
    <w:p>
      <w:pPr>
        <w:ind w:firstLine="645"/>
        <w:rPr>
          <w:rFonts w:ascii="宋体" w:hAnsi="宋体"/>
          <w:color w:val="FF0000"/>
          <w:szCs w:val="21"/>
        </w:rPr>
      </w:pPr>
      <w:r>
        <w:rPr>
          <w:rFonts w:hint="eastAsia" w:ascii="宋体" w:hAnsi="宋体"/>
          <w:color w:val="FF0000"/>
          <w:szCs w:val="21"/>
        </w:rPr>
        <w:t xml:space="preserve">                                              日期：</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日</w:t>
      </w:r>
    </w:p>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pStyle w:val="4"/>
        <w:jc w:val="center"/>
        <w:rPr>
          <w:rFonts w:ascii="黑体" w:eastAsia="黑体"/>
          <w:b w:val="0"/>
          <w:sz w:val="24"/>
          <w:szCs w:val="24"/>
        </w:rPr>
      </w:pPr>
      <w:r>
        <w:rPr>
          <w:rFonts w:hint="eastAsia" w:ascii="黑体" w:eastAsia="黑体"/>
          <w:b w:val="0"/>
          <w:sz w:val="24"/>
          <w:szCs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55" w:name="_Hlk72257590"/>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其中要求提供《政府采购投标及履约承诺函》《供应商基本情况表》且已在规定章节中提供的，此处不重复提供</w:t>
      </w:r>
      <w:r>
        <w:rPr>
          <w:rFonts w:hint="eastAsia"/>
          <w:b/>
          <w:bCs/>
          <w:color w:val="FF0000"/>
        </w:rPr>
        <w:t>。）</w:t>
      </w:r>
    </w:p>
    <w:p>
      <w:pPr>
        <w:rPr>
          <w:b/>
          <w:bCs/>
          <w:sz w:val="24"/>
        </w:rPr>
      </w:pPr>
    </w:p>
    <w:p>
      <w:pPr>
        <w:ind w:firstLine="480" w:firstLineChars="200"/>
        <w:outlineLvl w:val="3"/>
        <w:rPr>
          <w:rFonts w:ascii="黑体" w:hAnsi="宋体" w:eastAsia="黑体"/>
          <w:bCs/>
          <w:kern w:val="0"/>
          <w:sz w:val="24"/>
          <w:szCs w:val="32"/>
        </w:rPr>
      </w:pPr>
      <w:bookmarkStart w:id="56" w:name="_Hlk72257908"/>
      <w:r>
        <w:rPr>
          <w:rFonts w:hint="eastAsia" w:ascii="黑体" w:hAnsi="宋体" w:eastAsia="黑体"/>
          <w:bCs/>
          <w:kern w:val="0"/>
          <w:sz w:val="24"/>
          <w:szCs w:val="32"/>
        </w:rPr>
        <w:t>（二）中小企业声明函、残疾人福利性单位声明函及监狱企业声明函</w:t>
      </w:r>
    </w:p>
    <w:bookmarkEnd w:id="55"/>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)《工业和信息化部、国家统计局、国家发展和改革委员会、财政部关于印发中小企业划型标准规定的通知》（工信部联企业〔2011〕300号）</w:t>
      </w:r>
      <w:r>
        <w:rPr>
          <w:rFonts w:hint="eastAsia" w:ascii="黑体" w:hAnsi="黑体" w:eastAsia="黑体"/>
          <w:color w:val="FF0000"/>
          <w:szCs w:val="21"/>
          <w:lang w:eastAsia="zh-CN"/>
        </w:rPr>
        <w:t>；</w:t>
      </w:r>
    </w:p>
    <w:p>
      <w:pPr>
        <w:ind w:firstLine="420" w:firstLineChars="200"/>
        <w:outlineLvl w:val="3"/>
        <w:rPr>
          <w:rFonts w:hint="eastAsia" w:ascii="黑体" w:hAnsi="黑体" w:eastAsia="黑体"/>
          <w:color w:val="FF0000"/>
          <w:szCs w:val="21"/>
          <w:lang w:eastAsia="zh-CN"/>
        </w:rPr>
      </w:pPr>
      <w:r>
        <w:rPr>
          <w:rFonts w:hint="eastAsia" w:ascii="黑体" w:hAnsi="黑体" w:eastAsia="黑体"/>
          <w:color w:val="FF0000"/>
          <w:szCs w:val="21"/>
        </w:rPr>
        <w:t>(3)《统计上大中小微型企业划分办法(2017)》（国统字〔2017〕213号）</w:t>
      </w:r>
      <w:r>
        <w:rPr>
          <w:rFonts w:hint="eastAsia" w:ascii="黑体" w:hAnsi="黑体" w:eastAsia="黑体"/>
          <w:color w:val="FF0000"/>
          <w:szCs w:val="21"/>
          <w:lang w:eastAsia="zh-CN"/>
        </w:rPr>
        <w:t>；</w:t>
      </w:r>
    </w:p>
    <w:p>
      <w:pPr>
        <w:ind w:firstLine="420" w:firstLineChars="200"/>
        <w:outlineLvl w:val="3"/>
        <w:rPr>
          <w:rFonts w:hint="eastAsia" w:ascii="黑体" w:hAnsi="黑体" w:eastAsia="黑体"/>
          <w:color w:val="FF0000"/>
          <w:szCs w:val="21"/>
          <w:lang w:eastAsia="zh-CN"/>
        </w:rPr>
      </w:pPr>
      <w:r>
        <w:rPr>
          <w:rFonts w:hint="eastAsia" w:ascii="黑体" w:hAnsi="黑体" w:eastAsia="黑体"/>
          <w:color w:val="FF0000"/>
          <w:szCs w:val="21"/>
        </w:rPr>
        <w:t>(4)《关于促进残疾人就业政府采购政策的通知》（财库〔2017〕141号）</w:t>
      </w:r>
      <w:r>
        <w:rPr>
          <w:rFonts w:hint="eastAsia" w:ascii="黑体" w:hAnsi="黑体" w:eastAsia="黑体"/>
          <w:color w:val="FF0000"/>
          <w:szCs w:val="21"/>
          <w:lang w:eastAsia="zh-CN"/>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文件中明确的所属行业”下划线处填写采购标的对应的中小企业划分标准所属行业（所属行业以招标文件第一册第三章用户需求书“货物清单明细”的“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val="en-US" w:eastAsia="zh-CN"/>
        </w:rPr>
        <w:t>货物</w:t>
      </w:r>
      <w:r>
        <w:rPr>
          <w:rFonts w:hint="eastAsia" w:ascii="黑体" w:hAnsi="宋体" w:eastAsia="黑体"/>
          <w:b/>
          <w:bCs w:val="0"/>
          <w:color w:val="FF0000"/>
          <w:kern w:val="0"/>
          <w:szCs w:val="21"/>
        </w:rPr>
        <w:t>制造商名称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判断《中小企业声明函》载明的货物制造商是否属于采购文件所属行业的中型企业/小型企业/微型企业。</w:t>
      </w:r>
    </w:p>
    <w:p>
      <w:pPr>
        <w:pStyle w:val="54"/>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numPr>
          <w:ilvl w:val="0"/>
          <w:numId w:val="0"/>
        </w:num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事业单位、社会组织等非企业主体不享受中小企业扶持政策，但事业单位、社会组织等非企业主体提供全部由中小企业制造的货物参加货物采购项目的除外。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54"/>
        <w:ind w:firstLine="420" w:firstLineChars="200"/>
        <w:rPr>
          <w:rFonts w:hint="eastAsia" w:eastAsia="黑体"/>
          <w:lang w:val="en-US" w:eastAsia="zh-CN"/>
        </w:rPr>
      </w:pPr>
      <w:r>
        <w:rPr>
          <w:rFonts w:hint="eastAsia" w:ascii="黑体" w:hAnsi="宋体" w:eastAsia="黑体"/>
          <w:bCs/>
          <w:color w:val="FF0000"/>
          <w:kern w:val="0"/>
          <w:szCs w:val="21"/>
          <w:lang w:val="en-US"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pPr>
    </w:p>
    <w:p>
      <w:pPr>
        <w:numPr>
          <w:ilvl w:val="0"/>
          <w:numId w:val="8"/>
        </w:numPr>
        <w:jc w:val="center"/>
        <w:outlineLvl w:val="3"/>
        <w:rPr>
          <w:b/>
          <w:sz w:val="24"/>
        </w:rPr>
      </w:pPr>
      <w:r>
        <w:rPr>
          <w:b/>
          <w:sz w:val="24"/>
        </w:rPr>
        <w:t>中小企业声明函（货物）</w:t>
      </w:r>
    </w:p>
    <w:p>
      <w:pPr>
        <w:pStyle w:val="2"/>
        <w:widowControl w:val="0"/>
        <w:numPr>
          <w:ilvl w:val="0"/>
          <w:numId w:val="0"/>
        </w:numPr>
        <w:spacing w:line="360" w:lineRule="auto"/>
        <w:jc w:val="both"/>
      </w:pPr>
    </w:p>
    <w:p>
      <w:pPr>
        <w:pStyle w:val="36"/>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采购活动，提供的货物全部由符合政策要求的中小企业制造。相关企业（含联合体中的中小企业、签订分包意向协议的中小企业）的具体情况如下：</w:t>
      </w:r>
    </w:p>
    <w:p>
      <w:pPr>
        <w:pStyle w:val="36"/>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pPr>
        <w:pStyle w:val="36"/>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pPr>
        <w:pStyle w:val="36"/>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pPr>
        <w:pStyle w:val="36"/>
        <w:ind w:firstLine="420" w:firstLineChars="200"/>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57" w:name="_Hlk73562203"/>
      <w:r>
        <w:rPr>
          <w:rFonts w:hint="eastAsia" w:asciiTheme="minorEastAsia" w:hAnsiTheme="minorEastAsia" w:eastAsiaTheme="minorEastAsia" w:cstheme="minorEastAsia"/>
          <w:kern w:val="2"/>
          <w:sz w:val="21"/>
          <w:szCs w:val="21"/>
          <w:lang w:val="en-US" w:eastAsia="zh-CN" w:bidi="ar-SA"/>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7"/>
    </w:p>
    <w:p>
      <w:pPr>
        <w:ind w:firstLine="420" w:firstLineChars="200"/>
        <w:outlineLvl w:val="3"/>
        <w:rPr>
          <w:rFonts w:ascii="宋体" w:hAnsi="宋体"/>
          <w:bCs/>
          <w:color w:val="FF0000"/>
          <w:kern w:val="0"/>
          <w:szCs w:val="21"/>
        </w:rPr>
      </w:pPr>
    </w:p>
    <w:p/>
    <w:p>
      <w:pPr>
        <w:ind w:firstLine="420" w:firstLineChars="200"/>
      </w:pPr>
    </w:p>
    <w:p>
      <w:pPr>
        <w:jc w:val="center"/>
        <w:outlineLvl w:val="3"/>
        <w:rPr>
          <w:b/>
          <w:sz w:val="24"/>
        </w:rPr>
      </w:pPr>
      <w:r>
        <w:rPr>
          <w:rFonts w:hint="eastAsia"/>
          <w:b/>
          <w:sz w:val="24"/>
        </w:rPr>
        <w:t>2、残疾人福利性单位声明函（货物类）</w:t>
      </w:r>
    </w:p>
    <w:p>
      <w:pPr>
        <w:rPr>
          <w:b/>
          <w:bCs/>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58" w:name="_Hlk73562331"/>
      <w:bookmarkStart w:id="59" w:name="_Hlk73562245"/>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bookmarkEnd w:id="58"/>
    </w:p>
    <w:bookmarkEnd w:id="59"/>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cstheme="minorBidi"/>
          <w:sz w:val="21"/>
          <w:szCs w:val="21"/>
        </w:rPr>
        <w:t>参加</w:t>
      </w:r>
      <w:r>
        <w:rPr>
          <w:rFonts w:ascii="宋体" w:hAnsi="宋体"/>
          <w:b/>
          <w:bCs/>
          <w:i/>
          <w:iCs/>
          <w:sz w:val="21"/>
          <w:szCs w:val="21"/>
          <w:u w:val="single"/>
        </w:rPr>
        <w:t>（</w:t>
      </w:r>
      <w:r>
        <w:rPr>
          <w:rFonts w:hint="eastAsia" w:ascii="宋体" w:hAnsi="宋体"/>
          <w:b/>
          <w:bCs/>
          <w:i/>
          <w:iCs/>
          <w:sz w:val="21"/>
          <w:szCs w:val="21"/>
          <w:u w:val="single"/>
        </w:rPr>
        <w:t>采购人</w:t>
      </w:r>
      <w:r>
        <w:rPr>
          <w:rFonts w:ascii="宋体" w:hAnsi="宋体"/>
          <w:b/>
          <w:bCs/>
          <w:i/>
          <w:iCs/>
          <w:sz w:val="21"/>
          <w:szCs w:val="21"/>
          <w:u w:val="single"/>
        </w:rPr>
        <w:t>名称）</w:t>
      </w:r>
      <w:r>
        <w:rPr>
          <w:rFonts w:ascii="宋体" w:hAnsi="宋体"/>
          <w:sz w:val="21"/>
          <w:szCs w:val="21"/>
        </w:rPr>
        <w:t>的</w:t>
      </w:r>
      <w:r>
        <w:rPr>
          <w:rFonts w:ascii="宋体" w:hAnsi="宋体"/>
          <w:b/>
          <w:bCs/>
          <w:i/>
          <w:iCs/>
          <w:sz w:val="21"/>
          <w:szCs w:val="21"/>
          <w:u w:val="single"/>
        </w:rPr>
        <w:t>（项目名称）</w:t>
      </w:r>
      <w:r>
        <w:rPr>
          <w:rFonts w:ascii="宋体" w:hAnsi="宋体"/>
          <w:sz w:val="21"/>
          <w:szCs w:val="21"/>
        </w:rPr>
        <w:t>采购活动，提供的货物全部由符合政策要求的</w:t>
      </w:r>
      <w:r>
        <w:rPr>
          <w:rFonts w:hint="eastAsia" w:ascii="宋体" w:hAnsi="宋体"/>
          <w:sz w:val="21"/>
          <w:szCs w:val="21"/>
        </w:rPr>
        <w:t>监狱企业</w:t>
      </w:r>
      <w:r>
        <w:rPr>
          <w:rFonts w:ascii="宋体" w:hAnsi="宋体"/>
          <w:sz w:val="21"/>
          <w:szCs w:val="21"/>
        </w:rPr>
        <w:t>制造。相关</w:t>
      </w:r>
      <w:r>
        <w:rPr>
          <w:rFonts w:hint="eastAsia" w:ascii="宋体" w:hAnsi="宋体"/>
          <w:sz w:val="21"/>
          <w:szCs w:val="21"/>
        </w:rPr>
        <w:t>监狱企业</w:t>
      </w:r>
      <w:r>
        <w:rPr>
          <w:rFonts w:ascii="宋体" w:hAnsi="宋体"/>
          <w:sz w:val="21"/>
          <w:szCs w:val="21"/>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1.</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2.</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hAnsi="宋体"/>
          <w:sz w:val="21"/>
          <w:szCs w:val="21"/>
        </w:rPr>
      </w:pP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cstheme="minorBidi"/>
          <w:sz w:val="21"/>
          <w:szCs w:val="21"/>
        </w:rPr>
        <w:t>本</w:t>
      </w:r>
      <w:r>
        <w:rPr>
          <w:rFonts w:hint="eastAsia" w:ascii="宋体" w:hAnsi="宋体" w:cstheme="minorBidi"/>
          <w:sz w:val="21"/>
          <w:szCs w:val="21"/>
        </w:rPr>
        <w:t>投标人</w:t>
      </w:r>
      <w:r>
        <w:rPr>
          <w:rFonts w:ascii="宋体" w:hAnsi="宋体"/>
          <w:sz w:val="21"/>
          <w:szCs w:val="21"/>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color w:val="FF0000"/>
          <w:sz w:val="21"/>
          <w:szCs w:val="21"/>
        </w:rPr>
      </w:pPr>
      <w:r>
        <w:rPr>
          <w:rFonts w:hint="eastAsia" w:ascii="宋体" w:hAnsi="宋体"/>
          <w:sz w:val="21"/>
          <w:szCs w:val="21"/>
        </w:rPr>
        <w:t>附：省级以上监狱管理局、戒毒管理局（含新疆生产建设兵团）出具的监狱企业证明文件。</w:t>
      </w:r>
      <w:bookmarkEnd w:id="56"/>
    </w:p>
    <w:p>
      <w:pPr>
        <w:pStyle w:val="4"/>
        <w:jc w:val="center"/>
        <w:rPr>
          <w:rFonts w:ascii="黑体" w:eastAsia="黑体"/>
          <w:b w:val="0"/>
          <w:sz w:val="24"/>
          <w:szCs w:val="24"/>
        </w:rPr>
      </w:pPr>
      <w:bookmarkStart w:id="60" w:name="_Hlk72259976"/>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94"/>
        <w:gridCol w:w="1058"/>
        <w:gridCol w:w="616"/>
        <w:gridCol w:w="616"/>
        <w:gridCol w:w="524"/>
        <w:gridCol w:w="519"/>
        <w:gridCol w:w="544"/>
        <w:gridCol w:w="425"/>
        <w:gridCol w:w="749"/>
        <w:gridCol w:w="5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序号</w:t>
            </w:r>
          </w:p>
        </w:tc>
        <w:tc>
          <w:tcPr>
            <w:tcW w:w="817"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szCs w:val="21"/>
              </w:rPr>
              <w:t>采购计划编号</w:t>
            </w:r>
          </w:p>
        </w:tc>
        <w:tc>
          <w:tcPr>
            <w:tcW w:w="620"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货物名称</w:t>
            </w:r>
          </w:p>
        </w:tc>
        <w:tc>
          <w:tcPr>
            <w:tcW w:w="361" w:type="pct"/>
            <w:vAlign w:val="center"/>
          </w:tcPr>
          <w:p>
            <w:pPr>
              <w:jc w:val="center"/>
              <w:rPr>
                <w:rFonts w:hint="eastAsia" w:ascii="Times New Roman" w:hAnsi="Times New Roman" w:eastAsia="宋体" w:cs="Times New Roman"/>
                <w:bCs/>
                <w:szCs w:val="21"/>
              </w:rPr>
            </w:pPr>
            <w:r>
              <w:rPr>
                <w:rFonts w:hint="eastAsia" w:ascii="Times New Roman" w:hAnsi="Times New Roman" w:eastAsia="宋体" w:cs="Times New Roman"/>
                <w:szCs w:val="21"/>
              </w:rPr>
              <w:t>品牌</w:t>
            </w:r>
          </w:p>
        </w:tc>
        <w:tc>
          <w:tcPr>
            <w:tcW w:w="361"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szCs w:val="21"/>
              </w:rPr>
              <w:t>规格/型号</w:t>
            </w:r>
          </w:p>
        </w:tc>
        <w:tc>
          <w:tcPr>
            <w:tcW w:w="307"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
                <w:color w:val="FF0000"/>
                <w:szCs w:val="21"/>
              </w:rPr>
              <w:t>原产地</w:t>
            </w:r>
          </w:p>
        </w:tc>
        <w:tc>
          <w:tcPr>
            <w:tcW w:w="304"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szCs w:val="21"/>
              </w:rPr>
              <w:t>制造商名称</w:t>
            </w:r>
          </w:p>
        </w:tc>
        <w:tc>
          <w:tcPr>
            <w:tcW w:w="318"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数量</w:t>
            </w:r>
          </w:p>
        </w:tc>
        <w:tc>
          <w:tcPr>
            <w:tcW w:w="249"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单位</w:t>
            </w:r>
          </w:p>
        </w:tc>
        <w:tc>
          <w:tcPr>
            <w:tcW w:w="439"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szCs w:val="21"/>
              </w:rPr>
              <w:t>单价(元)</w:t>
            </w:r>
          </w:p>
        </w:tc>
        <w:tc>
          <w:tcPr>
            <w:tcW w:w="344"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szCs w:val="21"/>
              </w:rPr>
              <w:t>合价(元)</w:t>
            </w:r>
          </w:p>
        </w:tc>
        <w:tc>
          <w:tcPr>
            <w:tcW w:w="629" w:type="pct"/>
            <w:vAlign w:val="center"/>
          </w:tcPr>
          <w:p>
            <w:pPr>
              <w:keepNext w:val="0"/>
              <w:keepLines w:val="0"/>
              <w:widowControl/>
              <w:suppressLineNumbers w:val="0"/>
              <w:jc w:val="center"/>
              <w:textAlignment w:val="center"/>
              <w:rPr>
                <w:rFonts w:hint="eastAsia" w:ascii="Times New Roman" w:hAnsi="Times New Roman" w:eastAsia="宋体" w:cs="Times New Roman"/>
                <w:szCs w:val="21"/>
              </w:rPr>
            </w:pPr>
            <w:r>
              <w:rPr>
                <w:rFonts w:hint="eastAsia" w:ascii="宋体" w:hAnsi="宋体" w:eastAsia="宋体" w:cs="宋体"/>
                <w:b/>
                <w:bCs/>
                <w:i w:val="0"/>
                <w:iCs w:val="0"/>
                <w:color w:val="000000"/>
                <w:kern w:val="0"/>
                <w:sz w:val="21"/>
                <w:szCs w:val="21"/>
                <w:u w:val="none"/>
                <w:lang w:val="en-US" w:eastAsia="zh-CN" w:bidi="ar"/>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48"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817" w:type="pct"/>
            <w:vMerge w:val="restar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PLAN-2021</w:t>
            </w:r>
            <w:r>
              <w:rPr>
                <w:rFonts w:ascii="Times New Roman" w:hAnsi="Times New Roman" w:eastAsia="宋体" w:cs="Times New Roman"/>
                <w:bCs/>
                <w:szCs w:val="21"/>
              </w:rPr>
              <w:t>***</w:t>
            </w:r>
          </w:p>
        </w:tc>
        <w:tc>
          <w:tcPr>
            <w:tcW w:w="620" w:type="pct"/>
            <w:vAlign w:val="center"/>
          </w:tcPr>
          <w:p>
            <w:pPr>
              <w:keepNext w:val="0"/>
              <w:keepLines w:val="0"/>
              <w:widowControl/>
              <w:suppressLineNumbers w:val="0"/>
              <w:jc w:val="center"/>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手动三摇病床</w:t>
            </w:r>
          </w:p>
        </w:tc>
        <w:tc>
          <w:tcPr>
            <w:tcW w:w="361" w:type="pct"/>
            <w:vAlign w:val="center"/>
          </w:tcPr>
          <w:p>
            <w:pPr>
              <w:jc w:val="center"/>
              <w:rPr>
                <w:rFonts w:hint="eastAsia" w:ascii="Times New Roman" w:hAnsi="Times New Roman" w:eastAsia="宋体" w:cs="Times New Roman"/>
                <w:bCs/>
                <w:szCs w:val="21"/>
              </w:rPr>
            </w:pPr>
          </w:p>
        </w:tc>
        <w:tc>
          <w:tcPr>
            <w:tcW w:w="361" w:type="pct"/>
            <w:vAlign w:val="center"/>
          </w:tcPr>
          <w:p>
            <w:pPr>
              <w:jc w:val="center"/>
              <w:rPr>
                <w:rFonts w:ascii="Times New Roman" w:hAnsi="Times New Roman" w:eastAsia="宋体" w:cs="Times New Roman"/>
                <w:bCs/>
                <w:szCs w:val="21"/>
              </w:rPr>
            </w:pPr>
          </w:p>
        </w:tc>
        <w:tc>
          <w:tcPr>
            <w:tcW w:w="307" w:type="pct"/>
            <w:vAlign w:val="center"/>
          </w:tcPr>
          <w:p>
            <w:pPr>
              <w:jc w:val="center"/>
              <w:rPr>
                <w:rFonts w:ascii="Times New Roman" w:hAnsi="Times New Roman" w:eastAsia="宋体" w:cs="Times New Roman"/>
                <w:bCs/>
                <w:szCs w:val="21"/>
              </w:rPr>
            </w:pPr>
          </w:p>
        </w:tc>
        <w:tc>
          <w:tcPr>
            <w:tcW w:w="304" w:type="pct"/>
            <w:vAlign w:val="center"/>
          </w:tcPr>
          <w:p>
            <w:pPr>
              <w:jc w:val="center"/>
              <w:rPr>
                <w:rFonts w:ascii="Times New Roman" w:hAnsi="Times New Roman" w:eastAsia="宋体" w:cs="Times New Roman"/>
                <w:bCs/>
                <w:szCs w:val="21"/>
              </w:rPr>
            </w:pPr>
          </w:p>
        </w:tc>
        <w:tc>
          <w:tcPr>
            <w:tcW w:w="318" w:type="pct"/>
            <w:vAlign w:val="center"/>
          </w:tcPr>
          <w:p>
            <w:pPr>
              <w:keepNext w:val="0"/>
              <w:keepLines w:val="0"/>
              <w:widowControl/>
              <w:suppressLineNumbers w:val="0"/>
              <w:jc w:val="center"/>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50</w:t>
            </w:r>
          </w:p>
        </w:tc>
        <w:tc>
          <w:tcPr>
            <w:tcW w:w="249" w:type="pct"/>
            <w:vAlign w:val="center"/>
          </w:tcPr>
          <w:p>
            <w:pPr>
              <w:keepNext w:val="0"/>
              <w:keepLines w:val="0"/>
              <w:widowControl/>
              <w:suppressLineNumbers w:val="0"/>
              <w:jc w:val="center"/>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套</w:t>
            </w:r>
          </w:p>
        </w:tc>
        <w:tc>
          <w:tcPr>
            <w:tcW w:w="439" w:type="pct"/>
            <w:vAlign w:val="center"/>
          </w:tcPr>
          <w:p>
            <w:pPr>
              <w:jc w:val="center"/>
              <w:rPr>
                <w:rFonts w:ascii="Times New Roman" w:hAnsi="Times New Roman" w:eastAsia="宋体" w:cs="Times New Roman"/>
                <w:bCs/>
                <w:szCs w:val="21"/>
              </w:rPr>
            </w:pPr>
          </w:p>
        </w:tc>
        <w:tc>
          <w:tcPr>
            <w:tcW w:w="344" w:type="pct"/>
            <w:vAlign w:val="center"/>
          </w:tcPr>
          <w:p>
            <w:pPr>
              <w:jc w:val="center"/>
              <w:rPr>
                <w:rFonts w:ascii="Times New Roman" w:hAnsi="Times New Roman" w:eastAsia="宋体" w:cs="Times New Roman"/>
                <w:bCs/>
                <w:szCs w:val="21"/>
              </w:rPr>
            </w:pPr>
          </w:p>
        </w:tc>
        <w:tc>
          <w:tcPr>
            <w:tcW w:w="629" w:type="pct"/>
            <w:vAlign w:val="center"/>
          </w:tcPr>
          <w:p>
            <w:pPr>
              <w:keepNext w:val="0"/>
              <w:keepLines w:val="0"/>
              <w:widowControl/>
              <w:suppressLineNumbers w:val="0"/>
              <w:jc w:val="right"/>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pc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817" w:type="pct"/>
            <w:vMerge w:val="continue"/>
            <w:vAlign w:val="center"/>
          </w:tcPr>
          <w:p>
            <w:pPr>
              <w:jc w:val="center"/>
              <w:rPr>
                <w:rFonts w:ascii="Times New Roman" w:hAnsi="Times New Roman" w:eastAsia="宋体" w:cs="Times New Roman"/>
                <w:bCs/>
                <w:szCs w:val="21"/>
              </w:rPr>
            </w:pPr>
          </w:p>
        </w:tc>
        <w:tc>
          <w:tcPr>
            <w:tcW w:w="620" w:type="pct"/>
            <w:vAlign w:val="center"/>
          </w:tcPr>
          <w:p>
            <w:pPr>
              <w:keepNext w:val="0"/>
              <w:keepLines w:val="0"/>
              <w:widowControl/>
              <w:suppressLineNumbers w:val="0"/>
              <w:jc w:val="center"/>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床头柜</w:t>
            </w:r>
          </w:p>
        </w:tc>
        <w:tc>
          <w:tcPr>
            <w:tcW w:w="361" w:type="pct"/>
            <w:vAlign w:val="center"/>
          </w:tcPr>
          <w:p>
            <w:pPr>
              <w:jc w:val="center"/>
              <w:rPr>
                <w:rFonts w:hint="eastAsia" w:ascii="Times New Roman" w:hAnsi="Times New Roman" w:eastAsia="宋体" w:cs="Times New Roman"/>
                <w:bCs/>
                <w:szCs w:val="21"/>
              </w:rPr>
            </w:pPr>
          </w:p>
        </w:tc>
        <w:tc>
          <w:tcPr>
            <w:tcW w:w="361" w:type="pct"/>
            <w:vAlign w:val="center"/>
          </w:tcPr>
          <w:p>
            <w:pPr>
              <w:jc w:val="center"/>
              <w:rPr>
                <w:rFonts w:ascii="Times New Roman" w:hAnsi="Times New Roman" w:eastAsia="宋体" w:cs="Times New Roman"/>
                <w:bCs/>
                <w:szCs w:val="21"/>
              </w:rPr>
            </w:pPr>
          </w:p>
        </w:tc>
        <w:tc>
          <w:tcPr>
            <w:tcW w:w="307" w:type="pct"/>
            <w:vAlign w:val="center"/>
          </w:tcPr>
          <w:p>
            <w:pPr>
              <w:jc w:val="center"/>
              <w:rPr>
                <w:rFonts w:ascii="Times New Roman" w:hAnsi="Times New Roman" w:eastAsia="宋体" w:cs="Times New Roman"/>
                <w:bCs/>
                <w:szCs w:val="21"/>
              </w:rPr>
            </w:pPr>
          </w:p>
        </w:tc>
        <w:tc>
          <w:tcPr>
            <w:tcW w:w="304" w:type="pct"/>
            <w:vAlign w:val="center"/>
          </w:tcPr>
          <w:p>
            <w:pPr>
              <w:jc w:val="center"/>
              <w:rPr>
                <w:rFonts w:ascii="Times New Roman" w:hAnsi="Times New Roman" w:eastAsia="宋体" w:cs="Times New Roman"/>
                <w:bCs/>
                <w:szCs w:val="21"/>
              </w:rPr>
            </w:pPr>
          </w:p>
        </w:tc>
        <w:tc>
          <w:tcPr>
            <w:tcW w:w="318" w:type="pct"/>
            <w:vAlign w:val="center"/>
          </w:tcPr>
          <w:p>
            <w:pPr>
              <w:keepNext w:val="0"/>
              <w:keepLines w:val="0"/>
              <w:widowControl/>
              <w:suppressLineNumbers w:val="0"/>
              <w:jc w:val="center"/>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20</w:t>
            </w:r>
          </w:p>
        </w:tc>
        <w:tc>
          <w:tcPr>
            <w:tcW w:w="249" w:type="pct"/>
            <w:vAlign w:val="center"/>
          </w:tcPr>
          <w:p>
            <w:pPr>
              <w:keepNext w:val="0"/>
              <w:keepLines w:val="0"/>
              <w:widowControl/>
              <w:suppressLineNumbers w:val="0"/>
              <w:jc w:val="center"/>
              <w:textAlignment w:val="center"/>
              <w:rPr>
                <w:rFonts w:ascii="Times New Roman" w:hAnsi="Times New Roman" w:eastAsia="宋体" w:cs="Times New Roman"/>
                <w:bCs/>
                <w:szCs w:val="21"/>
              </w:rPr>
            </w:pPr>
            <w:r>
              <w:rPr>
                <w:rFonts w:hint="eastAsia" w:ascii="宋体" w:hAnsi="宋体" w:eastAsia="宋体" w:cs="宋体"/>
                <w:i w:val="0"/>
                <w:iCs w:val="0"/>
                <w:color w:val="000000"/>
                <w:kern w:val="0"/>
                <w:sz w:val="21"/>
                <w:szCs w:val="21"/>
                <w:u w:val="none"/>
                <w:lang w:val="en-US" w:eastAsia="zh-CN" w:bidi="ar"/>
              </w:rPr>
              <w:t>个</w:t>
            </w:r>
          </w:p>
        </w:tc>
        <w:tc>
          <w:tcPr>
            <w:tcW w:w="439" w:type="pct"/>
            <w:vAlign w:val="center"/>
          </w:tcPr>
          <w:p>
            <w:pPr>
              <w:jc w:val="center"/>
              <w:rPr>
                <w:rFonts w:ascii="Times New Roman" w:hAnsi="Times New Roman" w:eastAsia="宋体" w:cs="Times New Roman"/>
                <w:bCs/>
                <w:szCs w:val="21"/>
              </w:rPr>
            </w:pPr>
          </w:p>
        </w:tc>
        <w:tc>
          <w:tcPr>
            <w:tcW w:w="344" w:type="pct"/>
            <w:vAlign w:val="center"/>
          </w:tcPr>
          <w:p>
            <w:pPr>
              <w:jc w:val="center"/>
              <w:rPr>
                <w:rFonts w:ascii="Times New Roman" w:hAnsi="Times New Roman" w:eastAsia="宋体" w:cs="Times New Roman"/>
                <w:bCs/>
                <w:szCs w:val="21"/>
              </w:rPr>
            </w:pPr>
          </w:p>
        </w:tc>
        <w:tc>
          <w:tcPr>
            <w:tcW w:w="629" w:type="pct"/>
            <w:vAlign w:val="center"/>
          </w:tcPr>
          <w:p>
            <w:pPr>
              <w:keepNext w:val="0"/>
              <w:keepLines w:val="0"/>
              <w:widowControl/>
              <w:suppressLineNumbers w:val="0"/>
              <w:jc w:val="right"/>
              <w:textAlignment w:val="center"/>
              <w:rPr>
                <w:rFonts w:ascii="Times New Roman" w:hAnsi="Times New Roman" w:eastAsia="宋体" w:cs="Times New Roman"/>
                <w:b/>
                <w:bCs/>
                <w:color w:val="FF0000"/>
                <w:szCs w:val="21"/>
              </w:rPr>
            </w:pPr>
            <w:r>
              <w:rPr>
                <w:rFonts w:hint="eastAsia" w:ascii="宋体" w:hAnsi="宋体" w:eastAsia="宋体" w:cs="宋体"/>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2"/>
            <w:vAlign w:val="center"/>
          </w:tcPr>
          <w:p>
            <w:pPr>
              <w:jc w:val="left"/>
              <w:rPr>
                <w:rFonts w:hint="eastAsia" w:ascii="Times New Roman" w:hAnsi="Times New Roman" w:eastAsia="宋体" w:cs="Times New Roman"/>
                <w:bCs/>
                <w:szCs w:val="21"/>
              </w:rPr>
            </w:pPr>
            <w:r>
              <w:rPr>
                <w:rFonts w:hint="eastAsia" w:ascii="Times New Roman" w:hAnsi="Times New Roman" w:eastAsia="宋体" w:cs="Times New Roman"/>
                <w:bCs/>
                <w:szCs w:val="21"/>
              </w:rPr>
              <w:t>合计（即投标总价；币种：人民币；单位：元） 小写：            大写：</w:t>
            </w:r>
          </w:p>
        </w:tc>
      </w:tr>
    </w:tbl>
    <w:p>
      <w:pPr>
        <w:ind w:firstLine="482" w:firstLineChars="200"/>
        <w:rPr>
          <w:rFonts w:hint="eastAsia" w:ascii="宋体" w:hAnsi="宋体"/>
          <w:b/>
          <w:sz w:val="24"/>
        </w:rPr>
      </w:pPr>
    </w:p>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hint="default" w:ascii="宋体" w:hAnsi="宋体" w:eastAsia="宋体"/>
          <w:b/>
          <w:sz w:val="24"/>
          <w:lang w:val="en-US" w:eastAsia="zh-CN"/>
        </w:rPr>
      </w:pPr>
      <w:r>
        <w:rPr>
          <w:rFonts w:hint="eastAsia" w:ascii="宋体" w:hAnsi="宋体"/>
          <w:b/>
          <w:sz w:val="24"/>
        </w:rPr>
        <w:t>2</w:t>
      </w:r>
      <w:r>
        <w:rPr>
          <w:rFonts w:ascii="宋体" w:hAnsi="宋体"/>
          <w:b/>
          <w:sz w:val="24"/>
        </w:rPr>
        <w:t>.</w:t>
      </w:r>
      <w:r>
        <w:rPr>
          <w:rFonts w:hint="eastAsia" w:ascii="宋体" w:hAnsi="宋体"/>
          <w:b/>
          <w:sz w:val="24"/>
          <w:lang w:eastAsia="zh-CN"/>
        </w:rPr>
        <w:t>“</w:t>
      </w:r>
      <w:r>
        <w:rPr>
          <w:rFonts w:hint="eastAsia" w:ascii="宋体" w:hAnsi="宋体"/>
          <w:b/>
          <w:sz w:val="24"/>
          <w:lang w:val="en-US" w:eastAsia="zh-CN"/>
        </w:rPr>
        <w:t>品牌</w:t>
      </w:r>
      <w:r>
        <w:rPr>
          <w:rFonts w:hint="eastAsia" w:ascii="宋体" w:hAnsi="宋体"/>
          <w:b/>
          <w:sz w:val="24"/>
          <w:lang w:eastAsia="zh-CN"/>
        </w:rPr>
        <w:t>”</w:t>
      </w:r>
      <w:r>
        <w:rPr>
          <w:rFonts w:hint="eastAsia" w:ascii="宋体" w:hAnsi="宋体"/>
          <w:b/>
          <w:sz w:val="24"/>
          <w:lang w:val="en-US" w:eastAsia="zh-CN"/>
        </w:rPr>
        <w:t>可以与商标一致，也可以填写便于区分其他公司商品的制造商简称或者制造商认可的品牌名称</w:t>
      </w:r>
      <w:r>
        <w:rPr>
          <w:rFonts w:hint="eastAsia" w:ascii="宋体" w:hAnsi="宋体"/>
          <w:b/>
          <w:sz w:val="24"/>
        </w:rPr>
        <w:t>。此类填写错误或缺漏的不利后果由供应商承担。经评审委员会认定，在使用综合评分法的项目中一项此类填写错误或缺漏将按照一项普通招标技术要求（一般参数/普通参数）负偏离扣分处理。</w:t>
      </w:r>
    </w:p>
    <w:p>
      <w:pPr>
        <w:ind w:firstLine="472" w:firstLineChars="196"/>
        <w:rPr>
          <w:rFonts w:hint="eastAsia"/>
          <w:b/>
          <w:sz w:val="24"/>
        </w:rPr>
      </w:pPr>
      <w:r>
        <w:rPr>
          <w:rFonts w:hint="eastAsia" w:ascii="宋体" w:hAnsi="宋体"/>
          <w:b/>
          <w:sz w:val="24"/>
          <w:lang w:val="en-US" w:eastAsia="zh-CN"/>
        </w:rPr>
        <w:t>3.</w:t>
      </w:r>
      <w:r>
        <w:rPr>
          <w:rFonts w:hint="eastAsia" w:ascii="宋体" w:hAnsi="宋体"/>
          <w:b/>
          <w:sz w:val="24"/>
        </w:rPr>
        <w:t>如所投货物属于定制类的非量产货物或无具体型号的货物，可以在“规格/型号”</w:t>
      </w:r>
      <w:r>
        <w:rPr>
          <w:rFonts w:hint="eastAsia" w:ascii="宋体" w:hAnsi="宋体"/>
          <w:b/>
          <w:sz w:val="24"/>
          <w:lang w:val="en-US" w:eastAsia="zh-CN"/>
        </w:rPr>
        <w:t>栏目</w:t>
      </w:r>
      <w:r>
        <w:rPr>
          <w:rFonts w:hint="eastAsia" w:ascii="宋体" w:hAnsi="宋体"/>
          <w:b/>
          <w:sz w:val="24"/>
        </w:rPr>
        <w:t>仅填写规格信息而不填型号信息（型号信息用“定制”描述即可）；</w:t>
      </w:r>
      <w:bookmarkStart w:id="61" w:name="_Hlk73646428"/>
      <w:r>
        <w:rPr>
          <w:rFonts w:hint="eastAsia" w:ascii="宋体" w:hAnsi="宋体"/>
          <w:b/>
          <w:sz w:val="24"/>
        </w:rPr>
        <w:t>此类填写错误</w:t>
      </w:r>
      <w:r>
        <w:rPr>
          <w:rFonts w:hint="eastAsia" w:ascii="宋体" w:hAnsi="宋体"/>
          <w:b/>
          <w:sz w:val="24"/>
          <w:lang w:val="en-US" w:eastAsia="zh-CN"/>
        </w:rPr>
        <w:t>或缺漏</w:t>
      </w:r>
      <w:r>
        <w:rPr>
          <w:rFonts w:hint="eastAsia" w:ascii="宋体" w:hAnsi="宋体"/>
          <w:b/>
          <w:sz w:val="24"/>
        </w:rPr>
        <w:t>（所投货物为定制类的非量产货物但供应商却错误填报了型号）的不利后果</w:t>
      </w:r>
      <w:r>
        <w:rPr>
          <w:rFonts w:hint="eastAsia"/>
          <w:b/>
          <w:sz w:val="24"/>
        </w:rPr>
        <w:t>由供应商承担</w:t>
      </w:r>
      <w:r>
        <w:rPr>
          <w:rFonts w:hint="eastAsia"/>
          <w:b/>
          <w:sz w:val="24"/>
          <w:lang w:eastAsia="zh-CN"/>
        </w:rPr>
        <w:t>。</w:t>
      </w:r>
      <w:r>
        <w:rPr>
          <w:rFonts w:hint="eastAsia"/>
          <w:b/>
          <w:sz w:val="24"/>
        </w:rPr>
        <w:t>经评审委员会认定，在使用综合评分法的项目中一项此类填写错误</w:t>
      </w:r>
      <w:r>
        <w:rPr>
          <w:rFonts w:hint="eastAsia"/>
          <w:b/>
          <w:sz w:val="24"/>
          <w:lang w:val="en-US" w:eastAsia="zh-CN"/>
        </w:rPr>
        <w:t>或缺漏</w:t>
      </w:r>
      <w:r>
        <w:rPr>
          <w:rFonts w:hint="eastAsia"/>
          <w:b/>
          <w:sz w:val="24"/>
        </w:rPr>
        <w:t>将按照一项</w:t>
      </w:r>
      <w:r>
        <w:rPr>
          <w:rFonts w:hint="eastAsia"/>
          <w:b/>
          <w:sz w:val="24"/>
          <w:lang w:val="en-US" w:eastAsia="zh-CN"/>
        </w:rPr>
        <w:t>普通招标技术要求（一般参数/普通参数）</w:t>
      </w:r>
      <w:r>
        <w:rPr>
          <w:rFonts w:hint="eastAsia"/>
          <w:b/>
          <w:sz w:val="24"/>
        </w:rPr>
        <w:t>负偏离扣分处理。</w:t>
      </w:r>
      <w:bookmarkEnd w:id="61"/>
    </w:p>
    <w:p>
      <w:pPr>
        <w:ind w:firstLine="472" w:firstLineChars="196"/>
        <w:rPr>
          <w:rFonts w:ascii="宋体" w:hAnsi="宋体"/>
          <w:b/>
          <w:sz w:val="24"/>
        </w:rPr>
      </w:pPr>
      <w:r>
        <w:rPr>
          <w:rFonts w:ascii="宋体" w:hAnsi="宋体"/>
          <w:b/>
          <w:sz w:val="24"/>
        </w:rPr>
        <w:t>3</w:t>
      </w:r>
      <w:r>
        <w:rPr>
          <w:rFonts w:hint="eastAsia" w:ascii="宋体" w:hAnsi="宋体"/>
          <w:b/>
          <w:sz w:val="24"/>
        </w:rPr>
        <w:t>.“原产地”是指货物的实际生产加工地，非品牌所在地</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r>
        <w:rPr>
          <w:rFonts w:hint="eastAsia" w:ascii="宋体" w:hAnsi="宋体"/>
          <w:b/>
          <w:sz w:val="24"/>
          <w:lang w:eastAsia="zh-CN"/>
        </w:rPr>
        <w:t>，</w:t>
      </w:r>
      <w:r>
        <w:rPr>
          <w:rFonts w:hint="eastAsia" w:ascii="宋体" w:hAnsi="宋体"/>
          <w:b/>
          <w:sz w:val="24"/>
        </w:rPr>
        <w:t>“制造商”是指产品品牌厂商，产品代工制造的，应填写接受委托生产制造的制造商。</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hint="default" w:ascii="宋体" w:hAnsi="宋体" w:eastAsia="宋体"/>
          <w:sz w:val="24"/>
          <w:lang w:val="en-US" w:eastAsia="zh-CN"/>
        </w:rPr>
      </w:pPr>
      <w:r>
        <w:rPr>
          <w:rFonts w:hint="eastAsia" w:ascii="宋体" w:hAnsi="宋体"/>
          <w:sz w:val="24"/>
        </w:rPr>
        <w:t>备注：</w:t>
      </w:r>
      <w:r>
        <w:rPr>
          <w:rFonts w:hint="eastAsia" w:ascii="宋体" w:hAnsi="宋体"/>
          <w:sz w:val="24"/>
          <w:lang w:val="en-US" w:eastAsia="zh-CN"/>
        </w:rPr>
        <w:t>单一产品采购项目，核心产品即为该单一产品。</w:t>
      </w:r>
    </w:p>
    <w:p>
      <w:pPr>
        <w:ind w:firstLine="482" w:firstLineChars="200"/>
        <w:rPr>
          <w:rFonts w:ascii="宋体" w:hAnsi="宋体"/>
          <w:b/>
          <w:color w:val="FF0000"/>
          <w:sz w:val="24"/>
        </w:rPr>
      </w:pPr>
    </w:p>
    <w:p>
      <w:pPr>
        <w:ind w:firstLine="482" w:firstLineChars="200"/>
        <w:rPr>
          <w:rFonts w:ascii="宋体" w:hAnsi="宋体"/>
          <w:b/>
          <w:color w:val="FF0000"/>
          <w:sz w:val="24"/>
        </w:rPr>
      </w:pPr>
    </w:p>
    <w:p>
      <w:pPr>
        <w:rPr>
          <w:b/>
          <w:sz w:val="24"/>
        </w:rPr>
      </w:pPr>
    </w:p>
    <w:p>
      <w:pPr>
        <w:tabs>
          <w:tab w:val="left" w:pos="720"/>
        </w:tabs>
        <w:ind w:firstLine="1928" w:firstLineChars="800"/>
        <w:rPr>
          <w:b/>
          <w:sz w:val="24"/>
        </w:rPr>
      </w:pPr>
      <w:r>
        <w:rPr>
          <w:rFonts w:hint="eastAsia"/>
          <w:b/>
          <w:sz w:val="24"/>
        </w:rPr>
        <w:t>（三）可选配件报价清单（不包括在总报价内）</w:t>
      </w:r>
    </w:p>
    <w:p>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62" w:name="_Hlk72073235"/>
      <w:r>
        <w:rPr>
          <w:rFonts w:hint="eastAsia"/>
          <w:b/>
          <w:sz w:val="24"/>
        </w:rPr>
        <w:t>投标人认为需要涉及的其他内容报价清单</w:t>
      </w:r>
      <w:bookmarkEnd w:id="62"/>
    </w:p>
    <w:p>
      <w:pPr>
        <w:rPr>
          <w:b/>
          <w:bCs/>
        </w:rPr>
      </w:pPr>
    </w:p>
    <w:bookmarkEnd w:id="60"/>
    <w:p>
      <w:r>
        <w:br w:type="page"/>
      </w:r>
    </w:p>
    <w:p>
      <w:pPr>
        <w:pStyle w:val="54"/>
        <w:rPr>
          <w:rFonts w:hint="eastAsia" w:ascii="宋体" w:hAnsi="宋体"/>
          <w:b/>
          <w:color w:val="FF0000"/>
          <w:sz w:val="28"/>
          <w:szCs w:val="28"/>
        </w:rPr>
      </w:pPr>
      <w:bookmarkStart w:id="63" w:name="_Hlk72260530"/>
    </w:p>
    <w:p>
      <w:pPr>
        <w:widowControl w:val="0"/>
        <w:snapToGrid w:val="0"/>
        <w:spacing w:before="0" w:after="0" w:line="240" w:lineRule="auto"/>
        <w:jc w:val="center"/>
        <w:outlineLvl w:val="0"/>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五、供应商基本情况表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pStyle w:val="54"/>
        <w:rPr>
          <w:rFonts w:hint="eastAsia" w:ascii="宋体" w:hAnsi="宋体"/>
          <w:b/>
          <w:color w:val="FF0000"/>
          <w:sz w:val="28"/>
          <w:szCs w:val="28"/>
        </w:rPr>
      </w:pPr>
    </w:p>
    <w:p>
      <w:pPr>
        <w:pStyle w:val="54"/>
        <w:rPr>
          <w:rFonts w:hint="eastAsia" w:ascii="宋体" w:hAnsi="宋体"/>
          <w:b/>
          <w:color w:val="FF0000"/>
          <w:sz w:val="28"/>
          <w:szCs w:val="28"/>
        </w:rPr>
      </w:pPr>
    </w:p>
    <w:p>
      <w:pPr>
        <w:pStyle w:val="4"/>
        <w:jc w:val="center"/>
        <w:rPr>
          <w:rFonts w:ascii="黑体" w:eastAsia="黑体"/>
          <w:b w:val="0"/>
          <w:sz w:val="24"/>
        </w:rPr>
      </w:pPr>
      <w:r>
        <w:rPr>
          <w:rFonts w:hint="eastAsia" w:ascii="黑体" w:eastAsia="黑体"/>
          <w:b w:val="0"/>
          <w:sz w:val="24"/>
          <w:lang w:val="en-US" w:eastAsia="zh-CN"/>
        </w:rPr>
        <w:t>六</w:t>
      </w:r>
      <w:r>
        <w:rPr>
          <w:rFonts w:hint="eastAsia" w:ascii="黑体" w:eastAsia="黑体"/>
          <w:b w:val="0"/>
          <w:sz w:val="24"/>
        </w:rPr>
        <w:t>、</w:t>
      </w:r>
      <w:bookmarkStart w:id="64" w:name="_Hlk72092499"/>
      <w:r>
        <w:rPr>
          <w:rFonts w:hint="eastAsia" w:ascii="黑体" w:eastAsia="黑体"/>
          <w:b w:val="0"/>
          <w:sz w:val="24"/>
        </w:rPr>
        <w:t>法定代表人（负责人）证明书</w:t>
      </w:r>
      <w:bookmarkEnd w:id="64"/>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9"/>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9"/>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lang w:val="en-US" w:eastAsia="zh-CN"/>
              </w:rPr>
              <w:t>证件扫描件正面</w:t>
            </w:r>
          </w:p>
          <w:p>
            <w:pPr>
              <w:pStyle w:val="2"/>
              <w:jc w:val="center"/>
              <w:rPr>
                <w:rFonts w:hint="eastAsia"/>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2"/>
              <w:jc w:val="center"/>
              <w:rPr>
                <w:rFonts w:hint="eastAsia"/>
                <w:lang w:val="en-US" w:eastAsia="zh-CN"/>
              </w:rPr>
            </w:pPr>
          </w:p>
          <w:p>
            <w:pPr>
              <w:pStyle w:val="36"/>
              <w:jc w:val="center"/>
              <w:rPr>
                <w:rFonts w:hint="eastAsia"/>
                <w:sz w:val="24"/>
                <w:vertAlign w:val="baseline"/>
                <w:lang w:val="en-US" w:eastAsia="zh-CN"/>
              </w:rPr>
            </w:pPr>
          </w:p>
        </w:tc>
      </w:tr>
    </w:tbl>
    <w:p>
      <w:pPr>
        <w:rPr>
          <w:sz w:val="24"/>
        </w:rPr>
      </w:pPr>
    </w:p>
    <w:p>
      <w:pPr>
        <w:pStyle w:val="54"/>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pStyle w:val="54"/>
        <w:rPr>
          <w:sz w:val="24"/>
        </w:rPr>
      </w:pPr>
    </w:p>
    <w:p>
      <w:pPr>
        <w:pStyle w:val="54"/>
        <w:rPr>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pPr>
        <w:pStyle w:val="54"/>
        <w:rPr>
          <w:sz w:val="24"/>
        </w:rPr>
      </w:pPr>
    </w:p>
    <w:p>
      <w:pPr>
        <w:pStyle w:val="4"/>
        <w:spacing w:before="120" w:after="120"/>
        <w:jc w:val="center"/>
        <w:rPr>
          <w:rFonts w:ascii="黑体" w:eastAsia="黑体"/>
          <w:b w:val="0"/>
          <w:sz w:val="24"/>
        </w:rPr>
      </w:pPr>
      <w:r>
        <w:rPr>
          <w:rFonts w:hint="eastAsia" w:ascii="黑体" w:eastAsia="黑体"/>
          <w:b w:val="0"/>
          <w:sz w:val="24"/>
          <w:lang w:val="en-US" w:eastAsia="zh-CN"/>
        </w:rPr>
        <w:t>七</w:t>
      </w:r>
      <w:r>
        <w:rPr>
          <w:rFonts w:hint="eastAsia" w:ascii="黑体" w:eastAsia="黑体"/>
          <w:b w:val="0"/>
          <w:sz w:val="24"/>
        </w:rPr>
        <w:t>、投标文件签署授权委托书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p>
            <w:pPr>
              <w:pStyle w:val="36"/>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6"/>
              <w:jc w:val="center"/>
              <w:rPr>
                <w:rFonts w:hint="eastAsia"/>
                <w:sz w:val="24"/>
                <w:vertAlign w:val="baseline"/>
                <w:lang w:val="en-US" w:eastAsia="zh-CN"/>
              </w:rPr>
            </w:pPr>
          </w:p>
        </w:tc>
      </w:tr>
    </w:tbl>
    <w:p>
      <w:pPr>
        <w:widowControl w:val="0"/>
        <w:jc w:val="both"/>
        <w:rPr>
          <w:rFonts w:hint="eastAsia" w:ascii="黑体" w:hAnsi="黑体" w:eastAsia="黑体" w:cs="黑体"/>
          <w:b/>
          <w:bCs/>
          <w:color w:val="auto"/>
          <w:kern w:val="2"/>
          <w:sz w:val="24"/>
          <w:szCs w:val="24"/>
          <w:u w:val="none"/>
          <w:lang w:val="en-US" w:eastAsia="zh-CN" w:bidi="ar-SA"/>
        </w:rPr>
      </w:pPr>
    </w:p>
    <w:p>
      <w:pPr>
        <w:widowControl w:val="0"/>
        <w:jc w:val="both"/>
        <w:rPr>
          <w:rFonts w:ascii="Calibri" w:hAnsi="Calibri" w:eastAsia="宋体" w:cs="Times New Roman"/>
          <w:kern w:val="2"/>
          <w:sz w:val="21"/>
          <w:szCs w:val="22"/>
          <w:lang w:val="en-US" w:eastAsia="zh-CN" w:bidi="ar-SA"/>
        </w:rPr>
      </w:pPr>
      <w:r>
        <w:rPr>
          <w:rFonts w:hint="eastAsia" w:ascii="黑体" w:hAnsi="黑体" w:eastAsia="黑体" w:cs="黑体"/>
          <w:b/>
          <w:bCs/>
          <w:color w:val="auto"/>
          <w:kern w:val="2"/>
          <w:sz w:val="24"/>
          <w:szCs w:val="24"/>
          <w:u w:val="none"/>
          <w:lang w:val="en-US" w:eastAsia="zh-CN" w:bidi="ar-SA"/>
        </w:rPr>
        <w:t>温馨提示</w:t>
      </w:r>
      <w:r>
        <w:rPr>
          <w:rFonts w:hint="eastAsia" w:ascii="黑体" w:hAnsi="黑体" w:eastAsia="黑体" w:cs="黑体"/>
          <w:color w:val="auto"/>
          <w:kern w:val="2"/>
          <w:sz w:val="24"/>
          <w:szCs w:val="24"/>
          <w:u w:val="none"/>
          <w:lang w:val="en-US" w:eastAsia="zh-CN" w:bidi="ar-SA"/>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widowControl w:val="0"/>
        <w:jc w:val="both"/>
        <w:rPr>
          <w:rFonts w:ascii="Calibri" w:hAnsi="Calibri" w:eastAsia="宋体" w:cs="Times New Roman"/>
          <w:kern w:val="2"/>
          <w:sz w:val="21"/>
          <w:szCs w:val="22"/>
          <w:lang w:val="en-US" w:eastAsia="zh-CN" w:bidi="ar-SA"/>
        </w:rPr>
      </w:pPr>
    </w:p>
    <w:p>
      <w:pPr>
        <w:widowControl w:val="0"/>
        <w:jc w:val="both"/>
        <w:rPr>
          <w:rFonts w:ascii="Calibri" w:hAnsi="Calibri" w:eastAsia="宋体" w:cs="Times New Roman"/>
          <w:kern w:val="2"/>
          <w:sz w:val="21"/>
          <w:szCs w:val="22"/>
          <w:lang w:val="en-US" w:eastAsia="zh-CN" w:bidi="ar-SA"/>
        </w:rPr>
      </w:pPr>
    </w:p>
    <w:p>
      <w:pPr>
        <w:widowControl w:val="0"/>
        <w:jc w:val="both"/>
        <w:rPr>
          <w:rFonts w:hint="eastAsia" w:ascii="Calibri" w:hAnsi="Calibri" w:eastAsia="宋体" w:cs="Times New Roman"/>
          <w:kern w:val="2"/>
          <w:sz w:val="21"/>
          <w:szCs w:val="22"/>
          <w:lang w:val="en-US" w:eastAsia="zh-CN" w:bidi="ar-SA"/>
        </w:rPr>
      </w:pPr>
    </w:p>
    <w:p>
      <w:pPr>
        <w:rPr>
          <w:rFonts w:hint="eastAsia" w:ascii="黑体" w:eastAsia="黑体"/>
          <w:b w:val="0"/>
          <w:kern w:val="0"/>
          <w:sz w:val="24"/>
          <w:szCs w:val="24"/>
        </w:rPr>
      </w:pPr>
    </w:p>
    <w:p>
      <w:pPr>
        <w:pStyle w:val="54"/>
        <w:rPr>
          <w:rFonts w:hint="eastAsia" w:ascii="黑体" w:eastAsia="黑体"/>
          <w:b w:val="0"/>
          <w:kern w:val="0"/>
          <w:sz w:val="24"/>
          <w:szCs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w:t>
      </w:r>
      <w:bookmarkStart w:id="65" w:name="_Hlk72092634"/>
      <w:r>
        <w:rPr>
          <w:rFonts w:hint="eastAsia" w:ascii="黑体" w:eastAsia="黑体"/>
          <w:b w:val="0"/>
          <w:kern w:val="0"/>
          <w:sz w:val="24"/>
          <w:szCs w:val="24"/>
        </w:rPr>
        <w:t>实质性条款响应情况表</w:t>
      </w:r>
      <w:bookmarkEnd w:id="65"/>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94"/>
        <w:gridCol w:w="1440"/>
        <w:gridCol w:w="183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5" w:type="dxa"/>
            <w:vAlign w:val="center"/>
          </w:tcPr>
          <w:p>
            <w:pPr>
              <w:adjustRightInd w:val="0"/>
              <w:snapToGrid w:val="0"/>
              <w:spacing w:line="360" w:lineRule="auto"/>
              <w:jc w:val="center"/>
              <w:rPr>
                <w:rFonts w:ascii="宋体" w:hAnsi="宋体"/>
                <w:kern w:val="0"/>
                <w:szCs w:val="21"/>
              </w:rPr>
            </w:pPr>
            <w:bookmarkStart w:id="66" w:name="_Hlk72092651"/>
            <w:r>
              <w:rPr>
                <w:rFonts w:hint="eastAsia" w:ascii="宋体" w:hAnsi="宋体"/>
                <w:kern w:val="0"/>
                <w:szCs w:val="21"/>
              </w:rPr>
              <w:t>序号</w:t>
            </w:r>
          </w:p>
        </w:tc>
        <w:tc>
          <w:tcPr>
            <w:tcW w:w="319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440"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3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046"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3194" w:type="dxa"/>
            <w:vAlign w:val="center"/>
          </w:tcPr>
          <w:p>
            <w:pPr>
              <w:keepNext w:val="0"/>
              <w:keepLines w:val="0"/>
              <w:widowControl/>
              <w:suppressLineNumbers w:val="0"/>
              <w:jc w:val="left"/>
              <w:textAlignment w:val="center"/>
              <w:rPr>
                <w:rFonts w:hint="eastAsia" w:ascii="Times New Roman" w:hAnsi="宋体" w:eastAsia="宋体" w:cs="Times New Roman"/>
                <w:kern w:val="0"/>
                <w:sz w:val="21"/>
                <w:szCs w:val="21"/>
                <w:lang w:val="en-US" w:eastAsia="zh-CN" w:bidi="ar-SA"/>
              </w:rPr>
            </w:pPr>
            <w:r>
              <w:rPr>
                <w:rFonts w:hint="eastAsia"/>
                <w:lang w:eastAsia="zh-CN"/>
              </w:rPr>
              <w:t>（</w:t>
            </w:r>
            <w:r>
              <w:rPr>
                <w:rFonts w:hint="eastAsia"/>
              </w:rPr>
              <w:t>手动三摇病床</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1、床体：        1张*50；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2、床头尾板：    1对*50；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3、欧式护栏：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4、双面中控轮：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5、引流袋挂钩：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6、床垫防滑装置：3个*50；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7、角度显示器：  1对*50；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8、输液架插座：  4个*50；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9、床头柜：      1个*50；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10、移动餐桌：   1张*50；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11、点滴架：     2根*50；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12、移动餐桌板： 1张*50；</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31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r>
              <w:rPr>
                <w:rFonts w:hint="eastAsia" w:hAnsi="宋体"/>
                <w:kern w:val="0"/>
                <w:szCs w:val="21"/>
              </w:rPr>
              <w:t>床头柜</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1、床头柜：1台*20；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2、脚轮：  4个*20。</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3194" w:type="dxa"/>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iCs w:val="0"/>
                <w:color w:val="000000"/>
                <w:kern w:val="0"/>
                <w:sz w:val="22"/>
                <w:szCs w:val="22"/>
                <w:u w:val="none"/>
                <w:lang w:val="en-US" w:eastAsia="zh-CN" w:bidi="ar"/>
              </w:rPr>
              <w:t>★1.1各投标人应在投标文件中列明各主机、配件和易耗品的保修期限，并承诺提供整机免费保修期 5 年，终身维修。保修期内，年度定期预防性维护保养次数应不少于 2 次。保修期内免费更换零配件、免工时费。设备在保修期内需由原厂进行维修，出原厂维修报告。</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3194" w:type="dxa"/>
            <w:vAlign w:val="center"/>
          </w:tcPr>
          <w:p>
            <w:pPr>
              <w:keepNext w:val="0"/>
              <w:keepLines w:val="0"/>
              <w:widowControl/>
              <w:suppressLineNumbers w:val="0"/>
              <w:jc w:val="left"/>
              <w:textAlignment w:val="center"/>
              <w:rPr>
                <w:rFonts w:hint="eastAsia" w:ascii="宋体" w:hAnsi="宋体"/>
                <w:kern w:val="0"/>
                <w:szCs w:val="21"/>
              </w:rPr>
            </w:pPr>
            <w:r>
              <w:rPr>
                <w:rFonts w:hint="eastAsia" w:ascii="宋体" w:hAnsi="宋体" w:eastAsia="宋体" w:cs="宋体"/>
                <w:i w:val="0"/>
                <w:iCs w:val="0"/>
                <w:color w:val="000000"/>
                <w:kern w:val="0"/>
                <w:sz w:val="22"/>
                <w:szCs w:val="22"/>
                <w:u w:val="none"/>
                <w:lang w:val="en-US" w:eastAsia="zh-CN" w:bidi="ar"/>
              </w:rPr>
              <w:t>★1.2由设备制造商提供售后服务， 1 小时内响应， 8 小时维修到位（不可抗力情况除外）。在规定时间内不能解决问题，应在 72 小时内免费提供相同档次的设备给医院代用。如不能修复：由公司售后服务部派人带故障机回公司检修处理，修复期间仪器由厂家安排使用。每两个月对仪器进行巡访，并对仪器进行维护和保养。LIS /HIS接入技术配合。消耗品和零配件供应及时，特殊情况下可提供备用机。承诺中标后在广东省内有相应的维修机构，并出具承诺书（格式自拟）。</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3194" w:type="dxa"/>
            <w:vAlign w:val="center"/>
          </w:tcPr>
          <w:p>
            <w:pPr>
              <w:keepNext w:val="0"/>
              <w:keepLines w:val="0"/>
              <w:widowControl/>
              <w:suppressLineNumbers w:val="0"/>
              <w:jc w:val="left"/>
              <w:textAlignment w:val="center"/>
              <w:rPr>
                <w:rFonts w:hint="eastAsia" w:ascii="宋体" w:hAnsi="宋体"/>
                <w:kern w:val="0"/>
                <w:szCs w:val="21"/>
              </w:rPr>
            </w:pPr>
            <w:r>
              <w:rPr>
                <w:rFonts w:hint="eastAsia" w:ascii="宋体" w:hAnsi="宋体" w:eastAsia="宋体" w:cs="宋体"/>
                <w:i w:val="0"/>
                <w:iCs w:val="0"/>
                <w:color w:val="000000"/>
                <w:kern w:val="0"/>
                <w:sz w:val="22"/>
                <w:szCs w:val="22"/>
                <w:u w:val="none"/>
                <w:lang w:val="en-US" w:eastAsia="zh-CN" w:bidi="ar"/>
              </w:rPr>
              <w:t>★1.1投标人在签订合同之日起30天（日历日）内交货。</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6</w:t>
            </w:r>
          </w:p>
        </w:tc>
        <w:tc>
          <w:tcPr>
            <w:tcW w:w="3194" w:type="dxa"/>
            <w:vAlign w:val="center"/>
          </w:tcPr>
          <w:p>
            <w:pPr>
              <w:keepNext w:val="0"/>
              <w:keepLines w:val="0"/>
              <w:widowControl/>
              <w:suppressLineNumbers w:val="0"/>
              <w:jc w:val="left"/>
              <w:textAlignment w:val="center"/>
              <w:rPr>
                <w:rFonts w:hint="eastAsia" w:ascii="宋体" w:hAnsi="宋体"/>
                <w:kern w:val="0"/>
                <w:szCs w:val="21"/>
              </w:rPr>
            </w:pPr>
            <w:r>
              <w:rPr>
                <w:rFonts w:hint="eastAsia" w:ascii="宋体" w:hAnsi="宋体" w:eastAsia="宋体" w:cs="宋体"/>
                <w:i w:val="0"/>
                <w:iCs w:val="0"/>
                <w:color w:val="000000"/>
                <w:kern w:val="0"/>
                <w:sz w:val="22"/>
                <w:szCs w:val="22"/>
                <w:u w:val="none"/>
                <w:lang w:val="en-US" w:eastAsia="zh-CN" w:bidi="ar"/>
              </w:rPr>
              <w:t>★1.3提供的所有货物必须为全新、经检验合格的产品，所有货物出厂时间不超过18个月（出厂日期至到货日期之间应不超过18个月），非积压和陈旧产品，否则无条件退货。</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7</w:t>
            </w:r>
          </w:p>
        </w:tc>
        <w:tc>
          <w:tcPr>
            <w:tcW w:w="3194" w:type="dxa"/>
            <w:vAlign w:val="center"/>
          </w:tcPr>
          <w:p>
            <w:pPr>
              <w:keepNext w:val="0"/>
              <w:keepLines w:val="0"/>
              <w:widowControl/>
              <w:suppressLineNumbers w:val="0"/>
              <w:jc w:val="left"/>
              <w:textAlignment w:val="center"/>
              <w:rPr>
                <w:rFonts w:hint="eastAsia" w:ascii="宋体" w:hAnsi="宋体"/>
                <w:kern w:val="0"/>
                <w:szCs w:val="21"/>
              </w:rPr>
            </w:pPr>
            <w:r>
              <w:rPr>
                <w:rFonts w:hint="eastAsia" w:ascii="宋体" w:hAnsi="宋体" w:eastAsia="宋体" w:cs="宋体"/>
                <w:i w:val="0"/>
                <w:iCs w:val="0"/>
                <w:color w:val="000000"/>
                <w:kern w:val="0"/>
                <w:sz w:val="22"/>
                <w:szCs w:val="22"/>
                <w:u w:val="none"/>
                <w:lang w:val="en-US" w:eastAsia="zh-CN" w:bidi="ar"/>
              </w:rPr>
              <w:t>★5.1货到指定地点、安装验收合格、供应商提供全额发票并将5%合同价款作为履约保证金汇入采购方指定账户，采购方付100%货款。免费保修期满后并在无质量问题情况下且经需方确认后，由需方退还供方5％履约保证金。</w:t>
            </w:r>
          </w:p>
        </w:tc>
        <w:tc>
          <w:tcPr>
            <w:tcW w:w="1440" w:type="dxa"/>
          </w:tcPr>
          <w:p>
            <w:pPr>
              <w:adjustRightInd w:val="0"/>
              <w:snapToGrid w:val="0"/>
              <w:spacing w:line="360" w:lineRule="auto"/>
              <w:rPr>
                <w:rFonts w:ascii="宋体" w:hAnsi="宋体"/>
                <w:kern w:val="0"/>
                <w:szCs w:val="21"/>
              </w:rPr>
            </w:pPr>
          </w:p>
        </w:tc>
        <w:tc>
          <w:tcPr>
            <w:tcW w:w="1832" w:type="dxa"/>
          </w:tcPr>
          <w:p>
            <w:pPr>
              <w:adjustRightInd w:val="0"/>
              <w:snapToGrid w:val="0"/>
              <w:spacing w:line="360" w:lineRule="auto"/>
              <w:rPr>
                <w:rFonts w:ascii="宋体" w:hAnsi="宋体"/>
                <w:kern w:val="0"/>
                <w:szCs w:val="21"/>
              </w:rPr>
            </w:pPr>
          </w:p>
        </w:tc>
        <w:tc>
          <w:tcPr>
            <w:tcW w:w="1046" w:type="dxa"/>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63"/>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
    <w:p>
      <w:pPr>
        <w:pStyle w:val="4"/>
        <w:jc w:val="center"/>
        <w:rPr>
          <w:sz w:val="24"/>
        </w:rPr>
      </w:pPr>
      <w:r>
        <w:rPr>
          <w:rFonts w:hint="eastAsia" w:ascii="黑体" w:eastAsia="黑体"/>
          <w:b w:val="0"/>
          <w:sz w:val="24"/>
          <w:szCs w:val="24"/>
          <w:lang w:val="en-US" w:eastAsia="zh-CN"/>
        </w:rPr>
        <w:t>九</w:t>
      </w:r>
      <w:r>
        <w:rPr>
          <w:rFonts w:hint="eastAsia" w:ascii="黑体" w:eastAsia="黑体"/>
          <w:b w:val="0"/>
          <w:sz w:val="24"/>
          <w:szCs w:val="24"/>
        </w:rPr>
        <w:t>、技术要求偏离表</w:t>
      </w:r>
    </w:p>
    <w:tbl>
      <w:tblPr>
        <w:tblStyle w:val="4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638"/>
        <w:gridCol w:w="5452"/>
        <w:gridCol w:w="858"/>
        <w:gridCol w:w="691"/>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招标技术要求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投标技术响应</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偏离情况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手动三摇病床：（共50套）</w:t>
            </w: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1、规格：长*宽*高≥2180×1040×（460-700）（mm）；床面内宽≥900mm；床面外宽≤1040mm；</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床头床尾板：采用ABS强化塑料一次性注塑成型，厚≥70mm，弧线形欧式款设计，床头床尾板采用插入式装置，具备按压锁定开关，拆卸方便，拆卸后床头床尾框无突出异物，可兼作CPR急救；床尾板外侧有病人信息卡插槽；</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3、摇手：具备隐藏式≥3组摇手，可灵活调节患者背部、腿部体位及整床水平升降；</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4、具备摇杆传动升降系统：丝杆采用45#模具钢，全钢传动离合器系统结构，无塑料结构，加装双向到位无极限保护装置、增强使用寿命和安全性能；</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5、背部升降范围0-70º±5º，脚部升降范围0-40º±5º，整床升降范围460-700mm，床体承载重量≥240kg；</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具备欧式四片护栏，上身护栏与床板保持同步升降，并增加长腿部护栏；气弹簧辅助自动下降，下隐式收藏；上身护栏内嵌机械式角度显示器，具备实时显示背部床板升降角度功能；上身护栏长≥660mm，腿部护栏整体长≥900mm、上端平直面长≥640mm，能放置餐板；上身护栏与腿部护栏的间距范围30±2mm；</w:t>
            </w:r>
            <w:r>
              <w:rPr>
                <w:rFonts w:hint="eastAsia" w:ascii="宋体" w:hAnsi="宋体" w:eastAsia="宋体" w:cs="宋体"/>
                <w:b/>
                <w:bCs/>
                <w:i w:val="0"/>
                <w:iCs w:val="0"/>
                <w:color w:val="FF0000"/>
                <w:kern w:val="0"/>
                <w:sz w:val="21"/>
                <w:szCs w:val="21"/>
                <w:u w:val="none"/>
                <w:lang w:val="en-US" w:eastAsia="zh-CN" w:bidi="ar"/>
              </w:rPr>
              <w:t>（提供护栏实物图片或证明文件）</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▲7、床板：采用≥1.0mm冷轧钢板，具备多孔设计，具备防滑功能，具备≥18条加强骨，床面板四侧具有≥2条波浪型加强筋；</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8、床体前后安装防护装置，长≥1040mm；</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9、床体四边配备≥4寸内置轴承防撞滚轮；</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10、床边具备≥4个点滴架插孔，且可插入蚊帐架，具备≥4个引流挂钩，点滴架不使用时可放置于引流挂钩内，同时可放置引流袋，尿壶等物品；</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11、背部床板：采用“V”型双支撑卸力结构，加固≥φ25×2.5×820mm及≥φ32×2.5×845mm两条碳素钢管，增强背部板安全性能；</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▲12、具备≥5寸中控脚轮，一脚制动刹车；轮面采用聚氨脂材料，静音耐磨，防缠绕，不生锈；</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13、点滴架：采用手控伸缩双段设计，可调节高度1000mm-1600mm，采用不锈钢材料；</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▲14、床体表面涂料具备抗菌、防霉作用；</w:t>
            </w:r>
            <w:r>
              <w:rPr>
                <w:rFonts w:hint="eastAsia" w:ascii="宋体" w:hAnsi="宋体" w:eastAsia="宋体" w:cs="宋体"/>
                <w:b/>
                <w:bCs/>
                <w:i w:val="0"/>
                <w:iCs w:val="0"/>
                <w:color w:val="FF0000"/>
                <w:kern w:val="0"/>
                <w:sz w:val="21"/>
                <w:szCs w:val="21"/>
                <w:u w:val="none"/>
                <w:lang w:val="en-US" w:eastAsia="zh-CN" w:bidi="ar"/>
              </w:rPr>
              <w:t>（提供第三方检测机构出具的带有CMA标识合格的检验检测报告，报告内容能体现满足上述参数要求）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床头柜：规格：长*宽*高≥480×480×800mm；使用ABS工程塑料，不能使用二手混合料；具备水壶座、隐藏式毛巾架、隐藏式杂物挂钩、餐桌板（托物板）、抽屉、储物柜；储物柜内中间隔板可调节高度；配带刹尼龙丝扣轮；</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▲16、餐桌板：规格：长*宽*高≥880-1050×320×27mm；采用ABS工程塑料注塑成型面板，铝合金伸缩杆；餐板可伸缩；摆放于护栏，可自由调节位置；ABS面板硬度高，易清洁，可用水冲洗；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移动餐桌：规格：长*宽*高≥800×400×（785-1085）mm；具备弹簧助力升降功能；采用ABS桌面，可承受≥30kg的重物；餐桌支架采用铝合金材料，不生锈，不褪色；配尺寸≥2寸万向轮且数量≥4个万向轮，可轻松移动；</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床头柜</w:t>
            </w: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▲1、规格：长*宽*高≥480×480×800mm；配带刹尼龙丝扣轮；</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▲2、使用ABS工程塑料，使用全新材料；</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▲3、具备水壶座、隐藏式毛巾架、隐藏式杂物挂钩、餐桌板（托物板）、抽屉、储物柜；</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▲4、储物柜内中间隔板可调节高度；</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sz w:val="24"/>
        </w:rPr>
      </w:pPr>
    </w:p>
    <w:p>
      <w:pPr>
        <w:keepNext w:val="0"/>
        <w:keepLines w:val="0"/>
        <w:pageBreakBefore w:val="0"/>
        <w:kinsoku/>
        <w:wordWrap/>
        <w:overflowPunct/>
        <w:topLinePunct w:val="0"/>
        <w:autoSpaceDE/>
        <w:autoSpaceDN/>
        <w:bidi w:val="0"/>
        <w:adjustRightInd/>
        <w:snapToGrid/>
        <w:spacing w:beforeAutospacing="0" w:afterAutospacing="0"/>
        <w:textAlignment w:val="auto"/>
        <w:rPr>
          <w:sz w:val="21"/>
          <w:szCs w:val="21"/>
        </w:rPr>
      </w:pPr>
      <w:bookmarkStart w:id="67" w:name="_Hlk72095977"/>
      <w:r>
        <w:rPr>
          <w:rFonts w:hint="eastAsia"/>
          <w:sz w:val="21"/>
          <w:szCs w:val="21"/>
        </w:rPr>
        <w:t>证明资料【如有的话，提供的证明资料应统一编号（排序），格式自定】</w:t>
      </w:r>
      <w:bookmarkEnd w:id="67"/>
      <w:r>
        <w:rPr>
          <w:rFonts w:hint="eastAsia"/>
          <w:sz w:val="21"/>
          <w:szCs w:val="21"/>
        </w:rPr>
        <w:t>：</w:t>
      </w:r>
    </w:p>
    <w:p>
      <w:pPr>
        <w:keepNext w:val="0"/>
        <w:keepLines w:val="0"/>
        <w:pageBreakBefore w:val="0"/>
        <w:kinsoku/>
        <w:wordWrap/>
        <w:overflowPunct/>
        <w:topLinePunct w:val="0"/>
        <w:autoSpaceDE/>
        <w:autoSpaceDN/>
        <w:bidi w:val="0"/>
        <w:adjustRightInd/>
        <w:snapToGrid/>
        <w:spacing w:beforeAutospacing="0" w:afterAutospacing="0"/>
        <w:ind w:firstLine="422" w:firstLineChars="200"/>
        <w:textAlignment w:val="auto"/>
        <w:rPr>
          <w:b/>
          <w:sz w:val="21"/>
          <w:szCs w:val="21"/>
        </w:rPr>
      </w:pPr>
    </w:p>
    <w:p>
      <w:pPr>
        <w:keepNext w:val="0"/>
        <w:keepLines w:val="0"/>
        <w:pageBreakBefore w:val="0"/>
        <w:kinsoku/>
        <w:wordWrap/>
        <w:overflowPunct/>
        <w:topLinePunct w:val="0"/>
        <w:autoSpaceDE/>
        <w:autoSpaceDN/>
        <w:bidi w:val="0"/>
        <w:adjustRightInd/>
        <w:snapToGrid/>
        <w:spacing w:beforeAutospacing="0" w:afterAutospacing="0"/>
        <w:ind w:firstLine="422" w:firstLineChars="200"/>
        <w:textAlignment w:val="auto"/>
        <w:rPr>
          <w:b/>
          <w:sz w:val="21"/>
          <w:szCs w:val="21"/>
        </w:rPr>
      </w:pP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《技术要求偏离表》编制指引：</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1、技术要求偏离表的序号、货物名称、招标技术要求等栏目</w:t>
      </w:r>
      <w:bookmarkStart w:id="68" w:name="_Hlk72094407"/>
      <w:r>
        <w:rPr>
          <w:rFonts w:hint="eastAsia"/>
          <w:b w:val="0"/>
          <w:bCs/>
          <w:sz w:val="21"/>
          <w:szCs w:val="21"/>
        </w:rPr>
        <w:t>对应“用户需求书”中的“技术要求”章节</w:t>
      </w:r>
      <w:bookmarkEnd w:id="68"/>
      <w:r>
        <w:rPr>
          <w:rFonts w:hint="eastAsia"/>
          <w:b w:val="0"/>
          <w:bCs/>
          <w:sz w:val="21"/>
          <w:szCs w:val="21"/>
        </w:rPr>
        <w:t>相关内容。</w:t>
      </w:r>
    </w:p>
    <w:p>
      <w:pPr>
        <w:pStyle w:val="38"/>
        <w:keepNext w:val="0"/>
        <w:keepLines w:val="0"/>
        <w:pageBreakBefore w:val="0"/>
        <w:widowControl/>
        <w:kinsoku/>
        <w:wordWrap/>
        <w:overflowPunct/>
        <w:topLinePunct w:val="0"/>
        <w:autoSpaceDE/>
        <w:autoSpaceDN/>
        <w:bidi w:val="0"/>
        <w:adjustRightInd/>
        <w:snapToGrid/>
        <w:spacing w:beforeAutospacing="0" w:afterAutospacing="0"/>
        <w:ind w:firstLine="420" w:firstLineChars="200"/>
        <w:jc w:val="both"/>
        <w:textAlignment w:val="auto"/>
        <w:outlineLvl w:val="1"/>
        <w:rPr>
          <w:rFonts w:hint="eastAsia" w:ascii="Times New Roman" w:hAnsi="Times New Roman" w:eastAsia="宋体" w:cs="Times New Roman"/>
          <w:b w:val="0"/>
          <w:bCs/>
          <w:color w:val="FF0000"/>
          <w:kern w:val="2"/>
          <w:sz w:val="21"/>
          <w:szCs w:val="21"/>
          <w:lang w:val="en-US" w:eastAsia="zh-CN"/>
        </w:rPr>
      </w:pPr>
      <w:r>
        <w:rPr>
          <w:b w:val="0"/>
          <w:bCs/>
          <w:sz w:val="21"/>
          <w:szCs w:val="21"/>
        </w:rPr>
        <w:t>2</w:t>
      </w:r>
      <w:r>
        <w:rPr>
          <w:rFonts w:hint="eastAsia"/>
          <w:b w:val="0"/>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 w:val="0"/>
          <w:bCs/>
          <w:color w:val="FF0000"/>
          <w:kern w:val="2"/>
          <w:sz w:val="21"/>
          <w:szCs w:val="21"/>
          <w:u w:val="none"/>
          <w:lang w:val="en-US" w:eastAsia="zh-CN"/>
        </w:rPr>
        <w:t>“投标技术响应”必须与</w:t>
      </w:r>
      <w:r>
        <w:rPr>
          <w:rFonts w:hint="eastAsia" w:cs="Times New Roman"/>
          <w:b w:val="0"/>
          <w:bCs/>
          <w:color w:val="FF0000"/>
          <w:kern w:val="2"/>
          <w:sz w:val="21"/>
          <w:szCs w:val="21"/>
          <w:u w:val="none"/>
          <w:lang w:val="en-US" w:eastAsia="zh-CN"/>
        </w:rPr>
        <w:t>所投产品</w:t>
      </w:r>
      <w:r>
        <w:rPr>
          <w:rFonts w:hint="eastAsia" w:ascii="Times New Roman" w:hAnsi="Times New Roman" w:eastAsia="宋体" w:cs="Times New Roman"/>
          <w:b w:val="0"/>
          <w:bCs/>
          <w:color w:val="FF0000"/>
          <w:kern w:val="2"/>
          <w:sz w:val="21"/>
          <w:szCs w:val="21"/>
          <w:u w:val="none"/>
          <w:lang w:val="en-US" w:eastAsia="zh-CN"/>
        </w:rPr>
        <w:t>客观实际保持一致，响应不实且情节严重的，经查实，将依法记入供应商诚信档案或受到行政处罚。</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u w:val="none"/>
          <w:lang w:val="en-US" w:eastAsia="zh-CN" w:bidi="ar-SA"/>
        </w:rPr>
      </w:pPr>
      <w:r>
        <w:rPr>
          <w:b w:val="0"/>
          <w:bCs/>
          <w:sz w:val="21"/>
          <w:szCs w:val="21"/>
        </w:rPr>
        <w:t>3</w:t>
      </w:r>
      <w:r>
        <w:rPr>
          <w:rFonts w:hint="eastAsia"/>
          <w:b w:val="0"/>
          <w:bCs/>
          <w:sz w:val="21"/>
          <w:szCs w:val="21"/>
        </w:rPr>
        <w:t>、</w:t>
      </w:r>
      <w:bookmarkStart w:id="69" w:name="_Hlk72158270"/>
      <w:r>
        <w:rPr>
          <w:rFonts w:hint="eastAsia"/>
          <w:b w:val="0"/>
          <w:bCs/>
          <w:sz w:val="21"/>
          <w:szCs w:val="21"/>
        </w:rPr>
        <w:t>“偏离情况”</w:t>
      </w:r>
      <w:bookmarkEnd w:id="69"/>
      <w:r>
        <w:rPr>
          <w:rFonts w:hint="eastAsia"/>
          <w:b w:val="0"/>
          <w:bCs/>
          <w:sz w:val="21"/>
          <w:szCs w:val="21"/>
        </w:rPr>
        <w:t>一栏填写如实填写“正偏离”、“负偏离”或“无偏离”，其中：</w:t>
      </w:r>
      <w:bookmarkStart w:id="70" w:name="_Hlk72093866"/>
      <w:r>
        <w:rPr>
          <w:rFonts w:hint="eastAsia"/>
          <w:b w:val="0"/>
          <w:bCs/>
          <w:sz w:val="21"/>
          <w:szCs w:val="21"/>
        </w:rPr>
        <w:t>“正偏离”表示“投标响应优于招标技术要求”，“负偏离”表示“投标响应不满足招标技术要求”，“无偏离”表示“投标响应与招标技术要求一致”</w:t>
      </w:r>
      <w:bookmarkEnd w:id="70"/>
      <w:r>
        <w:rPr>
          <w:rFonts w:hint="eastAsia"/>
          <w:b w:val="0"/>
          <w:bCs/>
          <w:sz w:val="21"/>
          <w:szCs w:val="21"/>
        </w:rPr>
        <w:t>。“投标技术响应”对比“招标技术要求”存在响应不全（包括未响应整项招标技术要求或者未响应一项招标技术要求的部分内容），均视为“负偏离”。带★号条款为不可</w:t>
      </w:r>
      <w:r>
        <w:rPr>
          <w:rFonts w:hint="eastAsia"/>
          <w:b w:val="0"/>
          <w:bCs/>
          <w:sz w:val="21"/>
          <w:szCs w:val="21"/>
          <w:lang w:val="en-US" w:eastAsia="zh-CN"/>
        </w:rPr>
        <w:t>负</w:t>
      </w:r>
      <w:r>
        <w:rPr>
          <w:rFonts w:hint="eastAsia"/>
          <w:b w:val="0"/>
          <w:bCs/>
          <w:sz w:val="21"/>
          <w:szCs w:val="21"/>
        </w:rPr>
        <w:t>偏离条款，不作为评分准则中的评分内容</w:t>
      </w:r>
      <w:r>
        <w:rPr>
          <w:rFonts w:hint="eastAsia" w:eastAsia="宋体"/>
          <w:b w:val="0"/>
          <w:bCs/>
          <w:sz w:val="21"/>
          <w:szCs w:val="21"/>
          <w:lang w:eastAsia="zh-CN"/>
        </w:rPr>
        <w:t>，</w:t>
      </w:r>
      <w:r>
        <w:rPr>
          <w:rFonts w:hint="eastAsia"/>
          <w:b w:val="0"/>
          <w:bCs/>
          <w:sz w:val="21"/>
          <w:szCs w:val="21"/>
        </w:rPr>
        <w:t>如未响应或出现负偏离的，将</w:t>
      </w:r>
      <w:r>
        <w:rPr>
          <w:rFonts w:hint="eastAsia"/>
          <w:b w:val="0"/>
          <w:bCs/>
          <w:sz w:val="21"/>
          <w:szCs w:val="21"/>
          <w:lang w:val="en-US" w:eastAsia="zh-CN"/>
        </w:rPr>
        <w:t>做</w:t>
      </w:r>
      <w:r>
        <w:rPr>
          <w:rFonts w:hint="eastAsia"/>
          <w:b w:val="0"/>
          <w:bCs/>
          <w:sz w:val="21"/>
          <w:szCs w:val="21"/>
        </w:rPr>
        <w:t>投标无效处理</w:t>
      </w:r>
      <w:r>
        <w:rPr>
          <w:rFonts w:hint="eastAsia"/>
          <w:b w:val="0"/>
          <w:bCs/>
          <w:sz w:val="21"/>
          <w:szCs w:val="21"/>
          <w:lang w:val="en-US" w:eastAsia="zh-CN"/>
        </w:rPr>
        <w:t>。</w:t>
      </w:r>
      <w:r>
        <w:rPr>
          <w:rFonts w:hint="eastAsia" w:ascii="Times New Roman" w:hAnsi="Times New Roman" w:eastAsia="宋体" w:cs="Times New Roman"/>
          <w:b w:val="0"/>
          <w:bCs/>
          <w:color w:val="FF0000"/>
          <w:kern w:val="2"/>
          <w:sz w:val="21"/>
          <w:szCs w:val="21"/>
          <w:u w:val="none"/>
          <w:lang w:val="en-US" w:eastAsia="zh-CN" w:bidi="ar-SA"/>
        </w:rPr>
        <w:t>“偏离情况”必须与所投产品客观实际保持一致，响应不实且情节严重的，经查实，将依法记入供应商诚信档案或受到行政处罚。</w:t>
      </w:r>
    </w:p>
    <w:p>
      <w:pPr>
        <w:ind w:firstLine="420" w:firstLineChars="200"/>
        <w:rPr>
          <w:b w:val="0"/>
          <w:bCs/>
          <w:sz w:val="21"/>
          <w:szCs w:val="21"/>
        </w:rPr>
      </w:pPr>
      <w:r>
        <w:rPr>
          <w:b w:val="0"/>
          <w:bCs/>
          <w:sz w:val="21"/>
          <w:szCs w:val="21"/>
        </w:rPr>
        <w:t>4</w:t>
      </w:r>
      <w:r>
        <w:rPr>
          <w:rFonts w:hint="eastAsia"/>
          <w:b w:val="0"/>
          <w:bCs/>
          <w:sz w:val="21"/>
          <w:szCs w:val="21"/>
        </w:rPr>
        <w:t>、未要求提供证明资料的招标技术要求，可以不提供证明资料（如实响应即可）。</w:t>
      </w:r>
    </w:p>
    <w:p>
      <w:pPr>
        <w:ind w:firstLine="420" w:firstLineChars="200"/>
        <w:rPr>
          <w:b w:val="0"/>
          <w:bCs/>
          <w:sz w:val="21"/>
          <w:szCs w:val="21"/>
        </w:rPr>
      </w:pPr>
      <w:r>
        <w:rPr>
          <w:rFonts w:hint="eastAsia"/>
          <w:b w:val="0"/>
          <w:bCs/>
          <w:sz w:val="21"/>
          <w:szCs w:val="21"/>
        </w:rPr>
        <w:t>5、</w:t>
      </w:r>
      <w:bookmarkStart w:id="71" w:name="_Hlk72096106"/>
      <w:r>
        <w:rPr>
          <w:rFonts w:hint="eastAsia"/>
          <w:b w:val="0"/>
          <w:bCs/>
          <w:sz w:val="21"/>
          <w:szCs w:val="21"/>
        </w:rPr>
        <w:t>证明资料条款响应要求</w:t>
      </w:r>
      <w:bookmarkEnd w:id="71"/>
      <w:r>
        <w:rPr>
          <w:rFonts w:hint="eastAsia"/>
          <w:b w:val="0"/>
          <w:bCs/>
          <w:sz w:val="21"/>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2" w:name="_Hlk73558782"/>
      <w:r>
        <w:rPr>
          <w:rFonts w:hint="eastAsia"/>
          <w:b w:val="0"/>
          <w:bCs/>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3" w:name="_Hlk73558164"/>
      <w:r>
        <w:rPr>
          <w:rFonts w:hint="eastAsia"/>
          <w:b w:val="0"/>
          <w:bCs/>
          <w:sz w:val="21"/>
          <w:szCs w:val="21"/>
        </w:rPr>
        <w:t>且投标人在“偏离情况”一栏响应为“正偏离”或“无偏离”的，经评审委员会认定，将判定为负偏离。</w:t>
      </w:r>
      <w:bookmarkEnd w:id="72"/>
      <w:bookmarkEnd w:id="73"/>
    </w:p>
    <w:p>
      <w:pPr>
        <w:ind w:firstLine="420" w:firstLineChars="200"/>
        <w:rPr>
          <w:b w:val="0"/>
          <w:bCs/>
          <w:sz w:val="21"/>
          <w:szCs w:val="21"/>
        </w:rPr>
      </w:pPr>
      <w:r>
        <w:rPr>
          <w:rFonts w:hint="eastAsia"/>
          <w:b w:val="0"/>
          <w:bCs/>
          <w:sz w:val="21"/>
          <w:szCs w:val="21"/>
        </w:rPr>
        <w:t>6、</w:t>
      </w:r>
      <w:bookmarkStart w:id="74" w:name="_Hlk72096137"/>
      <w:r>
        <w:rPr>
          <w:rFonts w:hint="eastAsia"/>
          <w:b w:val="0"/>
          <w:bCs/>
          <w:sz w:val="21"/>
          <w:szCs w:val="21"/>
        </w:rPr>
        <w:t>表后“证明资料”部分内容的编制</w:t>
      </w:r>
      <w:bookmarkEnd w:id="74"/>
      <w:r>
        <w:rPr>
          <w:rFonts w:hint="eastAsia"/>
          <w:b w:val="0"/>
          <w:bCs/>
          <w:sz w:val="21"/>
          <w:szCs w:val="21"/>
        </w:rPr>
        <w:t>：提供的所有证明资料应当统一编号（排序），且证明资料的编号（顺序）、数量和名称（形式）均应与“说明”一栏所填内容保持一致（一一对应），以便评审委员会查看。</w:t>
      </w:r>
      <w:bookmarkStart w:id="75" w:name="_Hlk73558180"/>
      <w:r>
        <w:rPr>
          <w:rFonts w:hint="eastAsia"/>
          <w:b w:val="0"/>
          <w:bCs/>
          <w:sz w:val="21"/>
          <w:szCs w:val="21"/>
        </w:rPr>
        <w:t>未按照招标文件要求在表后放置证明材料的供应商将承担不利后果，经评审委员会认定，相关技术要求将判定为负偏离。</w:t>
      </w:r>
      <w:bookmarkEnd w:id="75"/>
    </w:p>
    <w:p>
      <w:pPr>
        <w:ind w:firstLine="420" w:firstLineChars="200"/>
        <w:rPr>
          <w:b w:val="0"/>
          <w:bCs/>
          <w:sz w:val="21"/>
          <w:szCs w:val="21"/>
        </w:rPr>
      </w:pPr>
      <w:r>
        <w:rPr>
          <w:rFonts w:hint="eastAsia"/>
          <w:b w:val="0"/>
          <w:bCs/>
          <w:sz w:val="21"/>
          <w:szCs w:val="21"/>
        </w:rPr>
        <w:t>7、</w:t>
      </w:r>
      <w:bookmarkStart w:id="76" w:name="_Hlk72096176"/>
      <w:r>
        <w:rPr>
          <w:rFonts w:hint="eastAsia"/>
          <w:b w:val="0"/>
          <w:bCs/>
          <w:sz w:val="21"/>
          <w:szCs w:val="21"/>
        </w:rPr>
        <w:t>证明资料的形式及其它具体要求</w:t>
      </w:r>
      <w:bookmarkEnd w:id="76"/>
      <w:r>
        <w:rPr>
          <w:rFonts w:hint="eastAsia"/>
          <w:b w:val="0"/>
          <w:bCs/>
          <w:sz w:val="21"/>
          <w:szCs w:val="21"/>
        </w:rPr>
        <w:t>：</w:t>
      </w:r>
    </w:p>
    <w:p>
      <w:pPr>
        <w:ind w:firstLine="420" w:firstLineChars="200"/>
        <w:rPr>
          <w:b w:val="0"/>
          <w:bCs/>
          <w:sz w:val="21"/>
          <w:szCs w:val="21"/>
        </w:rPr>
      </w:pPr>
      <w:r>
        <w:rPr>
          <w:rFonts w:hint="eastAsia"/>
          <w:b w:val="0"/>
          <w:bCs/>
          <w:sz w:val="21"/>
          <w:szCs w:val="21"/>
        </w:rPr>
        <w:t>（1）除照片、图片（截图）及不需加盖公章的文字说明（技术说明）外，其它证明资料均要求为原件扫描件；</w:t>
      </w:r>
    </w:p>
    <w:p>
      <w:pPr>
        <w:ind w:firstLine="420" w:firstLineChars="200"/>
        <w:rPr>
          <w:b w:val="0"/>
          <w:bCs/>
          <w:sz w:val="21"/>
          <w:szCs w:val="21"/>
        </w:rPr>
      </w:pPr>
      <w:r>
        <w:rPr>
          <w:rFonts w:hint="eastAsia"/>
          <w:b w:val="0"/>
          <w:bCs/>
          <w:sz w:val="21"/>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val="0"/>
          <w:bCs/>
          <w:sz w:val="21"/>
          <w:szCs w:val="21"/>
        </w:rPr>
      </w:pPr>
      <w:r>
        <w:rPr>
          <w:rFonts w:hint="eastAsia"/>
          <w:b w:val="0"/>
          <w:bCs/>
          <w:sz w:val="21"/>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val="0"/>
          <w:bCs/>
          <w:sz w:val="21"/>
          <w:szCs w:val="21"/>
        </w:rPr>
      </w:pPr>
      <w:r>
        <w:rPr>
          <w:rFonts w:hint="eastAsia"/>
          <w:b w:val="0"/>
          <w:bCs/>
          <w:sz w:val="21"/>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val="0"/>
          <w:bCs/>
          <w:sz w:val="21"/>
          <w:szCs w:val="21"/>
        </w:rPr>
      </w:pPr>
      <w:r>
        <w:rPr>
          <w:rFonts w:hint="eastAsia"/>
          <w:b w:val="0"/>
          <w:bCs/>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val="0"/>
          <w:bCs/>
          <w:sz w:val="21"/>
          <w:szCs w:val="21"/>
        </w:rPr>
      </w:pPr>
      <w:r>
        <w:rPr>
          <w:rFonts w:hint="eastAsia"/>
          <w:b w:val="0"/>
          <w:bCs/>
          <w:sz w:val="21"/>
          <w:szCs w:val="21"/>
        </w:rPr>
        <w:t>其它证明资料的形式要求参照以上要求执行；</w:t>
      </w:r>
    </w:p>
    <w:p>
      <w:pPr>
        <w:ind w:firstLine="420" w:firstLineChars="200"/>
        <w:rPr>
          <w:b w:val="0"/>
          <w:bCs/>
          <w:sz w:val="21"/>
          <w:szCs w:val="21"/>
        </w:rPr>
      </w:pPr>
      <w:r>
        <w:rPr>
          <w:rFonts w:hint="eastAsia"/>
          <w:b w:val="0"/>
          <w:bCs/>
          <w:sz w:val="21"/>
          <w:szCs w:val="21"/>
        </w:rPr>
        <w:t>（4）证明资料均要求原件备查。</w:t>
      </w:r>
    </w:p>
    <w:p>
      <w:pPr>
        <w:ind w:firstLine="420" w:firstLineChars="200"/>
        <w:rPr>
          <w:b w:val="0"/>
          <w:bCs/>
          <w:sz w:val="21"/>
          <w:szCs w:val="21"/>
        </w:rPr>
      </w:pPr>
      <w:r>
        <w:rPr>
          <w:rFonts w:hint="eastAsia"/>
          <w:b w:val="0"/>
          <w:bCs/>
          <w:sz w:val="21"/>
          <w:szCs w:val="21"/>
        </w:rPr>
        <w:t>8、其它注意事项：</w:t>
      </w:r>
    </w:p>
    <w:p>
      <w:pPr>
        <w:ind w:firstLine="420" w:firstLineChars="200"/>
        <w:rPr>
          <w:b w:val="0"/>
          <w:bCs/>
          <w:sz w:val="21"/>
          <w:szCs w:val="21"/>
        </w:rPr>
      </w:pPr>
      <w:r>
        <w:rPr>
          <w:rFonts w:hint="eastAsia"/>
          <w:b w:val="0"/>
          <w:bCs/>
          <w:sz w:val="21"/>
          <w:szCs w:val="21"/>
        </w:rPr>
        <w:t>（1）评审委员会有权对投标人的响应情况作出判断（评审结论）；</w:t>
      </w:r>
    </w:p>
    <w:p>
      <w:pPr>
        <w:ind w:firstLine="420" w:firstLineChars="200"/>
        <w:rPr>
          <w:b w:val="0"/>
          <w:bCs/>
          <w:sz w:val="21"/>
          <w:szCs w:val="21"/>
        </w:rPr>
      </w:pPr>
      <w:r>
        <w:rPr>
          <w:rFonts w:hint="eastAsia"/>
          <w:b w:val="0"/>
          <w:bCs/>
          <w:sz w:val="21"/>
          <w:szCs w:val="21"/>
        </w:rPr>
        <w:t>（2）</w:t>
      </w:r>
      <w:bookmarkStart w:id="77" w:name="_Hlk72158213"/>
      <w:r>
        <w:rPr>
          <w:rFonts w:hint="eastAsia"/>
          <w:b w:val="0"/>
          <w:bCs/>
          <w:sz w:val="21"/>
          <w:szCs w:val="21"/>
        </w:rPr>
        <w:t>评审委员会有权对以谋取中标为目的的技术规格模糊响应（如有意不合理照搬照抄招标文件的技术要求）或虚假响应予以认定，并视情况经政府集中采购机构报主管部门进行处理。</w:t>
      </w:r>
      <w:bookmarkEnd w:id="77"/>
    </w:p>
    <w:p>
      <w:pPr>
        <w:ind w:firstLine="482" w:firstLineChars="200"/>
        <w:rPr>
          <w:b/>
          <w:sz w:val="24"/>
        </w:rPr>
      </w:pPr>
    </w:p>
    <w:p>
      <w:pPr>
        <w:rPr>
          <w:sz w:val="24"/>
        </w:rPr>
      </w:pPr>
    </w:p>
    <w:p>
      <w:pPr>
        <w:pStyle w:val="4"/>
        <w:jc w:val="center"/>
        <w:rPr>
          <w:sz w:val="24"/>
        </w:rPr>
      </w:pPr>
      <w:r>
        <w:rPr>
          <w:rFonts w:hint="eastAsia" w:ascii="黑体" w:eastAsia="黑体"/>
          <w:b w:val="0"/>
          <w:bCs w:val="0"/>
          <w:sz w:val="24"/>
          <w:szCs w:val="20"/>
          <w:lang w:val="en-US" w:eastAsia="zh-CN"/>
        </w:rPr>
        <w:t>十</w:t>
      </w:r>
      <w:r>
        <w:rPr>
          <w:rFonts w:hint="eastAsia" w:ascii="黑体" w:eastAsia="黑体"/>
          <w:b w:val="0"/>
          <w:bCs w:val="0"/>
          <w:sz w:val="24"/>
          <w:szCs w:val="20"/>
        </w:rPr>
        <w:t>、商务要求偏离表</w:t>
      </w:r>
    </w:p>
    <w:tbl>
      <w:tblPr>
        <w:tblStyle w:val="4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1038"/>
        <w:gridCol w:w="4548"/>
        <w:gridCol w:w="1050"/>
        <w:gridCol w:w="991"/>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目录</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商务需求</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投标商务响应</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偏离情况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（一）免费保修期内售后服务要求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维修及维护服务</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★1.1各投标人应在投标文件中列明各主机、配件和易耗品的保修期限，并承诺提供整机免费保修期</w:t>
            </w:r>
            <w:r>
              <w:rPr>
                <w:rFonts w:hint="eastAsia" w:ascii="宋体" w:hAnsi="宋体" w:eastAsia="宋体" w:cs="宋体"/>
                <w:i w:val="0"/>
                <w:iCs w:val="0"/>
                <w:color w:val="000000"/>
                <w:kern w:val="0"/>
                <w:sz w:val="21"/>
                <w:szCs w:val="21"/>
                <w:u w:val="single"/>
                <w:lang w:val="en-US" w:eastAsia="zh-CN" w:bidi="ar"/>
              </w:rPr>
              <w:t xml:space="preserve"> 5 </w:t>
            </w:r>
            <w:r>
              <w:rPr>
                <w:rFonts w:hint="eastAsia" w:ascii="宋体" w:hAnsi="宋体" w:eastAsia="宋体" w:cs="宋体"/>
                <w:i w:val="0"/>
                <w:iCs w:val="0"/>
                <w:color w:val="000000"/>
                <w:kern w:val="0"/>
                <w:sz w:val="21"/>
                <w:szCs w:val="21"/>
                <w:u w:val="none"/>
                <w:lang w:val="en-US" w:eastAsia="zh-CN" w:bidi="ar"/>
              </w:rPr>
              <w:t>年，终身维修。保修期内，年度定期预防性维护保养次数应不少于</w:t>
            </w:r>
            <w:r>
              <w:rPr>
                <w:rFonts w:hint="eastAsia" w:ascii="宋体" w:hAnsi="宋体" w:eastAsia="宋体" w:cs="宋体"/>
                <w:i w:val="0"/>
                <w:iCs w:val="0"/>
                <w:color w:val="000000"/>
                <w:kern w:val="0"/>
                <w:sz w:val="21"/>
                <w:szCs w:val="21"/>
                <w:u w:val="single"/>
                <w:lang w:val="en-US" w:eastAsia="zh-CN" w:bidi="ar"/>
              </w:rPr>
              <w:t xml:space="preserve"> 2 </w:t>
            </w:r>
            <w:r>
              <w:rPr>
                <w:rFonts w:hint="eastAsia" w:ascii="宋体" w:hAnsi="宋体" w:eastAsia="宋体" w:cs="宋体"/>
                <w:i w:val="0"/>
                <w:iCs w:val="0"/>
                <w:color w:val="000000"/>
                <w:kern w:val="0"/>
                <w:sz w:val="21"/>
                <w:szCs w:val="21"/>
                <w:u w:val="none"/>
                <w:lang w:val="en-US" w:eastAsia="zh-CN" w:bidi="ar"/>
              </w:rPr>
              <w:t>次。保修期内免费更换零配件、免工时费。设备在保修期内需由原厂进行维修，出原厂维修报告。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firstLine="420" w:firstLineChars="200"/>
        <w:rPr>
          <w:b w:val="0"/>
          <w:bCs/>
          <w:sz w:val="21"/>
          <w:szCs w:val="21"/>
        </w:rPr>
      </w:pPr>
      <w:r>
        <w:rPr>
          <w:rFonts w:hint="eastAsia"/>
          <w:b w:val="0"/>
          <w:bCs/>
          <w:sz w:val="21"/>
          <w:szCs w:val="21"/>
        </w:rPr>
        <w:t>《商务要求偏离表》编制指引：</w:t>
      </w:r>
    </w:p>
    <w:p>
      <w:pPr>
        <w:ind w:firstLine="420" w:firstLineChars="200"/>
        <w:rPr>
          <w:b w:val="0"/>
          <w:bCs/>
          <w:sz w:val="21"/>
          <w:szCs w:val="21"/>
        </w:rPr>
      </w:pPr>
      <w:r>
        <w:rPr>
          <w:rFonts w:hint="eastAsia"/>
          <w:b w:val="0"/>
          <w:bCs/>
          <w:sz w:val="21"/>
          <w:szCs w:val="21"/>
        </w:rPr>
        <w:t>1、商务要求偏离表的序号、商务需求项、招标商务要求等栏目对应“用户需求书”中的“商务要求”章节相关内容。</w:t>
      </w:r>
    </w:p>
    <w:p>
      <w:pPr>
        <w:ind w:firstLine="420" w:firstLineChars="200"/>
        <w:rPr>
          <w:b w:val="0"/>
          <w:bCs/>
          <w:sz w:val="21"/>
          <w:szCs w:val="21"/>
        </w:rPr>
      </w:pPr>
      <w:r>
        <w:rPr>
          <w:b w:val="0"/>
          <w:bCs/>
          <w:sz w:val="21"/>
          <w:szCs w:val="21"/>
        </w:rPr>
        <w:t>2</w:t>
      </w:r>
      <w:r>
        <w:rPr>
          <w:rFonts w:hint="eastAsia"/>
          <w:b w:val="0"/>
          <w:bCs/>
          <w:sz w:val="21"/>
          <w:szCs w:val="21"/>
        </w:rPr>
        <w:t>、“投标商务响应”一栏必须一一对照“招标商务要求”，详细填写自身响应情况，而不能不合理照搬照抄招标文件的商务要求，以体现具体响应情况。</w:t>
      </w:r>
    </w:p>
    <w:p>
      <w:pPr>
        <w:ind w:firstLine="420" w:firstLineChars="200"/>
        <w:rPr>
          <w:b w:val="0"/>
          <w:bCs/>
          <w:color w:val="FF0000"/>
          <w:sz w:val="21"/>
          <w:szCs w:val="21"/>
        </w:rPr>
      </w:pPr>
      <w:r>
        <w:rPr>
          <w:b w:val="0"/>
          <w:bCs/>
          <w:sz w:val="21"/>
          <w:szCs w:val="21"/>
        </w:rPr>
        <w:t>3</w:t>
      </w:r>
      <w:r>
        <w:rPr>
          <w:rFonts w:hint="eastAsia"/>
          <w:b w:val="0"/>
          <w:bCs/>
          <w:sz w:val="21"/>
          <w:szCs w:val="21"/>
        </w:rPr>
        <w:t>、“偏离情况”一栏填写如实填写“正偏离”、“负偏离”或“无偏离”，其中：“正偏离”表示“投标响应优于招标商务要求”，“负偏离”表示“投标响应不满足招标商务要求”，“无偏离”表示“投标响应与招标商务要求一致”。</w:t>
      </w:r>
    </w:p>
    <w:p>
      <w:pPr>
        <w:rPr>
          <w:rFonts w:hint="eastAsia"/>
          <w:b w:val="0"/>
          <w:bCs/>
          <w:sz w:val="21"/>
          <w:szCs w:val="21"/>
          <w:lang w:eastAsia="zh-CN"/>
        </w:rPr>
      </w:pPr>
      <w:r>
        <w:rPr>
          <w:rFonts w:hint="eastAsia"/>
          <w:b w:val="0"/>
          <w:bCs/>
          <w:sz w:val="21"/>
          <w:szCs w:val="21"/>
        </w:rPr>
        <w:t>“投标商务响应”对比“招标商务要求”存在响应不全（包括未响应整项招标商务要求或者未响应一项招标商务要求的部分内容），均视为“负偏离”</w:t>
      </w:r>
      <w:r>
        <w:rPr>
          <w:rFonts w:hint="eastAsia"/>
          <w:b w:val="0"/>
          <w:bCs/>
          <w:sz w:val="21"/>
          <w:szCs w:val="21"/>
          <w:lang w:eastAsia="zh-CN"/>
        </w:rPr>
        <w:t>。</w:t>
      </w:r>
    </w:p>
    <w:p>
      <w:pPr>
        <w:ind w:firstLine="420" w:firstLineChars="200"/>
        <w:rPr>
          <w:b w:val="0"/>
          <w:bCs/>
          <w:sz w:val="21"/>
          <w:szCs w:val="21"/>
        </w:rPr>
      </w:pPr>
      <w:r>
        <w:rPr>
          <w:rFonts w:hint="eastAsia"/>
          <w:b w:val="0"/>
          <w:bCs/>
          <w:sz w:val="21"/>
          <w:szCs w:val="21"/>
        </w:rPr>
        <w:t>4、带★号条款为不可偏离条款，如未响应或出现负偏离的，将作投标无效处理。</w:t>
      </w:r>
    </w:p>
    <w:p>
      <w:pPr>
        <w:rPr>
          <w:sz w:val="24"/>
        </w:rPr>
      </w:pPr>
    </w:p>
    <w:p>
      <w:pPr>
        <w:jc w:val="center"/>
        <w:rPr>
          <w:rFonts w:hint="eastAsia" w:ascii="黑体" w:eastAsia="黑体"/>
          <w:b w:val="0"/>
          <w:bCs w:val="0"/>
          <w:sz w:val="24"/>
          <w:szCs w:val="20"/>
          <w:lang w:val="en-US" w:eastAsia="zh-CN"/>
        </w:rPr>
      </w:pPr>
      <w:bookmarkStart w:id="78" w:name="_Hlk72260576"/>
    </w:p>
    <w:p>
      <w:pPr>
        <w:ind w:left="420" w:leftChars="200" w:firstLine="210" w:firstLineChars="100"/>
        <w:rPr>
          <w:rFonts w:hint="default"/>
          <w:lang w:val="en-US" w:eastAsia="zh-CN"/>
        </w:rPr>
      </w:pPr>
    </w:p>
    <w:p>
      <w:pPr>
        <w:jc w:val="center"/>
        <w:rPr>
          <w:b/>
          <w:bCs/>
          <w:sz w:val="24"/>
        </w:rPr>
      </w:pPr>
    </w:p>
    <w:bookmarkEnd w:id="78"/>
    <w:p>
      <w:pPr>
        <w:pStyle w:val="4"/>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十一、技术保障措施</w:t>
      </w:r>
    </w:p>
    <w:p>
      <w:pPr>
        <w:pStyle w:val="4"/>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十二、诚信情况</w:t>
      </w:r>
    </w:p>
    <w:p>
      <w:pPr>
        <w:pStyle w:val="4"/>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十三、投标人认为需要加以说明的其他内容</w:t>
      </w: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在深圳政府采购网站进行的活动，均具有法律效力，须承担相应的法律后果。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w:t>
      </w:r>
      <w:r>
        <w:rPr>
          <w:rFonts w:hint="eastAsia" w:ascii="宋体" w:hAnsi="宋体" w:eastAsia="宋体" w:cs="宋体"/>
          <w:b/>
          <w:bCs/>
          <w:color w:val="auto"/>
          <w:szCs w:val="21"/>
          <w:lang w:eastAsia="zh-CN"/>
        </w:rPr>
        <w:t>或</w:t>
      </w:r>
      <w:r>
        <w:rPr>
          <w:rFonts w:hint="eastAsia" w:ascii="宋体" w:hAnsi="宋体" w:eastAsia="宋体" w:cs="宋体"/>
          <w:b/>
          <w:bCs/>
          <w:color w:val="auto"/>
          <w:szCs w:val="21"/>
          <w:lang w:val="en-US" w:eastAsia="zh-CN"/>
        </w:rPr>
        <w:t>电子营业执照</w:t>
      </w:r>
      <w:r>
        <w:rPr>
          <w:rFonts w:hint="eastAsia" w:ascii="宋体" w:hAnsi="宋体" w:eastAsia="宋体" w:cs="宋体"/>
          <w:b/>
          <w:bCs/>
          <w:color w:val="auto"/>
          <w:szCs w:val="21"/>
        </w:rPr>
        <w:t>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已仔细阅读《政府采购违法行为风险知悉确认书》，充分知悉违法行为的法律后果，并承诺将严谨、诚信、依法依规参与政府采购活动”。</w:t>
      </w:r>
    </w:p>
    <w:tbl>
      <w:tblPr>
        <w:tblStyle w:val="47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auto"/>
          <w:spacing w:val="-4"/>
          <w:kern w:val="0"/>
          <w:szCs w:val="21"/>
          <w:highlight w:val="none"/>
        </w:rPr>
      </w:pPr>
      <w:r>
        <w:rPr>
          <w:rFonts w:hint="eastAsia" w:ascii="宋体" w:hAnsi="宋体" w:eastAsia="宋体" w:cs="宋体"/>
          <w:b/>
          <w:bCs/>
          <w:color w:val="auto"/>
          <w:spacing w:val="-4"/>
          <w:kern w:val="0"/>
          <w:szCs w:val="21"/>
        </w:rPr>
        <w:t>注：</w:t>
      </w:r>
      <w:r>
        <w:rPr>
          <w:rFonts w:hint="eastAsia" w:ascii="宋体" w:hAnsi="宋体" w:eastAsia="宋体" w:cs="宋体"/>
          <w:b/>
          <w:bCs/>
          <w:color w:val="auto"/>
          <w:spacing w:val="-4"/>
          <w:kern w:val="0"/>
          <w:szCs w:val="21"/>
          <w:lang w:val="en-US" w:eastAsia="zh-CN"/>
        </w:rPr>
        <w:t>1.</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宋体" w:cs="宋体"/>
          <w:b/>
          <w:bCs/>
          <w:color w:val="auto"/>
          <w:spacing w:val="-4"/>
          <w:kern w:val="0"/>
          <w:szCs w:val="21"/>
        </w:rPr>
        <w:t>投标供应商负责人签字并加盖单位公章后，扫描上传至投标文件</w:t>
      </w:r>
      <w:r>
        <w:rPr>
          <w:rFonts w:hint="eastAsia" w:ascii="宋体" w:hAnsi="宋体" w:eastAsia="宋体" w:cs="宋体"/>
          <w:b/>
          <w:bCs/>
          <w:color w:val="auto"/>
          <w:spacing w:val="-4"/>
          <w:kern w:val="0"/>
          <w:szCs w:val="21"/>
          <w:highlight w:val="none"/>
        </w:rPr>
        <w:t>一并提交。</w:t>
      </w:r>
    </w:p>
    <w:p>
      <w:pPr>
        <w:pStyle w:val="54"/>
        <w:rPr>
          <w:rFonts w:hint="default" w:ascii="Calibri" w:hAnsi="Calibri" w:eastAsia="宋体" w:cs="Times New Roman"/>
          <w:kern w:val="2"/>
          <w:sz w:val="21"/>
          <w:szCs w:val="22"/>
          <w:lang w:val="en-US" w:eastAsia="zh-CN" w:bidi="ar"/>
        </w:rPr>
      </w:pPr>
      <w:r>
        <w:rPr>
          <w:rFonts w:hint="eastAsia" w:ascii="宋体" w:hAnsi="宋体" w:cs="宋体"/>
          <w:b/>
          <w:bCs/>
          <w:color w:val="auto"/>
          <w:spacing w:val="-4"/>
          <w:kern w:val="0"/>
          <w:szCs w:val="21"/>
          <w:highlight w:val="none"/>
          <w:lang w:val="en-US" w:eastAsia="zh-CN"/>
        </w:rPr>
        <w:t>2.</w:t>
      </w:r>
      <w:r>
        <w:rPr>
          <w:rFonts w:hint="eastAsia" w:ascii="宋体" w:hAnsi="宋体" w:cs="宋体"/>
          <w:b/>
          <w:bCs/>
          <w:color w:val="auto"/>
          <w:spacing w:val="-4"/>
          <w:kern w:val="0"/>
          <w:szCs w:val="21"/>
          <w:highlight w:val="none"/>
        </w:rPr>
        <w:t>根据《深圳市财政局关于在采购文件及深圳政府采购智慧平台增设供应商投标特别警示条款等事宜的通知》（深财购〔2025〕7号）</w:t>
      </w:r>
      <w:r>
        <w:rPr>
          <w:rFonts w:hint="eastAsia" w:ascii="宋体" w:hAnsi="宋体" w:cs="宋体"/>
          <w:b/>
          <w:bCs/>
          <w:color w:val="auto"/>
          <w:spacing w:val="-4"/>
          <w:kern w:val="0"/>
          <w:szCs w:val="21"/>
          <w:highlight w:val="none"/>
          <w:lang w:val="en-US" w:eastAsia="zh-CN"/>
        </w:rPr>
        <w:t>的要求</w:t>
      </w:r>
      <w:r>
        <w:rPr>
          <w:rFonts w:hint="eastAsia" w:ascii="宋体" w:hAnsi="宋体" w:cs="宋体"/>
          <w:b/>
          <w:bCs/>
          <w:color w:val="auto"/>
          <w:spacing w:val="-4"/>
          <w:kern w:val="0"/>
          <w:szCs w:val="21"/>
          <w:highlight w:val="none"/>
        </w:rPr>
        <w:t>，</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w:t>
      </w:r>
      <w:r>
        <w:rPr>
          <w:rFonts w:hint="eastAsia" w:ascii="宋体" w:hAnsi="宋体" w:cs="宋体"/>
          <w:b/>
          <w:bCs/>
          <w:color w:val="auto"/>
          <w:spacing w:val="-4"/>
          <w:kern w:val="0"/>
          <w:szCs w:val="21"/>
          <w:highlight w:val="none"/>
        </w:rPr>
        <w:t>用于对供应商违法行为的提醒，不作为供应商资格性审查及符合性审查条件。</w:t>
      </w:r>
    </w:p>
    <w:p>
      <w:pPr>
        <w:widowControl/>
        <w:autoSpaceDE w:val="0"/>
        <w:autoSpaceDN w:val="0"/>
        <w:spacing w:line="400" w:lineRule="exact"/>
        <w:jc w:val="left"/>
        <w:rPr>
          <w:rFonts w:ascii="宋体" w:hAnsi="宋体" w:eastAsiaTheme="minorEastAsia"/>
          <w:color w:val="FF0000"/>
          <w:spacing w:val="-4"/>
          <w:kern w:val="0"/>
          <w:szCs w:val="21"/>
        </w:rPr>
      </w:pPr>
    </w:p>
    <w:p>
      <w:pPr>
        <w:pStyle w:val="54"/>
        <w:rPr>
          <w:rFonts w:ascii="宋体" w:hAnsi="宋体" w:eastAsiaTheme="minorEastAsia"/>
          <w:color w:val="FF0000"/>
          <w:spacing w:val="-4"/>
          <w:kern w:val="0"/>
          <w:szCs w:val="21"/>
        </w:rPr>
      </w:pPr>
    </w:p>
    <w:p>
      <w:pPr>
        <w:pStyle w:val="54"/>
        <w:rPr>
          <w:rFonts w:ascii="宋体" w:hAnsi="宋体" w:eastAsiaTheme="minorEastAsia"/>
          <w:color w:val="FF0000"/>
          <w:spacing w:val="-4"/>
          <w:kern w:val="0"/>
          <w:szCs w:val="21"/>
        </w:rPr>
      </w:pPr>
    </w:p>
    <w:p>
      <w:pPr>
        <w:widowControl/>
        <w:wordWrap/>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pPr>
        <w:widowControl/>
        <w:tabs>
          <w:tab w:val="left" w:pos="6930"/>
          <w:tab w:val="left" w:pos="8200"/>
        </w:tabs>
        <w:wordWrap/>
        <w:autoSpaceDE w:val="0"/>
        <w:autoSpaceDN w:val="0"/>
        <w:spacing w:line="400" w:lineRule="exact"/>
        <w:ind w:right="1414" w:firstLine="480" w:firstLineChars="200"/>
        <w:jc w:val="both"/>
        <w:rPr>
          <w:rFonts w:eastAsiaTheme="minorEastAsia"/>
          <w:kern w:val="0"/>
          <w:sz w:val="24"/>
        </w:rPr>
      </w:pPr>
    </w:p>
    <w:p>
      <w:pPr>
        <w:widowControl/>
        <w:wordWrap/>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r>
        <w:rPr>
          <w:rFonts w:hint="eastAsia" w:ascii="宋体" w:hAnsi="宋体"/>
        </w:rPr>
        <w:t>………………（根据项目具体情况增加与综合实力评审相关的节点）</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Pr>
        <w:jc w:val="center"/>
        <w:rPr>
          <w:b/>
          <w:sz w:val="32"/>
          <w:szCs w:val="32"/>
        </w:rPr>
      </w:pPr>
    </w:p>
    <w:p>
      <w:pPr>
        <w:ind w:firstLine="424" w:firstLineChars="202"/>
        <w:rPr>
          <w:rFonts w:ascii="宋体" w:hAnsi="宋体"/>
          <w:szCs w:val="21"/>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pPr>
    </w:p>
    <w:p>
      <w:pPr>
        <w:jc w:val="center"/>
        <w:rPr>
          <w:rFonts w:ascii="黑体" w:hAnsi="宋体" w:eastAsia="黑体"/>
          <w:bCs/>
          <w:kern w:val="0"/>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pPr>
        <w:pStyle w:val="6"/>
      </w:pPr>
      <w:r>
        <w:rPr>
          <w:rFonts w:hint="eastAsia"/>
        </w:rPr>
        <w:t>第五章  合同条款及格式</w:t>
      </w:r>
    </w:p>
    <w:p/>
    <w:p>
      <w:pPr>
        <w:jc w:val="center"/>
        <w:outlineLvl w:val="0"/>
      </w:pPr>
      <w:bookmarkStart w:id="79" w:name="_Toc3995"/>
      <w:r>
        <w:rPr>
          <w:rFonts w:hint="eastAsia"/>
          <w:b/>
          <w:sz w:val="24"/>
        </w:rPr>
        <w:t>（具体以项目需求及采购结果为准）</w:t>
      </w:r>
    </w:p>
    <w:p>
      <w:pPr>
        <w:widowControl w:val="0"/>
        <w:spacing w:after="0"/>
        <w:jc w:val="center"/>
        <w:rPr>
          <w:rFonts w:ascii="宋体" w:hAnsi="宋体" w:eastAsia="宋体" w:cs="宋体"/>
          <w:b/>
          <w:bCs/>
          <w:spacing w:val="-20"/>
          <w:kern w:val="44"/>
          <w:sz w:val="48"/>
          <w:szCs w:val="48"/>
          <w:lang w:val="en-US" w:eastAsia="zh-CN" w:bidi="ar-SA"/>
        </w:rPr>
      </w:pPr>
    </w:p>
    <w:p>
      <w:pPr>
        <w:widowControl w:val="0"/>
        <w:spacing w:after="0"/>
        <w:jc w:val="center"/>
        <w:rPr>
          <w:rFonts w:ascii="宋体" w:hAnsi="宋体" w:eastAsia="宋体" w:cs="宋体"/>
          <w:b/>
          <w:bCs/>
          <w:spacing w:val="-20"/>
          <w:kern w:val="44"/>
          <w:sz w:val="48"/>
          <w:szCs w:val="48"/>
          <w:lang w:val="en-US" w:eastAsia="zh-CN" w:bidi="ar-SA"/>
        </w:rPr>
      </w:pPr>
    </w:p>
    <w:bookmarkEnd w:id="79"/>
    <w:p>
      <w:pPr>
        <w:spacing w:after="162" w:afterLines="50"/>
        <w:jc w:val="center"/>
        <w:rPr>
          <w:rFonts w:ascii="仿宋" w:hAnsi="仿宋" w:eastAsia="仿宋" w:cs="仿宋"/>
          <w:b/>
          <w:sz w:val="36"/>
          <w:szCs w:val="36"/>
        </w:rPr>
      </w:pPr>
      <w:r>
        <w:rPr>
          <w:rFonts w:hint="eastAsia" w:ascii="仿宋" w:hAnsi="仿宋" w:eastAsia="仿宋" w:cs="仿宋"/>
          <w:b/>
          <w:sz w:val="36"/>
          <w:szCs w:val="36"/>
        </w:rPr>
        <w:t>医用设备采购合同</w:t>
      </w:r>
    </w:p>
    <w:p>
      <w:pPr>
        <w:spacing w:after="162" w:afterLines="50"/>
        <w:rPr>
          <w:rFonts w:ascii="仿宋" w:hAnsi="仿宋" w:eastAsia="仿宋" w:cs="仿宋"/>
          <w:sz w:val="24"/>
          <w:szCs w:val="24"/>
        </w:rPr>
      </w:pPr>
    </w:p>
    <w:p>
      <w:pPr>
        <w:pStyle w:val="2"/>
        <w:tabs>
          <w:tab w:val="left" w:pos="562"/>
          <w:tab w:val="left" w:pos="3372"/>
          <w:tab w:val="left" w:pos="3653"/>
        </w:tabs>
        <w:jc w:val="right"/>
        <w:rPr>
          <w:rFonts w:ascii="仿宋" w:hAnsi="仿宋" w:eastAsia="仿宋" w:cs="仿宋"/>
          <w:szCs w:val="24"/>
        </w:rPr>
      </w:pPr>
      <w:r>
        <w:rPr>
          <w:rFonts w:hint="eastAsia" w:ascii="仿宋" w:hAnsi="仿宋" w:eastAsia="仿宋" w:cs="仿宋"/>
          <w:szCs w:val="24"/>
        </w:rPr>
        <w:t>合同编号：</w:t>
      </w:r>
      <w:r>
        <w:rPr>
          <w:rFonts w:hint="eastAsia" w:ascii="仿宋" w:hAnsi="仿宋" w:eastAsia="仿宋" w:cs="仿宋"/>
          <w:szCs w:val="24"/>
          <w:u w:val="single"/>
        </w:rPr>
        <w:t>SSMC-YLSB-C[20**]0**</w:t>
      </w:r>
    </w:p>
    <w:p/>
    <w:p>
      <w:pPr>
        <w:spacing w:after="162" w:afterLines="50"/>
        <w:rPr>
          <w:rFonts w:hint="default" w:ascii="仿宋" w:hAnsi="仿宋" w:eastAsia="仿宋" w:cs="仿宋"/>
          <w:sz w:val="24"/>
          <w:szCs w:val="24"/>
          <w:lang w:val="en-US" w:eastAsia="zh-CN"/>
        </w:rPr>
      </w:pPr>
      <w:r>
        <w:rPr>
          <w:rFonts w:hint="eastAsia" w:ascii="仿宋" w:hAnsi="仿宋" w:eastAsia="仿宋" w:cs="仿宋"/>
          <w:b/>
          <w:bCs/>
          <w:sz w:val="24"/>
          <w:szCs w:val="24"/>
        </w:rPr>
        <w:t>甲方（采购方）：</w:t>
      </w:r>
      <w:r>
        <w:rPr>
          <w:rFonts w:hint="eastAsia" w:ascii="仿宋" w:hAnsi="仿宋" w:eastAsia="仿宋" w:cs="仿宋"/>
          <w:sz w:val="24"/>
          <w:szCs w:val="24"/>
        </w:rPr>
        <w:t>深圳市</w:t>
      </w:r>
      <w:r>
        <w:rPr>
          <w:rFonts w:hint="eastAsia" w:ascii="仿宋" w:hAnsi="仿宋" w:eastAsia="仿宋" w:cs="仿宋"/>
          <w:sz w:val="24"/>
          <w:szCs w:val="24"/>
          <w:lang w:val="en-US" w:eastAsia="zh-CN"/>
        </w:rPr>
        <w:t>第四人民医院</w:t>
      </w:r>
    </w:p>
    <w:p>
      <w:pPr>
        <w:spacing w:after="162" w:afterLines="50"/>
        <w:rPr>
          <w:rFonts w:ascii="仿宋" w:hAnsi="仿宋" w:eastAsia="仿宋" w:cs="仿宋"/>
          <w:sz w:val="24"/>
          <w:szCs w:val="24"/>
        </w:rPr>
      </w:pPr>
      <w:r>
        <w:rPr>
          <w:rFonts w:hint="eastAsia" w:ascii="仿宋" w:hAnsi="仿宋" w:eastAsia="仿宋" w:cs="仿宋"/>
          <w:sz w:val="24"/>
          <w:szCs w:val="24"/>
        </w:rPr>
        <w:t>法定代表人：王诚</w:t>
      </w:r>
    </w:p>
    <w:p>
      <w:pPr>
        <w:spacing w:after="162" w:afterLines="50"/>
        <w:rPr>
          <w:rFonts w:ascii="仿宋" w:hAnsi="仿宋" w:eastAsia="仿宋" w:cs="仿宋"/>
          <w:sz w:val="24"/>
          <w:szCs w:val="24"/>
        </w:rPr>
      </w:pPr>
      <w:r>
        <w:rPr>
          <w:rFonts w:hint="eastAsia" w:ascii="仿宋" w:hAnsi="仿宋" w:eastAsia="仿宋" w:cs="仿宋"/>
          <w:sz w:val="24"/>
          <w:szCs w:val="24"/>
        </w:rPr>
        <w:t>地址：深圳市坪山区石井街道金牛西路1号</w:t>
      </w:r>
    </w:p>
    <w:p>
      <w:pPr>
        <w:spacing w:after="162" w:afterLines="50"/>
        <w:rPr>
          <w:rFonts w:ascii="仿宋" w:hAnsi="仿宋" w:eastAsia="仿宋" w:cs="仿宋"/>
          <w:sz w:val="24"/>
          <w:szCs w:val="24"/>
        </w:rPr>
      </w:pPr>
    </w:p>
    <w:p>
      <w:pPr>
        <w:spacing w:after="162" w:afterLines="50"/>
        <w:rPr>
          <w:rFonts w:ascii="仿宋" w:hAnsi="仿宋" w:eastAsia="仿宋" w:cs="仿宋"/>
          <w:sz w:val="24"/>
          <w:szCs w:val="24"/>
        </w:rPr>
      </w:pPr>
      <w:r>
        <w:rPr>
          <w:rFonts w:hint="eastAsia" w:ascii="仿宋" w:hAnsi="仿宋" w:eastAsia="仿宋" w:cs="仿宋"/>
          <w:b/>
          <w:bCs/>
          <w:sz w:val="24"/>
          <w:szCs w:val="24"/>
        </w:rPr>
        <w:t>乙方（供应方）：</w:t>
      </w:r>
    </w:p>
    <w:p>
      <w:pPr>
        <w:spacing w:after="162" w:afterLines="50"/>
        <w:rPr>
          <w:rFonts w:ascii="仿宋" w:hAnsi="仿宋" w:eastAsia="仿宋" w:cs="仿宋"/>
          <w:sz w:val="24"/>
          <w:szCs w:val="24"/>
        </w:rPr>
      </w:pPr>
      <w:r>
        <w:rPr>
          <w:rFonts w:hint="eastAsia" w:ascii="仿宋" w:hAnsi="仿宋" w:eastAsia="仿宋" w:cs="仿宋"/>
          <w:sz w:val="24"/>
          <w:szCs w:val="24"/>
        </w:rPr>
        <w:t>法定代表人：</w:t>
      </w:r>
    </w:p>
    <w:p>
      <w:pPr>
        <w:spacing w:after="162" w:afterLines="50"/>
        <w:rPr>
          <w:rFonts w:ascii="仿宋" w:hAnsi="仿宋" w:eastAsia="仿宋" w:cs="仿宋"/>
          <w:sz w:val="24"/>
          <w:szCs w:val="24"/>
        </w:rPr>
      </w:pPr>
      <w:r>
        <w:rPr>
          <w:rFonts w:hint="eastAsia" w:ascii="仿宋" w:hAnsi="仿宋" w:eastAsia="仿宋" w:cs="仿宋"/>
          <w:sz w:val="24"/>
          <w:szCs w:val="24"/>
        </w:rPr>
        <w:t>地址：</w:t>
      </w:r>
    </w:p>
    <w:p>
      <w:pPr>
        <w:spacing w:after="162" w:afterLines="50"/>
        <w:rPr>
          <w:rFonts w:ascii="仿宋" w:hAnsi="仿宋" w:eastAsia="仿宋" w:cs="仿宋"/>
          <w:sz w:val="24"/>
          <w:szCs w:val="24"/>
        </w:rPr>
      </w:pPr>
    </w:p>
    <w:p>
      <w:pPr>
        <w:spacing w:after="162" w:afterLines="50" w:line="336"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甲乙双方根据 </w:t>
      </w:r>
      <w:r>
        <w:rPr>
          <w:rFonts w:ascii="仿宋" w:hAnsi="仿宋" w:eastAsia="仿宋" w:cs="仿宋"/>
          <w:sz w:val="24"/>
          <w:szCs w:val="24"/>
          <w:u w:val="single"/>
        </w:rPr>
        <w:t xml:space="preserve"> </w:t>
      </w:r>
      <w:r>
        <w:rPr>
          <w:rFonts w:hint="eastAsia" w:ascii="仿宋" w:hAnsi="仿宋" w:eastAsia="仿宋" w:cs="仿宋"/>
          <w:sz w:val="24"/>
          <w:szCs w:val="24"/>
          <w:u w:val="single"/>
        </w:rPr>
        <w:t>2025年病床一批采购项目</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采购项目（项目编号：</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）招标结果和“招投标文件”的要求，按照《中华人民共和国民法典》及相关法律法规之规定，在平等、互利的基础上，经友好协商，达成本采购合同以资共同遵守。</w:t>
      </w:r>
    </w:p>
    <w:p>
      <w:pPr>
        <w:spacing w:before="162" w:beforeLines="50" w:after="162" w:afterLines="50" w:line="42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第一条  合同标的及价款</w:t>
      </w:r>
    </w:p>
    <w:tbl>
      <w:tblPr>
        <w:tblStyle w:val="44"/>
        <w:tblW w:w="5592" w:type="pct"/>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18"/>
        <w:gridCol w:w="1126"/>
        <w:gridCol w:w="1162"/>
        <w:gridCol w:w="1269"/>
        <w:gridCol w:w="1084"/>
        <w:gridCol w:w="457"/>
        <w:gridCol w:w="607"/>
        <w:gridCol w:w="1063"/>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40"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序号</w:t>
            </w:r>
          </w:p>
        </w:tc>
        <w:tc>
          <w:tcPr>
            <w:tcW w:w="551"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设备名称</w:t>
            </w:r>
          </w:p>
        </w:tc>
        <w:tc>
          <w:tcPr>
            <w:tcW w:w="599" w:type="pct"/>
            <w:vAlign w:val="center"/>
          </w:tcPr>
          <w:p>
            <w:pPr>
              <w:spacing w:after="162" w:afterLines="50"/>
              <w:jc w:val="center"/>
              <w:rPr>
                <w:rFonts w:ascii="仿宋" w:hAnsi="仿宋" w:eastAsia="仿宋" w:cs="仿宋"/>
                <w:b/>
                <w:color w:val="FF0000"/>
                <w:sz w:val="24"/>
                <w:szCs w:val="24"/>
              </w:rPr>
            </w:pPr>
            <w:r>
              <w:rPr>
                <w:rFonts w:hint="eastAsia" w:ascii="仿宋" w:hAnsi="仿宋" w:eastAsia="仿宋" w:cs="仿宋"/>
                <w:b/>
                <w:sz w:val="24"/>
                <w:szCs w:val="24"/>
              </w:rPr>
              <w:t>规格型号</w:t>
            </w:r>
          </w:p>
        </w:tc>
        <w:tc>
          <w:tcPr>
            <w:tcW w:w="618"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产地/品牌</w:t>
            </w:r>
          </w:p>
        </w:tc>
        <w:tc>
          <w:tcPr>
            <w:tcW w:w="674" w:type="pct"/>
            <w:vAlign w:val="center"/>
          </w:tcPr>
          <w:p>
            <w:pPr>
              <w:spacing w:after="162" w:afterLines="50"/>
              <w:jc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注册证名称</w:t>
            </w:r>
          </w:p>
        </w:tc>
        <w:tc>
          <w:tcPr>
            <w:tcW w:w="577" w:type="pct"/>
            <w:vAlign w:val="center"/>
          </w:tcPr>
          <w:p>
            <w:pPr>
              <w:spacing w:after="162" w:afterLines="50"/>
              <w:jc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注册证号</w:t>
            </w:r>
          </w:p>
        </w:tc>
        <w:tc>
          <w:tcPr>
            <w:tcW w:w="208"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单位</w:t>
            </w:r>
          </w:p>
        </w:tc>
        <w:tc>
          <w:tcPr>
            <w:tcW w:w="327"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数量</w:t>
            </w:r>
          </w:p>
        </w:tc>
        <w:tc>
          <w:tcPr>
            <w:tcW w:w="566"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单价（元）</w:t>
            </w:r>
          </w:p>
        </w:tc>
        <w:tc>
          <w:tcPr>
            <w:tcW w:w="636" w:type="pct"/>
            <w:vAlign w:val="center"/>
          </w:tcPr>
          <w:p>
            <w:pPr>
              <w:spacing w:after="162" w:afterLines="50"/>
              <w:jc w:val="center"/>
              <w:rPr>
                <w:rFonts w:ascii="仿宋" w:hAnsi="仿宋" w:eastAsia="仿宋" w:cs="仿宋"/>
                <w:b/>
                <w:color w:val="000000"/>
                <w:sz w:val="24"/>
                <w:szCs w:val="24"/>
              </w:rPr>
            </w:pPr>
            <w:r>
              <w:rPr>
                <w:rFonts w:hint="eastAsia" w:ascii="仿宋" w:hAnsi="仿宋" w:eastAsia="仿宋" w:cs="仿宋"/>
                <w:b/>
                <w:color w:val="000000"/>
                <w:sz w:val="24"/>
                <w:szCs w:val="24"/>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0" w:type="pct"/>
            <w:vAlign w:val="center"/>
          </w:tcPr>
          <w:p>
            <w:pPr>
              <w:pStyle w:val="75"/>
              <w:spacing w:after="162" w:afterLines="50"/>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551" w:type="pct"/>
            <w:vAlign w:val="center"/>
          </w:tcPr>
          <w:p>
            <w:pPr>
              <w:pStyle w:val="22"/>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手动病床</w:t>
            </w:r>
          </w:p>
        </w:tc>
        <w:tc>
          <w:tcPr>
            <w:tcW w:w="599" w:type="pct"/>
            <w:vAlign w:val="center"/>
          </w:tcPr>
          <w:p>
            <w:pPr>
              <w:pStyle w:val="22"/>
              <w:spacing w:after="162" w:afterLines="50"/>
              <w:jc w:val="center"/>
              <w:rPr>
                <w:rFonts w:ascii="仿宋" w:hAnsi="仿宋" w:eastAsia="仿宋" w:cs="仿宋"/>
                <w:sz w:val="24"/>
                <w:szCs w:val="24"/>
              </w:rPr>
            </w:pPr>
          </w:p>
        </w:tc>
        <w:tc>
          <w:tcPr>
            <w:tcW w:w="618" w:type="pct"/>
            <w:vAlign w:val="center"/>
          </w:tcPr>
          <w:p>
            <w:pPr>
              <w:pStyle w:val="22"/>
              <w:spacing w:after="162" w:afterLines="50"/>
              <w:jc w:val="center"/>
              <w:rPr>
                <w:rFonts w:ascii="仿宋" w:hAnsi="仿宋" w:eastAsia="仿宋" w:cs="仿宋"/>
                <w:sz w:val="24"/>
                <w:szCs w:val="24"/>
              </w:rPr>
            </w:pPr>
          </w:p>
        </w:tc>
        <w:tc>
          <w:tcPr>
            <w:tcW w:w="674" w:type="pct"/>
            <w:vAlign w:val="center"/>
          </w:tcPr>
          <w:p>
            <w:pPr>
              <w:spacing w:after="162" w:afterLines="50"/>
              <w:jc w:val="center"/>
              <w:rPr>
                <w:rFonts w:ascii="仿宋" w:hAnsi="仿宋" w:eastAsia="仿宋" w:cs="仿宋"/>
                <w:sz w:val="24"/>
                <w:szCs w:val="24"/>
              </w:rPr>
            </w:pPr>
          </w:p>
        </w:tc>
        <w:tc>
          <w:tcPr>
            <w:tcW w:w="577" w:type="pct"/>
            <w:vAlign w:val="center"/>
          </w:tcPr>
          <w:p>
            <w:pPr>
              <w:spacing w:after="162" w:afterLines="50"/>
              <w:jc w:val="center"/>
              <w:rPr>
                <w:rFonts w:ascii="仿宋" w:hAnsi="仿宋" w:eastAsia="仿宋" w:cs="仿宋"/>
                <w:sz w:val="24"/>
                <w:szCs w:val="24"/>
              </w:rPr>
            </w:pPr>
          </w:p>
        </w:tc>
        <w:tc>
          <w:tcPr>
            <w:tcW w:w="208"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327"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566"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4700.00</w:t>
            </w:r>
          </w:p>
        </w:tc>
        <w:tc>
          <w:tcPr>
            <w:tcW w:w="636"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0" w:type="pct"/>
            <w:vAlign w:val="center"/>
          </w:tcPr>
          <w:p>
            <w:pPr>
              <w:pStyle w:val="75"/>
              <w:spacing w:after="162" w:afterLines="50"/>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551" w:type="pct"/>
            <w:vAlign w:val="center"/>
          </w:tcPr>
          <w:p>
            <w:pPr>
              <w:pStyle w:val="22"/>
              <w:spacing w:after="162" w:afterLine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床头柜</w:t>
            </w:r>
          </w:p>
        </w:tc>
        <w:tc>
          <w:tcPr>
            <w:tcW w:w="599" w:type="pct"/>
            <w:vAlign w:val="center"/>
          </w:tcPr>
          <w:p>
            <w:pPr>
              <w:pStyle w:val="22"/>
              <w:spacing w:after="162" w:afterLines="50"/>
              <w:jc w:val="center"/>
              <w:rPr>
                <w:rFonts w:ascii="仿宋" w:hAnsi="仿宋" w:eastAsia="仿宋" w:cs="仿宋"/>
                <w:sz w:val="24"/>
                <w:szCs w:val="24"/>
              </w:rPr>
            </w:pPr>
          </w:p>
        </w:tc>
        <w:tc>
          <w:tcPr>
            <w:tcW w:w="618" w:type="pct"/>
            <w:vAlign w:val="center"/>
          </w:tcPr>
          <w:p>
            <w:pPr>
              <w:pStyle w:val="22"/>
              <w:spacing w:after="162" w:afterLines="50"/>
              <w:jc w:val="center"/>
              <w:rPr>
                <w:rFonts w:ascii="仿宋" w:hAnsi="仿宋" w:eastAsia="仿宋" w:cs="仿宋"/>
                <w:sz w:val="24"/>
                <w:szCs w:val="24"/>
              </w:rPr>
            </w:pPr>
          </w:p>
        </w:tc>
        <w:tc>
          <w:tcPr>
            <w:tcW w:w="674" w:type="pct"/>
            <w:vAlign w:val="center"/>
          </w:tcPr>
          <w:p>
            <w:pPr>
              <w:spacing w:after="162" w:afterLines="50"/>
              <w:jc w:val="center"/>
              <w:rPr>
                <w:rFonts w:hint="eastAsia" w:ascii="仿宋" w:hAnsi="仿宋" w:eastAsia="仿宋" w:cs="仿宋"/>
                <w:sz w:val="24"/>
                <w:szCs w:val="24"/>
                <w:lang w:val="en-US" w:eastAsia="zh-CN"/>
              </w:rPr>
            </w:pPr>
          </w:p>
        </w:tc>
        <w:tc>
          <w:tcPr>
            <w:tcW w:w="577" w:type="pct"/>
            <w:vAlign w:val="center"/>
          </w:tcPr>
          <w:p>
            <w:pPr>
              <w:spacing w:after="162" w:afterLines="50"/>
              <w:jc w:val="center"/>
              <w:rPr>
                <w:rFonts w:hint="eastAsia" w:ascii="仿宋" w:hAnsi="仿宋" w:eastAsia="仿宋" w:cs="仿宋"/>
                <w:sz w:val="24"/>
                <w:szCs w:val="24"/>
                <w:lang w:val="en-US" w:eastAsia="zh-CN"/>
              </w:rPr>
            </w:pPr>
          </w:p>
        </w:tc>
        <w:tc>
          <w:tcPr>
            <w:tcW w:w="208"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327"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66"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500.00</w:t>
            </w:r>
          </w:p>
        </w:tc>
        <w:tc>
          <w:tcPr>
            <w:tcW w:w="636" w:type="pct"/>
            <w:vAlign w:val="center"/>
          </w:tcPr>
          <w:p>
            <w:pPr>
              <w:spacing w:after="162" w:afterLines="5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0" w:type="pct"/>
            <w:vAlign w:val="center"/>
          </w:tcPr>
          <w:p>
            <w:pPr>
              <w:pStyle w:val="75"/>
              <w:spacing w:after="162" w:afterLines="50"/>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551" w:type="pct"/>
            <w:vAlign w:val="center"/>
          </w:tcPr>
          <w:p>
            <w:pPr>
              <w:pStyle w:val="22"/>
              <w:spacing w:after="162" w:afterLines="50"/>
              <w:jc w:val="center"/>
              <w:rPr>
                <w:rFonts w:ascii="仿宋" w:hAnsi="仿宋" w:eastAsia="仿宋" w:cs="仿宋"/>
                <w:sz w:val="24"/>
                <w:szCs w:val="24"/>
              </w:rPr>
            </w:pPr>
          </w:p>
        </w:tc>
        <w:tc>
          <w:tcPr>
            <w:tcW w:w="599" w:type="pct"/>
            <w:vAlign w:val="center"/>
          </w:tcPr>
          <w:p>
            <w:pPr>
              <w:pStyle w:val="22"/>
              <w:spacing w:after="162" w:afterLines="50"/>
              <w:jc w:val="center"/>
              <w:rPr>
                <w:rFonts w:ascii="仿宋" w:hAnsi="仿宋" w:eastAsia="仿宋" w:cs="仿宋"/>
                <w:sz w:val="24"/>
                <w:szCs w:val="24"/>
              </w:rPr>
            </w:pPr>
          </w:p>
        </w:tc>
        <w:tc>
          <w:tcPr>
            <w:tcW w:w="618" w:type="pct"/>
            <w:vAlign w:val="center"/>
          </w:tcPr>
          <w:p>
            <w:pPr>
              <w:pStyle w:val="22"/>
              <w:spacing w:after="162" w:afterLines="50"/>
              <w:jc w:val="center"/>
              <w:rPr>
                <w:rFonts w:ascii="仿宋" w:hAnsi="仿宋" w:eastAsia="仿宋" w:cs="仿宋"/>
                <w:sz w:val="24"/>
                <w:szCs w:val="24"/>
              </w:rPr>
            </w:pPr>
          </w:p>
        </w:tc>
        <w:tc>
          <w:tcPr>
            <w:tcW w:w="674" w:type="pct"/>
            <w:vAlign w:val="center"/>
          </w:tcPr>
          <w:p>
            <w:pPr>
              <w:spacing w:after="162" w:afterLines="50"/>
              <w:jc w:val="center"/>
              <w:rPr>
                <w:rFonts w:ascii="仿宋" w:hAnsi="仿宋" w:eastAsia="仿宋" w:cs="仿宋"/>
                <w:sz w:val="24"/>
                <w:szCs w:val="24"/>
              </w:rPr>
            </w:pPr>
          </w:p>
        </w:tc>
        <w:tc>
          <w:tcPr>
            <w:tcW w:w="577" w:type="pct"/>
            <w:vAlign w:val="center"/>
          </w:tcPr>
          <w:p>
            <w:pPr>
              <w:spacing w:after="162" w:afterLines="50"/>
              <w:jc w:val="center"/>
              <w:rPr>
                <w:rFonts w:ascii="仿宋" w:hAnsi="仿宋" w:eastAsia="仿宋" w:cs="仿宋"/>
                <w:sz w:val="24"/>
                <w:szCs w:val="24"/>
              </w:rPr>
            </w:pPr>
          </w:p>
        </w:tc>
        <w:tc>
          <w:tcPr>
            <w:tcW w:w="208" w:type="pct"/>
            <w:vAlign w:val="center"/>
          </w:tcPr>
          <w:p>
            <w:pPr>
              <w:spacing w:after="162" w:afterLines="50"/>
              <w:jc w:val="center"/>
              <w:rPr>
                <w:rFonts w:ascii="仿宋" w:hAnsi="仿宋" w:eastAsia="仿宋" w:cs="仿宋"/>
                <w:sz w:val="24"/>
                <w:szCs w:val="24"/>
              </w:rPr>
            </w:pPr>
          </w:p>
        </w:tc>
        <w:tc>
          <w:tcPr>
            <w:tcW w:w="327" w:type="pct"/>
            <w:vAlign w:val="center"/>
          </w:tcPr>
          <w:p>
            <w:pPr>
              <w:spacing w:after="162" w:afterLines="50"/>
              <w:jc w:val="center"/>
              <w:rPr>
                <w:rFonts w:ascii="仿宋" w:hAnsi="仿宋" w:eastAsia="仿宋" w:cs="仿宋"/>
                <w:sz w:val="24"/>
                <w:szCs w:val="24"/>
              </w:rPr>
            </w:pPr>
          </w:p>
        </w:tc>
        <w:tc>
          <w:tcPr>
            <w:tcW w:w="566" w:type="pct"/>
            <w:vAlign w:val="center"/>
          </w:tcPr>
          <w:p>
            <w:pPr>
              <w:spacing w:after="162" w:afterLines="50"/>
              <w:jc w:val="center"/>
              <w:rPr>
                <w:rFonts w:ascii="仿宋" w:hAnsi="仿宋" w:eastAsia="仿宋" w:cs="仿宋"/>
                <w:sz w:val="24"/>
                <w:szCs w:val="24"/>
              </w:rPr>
            </w:pPr>
          </w:p>
        </w:tc>
        <w:tc>
          <w:tcPr>
            <w:tcW w:w="636" w:type="pct"/>
            <w:vAlign w:val="center"/>
          </w:tcPr>
          <w:p>
            <w:pPr>
              <w:spacing w:after="162" w:afterLines="5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0"/>
            <w:vAlign w:val="center"/>
          </w:tcPr>
          <w:p>
            <w:pPr>
              <w:widowControl/>
              <w:spacing w:after="162" w:afterLines="50"/>
              <w:jc w:val="left"/>
              <w:rPr>
                <w:rFonts w:ascii="仿宋" w:hAnsi="仿宋" w:eastAsia="仿宋" w:cs="仿宋"/>
                <w:kern w:val="0"/>
                <w:sz w:val="24"/>
                <w:szCs w:val="24"/>
              </w:rPr>
            </w:pPr>
            <w:r>
              <w:rPr>
                <w:rFonts w:hint="eastAsia" w:ascii="仿宋" w:hAnsi="仿宋" w:eastAsia="仿宋" w:cs="仿宋"/>
                <w:b/>
                <w:bCs/>
                <w:kern w:val="0"/>
                <w:sz w:val="24"/>
                <w:szCs w:val="24"/>
              </w:rPr>
              <w:t>金额合计:人民币</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贰拾肆万伍仟</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元整      小写：¥</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245000.00</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000" w:type="pct"/>
            <w:gridSpan w:val="10"/>
            <w:vAlign w:val="center"/>
          </w:tcPr>
          <w:p>
            <w:pPr>
              <w:spacing w:after="162" w:afterLines="50"/>
              <w:jc w:val="left"/>
              <w:rPr>
                <w:rFonts w:ascii="仿宋" w:hAnsi="仿宋" w:eastAsia="仿宋" w:cs="仿宋"/>
                <w:kern w:val="0"/>
                <w:sz w:val="24"/>
                <w:szCs w:val="24"/>
              </w:rPr>
            </w:pPr>
            <w:r>
              <w:rPr>
                <w:rFonts w:hint="eastAsia" w:ascii="仿宋" w:hAnsi="仿宋" w:eastAsia="仿宋" w:cs="仿宋"/>
                <w:kern w:val="0"/>
                <w:sz w:val="24"/>
                <w:szCs w:val="24"/>
              </w:rPr>
              <w:t>备注：设备配置清单详见附件</w:t>
            </w:r>
          </w:p>
        </w:tc>
      </w:tr>
    </w:tbl>
    <w:p>
      <w:pPr>
        <w:spacing w:after="162" w:afterLines="50" w:line="336" w:lineRule="auto"/>
        <w:rPr>
          <w:rFonts w:ascii="仿宋" w:hAnsi="仿宋" w:eastAsia="仿宋" w:cs="仿宋"/>
          <w:sz w:val="24"/>
          <w:szCs w:val="24"/>
        </w:rPr>
      </w:pPr>
      <w:r>
        <w:rPr>
          <w:rFonts w:hint="eastAsia" w:ascii="仿宋" w:hAnsi="仿宋" w:eastAsia="仿宋" w:cs="仿宋"/>
          <w:sz w:val="24"/>
          <w:szCs w:val="24"/>
        </w:rPr>
        <w:t xml:space="preserve">    1.本合同以人民币进行结算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且为含税价</w:t>
      </w:r>
      <w:r>
        <w:rPr>
          <w:rFonts w:hint="eastAsia" w:ascii="仿宋" w:hAnsi="仿宋" w:eastAsia="仿宋" w:cs="仿宋"/>
          <w:sz w:val="24"/>
          <w:szCs w:val="24"/>
        </w:rPr>
        <w:t>。</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2.本合同项下的总价款已包括相应设备及其相关配件、辅件的价格及相关的全部技术服务、运输、安装和保险投保费用的全部对价。</w:t>
      </w:r>
    </w:p>
    <w:p>
      <w:pPr>
        <w:spacing w:before="162" w:beforeLines="50" w:after="162" w:afterLines="50" w:line="336" w:lineRule="auto"/>
        <w:ind w:firstLine="482" w:firstLineChars="200"/>
        <w:rPr>
          <w:rFonts w:ascii="仿宋" w:hAnsi="仿宋" w:eastAsia="仿宋" w:cs="仿宋"/>
          <w:b/>
          <w:sz w:val="24"/>
          <w:szCs w:val="24"/>
        </w:rPr>
      </w:pPr>
      <w:r>
        <w:rPr>
          <w:rFonts w:hint="eastAsia" w:ascii="仿宋" w:hAnsi="仿宋" w:eastAsia="仿宋" w:cs="仿宋"/>
          <w:b/>
          <w:sz w:val="24"/>
          <w:szCs w:val="24"/>
        </w:rPr>
        <w:t>第二条  设备质量要求及供应方对质量负责条件和期限</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1.乙方提供的设备必须是全新的设备（包括零部件）。全部设备必须符合制造国及中国域内国家检测标准或相关行业标准，并具有有关质检部门出具的产品检验合格证明。</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2.对乙方所提供的全部设备及配件，双方约定的免费保修期为：自全部货物性能经甲方或甲方委托的第三方验收合格之日起计算</w:t>
      </w:r>
      <w:r>
        <w:rPr>
          <w:rFonts w:hint="eastAsia" w:ascii="仿宋" w:hAnsi="仿宋" w:eastAsia="仿宋" w:cs="仿宋"/>
          <w:szCs w:val="24"/>
          <w:u w:val="single"/>
        </w:rPr>
        <w:t xml:space="preserve">   </w:t>
      </w:r>
      <w:r>
        <w:rPr>
          <w:rFonts w:hint="eastAsia" w:ascii="仿宋" w:hAnsi="仿宋" w:eastAsia="仿宋" w:cs="仿宋"/>
          <w:szCs w:val="24"/>
        </w:rPr>
        <w:t>年。同时，在免费保修期内，乙方对所有设备及工程提供免费上门维修、保养服务。</w:t>
      </w:r>
    </w:p>
    <w:p>
      <w:pPr>
        <w:spacing w:before="162" w:beforeLines="50" w:after="162" w:afterLines="5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第三条  质量保证</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1.乙方所提供的设备必须符合制造国及中国域内国家标准或相关行业标准，并出具有资质的质检部门所出具的产品检验合格证明。</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乙方应保证所供设备是全新的、未使用过的原装产品（包括零部件），符合相关法律、行业标准及设备质量说明、乙方公司宣传的标准及性能，且设备基本性能应不低于同类产品为满足合同目的所应具备的基本性能。</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如设备安装或配置了软件的，乙方保证相关软件均为正版软件，因安装的软件侵犯第三人任何形式的权益而导致的一切法律责任和经济赔偿，均由乙方承担，如导致第三人向甲方索赔的，甲方有权向乙方追偿全部损失，包括直接损失和维权费用（包括诉讼费、仲裁费、鉴定费、律师费等）。</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4.如设备的质量或规格与合同约定或国家、行业标准不符或证实设备是有缺陷的，包括潜在的缺陷或使用不符合要求的材质、零件、部件等，乙方应在接到甲方通知后</w:t>
      </w:r>
      <w:r>
        <w:rPr>
          <w:rFonts w:hint="eastAsia" w:ascii="仿宋" w:hAnsi="仿宋" w:eastAsia="仿宋" w:cs="仿宋"/>
          <w:szCs w:val="24"/>
          <w:u w:val="single"/>
        </w:rPr>
        <w:t xml:space="preserve"> 7 </w:t>
      </w:r>
      <w:r>
        <w:rPr>
          <w:rFonts w:hint="eastAsia" w:ascii="仿宋" w:hAnsi="仿宋" w:eastAsia="仿宋" w:cs="仿宋"/>
          <w:szCs w:val="24"/>
        </w:rPr>
        <w:t>天内负责提供符合合同规定的新零件、部件,或提供新设备来更换有缺陷的部分，其费用由乙方承担。同时，乙方应按本合同规定，自更换完毕再次验收合格开始相应延长设备免费保修期。</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5.免费保修期内非因甲方人为故意损坏的原因而出现的质量问题，由乙方负责。乙方根据合同约定，负责包修、包换或者包退，并承担修理、调换或退货的实际费用。乙方不能修理或不能调换，按不能交货处理。</w:t>
      </w:r>
    </w:p>
    <w:p>
      <w:pPr>
        <w:spacing w:before="162" w:beforeLines="50" w:after="162" w:afterLines="50" w:line="336" w:lineRule="auto"/>
        <w:ind w:firstLine="560"/>
        <w:rPr>
          <w:rFonts w:ascii="仿宋" w:hAnsi="仿宋" w:eastAsia="仿宋" w:cs="仿宋"/>
          <w:b/>
          <w:sz w:val="24"/>
          <w:szCs w:val="24"/>
        </w:rPr>
      </w:pPr>
      <w:r>
        <w:rPr>
          <w:rFonts w:hint="eastAsia" w:ascii="仿宋" w:hAnsi="仿宋" w:eastAsia="仿宋" w:cs="仿宋"/>
          <w:b/>
          <w:sz w:val="24"/>
          <w:szCs w:val="24"/>
        </w:rPr>
        <w:t>第四条  交货和验收</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1.交货期：本合同生效后</w:t>
      </w:r>
      <w:r>
        <w:rPr>
          <w:rFonts w:hint="eastAsia" w:ascii="仿宋" w:hAnsi="仿宋" w:eastAsia="仿宋" w:cs="仿宋"/>
          <w:szCs w:val="24"/>
          <w:u w:val="single"/>
        </w:rPr>
        <w:t xml:space="preserve">    </w:t>
      </w:r>
      <w:r>
        <w:rPr>
          <w:rFonts w:hint="eastAsia" w:ascii="仿宋" w:hAnsi="仿宋" w:eastAsia="仿宋" w:cs="仿宋"/>
          <w:szCs w:val="24"/>
        </w:rPr>
        <w:t>天（日历日）内完成</w:t>
      </w:r>
      <w:r>
        <w:rPr>
          <w:rFonts w:hint="eastAsia" w:ascii="仿宋" w:hAnsi="仿宋" w:eastAsia="仿宋" w:cs="仿宋"/>
          <w:szCs w:val="24"/>
          <w:highlight w:val="none"/>
        </w:rPr>
        <w:t>所有货物的交货。所有货物出厂时间不超过18个月（出厂日期至到货日期之间应不超过18个月），非积压和陈旧产品，否则无条件退货。交货期指货物到货时间，不含安装、调试及采购人验收时间。若因不可抗力等因素导致无法按时施工或交货的，则交货期对应延期或另行协商，双</w:t>
      </w:r>
      <w:r>
        <w:rPr>
          <w:rFonts w:hint="eastAsia" w:ascii="仿宋" w:hAnsi="仿宋" w:eastAsia="仿宋" w:cs="仿宋"/>
          <w:szCs w:val="24"/>
        </w:rPr>
        <w:t>方均无需承担责任。</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2.交货地点：由甲方指定，设备送达前一日乙方通知甲方，甲方同意后，乙方按时送货、安装并调试。因交货产生的费用（包括但不限于运输费、安装费、仓储费等）由乙方自行承担。</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设备送达甲方指定地点后，甲乙双方进行初步货物验收，乙方每次交货时需同时提供详细的货物清单，列明每种货物具体的数量及规格型号，并协助甲方完成对每项货物的清点和查验，直至甲方查验无误。如果发现外观、数量、规格型号存在问题或发现其他与本合同约定不符的情形时，各方应作详细记录并签字，该记录应被视作甲方向乙方提出减少合同价款、更换、修理、补充或索赔的有效依据。同时乙方应在</w:t>
      </w:r>
      <w:r>
        <w:rPr>
          <w:rFonts w:hint="eastAsia" w:ascii="仿宋" w:hAnsi="仿宋" w:eastAsia="仿宋" w:cs="仿宋"/>
          <w:szCs w:val="24"/>
          <w:u w:val="single"/>
        </w:rPr>
        <w:t xml:space="preserve"> 7 </w:t>
      </w:r>
      <w:r>
        <w:rPr>
          <w:rFonts w:hint="eastAsia" w:ascii="仿宋" w:hAnsi="仿宋" w:eastAsia="仿宋" w:cs="仿宋"/>
          <w:szCs w:val="24"/>
        </w:rPr>
        <w:t>天（日历日）内，按甲方要求，采取补足、更换或退货等处理措施，并承担由此发生的一切损失和费用。</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4. 乙方负责在甲方指定地点进行设备的初始化安装、调试，并培训指导甲方人员操作使用，甲方在此过程中提供必要协助。</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5.全部设备运抵并安装调试完成</w:t>
      </w:r>
      <w:r>
        <w:rPr>
          <w:rFonts w:hint="eastAsia" w:ascii="仿宋" w:hAnsi="仿宋" w:eastAsia="仿宋" w:cs="仿宋"/>
          <w:szCs w:val="24"/>
          <w:lang w:val="en-US" w:eastAsia="zh-CN"/>
        </w:rPr>
        <w:t>且</w:t>
      </w:r>
      <w:r>
        <w:rPr>
          <w:rFonts w:hint="eastAsia" w:ascii="仿宋" w:hAnsi="仿宋" w:eastAsia="仿宋" w:cs="仿宋"/>
          <w:szCs w:val="24"/>
        </w:rPr>
        <w:t>正常运转</w:t>
      </w:r>
      <w:r>
        <w:rPr>
          <w:rFonts w:hint="eastAsia" w:ascii="仿宋" w:hAnsi="仿宋" w:eastAsia="仿宋" w:cs="仿宋"/>
          <w:szCs w:val="24"/>
          <w:highlight w:val="none"/>
        </w:rPr>
        <w:t>后</w:t>
      </w:r>
      <w:r>
        <w:rPr>
          <w:rFonts w:hint="eastAsia" w:ascii="仿宋" w:hAnsi="仿宋" w:eastAsia="仿宋" w:cs="仿宋"/>
          <w:szCs w:val="24"/>
          <w:highlight w:val="none"/>
          <w:lang w:eastAsia="zh-CN"/>
        </w:rPr>
        <w:t>，</w:t>
      </w:r>
      <w:r>
        <w:rPr>
          <w:rFonts w:hint="eastAsia" w:ascii="仿宋" w:hAnsi="仿宋" w:eastAsia="仿宋" w:cs="仿宋"/>
          <w:strike w:val="0"/>
          <w:dstrike w:val="0"/>
          <w:szCs w:val="24"/>
          <w:highlight w:val="none"/>
          <w:lang w:val="en-US" w:eastAsia="zh-CN"/>
        </w:rPr>
        <w:t>乙方配合甲方</w:t>
      </w:r>
      <w:r>
        <w:rPr>
          <w:rFonts w:hint="eastAsia" w:ascii="仿宋" w:hAnsi="仿宋" w:eastAsia="仿宋" w:cs="仿宋"/>
          <w:szCs w:val="24"/>
          <w:highlight w:val="none"/>
        </w:rPr>
        <w:t>对设备进行性能验收。如果设备性能存在问题，乙方应按甲方要求，采取更换或退货等处理措施，并承担由此发生的一切损失和费用。性能验收并不等同于最终的质量验收，</w:t>
      </w:r>
      <w:r>
        <w:rPr>
          <w:rFonts w:hint="eastAsia" w:ascii="仿宋" w:hAnsi="仿宋" w:eastAsia="仿宋" w:cs="仿宋"/>
          <w:szCs w:val="24"/>
        </w:rPr>
        <w:t>性能验收合格后，乙方仍应在免费保修期内对货物承担质量保证责任。</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6.验收标准及方法如下：</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（1）单证齐全：应有产品合格证（或质量证明）、使用说明、保修证明和其他应具有的单证。</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 xml:space="preserve">（2）质量符合合同及国家、行业有关质检标准，以及招标、投标文件的要求，作为验收标准。 </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（3）甲乙双方授权代表共同完成性能验收，验收时应出示单位开具的授权委托书，并在验收报告上签字。</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（4）性能验收报告签发之日开始启保。</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7.甲方可委托由国家和市政府认可的技术单位（如：“深圳市计量质量检测研究院”）对乙方的货物进行质量鉴定，一切质量鉴定费用由乙方承担，若乙方货物被证明不符合本协议约定或设备质量说明所承诺的标准，乙方应承担相应的违约责任。</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8.未经甲方书面许可，乙方不得委托第三方代为履行上述安装、调试、培训及更换义务。</w:t>
      </w:r>
    </w:p>
    <w:p>
      <w:pPr>
        <w:pStyle w:val="38"/>
        <w:spacing w:before="0" w:beforeAutospacing="0" w:after="162" w:afterLines="50" w:afterAutospacing="0" w:line="360" w:lineRule="auto"/>
        <w:ind w:firstLine="361" w:firstLineChars="150"/>
        <w:jc w:val="both"/>
        <w:rPr>
          <w:rFonts w:ascii="仿宋" w:hAnsi="仿宋" w:eastAsia="仿宋" w:cs="仿宋"/>
        </w:rPr>
      </w:pPr>
      <w:r>
        <w:rPr>
          <w:rFonts w:hint="eastAsia" w:ascii="仿宋" w:hAnsi="仿宋" w:eastAsia="仿宋" w:cs="仿宋"/>
          <w:b/>
          <w:bCs/>
        </w:rPr>
        <w:t>第五条</w:t>
      </w:r>
      <w:r>
        <w:rPr>
          <w:rFonts w:hint="eastAsia" w:ascii="仿宋" w:hAnsi="仿宋" w:eastAsia="仿宋" w:cs="仿宋"/>
          <w:b/>
          <w:bCs/>
          <w:kern w:val="2"/>
        </w:rPr>
        <w:t xml:space="preserve"> </w:t>
      </w:r>
      <w:r>
        <w:rPr>
          <w:rFonts w:hint="eastAsia" w:ascii="仿宋" w:hAnsi="仿宋" w:eastAsia="仿宋" w:cs="仿宋"/>
          <w:b/>
          <w:bCs/>
          <w:kern w:val="2"/>
          <w:lang w:val="en-US" w:eastAsia="zh-CN"/>
        </w:rPr>
        <w:t xml:space="preserve"> </w:t>
      </w:r>
      <w:r>
        <w:rPr>
          <w:rFonts w:hint="eastAsia" w:ascii="仿宋" w:hAnsi="仿宋" w:eastAsia="仿宋" w:cs="仿宋"/>
          <w:b/>
          <w:bCs/>
        </w:rPr>
        <w:t>知识产权</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1.乙方确认，其基于本合同的约定向甲方提供的设备及配件（包括硬件和软件）的知识产权是乙方合法拥有/或经合法授权的权利，不会侵犯任何第三方的合法知识产权。</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对于乙方拥有知识产权的与设备及配件配套的软件，乙方保证在交付设备及配件前或交付设备及配件同时向甲方提供由乙方签署的授权使用证明；对乙方不拥有知识产权的设备及配件软件，乙方提供由拥有知识产权的厂商签署的授权使用证明。甲方将有权持续并不受干扰地享有和/或使用乙方向其提供的设备及配件软件，且除本合同约定的应支付的设备款项外，甲方不必就使用上述软件而另外交纳任何其他费用。</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3.乙方保证本合同软件不存在影响设备正常运行的软件缺陷。如果发现由于非甲方原因导致的设备软件缺陷，乙方应自费负责纠正该软件缺陷，造成甲方损失的，乙方应根据实际损失进行赔偿。</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4.乙方承诺在本合同中所采用的和提供给甲方所有和/或使用的一切软件、硬件设备以及技术、方法、手段中不存在任何权利瑕疵，不侵犯任何第三方的合法权益。</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如果甲方因按照本合同的约定享有和/或使用乙方提供的软、硬件设备以及相应的技术、方法、手段而侵犯任何第三方的合法权利，或因此涉入诉讼、索赔或其他司法程序，甲方应立即通知乙方，乙方应按照本条款的规定处理并赔偿甲方损失，同时应支付所产生的一切行政处罚罚款、诉讼费用、合理的律师费用、和解金额或终审判决中规定的损害赔偿金额以及由此给甲方造成的损失。</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如果在上述规定的侵权纠纷中有关法院、行政机关和/或其他部门禁止甲方继续享有和/或使用软件的一部分或全部，乙方应采取以下措施之一：</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（1）在甲方要求的期限内使甲方免费重新获得使用上述软件的权利；</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（2）在甲方要求的期限内对上述设备软件进行修改或更换，使其满足本合同的相关规定，让甲方使用软件不受上述禁令限制，并继续使用设备。</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无论采用上述何种方式，或乙方与他方交涉的结果如何，乙方均需承担全部费用。乙方除应采取上述措施外还应承担因此给甲方造成的损失。</w:t>
      </w:r>
    </w:p>
    <w:p>
      <w:pPr>
        <w:spacing w:before="162" w:beforeLines="50" w:after="162" w:afterLines="50"/>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第六条  其他要求</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1.乙方负责将货物安全无损运抵甲方指定地点,承担设备的包装、运输、保险、装卸、安装调试、培训、商检及计量检测和增值税等费用，并承担前述环节中货物发生毁损、灭失的风险。</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甲乙双方进行初步货物验收时，乙方须提供设备的技术文件，包括使用说明书（中英文）、维修手册、质量保证文件（合格证）、国家食品药品监督管理局或省有关部门颁发的医疗器械注册证明文件及其他必备的技术文件等。进口设备须提供报关、完税和商检和其他必备的证明文件。</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3.乙方须提供设备安装和维修所需的专用工具等。</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4.乙方负责设备包装物的清理，保持设备安装现场的整洁。</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5.乙方派往甲方安装现场的人员，必须遵守甲方有关的管理规章、制度等。</w:t>
      </w:r>
    </w:p>
    <w:p>
      <w:pPr>
        <w:pStyle w:val="185"/>
        <w:spacing w:before="162" w:beforeLines="50" w:after="162" w:afterLines="50"/>
        <w:ind w:firstLine="482"/>
        <w:rPr>
          <w:rFonts w:ascii="仿宋" w:hAnsi="仿宋" w:eastAsia="仿宋" w:cs="仿宋"/>
          <w:color w:val="000000"/>
          <w:sz w:val="24"/>
          <w:szCs w:val="24"/>
        </w:rPr>
      </w:pPr>
      <w:r>
        <w:rPr>
          <w:rFonts w:hint="eastAsia" w:ascii="仿宋" w:hAnsi="仿宋" w:eastAsia="仿宋" w:cs="仿宋"/>
          <w:b/>
          <w:sz w:val="24"/>
          <w:szCs w:val="24"/>
        </w:rPr>
        <w:t>第七条  售后服务</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1.乙方应按照国家有关法律法规规章、“三包”规定和合同及相关承诺等提供保修及其他服务。</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2.在免费保修期内，每年免费维护保养次数至少</w:t>
      </w:r>
      <w:r>
        <w:rPr>
          <w:rFonts w:hint="eastAsia" w:ascii="仿宋" w:hAnsi="仿宋" w:eastAsia="仿宋" w:cs="仿宋"/>
          <w:szCs w:val="24"/>
          <w:u w:val="single"/>
        </w:rPr>
        <w:t xml:space="preserve">   </w:t>
      </w:r>
      <w:r>
        <w:rPr>
          <w:rFonts w:hint="eastAsia" w:ascii="仿宋" w:hAnsi="仿宋" w:eastAsia="仿宋" w:cs="仿宋"/>
          <w:szCs w:val="24"/>
        </w:rPr>
        <w:t>次。设备出现质量问题的，由乙方免费上门维修或更换存在质量问题的设备零配件。</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w:t>
      </w:r>
      <w:r>
        <w:rPr>
          <w:rFonts w:ascii="仿宋" w:hAnsi="仿宋" w:eastAsia="仿宋" w:cs="仿宋"/>
          <w:szCs w:val="24"/>
        </w:rPr>
        <w:t>.</w:t>
      </w:r>
      <w:r>
        <w:rPr>
          <w:rFonts w:hint="eastAsia" w:ascii="仿宋" w:hAnsi="仿宋" w:eastAsia="仿宋" w:cs="仿宋"/>
          <w:szCs w:val="24"/>
        </w:rPr>
        <w:t>在免费保修期内，乙方应根据甲方的需求派专业技术人员免费对甲方临床操作人员进行专业的培训及指导，并免费对甲方维修工程师进行维护、维修培训，每年不限次数。</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ascii="仿宋" w:hAnsi="仿宋" w:eastAsia="仿宋" w:cs="仿宋"/>
          <w:szCs w:val="24"/>
        </w:rPr>
        <w:t>4</w:t>
      </w:r>
      <w:r>
        <w:rPr>
          <w:rFonts w:hint="eastAsia" w:ascii="仿宋" w:hAnsi="仿宋" w:eastAsia="仿宋" w:cs="仿宋"/>
          <w:szCs w:val="24"/>
        </w:rPr>
        <w:t>.维修响应</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ascii="仿宋" w:hAnsi="仿宋" w:eastAsia="仿宋" w:cs="仿宋"/>
          <w:szCs w:val="24"/>
        </w:rPr>
        <w:t>4</w:t>
      </w:r>
      <w:r>
        <w:rPr>
          <w:rFonts w:hint="eastAsia" w:ascii="仿宋" w:hAnsi="仿宋" w:eastAsia="仿宋" w:cs="仿宋"/>
          <w:szCs w:val="24"/>
        </w:rPr>
        <w:t>.1免费保修期内，乙方在接到报修通知后，须在</w:t>
      </w:r>
      <w:r>
        <w:rPr>
          <w:rFonts w:hint="eastAsia" w:ascii="仿宋" w:hAnsi="仿宋" w:eastAsia="仿宋" w:cs="仿宋"/>
          <w:szCs w:val="24"/>
          <w:u w:val="single"/>
        </w:rPr>
        <w:t xml:space="preserve">        </w:t>
      </w:r>
      <w:r>
        <w:rPr>
          <w:rFonts w:hint="eastAsia" w:ascii="仿宋" w:hAnsi="仿宋" w:eastAsia="仿宋" w:cs="仿宋"/>
          <w:szCs w:val="24"/>
        </w:rPr>
        <w:t>小时内响应；电话不能解决的，须在</w:t>
      </w:r>
      <w:r>
        <w:rPr>
          <w:rFonts w:hint="eastAsia" w:ascii="仿宋" w:hAnsi="仿宋" w:eastAsia="仿宋" w:cs="仿宋"/>
          <w:szCs w:val="24"/>
          <w:u w:val="single"/>
        </w:rPr>
        <w:t xml:space="preserve">        </w:t>
      </w:r>
      <w:r>
        <w:rPr>
          <w:rFonts w:hint="eastAsia" w:ascii="仿宋" w:hAnsi="仿宋" w:eastAsia="仿宋" w:cs="仿宋"/>
          <w:szCs w:val="24"/>
        </w:rPr>
        <w:t>小时内派专业维修人员上门现场维修并解决问题。在规定时间内不能解决问题，应在</w:t>
      </w:r>
      <w:r>
        <w:rPr>
          <w:rFonts w:hint="eastAsia" w:ascii="仿宋" w:hAnsi="仿宋" w:eastAsia="仿宋" w:cs="仿宋"/>
          <w:szCs w:val="24"/>
          <w:u w:val="single"/>
        </w:rPr>
        <w:t xml:space="preserve">       </w:t>
      </w:r>
      <w:r>
        <w:rPr>
          <w:rFonts w:hint="eastAsia" w:ascii="仿宋" w:hAnsi="仿宋" w:eastAsia="仿宋" w:cs="仿宋"/>
          <w:szCs w:val="24"/>
        </w:rPr>
        <w:t>小时内免费提供相同档次的设备给甲方代用。</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ascii="仿宋" w:hAnsi="仿宋" w:eastAsia="仿宋" w:cs="仿宋"/>
          <w:szCs w:val="24"/>
        </w:rPr>
        <w:t>4</w:t>
      </w:r>
      <w:r>
        <w:rPr>
          <w:rFonts w:hint="eastAsia" w:ascii="仿宋" w:hAnsi="仿宋" w:eastAsia="仿宋" w:cs="仿宋"/>
          <w:szCs w:val="24"/>
        </w:rPr>
        <w:t>.2免费保修期外，乙方在接到报修通知后，须在</w:t>
      </w:r>
      <w:r>
        <w:rPr>
          <w:rFonts w:hint="eastAsia" w:ascii="仿宋" w:hAnsi="仿宋" w:eastAsia="仿宋" w:cs="仿宋"/>
          <w:szCs w:val="24"/>
          <w:u w:val="single"/>
        </w:rPr>
        <w:t xml:space="preserve">        </w:t>
      </w:r>
      <w:r>
        <w:rPr>
          <w:rFonts w:hint="eastAsia" w:ascii="仿宋" w:hAnsi="仿宋" w:eastAsia="仿宋" w:cs="仿宋"/>
          <w:szCs w:val="24"/>
        </w:rPr>
        <w:t>小时内响应；电话不能解决的，须在</w:t>
      </w:r>
      <w:r>
        <w:rPr>
          <w:rFonts w:hint="eastAsia" w:ascii="仿宋" w:hAnsi="仿宋" w:eastAsia="仿宋" w:cs="仿宋"/>
          <w:szCs w:val="24"/>
          <w:u w:val="single"/>
        </w:rPr>
        <w:t xml:space="preserve">        </w:t>
      </w:r>
      <w:r>
        <w:rPr>
          <w:rFonts w:hint="eastAsia" w:ascii="仿宋" w:hAnsi="仿宋" w:eastAsia="仿宋" w:cs="仿宋"/>
          <w:szCs w:val="24"/>
        </w:rPr>
        <w:t>小时内派专业维修人员上门现场维修并解决问题。在规定时间内不能解决问题，应在</w:t>
      </w:r>
      <w:r>
        <w:rPr>
          <w:rFonts w:hint="eastAsia" w:ascii="仿宋" w:hAnsi="仿宋" w:eastAsia="仿宋" w:cs="仿宋"/>
          <w:szCs w:val="24"/>
          <w:u w:val="single"/>
        </w:rPr>
        <w:t xml:space="preserve">       </w:t>
      </w:r>
      <w:r>
        <w:rPr>
          <w:rFonts w:hint="eastAsia" w:ascii="仿宋" w:hAnsi="仿宋" w:eastAsia="仿宋" w:cs="仿宋"/>
          <w:szCs w:val="24"/>
        </w:rPr>
        <w:t>小时内免费提供相同档次的设备给甲方代用。</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ascii="仿宋" w:hAnsi="仿宋" w:eastAsia="仿宋" w:cs="仿宋"/>
          <w:szCs w:val="24"/>
        </w:rPr>
        <w:t>5</w:t>
      </w:r>
      <w:r>
        <w:rPr>
          <w:rFonts w:hint="eastAsia" w:ascii="仿宋" w:hAnsi="仿宋" w:eastAsia="仿宋" w:cs="仿宋"/>
          <w:szCs w:val="24"/>
        </w:rPr>
        <w:t>.乙方负责设备的终身维修，储备足够的零配件备库并保证</w:t>
      </w:r>
      <w:r>
        <w:rPr>
          <w:rFonts w:hint="eastAsia" w:ascii="仿宋" w:hAnsi="仿宋" w:eastAsia="仿宋" w:cs="仿宋"/>
          <w:szCs w:val="24"/>
          <w:u w:val="single"/>
        </w:rPr>
        <w:t xml:space="preserve">     </w:t>
      </w:r>
      <w:r>
        <w:rPr>
          <w:rFonts w:hint="eastAsia" w:ascii="仿宋" w:hAnsi="仿宋" w:eastAsia="仿宋" w:cs="仿宋"/>
          <w:szCs w:val="24"/>
        </w:rPr>
        <w:t>年以上的维修配件。免费保修期满后，乙方对设备的维修不收人工及差旅费，只收取相关材料费（价格不得高于市场价格）。</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ascii="仿宋" w:hAnsi="仿宋" w:eastAsia="仿宋" w:cs="仿宋"/>
          <w:szCs w:val="24"/>
        </w:rPr>
        <w:t>6</w:t>
      </w:r>
      <w:r>
        <w:rPr>
          <w:rFonts w:hint="eastAsia" w:ascii="仿宋" w:hAnsi="仿宋" w:eastAsia="仿宋" w:cs="仿宋"/>
          <w:szCs w:val="24"/>
        </w:rPr>
        <w:t>.免费保修期内，必须保证设备开机率＞95%以上；若不能达到此开机率，将作以下处理：（1）开机率在90-95%之间按一赔二延长免费保修期；（2）开机率在85-90%之间按一赔五延长免费保修期；（3）开机率低于85%必须无条件更换新机，重新计算免费保修期，并赔偿用户的直接经济损失和间接经济损失。</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ascii="仿宋" w:hAnsi="仿宋" w:eastAsia="仿宋" w:cs="仿宋"/>
          <w:szCs w:val="24"/>
        </w:rPr>
        <w:t>7</w:t>
      </w:r>
      <w:r>
        <w:rPr>
          <w:rFonts w:hint="eastAsia" w:ascii="仿宋" w:hAnsi="仿宋" w:eastAsia="仿宋" w:cs="仿宋"/>
          <w:szCs w:val="24"/>
        </w:rPr>
        <w:t>.自本合同签订之日起，乙方免费提供</w:t>
      </w:r>
      <w:bookmarkStart w:id="80" w:name="_Hlk40865619"/>
      <w:r>
        <w:rPr>
          <w:rFonts w:hint="eastAsia" w:ascii="仿宋" w:hAnsi="仿宋" w:eastAsia="仿宋" w:cs="仿宋"/>
          <w:szCs w:val="24"/>
          <w:u w:val="single"/>
        </w:rPr>
        <w:t xml:space="preserve">    </w:t>
      </w:r>
      <w:bookmarkEnd w:id="80"/>
      <w:r>
        <w:rPr>
          <w:rFonts w:hint="eastAsia" w:ascii="仿宋" w:hAnsi="仿宋" w:eastAsia="仿宋" w:cs="仿宋"/>
          <w:szCs w:val="24"/>
        </w:rPr>
        <w:t>年软件升级与维保服务,并免费开放设备接口参数，无偿派人配合与医院信息系统的连接工作，直至该设备与医院信息系统可进行完整的数据交换；在设备保修期内，当医院信息系统变更并需要与该设备连接时，需无偿派人配合直至该设备与医院信息系统可进行完整的数据交换。</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8.乙方负责承担该项目接入院内所有系统所产生的接口（含第三方系统）等一切费用。</w:t>
      </w:r>
    </w:p>
    <w:p>
      <w:pPr>
        <w:spacing w:before="162" w:beforeLines="50" w:after="162" w:afterLines="50"/>
        <w:ind w:left="1" w:firstLine="479" w:firstLineChars="199"/>
        <w:rPr>
          <w:rFonts w:ascii="仿宋" w:hAnsi="仿宋" w:eastAsia="仿宋" w:cs="仿宋"/>
          <w:b/>
          <w:sz w:val="24"/>
          <w:szCs w:val="24"/>
        </w:rPr>
      </w:pPr>
      <w:r>
        <w:rPr>
          <w:rFonts w:hint="eastAsia" w:ascii="仿宋" w:hAnsi="仿宋" w:eastAsia="仿宋" w:cs="仿宋"/>
          <w:b/>
          <w:sz w:val="24"/>
          <w:szCs w:val="24"/>
        </w:rPr>
        <w:t>第八条  货款支付</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1.合同签订后</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3</w:t>
      </w:r>
      <w:r>
        <w:rPr>
          <w:rFonts w:hint="eastAsia" w:ascii="仿宋" w:hAnsi="仿宋" w:eastAsia="仿宋" w:cs="仿宋"/>
          <w:szCs w:val="24"/>
          <w:u w:val="single"/>
        </w:rPr>
        <w:t xml:space="preserve">0 </w:t>
      </w:r>
      <w:r>
        <w:rPr>
          <w:rFonts w:hint="eastAsia" w:ascii="仿宋" w:hAnsi="仿宋" w:eastAsia="仿宋" w:cs="仿宋"/>
          <w:szCs w:val="24"/>
        </w:rPr>
        <w:t>天（日历日）内，乙方将合同总价款的</w:t>
      </w:r>
      <w:r>
        <w:rPr>
          <w:rFonts w:hint="eastAsia" w:ascii="仿宋" w:hAnsi="仿宋" w:eastAsia="仿宋" w:cs="仿宋"/>
          <w:szCs w:val="24"/>
          <w:u w:val="single"/>
        </w:rPr>
        <w:t xml:space="preserve"> 5% </w:t>
      </w:r>
      <w:r>
        <w:rPr>
          <w:rFonts w:hint="eastAsia" w:ascii="仿宋" w:hAnsi="仿宋" w:eastAsia="仿宋" w:cs="仿宋"/>
          <w:szCs w:val="24"/>
        </w:rPr>
        <w:t>作为履约保证金汇入甲方指定账户。</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2.本合同约定的全部采购设备、物品到达甲方指定地点，经安装验收合格，乙方提供全额发票，且乙方将履约保证金汇入甲方指定账户后，甲方向乙方支付100%货款。</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3.自甲方性能验收合格后满</w:t>
      </w:r>
      <w:r>
        <w:rPr>
          <w:rFonts w:hint="eastAsia" w:ascii="仿宋" w:hAnsi="仿宋" w:eastAsia="仿宋" w:cs="仿宋"/>
          <w:szCs w:val="24"/>
          <w:u w:val="single"/>
        </w:rPr>
        <w:t xml:space="preserve"> 合同约定的免费保修期 </w:t>
      </w:r>
      <w:r>
        <w:rPr>
          <w:rFonts w:hint="eastAsia" w:ascii="仿宋" w:hAnsi="仿宋" w:eastAsia="仿宋" w:cs="仿宋"/>
          <w:szCs w:val="24"/>
        </w:rPr>
        <w:t>，且本合同约定的全部采购设备、物品未出现任何质量问题的，经甲方确认后，由甲方免息退还乙方交付的履约保证金。</w:t>
      </w:r>
    </w:p>
    <w:p>
      <w:pPr>
        <w:spacing w:before="162" w:beforeLines="50" w:after="162" w:afterLines="50"/>
        <w:ind w:left="1" w:firstLine="479" w:firstLineChars="199"/>
        <w:rPr>
          <w:rFonts w:ascii="仿宋" w:hAnsi="仿宋" w:eastAsia="仿宋" w:cs="仿宋"/>
          <w:b/>
          <w:sz w:val="24"/>
          <w:szCs w:val="24"/>
        </w:rPr>
      </w:pPr>
      <w:r>
        <w:rPr>
          <w:rFonts w:hint="eastAsia" w:ascii="仿宋" w:hAnsi="仿宋" w:eastAsia="仿宋" w:cs="仿宋"/>
          <w:b/>
          <w:sz w:val="24"/>
          <w:szCs w:val="24"/>
        </w:rPr>
        <w:t>第九条 不可抗力</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1.本合同所称不可抗力指本合同下的各方不能预见、不能避免、不能克服的客观情况，包括但不限于以下任何原因：天灾、疾病疫情、政府行为、战争、火灾、洪水、爆炸、民变、武装冲突、恐怖行为、革命、封锁、禁运、罢工、劳资纠纷、恶劣天气、疾病、工厂或机器事故（或故障）、材料短缺等。金钱债务不受不可抗力影响。</w:t>
      </w:r>
    </w:p>
    <w:p>
      <w:pPr>
        <w:pStyle w:val="2"/>
        <w:tabs>
          <w:tab w:val="left" w:pos="562"/>
          <w:tab w:val="left" w:pos="3372"/>
          <w:tab w:val="left" w:pos="3653"/>
        </w:tabs>
        <w:spacing w:after="162" w:afterLines="50" w:line="360" w:lineRule="auto"/>
        <w:ind w:firstLine="482" w:firstLineChars="200"/>
        <w:rPr>
          <w:rFonts w:ascii="仿宋" w:hAnsi="仿宋" w:eastAsia="仿宋" w:cs="仿宋"/>
          <w:szCs w:val="24"/>
        </w:rPr>
      </w:pPr>
      <w:r>
        <w:rPr>
          <w:rFonts w:hint="eastAsia" w:ascii="仿宋" w:hAnsi="仿宋" w:eastAsia="仿宋" w:cs="仿宋"/>
          <w:szCs w:val="24"/>
        </w:rPr>
        <w:t>2.本合同的任何一方因不可抗力不能履行或不能完全履行本合同的义务时，应在不可抗力发生之日起的</w:t>
      </w:r>
      <w:r>
        <w:rPr>
          <w:rFonts w:hint="eastAsia" w:ascii="仿宋" w:hAnsi="仿宋" w:eastAsia="仿宋" w:cs="仿宋"/>
          <w:szCs w:val="24"/>
          <w:u w:val="single"/>
        </w:rPr>
        <w:t xml:space="preserve"> 15 </w:t>
      </w:r>
      <w:r>
        <w:rPr>
          <w:rFonts w:hint="eastAsia" w:ascii="仿宋" w:hAnsi="仿宋" w:eastAsia="仿宋" w:cs="仿宋"/>
          <w:szCs w:val="24"/>
        </w:rPr>
        <w:t>日内通知另一方，并在不可抗力发生之日起的</w:t>
      </w:r>
      <w:r>
        <w:rPr>
          <w:rFonts w:hint="eastAsia" w:ascii="仿宋" w:hAnsi="仿宋" w:eastAsia="仿宋" w:cs="仿宋"/>
          <w:szCs w:val="24"/>
          <w:u w:val="single"/>
        </w:rPr>
        <w:t xml:space="preserve"> 30 </w:t>
      </w:r>
      <w:r>
        <w:rPr>
          <w:rFonts w:hint="eastAsia" w:ascii="仿宋" w:hAnsi="仿宋" w:eastAsia="仿宋" w:cs="仿宋"/>
          <w:szCs w:val="24"/>
        </w:rPr>
        <w:t>日内向另一方出具由当地公证机关公证的不可抗力证明。</w:t>
      </w:r>
    </w:p>
    <w:p>
      <w:pPr>
        <w:pStyle w:val="480"/>
        <w:numPr>
          <w:ilvl w:val="0"/>
          <w:numId w:val="0"/>
        </w:numPr>
        <w:spacing w:before="162" w:beforeLines="50" w:after="162" w:afterLines="50" w:line="360" w:lineRule="auto"/>
        <w:ind w:firstLine="480" w:firstLineChars="200"/>
        <w:rPr>
          <w:rFonts w:ascii="仿宋" w:hAnsi="仿宋" w:eastAsia="仿宋" w:cs="仿宋"/>
          <w:kern w:val="2"/>
          <w:szCs w:val="24"/>
          <w:lang w:eastAsia="zh-CN"/>
        </w:rPr>
      </w:pPr>
      <w:r>
        <w:rPr>
          <w:rFonts w:hint="eastAsia" w:ascii="仿宋" w:hAnsi="仿宋" w:eastAsia="仿宋" w:cs="仿宋"/>
          <w:kern w:val="2"/>
          <w:szCs w:val="24"/>
          <w:lang w:eastAsia="zh-CN"/>
        </w:rPr>
        <w:t>3.因不可抗力不能履行本合同的，根据不可抗力的影响，部分或全部免除责任，但法律另有规定的除外。</w:t>
      </w:r>
    </w:p>
    <w:p>
      <w:pPr>
        <w:spacing w:before="162" w:beforeLines="50" w:after="162" w:afterLines="50"/>
        <w:ind w:firstLine="482" w:firstLineChars="200"/>
        <w:rPr>
          <w:rFonts w:ascii="仿宋" w:hAnsi="仿宋" w:eastAsia="仿宋" w:cs="仿宋"/>
          <w:sz w:val="24"/>
          <w:szCs w:val="24"/>
        </w:rPr>
      </w:pPr>
      <w:r>
        <w:rPr>
          <w:rFonts w:hint="eastAsia" w:ascii="仿宋" w:hAnsi="仿宋" w:eastAsia="仿宋" w:cs="仿宋"/>
          <w:b/>
          <w:sz w:val="24"/>
          <w:szCs w:val="24"/>
        </w:rPr>
        <w:t>第十条  违约责任</w:t>
      </w:r>
    </w:p>
    <w:p>
      <w:pPr>
        <w:pStyle w:val="480"/>
        <w:numPr>
          <w:ilvl w:val="0"/>
          <w:numId w:val="0"/>
        </w:numPr>
        <w:spacing w:before="162" w:beforeLines="50" w:after="162" w:afterLines="50" w:line="360" w:lineRule="auto"/>
        <w:ind w:firstLine="480" w:firstLineChars="200"/>
        <w:rPr>
          <w:rFonts w:ascii="仿宋" w:hAnsi="仿宋" w:eastAsia="仿宋" w:cs="仿宋"/>
          <w:kern w:val="2"/>
          <w:szCs w:val="24"/>
          <w:lang w:eastAsia="zh-CN"/>
        </w:rPr>
      </w:pPr>
      <w:r>
        <w:rPr>
          <w:rFonts w:hint="eastAsia" w:ascii="仿宋" w:hAnsi="仿宋" w:eastAsia="仿宋" w:cs="仿宋"/>
          <w:kern w:val="2"/>
          <w:szCs w:val="24"/>
          <w:lang w:eastAsia="zh-CN"/>
        </w:rPr>
        <w:t>1.乙方逾期交付设备的，每逾期1天，乙方向甲方偿付逾期交货部分货款总额10‰的违约金。如乙方逾期交货达</w:t>
      </w:r>
      <w:r>
        <w:rPr>
          <w:rFonts w:hint="eastAsia" w:ascii="仿宋" w:hAnsi="仿宋" w:eastAsia="仿宋" w:cs="仿宋"/>
          <w:kern w:val="2"/>
          <w:szCs w:val="24"/>
          <w:u w:val="single"/>
          <w:lang w:eastAsia="zh-CN"/>
        </w:rPr>
        <w:t xml:space="preserve"> 30 </w:t>
      </w:r>
      <w:r>
        <w:rPr>
          <w:rFonts w:hint="eastAsia" w:ascii="仿宋" w:hAnsi="仿宋" w:eastAsia="仿宋" w:cs="仿宋"/>
          <w:kern w:val="2"/>
          <w:szCs w:val="24"/>
          <w:lang w:eastAsia="zh-CN"/>
        </w:rPr>
        <w:t>天，甲方有权解除合同，履约保证金不予退回，同时甲方有权要求乙方支付合同总价30%的违约金，并赔偿甲方由此遭受的损失（包括但不限于甲方因经营需要临时向第三人采购同类设备的额外支出等）。</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2.乙方不能交付或所交付的设备品牌、型号、规格、性能等不符合合同规定的，甲方有权退货并解除合同，履约保证金不予退回，同时有权要求乙方支付合同总价30%的违约金，并赔偿甲方由此遭受的损失。</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在合同约定的或国家规定的免费保修期内（取两者中最长的期限），乙方负责保修、包换或者包退并承担相关费用。如设备经乙方三次维修或更换，仍不能达到合同规定的质量标准，甲方有权退货并解除合同，履约保证金不予退回，同时甲方有权要求乙方支付合同总价30%的违约金，并赔偿甲方由此遭受的损失。</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4.因设备质量问题造成患者人身伤害、造成甲方经济损失的，甲方向患者先行赔偿后，有权向乙方追偿。追偿的范围包括甲方的直接损失和维权费用（包括诉讼费、仲裁费、鉴定费、律师费），甲方与患者无论是采取诉讼、仲裁、调解、和解任一方式，造成的损失乙方均应同等接受并予以赔偿。</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5.乙方未履行本合同项下的其他义务，履约保证金不予退回，同时甲方有权要求乙方支付合同总价30%的违约金，并赔偿甲方由此遭受的损失。</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6.乙方在承担上述一项或多项违约责任后，仍应继续履行合同规定的义务（甲方解除合同的除外）。甲方未能及时追究乙方的任何一项违约责任并不表明甲方放弃追究乙方该项或其他违约责任。</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7.因乙方违约给甲方造成损失的，乙方应承担损害赔偿责任，包括但不限于经济损失、诉讼费、保全费、律师费等。</w:t>
      </w:r>
    </w:p>
    <w:p>
      <w:pPr>
        <w:spacing w:before="162" w:beforeLines="50" w:after="162" w:afterLines="50"/>
        <w:ind w:firstLine="482" w:firstLineChars="200"/>
        <w:rPr>
          <w:rFonts w:ascii="仿宋" w:hAnsi="仿宋" w:eastAsia="仿宋" w:cs="仿宋"/>
          <w:b/>
          <w:sz w:val="24"/>
          <w:szCs w:val="24"/>
        </w:rPr>
      </w:pPr>
      <w:r>
        <w:rPr>
          <w:rFonts w:hint="eastAsia" w:ascii="仿宋" w:hAnsi="仿宋" w:eastAsia="仿宋" w:cs="仿宋"/>
          <w:b/>
          <w:sz w:val="24"/>
          <w:szCs w:val="24"/>
        </w:rPr>
        <w:t>第十一条  合同的变更和终止</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 除《中华人民共和国政府采购法》第49条规定的情形外，甲乙双方不得擅自变更本合同。</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 除《中华人民共和国政府采购法》第50条第二款规定的情形及本合同第十条约定的合同解除情形外，甲乙双方不得擅自解除本合同。</w:t>
      </w:r>
    </w:p>
    <w:p>
      <w:pPr>
        <w:spacing w:before="162" w:beforeLines="50" w:after="162" w:afterLines="50"/>
        <w:ind w:firstLine="482" w:firstLineChars="200"/>
        <w:rPr>
          <w:rFonts w:ascii="仿宋" w:hAnsi="仿宋" w:eastAsia="仿宋" w:cs="仿宋"/>
          <w:b/>
          <w:sz w:val="24"/>
          <w:szCs w:val="24"/>
        </w:rPr>
      </w:pPr>
      <w:r>
        <w:rPr>
          <w:rFonts w:hint="eastAsia" w:ascii="仿宋" w:hAnsi="仿宋" w:eastAsia="仿宋" w:cs="仿宋"/>
          <w:b/>
          <w:sz w:val="24"/>
          <w:szCs w:val="24"/>
        </w:rPr>
        <w:t>第十二条  争议的解决</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因设备的质量问题发生争议的，双方同意邀请国家认可的质量检测机构（如：“广东省医疗器械质量监督检验所”）对货物质量进行鉴定。鉴定费由乙方先行支付。经鉴定确定质量不符合标准的，鉴定费由乙方承担，造成延期交付时，乙方承担延期交付违约责任。经鉴定确定质量符合标准的，鉴定费由甲方承担。</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2.因履行本合同引起的或与本合同有关的争议，甲、乙双方应首先通过友好协商解决，如果协商不能解决争议，双方均有权提交甲方所在地人民法院解决。</w:t>
      </w:r>
    </w:p>
    <w:p>
      <w:pPr>
        <w:spacing w:before="162" w:beforeLines="50" w:after="162" w:afterLines="50"/>
        <w:ind w:firstLine="482" w:firstLineChars="200"/>
        <w:rPr>
          <w:rFonts w:ascii="仿宋" w:hAnsi="仿宋" w:eastAsia="仿宋" w:cs="仿宋"/>
          <w:b/>
          <w:sz w:val="24"/>
          <w:szCs w:val="24"/>
        </w:rPr>
      </w:pPr>
      <w:r>
        <w:rPr>
          <w:rFonts w:hint="eastAsia" w:ascii="仿宋" w:hAnsi="仿宋" w:eastAsia="仿宋" w:cs="仿宋"/>
          <w:b/>
          <w:sz w:val="24"/>
          <w:szCs w:val="24"/>
        </w:rPr>
        <w:t>第十三条  附则</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1.本合同自双方签字盖章之日起生效。</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2.本合同一式</w:t>
      </w:r>
      <w:r>
        <w:rPr>
          <w:rFonts w:hint="eastAsia" w:ascii="仿宋" w:hAnsi="仿宋" w:eastAsia="仿宋" w:cs="仿宋"/>
          <w:sz w:val="24"/>
          <w:szCs w:val="24"/>
          <w:u w:val="single"/>
        </w:rPr>
        <w:t xml:space="preserve"> 陆 </w:t>
      </w:r>
      <w:r>
        <w:rPr>
          <w:rFonts w:hint="eastAsia" w:ascii="仿宋" w:hAnsi="仿宋" w:eastAsia="仿宋" w:cs="仿宋"/>
          <w:sz w:val="24"/>
          <w:szCs w:val="24"/>
        </w:rPr>
        <w:t>份，甲方执</w:t>
      </w:r>
      <w:r>
        <w:rPr>
          <w:rFonts w:hint="eastAsia" w:ascii="仿宋" w:hAnsi="仿宋" w:eastAsia="仿宋" w:cs="仿宋"/>
          <w:sz w:val="24"/>
          <w:szCs w:val="24"/>
          <w:u w:val="single"/>
        </w:rPr>
        <w:t xml:space="preserve"> 伍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壹 </w:t>
      </w:r>
      <w:r>
        <w:rPr>
          <w:rFonts w:hint="eastAsia" w:ascii="仿宋" w:hAnsi="仿宋" w:eastAsia="仿宋" w:cs="仿宋"/>
          <w:sz w:val="24"/>
          <w:szCs w:val="24"/>
        </w:rPr>
        <w:t>份，均具同等法律效力。</w:t>
      </w:r>
    </w:p>
    <w:p>
      <w:pPr>
        <w:spacing w:before="162" w:beforeLines="50" w:after="162"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3.合同附件作为本合同的组成部分，与本合同具有同等法律效力。附件包含：廉洁承诺书、中标通知书、设备配置清单、设备技术规格偏离表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乙方保修承诺函、厂家保修承诺函</w:t>
      </w:r>
      <w:r>
        <w:rPr>
          <w:rFonts w:hint="eastAsia" w:ascii="仿宋" w:hAnsi="仿宋" w:eastAsia="仿宋" w:cs="仿宋"/>
          <w:sz w:val="24"/>
          <w:szCs w:val="24"/>
        </w:rPr>
        <w:t>。</w:t>
      </w:r>
    </w:p>
    <w:p>
      <w:pPr>
        <w:spacing w:before="162" w:beforeLines="50" w:after="162" w:afterLines="50" w:line="360" w:lineRule="auto"/>
        <w:ind w:firstLine="480" w:firstLineChars="200"/>
        <w:rPr>
          <w:rFonts w:ascii="仿宋" w:hAnsi="仿宋" w:eastAsia="仿宋" w:cs="仿宋"/>
          <w:szCs w:val="24"/>
        </w:rPr>
      </w:pPr>
      <w:r>
        <w:rPr>
          <w:rFonts w:hint="eastAsia" w:ascii="仿宋" w:hAnsi="仿宋" w:eastAsia="仿宋" w:cs="仿宋"/>
          <w:sz w:val="24"/>
          <w:szCs w:val="24"/>
        </w:rPr>
        <w:t>（以下无正文，为签署页）</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甲方（采购人）：深圳市</w:t>
      </w:r>
      <w:r>
        <w:rPr>
          <w:rFonts w:hint="eastAsia" w:ascii="仿宋" w:hAnsi="仿宋" w:eastAsia="仿宋" w:cs="仿宋"/>
          <w:b/>
          <w:bCs/>
          <w:sz w:val="24"/>
          <w:szCs w:val="24"/>
          <w:lang w:val="en-US" w:eastAsia="zh-CN"/>
        </w:rPr>
        <w:t>第四人民医院</w:t>
      </w:r>
      <w:r>
        <w:rPr>
          <w:rFonts w:hint="eastAsia" w:ascii="仿宋" w:hAnsi="仿宋" w:eastAsia="仿宋" w:cs="仿宋"/>
          <w:b/>
          <w:bCs/>
          <w:sz w:val="24"/>
          <w:szCs w:val="24"/>
        </w:rPr>
        <w:t xml:space="preserve">      乙方（供应商）：</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法定代表人（或授权代表）：              法定代表人（或授权代表）：</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联系电话：0755-21589999                 联系电话：</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开户行名称：                            开户行名称：</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银行账号：                              银行账号：</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日期：   年     月    日                日期：   年   月   日</w:t>
      </w:r>
    </w:p>
    <w:p>
      <w:pPr>
        <w:spacing w:after="162" w:afterLines="50" w:line="336" w:lineRule="auto"/>
        <w:jc w:val="left"/>
        <w:rPr>
          <w:rFonts w:hint="default" w:ascii="仿宋" w:hAnsi="仿宋" w:eastAsia="仿宋" w:cs="仿宋"/>
          <w:b/>
          <w:bCs/>
          <w:sz w:val="24"/>
          <w:szCs w:val="24"/>
          <w:lang w:val="en-US" w:eastAsia="zh-CN"/>
        </w:rPr>
      </w:pPr>
      <w:r>
        <w:rPr>
          <w:rFonts w:hint="eastAsia" w:ascii="仿宋" w:hAnsi="仿宋" w:eastAsia="仿宋" w:cs="仿宋"/>
          <w:b/>
          <w:bCs/>
          <w:sz w:val="24"/>
          <w:szCs w:val="24"/>
        </w:rPr>
        <w:t>签约地址：深圳市</w:t>
      </w:r>
      <w:r>
        <w:rPr>
          <w:rFonts w:hint="eastAsia" w:ascii="仿宋" w:hAnsi="仿宋" w:eastAsia="仿宋" w:cs="仿宋"/>
          <w:b/>
          <w:bCs/>
          <w:sz w:val="24"/>
          <w:szCs w:val="24"/>
          <w:lang w:val="en-US" w:eastAsia="zh-CN"/>
        </w:rPr>
        <w:t>第四人民医院</w:t>
      </w:r>
    </w:p>
    <w:p>
      <w:pPr>
        <w:spacing w:after="162" w:afterLines="50" w:line="336" w:lineRule="auto"/>
        <w:jc w:val="left"/>
        <w:rPr>
          <w:rFonts w:ascii="仿宋" w:hAnsi="仿宋" w:eastAsia="仿宋" w:cs="仿宋"/>
          <w:b/>
          <w:bCs/>
          <w:sz w:val="24"/>
          <w:szCs w:val="24"/>
        </w:rPr>
      </w:pPr>
      <w:r>
        <w:rPr>
          <w:rFonts w:hint="eastAsia" w:ascii="仿宋" w:hAnsi="仿宋" w:eastAsia="仿宋" w:cs="仿宋"/>
          <w:b/>
          <w:bCs/>
          <w:sz w:val="24"/>
          <w:szCs w:val="24"/>
        </w:rPr>
        <w:t>附件：</w:t>
      </w:r>
    </w:p>
    <w:p>
      <w:pPr>
        <w:spacing w:after="162" w:afterLines="50" w:line="336" w:lineRule="auto"/>
        <w:jc w:val="left"/>
        <w:rPr>
          <w:rFonts w:ascii="仿宋" w:hAnsi="仿宋" w:eastAsia="仿宋" w:cs="仿宋"/>
          <w:sz w:val="24"/>
          <w:szCs w:val="24"/>
        </w:rPr>
      </w:pPr>
      <w:r>
        <w:rPr>
          <w:rFonts w:hint="eastAsia" w:ascii="仿宋" w:hAnsi="仿宋" w:eastAsia="仿宋" w:cs="仿宋"/>
          <w:sz w:val="24"/>
          <w:szCs w:val="24"/>
        </w:rPr>
        <w:t>1、廉洁承诺书</w:t>
      </w:r>
    </w:p>
    <w:p>
      <w:pPr>
        <w:spacing w:after="162" w:afterLines="50" w:line="336" w:lineRule="auto"/>
        <w:jc w:val="left"/>
        <w:rPr>
          <w:rFonts w:ascii="仿宋" w:hAnsi="仿宋" w:eastAsia="仿宋" w:cs="仿宋"/>
          <w:sz w:val="24"/>
          <w:szCs w:val="24"/>
        </w:rPr>
      </w:pPr>
      <w:r>
        <w:rPr>
          <w:rFonts w:hint="eastAsia" w:ascii="仿宋" w:hAnsi="仿宋" w:eastAsia="仿宋" w:cs="仿宋"/>
          <w:sz w:val="24"/>
          <w:szCs w:val="24"/>
        </w:rPr>
        <w:t>2、中标通知书</w:t>
      </w:r>
    </w:p>
    <w:p>
      <w:pPr>
        <w:spacing w:after="162" w:afterLines="50" w:line="336" w:lineRule="auto"/>
        <w:jc w:val="left"/>
        <w:rPr>
          <w:rFonts w:ascii="仿宋" w:hAnsi="仿宋" w:eastAsia="仿宋" w:cs="仿宋"/>
          <w:sz w:val="24"/>
          <w:szCs w:val="24"/>
        </w:rPr>
      </w:pPr>
      <w:r>
        <w:rPr>
          <w:rFonts w:hint="eastAsia" w:ascii="仿宋" w:hAnsi="仿宋" w:eastAsia="仿宋" w:cs="仿宋"/>
          <w:sz w:val="24"/>
          <w:szCs w:val="24"/>
        </w:rPr>
        <w:t>3、设备配置清单</w:t>
      </w:r>
    </w:p>
    <w:p>
      <w:pPr>
        <w:spacing w:after="162" w:afterLines="50" w:line="336" w:lineRule="auto"/>
        <w:jc w:val="left"/>
        <w:rPr>
          <w:rFonts w:hint="eastAsia" w:ascii="仿宋" w:hAnsi="仿宋" w:eastAsia="仿宋" w:cs="仿宋"/>
          <w:sz w:val="24"/>
          <w:szCs w:val="24"/>
        </w:rPr>
      </w:pPr>
      <w:r>
        <w:rPr>
          <w:rFonts w:hint="eastAsia" w:ascii="仿宋" w:hAnsi="仿宋" w:eastAsia="仿宋" w:cs="仿宋"/>
          <w:sz w:val="24"/>
          <w:szCs w:val="24"/>
        </w:rPr>
        <w:t>4、设备技术规格偏离表</w:t>
      </w:r>
    </w:p>
    <w:p>
      <w:pPr>
        <w:spacing w:after="162" w:afterLines="50" w:line="336"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5、乙方保修承诺函</w:t>
      </w:r>
    </w:p>
    <w:p>
      <w:pPr>
        <w:spacing w:after="162" w:afterLines="50" w:line="336"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6、厂家保修承诺函</w:t>
      </w:r>
      <w:r>
        <w:rPr>
          <w:rFonts w:hint="eastAsia" w:ascii="仿宋" w:hAnsi="仿宋" w:eastAsia="仿宋" w:cs="仿宋"/>
          <w:sz w:val="24"/>
          <w:szCs w:val="24"/>
        </w:rPr>
        <w:br w:type="page"/>
      </w:r>
    </w:p>
    <w:p>
      <w:pPr>
        <w:spacing w:after="162" w:afterLines="50" w:line="336" w:lineRule="auto"/>
        <w:jc w:val="left"/>
        <w:rPr>
          <w:rFonts w:ascii="仿宋" w:hAnsi="仿宋" w:eastAsia="仿宋" w:cs="仿宋"/>
          <w:sz w:val="24"/>
          <w:szCs w:val="24"/>
        </w:rPr>
      </w:pPr>
      <w:r>
        <w:rPr>
          <w:rFonts w:hint="eastAsia" w:ascii="仿宋" w:hAnsi="仿宋" w:eastAsia="仿宋" w:cs="仿宋"/>
          <w:sz w:val="24"/>
          <w:szCs w:val="24"/>
        </w:rPr>
        <w:t>附件1：廉洁承诺书</w:t>
      </w:r>
    </w:p>
    <w:p>
      <w:pPr>
        <w:spacing w:line="360" w:lineRule="auto"/>
        <w:rPr>
          <w:rFonts w:ascii="仿宋" w:hAnsi="仿宋" w:eastAsia="仿宋" w:cs="仿宋"/>
          <w:sz w:val="24"/>
        </w:rPr>
      </w:pPr>
      <w:r>
        <w:rPr>
          <w:rFonts w:hint="eastAsia" w:ascii="仿宋" w:hAnsi="仿宋" w:eastAsia="仿宋" w:cs="仿宋"/>
          <w:sz w:val="24"/>
        </w:rPr>
        <w:t>深圳市</w:t>
      </w:r>
      <w:r>
        <w:rPr>
          <w:rFonts w:hint="eastAsia" w:ascii="仿宋" w:hAnsi="仿宋" w:eastAsia="仿宋" w:cs="仿宋"/>
          <w:sz w:val="24"/>
          <w:lang w:val="en-US" w:eastAsia="zh-CN"/>
        </w:rPr>
        <w:t>第四人民医院</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为进一步加强医疗卫生行风建设，有效防范商业贿赂行为，营造公平交易、诚实守信的采购环境，本公司作为贵院的供应商，基于维护良好的企业形象，及为供需各方提供优质服务的需要，本公司谨此承诺：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一、合同期间，本公司、本公司的关联企业承诺：</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绝不向贵院的工作人员给予任何性质、形式的金钱或物品，包括但不限于回扣、礼金、佣金、顾问费、咨询费、好处费、感谢费、有价证券、消费券、购物卡、提货凭证、各种门票、物品等等任何名目的款、物；</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2、绝不向贵院工作人员提供实质上由我司承担费用的任何性质、形式的消费或便利，例如：旅游、交通工具、餐饮、健身、娱乐、水疗、理疗、体育活动、演唱会等等；</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3、绝不接受贵院工作人员以任何名义向我司提出的费用报销请求；</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4、绝不与贵院工作人员或其代理人、股份代持人、亲属、关系密切的人等以某种方式合作经营业务，且该业务不论是否与贵院的采购标的有关；</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5、绝不进行其他可能导致贵院工作人员个人可获得金钱或物质利益的行为。</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二、上述承诺中所述的礼品、款物、便利等并无价值大小之分，亦不一定可以金钱衡量之，均为禁止之列。</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三、如违反承诺，视为本公司根本违约，本公司愿意接受以下规定进行处罚：</w:t>
      </w:r>
    </w:p>
    <w:p>
      <w:pPr>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同意</w:t>
      </w:r>
      <w:r>
        <w:rPr>
          <w:rFonts w:hint="eastAsia" w:ascii="仿宋" w:hAnsi="仿宋" w:eastAsia="仿宋" w:cs="仿宋"/>
          <w:sz w:val="24"/>
        </w:rPr>
        <w:t>按照合同总价的20%向贵院支付违约金；</w:t>
      </w:r>
      <w:r>
        <w:rPr>
          <w:rFonts w:ascii="仿宋" w:hAnsi="仿宋" w:eastAsia="仿宋" w:cs="仿宋"/>
          <w:sz w:val="24"/>
        </w:rPr>
        <w:t xml:space="preserve"> </w:t>
      </w:r>
    </w:p>
    <w:p>
      <w:pPr>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、贵院有权解除与本公司签订并尚在履行的合同；</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3、贵院有权视本公司违约情节轻重，将本公司列入贵院供应商黑名单。</w:t>
      </w: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    四、本廉洁承诺书作为本合同的附件，对本公司具有约束力。</w:t>
      </w:r>
    </w:p>
    <w:p>
      <w:pPr>
        <w:adjustRightInd w:val="0"/>
        <w:snapToGrid w:val="0"/>
        <w:spacing w:line="360" w:lineRule="auto"/>
        <w:rPr>
          <w:rFonts w:ascii="仿宋" w:hAnsi="仿宋" w:eastAsia="仿宋" w:cs="仿宋"/>
          <w:sz w:val="24"/>
        </w:rPr>
      </w:pPr>
    </w:p>
    <w:p>
      <w:pPr>
        <w:adjustRightInd w:val="0"/>
        <w:snapToGrid w:val="0"/>
        <w:spacing w:line="360" w:lineRule="auto"/>
        <w:ind w:firstLine="4578" w:firstLineChars="1900"/>
        <w:rPr>
          <w:rFonts w:ascii="仿宋" w:hAnsi="仿宋" w:eastAsia="仿宋" w:cs="仿宋"/>
          <w:b/>
          <w:bCs/>
          <w:sz w:val="24"/>
        </w:rPr>
      </w:pPr>
      <w:r>
        <w:rPr>
          <w:rFonts w:hint="eastAsia" w:ascii="仿宋" w:hAnsi="仿宋" w:eastAsia="仿宋" w:cs="仿宋"/>
          <w:b/>
          <w:bCs/>
          <w:sz w:val="24"/>
        </w:rPr>
        <w:t>承诺方（公章）：</w:t>
      </w:r>
    </w:p>
    <w:p>
      <w:pPr>
        <w:adjustRightInd w:val="0"/>
        <w:snapToGrid w:val="0"/>
        <w:spacing w:line="360" w:lineRule="auto"/>
        <w:ind w:firstLine="4578" w:firstLineChars="1900"/>
        <w:rPr>
          <w:rFonts w:ascii="仿宋" w:hAnsi="仿宋" w:eastAsia="MS Gothic" w:cs="仿宋"/>
          <w:b/>
          <w:bCs/>
          <w:sz w:val="24"/>
        </w:rPr>
      </w:pPr>
      <w:r>
        <w:rPr>
          <w:rFonts w:hint="eastAsia" w:ascii="仿宋" w:hAnsi="仿宋" w:eastAsia="仿宋" w:cs="仿宋"/>
          <w:b/>
          <w:bCs/>
          <w:sz w:val="24"/>
        </w:rPr>
        <w:t>法定代表人（或授权代表）：</w:t>
      </w:r>
    </w:p>
    <w:p>
      <w:pPr>
        <w:spacing w:after="162" w:afterLines="50" w:line="336" w:lineRule="auto"/>
        <w:jc w:val="left"/>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spacing w:after="162" w:afterLines="50" w:line="336" w:lineRule="auto"/>
        <w:jc w:val="left"/>
        <w:rPr>
          <w:rFonts w:ascii="仿宋" w:hAnsi="仿宋" w:eastAsia="仿宋" w:cs="仿宋"/>
          <w:sz w:val="24"/>
          <w:szCs w:val="24"/>
        </w:rPr>
      </w:pPr>
      <w:r>
        <w:rPr>
          <w:rFonts w:hint="eastAsia" w:ascii="仿宋" w:hAnsi="仿宋" w:eastAsia="仿宋" w:cs="仿宋"/>
          <w:sz w:val="24"/>
          <w:szCs w:val="24"/>
        </w:rPr>
        <w:t>附件2：中标通知书</w:t>
      </w:r>
    </w:p>
    <w:p>
      <w:pPr>
        <w:spacing w:after="162" w:afterLines="50"/>
        <w:rPr>
          <w:rFonts w:ascii="仿宋" w:hAnsi="仿宋" w:eastAsia="仿宋" w:cs="仿宋"/>
          <w:sz w:val="24"/>
          <w:szCs w:val="24"/>
        </w:rPr>
      </w:pPr>
      <w:r>
        <w:rPr>
          <w:rFonts w:hint="eastAsia" w:ascii="仿宋" w:hAnsi="仿宋" w:eastAsia="仿宋" w:cs="仿宋"/>
          <w:sz w:val="24"/>
          <w:szCs w:val="24"/>
        </w:rPr>
        <w:br w:type="page"/>
      </w:r>
    </w:p>
    <w:p>
      <w:pPr>
        <w:spacing w:after="162" w:afterLines="50" w:line="336" w:lineRule="auto"/>
        <w:jc w:val="left"/>
        <w:rPr>
          <w:rFonts w:ascii="仿宋" w:hAnsi="仿宋" w:eastAsia="仿宋" w:cs="仿宋"/>
          <w:sz w:val="24"/>
          <w:szCs w:val="24"/>
        </w:rPr>
      </w:pPr>
      <w:r>
        <w:rPr>
          <w:rFonts w:hint="eastAsia" w:ascii="仿宋" w:hAnsi="仿宋" w:eastAsia="仿宋" w:cs="仿宋"/>
          <w:sz w:val="24"/>
          <w:szCs w:val="24"/>
        </w:rPr>
        <w:t>附件3：设备配置清单</w:t>
      </w:r>
    </w:p>
    <w:p>
      <w:pPr>
        <w:spacing w:after="162" w:afterLines="50"/>
        <w:rPr>
          <w:rFonts w:hint="eastAsia" w:asciiTheme="minorEastAsia" w:hAnsiTheme="minorEastAsia" w:eastAsiaTheme="minorEastAsia" w:cstheme="minorEastAsia"/>
          <w:sz w:val="24"/>
          <w:szCs w:val="24"/>
        </w:rPr>
      </w:pPr>
    </w:p>
    <w:p>
      <w:pPr>
        <w:spacing w:after="162" w:afterLines="50"/>
        <w:rPr>
          <w:rFonts w:hint="eastAsia" w:asciiTheme="minorEastAsia" w:hAnsiTheme="minorEastAsia" w:eastAsiaTheme="minorEastAsia" w:cstheme="minorEastAsia"/>
          <w:sz w:val="24"/>
          <w:szCs w:val="24"/>
        </w:rPr>
      </w:pPr>
    </w:p>
    <w:p>
      <w:pPr>
        <w:spacing w:after="162" w:afterLines="50"/>
        <w:rPr>
          <w:rFonts w:hint="eastAsia" w:asciiTheme="minorEastAsia" w:hAnsiTheme="minorEastAsia" w:eastAsiaTheme="minorEastAsia" w:cstheme="minorEastAsia"/>
          <w:sz w:val="24"/>
          <w:szCs w:val="24"/>
        </w:rPr>
      </w:pPr>
    </w:p>
    <w:p>
      <w:pPr>
        <w:spacing w:after="162" w:afterLines="50"/>
        <w:rPr>
          <w:rFonts w:hint="eastAsia" w:asciiTheme="minorEastAsia" w:hAnsiTheme="minorEastAsia" w:eastAsiaTheme="minorEastAsia" w:cstheme="minorEastAsia"/>
          <w:sz w:val="24"/>
          <w:szCs w:val="24"/>
        </w:rPr>
      </w:pPr>
    </w:p>
    <w:p>
      <w:pPr>
        <w:spacing w:after="162" w:afterLines="50"/>
        <w:rPr>
          <w:rFonts w:hint="eastAsia" w:asciiTheme="minorEastAsia" w:hAnsiTheme="minorEastAsia" w:eastAsiaTheme="minorEastAsia" w:cstheme="minorEastAsia"/>
          <w:sz w:val="24"/>
          <w:szCs w:val="24"/>
        </w:rPr>
      </w:pPr>
    </w:p>
    <w:p>
      <w:pPr>
        <w:spacing w:after="162" w:afterLines="50"/>
        <w:rPr>
          <w:rFonts w:hint="eastAsia" w:asciiTheme="minorEastAsia" w:hAnsiTheme="minorEastAsia" w:eastAsiaTheme="minorEastAsia" w:cstheme="minorEastAsia"/>
          <w:sz w:val="24"/>
          <w:szCs w:val="24"/>
        </w:rPr>
      </w:pPr>
    </w:p>
    <w:p>
      <w:pPr>
        <w:spacing w:after="162" w:afterLines="50" w:line="336" w:lineRule="auto"/>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备注</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供方须保证以上价格为深圳市最低成交价，今后若有价格变动，供方应及时将深圳市最低成交价交由需方备案，同时根据需方要求执行，供方若不如实或不及时报备经需方发现查实后则退回全部差额，并支付差额10倍的违约金。</w:t>
      </w:r>
    </w:p>
    <w:p>
      <w:pPr>
        <w:spacing w:after="162" w:afterLine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after="162" w:afterLines="50" w:line="336" w:lineRule="auto"/>
        <w:jc w:val="left"/>
        <w:rPr>
          <w:rFonts w:hint="eastAsia" w:ascii="仿宋" w:hAnsi="仿宋" w:eastAsia="仿宋" w:cs="仿宋"/>
          <w:sz w:val="24"/>
          <w:szCs w:val="24"/>
        </w:rPr>
      </w:pPr>
      <w:r>
        <w:rPr>
          <w:rFonts w:hint="eastAsia" w:ascii="仿宋" w:hAnsi="仿宋" w:eastAsia="仿宋" w:cs="仿宋"/>
          <w:sz w:val="24"/>
          <w:szCs w:val="24"/>
        </w:rPr>
        <w:t>附件4：设备技术规格偏离表</w:t>
      </w:r>
    </w:p>
    <w:p>
      <w:r>
        <w:br w:type="page"/>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附件5：乙方保修承诺函</w:t>
      </w:r>
    </w:p>
    <w:p>
      <w:pPr>
        <w:pStyle w:val="2"/>
        <w:tabs>
          <w:tab w:val="left" w:pos="562"/>
          <w:tab w:val="left" w:pos="3372"/>
          <w:tab w:val="left" w:pos="3653"/>
        </w:tabs>
        <w:rPr>
          <w:rFonts w:hint="eastAsia"/>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附件6：厂家保修承诺函</w:t>
      </w:r>
    </w:p>
    <w:p>
      <w:pPr>
        <w:pStyle w:val="2"/>
        <w:tabs>
          <w:tab w:val="left" w:pos="562"/>
          <w:tab w:val="left" w:pos="3372"/>
          <w:tab w:val="left" w:pos="3653"/>
        </w:tabs>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81" w:name="_Toc27624"/>
      <w:r>
        <w:rPr>
          <w:rFonts w:hint="eastAsia" w:ascii="黑体" w:hAnsi="黑体" w:eastAsia="黑体" w:cs="Times New Roman"/>
          <w:b w:val="0"/>
          <w:bCs w:val="0"/>
          <w:kern w:val="2"/>
          <w:sz w:val="28"/>
          <w:szCs w:val="28"/>
          <w:lang w:val="en-US" w:eastAsia="zh-CN" w:bidi="ar-SA"/>
        </w:rPr>
        <w:t>第二节 政府采购合同通用条款</w:t>
      </w:r>
      <w:bookmarkEnd w:id="81"/>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10"/>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1"/>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8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2"/>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2"/>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3"/>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83"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83"/>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rPr>
          <w:rFonts w:eastAsia="宋体"/>
        </w:r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6"/>
        <w:spacing w:before="120" w:beforeLines="50" w:after="120" w:afterLines="50"/>
        <w:ind w:left="562"/>
        <w:rPr>
          <w:sz w:val="28"/>
          <w:szCs w:val="28"/>
        </w:rPr>
      </w:pPr>
      <w:r>
        <w:rPr>
          <w:rFonts w:hint="eastAsia"/>
          <w:sz w:val="28"/>
          <w:szCs w:val="28"/>
        </w:rPr>
        <w:t>第二册  通用条款（公开招标）</w:t>
      </w: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bookmarkStart w:id="84" w:name="_Hlk72399513"/>
      <w:bookmarkStart w:id="85" w:name="_Hlk72439706"/>
      <w:r>
        <w:rPr>
          <w:rFonts w:hint="eastAsia" w:ascii="Cambria" w:hAnsi="Cambria" w:eastAsia="宋体" w:cs="Times New Roman"/>
          <w:b/>
          <w:bCs/>
          <w:sz w:val="28"/>
          <w:szCs w:val="28"/>
        </w:rPr>
        <w:t>总则</w:t>
      </w:r>
    </w:p>
    <w:bookmarkEnd w:id="84"/>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86" w:name="_Hlk72399729"/>
      <w:r>
        <w:rPr>
          <w:rFonts w:hint="eastAsia" w:ascii="宋体" w:hAnsi="宋体"/>
          <w:szCs w:val="21"/>
        </w:rPr>
        <w:t>如有需要，政府集中采购机构可以对通用条款的内容进行补充。</w:t>
      </w:r>
      <w:bookmarkEnd w:id="86"/>
    </w:p>
    <w:p>
      <w:pPr>
        <w:ind w:firstLine="420" w:firstLineChars="200"/>
        <w:rPr>
          <w:rFonts w:ascii="宋体" w:hAnsi="宋体"/>
          <w:szCs w:val="21"/>
        </w:rPr>
      </w:pPr>
      <w:r>
        <w:rPr>
          <w:rFonts w:hint="eastAsia" w:ascii="宋体" w:hAnsi="宋体"/>
          <w:szCs w:val="21"/>
        </w:rPr>
        <w:t>1.2招标文件分为第一册“专用条款”和第二册“通用条款”。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招标</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3.6“合同”指由本次招标所产生的合同或合约文件；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87"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（1）投标联合体各方参加政府采购活动应当具备下列条件：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5、参加政府采购活动前三年内，在经营活动中没有重大违法记录；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政府采购扶持贫困地区、中小企业、监狱企业和残疾人福利性单位发展，支持节能减排、环境保护。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88"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7"/>
    <w:p>
      <w:pPr>
        <w:ind w:firstLine="411" w:firstLineChars="196"/>
        <w:rPr>
          <w:rFonts w:ascii="宋体" w:hAnsi="宋体"/>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招标文件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89" w:name="_Hlk72399819"/>
      <w:r>
        <w:rPr>
          <w:rFonts w:hint="eastAsia" w:ascii="黑体" w:hAnsi="宋体" w:eastAsia="黑体"/>
          <w:szCs w:val="21"/>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20" w:firstLineChars="200"/>
        <w:rPr>
          <w:rFonts w:ascii="宋体" w:hAnsi="宋体"/>
          <w:szCs w:val="21"/>
        </w:rPr>
      </w:pPr>
      <w:r>
        <w:rPr>
          <w:rFonts w:hint="eastAsia" w:ascii="宋体" w:hAnsi="宋体"/>
          <w:szCs w:val="21"/>
        </w:rPr>
        <w:t>招标文件包括下列内容：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招标公告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招标文件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公开招标失败的后续处理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.2投标人如对招标文件内容有疑问，应当在招标公告规定的澄清（提问）截止时间前提交政府集中采购机构。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3．招标文件的修改</w:t>
      </w:r>
    </w:p>
    <w:p>
      <w:pPr>
        <w:ind w:firstLine="420" w:firstLineChars="200"/>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pPr>
        <w:rPr>
          <w:rFonts w:ascii="宋体" w:hAnsi="宋体"/>
          <w:szCs w:val="21"/>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90"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90"/>
    <w:p>
      <w:pPr>
        <w:ind w:firstLine="420" w:firstLineChars="200"/>
        <w:rPr>
          <w:rFonts w:ascii="黑体" w:hAnsi="宋体" w:eastAsia="黑体"/>
          <w:szCs w:val="21"/>
        </w:rPr>
      </w:pPr>
      <w:r>
        <w:rPr>
          <w:rFonts w:hint="eastAsia" w:ascii="黑体" w:hAnsi="宋体" w:eastAsia="黑体"/>
          <w:szCs w:val="21"/>
        </w:rPr>
        <w:t>15．</w:t>
      </w:r>
      <w:bookmarkStart w:id="91"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具体内容在招标文件专用条款中进行规定。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91"/>
    <w:p>
      <w:pPr>
        <w:ind w:firstLine="420" w:firstLineChars="200"/>
        <w:rPr>
          <w:rFonts w:ascii="黑体" w:hAnsi="宋体" w:eastAsia="黑体"/>
          <w:szCs w:val="21"/>
        </w:rPr>
      </w:pPr>
      <w:r>
        <w:rPr>
          <w:rFonts w:hint="eastAsia" w:ascii="黑体" w:hAnsi="宋体" w:eastAsia="黑体"/>
          <w:szCs w:val="21"/>
        </w:rPr>
        <w:t>18．</w:t>
      </w:r>
      <w:bookmarkStart w:id="92" w:name="_Hlk72401735"/>
      <w:r>
        <w:rPr>
          <w:rFonts w:hint="eastAsia" w:ascii="黑体" w:hAnsi="宋体" w:eastAsia="黑体"/>
          <w:szCs w:val="21"/>
        </w:rPr>
        <w:t>证明投标文件投标技术方案的合格性和符合招标文件规定的文件要求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92"/>
    <w:p>
      <w:pPr>
        <w:ind w:firstLine="420" w:firstLineChars="200"/>
        <w:rPr>
          <w:rFonts w:ascii="黑体" w:hAnsi="宋体" w:eastAsia="黑体"/>
          <w:szCs w:val="21"/>
        </w:rPr>
      </w:pPr>
      <w:r>
        <w:rPr>
          <w:rFonts w:hint="eastAsia" w:ascii="黑体" w:hAnsi="宋体" w:eastAsia="黑体"/>
          <w:szCs w:val="21"/>
        </w:rPr>
        <w:t>19．</w:t>
      </w:r>
      <w:bookmarkStart w:id="93"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bookmarkEnd w:id="94"/>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93"/>
    <w:p>
      <w:pPr>
        <w:ind w:firstLine="420" w:firstLineChars="200"/>
        <w:rPr>
          <w:rFonts w:ascii="宋体" w:hAnsi="宋体"/>
          <w:szCs w:val="21"/>
        </w:rPr>
      </w:pPr>
      <w:bookmarkStart w:id="9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95"/>
    <w:p>
      <w:pPr>
        <w:ind w:firstLine="420" w:firstLineChars="200"/>
        <w:rPr>
          <w:rFonts w:ascii="黑体" w:hAnsi="宋体" w:eastAsia="黑体"/>
          <w:szCs w:val="21"/>
        </w:rPr>
      </w:pPr>
      <w:r>
        <w:rPr>
          <w:rFonts w:hint="eastAsia" w:ascii="黑体" w:hAnsi="宋体" w:eastAsia="黑体"/>
          <w:szCs w:val="21"/>
        </w:rPr>
        <w:t>21．</w:t>
      </w:r>
      <w:bookmarkStart w:id="96"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96"/>
    <w:p>
      <w:pPr>
        <w:ind w:firstLine="420" w:firstLineChars="200"/>
        <w:rPr>
          <w:rFonts w:ascii="黑体" w:hAnsi="宋体" w:eastAsia="黑体"/>
          <w:szCs w:val="21"/>
        </w:rPr>
      </w:pPr>
      <w:r>
        <w:rPr>
          <w:rFonts w:hint="eastAsia" w:ascii="黑体" w:hAnsi="宋体" w:eastAsia="黑体"/>
          <w:szCs w:val="21"/>
        </w:rPr>
        <w:t>23．</w:t>
      </w:r>
      <w:bookmarkStart w:id="97"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23.2.4投标文件不能带病毒。政府集中采购机构将用专业杀毒软件对投标文件进行病毒检测，如果这两种软件均报告发现病毒，则政府集中采购机构认为该投标文件带病毒。</w:t>
      </w:r>
    </w:p>
    <w:p>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23.2.7投标文件编写完成后，</w:t>
      </w:r>
      <w:r>
        <w:rPr>
          <w:rFonts w:hint="eastAsia" w:ascii="宋体" w:hAnsi="宋体"/>
          <w:b/>
          <w:szCs w:val="21"/>
        </w:rPr>
        <w:t>必须用属于投标人的电子密钥进行加密，否则视同未盖公章，将导致投标文件无效。</w:t>
      </w:r>
    </w:p>
    <w:p>
      <w:pPr>
        <w:ind w:firstLine="420" w:firstLineChars="200"/>
        <w:rPr>
          <w:rFonts w:ascii="宋体" w:hAnsi="宋体"/>
          <w:szCs w:val="21"/>
        </w:rPr>
      </w:pPr>
      <w:r>
        <w:rPr>
          <w:rFonts w:hint="eastAsia" w:ascii="宋体" w:hAnsi="宋体"/>
          <w:szCs w:val="21"/>
        </w:rPr>
        <w:t>23.2.8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23.2.9如果开标时出现网络故障、技术故障，影响了采购活动，政府集中采购机构有权采取措施如延期、接受无法从网上上传的投标书等，以保障采购活动的公开、公平和公正。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97"/>
    </w:p>
    <w:p>
      <w:pPr>
        <w:ind w:firstLine="411" w:firstLineChars="196"/>
        <w:rPr>
          <w:rFonts w:ascii="宋体" w:hAnsi="宋体"/>
          <w:szCs w:val="21"/>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投标文件的递交</w:t>
      </w:r>
    </w:p>
    <w:p>
      <w:pPr>
        <w:ind w:firstLine="420" w:firstLineChars="200"/>
        <w:rPr>
          <w:rFonts w:ascii="黑体" w:hAnsi="宋体" w:eastAsia="黑体"/>
          <w:szCs w:val="21"/>
        </w:rPr>
      </w:pPr>
      <w:bookmarkStart w:id="98" w:name="_Hlk72405459"/>
      <w:r>
        <w:rPr>
          <w:rFonts w:hint="eastAsia" w:ascii="黑体" w:hAnsi="宋体" w:eastAsia="黑体"/>
          <w:szCs w:val="21"/>
        </w:rPr>
        <w:t>24．投标文件的保密</w:t>
      </w:r>
    </w:p>
    <w:p>
      <w:pPr>
        <w:ind w:firstLine="420" w:firstLineChars="200"/>
        <w:rPr>
          <w:rFonts w:ascii="宋体" w:hAnsi="宋体" w:eastAsia="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98"/>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ascii="黑体" w:hAnsi="宋体" w:eastAsia="黑体"/>
          <w:szCs w:val="21"/>
        </w:rPr>
      </w:pPr>
      <w:bookmarkStart w:id="99"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99"/>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100"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100"/>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30.1公开发布的招标文件，包括图纸、服务清单、答疑文件等；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30.3评审委员会应当认真研究招标文件，至少应了解熟悉以下内容：</w:t>
      </w:r>
    </w:p>
    <w:p>
      <w:pPr>
        <w:ind w:firstLine="420" w:firstLineChars="200"/>
        <w:rPr>
          <w:rFonts w:ascii="宋体" w:hAnsi="宋体"/>
          <w:szCs w:val="21"/>
        </w:rPr>
      </w:pPr>
      <w:r>
        <w:rPr>
          <w:rFonts w:hint="eastAsia" w:ascii="宋体" w:hAnsi="宋体"/>
          <w:szCs w:val="21"/>
        </w:rPr>
        <w:t>（1）招标的目的；</w:t>
      </w:r>
    </w:p>
    <w:p>
      <w:pPr>
        <w:ind w:firstLine="420" w:firstLineChars="200"/>
        <w:rPr>
          <w:rFonts w:ascii="宋体" w:hAnsi="宋体"/>
          <w:szCs w:val="21"/>
        </w:rPr>
      </w:pPr>
      <w:r>
        <w:rPr>
          <w:rFonts w:hint="eastAsia" w:ascii="宋体" w:hAnsi="宋体"/>
          <w:szCs w:val="21"/>
        </w:rPr>
        <w:t>（2）招标项目需求的范围和性质；</w:t>
      </w:r>
    </w:p>
    <w:p>
      <w:pPr>
        <w:ind w:firstLine="420" w:firstLineChars="200"/>
        <w:rPr>
          <w:rFonts w:ascii="宋体" w:hAnsi="宋体"/>
          <w:szCs w:val="21"/>
        </w:rPr>
      </w:pPr>
      <w:r>
        <w:rPr>
          <w:rFonts w:hint="eastAsia" w:ascii="宋体" w:hAnsi="宋体"/>
          <w:szCs w:val="21"/>
        </w:rPr>
        <w:t>（3）招标文件规定的投标人的资格、财政预算限额、商务条款；</w:t>
      </w:r>
    </w:p>
    <w:p>
      <w:pPr>
        <w:ind w:firstLine="420" w:firstLineChars="200"/>
        <w:rPr>
          <w:rFonts w:ascii="宋体" w:hAnsi="宋体"/>
          <w:szCs w:val="21"/>
        </w:rPr>
      </w:pPr>
      <w:r>
        <w:rPr>
          <w:rFonts w:hint="eastAsia" w:ascii="宋体" w:hAnsi="宋体"/>
          <w:szCs w:val="21"/>
        </w:rPr>
        <w:t>（4）招标文件规定的评标程序、评标方法和评标因素；</w:t>
      </w:r>
    </w:p>
    <w:p>
      <w:pPr>
        <w:ind w:firstLine="420" w:firstLineChars="200"/>
        <w:rPr>
          <w:rFonts w:ascii="宋体" w:hAnsi="宋体"/>
          <w:szCs w:val="21"/>
        </w:rPr>
      </w:pPr>
      <w:r>
        <w:rPr>
          <w:rFonts w:hint="eastAsia" w:ascii="宋体" w:hAnsi="宋体"/>
          <w:szCs w:val="21"/>
        </w:rPr>
        <w:t>（5）招标文件所列示的资格性审查表及符合性审查表。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101"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101"/>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102" w:name="_Toc73521669"/>
      <w:bookmarkStart w:id="103" w:name="_Toc73518151"/>
      <w:bookmarkStart w:id="104" w:name="_Toc73517673"/>
      <w:bookmarkStart w:id="105" w:name="_Toc100052400"/>
      <w:bookmarkStart w:id="106" w:name="_Toc73521581"/>
      <w:r>
        <w:rPr>
          <w:rFonts w:hint="eastAsia" w:ascii="黑体" w:hAnsi="宋体" w:eastAsia="黑体"/>
          <w:szCs w:val="21"/>
        </w:rPr>
        <w:t>34．错误的修正</w:t>
      </w:r>
      <w:bookmarkEnd w:id="102"/>
      <w:bookmarkEnd w:id="103"/>
      <w:bookmarkEnd w:id="104"/>
      <w:bookmarkEnd w:id="105"/>
      <w:bookmarkEnd w:id="106"/>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107"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107"/>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108"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109" w:name="_Hlk73821177"/>
      <w:r>
        <w:rPr>
          <w:rFonts w:hint="eastAsia" w:ascii="ˎ̥" w:hAnsi="ˎ̥"/>
          <w:szCs w:val="21"/>
        </w:rPr>
        <w:t>唯一候选中标供应商</w:t>
      </w:r>
      <w:bookmarkEnd w:id="109"/>
      <w:r>
        <w:rPr>
          <w:rFonts w:ascii="ˎ̥" w:hAnsi="ˎ̥"/>
          <w:szCs w:val="21"/>
        </w:rPr>
        <w:t>。</w:t>
      </w:r>
    </w:p>
    <w:p>
      <w:pPr>
        <w:ind w:firstLine="420" w:firstLineChars="200"/>
        <w:rPr>
          <w:rFonts w:hint="eastAsia" w:ascii="ˎ̥" w:hAnsi="ˎ̥" w:eastAsia="宋体"/>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110" w:name="_Hlk71469733"/>
      <w:r>
        <w:rPr>
          <w:szCs w:val="21"/>
        </w:rPr>
        <w:t>适用评定分离的政府采购项目，采用综合评分法评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111" w:name="_Hlk71469688"/>
      <w:r>
        <w:rPr>
          <w:szCs w:val="21"/>
        </w:rP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10"/>
      <w:bookmarkEnd w:id="111"/>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政府集中采购机构。具体定标程序及相关要求以按照《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108"/>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40．中标公告</w:t>
      </w:r>
    </w:p>
    <w:p>
      <w:pPr>
        <w:ind w:firstLine="420" w:firstLineChars="200"/>
        <w:rPr>
          <w:rFonts w:ascii="宋体" w:hAnsi="宋体"/>
          <w:szCs w:val="21"/>
        </w:rPr>
      </w:pPr>
      <w:r>
        <w:rPr>
          <w:rFonts w:hint="eastAsia" w:ascii="宋体" w:hAnsi="宋体"/>
          <w:szCs w:val="21"/>
        </w:rPr>
        <w:t>40.1</w:t>
      </w:r>
      <w:bookmarkStart w:id="11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112"/>
      <w:bookmarkStart w:id="11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113"/>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1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114"/>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115" w:name="_Hlk71407340"/>
      <w:r>
        <w:rPr>
          <w:rFonts w:hint="eastAsia" w:ascii="宋体" w:hAnsi="宋体"/>
          <w:szCs w:val="21"/>
        </w:rPr>
        <w:t>41.3因质疑投诉或其它原因导致项目结果变更或采购终止的，政府集中采购机构有权吊销中标通知书。</w:t>
      </w:r>
    </w:p>
    <w:bookmarkEnd w:id="115"/>
    <w:p>
      <w:pPr>
        <w:ind w:firstLine="411" w:firstLineChars="196"/>
        <w:rPr>
          <w:rFonts w:ascii="宋体" w:hAnsi="宋体"/>
          <w:szCs w:val="21"/>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公开招标失败的后续处理</w:t>
      </w:r>
    </w:p>
    <w:p>
      <w:pPr>
        <w:ind w:firstLine="420" w:firstLineChars="200"/>
        <w:rPr>
          <w:rFonts w:ascii="黑体" w:hAnsi="宋体" w:eastAsia="黑体"/>
          <w:szCs w:val="21"/>
        </w:rPr>
      </w:pPr>
      <w:r>
        <w:rPr>
          <w:rFonts w:hint="eastAsia" w:ascii="黑体" w:hAnsi="宋体" w:eastAsia="黑体"/>
          <w:szCs w:val="21"/>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ind w:firstLine="420" w:firstLineChars="200"/>
        <w:rPr>
          <w:rFonts w:ascii="宋体" w:hAnsi="宋体"/>
          <w:szCs w:val="21"/>
        </w:rPr>
      </w:pPr>
    </w:p>
    <w:p>
      <w:pPr>
        <w:rPr>
          <w:rFonts w:ascii="黑体" w:hAnsi="宋体" w:eastAsia="黑体"/>
          <w:sz w:val="24"/>
        </w:rPr>
      </w:pPr>
    </w:p>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bookmarkStart w:id="116" w:name="_Hlk72439043"/>
      <w:r>
        <w:rPr>
          <w:rFonts w:hint="eastAsia" w:ascii="Cambria" w:hAnsi="Cambria" w:eastAsia="宋体" w:cs="Times New Roman"/>
          <w:b/>
          <w:bCs/>
          <w:sz w:val="28"/>
          <w:szCs w:val="28"/>
        </w:rPr>
        <w:t>合同的授予与备案</w:t>
      </w:r>
      <w:bookmarkEnd w:id="116"/>
    </w:p>
    <w:p>
      <w:pPr>
        <w:ind w:firstLine="420" w:firstLineChars="200"/>
        <w:rPr>
          <w:rFonts w:ascii="黑体" w:hAnsi="宋体" w:eastAsia="黑体"/>
          <w:szCs w:val="21"/>
        </w:rPr>
      </w:pPr>
      <w:bookmarkStart w:id="117" w:name="_Toc73517679"/>
      <w:bookmarkStart w:id="118" w:name="_Toc73521674"/>
      <w:bookmarkStart w:id="119" w:name="_Toc73518157"/>
      <w:bookmarkStart w:id="120" w:name="_Toc73521586"/>
      <w:bookmarkStart w:id="121" w:name="_Toc100052408"/>
      <w:bookmarkStart w:id="122" w:name="_Hlk72439088"/>
      <w:r>
        <w:rPr>
          <w:rFonts w:hint="eastAsia" w:ascii="黑体" w:hAnsi="宋体" w:eastAsia="黑体"/>
          <w:szCs w:val="21"/>
        </w:rPr>
        <w:t>43．合同授予标准</w:t>
      </w:r>
      <w:bookmarkEnd w:id="117"/>
      <w:bookmarkEnd w:id="118"/>
      <w:bookmarkEnd w:id="119"/>
      <w:bookmarkEnd w:id="120"/>
      <w:bookmarkEnd w:id="121"/>
    </w:p>
    <w:p>
      <w:pPr>
        <w:ind w:firstLine="420" w:firstLineChars="200"/>
        <w:rPr>
          <w:rFonts w:ascii="宋体" w:hAnsi="宋体"/>
          <w:szCs w:val="21"/>
        </w:rPr>
      </w:pPr>
      <w:r>
        <w:rPr>
          <w:rFonts w:hint="eastAsia" w:ascii="宋体" w:hAnsi="宋体"/>
          <w:szCs w:val="21"/>
        </w:rPr>
        <w:t>本项目的合同将授予经本招标文件规定评审确定的中标供应商。</w:t>
      </w:r>
    </w:p>
    <w:p>
      <w:pPr>
        <w:ind w:firstLine="420" w:firstLineChars="200"/>
        <w:rPr>
          <w:rFonts w:ascii="黑体" w:hAnsi="宋体" w:eastAsia="黑体"/>
          <w:szCs w:val="21"/>
        </w:rPr>
      </w:pPr>
      <w:bookmarkStart w:id="123" w:name="_Toc73517680"/>
      <w:bookmarkStart w:id="124" w:name="_Toc100052409"/>
      <w:bookmarkStart w:id="125" w:name="_Toc73521675"/>
      <w:bookmarkStart w:id="126" w:name="_Toc73521587"/>
      <w:bookmarkStart w:id="127" w:name="_Toc73518158"/>
      <w:r>
        <w:rPr>
          <w:rFonts w:hint="eastAsia" w:ascii="黑体" w:hAnsi="宋体" w:eastAsia="黑体"/>
          <w:szCs w:val="21"/>
        </w:rPr>
        <w:t>44．</w:t>
      </w:r>
      <w:bookmarkEnd w:id="123"/>
      <w:bookmarkEnd w:id="124"/>
      <w:bookmarkEnd w:id="125"/>
      <w:bookmarkEnd w:id="126"/>
      <w:bookmarkEnd w:id="127"/>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128" w:name="_Toc100052410"/>
      <w:bookmarkStart w:id="129" w:name="_Toc73521589"/>
      <w:bookmarkStart w:id="130" w:name="_Toc73518160"/>
      <w:bookmarkStart w:id="131" w:name="_Toc73521677"/>
      <w:bookmarkStart w:id="132" w:name="_Toc73517682"/>
      <w:r>
        <w:rPr>
          <w:rFonts w:hint="eastAsia" w:ascii="黑体" w:hAnsi="宋体" w:eastAsia="黑体"/>
          <w:szCs w:val="21"/>
        </w:rPr>
        <w:t>45．合同的签订</w:t>
      </w:r>
      <w:bookmarkEnd w:id="128"/>
      <w:bookmarkEnd w:id="129"/>
      <w:bookmarkEnd w:id="130"/>
      <w:bookmarkEnd w:id="131"/>
      <w:bookmarkEnd w:id="132"/>
    </w:p>
    <w:p>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pPr>
        <w:ind w:firstLine="420" w:firstLineChars="200"/>
        <w:rPr>
          <w:rFonts w:ascii="黑体" w:hAnsi="宋体" w:eastAsia="黑体"/>
          <w:szCs w:val="21"/>
        </w:rPr>
      </w:pPr>
      <w:bookmarkStart w:id="133" w:name="_Toc73521590"/>
      <w:bookmarkStart w:id="134" w:name="_Toc100052411"/>
      <w:bookmarkStart w:id="135" w:name="_Toc73521678"/>
      <w:bookmarkStart w:id="136" w:name="_Toc73517683"/>
      <w:bookmarkStart w:id="137" w:name="_Toc73518161"/>
      <w:r>
        <w:rPr>
          <w:rFonts w:hint="eastAsia" w:ascii="黑体" w:hAnsi="宋体" w:eastAsia="黑体"/>
          <w:szCs w:val="21"/>
        </w:rPr>
        <w:t>46．履约担保</w:t>
      </w:r>
      <w:bookmarkEnd w:id="133"/>
      <w:bookmarkEnd w:id="134"/>
      <w:bookmarkEnd w:id="135"/>
      <w:bookmarkEnd w:id="136"/>
      <w:bookmarkEnd w:id="137"/>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38" w:name="_Hlk72440769"/>
      <w:r>
        <w:rPr>
          <w:rFonts w:hint="eastAsia" w:ascii="宋体" w:hAnsi="宋体"/>
          <w:szCs w:val="21"/>
        </w:rPr>
        <w:t>政府集中采购机构或采购人不予退还其交纳的谈判保证金，情节严重的，并由主管部门</w:t>
      </w:r>
      <w:bookmarkEnd w:id="138"/>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22"/>
    <w:p>
      <w:pPr>
        <w:pStyle w:val="75"/>
        <w:keepNext/>
        <w:keepLines/>
        <w:numPr>
          <w:ilvl w:val="0"/>
          <w:numId w:val="14"/>
        </w:numPr>
        <w:tabs>
          <w:tab w:val="left" w:pos="720"/>
        </w:tabs>
        <w:adjustRightInd w:val="0"/>
        <w:spacing w:before="120" w:beforeLines="50" w:after="120" w:afterLines="50"/>
        <w:ind w:firstLineChars="0"/>
        <w:jc w:val="center"/>
        <w:textAlignment w:val="baseline"/>
        <w:outlineLvl w:val="1"/>
        <w:rPr>
          <w:rFonts w:ascii="Cambria" w:hAnsi="Cambria" w:eastAsia="宋体" w:cs="Times New Roman"/>
          <w:b/>
          <w:bCs/>
          <w:sz w:val="28"/>
          <w:szCs w:val="28"/>
        </w:rPr>
      </w:pPr>
      <w:r>
        <w:rPr>
          <w:rFonts w:hint="eastAsia" w:ascii="Cambria" w:hAnsi="Cambria" w:eastAsia="宋体" w:cs="Times New Roman"/>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39" w:name="_Hlk75374941"/>
      <w:r>
        <w:rPr>
          <w:rFonts w:hint="eastAsia" w:ascii="宋体" w:hAnsi="宋体"/>
          <w:szCs w:val="21"/>
        </w:rPr>
        <w:t>以联合体形式参与的，质疑应当由组成联合体的所有成员共同提出</w:t>
      </w:r>
      <w:bookmarkEnd w:id="139"/>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85"/>
    </w:p>
    <w:p>
      <w:pPr>
        <w:rPr>
          <w:rFonts w:ascii="Calibri" w:hAnsi="Calibri" w:cs="Times New Roman"/>
        </w:rPr>
      </w:pPr>
    </w:p>
    <w:p>
      <w:pPr>
        <w:jc w:val="both"/>
      </w:pPr>
    </w:p>
    <w:sectPr>
      <w:headerReference r:id="rId6" w:type="default"/>
      <w:footerReference r:id="rId7" w:type="default"/>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9"/>
      </w:rPr>
    </w:pPr>
    <w:r>
      <w:t xml:space="preserve">- </w:t>
    </w:r>
    <w:r>
      <w:fldChar w:fldCharType="begin"/>
    </w:r>
    <w:r>
      <w:instrText xml:space="preserve"> PAGE </w:instrText>
    </w:r>
    <w:r>
      <w:fldChar w:fldCharType="separate"/>
    </w:r>
    <w:r>
      <w:t>32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FFFF7C"/>
    <w:multiLevelType w:val="singleLevel"/>
    <w:tmpl w:val="FFFFFF7C"/>
    <w:lvl w:ilvl="0" w:tentative="0">
      <w:start w:val="1"/>
      <w:numFmt w:val="decimal"/>
      <w:pStyle w:val="61"/>
      <w:lvlText w:val="%1."/>
      <w:lvlJc w:val="left"/>
      <w:pPr>
        <w:tabs>
          <w:tab w:val="left" w:pos="7994"/>
        </w:tabs>
        <w:ind w:left="7994" w:leftChars="800" w:hanging="360" w:hangingChars="200"/>
      </w:pPr>
    </w:lvl>
  </w:abstractNum>
  <w:abstractNum w:abstractNumId="7">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8">
    <w:nsid w:val="0B3E73A3"/>
    <w:multiLevelType w:val="multilevel"/>
    <w:tmpl w:val="0B3E73A3"/>
    <w:lvl w:ilvl="0" w:tentative="0">
      <w:start w:val="1"/>
      <w:numFmt w:val="chineseCountingThousand"/>
      <w:lvlText w:val="%1、"/>
      <w:lvlJc w:val="left"/>
      <w:pPr>
        <w:tabs>
          <w:tab w:val="left" w:pos="567"/>
        </w:tabs>
        <w:ind w:left="567" w:hanging="567"/>
      </w:pPr>
      <w:rPr>
        <w:rFonts w:hint="eastAsia"/>
      </w:rPr>
    </w:lvl>
    <w:lvl w:ilvl="1" w:tentative="0">
      <w:start w:val="1"/>
      <w:numFmt w:val="decimal"/>
      <w:pStyle w:val="480"/>
      <w:lvlText w:val="%2."/>
      <w:lvlJc w:val="left"/>
      <w:pPr>
        <w:tabs>
          <w:tab w:val="left" w:pos="567"/>
        </w:tabs>
        <w:ind w:left="567" w:hanging="567"/>
      </w:pPr>
      <w:rPr>
        <w:rFonts w:hint="default" w:ascii="Arial" w:hAnsi="Arial"/>
        <w:sz w:val="24"/>
      </w:rPr>
    </w:lvl>
    <w:lvl w:ilvl="2" w:tentative="0">
      <w:start w:val="1"/>
      <w:numFmt w:val="lowerLetter"/>
      <w:lvlText w:val="(%3)"/>
      <w:lvlJc w:val="left"/>
      <w:pPr>
        <w:tabs>
          <w:tab w:val="left" w:pos="567"/>
        </w:tabs>
        <w:ind w:left="567" w:hanging="567"/>
      </w:pPr>
      <w:rPr>
        <w:rFonts w:hint="default" w:ascii="Arial" w:hAnsi="Arial"/>
        <w:sz w:val="20"/>
      </w:rPr>
    </w:lvl>
    <w:lvl w:ilvl="3" w:tentative="0">
      <w:start w:val="1"/>
      <w:numFmt w:val="lowerRoman"/>
      <w:lvlText w:val="(%4)"/>
      <w:lvlJc w:val="left"/>
      <w:pPr>
        <w:tabs>
          <w:tab w:val="left" w:pos="1134"/>
        </w:tabs>
        <w:ind w:left="1134" w:hanging="567"/>
      </w:pPr>
      <w:rPr>
        <w:rFonts w:hint="default" w:ascii="Arial" w:hAnsi="Arial"/>
        <w:b w:val="0"/>
        <w:i w:val="0"/>
        <w:sz w:val="20"/>
      </w:rPr>
    </w:lvl>
    <w:lvl w:ilvl="4" w:tentative="0">
      <w:start w:val="1"/>
      <w:numFmt w:val="upperLetter"/>
      <w:lvlText w:val="(%5)"/>
      <w:lvlJc w:val="left"/>
      <w:pPr>
        <w:tabs>
          <w:tab w:val="left" w:pos="1701"/>
        </w:tabs>
        <w:ind w:left="1701" w:hanging="567"/>
      </w:pPr>
      <w:rPr>
        <w:rFonts w:hint="default" w:ascii="Arial" w:hAnsi="Arial"/>
        <w:sz w:val="20"/>
      </w:rPr>
    </w:lvl>
    <w:lvl w:ilvl="5" w:tentative="0">
      <w:start w:val="1"/>
      <w:numFmt w:val="none"/>
      <w:lvlText w:val=""/>
      <w:lvlJc w:val="left"/>
      <w:pPr>
        <w:tabs>
          <w:tab w:val="left" w:pos="2268"/>
        </w:tabs>
        <w:ind w:left="2268" w:hanging="2268"/>
      </w:pPr>
      <w:rPr>
        <w:rFonts w:hint="eastAsia"/>
      </w:rPr>
    </w:lvl>
    <w:lvl w:ilvl="6" w:tentative="0">
      <w:start w:val="1"/>
      <w:numFmt w:val="none"/>
      <w:lvlText w:val=""/>
      <w:lvlJc w:val="left"/>
      <w:pPr>
        <w:tabs>
          <w:tab w:val="left" w:pos="2268"/>
        </w:tabs>
        <w:ind w:left="2268" w:hanging="2268"/>
      </w:pPr>
      <w:rPr>
        <w:rFonts w:hint="eastAsia"/>
      </w:rPr>
    </w:lvl>
    <w:lvl w:ilvl="7" w:tentative="0">
      <w:start w:val="1"/>
      <w:numFmt w:val="none"/>
      <w:lvlText w:val=""/>
      <w:lvlJc w:val="left"/>
      <w:pPr>
        <w:tabs>
          <w:tab w:val="left" w:pos="2268"/>
        </w:tabs>
        <w:ind w:left="2268" w:hanging="2268"/>
      </w:pPr>
      <w:rPr>
        <w:rFonts w:hint="eastAsia"/>
      </w:rPr>
    </w:lvl>
    <w:lvl w:ilvl="8" w:tentative="0">
      <w:start w:val="1"/>
      <w:numFmt w:val="none"/>
      <w:lvlText w:val=""/>
      <w:lvlJc w:val="left"/>
      <w:pPr>
        <w:tabs>
          <w:tab w:val="left" w:pos="2268"/>
        </w:tabs>
        <w:ind w:left="2268" w:hanging="2268"/>
      </w:pPr>
      <w:rPr>
        <w:rFonts w:hint="eastAsia"/>
      </w:rPr>
    </w:lvl>
  </w:abstractNum>
  <w:abstractNum w:abstractNumId="9">
    <w:nsid w:val="12503483"/>
    <w:multiLevelType w:val="multilevel"/>
    <w:tmpl w:val="12503483"/>
    <w:lvl w:ilvl="0" w:tentative="0">
      <w:start w:val="1"/>
      <w:numFmt w:val="bullet"/>
      <w:pStyle w:val="109"/>
      <w:lvlText w:val=""/>
      <w:lvlJc w:val="left"/>
      <w:pPr>
        <w:tabs>
          <w:tab w:val="left" w:pos="420"/>
        </w:tabs>
        <w:ind w:left="420" w:hanging="420"/>
      </w:pPr>
      <w:rPr>
        <w:rFonts w:hint="default" w:ascii="Wingdings" w:hAnsi="Wingdings"/>
      </w:rPr>
    </w:lvl>
    <w:lvl w:ilvl="1" w:tentative="0">
      <w:start w:val="1"/>
      <w:numFmt w:val="bullet"/>
      <w:pStyle w:val="10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77"/>
      <w:lvlText w:val=""/>
      <w:lvlJc w:val="left"/>
      <w:pPr>
        <w:tabs>
          <w:tab w:val="left" w:pos="840"/>
        </w:tabs>
        <w:ind w:left="840" w:hanging="420"/>
      </w:pPr>
      <w:rPr>
        <w:rFonts w:hint="default" w:ascii="Wingdings" w:hAnsi="Wingdings"/>
      </w:rPr>
    </w:lvl>
    <w:lvl w:ilvl="1" w:tentative="0">
      <w:start w:val="1"/>
      <w:numFmt w:val="bullet"/>
      <w:pStyle w:val="7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2F395B7B"/>
    <w:multiLevelType w:val="multilevel"/>
    <w:tmpl w:val="2F395B7B"/>
    <w:lvl w:ilvl="0" w:tentative="0">
      <w:start w:val="1"/>
      <w:numFmt w:val="bullet"/>
      <w:pStyle w:val="16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EF7716"/>
    <w:multiLevelType w:val="multilevel"/>
    <w:tmpl w:val="7AEF7716"/>
    <w:lvl w:ilvl="0" w:tentative="0">
      <w:start w:val="1"/>
      <w:numFmt w:val="chineseCountingThousand"/>
      <w:pStyle w:val="12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10"/>
  </w:num>
  <w:num w:numId="4">
    <w:abstractNumId w:val="9"/>
  </w:num>
  <w:num w:numId="5">
    <w:abstractNumId w:val="13"/>
  </w:num>
  <w:num w:numId="6">
    <w:abstractNumId w:val="11"/>
  </w:num>
  <w:num w:numId="7">
    <w:abstractNumId w:val="8"/>
  </w:num>
  <w:num w:numId="8">
    <w:abstractNumId w:val="0"/>
  </w:num>
  <w:num w:numId="9">
    <w:abstractNumId w:val="1"/>
  </w:num>
  <w:num w:numId="10">
    <w:abstractNumId w:val="4"/>
  </w:num>
  <w:num w:numId="11">
    <w:abstractNumId w:val="3"/>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TViYmM5N2VkNzE3YzEyMDY3NjQ5MmFhNDQzY2MifQ=="/>
    <w:docVar w:name="KSO_WPS_MARK_KEY" w:val="a5980290-81d1-4166-b591-31e4936b8684"/>
  </w:docVars>
  <w:rsids>
    <w:rsidRoot w:val="006C5683"/>
    <w:rsid w:val="000006EA"/>
    <w:rsid w:val="00000AD9"/>
    <w:rsid w:val="000043C0"/>
    <w:rsid w:val="00004F2D"/>
    <w:rsid w:val="000050CA"/>
    <w:rsid w:val="000051C6"/>
    <w:rsid w:val="00005215"/>
    <w:rsid w:val="00005A10"/>
    <w:rsid w:val="00005D3D"/>
    <w:rsid w:val="0000667D"/>
    <w:rsid w:val="00006F7B"/>
    <w:rsid w:val="00007951"/>
    <w:rsid w:val="0000796B"/>
    <w:rsid w:val="00010063"/>
    <w:rsid w:val="00010102"/>
    <w:rsid w:val="0001019E"/>
    <w:rsid w:val="00011EA6"/>
    <w:rsid w:val="00012640"/>
    <w:rsid w:val="00012B21"/>
    <w:rsid w:val="0001300F"/>
    <w:rsid w:val="0001336E"/>
    <w:rsid w:val="0001480D"/>
    <w:rsid w:val="00014A5C"/>
    <w:rsid w:val="00015388"/>
    <w:rsid w:val="0001716B"/>
    <w:rsid w:val="00017F81"/>
    <w:rsid w:val="000211EA"/>
    <w:rsid w:val="000234B2"/>
    <w:rsid w:val="00024FD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094C"/>
    <w:rsid w:val="000A1DD1"/>
    <w:rsid w:val="000A21A5"/>
    <w:rsid w:val="000A3908"/>
    <w:rsid w:val="000A4C29"/>
    <w:rsid w:val="000A5B36"/>
    <w:rsid w:val="000A6E2B"/>
    <w:rsid w:val="000A79D3"/>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1"/>
    <w:rsid w:val="000D0BCE"/>
    <w:rsid w:val="000D16AA"/>
    <w:rsid w:val="000D1A7D"/>
    <w:rsid w:val="000D2309"/>
    <w:rsid w:val="000D2CCA"/>
    <w:rsid w:val="000D366B"/>
    <w:rsid w:val="000D37B4"/>
    <w:rsid w:val="000D38F9"/>
    <w:rsid w:val="000D5D6B"/>
    <w:rsid w:val="000D7A20"/>
    <w:rsid w:val="000E161C"/>
    <w:rsid w:val="000E1994"/>
    <w:rsid w:val="000E2C39"/>
    <w:rsid w:val="000E355C"/>
    <w:rsid w:val="000E4445"/>
    <w:rsid w:val="000E470B"/>
    <w:rsid w:val="000E4DE8"/>
    <w:rsid w:val="000E4EF8"/>
    <w:rsid w:val="000E50F5"/>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4E0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091"/>
    <w:rsid w:val="001626BD"/>
    <w:rsid w:val="00162C33"/>
    <w:rsid w:val="0016340E"/>
    <w:rsid w:val="00164E23"/>
    <w:rsid w:val="0016595F"/>
    <w:rsid w:val="00165A4C"/>
    <w:rsid w:val="001669D4"/>
    <w:rsid w:val="00166A2C"/>
    <w:rsid w:val="00166BF2"/>
    <w:rsid w:val="00166CC3"/>
    <w:rsid w:val="00167E68"/>
    <w:rsid w:val="00170A9E"/>
    <w:rsid w:val="00170ED1"/>
    <w:rsid w:val="0017121A"/>
    <w:rsid w:val="00171401"/>
    <w:rsid w:val="0017141F"/>
    <w:rsid w:val="00171777"/>
    <w:rsid w:val="001719FB"/>
    <w:rsid w:val="00172B65"/>
    <w:rsid w:val="00172EF5"/>
    <w:rsid w:val="001732E1"/>
    <w:rsid w:val="00174268"/>
    <w:rsid w:val="0017486B"/>
    <w:rsid w:val="0017613E"/>
    <w:rsid w:val="00177167"/>
    <w:rsid w:val="00177753"/>
    <w:rsid w:val="00177BE4"/>
    <w:rsid w:val="00180EDB"/>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FAB"/>
    <w:rsid w:val="001E2084"/>
    <w:rsid w:val="001E2502"/>
    <w:rsid w:val="001E292F"/>
    <w:rsid w:val="001E351C"/>
    <w:rsid w:val="001E474D"/>
    <w:rsid w:val="001E5194"/>
    <w:rsid w:val="001E5851"/>
    <w:rsid w:val="001E5A81"/>
    <w:rsid w:val="001E62FB"/>
    <w:rsid w:val="001E68FE"/>
    <w:rsid w:val="001E6A0B"/>
    <w:rsid w:val="001E77DA"/>
    <w:rsid w:val="001E7A2F"/>
    <w:rsid w:val="001E7AB0"/>
    <w:rsid w:val="001E7DD0"/>
    <w:rsid w:val="001F0349"/>
    <w:rsid w:val="001F077B"/>
    <w:rsid w:val="001F0B74"/>
    <w:rsid w:val="001F1045"/>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852"/>
    <w:rsid w:val="00224BE4"/>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EBE"/>
    <w:rsid w:val="002472C1"/>
    <w:rsid w:val="002473F4"/>
    <w:rsid w:val="00247D64"/>
    <w:rsid w:val="0025093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B4E"/>
    <w:rsid w:val="00271500"/>
    <w:rsid w:val="00272E57"/>
    <w:rsid w:val="00274663"/>
    <w:rsid w:val="00275641"/>
    <w:rsid w:val="0027569A"/>
    <w:rsid w:val="002767D9"/>
    <w:rsid w:val="00280382"/>
    <w:rsid w:val="00280F4B"/>
    <w:rsid w:val="002816D0"/>
    <w:rsid w:val="002821E9"/>
    <w:rsid w:val="002827D2"/>
    <w:rsid w:val="002835B7"/>
    <w:rsid w:val="00284C1F"/>
    <w:rsid w:val="00284F69"/>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11"/>
    <w:rsid w:val="002E4F8A"/>
    <w:rsid w:val="002E505D"/>
    <w:rsid w:val="002E6F69"/>
    <w:rsid w:val="002E7296"/>
    <w:rsid w:val="002E73B8"/>
    <w:rsid w:val="002F04A7"/>
    <w:rsid w:val="002F0545"/>
    <w:rsid w:val="002F0823"/>
    <w:rsid w:val="002F2471"/>
    <w:rsid w:val="002F2B7A"/>
    <w:rsid w:val="002F2E1D"/>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22B0"/>
    <w:rsid w:val="00312390"/>
    <w:rsid w:val="003123F4"/>
    <w:rsid w:val="00312EAF"/>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0FA8"/>
    <w:rsid w:val="00351A4A"/>
    <w:rsid w:val="00351D95"/>
    <w:rsid w:val="00351FB4"/>
    <w:rsid w:val="00353860"/>
    <w:rsid w:val="00354CD9"/>
    <w:rsid w:val="003556C1"/>
    <w:rsid w:val="00355EEE"/>
    <w:rsid w:val="00356FC1"/>
    <w:rsid w:val="00357883"/>
    <w:rsid w:val="00360494"/>
    <w:rsid w:val="00360B7E"/>
    <w:rsid w:val="00360C00"/>
    <w:rsid w:val="00361243"/>
    <w:rsid w:val="00361633"/>
    <w:rsid w:val="00361935"/>
    <w:rsid w:val="003626AE"/>
    <w:rsid w:val="0036292A"/>
    <w:rsid w:val="00362AF3"/>
    <w:rsid w:val="0036467D"/>
    <w:rsid w:val="00364BEE"/>
    <w:rsid w:val="0036508D"/>
    <w:rsid w:val="003651C8"/>
    <w:rsid w:val="00366321"/>
    <w:rsid w:val="00366419"/>
    <w:rsid w:val="003665E3"/>
    <w:rsid w:val="003669F1"/>
    <w:rsid w:val="00366F10"/>
    <w:rsid w:val="003700A3"/>
    <w:rsid w:val="00370B40"/>
    <w:rsid w:val="00371A92"/>
    <w:rsid w:val="00371C15"/>
    <w:rsid w:val="00372CDF"/>
    <w:rsid w:val="00373411"/>
    <w:rsid w:val="0037369C"/>
    <w:rsid w:val="00373D40"/>
    <w:rsid w:val="003741F6"/>
    <w:rsid w:val="00374A29"/>
    <w:rsid w:val="00374FA4"/>
    <w:rsid w:val="003756C6"/>
    <w:rsid w:val="00376548"/>
    <w:rsid w:val="00376E35"/>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7AD"/>
    <w:rsid w:val="003917D1"/>
    <w:rsid w:val="00391FAB"/>
    <w:rsid w:val="00392539"/>
    <w:rsid w:val="00392677"/>
    <w:rsid w:val="0039320C"/>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3EBB"/>
    <w:rsid w:val="003A443D"/>
    <w:rsid w:val="003A4DE4"/>
    <w:rsid w:val="003A6A5A"/>
    <w:rsid w:val="003A72E9"/>
    <w:rsid w:val="003B11DA"/>
    <w:rsid w:val="003B175A"/>
    <w:rsid w:val="003B3231"/>
    <w:rsid w:val="003B357A"/>
    <w:rsid w:val="003B4274"/>
    <w:rsid w:val="003B499C"/>
    <w:rsid w:val="003B4CCD"/>
    <w:rsid w:val="003B53D4"/>
    <w:rsid w:val="003B56D7"/>
    <w:rsid w:val="003B7298"/>
    <w:rsid w:val="003C0FF8"/>
    <w:rsid w:val="003C1D0C"/>
    <w:rsid w:val="003C1F2E"/>
    <w:rsid w:val="003C42A3"/>
    <w:rsid w:val="003C49D5"/>
    <w:rsid w:val="003C4FD5"/>
    <w:rsid w:val="003C582B"/>
    <w:rsid w:val="003C6BFF"/>
    <w:rsid w:val="003D2333"/>
    <w:rsid w:val="003D2E1B"/>
    <w:rsid w:val="003D3241"/>
    <w:rsid w:val="003D39AE"/>
    <w:rsid w:val="003D3B44"/>
    <w:rsid w:val="003D4804"/>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C13"/>
    <w:rsid w:val="00401AD9"/>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769"/>
    <w:rsid w:val="00417F0D"/>
    <w:rsid w:val="00420765"/>
    <w:rsid w:val="00421EF2"/>
    <w:rsid w:val="00422668"/>
    <w:rsid w:val="0042482B"/>
    <w:rsid w:val="00424946"/>
    <w:rsid w:val="0042602D"/>
    <w:rsid w:val="004261DA"/>
    <w:rsid w:val="00427004"/>
    <w:rsid w:val="00431540"/>
    <w:rsid w:val="00431AC1"/>
    <w:rsid w:val="00431DE1"/>
    <w:rsid w:val="004329C9"/>
    <w:rsid w:val="00432CD5"/>
    <w:rsid w:val="00432EF0"/>
    <w:rsid w:val="0043396E"/>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355"/>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224"/>
    <w:rsid w:val="004A74DD"/>
    <w:rsid w:val="004B00D1"/>
    <w:rsid w:val="004B0AC8"/>
    <w:rsid w:val="004B0B57"/>
    <w:rsid w:val="004B0BBE"/>
    <w:rsid w:val="004B0EB0"/>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B8"/>
    <w:rsid w:val="004D12F6"/>
    <w:rsid w:val="004D1946"/>
    <w:rsid w:val="004D32ED"/>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598"/>
    <w:rsid w:val="00500F52"/>
    <w:rsid w:val="00500F7A"/>
    <w:rsid w:val="005012AD"/>
    <w:rsid w:val="005016E5"/>
    <w:rsid w:val="00501A56"/>
    <w:rsid w:val="00502317"/>
    <w:rsid w:val="005027BB"/>
    <w:rsid w:val="00503415"/>
    <w:rsid w:val="005034C1"/>
    <w:rsid w:val="005037E1"/>
    <w:rsid w:val="00503B5C"/>
    <w:rsid w:val="0050456A"/>
    <w:rsid w:val="0050487B"/>
    <w:rsid w:val="00505C46"/>
    <w:rsid w:val="005068E1"/>
    <w:rsid w:val="005070B6"/>
    <w:rsid w:val="005077C5"/>
    <w:rsid w:val="00510111"/>
    <w:rsid w:val="00510B80"/>
    <w:rsid w:val="0051168A"/>
    <w:rsid w:val="005117D2"/>
    <w:rsid w:val="005118A6"/>
    <w:rsid w:val="005122F4"/>
    <w:rsid w:val="0051405F"/>
    <w:rsid w:val="00514277"/>
    <w:rsid w:val="0051444F"/>
    <w:rsid w:val="005156A6"/>
    <w:rsid w:val="00516393"/>
    <w:rsid w:val="00516669"/>
    <w:rsid w:val="005179A5"/>
    <w:rsid w:val="00520B4F"/>
    <w:rsid w:val="00522582"/>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3B9D"/>
    <w:rsid w:val="00565AF7"/>
    <w:rsid w:val="00566024"/>
    <w:rsid w:val="005671C3"/>
    <w:rsid w:val="0057060C"/>
    <w:rsid w:val="00570C0B"/>
    <w:rsid w:val="0057189C"/>
    <w:rsid w:val="00571BD2"/>
    <w:rsid w:val="00571CD7"/>
    <w:rsid w:val="00571D59"/>
    <w:rsid w:val="00572E3E"/>
    <w:rsid w:val="0057332B"/>
    <w:rsid w:val="0057364D"/>
    <w:rsid w:val="005737FC"/>
    <w:rsid w:val="0057420B"/>
    <w:rsid w:val="0057593B"/>
    <w:rsid w:val="005762CE"/>
    <w:rsid w:val="00576DC0"/>
    <w:rsid w:val="00580280"/>
    <w:rsid w:val="00580B9E"/>
    <w:rsid w:val="00580DAB"/>
    <w:rsid w:val="0058135A"/>
    <w:rsid w:val="005817D9"/>
    <w:rsid w:val="00581F7C"/>
    <w:rsid w:val="00583358"/>
    <w:rsid w:val="005839BF"/>
    <w:rsid w:val="00584058"/>
    <w:rsid w:val="00584413"/>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97F9F"/>
    <w:rsid w:val="005A0B9F"/>
    <w:rsid w:val="005A0EFC"/>
    <w:rsid w:val="005A44E7"/>
    <w:rsid w:val="005A5D8E"/>
    <w:rsid w:val="005A63D8"/>
    <w:rsid w:val="005A71A7"/>
    <w:rsid w:val="005A7420"/>
    <w:rsid w:val="005A7C14"/>
    <w:rsid w:val="005A7DBE"/>
    <w:rsid w:val="005B152C"/>
    <w:rsid w:val="005B1C64"/>
    <w:rsid w:val="005B1DE8"/>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CC6"/>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0A4"/>
    <w:rsid w:val="00610871"/>
    <w:rsid w:val="00610E48"/>
    <w:rsid w:val="00610FE0"/>
    <w:rsid w:val="00613C47"/>
    <w:rsid w:val="00615086"/>
    <w:rsid w:val="00616201"/>
    <w:rsid w:val="00616225"/>
    <w:rsid w:val="00616BA2"/>
    <w:rsid w:val="0061705E"/>
    <w:rsid w:val="00617070"/>
    <w:rsid w:val="006170F1"/>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822"/>
    <w:rsid w:val="00651F86"/>
    <w:rsid w:val="00652D6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720"/>
    <w:rsid w:val="0067738E"/>
    <w:rsid w:val="00677F23"/>
    <w:rsid w:val="0068015A"/>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1DC2"/>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22"/>
    <w:rsid w:val="006A4AEE"/>
    <w:rsid w:val="006A5E74"/>
    <w:rsid w:val="006A70BE"/>
    <w:rsid w:val="006A7290"/>
    <w:rsid w:val="006A7934"/>
    <w:rsid w:val="006A7BC8"/>
    <w:rsid w:val="006B0001"/>
    <w:rsid w:val="006B054B"/>
    <w:rsid w:val="006B059F"/>
    <w:rsid w:val="006B0E3A"/>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2BC"/>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2A5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446"/>
    <w:rsid w:val="00706A58"/>
    <w:rsid w:val="00707517"/>
    <w:rsid w:val="007078ED"/>
    <w:rsid w:val="00710187"/>
    <w:rsid w:val="007101D7"/>
    <w:rsid w:val="00710D6E"/>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510"/>
    <w:rsid w:val="00734887"/>
    <w:rsid w:val="007365B6"/>
    <w:rsid w:val="00737394"/>
    <w:rsid w:val="007401E2"/>
    <w:rsid w:val="00740205"/>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1E0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0FDB"/>
    <w:rsid w:val="007822E4"/>
    <w:rsid w:val="00782346"/>
    <w:rsid w:val="007838CD"/>
    <w:rsid w:val="007839A9"/>
    <w:rsid w:val="007840F3"/>
    <w:rsid w:val="007849BE"/>
    <w:rsid w:val="00785491"/>
    <w:rsid w:val="007858C0"/>
    <w:rsid w:val="0078679A"/>
    <w:rsid w:val="00786BDC"/>
    <w:rsid w:val="007871FE"/>
    <w:rsid w:val="00787C89"/>
    <w:rsid w:val="007908ED"/>
    <w:rsid w:val="00790F74"/>
    <w:rsid w:val="00792014"/>
    <w:rsid w:val="007921CD"/>
    <w:rsid w:val="00792288"/>
    <w:rsid w:val="00792447"/>
    <w:rsid w:val="007928C6"/>
    <w:rsid w:val="00792E73"/>
    <w:rsid w:val="0079694C"/>
    <w:rsid w:val="007A0187"/>
    <w:rsid w:val="007A19AC"/>
    <w:rsid w:val="007A23A3"/>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294A"/>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D7EF9"/>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5143"/>
    <w:rsid w:val="007F6758"/>
    <w:rsid w:val="007F6D96"/>
    <w:rsid w:val="00800D05"/>
    <w:rsid w:val="00801D7A"/>
    <w:rsid w:val="008020F2"/>
    <w:rsid w:val="00803F74"/>
    <w:rsid w:val="00804653"/>
    <w:rsid w:val="00804C48"/>
    <w:rsid w:val="0080505A"/>
    <w:rsid w:val="008060B3"/>
    <w:rsid w:val="00806205"/>
    <w:rsid w:val="00806639"/>
    <w:rsid w:val="00806A84"/>
    <w:rsid w:val="00806EF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0DF8"/>
    <w:rsid w:val="008722A6"/>
    <w:rsid w:val="008737AE"/>
    <w:rsid w:val="00873851"/>
    <w:rsid w:val="00873FEA"/>
    <w:rsid w:val="0087419B"/>
    <w:rsid w:val="008744CC"/>
    <w:rsid w:val="00874592"/>
    <w:rsid w:val="008751C1"/>
    <w:rsid w:val="0087595D"/>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67"/>
    <w:rsid w:val="008C08A5"/>
    <w:rsid w:val="008C1DD7"/>
    <w:rsid w:val="008C26FA"/>
    <w:rsid w:val="008C2BC1"/>
    <w:rsid w:val="008C4566"/>
    <w:rsid w:val="008C46B6"/>
    <w:rsid w:val="008C4935"/>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0B2A"/>
    <w:rsid w:val="00901953"/>
    <w:rsid w:val="00902166"/>
    <w:rsid w:val="00903C31"/>
    <w:rsid w:val="009040A1"/>
    <w:rsid w:val="0090473B"/>
    <w:rsid w:val="0090487F"/>
    <w:rsid w:val="00904A00"/>
    <w:rsid w:val="00904EAB"/>
    <w:rsid w:val="00904EAC"/>
    <w:rsid w:val="00905282"/>
    <w:rsid w:val="00905908"/>
    <w:rsid w:val="00906AD1"/>
    <w:rsid w:val="009075A4"/>
    <w:rsid w:val="009101AF"/>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48C9"/>
    <w:rsid w:val="009252E0"/>
    <w:rsid w:val="00925501"/>
    <w:rsid w:val="00926982"/>
    <w:rsid w:val="00926D4C"/>
    <w:rsid w:val="009270C4"/>
    <w:rsid w:val="0093083B"/>
    <w:rsid w:val="0093092B"/>
    <w:rsid w:val="00930C8D"/>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B6A"/>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A7461"/>
    <w:rsid w:val="009B0BF0"/>
    <w:rsid w:val="009B1DA5"/>
    <w:rsid w:val="009B1E1D"/>
    <w:rsid w:val="009B28FD"/>
    <w:rsid w:val="009B2AD6"/>
    <w:rsid w:val="009B3172"/>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67D"/>
    <w:rsid w:val="009C69E7"/>
    <w:rsid w:val="009C7B1D"/>
    <w:rsid w:val="009C7F10"/>
    <w:rsid w:val="009C7FF8"/>
    <w:rsid w:val="009D03F1"/>
    <w:rsid w:val="009D0921"/>
    <w:rsid w:val="009D101B"/>
    <w:rsid w:val="009D118E"/>
    <w:rsid w:val="009D1CF4"/>
    <w:rsid w:val="009D271A"/>
    <w:rsid w:val="009D380F"/>
    <w:rsid w:val="009D57A7"/>
    <w:rsid w:val="009D65EE"/>
    <w:rsid w:val="009D6865"/>
    <w:rsid w:val="009D6903"/>
    <w:rsid w:val="009E02F1"/>
    <w:rsid w:val="009E0525"/>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279A"/>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5F6"/>
    <w:rsid w:val="00A81953"/>
    <w:rsid w:val="00A823D7"/>
    <w:rsid w:val="00A827C9"/>
    <w:rsid w:val="00A8350D"/>
    <w:rsid w:val="00A85B31"/>
    <w:rsid w:val="00A861F3"/>
    <w:rsid w:val="00A86C48"/>
    <w:rsid w:val="00A90DB1"/>
    <w:rsid w:val="00A90FB8"/>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2755"/>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655"/>
    <w:rsid w:val="00AB2F06"/>
    <w:rsid w:val="00AB4FFF"/>
    <w:rsid w:val="00AB5190"/>
    <w:rsid w:val="00AB5513"/>
    <w:rsid w:val="00AB5A0C"/>
    <w:rsid w:val="00AB6070"/>
    <w:rsid w:val="00AB6DFC"/>
    <w:rsid w:val="00AB7354"/>
    <w:rsid w:val="00AB7BFE"/>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2D93"/>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252C"/>
    <w:rsid w:val="00B62CBE"/>
    <w:rsid w:val="00B62EFD"/>
    <w:rsid w:val="00B63999"/>
    <w:rsid w:val="00B63B4A"/>
    <w:rsid w:val="00B63E1F"/>
    <w:rsid w:val="00B641C5"/>
    <w:rsid w:val="00B64F8D"/>
    <w:rsid w:val="00B6533C"/>
    <w:rsid w:val="00B65388"/>
    <w:rsid w:val="00B65FD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70D"/>
    <w:rsid w:val="00B827F1"/>
    <w:rsid w:val="00B82B33"/>
    <w:rsid w:val="00B8384C"/>
    <w:rsid w:val="00B83AF4"/>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056C"/>
    <w:rsid w:val="00BD219A"/>
    <w:rsid w:val="00BD2C42"/>
    <w:rsid w:val="00BD2EF9"/>
    <w:rsid w:val="00BD2F1D"/>
    <w:rsid w:val="00BD3997"/>
    <w:rsid w:val="00BD5D7E"/>
    <w:rsid w:val="00BD6EF9"/>
    <w:rsid w:val="00BD754C"/>
    <w:rsid w:val="00BD764C"/>
    <w:rsid w:val="00BD78C6"/>
    <w:rsid w:val="00BE01E1"/>
    <w:rsid w:val="00BE07A5"/>
    <w:rsid w:val="00BE15DA"/>
    <w:rsid w:val="00BE19AD"/>
    <w:rsid w:val="00BE369C"/>
    <w:rsid w:val="00BE4FBC"/>
    <w:rsid w:val="00BE5B7C"/>
    <w:rsid w:val="00BE6DBE"/>
    <w:rsid w:val="00BE72FD"/>
    <w:rsid w:val="00BE733C"/>
    <w:rsid w:val="00BE73D4"/>
    <w:rsid w:val="00BE7AF2"/>
    <w:rsid w:val="00BF1EF8"/>
    <w:rsid w:val="00BF25A9"/>
    <w:rsid w:val="00BF2DE5"/>
    <w:rsid w:val="00BF4429"/>
    <w:rsid w:val="00BF4C49"/>
    <w:rsid w:val="00BF4D1A"/>
    <w:rsid w:val="00BF5168"/>
    <w:rsid w:val="00BF51C9"/>
    <w:rsid w:val="00BF5A5B"/>
    <w:rsid w:val="00BF62DF"/>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471B"/>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883"/>
    <w:rsid w:val="00C73B64"/>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701"/>
    <w:rsid w:val="00C95DD7"/>
    <w:rsid w:val="00C95ED6"/>
    <w:rsid w:val="00C96BBB"/>
    <w:rsid w:val="00CA04D5"/>
    <w:rsid w:val="00CA0F7D"/>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199A"/>
    <w:rsid w:val="00CB2282"/>
    <w:rsid w:val="00CB2F02"/>
    <w:rsid w:val="00CB44CC"/>
    <w:rsid w:val="00CB4522"/>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19B6"/>
    <w:rsid w:val="00CE24B9"/>
    <w:rsid w:val="00CE2B04"/>
    <w:rsid w:val="00CE3E8B"/>
    <w:rsid w:val="00CE47DC"/>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58B9"/>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DF4"/>
    <w:rsid w:val="00D26113"/>
    <w:rsid w:val="00D27131"/>
    <w:rsid w:val="00D30B0E"/>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0FAD"/>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1CCF"/>
    <w:rsid w:val="00DE3385"/>
    <w:rsid w:val="00DE3CA1"/>
    <w:rsid w:val="00DE4007"/>
    <w:rsid w:val="00DE4053"/>
    <w:rsid w:val="00DE4638"/>
    <w:rsid w:val="00DE4651"/>
    <w:rsid w:val="00DE4FEE"/>
    <w:rsid w:val="00DE534A"/>
    <w:rsid w:val="00DE55FD"/>
    <w:rsid w:val="00DE60A8"/>
    <w:rsid w:val="00DE7265"/>
    <w:rsid w:val="00DE7525"/>
    <w:rsid w:val="00DE787B"/>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6CF1"/>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653"/>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3C4"/>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B79"/>
    <w:rsid w:val="00EC4F33"/>
    <w:rsid w:val="00EC7E82"/>
    <w:rsid w:val="00ED0785"/>
    <w:rsid w:val="00ED0B81"/>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2FBF"/>
    <w:rsid w:val="00EE3363"/>
    <w:rsid w:val="00EE3725"/>
    <w:rsid w:val="00EE3F3C"/>
    <w:rsid w:val="00EE4C7E"/>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89A"/>
    <w:rsid w:val="00F02BAD"/>
    <w:rsid w:val="00F0319D"/>
    <w:rsid w:val="00F07050"/>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C7D"/>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BFE"/>
    <w:rsid w:val="00F91D47"/>
    <w:rsid w:val="00F92B0F"/>
    <w:rsid w:val="00F9354E"/>
    <w:rsid w:val="00F941F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2AA0"/>
    <w:rsid w:val="00FF47A3"/>
    <w:rsid w:val="00FF4B3F"/>
    <w:rsid w:val="00FF4B43"/>
    <w:rsid w:val="00FF574F"/>
    <w:rsid w:val="011E42FB"/>
    <w:rsid w:val="012146C6"/>
    <w:rsid w:val="015D35F5"/>
    <w:rsid w:val="01B80B7A"/>
    <w:rsid w:val="01E55D35"/>
    <w:rsid w:val="01F72B36"/>
    <w:rsid w:val="02095687"/>
    <w:rsid w:val="02743188"/>
    <w:rsid w:val="02AC10D3"/>
    <w:rsid w:val="034033B2"/>
    <w:rsid w:val="03B866D0"/>
    <w:rsid w:val="03C40B3F"/>
    <w:rsid w:val="03E11E16"/>
    <w:rsid w:val="04833B9D"/>
    <w:rsid w:val="04E470A0"/>
    <w:rsid w:val="04FC5581"/>
    <w:rsid w:val="0513143C"/>
    <w:rsid w:val="05821997"/>
    <w:rsid w:val="05891928"/>
    <w:rsid w:val="05BF24C9"/>
    <w:rsid w:val="05DF0DF0"/>
    <w:rsid w:val="06C559AF"/>
    <w:rsid w:val="07554285"/>
    <w:rsid w:val="07726BE5"/>
    <w:rsid w:val="0775586D"/>
    <w:rsid w:val="07EC528E"/>
    <w:rsid w:val="081C64DD"/>
    <w:rsid w:val="083E1B6F"/>
    <w:rsid w:val="08435461"/>
    <w:rsid w:val="08435AFA"/>
    <w:rsid w:val="087109F5"/>
    <w:rsid w:val="08AF0DE8"/>
    <w:rsid w:val="090C7C1B"/>
    <w:rsid w:val="0929095D"/>
    <w:rsid w:val="09493091"/>
    <w:rsid w:val="09FF0058"/>
    <w:rsid w:val="0A914C01"/>
    <w:rsid w:val="0AD31787"/>
    <w:rsid w:val="0ADD6816"/>
    <w:rsid w:val="0AF96D6A"/>
    <w:rsid w:val="0B177955"/>
    <w:rsid w:val="0B912479"/>
    <w:rsid w:val="0BCC39BB"/>
    <w:rsid w:val="0C2520CA"/>
    <w:rsid w:val="0C4C5587"/>
    <w:rsid w:val="0C7777A9"/>
    <w:rsid w:val="0CD30126"/>
    <w:rsid w:val="0CFC3FE1"/>
    <w:rsid w:val="0D490A8D"/>
    <w:rsid w:val="0DC668EA"/>
    <w:rsid w:val="0DC93D4A"/>
    <w:rsid w:val="0E5643EF"/>
    <w:rsid w:val="0E6E6F80"/>
    <w:rsid w:val="0F7A7451"/>
    <w:rsid w:val="0F953AB1"/>
    <w:rsid w:val="0FF94323"/>
    <w:rsid w:val="107A34BF"/>
    <w:rsid w:val="107A51CD"/>
    <w:rsid w:val="108D4A90"/>
    <w:rsid w:val="10993984"/>
    <w:rsid w:val="10E67EAB"/>
    <w:rsid w:val="110D1AD5"/>
    <w:rsid w:val="111B6540"/>
    <w:rsid w:val="11925F20"/>
    <w:rsid w:val="11BD1095"/>
    <w:rsid w:val="11C91423"/>
    <w:rsid w:val="1203536E"/>
    <w:rsid w:val="123821EC"/>
    <w:rsid w:val="12584AF5"/>
    <w:rsid w:val="12E96032"/>
    <w:rsid w:val="12EC0F8D"/>
    <w:rsid w:val="13560879"/>
    <w:rsid w:val="13D4431F"/>
    <w:rsid w:val="14676927"/>
    <w:rsid w:val="151D38BF"/>
    <w:rsid w:val="158B5F79"/>
    <w:rsid w:val="15BA18F1"/>
    <w:rsid w:val="15BF1762"/>
    <w:rsid w:val="15F31C73"/>
    <w:rsid w:val="160650C5"/>
    <w:rsid w:val="161A1EE6"/>
    <w:rsid w:val="16BA40A9"/>
    <w:rsid w:val="16E54E7B"/>
    <w:rsid w:val="16F47498"/>
    <w:rsid w:val="17051BB8"/>
    <w:rsid w:val="17727A45"/>
    <w:rsid w:val="181638D8"/>
    <w:rsid w:val="18841AD7"/>
    <w:rsid w:val="18A015D3"/>
    <w:rsid w:val="1944578F"/>
    <w:rsid w:val="198E1224"/>
    <w:rsid w:val="19A766B9"/>
    <w:rsid w:val="19AF5A77"/>
    <w:rsid w:val="19B1604A"/>
    <w:rsid w:val="19B95C26"/>
    <w:rsid w:val="19E46AD9"/>
    <w:rsid w:val="1A126E19"/>
    <w:rsid w:val="1A652503"/>
    <w:rsid w:val="1A78230D"/>
    <w:rsid w:val="1A7A5D34"/>
    <w:rsid w:val="1AC668AF"/>
    <w:rsid w:val="1B325F2A"/>
    <w:rsid w:val="1B405AA4"/>
    <w:rsid w:val="1B62301A"/>
    <w:rsid w:val="1C1F1E0E"/>
    <w:rsid w:val="1C1F3E4C"/>
    <w:rsid w:val="1CF12935"/>
    <w:rsid w:val="1CF96B9F"/>
    <w:rsid w:val="1D190873"/>
    <w:rsid w:val="1D4B710C"/>
    <w:rsid w:val="1DCF425D"/>
    <w:rsid w:val="1DE3725E"/>
    <w:rsid w:val="1E330E9C"/>
    <w:rsid w:val="1E340CEE"/>
    <w:rsid w:val="1E9C6591"/>
    <w:rsid w:val="1F507A92"/>
    <w:rsid w:val="1FD21930"/>
    <w:rsid w:val="20043B19"/>
    <w:rsid w:val="203A1396"/>
    <w:rsid w:val="20BE2A44"/>
    <w:rsid w:val="20BE2B36"/>
    <w:rsid w:val="20D17B68"/>
    <w:rsid w:val="2112344B"/>
    <w:rsid w:val="21481A39"/>
    <w:rsid w:val="219A1B7F"/>
    <w:rsid w:val="21B22A5C"/>
    <w:rsid w:val="21E65C8F"/>
    <w:rsid w:val="235220CD"/>
    <w:rsid w:val="23AA6A32"/>
    <w:rsid w:val="23C9229F"/>
    <w:rsid w:val="23F24EDE"/>
    <w:rsid w:val="24195A43"/>
    <w:rsid w:val="245D31B5"/>
    <w:rsid w:val="247D5ABB"/>
    <w:rsid w:val="24826101"/>
    <w:rsid w:val="25735D35"/>
    <w:rsid w:val="25784A9C"/>
    <w:rsid w:val="2596668B"/>
    <w:rsid w:val="25E16A45"/>
    <w:rsid w:val="25F11338"/>
    <w:rsid w:val="25F46AB0"/>
    <w:rsid w:val="27217B54"/>
    <w:rsid w:val="274348DC"/>
    <w:rsid w:val="277D1EE5"/>
    <w:rsid w:val="27A31B59"/>
    <w:rsid w:val="27B87AF2"/>
    <w:rsid w:val="27EE3E21"/>
    <w:rsid w:val="286C3B37"/>
    <w:rsid w:val="289002C6"/>
    <w:rsid w:val="28B86003"/>
    <w:rsid w:val="28C71A62"/>
    <w:rsid w:val="293801B5"/>
    <w:rsid w:val="298A23AD"/>
    <w:rsid w:val="2B033371"/>
    <w:rsid w:val="2B067EC8"/>
    <w:rsid w:val="2B3A56AF"/>
    <w:rsid w:val="2BB71443"/>
    <w:rsid w:val="2BDC0BC9"/>
    <w:rsid w:val="2BF00047"/>
    <w:rsid w:val="2C0853D9"/>
    <w:rsid w:val="2C240F34"/>
    <w:rsid w:val="2C64115C"/>
    <w:rsid w:val="2C70392E"/>
    <w:rsid w:val="2D0B54A3"/>
    <w:rsid w:val="2D230138"/>
    <w:rsid w:val="2D355E3C"/>
    <w:rsid w:val="2D6F4378"/>
    <w:rsid w:val="2DED1D9C"/>
    <w:rsid w:val="2DFF521E"/>
    <w:rsid w:val="2E590BD6"/>
    <w:rsid w:val="2EA0509E"/>
    <w:rsid w:val="2EC0454A"/>
    <w:rsid w:val="2F3F3850"/>
    <w:rsid w:val="2F815A0A"/>
    <w:rsid w:val="2FF73D1D"/>
    <w:rsid w:val="300801AF"/>
    <w:rsid w:val="3009697D"/>
    <w:rsid w:val="30104524"/>
    <w:rsid w:val="30113460"/>
    <w:rsid w:val="30204AC3"/>
    <w:rsid w:val="304B4E50"/>
    <w:rsid w:val="3063463F"/>
    <w:rsid w:val="308F3CFA"/>
    <w:rsid w:val="30E262DA"/>
    <w:rsid w:val="312F7772"/>
    <w:rsid w:val="31A11AE9"/>
    <w:rsid w:val="31FC3EF9"/>
    <w:rsid w:val="322E5E24"/>
    <w:rsid w:val="324B16F5"/>
    <w:rsid w:val="32807B59"/>
    <w:rsid w:val="32CF303F"/>
    <w:rsid w:val="32FB0035"/>
    <w:rsid w:val="3350673E"/>
    <w:rsid w:val="33977D4F"/>
    <w:rsid w:val="33B67A9F"/>
    <w:rsid w:val="33E02E1C"/>
    <w:rsid w:val="341D63B4"/>
    <w:rsid w:val="346C42A4"/>
    <w:rsid w:val="34E60A39"/>
    <w:rsid w:val="3513289C"/>
    <w:rsid w:val="351D0A98"/>
    <w:rsid w:val="354F755A"/>
    <w:rsid w:val="355C0DE1"/>
    <w:rsid w:val="35893F26"/>
    <w:rsid w:val="35F03911"/>
    <w:rsid w:val="361D3B28"/>
    <w:rsid w:val="36383DD0"/>
    <w:rsid w:val="36C0037B"/>
    <w:rsid w:val="36F1018E"/>
    <w:rsid w:val="37503F9E"/>
    <w:rsid w:val="376857B1"/>
    <w:rsid w:val="377622CB"/>
    <w:rsid w:val="3780685D"/>
    <w:rsid w:val="37BA2F63"/>
    <w:rsid w:val="37C81053"/>
    <w:rsid w:val="37E817A5"/>
    <w:rsid w:val="38704532"/>
    <w:rsid w:val="38AA04E2"/>
    <w:rsid w:val="38B04014"/>
    <w:rsid w:val="38D77AF6"/>
    <w:rsid w:val="38DA1EF9"/>
    <w:rsid w:val="38E050B1"/>
    <w:rsid w:val="38FC0F21"/>
    <w:rsid w:val="393D75AA"/>
    <w:rsid w:val="394E75C1"/>
    <w:rsid w:val="398A2C99"/>
    <w:rsid w:val="39B41E0D"/>
    <w:rsid w:val="39B853D1"/>
    <w:rsid w:val="39DB34A5"/>
    <w:rsid w:val="3A3C23C2"/>
    <w:rsid w:val="3A3E27D3"/>
    <w:rsid w:val="3AA0244D"/>
    <w:rsid w:val="3B040851"/>
    <w:rsid w:val="3BA76A03"/>
    <w:rsid w:val="3BE30FA7"/>
    <w:rsid w:val="3BF40129"/>
    <w:rsid w:val="3BFE1F56"/>
    <w:rsid w:val="3C002C09"/>
    <w:rsid w:val="3C56385D"/>
    <w:rsid w:val="3C895347"/>
    <w:rsid w:val="3CDF3135"/>
    <w:rsid w:val="3CE41001"/>
    <w:rsid w:val="3D177A29"/>
    <w:rsid w:val="3D1D0F09"/>
    <w:rsid w:val="3D4153BD"/>
    <w:rsid w:val="3D5F6F75"/>
    <w:rsid w:val="3D605B64"/>
    <w:rsid w:val="3DB66D48"/>
    <w:rsid w:val="3DFB5183"/>
    <w:rsid w:val="3E42676A"/>
    <w:rsid w:val="3F26350E"/>
    <w:rsid w:val="3F2B5786"/>
    <w:rsid w:val="3F3E428E"/>
    <w:rsid w:val="3F513CB1"/>
    <w:rsid w:val="3FA86688"/>
    <w:rsid w:val="3FB269C3"/>
    <w:rsid w:val="3FD032C7"/>
    <w:rsid w:val="3FDB1D7E"/>
    <w:rsid w:val="405F4E39"/>
    <w:rsid w:val="406D3E71"/>
    <w:rsid w:val="40767C0D"/>
    <w:rsid w:val="40E45FD9"/>
    <w:rsid w:val="410061AC"/>
    <w:rsid w:val="413E22CD"/>
    <w:rsid w:val="41571D6E"/>
    <w:rsid w:val="41B06223"/>
    <w:rsid w:val="41B829D4"/>
    <w:rsid w:val="41E77728"/>
    <w:rsid w:val="41F8244F"/>
    <w:rsid w:val="421F601D"/>
    <w:rsid w:val="42482AD4"/>
    <w:rsid w:val="424A2571"/>
    <w:rsid w:val="425D5913"/>
    <w:rsid w:val="42896114"/>
    <w:rsid w:val="42BE5CDC"/>
    <w:rsid w:val="430C0C47"/>
    <w:rsid w:val="432B6014"/>
    <w:rsid w:val="43A73423"/>
    <w:rsid w:val="43E62EC8"/>
    <w:rsid w:val="44AC22B9"/>
    <w:rsid w:val="451275EF"/>
    <w:rsid w:val="459C606B"/>
    <w:rsid w:val="46925597"/>
    <w:rsid w:val="46C076E7"/>
    <w:rsid w:val="46CC258D"/>
    <w:rsid w:val="46E42C4A"/>
    <w:rsid w:val="472C7633"/>
    <w:rsid w:val="47385FC3"/>
    <w:rsid w:val="474256D1"/>
    <w:rsid w:val="475D2AB1"/>
    <w:rsid w:val="47D965EA"/>
    <w:rsid w:val="48C3442B"/>
    <w:rsid w:val="48D43EA7"/>
    <w:rsid w:val="48EA0098"/>
    <w:rsid w:val="48ED46B3"/>
    <w:rsid w:val="4939352B"/>
    <w:rsid w:val="49451217"/>
    <w:rsid w:val="496D4057"/>
    <w:rsid w:val="49807693"/>
    <w:rsid w:val="49BF2665"/>
    <w:rsid w:val="49C56BCC"/>
    <w:rsid w:val="49D82CEC"/>
    <w:rsid w:val="49E44F5F"/>
    <w:rsid w:val="4AD36F68"/>
    <w:rsid w:val="4ADA6DED"/>
    <w:rsid w:val="4BC16430"/>
    <w:rsid w:val="4BE72D78"/>
    <w:rsid w:val="4BFD54DB"/>
    <w:rsid w:val="4C164FBE"/>
    <w:rsid w:val="4C271A49"/>
    <w:rsid w:val="4C325CE4"/>
    <w:rsid w:val="4C623D84"/>
    <w:rsid w:val="4CE935CD"/>
    <w:rsid w:val="4DAE7818"/>
    <w:rsid w:val="4DC55A54"/>
    <w:rsid w:val="4DD637A3"/>
    <w:rsid w:val="4DEA0C18"/>
    <w:rsid w:val="4DF60365"/>
    <w:rsid w:val="4E0D2787"/>
    <w:rsid w:val="4E0D453F"/>
    <w:rsid w:val="4E537D88"/>
    <w:rsid w:val="4E5E2A3C"/>
    <w:rsid w:val="4E7B22CD"/>
    <w:rsid w:val="4ECD27ED"/>
    <w:rsid w:val="4EF179BD"/>
    <w:rsid w:val="4F17009A"/>
    <w:rsid w:val="4F227A3B"/>
    <w:rsid w:val="4F2B0C9E"/>
    <w:rsid w:val="4FCD0FCF"/>
    <w:rsid w:val="4FDB49B8"/>
    <w:rsid w:val="4FEC07C0"/>
    <w:rsid w:val="4FF35972"/>
    <w:rsid w:val="4FF813ED"/>
    <w:rsid w:val="50043987"/>
    <w:rsid w:val="502F5B05"/>
    <w:rsid w:val="505144B9"/>
    <w:rsid w:val="508C101B"/>
    <w:rsid w:val="509960DB"/>
    <w:rsid w:val="50F67A62"/>
    <w:rsid w:val="510E78E7"/>
    <w:rsid w:val="51574F3C"/>
    <w:rsid w:val="51D73B45"/>
    <w:rsid w:val="51F21254"/>
    <w:rsid w:val="523258FE"/>
    <w:rsid w:val="52790A03"/>
    <w:rsid w:val="52DF6974"/>
    <w:rsid w:val="53292792"/>
    <w:rsid w:val="53B57275"/>
    <w:rsid w:val="540A2A63"/>
    <w:rsid w:val="54A27FE5"/>
    <w:rsid w:val="54E126EC"/>
    <w:rsid w:val="551A77A3"/>
    <w:rsid w:val="552B71DA"/>
    <w:rsid w:val="55C80ACA"/>
    <w:rsid w:val="55F9355F"/>
    <w:rsid w:val="5606548A"/>
    <w:rsid w:val="56562CF2"/>
    <w:rsid w:val="56927A26"/>
    <w:rsid w:val="572A016E"/>
    <w:rsid w:val="5730509E"/>
    <w:rsid w:val="573D71DF"/>
    <w:rsid w:val="577D0663"/>
    <w:rsid w:val="57AE734F"/>
    <w:rsid w:val="58236A15"/>
    <w:rsid w:val="58321EC6"/>
    <w:rsid w:val="58501D07"/>
    <w:rsid w:val="585A3C87"/>
    <w:rsid w:val="58620FD6"/>
    <w:rsid w:val="586757C9"/>
    <w:rsid w:val="58807305"/>
    <w:rsid w:val="58A446B9"/>
    <w:rsid w:val="58DF11CE"/>
    <w:rsid w:val="597C3E85"/>
    <w:rsid w:val="59B30690"/>
    <w:rsid w:val="5A0C7DA1"/>
    <w:rsid w:val="5A2F24DA"/>
    <w:rsid w:val="5ABF28B9"/>
    <w:rsid w:val="5AC22B45"/>
    <w:rsid w:val="5ADD3C34"/>
    <w:rsid w:val="5B24477E"/>
    <w:rsid w:val="5B743E4F"/>
    <w:rsid w:val="5BCA3A6F"/>
    <w:rsid w:val="5D12364D"/>
    <w:rsid w:val="5D5F6EC4"/>
    <w:rsid w:val="5D652999"/>
    <w:rsid w:val="5D6730F6"/>
    <w:rsid w:val="5D8D7C8E"/>
    <w:rsid w:val="5DC61182"/>
    <w:rsid w:val="5DDB3655"/>
    <w:rsid w:val="5E123C25"/>
    <w:rsid w:val="5E2935C7"/>
    <w:rsid w:val="5E515E45"/>
    <w:rsid w:val="5E643D94"/>
    <w:rsid w:val="5E6E14AE"/>
    <w:rsid w:val="5E8748C3"/>
    <w:rsid w:val="5E8819C0"/>
    <w:rsid w:val="5EB43E99"/>
    <w:rsid w:val="5EB54CAB"/>
    <w:rsid w:val="5EC74A26"/>
    <w:rsid w:val="5EDA4E15"/>
    <w:rsid w:val="5EEA182F"/>
    <w:rsid w:val="5EEC4F2C"/>
    <w:rsid w:val="5F137888"/>
    <w:rsid w:val="5F3118C0"/>
    <w:rsid w:val="5F362174"/>
    <w:rsid w:val="5F382F4C"/>
    <w:rsid w:val="5F5652B7"/>
    <w:rsid w:val="5F6C0876"/>
    <w:rsid w:val="5F93061C"/>
    <w:rsid w:val="5FAD15EE"/>
    <w:rsid w:val="60103A97"/>
    <w:rsid w:val="60C1328E"/>
    <w:rsid w:val="610C012A"/>
    <w:rsid w:val="61237EB8"/>
    <w:rsid w:val="61622839"/>
    <w:rsid w:val="61FC3A17"/>
    <w:rsid w:val="623A3232"/>
    <w:rsid w:val="624C3ACF"/>
    <w:rsid w:val="626A1B08"/>
    <w:rsid w:val="629666C7"/>
    <w:rsid w:val="62D81168"/>
    <w:rsid w:val="633C34A4"/>
    <w:rsid w:val="63723E5E"/>
    <w:rsid w:val="63BA64B1"/>
    <w:rsid w:val="63F2576A"/>
    <w:rsid w:val="63FA13F4"/>
    <w:rsid w:val="64232B20"/>
    <w:rsid w:val="64365814"/>
    <w:rsid w:val="64CB312C"/>
    <w:rsid w:val="64DB3FFC"/>
    <w:rsid w:val="64E32783"/>
    <w:rsid w:val="65007F4E"/>
    <w:rsid w:val="65633210"/>
    <w:rsid w:val="6585379C"/>
    <w:rsid w:val="658A3520"/>
    <w:rsid w:val="66072141"/>
    <w:rsid w:val="662D4763"/>
    <w:rsid w:val="664513D6"/>
    <w:rsid w:val="664B644A"/>
    <w:rsid w:val="666B09B5"/>
    <w:rsid w:val="66885224"/>
    <w:rsid w:val="66BA43AC"/>
    <w:rsid w:val="67000CC4"/>
    <w:rsid w:val="67236729"/>
    <w:rsid w:val="677360E3"/>
    <w:rsid w:val="67F65590"/>
    <w:rsid w:val="68D357B0"/>
    <w:rsid w:val="68E21A43"/>
    <w:rsid w:val="68F669DD"/>
    <w:rsid w:val="69962BD5"/>
    <w:rsid w:val="69CB7493"/>
    <w:rsid w:val="69D4537F"/>
    <w:rsid w:val="6A365264"/>
    <w:rsid w:val="6AB30BF4"/>
    <w:rsid w:val="6AD0599B"/>
    <w:rsid w:val="6B981DF8"/>
    <w:rsid w:val="6B9D025C"/>
    <w:rsid w:val="6BA75FB6"/>
    <w:rsid w:val="6BCA0C7C"/>
    <w:rsid w:val="6BFE0F28"/>
    <w:rsid w:val="6BFF52D4"/>
    <w:rsid w:val="6C59487A"/>
    <w:rsid w:val="6CDA2501"/>
    <w:rsid w:val="6D342340"/>
    <w:rsid w:val="6D9B19E5"/>
    <w:rsid w:val="6E984CF8"/>
    <w:rsid w:val="6F5E0FC0"/>
    <w:rsid w:val="6F6F4E5B"/>
    <w:rsid w:val="6FCD69D4"/>
    <w:rsid w:val="70A80E7F"/>
    <w:rsid w:val="70E241C6"/>
    <w:rsid w:val="71034F30"/>
    <w:rsid w:val="71603DA0"/>
    <w:rsid w:val="722515A8"/>
    <w:rsid w:val="722E2B52"/>
    <w:rsid w:val="728B1D53"/>
    <w:rsid w:val="72991E28"/>
    <w:rsid w:val="72D26514"/>
    <w:rsid w:val="72EF7D47"/>
    <w:rsid w:val="7310706F"/>
    <w:rsid w:val="74564E86"/>
    <w:rsid w:val="74C434B7"/>
    <w:rsid w:val="753D3F57"/>
    <w:rsid w:val="756D573F"/>
    <w:rsid w:val="75BA3232"/>
    <w:rsid w:val="76A16BB3"/>
    <w:rsid w:val="76D10E3F"/>
    <w:rsid w:val="76E35326"/>
    <w:rsid w:val="76EB17F6"/>
    <w:rsid w:val="77747E1D"/>
    <w:rsid w:val="778411AD"/>
    <w:rsid w:val="77901832"/>
    <w:rsid w:val="77AC6648"/>
    <w:rsid w:val="77B9304C"/>
    <w:rsid w:val="78440AD8"/>
    <w:rsid w:val="786B73C0"/>
    <w:rsid w:val="78857573"/>
    <w:rsid w:val="789442E7"/>
    <w:rsid w:val="78E74F63"/>
    <w:rsid w:val="79652BD2"/>
    <w:rsid w:val="79DD6591"/>
    <w:rsid w:val="79F41288"/>
    <w:rsid w:val="7A634C39"/>
    <w:rsid w:val="7A6B1587"/>
    <w:rsid w:val="7B1E65F5"/>
    <w:rsid w:val="7B9F5272"/>
    <w:rsid w:val="7BBB7C03"/>
    <w:rsid w:val="7C0741E9"/>
    <w:rsid w:val="7C230F73"/>
    <w:rsid w:val="7D1B52B4"/>
    <w:rsid w:val="7D3744CD"/>
    <w:rsid w:val="7D7173A1"/>
    <w:rsid w:val="7DB23C95"/>
    <w:rsid w:val="7DCB3E4B"/>
    <w:rsid w:val="7E433576"/>
    <w:rsid w:val="7EAF5740"/>
    <w:rsid w:val="7EED3340"/>
    <w:rsid w:val="7F727327"/>
    <w:rsid w:val="7FCB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8"/>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73"/>
    <w:qFormat/>
    <w:uiPriority w:val="0"/>
    <w:pPr>
      <w:adjustRightInd w:val="0"/>
      <w:jc w:val="center"/>
      <w:textAlignment w:val="baseline"/>
      <w:outlineLvl w:val="1"/>
    </w:pPr>
    <w:rPr>
      <w:kern w:val="0"/>
      <w:sz w:val="24"/>
      <w:szCs w:val="20"/>
    </w:rPr>
  </w:style>
  <w:style w:type="paragraph" w:styleId="4">
    <w:name w:val="heading 3"/>
    <w:basedOn w:val="5"/>
    <w:next w:val="1"/>
    <w:link w:val="57"/>
    <w:qFormat/>
    <w:uiPriority w:val="9"/>
    <w:pPr>
      <w:spacing w:before="260" w:after="260" w:line="240" w:lineRule="auto"/>
      <w:outlineLvl w:val="2"/>
    </w:pPr>
    <w:rPr>
      <w:rFonts w:ascii="宋体" w:hAnsi="宋体" w:eastAsia="宋体"/>
      <w:szCs w:val="32"/>
    </w:rPr>
  </w:style>
  <w:style w:type="paragraph" w:styleId="5">
    <w:name w:val="heading 4"/>
    <w:basedOn w:val="1"/>
    <w:next w:val="1"/>
    <w:link w:val="55"/>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2"/>
    <w:qFormat/>
    <w:uiPriority w:val="0"/>
    <w:pPr>
      <w:keepNext/>
      <w:keepLines/>
      <w:spacing w:before="280" w:after="290" w:line="376" w:lineRule="auto"/>
      <w:outlineLvl w:val="4"/>
    </w:pPr>
    <w:rPr>
      <w:b/>
      <w:sz w:val="28"/>
      <w:szCs w:val="20"/>
    </w:rPr>
  </w:style>
  <w:style w:type="paragraph" w:styleId="9">
    <w:name w:val="heading 6"/>
    <w:basedOn w:val="1"/>
    <w:next w:val="8"/>
    <w:link w:val="85"/>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6"/>
    <w:qFormat/>
    <w:uiPriority w:val="0"/>
    <w:pPr>
      <w:keepNext/>
      <w:keepLines/>
      <w:spacing w:before="240" w:after="64" w:line="320" w:lineRule="auto"/>
      <w:outlineLvl w:val="6"/>
    </w:pPr>
    <w:rPr>
      <w:b/>
      <w:sz w:val="24"/>
      <w:szCs w:val="20"/>
    </w:rPr>
  </w:style>
  <w:style w:type="paragraph" w:styleId="11">
    <w:name w:val="heading 8"/>
    <w:basedOn w:val="1"/>
    <w:next w:val="8"/>
    <w:link w:val="87"/>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8"/>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0"/>
    <w:pPr>
      <w:spacing w:line="360" w:lineRule="auto"/>
    </w:pPr>
    <w:rPr>
      <w:b/>
      <w:bCs/>
      <w:sz w:val="24"/>
    </w:rPr>
  </w:style>
  <w:style w:type="paragraph" w:styleId="8">
    <w:name w:val="Normal Indent"/>
    <w:basedOn w:val="1"/>
    <w:next w:val="2"/>
    <w:link w:val="59"/>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6"/>
    <w:semiHidden/>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100"/>
    <w:qFormat/>
    <w:uiPriority w:val="0"/>
    <w:pPr>
      <w:spacing w:after="120"/>
    </w:pPr>
    <w:rPr>
      <w:sz w:val="16"/>
      <w:szCs w:val="16"/>
    </w:rPr>
  </w:style>
  <w:style w:type="paragraph" w:styleId="19">
    <w:name w:val="Body Text Indent"/>
    <w:basedOn w:val="1"/>
    <w:link w:val="81"/>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2"/>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0"/>
    <w:qFormat/>
    <w:uiPriority w:val="0"/>
    <w:rPr>
      <w:rFonts w:ascii="宋体" w:hAnsi="Courier New"/>
      <w:sz w:val="32"/>
      <w:szCs w:val="20"/>
    </w:rPr>
  </w:style>
  <w:style w:type="paragraph" w:styleId="25">
    <w:name w:val="Body Text Indent 2"/>
    <w:basedOn w:val="1"/>
    <w:link w:val="95"/>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1"/>
    <w:semiHidden/>
    <w:qFormat/>
    <w:uiPriority w:val="99"/>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9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11"/>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7"/>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8"/>
    <w:qFormat/>
    <w:uiPriority w:val="0"/>
    <w:pPr>
      <w:spacing w:line="360" w:lineRule="auto"/>
    </w:pPr>
    <w:rPr>
      <w:sz w:val="24"/>
    </w:rPr>
  </w:style>
  <w:style w:type="paragraph" w:styleId="37">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next w:val="1"/>
    <w:link w:val="8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7"/>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32"/>
    <w:qFormat/>
    <w:uiPriority w:val="0"/>
    <w:pPr>
      <w:spacing w:after="120" w:line="240" w:lineRule="auto"/>
      <w:ind w:firstLine="420" w:firstLineChars="100"/>
    </w:pPr>
    <w:rPr>
      <w:sz w:val="21"/>
    </w:rPr>
  </w:style>
  <w:style w:type="paragraph" w:styleId="43">
    <w:name w:val="Body Text First Indent 2"/>
    <w:basedOn w:val="19"/>
    <w:unhideWhenUsed/>
    <w:qFormat/>
    <w:uiPriority w:val="0"/>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Elegant"/>
    <w:basedOn w:val="4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sz w:val="20"/>
    </w:rPr>
  </w:style>
  <w:style w:type="character" w:styleId="52">
    <w:name w:val="Hyperlink"/>
    <w:qFormat/>
    <w:uiPriority w:val="0"/>
    <w:rPr>
      <w:color w:val="0000FF"/>
      <w:u w:val="single"/>
    </w:rPr>
  </w:style>
  <w:style w:type="character" w:styleId="53">
    <w:name w:val="annotation reference"/>
    <w:basedOn w:val="47"/>
    <w:qFormat/>
    <w:uiPriority w:val="99"/>
    <w:rPr>
      <w:sz w:val="21"/>
      <w:szCs w:val="21"/>
    </w:rPr>
  </w:style>
  <w:style w:type="paragraph" w:styleId="5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5">
    <w:name w:val="标题 4 Char"/>
    <w:link w:val="5"/>
    <w:qFormat/>
    <w:uiPriority w:val="9"/>
    <w:rPr>
      <w:rFonts w:ascii="Arial" w:hAnsi="Arial" w:eastAsia="黑体"/>
      <w:b/>
      <w:bCs/>
      <w:kern w:val="2"/>
      <w:sz w:val="28"/>
      <w:szCs w:val="28"/>
      <w:lang w:val="en-US" w:eastAsia="zh-CN" w:bidi="ar-SA"/>
    </w:r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7">
    <w:name w:val="标题 3 Char1"/>
    <w:link w:val="4"/>
    <w:qFormat/>
    <w:uiPriority w:val="9"/>
    <w:rPr>
      <w:rFonts w:ascii="宋体" w:hAnsi="宋体" w:eastAsia="宋体"/>
      <w:b/>
      <w:bCs/>
      <w:kern w:val="2"/>
      <w:sz w:val="28"/>
      <w:szCs w:val="32"/>
      <w:lang w:val="en-US" w:eastAsia="zh-CN" w:bidi="ar-SA"/>
    </w:rPr>
  </w:style>
  <w:style w:type="character" w:customStyle="1" w:styleId="58">
    <w:name w:val="标题 1 Char"/>
    <w:link w:val="3"/>
    <w:qFormat/>
    <w:uiPriority w:val="0"/>
    <w:rPr>
      <w:rFonts w:ascii="宋体" w:hAnsi="宋体" w:eastAsia="黑体"/>
      <w:b/>
      <w:bCs/>
      <w:kern w:val="44"/>
      <w:sz w:val="28"/>
      <w:szCs w:val="44"/>
      <w:lang w:val="en-US" w:eastAsia="zh-CN" w:bidi="ar-SA"/>
    </w:rPr>
  </w:style>
  <w:style w:type="character" w:customStyle="1" w:styleId="59">
    <w:name w:val="正文缩进 Char"/>
    <w:link w:val="8"/>
    <w:qFormat/>
    <w:uiPriority w:val="0"/>
    <w:rPr>
      <w:rFonts w:eastAsia="宋体"/>
      <w:kern w:val="2"/>
      <w:sz w:val="21"/>
      <w:lang w:val="en-US" w:eastAsia="zh-CN" w:bidi="ar-SA"/>
    </w:rPr>
  </w:style>
  <w:style w:type="character" w:customStyle="1" w:styleId="60">
    <w:name w:val="标题 3 Char"/>
    <w:qFormat/>
    <w:uiPriority w:val="0"/>
    <w:rPr>
      <w:rFonts w:ascii="黑体" w:eastAsia="黑体"/>
      <w:bCs/>
      <w:sz w:val="30"/>
    </w:rPr>
  </w:style>
  <w:style w:type="paragraph" w:customStyle="1" w:styleId="61">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8">
    <w:name w:val="自定义正文"/>
    <w:basedOn w:val="1"/>
    <w:qFormat/>
    <w:uiPriority w:val="0"/>
    <w:pPr>
      <w:spacing w:afterLines="50"/>
      <w:ind w:left="600" w:leftChars="600"/>
    </w:pPr>
  </w:style>
  <w:style w:type="paragraph" w:customStyle="1" w:styleId="69">
    <w:name w:val="Char Char Char Char Char"/>
    <w:basedOn w:val="1"/>
    <w:qFormat/>
    <w:uiPriority w:val="0"/>
    <w:rPr>
      <w:rFonts w:ascii="Tahoma" w:hAnsi="Tahoma"/>
      <w:sz w:val="24"/>
      <w:szCs w:val="20"/>
    </w:rPr>
  </w:style>
  <w:style w:type="paragraph" w:customStyle="1" w:styleId="7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1">
    <w:name w:val="Char Char"/>
    <w:basedOn w:val="1"/>
    <w:qFormat/>
    <w:uiPriority w:val="0"/>
    <w:rPr>
      <w:rFonts w:ascii="Tahoma" w:hAnsi="Tahoma"/>
      <w:sz w:val="24"/>
      <w:szCs w:val="20"/>
    </w:rPr>
  </w:style>
  <w:style w:type="paragraph" w:customStyle="1" w:styleId="72">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3">
    <w:name w:val="标题 2 Char"/>
    <w:link w:val="6"/>
    <w:qFormat/>
    <w:uiPriority w:val="0"/>
    <w:rPr>
      <w:rFonts w:ascii="宋体" w:hAnsi="宋体" w:eastAsia="宋体"/>
      <w:b/>
      <w:bCs/>
      <w:sz w:val="24"/>
      <w:lang w:val="en-US" w:eastAsia="zh-CN" w:bidi="ar-SA"/>
    </w:rPr>
  </w:style>
  <w:style w:type="paragraph" w:customStyle="1" w:styleId="7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5">
    <w:name w:val="List Paragraph"/>
    <w:basedOn w:val="1"/>
    <w:next w:val="1"/>
    <w:qFormat/>
    <w:uiPriority w:val="0"/>
    <w:pPr>
      <w:ind w:firstLine="420" w:firstLineChars="200"/>
    </w:pPr>
    <w:rPr>
      <w:rFonts w:ascii="Calibri" w:hAnsi="Calibri"/>
      <w:szCs w:val="22"/>
    </w:rPr>
  </w:style>
  <w:style w:type="paragraph" w:customStyle="1" w:styleId="76">
    <w:name w:val="USE 1"/>
    <w:basedOn w:val="1"/>
    <w:qFormat/>
    <w:uiPriority w:val="0"/>
    <w:pPr>
      <w:spacing w:line="200" w:lineRule="atLeast"/>
      <w:jc w:val="left"/>
    </w:pPr>
    <w:rPr>
      <w:rFonts w:ascii="宋体" w:hAnsi="宋体"/>
      <w:b/>
      <w:sz w:val="24"/>
      <w:szCs w:val="28"/>
    </w:rPr>
  </w:style>
  <w:style w:type="paragraph" w:customStyle="1" w:styleId="77">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8">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9">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80">
    <w:name w:val="H4 Char2"/>
    <w:qFormat/>
    <w:uiPriority w:val="0"/>
    <w:rPr>
      <w:rFonts w:ascii="Arial" w:hAnsi="Arial" w:eastAsia="黑体"/>
      <w:b/>
      <w:bCs/>
      <w:kern w:val="2"/>
      <w:sz w:val="28"/>
      <w:szCs w:val="28"/>
      <w:lang w:val="en-US" w:eastAsia="zh-CN" w:bidi="ar-SA"/>
    </w:rPr>
  </w:style>
  <w:style w:type="character" w:customStyle="1" w:styleId="81">
    <w:name w:val="正文文本缩进 Char"/>
    <w:link w:val="19"/>
    <w:qFormat/>
    <w:uiPriority w:val="0"/>
    <w:rPr>
      <w:rFonts w:eastAsia="宋体"/>
      <w:kern w:val="2"/>
      <w:sz w:val="21"/>
      <w:szCs w:val="24"/>
      <w:lang w:val="en-US" w:eastAsia="zh-CN" w:bidi="ar-SA"/>
    </w:rPr>
  </w:style>
  <w:style w:type="character" w:customStyle="1" w:styleId="82">
    <w:name w:val="标题 5 Char"/>
    <w:link w:val="7"/>
    <w:qFormat/>
    <w:uiPriority w:val="0"/>
    <w:rPr>
      <w:rFonts w:eastAsia="宋体"/>
      <w:b/>
      <w:kern w:val="2"/>
      <w:sz w:val="28"/>
      <w:lang w:val="en-US" w:eastAsia="zh-CN" w:bidi="ar-SA"/>
    </w:rPr>
  </w:style>
  <w:style w:type="character" w:customStyle="1" w:styleId="83">
    <w:name w:val="第*章 Char"/>
    <w:qFormat/>
    <w:uiPriority w:val="0"/>
    <w:rPr>
      <w:rFonts w:ascii="Arial" w:hAnsi="Arial" w:eastAsia="黑体"/>
      <w:b/>
      <w:bCs/>
      <w:kern w:val="2"/>
      <w:sz w:val="32"/>
      <w:szCs w:val="32"/>
    </w:rPr>
  </w:style>
  <w:style w:type="character" w:customStyle="1" w:styleId="84">
    <w:name w:val="章标题1 Char"/>
    <w:qFormat/>
    <w:uiPriority w:val="0"/>
    <w:rPr>
      <w:rFonts w:eastAsia="宋体"/>
      <w:b/>
      <w:bCs/>
      <w:kern w:val="2"/>
      <w:sz w:val="32"/>
      <w:szCs w:val="32"/>
      <w:lang w:val="en-US" w:eastAsia="zh-CN" w:bidi="ar-SA"/>
    </w:rPr>
  </w:style>
  <w:style w:type="character" w:customStyle="1" w:styleId="85">
    <w:name w:val="标题 6 Char"/>
    <w:link w:val="9"/>
    <w:qFormat/>
    <w:uiPriority w:val="0"/>
    <w:rPr>
      <w:rFonts w:ascii="Arial" w:hAnsi="Arial" w:eastAsia="黑体"/>
      <w:b/>
      <w:kern w:val="2"/>
      <w:sz w:val="24"/>
      <w:lang w:val="en-US" w:eastAsia="zh-CN" w:bidi="ar-SA"/>
    </w:rPr>
  </w:style>
  <w:style w:type="character" w:customStyle="1" w:styleId="86">
    <w:name w:val="标题 7 Char"/>
    <w:link w:val="10"/>
    <w:qFormat/>
    <w:uiPriority w:val="0"/>
    <w:rPr>
      <w:rFonts w:eastAsia="宋体"/>
      <w:b/>
      <w:kern w:val="2"/>
      <w:sz w:val="24"/>
      <w:lang w:val="en-US" w:eastAsia="zh-CN" w:bidi="ar-SA"/>
    </w:rPr>
  </w:style>
  <w:style w:type="character" w:customStyle="1" w:styleId="87">
    <w:name w:val="标题 8 Char"/>
    <w:link w:val="11"/>
    <w:qFormat/>
    <w:uiPriority w:val="0"/>
    <w:rPr>
      <w:rFonts w:ascii="Arial" w:hAnsi="Arial" w:eastAsia="黑体"/>
      <w:kern w:val="2"/>
      <w:sz w:val="24"/>
      <w:lang w:val="en-US" w:eastAsia="zh-CN" w:bidi="ar-SA"/>
    </w:rPr>
  </w:style>
  <w:style w:type="character" w:customStyle="1" w:styleId="88">
    <w:name w:val="标题 9 Char"/>
    <w:link w:val="12"/>
    <w:qFormat/>
    <w:uiPriority w:val="0"/>
    <w:rPr>
      <w:rFonts w:ascii="Arial" w:hAnsi="Arial" w:eastAsia="黑体"/>
      <w:kern w:val="2"/>
      <w:sz w:val="21"/>
      <w:lang w:val="en-US" w:eastAsia="zh-CN" w:bidi="ar-SA"/>
    </w:rPr>
  </w:style>
  <w:style w:type="character" w:customStyle="1" w:styleId="89">
    <w:name w:val="标题 Char"/>
    <w:link w:val="40"/>
    <w:qFormat/>
    <w:uiPriority w:val="0"/>
    <w:rPr>
      <w:rFonts w:ascii="Arial" w:hAnsi="Arial" w:eastAsia="隶书" w:cs="Arial"/>
      <w:b/>
      <w:bCs/>
      <w:kern w:val="2"/>
      <w:sz w:val="32"/>
      <w:szCs w:val="32"/>
      <w:lang w:val="en-US" w:eastAsia="zh-CN" w:bidi="ar-SA"/>
    </w:rPr>
  </w:style>
  <w:style w:type="character" w:customStyle="1" w:styleId="90">
    <w:name w:val="日期 Char"/>
    <w:link w:val="24"/>
    <w:qFormat/>
    <w:uiPriority w:val="0"/>
    <w:rPr>
      <w:rFonts w:ascii="宋体" w:hAnsi="Courier New" w:eastAsia="宋体"/>
      <w:kern w:val="2"/>
      <w:sz w:val="32"/>
      <w:lang w:val="en-US" w:eastAsia="zh-CN" w:bidi="ar-SA"/>
    </w:rPr>
  </w:style>
  <w:style w:type="character" w:customStyle="1" w:styleId="91">
    <w:name w:val="HTML 预设格式 Char"/>
    <w:link w:val="37"/>
    <w:qFormat/>
    <w:uiPriority w:val="0"/>
    <w:rPr>
      <w:rFonts w:ascii="Arial Unicode MS" w:hAnsi="Arial Unicode MS" w:eastAsia="Arial Unicode MS"/>
      <w:color w:val="000000"/>
      <w:lang w:val="en-US" w:eastAsia="zh-CN" w:bidi="ar-SA"/>
    </w:rPr>
  </w:style>
  <w:style w:type="character" w:customStyle="1" w:styleId="92">
    <w:name w:val="纯文本 Char"/>
    <w:link w:val="22"/>
    <w:qFormat/>
    <w:uiPriority w:val="0"/>
    <w:rPr>
      <w:rFonts w:ascii="宋体" w:hAnsi="Courier New" w:eastAsia="宋体"/>
      <w:kern w:val="2"/>
      <w:sz w:val="21"/>
      <w:lang w:val="en-US" w:eastAsia="zh-CN" w:bidi="ar-SA"/>
    </w:rPr>
  </w:style>
  <w:style w:type="character" w:customStyle="1" w:styleId="93">
    <w:name w:val="正文文字首行缩进 Char"/>
    <w:qFormat/>
    <w:uiPriority w:val="0"/>
    <w:rPr>
      <w:kern w:val="2"/>
      <w:sz w:val="21"/>
      <w:szCs w:val="24"/>
    </w:rPr>
  </w:style>
  <w:style w:type="character" w:customStyle="1" w:styleId="94">
    <w:name w:val="正文文本 Char"/>
    <w:link w:val="2"/>
    <w:qFormat/>
    <w:uiPriority w:val="0"/>
    <w:rPr>
      <w:rFonts w:eastAsia="宋体"/>
      <w:b/>
      <w:bCs/>
      <w:kern w:val="2"/>
      <w:sz w:val="24"/>
      <w:szCs w:val="24"/>
      <w:lang w:val="en-US" w:eastAsia="zh-CN" w:bidi="ar-SA"/>
    </w:rPr>
  </w:style>
  <w:style w:type="character" w:customStyle="1" w:styleId="95">
    <w:name w:val="正文文本缩进 2 Char"/>
    <w:link w:val="25"/>
    <w:qFormat/>
    <w:uiPriority w:val="0"/>
    <w:rPr>
      <w:rFonts w:ascii="宋体" w:hAnsi="宋体" w:eastAsia="宋体"/>
      <w:kern w:val="2"/>
      <w:sz w:val="21"/>
      <w:szCs w:val="24"/>
      <w:lang w:val="en-US" w:eastAsia="zh-CN" w:bidi="ar-SA"/>
    </w:rPr>
  </w:style>
  <w:style w:type="character" w:customStyle="1" w:styleId="96">
    <w:name w:val="页眉 Char"/>
    <w:link w:val="28"/>
    <w:qFormat/>
    <w:uiPriority w:val="99"/>
    <w:rPr>
      <w:rFonts w:eastAsia="宋体"/>
      <w:kern w:val="2"/>
      <w:sz w:val="18"/>
      <w:szCs w:val="18"/>
      <w:lang w:val="en-US" w:eastAsia="zh-CN" w:bidi="ar-SA"/>
    </w:rPr>
  </w:style>
  <w:style w:type="character" w:customStyle="1" w:styleId="97">
    <w:name w:val="正文文本缩进 3 Char"/>
    <w:link w:val="33"/>
    <w:qFormat/>
    <w:uiPriority w:val="0"/>
    <w:rPr>
      <w:rFonts w:ascii="宋体" w:eastAsia="宋体"/>
      <w:b/>
      <w:bCs/>
      <w:kern w:val="2"/>
      <w:sz w:val="24"/>
      <w:szCs w:val="24"/>
      <w:lang w:val="en-US" w:eastAsia="zh-CN" w:bidi="ar-SA"/>
    </w:rPr>
  </w:style>
  <w:style w:type="character" w:customStyle="1" w:styleId="98">
    <w:name w:val="正文文本 2 Char"/>
    <w:link w:val="36"/>
    <w:qFormat/>
    <w:uiPriority w:val="0"/>
    <w:rPr>
      <w:rFonts w:eastAsia="宋体"/>
      <w:kern w:val="2"/>
      <w:sz w:val="24"/>
      <w:szCs w:val="24"/>
      <w:lang w:val="en-US" w:eastAsia="zh-CN" w:bidi="ar-SA"/>
    </w:rPr>
  </w:style>
  <w:style w:type="character" w:customStyle="1" w:styleId="99">
    <w:name w:val="页脚 Char"/>
    <w:link w:val="27"/>
    <w:qFormat/>
    <w:uiPriority w:val="0"/>
    <w:rPr>
      <w:rFonts w:eastAsia="宋体"/>
      <w:kern w:val="2"/>
      <w:sz w:val="18"/>
      <w:szCs w:val="18"/>
      <w:lang w:val="en-US" w:eastAsia="zh-CN" w:bidi="ar-SA"/>
    </w:rPr>
  </w:style>
  <w:style w:type="character" w:customStyle="1" w:styleId="100">
    <w:name w:val="正文文本 3 Char"/>
    <w:link w:val="18"/>
    <w:qFormat/>
    <w:uiPriority w:val="0"/>
    <w:rPr>
      <w:rFonts w:eastAsia="宋体"/>
      <w:kern w:val="2"/>
      <w:sz w:val="16"/>
      <w:szCs w:val="16"/>
      <w:lang w:val="en-US" w:eastAsia="zh-CN" w:bidi="ar-SA"/>
    </w:rPr>
  </w:style>
  <w:style w:type="character" w:customStyle="1" w:styleId="101">
    <w:name w:val="批注框文本 Char"/>
    <w:link w:val="26"/>
    <w:semiHidden/>
    <w:qFormat/>
    <w:uiPriority w:val="99"/>
    <w:rPr>
      <w:rFonts w:eastAsia="宋体"/>
      <w:kern w:val="2"/>
      <w:sz w:val="18"/>
      <w:szCs w:val="18"/>
      <w:lang w:val="en-US" w:eastAsia="zh-CN" w:bidi="ar-SA"/>
    </w:rPr>
  </w:style>
  <w:style w:type="paragraph" w:customStyle="1" w:styleId="102">
    <w:name w:val="样式1"/>
    <w:basedOn w:val="40"/>
    <w:qFormat/>
    <w:uiPriority w:val="0"/>
    <w:pPr>
      <w:spacing w:before="120" w:after="120"/>
    </w:pPr>
    <w:rPr>
      <w:rFonts w:eastAsia="黑体"/>
      <w:b w:val="0"/>
      <w:sz w:val="30"/>
      <w:szCs w:val="21"/>
    </w:rPr>
  </w:style>
  <w:style w:type="paragraph" w:customStyle="1" w:styleId="103">
    <w:name w:val="样式2"/>
    <w:basedOn w:val="40"/>
    <w:next w:val="102"/>
    <w:qFormat/>
    <w:uiPriority w:val="0"/>
    <w:pPr>
      <w:spacing w:before="120" w:after="120"/>
    </w:pPr>
    <w:rPr>
      <w:rFonts w:eastAsia="黑体"/>
      <w:b w:val="0"/>
      <w:sz w:val="30"/>
      <w:szCs w:val="30"/>
    </w:rPr>
  </w:style>
  <w:style w:type="character" w:customStyle="1" w:styleId="104">
    <w:name w:val="标题 3 Char Char"/>
    <w:qFormat/>
    <w:uiPriority w:val="0"/>
    <w:rPr>
      <w:rFonts w:eastAsia="宋体"/>
      <w:b/>
      <w:bCs/>
      <w:kern w:val="2"/>
      <w:sz w:val="32"/>
      <w:szCs w:val="32"/>
      <w:lang w:val="en-US" w:eastAsia="zh-CN" w:bidi="ar-SA"/>
    </w:rPr>
  </w:style>
  <w:style w:type="paragraph" w:customStyle="1" w:styleId="10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7">
    <w:name w:val="--规划正文"/>
    <w:basedOn w:val="1"/>
    <w:qFormat/>
    <w:uiPriority w:val="0"/>
    <w:pPr>
      <w:spacing w:line="360" w:lineRule="auto"/>
      <w:ind w:firstLine="200" w:firstLineChars="200"/>
    </w:pPr>
    <w:rPr>
      <w:szCs w:val="20"/>
    </w:rPr>
  </w:style>
  <w:style w:type="paragraph" w:customStyle="1" w:styleId="108">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9">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0">
    <w:name w:val="样式4"/>
    <w:basedOn w:val="1"/>
    <w:qFormat/>
    <w:uiPriority w:val="0"/>
    <w:pPr>
      <w:tabs>
        <w:tab w:val="left" w:pos="842"/>
      </w:tabs>
      <w:spacing w:line="360" w:lineRule="auto"/>
      <w:ind w:left="842" w:hanging="420"/>
    </w:pPr>
    <w:rPr>
      <w:sz w:val="24"/>
    </w:rPr>
  </w:style>
  <w:style w:type="paragraph" w:customStyle="1" w:styleId="111">
    <w:name w:val="文字"/>
    <w:basedOn w:val="1"/>
    <w:qFormat/>
    <w:uiPriority w:val="0"/>
    <w:pPr>
      <w:tabs>
        <w:tab w:val="left" w:pos="8520"/>
      </w:tabs>
      <w:spacing w:line="312" w:lineRule="auto"/>
      <w:ind w:right="-210" w:firstLine="556"/>
    </w:pPr>
    <w:rPr>
      <w:rFonts w:ascii="宋体"/>
      <w:sz w:val="28"/>
      <w:szCs w:val="20"/>
    </w:rPr>
  </w:style>
  <w:style w:type="paragraph" w:customStyle="1" w:styleId="112">
    <w:name w:val="--规划-表格-居左"/>
    <w:basedOn w:val="107"/>
    <w:qFormat/>
    <w:uiPriority w:val="0"/>
    <w:pPr>
      <w:spacing w:line="240" w:lineRule="auto"/>
      <w:ind w:firstLine="0" w:firstLineChars="0"/>
    </w:pPr>
    <w:rPr>
      <w:sz w:val="20"/>
    </w:rPr>
  </w:style>
  <w:style w:type="paragraph" w:customStyle="1" w:styleId="113">
    <w:name w:val="--规划-表格-居中"/>
    <w:basedOn w:val="107"/>
    <w:qFormat/>
    <w:uiPriority w:val="0"/>
    <w:pPr>
      <w:spacing w:line="240" w:lineRule="auto"/>
      <w:ind w:firstLine="0" w:firstLineChars="0"/>
      <w:jc w:val="center"/>
    </w:pPr>
    <w:rPr>
      <w:sz w:val="20"/>
    </w:rPr>
  </w:style>
  <w:style w:type="paragraph" w:customStyle="1" w:styleId="114">
    <w:name w:val="--编号内缩进"/>
    <w:basedOn w:val="1"/>
    <w:qFormat/>
    <w:uiPriority w:val="0"/>
    <w:pPr>
      <w:spacing w:line="360" w:lineRule="auto"/>
      <w:ind w:left="420" w:firstLine="200" w:firstLineChars="200"/>
    </w:pPr>
    <w:rPr>
      <w:szCs w:val="21"/>
    </w:rPr>
  </w:style>
  <w:style w:type="paragraph" w:customStyle="1" w:styleId="115">
    <w:name w:val="--规划-题注"/>
    <w:basedOn w:val="1"/>
    <w:next w:val="107"/>
    <w:qFormat/>
    <w:uiPriority w:val="0"/>
    <w:pPr>
      <w:spacing w:line="360" w:lineRule="auto"/>
      <w:jc w:val="center"/>
    </w:pPr>
    <w:rPr>
      <w:rFonts w:eastAsia="黑体"/>
    </w:rPr>
  </w:style>
  <w:style w:type="paragraph" w:customStyle="1" w:styleId="116">
    <w:name w:val="--规划-图和表"/>
    <w:next w:val="107"/>
    <w:qFormat/>
    <w:uiPriority w:val="0"/>
    <w:pPr>
      <w:jc w:val="center"/>
    </w:pPr>
    <w:rPr>
      <w:rFonts w:ascii="Times New Roman" w:hAnsi="Times New Roman" w:eastAsia="宋体" w:cs="Times New Roman"/>
      <w:kern w:val="2"/>
      <w:sz w:val="21"/>
      <w:lang w:val="en-US" w:eastAsia="zh-CN" w:bidi="ar-SA"/>
    </w:rPr>
  </w:style>
  <w:style w:type="paragraph" w:customStyle="1" w:styleId="117">
    <w:name w:val="--规划-小标题"/>
    <w:basedOn w:val="1"/>
    <w:next w:val="107"/>
    <w:qFormat/>
    <w:uiPriority w:val="0"/>
    <w:pPr>
      <w:keepNext/>
      <w:keepLines/>
      <w:spacing w:line="360" w:lineRule="auto"/>
      <w:outlineLvl w:val="4"/>
    </w:pPr>
    <w:rPr>
      <w:rFonts w:eastAsia="黑体"/>
    </w:rPr>
  </w:style>
  <w:style w:type="paragraph" w:customStyle="1" w:styleId="118">
    <w:name w:val="--规划正文 Char"/>
    <w:basedOn w:val="1"/>
    <w:qFormat/>
    <w:uiPriority w:val="0"/>
    <w:pPr>
      <w:spacing w:line="360" w:lineRule="auto"/>
      <w:ind w:firstLine="200" w:firstLineChars="200"/>
    </w:pPr>
    <w:rPr>
      <w:sz w:val="24"/>
    </w:rPr>
  </w:style>
  <w:style w:type="paragraph" w:customStyle="1" w:styleId="119">
    <w:name w:val="缺省文本"/>
    <w:basedOn w:val="1"/>
    <w:qFormat/>
    <w:uiPriority w:val="0"/>
    <w:pPr>
      <w:autoSpaceDE w:val="0"/>
      <w:autoSpaceDN w:val="0"/>
      <w:adjustRightInd w:val="0"/>
      <w:jc w:val="left"/>
    </w:pPr>
    <w:rPr>
      <w:kern w:val="0"/>
    </w:rPr>
  </w:style>
  <w:style w:type="paragraph" w:customStyle="1" w:styleId="12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1">
    <w:name w:val="--规划正文 Char Char"/>
    <w:qFormat/>
    <w:uiPriority w:val="0"/>
    <w:rPr>
      <w:rFonts w:eastAsia="宋体"/>
      <w:kern w:val="2"/>
      <w:sz w:val="24"/>
      <w:szCs w:val="24"/>
      <w:lang w:val="en-US" w:eastAsia="zh-CN" w:bidi="ar-SA"/>
    </w:rPr>
  </w:style>
  <w:style w:type="paragraph" w:customStyle="1" w:styleId="122">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3">
    <w:name w:val="--规划正文 Char1"/>
    <w:qFormat/>
    <w:uiPriority w:val="0"/>
    <w:rPr>
      <w:rFonts w:eastAsia="宋体"/>
      <w:kern w:val="2"/>
      <w:sz w:val="21"/>
      <w:lang w:val="en-US" w:eastAsia="zh-CN" w:bidi="ar-SA"/>
    </w:rPr>
  </w:style>
  <w:style w:type="paragraph" w:customStyle="1" w:styleId="124">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5">
    <w:name w:val="列表项目"/>
    <w:basedOn w:val="1"/>
    <w:qFormat/>
    <w:uiPriority w:val="0"/>
    <w:pPr>
      <w:tabs>
        <w:tab w:val="left" w:pos="420"/>
        <w:tab w:val="left" w:pos="1080"/>
      </w:tabs>
      <w:spacing w:line="288" w:lineRule="auto"/>
      <w:ind w:left="1080" w:hanging="360"/>
    </w:pPr>
    <w:rPr>
      <w:sz w:val="24"/>
      <w:szCs w:val="20"/>
    </w:rPr>
  </w:style>
  <w:style w:type="character" w:customStyle="1" w:styleId="126">
    <w:name w:val="content1"/>
    <w:qFormat/>
    <w:uiPriority w:val="0"/>
    <w:rPr>
      <w:rFonts w:hint="default" w:ascii="??" w:hAnsi="??"/>
      <w:sz w:val="16"/>
      <w:szCs w:val="16"/>
      <w:u w:val="none"/>
    </w:rPr>
  </w:style>
  <w:style w:type="character" w:customStyle="1" w:styleId="127">
    <w:name w:val="unnamed4"/>
    <w:basedOn w:val="47"/>
    <w:qFormat/>
    <w:uiPriority w:val="0"/>
  </w:style>
  <w:style w:type="character" w:customStyle="1" w:styleId="128">
    <w:name w:val="font2"/>
    <w:basedOn w:val="47"/>
    <w:qFormat/>
    <w:uiPriority w:val="0"/>
  </w:style>
  <w:style w:type="character" w:customStyle="1" w:styleId="129">
    <w:name w:val="font41"/>
    <w:qFormat/>
    <w:uiPriority w:val="0"/>
    <w:rPr>
      <w:color w:val="000000"/>
      <w:spacing w:val="260"/>
      <w:sz w:val="18"/>
      <w:szCs w:val="18"/>
      <w:u w:val="none"/>
    </w:rPr>
  </w:style>
  <w:style w:type="paragraph" w:customStyle="1" w:styleId="130">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1">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2">
    <w:name w:val="正文首行缩进 Char"/>
    <w:link w:val="42"/>
    <w:qFormat/>
    <w:uiPriority w:val="0"/>
    <w:rPr>
      <w:rFonts w:eastAsia="宋体"/>
      <w:b/>
      <w:bCs/>
      <w:kern w:val="2"/>
      <w:sz w:val="21"/>
      <w:szCs w:val="24"/>
      <w:lang w:val="en-US" w:eastAsia="zh-CN" w:bidi="ar-SA"/>
    </w:rPr>
  </w:style>
  <w:style w:type="paragraph" w:customStyle="1" w:styleId="13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5">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6">
    <w:name w:val="mode"/>
    <w:basedOn w:val="47"/>
    <w:qFormat/>
    <w:uiPriority w:val="0"/>
  </w:style>
  <w:style w:type="paragraph" w:customStyle="1" w:styleId="137">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8">
    <w:name w:val="unnamed3"/>
    <w:basedOn w:val="47"/>
    <w:qFormat/>
    <w:uiPriority w:val="0"/>
  </w:style>
  <w:style w:type="paragraph" w:customStyle="1" w:styleId="139">
    <w:name w:val="8"/>
    <w:basedOn w:val="1"/>
    <w:next w:val="19"/>
    <w:qFormat/>
    <w:uiPriority w:val="0"/>
    <w:pPr>
      <w:spacing w:after="120"/>
      <w:ind w:left="420" w:leftChars="200"/>
    </w:pPr>
  </w:style>
  <w:style w:type="paragraph" w:customStyle="1" w:styleId="140">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1">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2">
    <w:name w:val="5"/>
    <w:basedOn w:val="1"/>
    <w:qFormat/>
    <w:uiPriority w:val="0"/>
    <w:pPr>
      <w:autoSpaceDE w:val="0"/>
      <w:autoSpaceDN w:val="0"/>
      <w:adjustRightInd w:val="0"/>
      <w:jc w:val="left"/>
    </w:pPr>
    <w:rPr>
      <w:rFonts w:ascii="宋体"/>
      <w:b/>
      <w:bCs/>
      <w:kern w:val="0"/>
      <w:sz w:val="18"/>
      <w:szCs w:val="18"/>
    </w:rPr>
  </w:style>
  <w:style w:type="paragraph" w:customStyle="1" w:styleId="143">
    <w:name w:val="6"/>
    <w:basedOn w:val="142"/>
    <w:qFormat/>
    <w:uiPriority w:val="0"/>
    <w:pPr>
      <w:spacing w:line="270" w:lineRule="atLeast"/>
      <w:jc w:val="both"/>
    </w:pPr>
    <w:rPr>
      <w:b w:val="0"/>
      <w:bCs w:val="0"/>
    </w:rPr>
  </w:style>
  <w:style w:type="paragraph" w:customStyle="1" w:styleId="14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5">
    <w:name w:val="姜文清定义的正文"/>
    <w:basedOn w:val="1"/>
    <w:qFormat/>
    <w:uiPriority w:val="0"/>
    <w:pPr>
      <w:spacing w:line="240" w:lineRule="atLeast"/>
      <w:ind w:firstLine="567"/>
    </w:pPr>
    <w:rPr>
      <w:szCs w:val="20"/>
    </w:rPr>
  </w:style>
  <w:style w:type="paragraph" w:customStyle="1" w:styleId="14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7">
    <w:name w:val="CM2"/>
    <w:basedOn w:val="146"/>
    <w:next w:val="146"/>
    <w:qFormat/>
    <w:uiPriority w:val="0"/>
    <w:pPr>
      <w:spacing w:line="200" w:lineRule="atLeast"/>
    </w:pPr>
    <w:rPr>
      <w:rFonts w:ascii="Arial" w:hAnsi="Arial" w:eastAsia="宋体" w:cs="Times New Roman"/>
      <w:color w:val="auto"/>
    </w:rPr>
  </w:style>
  <w:style w:type="paragraph" w:customStyle="1" w:styleId="148">
    <w:name w:val="Normal Paragraph"/>
    <w:basedOn w:val="1"/>
    <w:qFormat/>
    <w:uiPriority w:val="0"/>
    <w:pPr>
      <w:widowControl/>
      <w:spacing w:before="120" w:line="360" w:lineRule="auto"/>
      <w:ind w:firstLine="425"/>
    </w:pPr>
    <w:rPr>
      <w:kern w:val="0"/>
      <w:sz w:val="24"/>
    </w:rPr>
  </w:style>
  <w:style w:type="character" w:customStyle="1" w:styleId="149">
    <w:name w:val="blue"/>
    <w:basedOn w:val="47"/>
    <w:qFormat/>
    <w:uiPriority w:val="0"/>
  </w:style>
  <w:style w:type="paragraph" w:customStyle="1" w:styleId="150">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1">
    <w:name w:val="font"/>
    <w:basedOn w:val="47"/>
    <w:qFormat/>
    <w:uiPriority w:val="0"/>
  </w:style>
  <w:style w:type="character" w:customStyle="1" w:styleId="152">
    <w:name w:val="font11"/>
    <w:qFormat/>
    <w:uiPriority w:val="0"/>
    <w:rPr>
      <w:rFonts w:hint="default" w:ascii="ˎ̥" w:hAnsi="ˎ̥"/>
    </w:rPr>
  </w:style>
  <w:style w:type="paragraph" w:customStyle="1" w:styleId="153">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4">
    <w:name w:val="proddescription"/>
    <w:basedOn w:val="47"/>
    <w:qFormat/>
    <w:uiPriority w:val="0"/>
  </w:style>
  <w:style w:type="character" w:customStyle="1" w:styleId="155">
    <w:name w:val="prodheadlines"/>
    <w:basedOn w:val="47"/>
    <w:qFormat/>
    <w:uiPriority w:val="0"/>
  </w:style>
  <w:style w:type="character" w:customStyle="1" w:styleId="156">
    <w:name w:val="text"/>
    <w:basedOn w:val="47"/>
    <w:qFormat/>
    <w:uiPriority w:val="0"/>
  </w:style>
  <w:style w:type="paragraph" w:customStyle="1" w:styleId="157">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9">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0">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1">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2">
    <w:name w:val="段落正文"/>
    <w:basedOn w:val="22"/>
    <w:qFormat/>
    <w:uiPriority w:val="0"/>
    <w:pPr>
      <w:ind w:firstLine="560" w:firstLineChars="200"/>
    </w:pPr>
    <w:rPr>
      <w:sz w:val="28"/>
    </w:rPr>
  </w:style>
  <w:style w:type="character" w:customStyle="1" w:styleId="163">
    <w:name w:val="gray6"/>
    <w:basedOn w:val="47"/>
    <w:qFormat/>
    <w:uiPriority w:val="0"/>
  </w:style>
  <w:style w:type="character" w:customStyle="1" w:styleId="164">
    <w:name w:val="style9"/>
    <w:basedOn w:val="47"/>
    <w:qFormat/>
    <w:uiPriority w:val="0"/>
  </w:style>
  <w:style w:type="paragraph" w:customStyle="1" w:styleId="165">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6">
    <w:name w:val="grame"/>
    <w:basedOn w:val="47"/>
    <w:qFormat/>
    <w:uiPriority w:val="0"/>
  </w:style>
  <w:style w:type="paragraph" w:customStyle="1" w:styleId="16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Char1"/>
    <w:basedOn w:val="1"/>
    <w:qFormat/>
    <w:uiPriority w:val="0"/>
    <w:pPr>
      <w:jc w:val="left"/>
    </w:pPr>
    <w:rPr>
      <w:rFonts w:ascii="Tahoma" w:hAnsi="Tahoma"/>
      <w:sz w:val="24"/>
      <w:szCs w:val="20"/>
    </w:rPr>
  </w:style>
  <w:style w:type="paragraph" w:customStyle="1" w:styleId="169">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3">
    <w:name w:val="font6"/>
    <w:basedOn w:val="1"/>
    <w:qFormat/>
    <w:uiPriority w:val="0"/>
    <w:pPr>
      <w:widowControl/>
      <w:spacing w:before="100" w:beforeAutospacing="1" w:after="100" w:afterAutospacing="1"/>
      <w:jc w:val="left"/>
    </w:pPr>
    <w:rPr>
      <w:kern w:val="0"/>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6">
    <w:name w:val="表格字"/>
    <w:basedOn w:val="1"/>
    <w:qFormat/>
    <w:uiPriority w:val="0"/>
    <w:pPr>
      <w:adjustRightInd w:val="0"/>
      <w:jc w:val="center"/>
    </w:pPr>
    <w:rPr>
      <w:rFonts w:ascii="宋体"/>
      <w:sz w:val="24"/>
      <w:szCs w:val="20"/>
    </w:rPr>
  </w:style>
  <w:style w:type="character" w:customStyle="1" w:styleId="177">
    <w:name w:val="样式 小三 加粗"/>
    <w:qFormat/>
    <w:uiPriority w:val="0"/>
    <w:rPr>
      <w:rFonts w:eastAsia="宋体"/>
      <w:b/>
      <w:bCs/>
      <w:sz w:val="32"/>
    </w:rPr>
  </w:style>
  <w:style w:type="paragraph" w:customStyle="1" w:styleId="1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0">
    <w:name w:val="Char Char Char"/>
    <w:basedOn w:val="1"/>
    <w:qFormat/>
    <w:uiPriority w:val="0"/>
    <w:rPr>
      <w:rFonts w:ascii="Tahoma" w:hAnsi="Tahoma"/>
      <w:sz w:val="24"/>
      <w:szCs w:val="20"/>
    </w:rPr>
  </w:style>
  <w:style w:type="paragraph" w:customStyle="1" w:styleId="18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2">
    <w:name w:val="info4"/>
    <w:basedOn w:val="47"/>
    <w:qFormat/>
    <w:uiPriority w:val="0"/>
  </w:style>
  <w:style w:type="paragraph" w:customStyle="1" w:styleId="183">
    <w:name w:val="缩进正文"/>
    <w:basedOn w:val="1"/>
    <w:link w:val="184"/>
    <w:qFormat/>
    <w:uiPriority w:val="0"/>
    <w:pPr>
      <w:ind w:firstLine="560" w:firstLineChars="200"/>
    </w:pPr>
    <w:rPr>
      <w:rFonts w:eastAsia="仿宋_GB2312" w:cs="宋体"/>
      <w:sz w:val="28"/>
      <w:szCs w:val="20"/>
    </w:rPr>
  </w:style>
  <w:style w:type="character" w:customStyle="1" w:styleId="184">
    <w:name w:val="缩进正文 Char"/>
    <w:link w:val="183"/>
    <w:qFormat/>
    <w:uiPriority w:val="0"/>
    <w:rPr>
      <w:rFonts w:eastAsia="仿宋_GB2312" w:cs="宋体"/>
      <w:kern w:val="2"/>
      <w:sz w:val="28"/>
      <w:lang w:val="en-US" w:eastAsia="zh-CN" w:bidi="ar-SA"/>
    </w:rPr>
  </w:style>
  <w:style w:type="paragraph" w:customStyle="1" w:styleId="185">
    <w:name w:val="列出段落1"/>
    <w:basedOn w:val="1"/>
    <w:qFormat/>
    <w:uiPriority w:val="0"/>
    <w:pPr>
      <w:ind w:firstLine="420" w:firstLineChars="200"/>
    </w:pPr>
    <w:rPr>
      <w:rFonts w:ascii="Calibri" w:hAnsi="Calibri" w:cs="Calibri"/>
      <w:szCs w:val="21"/>
    </w:rPr>
  </w:style>
  <w:style w:type="character" w:customStyle="1" w:styleId="186">
    <w:name w:val="批注文字 Char"/>
    <w:basedOn w:val="47"/>
    <w:link w:val="17"/>
    <w:semiHidden/>
    <w:qFormat/>
    <w:uiPriority w:val="99"/>
    <w:rPr>
      <w:rFonts w:ascii="宋体"/>
      <w:sz w:val="34"/>
    </w:rPr>
  </w:style>
  <w:style w:type="character" w:customStyle="1" w:styleId="187">
    <w:name w:val="批注主题 Char"/>
    <w:basedOn w:val="186"/>
    <w:link w:val="41"/>
    <w:qFormat/>
    <w:uiPriority w:val="99"/>
    <w:rPr>
      <w:rFonts w:ascii="宋体"/>
      <w:sz w:val="34"/>
    </w:rPr>
  </w:style>
  <w:style w:type="paragraph" w:customStyle="1" w:styleId="188">
    <w:name w:val="评价"/>
    <w:basedOn w:val="1"/>
    <w:qFormat/>
    <w:uiPriority w:val="0"/>
    <w:pPr>
      <w:spacing w:afterLines="20"/>
      <w:ind w:firstLine="1446" w:firstLineChars="200"/>
    </w:pPr>
    <w:rPr>
      <w:rFonts w:ascii="Calibri" w:hAnsi="Calibri"/>
      <w:sz w:val="24"/>
    </w:rPr>
  </w:style>
  <w:style w:type="paragraph" w:customStyle="1" w:styleId="1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0">
    <w:name w:val="alt-edited1"/>
    <w:qFormat/>
    <w:uiPriority w:val="0"/>
    <w:rPr>
      <w:color w:val="4D90F0"/>
    </w:rPr>
  </w:style>
  <w:style w:type="paragraph" w:customStyle="1" w:styleId="191">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2">
    <w:name w:val="文档结构图 Char1"/>
    <w:semiHidden/>
    <w:qFormat/>
    <w:uiPriority w:val="0"/>
    <w:rPr>
      <w:sz w:val="20"/>
    </w:rPr>
  </w:style>
  <w:style w:type="character" w:customStyle="1" w:styleId="193">
    <w:name w:val="文档结构图 Char"/>
    <w:semiHidden/>
    <w:qFormat/>
    <w:uiPriority w:val="0"/>
    <w:rPr>
      <w:sz w:val="20"/>
    </w:rPr>
  </w:style>
  <w:style w:type="character" w:customStyle="1" w:styleId="194">
    <w:name w:val="short_text"/>
    <w:basedOn w:val="47"/>
    <w:qFormat/>
    <w:uiPriority w:val="0"/>
    <w:rPr>
      <w:sz w:val="20"/>
    </w:rPr>
  </w:style>
  <w:style w:type="character" w:customStyle="1" w:styleId="195">
    <w:name w:val="标题 Char1"/>
    <w:qFormat/>
    <w:uiPriority w:val="0"/>
    <w:rPr>
      <w:b/>
      <w:sz w:val="20"/>
    </w:rPr>
  </w:style>
  <w:style w:type="character" w:customStyle="1" w:styleId="196">
    <w:name w:val="正文文本缩进 3 Char1"/>
    <w:semiHidden/>
    <w:qFormat/>
    <w:uiPriority w:val="0"/>
    <w:rPr>
      <w:sz w:val="20"/>
    </w:rPr>
  </w:style>
  <w:style w:type="character" w:customStyle="1" w:styleId="197">
    <w:name w:val="font21"/>
    <w:qFormat/>
    <w:uiPriority w:val="0"/>
    <w:rPr>
      <w:color w:val="FF0000"/>
      <w:sz w:val="20"/>
      <w:u w:val="none"/>
    </w:rPr>
  </w:style>
  <w:style w:type="character" w:customStyle="1" w:styleId="198">
    <w:name w:val="不明显强调1"/>
    <w:qFormat/>
    <w:uiPriority w:val="0"/>
    <w:rPr>
      <w:i/>
      <w:sz w:val="20"/>
    </w:rPr>
  </w:style>
  <w:style w:type="character" w:customStyle="1" w:styleId="199">
    <w:name w:val="font71"/>
    <w:qFormat/>
    <w:uiPriority w:val="0"/>
    <w:rPr>
      <w:sz w:val="20"/>
      <w:u w:val="none"/>
    </w:rPr>
  </w:style>
  <w:style w:type="character" w:customStyle="1" w:styleId="200">
    <w:name w:val="页眉 Char1"/>
    <w:semiHidden/>
    <w:qFormat/>
    <w:uiPriority w:val="0"/>
    <w:rPr>
      <w:sz w:val="20"/>
    </w:rPr>
  </w:style>
  <w:style w:type="character" w:customStyle="1" w:styleId="201">
    <w:name w:val="正文文本缩进 2 Char1"/>
    <w:semiHidden/>
    <w:qFormat/>
    <w:uiPriority w:val="0"/>
    <w:rPr>
      <w:sz w:val="20"/>
    </w:rPr>
  </w:style>
  <w:style w:type="character" w:customStyle="1" w:styleId="202">
    <w:name w:val="font61"/>
    <w:qFormat/>
    <w:uiPriority w:val="0"/>
    <w:rPr>
      <w:sz w:val="20"/>
      <w:u w:val="none"/>
    </w:rPr>
  </w:style>
  <w:style w:type="character" w:customStyle="1" w:styleId="203">
    <w:name w:val="纯文本 Char1"/>
    <w:semiHidden/>
    <w:qFormat/>
    <w:uiPriority w:val="0"/>
    <w:rPr>
      <w:sz w:val="20"/>
    </w:rPr>
  </w:style>
  <w:style w:type="character" w:customStyle="1" w:styleId="204">
    <w:name w:val="正文文本 3 Char1"/>
    <w:semiHidden/>
    <w:qFormat/>
    <w:uiPriority w:val="0"/>
    <w:rPr>
      <w:sz w:val="20"/>
    </w:rPr>
  </w:style>
  <w:style w:type="character" w:customStyle="1" w:styleId="205">
    <w:name w:val="正文文本缩进 Char1"/>
    <w:semiHidden/>
    <w:qFormat/>
    <w:uiPriority w:val="0"/>
    <w:rPr>
      <w:sz w:val="20"/>
    </w:rPr>
  </w:style>
  <w:style w:type="character" w:customStyle="1" w:styleId="206">
    <w:name w:val="明显参考1"/>
    <w:qFormat/>
    <w:uiPriority w:val="0"/>
    <w:rPr>
      <w:b/>
      <w:sz w:val="20"/>
    </w:rPr>
  </w:style>
  <w:style w:type="character" w:customStyle="1" w:styleId="207">
    <w:name w:val="apple-converted-space"/>
    <w:qFormat/>
    <w:uiPriority w:val="0"/>
    <w:rPr>
      <w:sz w:val="20"/>
    </w:rPr>
  </w:style>
  <w:style w:type="character" w:customStyle="1" w:styleId="208">
    <w:name w:val="书籍标题1"/>
    <w:qFormat/>
    <w:uiPriority w:val="0"/>
    <w:rPr>
      <w:b/>
      <w:i/>
      <w:sz w:val="20"/>
    </w:rPr>
  </w:style>
  <w:style w:type="character" w:customStyle="1" w:styleId="209">
    <w:name w:val="long_text"/>
    <w:qFormat/>
    <w:uiPriority w:val="0"/>
    <w:rPr>
      <w:sz w:val="20"/>
    </w:rPr>
  </w:style>
  <w:style w:type="character" w:customStyle="1" w:styleId="210">
    <w:name w:val="日期 Char1"/>
    <w:semiHidden/>
    <w:qFormat/>
    <w:uiPriority w:val="0"/>
    <w:rPr>
      <w:sz w:val="20"/>
    </w:rPr>
  </w:style>
  <w:style w:type="character" w:customStyle="1" w:styleId="211">
    <w:name w:val="批注文字 Char1"/>
    <w:semiHidden/>
    <w:qFormat/>
    <w:uiPriority w:val="0"/>
    <w:rPr>
      <w:sz w:val="20"/>
    </w:rPr>
  </w:style>
  <w:style w:type="character" w:customStyle="1" w:styleId="212">
    <w:name w:val="明显强调1"/>
    <w:qFormat/>
    <w:uiPriority w:val="0"/>
    <w:rPr>
      <w:i/>
      <w:sz w:val="20"/>
    </w:rPr>
  </w:style>
  <w:style w:type="character" w:customStyle="1" w:styleId="213">
    <w:name w:val="16"/>
    <w:qFormat/>
    <w:uiPriority w:val="0"/>
    <w:rPr>
      <w:b/>
      <w:color w:val="FF0356"/>
      <w:sz w:val="20"/>
    </w:rPr>
  </w:style>
  <w:style w:type="character" w:customStyle="1" w:styleId="214">
    <w:name w:val="批注主题 Char1"/>
    <w:semiHidden/>
    <w:qFormat/>
    <w:uiPriority w:val="0"/>
    <w:rPr>
      <w:b/>
      <w:sz w:val="20"/>
    </w:rPr>
  </w:style>
  <w:style w:type="character" w:customStyle="1" w:styleId="215">
    <w:name w:val="正文文本 2 Char1"/>
    <w:semiHidden/>
    <w:qFormat/>
    <w:uiPriority w:val="0"/>
    <w:rPr>
      <w:sz w:val="20"/>
    </w:rPr>
  </w:style>
  <w:style w:type="character" w:customStyle="1" w:styleId="216">
    <w:name w:val="font31"/>
    <w:qFormat/>
    <w:uiPriority w:val="0"/>
    <w:rPr>
      <w:color w:val="FF0000"/>
      <w:sz w:val="20"/>
      <w:u w:val="none"/>
      <w:vertAlign w:val="superscript"/>
    </w:rPr>
  </w:style>
  <w:style w:type="character" w:customStyle="1" w:styleId="217">
    <w:name w:val="不明显参考1"/>
    <w:qFormat/>
    <w:uiPriority w:val="0"/>
    <w:rPr>
      <w:sz w:val="20"/>
    </w:rPr>
  </w:style>
  <w:style w:type="character" w:customStyle="1" w:styleId="218">
    <w:name w:val="HTML 预设格式 Char1"/>
    <w:semiHidden/>
    <w:qFormat/>
    <w:uiPriority w:val="0"/>
    <w:rPr>
      <w:sz w:val="20"/>
    </w:rPr>
  </w:style>
  <w:style w:type="character" w:customStyle="1" w:styleId="219">
    <w:name w:val="font01"/>
    <w:basedOn w:val="47"/>
    <w:qFormat/>
    <w:uiPriority w:val="0"/>
    <w:rPr>
      <w:color w:val="FF0000"/>
      <w:sz w:val="20"/>
      <w:u w:val="none"/>
      <w:vertAlign w:val="superscript"/>
    </w:rPr>
  </w:style>
  <w:style w:type="character" w:customStyle="1" w:styleId="220">
    <w:name w:val="页脚 Char1"/>
    <w:semiHidden/>
    <w:qFormat/>
    <w:uiPriority w:val="0"/>
    <w:rPr>
      <w:sz w:val="20"/>
    </w:rPr>
  </w:style>
  <w:style w:type="character" w:customStyle="1" w:styleId="221">
    <w:name w:val="批注框文本 Char1"/>
    <w:semiHidden/>
    <w:qFormat/>
    <w:uiPriority w:val="0"/>
    <w:rPr>
      <w:sz w:val="20"/>
    </w:rPr>
  </w:style>
  <w:style w:type="paragraph" w:customStyle="1" w:styleId="222">
    <w:name w:val="列出段落2"/>
    <w:basedOn w:val="1"/>
    <w:next w:val="223"/>
    <w:qFormat/>
    <w:uiPriority w:val="0"/>
    <w:pPr>
      <w:ind w:firstLine="420"/>
    </w:pPr>
    <w:rPr>
      <w:rFonts w:hAnsi="Calibri"/>
      <w:kern w:val="0"/>
      <w:szCs w:val="20"/>
    </w:rPr>
  </w:style>
  <w:style w:type="paragraph" w:customStyle="1" w:styleId="223">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4">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5">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7">
    <w:name w:val="xl86"/>
    <w:basedOn w:val="1"/>
    <w:next w:val="228"/>
    <w:qFormat/>
    <w:uiPriority w:val="0"/>
    <w:pPr>
      <w:widowControl/>
      <w:shd w:val="clear" w:color="000000" w:fill="FFFFFF"/>
      <w:spacing w:before="280" w:after="280"/>
      <w:jc w:val="center"/>
    </w:pPr>
    <w:rPr>
      <w:rFonts w:ascii="宋体" w:hAnsi="Calibri"/>
      <w:kern w:val="0"/>
      <w:sz w:val="20"/>
      <w:szCs w:val="20"/>
    </w:rPr>
  </w:style>
  <w:style w:type="paragraph" w:customStyle="1" w:styleId="228">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9">
    <w:name w:val="TOC Heading4"/>
    <w:next w:val="1"/>
    <w:qFormat/>
    <w:uiPriority w:val="0"/>
    <w:pPr>
      <w:wordWrap w:val="0"/>
    </w:pPr>
    <w:rPr>
      <w:rFonts w:ascii="Calibri" w:hAnsi="Calibri" w:eastAsia="宋体" w:cs="Times New Roman"/>
      <w:sz w:val="32"/>
      <w:lang w:val="en-US" w:eastAsia="zh-CN" w:bidi="ar-SA"/>
    </w:rPr>
  </w:style>
  <w:style w:type="paragraph" w:customStyle="1" w:styleId="230">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1">
    <w:name w:val="TOC Heading2"/>
    <w:next w:val="1"/>
    <w:qFormat/>
    <w:uiPriority w:val="0"/>
    <w:pPr>
      <w:wordWrap w:val="0"/>
    </w:pPr>
    <w:rPr>
      <w:rFonts w:ascii="Calibri" w:hAnsi="Calibri" w:eastAsia="宋体" w:cs="Times New Roman"/>
      <w:sz w:val="32"/>
      <w:lang w:val="en-US" w:eastAsia="zh-CN" w:bidi="ar-SA"/>
    </w:rPr>
  </w:style>
  <w:style w:type="paragraph" w:customStyle="1" w:styleId="232">
    <w:name w:val="TOC Heading1"/>
    <w:next w:val="1"/>
    <w:qFormat/>
    <w:uiPriority w:val="0"/>
    <w:pPr>
      <w:wordWrap w:val="0"/>
    </w:pPr>
    <w:rPr>
      <w:rFonts w:ascii="Calibri" w:hAnsi="Calibri" w:eastAsia="宋体" w:cs="Times New Roman"/>
      <w:sz w:val="32"/>
      <w:lang w:val="en-US" w:eastAsia="zh-CN" w:bidi="ar-SA"/>
    </w:rPr>
  </w:style>
  <w:style w:type="paragraph" w:customStyle="1" w:styleId="233">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4">
    <w:name w:val="font7"/>
    <w:basedOn w:val="1"/>
    <w:next w:val="235"/>
    <w:qFormat/>
    <w:uiPriority w:val="0"/>
    <w:pPr>
      <w:widowControl/>
      <w:spacing w:before="280" w:after="280"/>
    </w:pPr>
    <w:rPr>
      <w:rFonts w:ascii="Arial" w:hAnsi="Calibri"/>
      <w:kern w:val="0"/>
      <w:sz w:val="18"/>
      <w:szCs w:val="20"/>
    </w:rPr>
  </w:style>
  <w:style w:type="paragraph" w:customStyle="1" w:styleId="235">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6">
    <w:name w:val="xl113"/>
    <w:basedOn w:val="1"/>
    <w:next w:val="237"/>
    <w:qFormat/>
    <w:uiPriority w:val="0"/>
    <w:pPr>
      <w:widowControl/>
      <w:shd w:val="clear" w:color="000000" w:fill="FFFFFF"/>
      <w:spacing w:before="280" w:after="280"/>
      <w:jc w:val="center"/>
    </w:pPr>
    <w:rPr>
      <w:rFonts w:ascii="宋体" w:hAnsi="Calibri"/>
      <w:b/>
      <w:kern w:val="0"/>
      <w:sz w:val="20"/>
      <w:szCs w:val="20"/>
    </w:rPr>
  </w:style>
  <w:style w:type="paragraph" w:customStyle="1" w:styleId="237">
    <w:name w:val="TOC Heading10"/>
    <w:next w:val="1"/>
    <w:qFormat/>
    <w:uiPriority w:val="0"/>
    <w:pPr>
      <w:wordWrap w:val="0"/>
    </w:pPr>
    <w:rPr>
      <w:rFonts w:ascii="Calibri" w:hAnsi="Calibri" w:eastAsia="宋体" w:cs="Times New Roman"/>
      <w:sz w:val="32"/>
      <w:lang w:val="en-US" w:eastAsia="zh-CN" w:bidi="ar-SA"/>
    </w:rPr>
  </w:style>
  <w:style w:type="paragraph" w:customStyle="1" w:styleId="238">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9">
    <w:name w:val="xl73"/>
    <w:basedOn w:val="1"/>
    <w:next w:val="240"/>
    <w:qFormat/>
    <w:uiPriority w:val="0"/>
    <w:pPr>
      <w:widowControl/>
      <w:shd w:val="clear" w:color="000000" w:fill="FFFFFF"/>
      <w:spacing w:before="280" w:after="280"/>
      <w:jc w:val="center"/>
    </w:pPr>
    <w:rPr>
      <w:rFonts w:ascii="宋体" w:hAnsi="Calibri"/>
      <w:kern w:val="0"/>
      <w:sz w:val="20"/>
      <w:szCs w:val="20"/>
    </w:rPr>
  </w:style>
  <w:style w:type="paragraph" w:customStyle="1" w:styleId="240">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1">
    <w:name w:val="xl79"/>
    <w:basedOn w:val="1"/>
    <w:next w:val="242"/>
    <w:qFormat/>
    <w:uiPriority w:val="0"/>
    <w:pPr>
      <w:widowControl/>
      <w:shd w:val="clear" w:color="000000" w:fill="FFFFFF"/>
      <w:spacing w:before="280" w:after="280"/>
    </w:pPr>
    <w:rPr>
      <w:rFonts w:ascii="宋体" w:hAnsi="Calibri"/>
      <w:b/>
      <w:kern w:val="0"/>
      <w:sz w:val="20"/>
      <w:szCs w:val="20"/>
    </w:rPr>
  </w:style>
  <w:style w:type="paragraph" w:customStyle="1" w:styleId="242">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3">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4">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5">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6">
    <w:name w:val="xl112"/>
    <w:basedOn w:val="1"/>
    <w:next w:val="245"/>
    <w:qFormat/>
    <w:uiPriority w:val="0"/>
    <w:pPr>
      <w:widowControl/>
      <w:shd w:val="clear" w:color="000000" w:fill="FFFFFF"/>
      <w:spacing w:before="280" w:after="280"/>
      <w:jc w:val="center"/>
    </w:pPr>
    <w:rPr>
      <w:rFonts w:ascii="宋体" w:hAnsi="Calibri"/>
      <w:b/>
      <w:kern w:val="0"/>
      <w:sz w:val="20"/>
      <w:szCs w:val="20"/>
    </w:rPr>
  </w:style>
  <w:style w:type="paragraph" w:customStyle="1" w:styleId="247">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8">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50">
    <w:name w:val="xl74"/>
    <w:basedOn w:val="1"/>
    <w:next w:val="251"/>
    <w:qFormat/>
    <w:uiPriority w:val="0"/>
    <w:pPr>
      <w:widowControl/>
      <w:shd w:val="clear" w:color="000000" w:fill="FFFFFF"/>
      <w:spacing w:before="280" w:after="280"/>
    </w:pPr>
    <w:rPr>
      <w:rFonts w:ascii="宋体" w:hAnsi="Calibri"/>
      <w:kern w:val="0"/>
      <w:sz w:val="20"/>
      <w:szCs w:val="20"/>
    </w:rPr>
  </w:style>
  <w:style w:type="paragraph" w:customStyle="1" w:styleId="251">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2">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5">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6">
    <w:name w:val="列出段落5"/>
    <w:basedOn w:val="1"/>
    <w:next w:val="257"/>
    <w:qFormat/>
    <w:uiPriority w:val="0"/>
    <w:pPr>
      <w:ind w:firstLine="420"/>
    </w:pPr>
    <w:rPr>
      <w:rFonts w:hAnsi="Calibri"/>
      <w:kern w:val="0"/>
      <w:szCs w:val="20"/>
    </w:rPr>
  </w:style>
  <w:style w:type="paragraph" w:customStyle="1" w:styleId="257">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8">
    <w:name w:val="xl66"/>
    <w:basedOn w:val="1"/>
    <w:next w:val="259"/>
    <w:qFormat/>
    <w:uiPriority w:val="0"/>
    <w:pPr>
      <w:widowControl/>
      <w:shd w:val="clear" w:color="000000" w:fill="FFFFFF"/>
      <w:spacing w:before="280" w:after="280"/>
    </w:pPr>
    <w:rPr>
      <w:rFonts w:ascii="宋体" w:hAnsi="Calibri"/>
      <w:kern w:val="0"/>
      <w:sz w:val="20"/>
      <w:szCs w:val="20"/>
    </w:rPr>
  </w:style>
  <w:style w:type="paragraph" w:customStyle="1" w:styleId="259">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60">
    <w:name w:val="TOC Heading3"/>
    <w:next w:val="1"/>
    <w:qFormat/>
    <w:uiPriority w:val="0"/>
    <w:pPr>
      <w:wordWrap w:val="0"/>
    </w:pPr>
    <w:rPr>
      <w:rFonts w:ascii="Calibri" w:hAnsi="Calibri" w:eastAsia="宋体" w:cs="Times New Roman"/>
      <w:sz w:val="32"/>
      <w:lang w:val="en-US" w:eastAsia="zh-CN" w:bidi="ar-SA"/>
    </w:rPr>
  </w:style>
  <w:style w:type="paragraph" w:customStyle="1" w:styleId="261">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2">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3">
    <w:name w:val="xl84"/>
    <w:basedOn w:val="1"/>
    <w:next w:val="264"/>
    <w:qFormat/>
    <w:uiPriority w:val="0"/>
    <w:pPr>
      <w:widowControl/>
      <w:shd w:val="clear" w:color="000000" w:fill="FFFFFF"/>
      <w:spacing w:before="280" w:after="280"/>
      <w:jc w:val="center"/>
    </w:pPr>
    <w:rPr>
      <w:rFonts w:ascii="宋体" w:hAnsi="Calibri"/>
      <w:kern w:val="0"/>
      <w:sz w:val="20"/>
      <w:szCs w:val="20"/>
    </w:rPr>
  </w:style>
  <w:style w:type="paragraph" w:customStyle="1" w:styleId="264">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5">
    <w:name w:val="xl81"/>
    <w:basedOn w:val="1"/>
    <w:next w:val="266"/>
    <w:qFormat/>
    <w:uiPriority w:val="0"/>
    <w:pPr>
      <w:widowControl/>
      <w:shd w:val="clear" w:color="000000" w:fill="FFFFFF"/>
      <w:spacing w:before="280" w:after="280"/>
    </w:pPr>
    <w:rPr>
      <w:rFonts w:ascii="宋体" w:hAnsi="Calibri"/>
      <w:kern w:val="0"/>
      <w:sz w:val="20"/>
      <w:szCs w:val="20"/>
    </w:rPr>
  </w:style>
  <w:style w:type="paragraph" w:customStyle="1" w:styleId="266">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8">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9">
    <w:name w:val="TOC Heading12"/>
    <w:next w:val="1"/>
    <w:qFormat/>
    <w:uiPriority w:val="0"/>
    <w:pPr>
      <w:wordWrap w:val="0"/>
    </w:pPr>
    <w:rPr>
      <w:rFonts w:ascii="Calibri" w:hAnsi="Calibri" w:eastAsia="宋体" w:cs="Times New Roman"/>
      <w:sz w:val="32"/>
      <w:lang w:val="en-US" w:eastAsia="zh-CN" w:bidi="ar-SA"/>
    </w:rPr>
  </w:style>
  <w:style w:type="paragraph" w:customStyle="1" w:styleId="270">
    <w:name w:val="TOC Heading8"/>
    <w:next w:val="1"/>
    <w:qFormat/>
    <w:uiPriority w:val="0"/>
    <w:pPr>
      <w:wordWrap w:val="0"/>
    </w:pPr>
    <w:rPr>
      <w:rFonts w:ascii="Calibri" w:hAnsi="Calibri" w:eastAsia="宋体" w:cs="Times New Roman"/>
      <w:sz w:val="32"/>
      <w:lang w:val="en-US" w:eastAsia="zh-CN" w:bidi="ar-SA"/>
    </w:rPr>
  </w:style>
  <w:style w:type="paragraph" w:customStyle="1" w:styleId="271">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2">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4">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5">
    <w:name w:val="xl116"/>
    <w:basedOn w:val="1"/>
    <w:next w:val="276"/>
    <w:qFormat/>
    <w:uiPriority w:val="0"/>
    <w:pPr>
      <w:widowControl/>
      <w:shd w:val="clear" w:color="000000" w:fill="FFFFFF"/>
      <w:spacing w:before="280" w:after="280"/>
      <w:jc w:val="center"/>
    </w:pPr>
    <w:rPr>
      <w:rFonts w:ascii="Arial Narrow" w:hAnsi="Calibri"/>
      <w:kern w:val="0"/>
      <w:sz w:val="20"/>
      <w:szCs w:val="20"/>
    </w:rPr>
  </w:style>
  <w:style w:type="paragraph" w:customStyle="1" w:styleId="276">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7">
    <w:name w:val="font8"/>
    <w:basedOn w:val="1"/>
    <w:next w:val="278"/>
    <w:qFormat/>
    <w:uiPriority w:val="0"/>
    <w:pPr>
      <w:widowControl/>
      <w:spacing w:before="280" w:after="280"/>
    </w:pPr>
    <w:rPr>
      <w:rFonts w:ascii="Arial" w:hAnsi="Calibri"/>
      <w:kern w:val="0"/>
      <w:sz w:val="20"/>
      <w:szCs w:val="20"/>
    </w:rPr>
  </w:style>
  <w:style w:type="paragraph" w:customStyle="1" w:styleId="278">
    <w:name w:val="TOC Heading11"/>
    <w:next w:val="1"/>
    <w:qFormat/>
    <w:uiPriority w:val="0"/>
    <w:pPr>
      <w:wordWrap w:val="0"/>
    </w:pPr>
    <w:rPr>
      <w:rFonts w:ascii="Calibri" w:hAnsi="Calibri" w:eastAsia="宋体" w:cs="Times New Roman"/>
      <w:sz w:val="32"/>
      <w:lang w:val="en-US" w:eastAsia="zh-CN" w:bidi="ar-SA"/>
    </w:rPr>
  </w:style>
  <w:style w:type="paragraph" w:customStyle="1" w:styleId="279">
    <w:name w:val="xl69"/>
    <w:basedOn w:val="1"/>
    <w:next w:val="280"/>
    <w:qFormat/>
    <w:uiPriority w:val="0"/>
    <w:pPr>
      <w:widowControl/>
      <w:shd w:val="clear" w:color="000000" w:fill="FFFFFF"/>
      <w:spacing w:before="280" w:after="280"/>
    </w:pPr>
    <w:rPr>
      <w:rFonts w:ascii="宋体" w:hAnsi="Calibri"/>
      <w:b/>
      <w:kern w:val="0"/>
      <w:sz w:val="20"/>
      <w:szCs w:val="20"/>
    </w:rPr>
  </w:style>
  <w:style w:type="paragraph" w:customStyle="1" w:styleId="280">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1">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2">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3">
    <w:name w:val="列出段落3"/>
    <w:basedOn w:val="1"/>
    <w:next w:val="284"/>
    <w:qFormat/>
    <w:uiPriority w:val="0"/>
    <w:pPr>
      <w:ind w:firstLine="420"/>
    </w:pPr>
    <w:rPr>
      <w:rFonts w:hAnsi="Calibri"/>
      <w:kern w:val="0"/>
      <w:szCs w:val="20"/>
    </w:rPr>
  </w:style>
  <w:style w:type="paragraph" w:customStyle="1" w:styleId="284">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5">
    <w:name w:val="TOC 标题1"/>
    <w:next w:val="1"/>
    <w:qFormat/>
    <w:uiPriority w:val="0"/>
    <w:pPr>
      <w:wordWrap w:val="0"/>
    </w:pPr>
    <w:rPr>
      <w:rFonts w:ascii="Calibri" w:hAnsi="Calibri" w:eastAsia="宋体" w:cs="Times New Roman"/>
      <w:sz w:val="32"/>
      <w:lang w:val="en-US" w:eastAsia="zh-CN" w:bidi="ar-SA"/>
    </w:rPr>
  </w:style>
  <w:style w:type="paragraph" w:customStyle="1" w:styleId="286">
    <w:name w:val="TOC Heading5"/>
    <w:next w:val="1"/>
    <w:qFormat/>
    <w:uiPriority w:val="0"/>
    <w:pPr>
      <w:wordWrap w:val="0"/>
    </w:pPr>
    <w:rPr>
      <w:rFonts w:ascii="Calibri" w:hAnsi="Calibri" w:eastAsia="宋体" w:cs="Times New Roman"/>
      <w:sz w:val="32"/>
      <w:lang w:val="en-US" w:eastAsia="zh-CN" w:bidi="ar-SA"/>
    </w:rPr>
  </w:style>
  <w:style w:type="paragraph" w:customStyle="1" w:styleId="287">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8">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xl115"/>
    <w:basedOn w:val="1"/>
    <w:next w:val="290"/>
    <w:qFormat/>
    <w:uiPriority w:val="0"/>
    <w:pPr>
      <w:widowControl/>
      <w:shd w:val="clear" w:color="000000" w:fill="FFFFFF"/>
      <w:spacing w:before="280" w:after="280"/>
      <w:jc w:val="center"/>
    </w:pPr>
    <w:rPr>
      <w:rFonts w:ascii="宋体" w:hAnsi="Calibri"/>
      <w:b/>
      <w:kern w:val="0"/>
      <w:sz w:val="20"/>
      <w:szCs w:val="20"/>
    </w:rPr>
  </w:style>
  <w:style w:type="paragraph" w:customStyle="1" w:styleId="290">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1">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2">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3">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4">
    <w:name w:val="xl93"/>
    <w:basedOn w:val="1"/>
    <w:next w:val="29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6">
    <w:name w:val="xl96"/>
    <w:basedOn w:val="1"/>
    <w:next w:val="247"/>
    <w:qFormat/>
    <w:uiPriority w:val="0"/>
    <w:pPr>
      <w:widowControl/>
      <w:shd w:val="clear" w:color="000000" w:fill="FFFFFF"/>
      <w:spacing w:before="280" w:after="280"/>
      <w:jc w:val="center"/>
    </w:pPr>
    <w:rPr>
      <w:rFonts w:ascii="宋体" w:hAnsi="Calibri"/>
      <w:kern w:val="0"/>
      <w:sz w:val="20"/>
      <w:szCs w:val="20"/>
    </w:rPr>
  </w:style>
  <w:style w:type="paragraph" w:customStyle="1" w:styleId="297">
    <w:name w:val="xl106"/>
    <w:basedOn w:val="1"/>
    <w:next w:val="281"/>
    <w:qFormat/>
    <w:uiPriority w:val="0"/>
    <w:pPr>
      <w:widowControl/>
      <w:shd w:val="clear" w:color="000000" w:fill="FFFFFF"/>
      <w:spacing w:before="280" w:after="280"/>
    </w:pPr>
    <w:rPr>
      <w:rFonts w:ascii="宋体" w:hAnsi="Calibri"/>
      <w:kern w:val="0"/>
      <w:sz w:val="20"/>
      <w:szCs w:val="20"/>
    </w:rPr>
  </w:style>
  <w:style w:type="paragraph" w:customStyle="1" w:styleId="298">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9">
    <w:name w:val="TOC Heading14"/>
    <w:next w:val="1"/>
    <w:qFormat/>
    <w:uiPriority w:val="0"/>
    <w:pPr>
      <w:wordWrap w:val="0"/>
    </w:pPr>
    <w:rPr>
      <w:rFonts w:ascii="Calibri" w:hAnsi="Calibri" w:eastAsia="宋体" w:cs="Times New Roman"/>
      <w:sz w:val="32"/>
      <w:lang w:val="en-US" w:eastAsia="zh-CN" w:bidi="ar-SA"/>
    </w:rPr>
  </w:style>
  <w:style w:type="paragraph" w:customStyle="1" w:styleId="300">
    <w:name w:val="Char Char Char Char Char Char Char1"/>
    <w:basedOn w:val="1"/>
    <w:next w:val="301"/>
    <w:qFormat/>
    <w:uiPriority w:val="0"/>
    <w:pPr>
      <w:widowControl/>
      <w:spacing w:after="160" w:line="240" w:lineRule="exact"/>
    </w:pPr>
    <w:rPr>
      <w:rFonts w:hAnsi="Calibri"/>
      <w:kern w:val="0"/>
      <w:szCs w:val="20"/>
    </w:rPr>
  </w:style>
  <w:style w:type="paragraph" w:customStyle="1" w:styleId="301">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2">
    <w:name w:val="列出段落4"/>
    <w:basedOn w:val="1"/>
    <w:next w:val="303"/>
    <w:qFormat/>
    <w:uiPriority w:val="0"/>
    <w:pPr>
      <w:ind w:firstLine="420"/>
    </w:pPr>
    <w:rPr>
      <w:rFonts w:hAnsi="Calibri"/>
      <w:kern w:val="0"/>
      <w:szCs w:val="20"/>
    </w:rPr>
  </w:style>
  <w:style w:type="paragraph" w:customStyle="1" w:styleId="303">
    <w:name w:val="TOC Heading9"/>
    <w:next w:val="1"/>
    <w:qFormat/>
    <w:uiPriority w:val="0"/>
    <w:pPr>
      <w:wordWrap w:val="0"/>
    </w:pPr>
    <w:rPr>
      <w:rFonts w:ascii="Calibri" w:hAnsi="Calibri" w:eastAsia="宋体" w:cs="Times New Roman"/>
      <w:sz w:val="32"/>
      <w:lang w:val="en-US" w:eastAsia="zh-CN" w:bidi="ar-SA"/>
    </w:rPr>
  </w:style>
  <w:style w:type="paragraph" w:customStyle="1" w:styleId="304">
    <w:name w:val="xl71"/>
    <w:basedOn w:val="1"/>
    <w:next w:val="305"/>
    <w:qFormat/>
    <w:uiPriority w:val="0"/>
    <w:pPr>
      <w:widowControl/>
      <w:shd w:val="clear" w:color="000000" w:fill="FFFFFF"/>
      <w:spacing w:before="280" w:after="280"/>
    </w:pPr>
    <w:rPr>
      <w:rFonts w:ascii="宋体" w:hAnsi="Calibri"/>
      <w:kern w:val="0"/>
      <w:sz w:val="24"/>
      <w:szCs w:val="20"/>
    </w:rPr>
  </w:style>
  <w:style w:type="paragraph" w:customStyle="1" w:styleId="305">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6">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7">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8">
    <w:name w:val="xl108"/>
    <w:basedOn w:val="1"/>
    <w:next w:val="309"/>
    <w:qFormat/>
    <w:uiPriority w:val="0"/>
    <w:pPr>
      <w:widowControl/>
      <w:shd w:val="clear" w:color="000000" w:fill="FFFFFF"/>
      <w:spacing w:before="280" w:after="280"/>
    </w:pPr>
    <w:rPr>
      <w:rFonts w:ascii="宋体" w:hAnsi="Calibri"/>
      <w:kern w:val="0"/>
      <w:sz w:val="18"/>
      <w:szCs w:val="20"/>
    </w:rPr>
  </w:style>
  <w:style w:type="paragraph" w:customStyle="1" w:styleId="309">
    <w:name w:val="toc 18"/>
    <w:next w:val="1"/>
    <w:qFormat/>
    <w:uiPriority w:val="0"/>
    <w:pPr>
      <w:wordWrap w:val="0"/>
      <w:jc w:val="both"/>
    </w:pPr>
    <w:rPr>
      <w:rFonts w:ascii="Calibri" w:hAnsi="Calibri" w:eastAsia="宋体" w:cs="Times New Roman"/>
      <w:sz w:val="21"/>
      <w:lang w:val="en-US" w:eastAsia="zh-CN" w:bidi="ar-SA"/>
    </w:rPr>
  </w:style>
  <w:style w:type="paragraph" w:customStyle="1" w:styleId="310">
    <w:name w:val="TOC Heading7"/>
    <w:next w:val="1"/>
    <w:qFormat/>
    <w:uiPriority w:val="0"/>
    <w:pPr>
      <w:wordWrap w:val="0"/>
    </w:pPr>
    <w:rPr>
      <w:rFonts w:ascii="Calibri" w:hAnsi="Calibri" w:eastAsia="宋体" w:cs="Times New Roman"/>
      <w:sz w:val="32"/>
      <w:lang w:val="en-US" w:eastAsia="zh-CN" w:bidi="ar-SA"/>
    </w:rPr>
  </w:style>
  <w:style w:type="character" w:customStyle="1" w:styleId="311">
    <w:name w:val="副标题 Char"/>
    <w:basedOn w:val="47"/>
    <w:link w:val="31"/>
    <w:qFormat/>
    <w:uiPriority w:val="0"/>
    <w:rPr>
      <w:rFonts w:ascii="Calibri" w:hAnsi="Calibri"/>
      <w:sz w:val="24"/>
    </w:rPr>
  </w:style>
  <w:style w:type="paragraph" w:customStyle="1" w:styleId="312">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3">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4">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列出段落6"/>
    <w:basedOn w:val="1"/>
    <w:next w:val="316"/>
    <w:qFormat/>
    <w:uiPriority w:val="0"/>
    <w:pPr>
      <w:ind w:firstLine="420"/>
    </w:pPr>
    <w:rPr>
      <w:rFonts w:hAnsi="Calibri"/>
      <w:kern w:val="0"/>
      <w:szCs w:val="20"/>
    </w:rPr>
  </w:style>
  <w:style w:type="paragraph" w:customStyle="1" w:styleId="316">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7">
    <w:name w:val="xl80"/>
    <w:basedOn w:val="1"/>
    <w:next w:val="318"/>
    <w:qFormat/>
    <w:uiPriority w:val="0"/>
    <w:pPr>
      <w:widowControl/>
      <w:shd w:val="clear" w:color="000000" w:fill="FFFFFF"/>
      <w:spacing w:before="280" w:after="280"/>
      <w:jc w:val="center"/>
    </w:pPr>
    <w:rPr>
      <w:rFonts w:ascii="宋体" w:hAnsi="Calibri"/>
      <w:b/>
      <w:kern w:val="0"/>
      <w:sz w:val="20"/>
      <w:szCs w:val="20"/>
    </w:rPr>
  </w:style>
  <w:style w:type="paragraph" w:customStyle="1" w:styleId="318">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9">
    <w:name w:val="Char Char Char Char1"/>
    <w:basedOn w:val="1"/>
    <w:next w:val="320"/>
    <w:qFormat/>
    <w:uiPriority w:val="0"/>
    <w:pPr>
      <w:widowControl/>
      <w:spacing w:after="160" w:line="240" w:lineRule="exact"/>
    </w:pPr>
    <w:rPr>
      <w:rFonts w:ascii="Verdana" w:hAnsi="Calibri" w:eastAsia="仿宋_GB2312"/>
      <w:kern w:val="0"/>
      <w:sz w:val="24"/>
      <w:szCs w:val="20"/>
    </w:rPr>
  </w:style>
  <w:style w:type="paragraph" w:customStyle="1" w:styleId="320">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1">
    <w:name w:val="xl102"/>
    <w:basedOn w:val="1"/>
    <w:next w:val="322"/>
    <w:qFormat/>
    <w:uiPriority w:val="0"/>
    <w:pPr>
      <w:widowControl/>
      <w:shd w:val="clear" w:color="000000" w:fill="FFFFFF"/>
      <w:spacing w:before="280" w:after="280"/>
      <w:jc w:val="right"/>
    </w:pPr>
    <w:rPr>
      <w:rFonts w:ascii="宋体" w:hAnsi="Calibri"/>
      <w:kern w:val="0"/>
      <w:sz w:val="20"/>
      <w:szCs w:val="20"/>
    </w:rPr>
  </w:style>
  <w:style w:type="paragraph" w:customStyle="1" w:styleId="322">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3">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4">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5">
    <w:name w:val="xl65"/>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326">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7">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8">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9">
    <w:name w:val="xl75"/>
    <w:basedOn w:val="1"/>
    <w:next w:val="330"/>
    <w:qFormat/>
    <w:uiPriority w:val="0"/>
    <w:pPr>
      <w:widowControl/>
      <w:shd w:val="clear" w:color="000000" w:fill="FFFFFF"/>
      <w:spacing w:before="280" w:after="280"/>
    </w:pPr>
    <w:rPr>
      <w:rFonts w:ascii="宋体" w:hAnsi="Calibri"/>
      <w:kern w:val="0"/>
      <w:sz w:val="20"/>
      <w:szCs w:val="20"/>
    </w:rPr>
  </w:style>
  <w:style w:type="paragraph" w:customStyle="1" w:styleId="330">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1">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2">
    <w:name w:val="TOC Heading6"/>
    <w:next w:val="1"/>
    <w:qFormat/>
    <w:uiPriority w:val="0"/>
    <w:pPr>
      <w:wordWrap w:val="0"/>
    </w:pPr>
    <w:rPr>
      <w:rFonts w:ascii="Calibri" w:hAnsi="Calibri" w:eastAsia="宋体" w:cs="Times New Roman"/>
      <w:sz w:val="32"/>
      <w:lang w:val="en-US" w:eastAsia="zh-CN" w:bidi="ar-SA"/>
    </w:rPr>
  </w:style>
  <w:style w:type="paragraph" w:customStyle="1" w:styleId="333">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4">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5">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6">
    <w:name w:val="xl104"/>
    <w:basedOn w:val="1"/>
    <w:next w:val="337"/>
    <w:qFormat/>
    <w:uiPriority w:val="0"/>
    <w:pPr>
      <w:widowControl/>
      <w:shd w:val="clear" w:color="000000" w:fill="FFFFFF"/>
      <w:spacing w:before="280" w:after="280"/>
      <w:jc w:val="center"/>
    </w:pPr>
    <w:rPr>
      <w:rFonts w:ascii="宋体" w:hAnsi="Calibri"/>
      <w:kern w:val="0"/>
      <w:sz w:val="20"/>
      <w:szCs w:val="20"/>
    </w:rPr>
  </w:style>
  <w:style w:type="paragraph" w:customStyle="1" w:styleId="337">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8">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9">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40">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1">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2">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3">
    <w:name w:val="无间隔1"/>
    <w:next w:val="338"/>
    <w:qFormat/>
    <w:uiPriority w:val="0"/>
    <w:pPr>
      <w:widowControl w:val="0"/>
      <w:jc w:val="both"/>
    </w:pPr>
    <w:rPr>
      <w:rFonts w:ascii="Calibri" w:hAnsi="Calibri" w:eastAsia="宋体" w:cs="Times New Roman"/>
      <w:sz w:val="22"/>
      <w:lang w:val="en-US" w:eastAsia="zh-CN" w:bidi="ar-SA"/>
    </w:rPr>
  </w:style>
  <w:style w:type="paragraph" w:customStyle="1" w:styleId="344">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5">
    <w:name w:val="xl105"/>
    <w:basedOn w:val="1"/>
    <w:next w:val="346"/>
    <w:qFormat/>
    <w:uiPriority w:val="0"/>
    <w:pPr>
      <w:widowControl/>
      <w:shd w:val="clear" w:color="000000" w:fill="FFFFFF"/>
      <w:spacing w:before="280" w:after="280"/>
    </w:pPr>
    <w:rPr>
      <w:rFonts w:ascii="宋体" w:hAnsi="Calibri"/>
      <w:kern w:val="0"/>
      <w:sz w:val="18"/>
      <w:szCs w:val="20"/>
    </w:rPr>
  </w:style>
  <w:style w:type="paragraph" w:customStyle="1" w:styleId="346">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7">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8">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xl111"/>
    <w:basedOn w:val="1"/>
    <w:next w:val="350"/>
    <w:qFormat/>
    <w:uiPriority w:val="0"/>
    <w:pPr>
      <w:widowControl/>
      <w:shd w:val="clear" w:color="000000" w:fill="FFFFFF"/>
      <w:spacing w:before="280" w:after="280"/>
      <w:jc w:val="center"/>
    </w:pPr>
    <w:rPr>
      <w:rFonts w:ascii="宋体" w:hAnsi="Calibri"/>
      <w:b/>
      <w:kern w:val="0"/>
      <w:sz w:val="20"/>
      <w:szCs w:val="20"/>
    </w:rPr>
  </w:style>
  <w:style w:type="paragraph" w:customStyle="1" w:styleId="350">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2">
    <w:name w:val="p0"/>
    <w:basedOn w:val="1"/>
    <w:next w:val="353"/>
    <w:qFormat/>
    <w:uiPriority w:val="0"/>
    <w:pPr>
      <w:widowControl/>
      <w:spacing w:before="280" w:after="280"/>
    </w:pPr>
    <w:rPr>
      <w:rFonts w:ascii="宋体" w:hAnsi="Calibri"/>
      <w:kern w:val="0"/>
      <w:sz w:val="24"/>
      <w:szCs w:val="20"/>
    </w:rPr>
  </w:style>
  <w:style w:type="paragraph" w:customStyle="1" w:styleId="353">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4">
    <w:name w:val="列出段落11"/>
    <w:basedOn w:val="1"/>
    <w:next w:val="355"/>
    <w:qFormat/>
    <w:uiPriority w:val="0"/>
    <w:pPr>
      <w:widowControl/>
      <w:spacing w:line="360" w:lineRule="auto"/>
      <w:ind w:firstLine="420"/>
    </w:pPr>
    <w:rPr>
      <w:rFonts w:hAnsi="Calibri" w:eastAsia="微软雅黑"/>
      <w:kern w:val="0"/>
      <w:sz w:val="24"/>
      <w:szCs w:val="20"/>
    </w:rPr>
  </w:style>
  <w:style w:type="paragraph" w:customStyle="1" w:styleId="355">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6">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7">
    <w:name w:val="xl91"/>
    <w:basedOn w:val="1"/>
    <w:next w:val="254"/>
    <w:qFormat/>
    <w:uiPriority w:val="0"/>
    <w:pPr>
      <w:widowControl/>
      <w:shd w:val="clear" w:color="000000" w:fill="FFFFFF"/>
      <w:spacing w:before="280" w:after="280"/>
    </w:pPr>
    <w:rPr>
      <w:rFonts w:ascii="宋体" w:hAnsi="Calibri"/>
      <w:kern w:val="0"/>
      <w:sz w:val="20"/>
      <w:szCs w:val="20"/>
    </w:rPr>
  </w:style>
  <w:style w:type="paragraph" w:customStyle="1" w:styleId="358">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9">
    <w:name w:val="_Style 1"/>
    <w:basedOn w:val="1"/>
    <w:next w:val="360"/>
    <w:qFormat/>
    <w:uiPriority w:val="0"/>
    <w:pPr>
      <w:ind w:firstLine="420"/>
    </w:pPr>
    <w:rPr>
      <w:rFonts w:hAnsi="Calibri"/>
      <w:kern w:val="0"/>
      <w:szCs w:val="20"/>
    </w:rPr>
  </w:style>
  <w:style w:type="paragraph" w:customStyle="1" w:styleId="360">
    <w:name w:val="TOC Heading13"/>
    <w:next w:val="1"/>
    <w:qFormat/>
    <w:uiPriority w:val="0"/>
    <w:pPr>
      <w:wordWrap w:val="0"/>
    </w:pPr>
    <w:rPr>
      <w:rFonts w:ascii="Calibri" w:hAnsi="Calibri" w:eastAsia="宋体" w:cs="Times New Roman"/>
      <w:sz w:val="32"/>
      <w:lang w:val="en-US" w:eastAsia="zh-CN" w:bidi="ar-SA"/>
    </w:rPr>
  </w:style>
  <w:style w:type="paragraph" w:customStyle="1" w:styleId="361">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2">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3">
    <w:name w:val="x_msonormal"/>
    <w:basedOn w:val="1"/>
    <w:next w:val="313"/>
    <w:qFormat/>
    <w:uiPriority w:val="0"/>
    <w:pPr>
      <w:widowControl/>
      <w:spacing w:before="280" w:after="280"/>
    </w:pPr>
    <w:rPr>
      <w:rFonts w:ascii="PMingLiU" w:hAnsi="Calibri" w:eastAsia="PMingLiU"/>
      <w:kern w:val="0"/>
      <w:sz w:val="24"/>
      <w:szCs w:val="20"/>
    </w:rPr>
  </w:style>
  <w:style w:type="paragraph" w:customStyle="1" w:styleId="364">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5">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6">
    <w:name w:val="TOC Heading17"/>
    <w:next w:val="1"/>
    <w:qFormat/>
    <w:uiPriority w:val="0"/>
    <w:pPr>
      <w:wordWrap w:val="0"/>
    </w:pPr>
    <w:rPr>
      <w:rFonts w:ascii="Calibri" w:hAnsi="Calibri" w:eastAsia="宋体" w:cs="Times New Roman"/>
      <w:sz w:val="32"/>
      <w:lang w:val="en-US" w:eastAsia="zh-CN" w:bidi="ar-SA"/>
    </w:rPr>
  </w:style>
  <w:style w:type="paragraph" w:customStyle="1" w:styleId="367">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8">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9">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70">
    <w:name w:val="xl118"/>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371">
    <w:name w:val="xl83"/>
    <w:basedOn w:val="1"/>
    <w:next w:val="299"/>
    <w:qFormat/>
    <w:uiPriority w:val="0"/>
    <w:pPr>
      <w:widowControl/>
      <w:shd w:val="clear" w:color="000000" w:fill="FFFFFF"/>
      <w:spacing w:before="280" w:after="280"/>
    </w:pPr>
    <w:rPr>
      <w:rFonts w:ascii="宋体" w:hAnsi="Calibri"/>
      <w:kern w:val="0"/>
      <w:sz w:val="20"/>
      <w:szCs w:val="20"/>
    </w:rPr>
  </w:style>
  <w:style w:type="paragraph" w:customStyle="1" w:styleId="372">
    <w:name w:val="xl103"/>
    <w:basedOn w:val="1"/>
    <w:next w:val="373"/>
    <w:qFormat/>
    <w:uiPriority w:val="0"/>
    <w:pPr>
      <w:widowControl/>
      <w:shd w:val="clear" w:color="000000" w:fill="FFFFFF"/>
      <w:spacing w:before="280" w:after="280"/>
    </w:pPr>
    <w:rPr>
      <w:rFonts w:ascii="宋体" w:hAnsi="Calibri"/>
      <w:kern w:val="0"/>
      <w:sz w:val="20"/>
      <w:szCs w:val="20"/>
    </w:rPr>
  </w:style>
  <w:style w:type="paragraph" w:customStyle="1" w:styleId="373">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4">
    <w:name w:val="xl68"/>
    <w:basedOn w:val="1"/>
    <w:next w:val="375"/>
    <w:qFormat/>
    <w:uiPriority w:val="0"/>
    <w:pPr>
      <w:widowControl/>
      <w:shd w:val="clear" w:color="000000" w:fill="FFFFFF"/>
      <w:spacing w:before="280" w:after="280"/>
    </w:pPr>
    <w:rPr>
      <w:rFonts w:ascii="宋体" w:hAnsi="Calibri"/>
      <w:b/>
      <w:kern w:val="0"/>
      <w:sz w:val="20"/>
      <w:szCs w:val="20"/>
    </w:rPr>
  </w:style>
  <w:style w:type="paragraph" w:customStyle="1" w:styleId="375">
    <w:name w:val="TOC Heading16"/>
    <w:next w:val="1"/>
    <w:qFormat/>
    <w:uiPriority w:val="0"/>
    <w:pPr>
      <w:wordWrap w:val="0"/>
    </w:pPr>
    <w:rPr>
      <w:rFonts w:ascii="Calibri" w:hAnsi="Calibri" w:eastAsia="宋体" w:cs="Times New Roman"/>
      <w:sz w:val="32"/>
      <w:lang w:val="en-US" w:eastAsia="zh-CN" w:bidi="ar-SA"/>
    </w:rPr>
  </w:style>
  <w:style w:type="paragraph" w:customStyle="1" w:styleId="376">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7">
    <w:name w:val="xl94"/>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78">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9">
    <w:name w:val="xl92"/>
    <w:basedOn w:val="1"/>
    <w:next w:val="380"/>
    <w:qFormat/>
    <w:uiPriority w:val="0"/>
    <w:pPr>
      <w:widowControl/>
      <w:shd w:val="clear" w:color="000000" w:fill="FFFFFF"/>
      <w:spacing w:before="280" w:after="280"/>
    </w:pPr>
    <w:rPr>
      <w:rFonts w:ascii="宋体" w:hAnsi="Calibri"/>
      <w:kern w:val="0"/>
      <w:sz w:val="20"/>
      <w:szCs w:val="20"/>
    </w:rPr>
  </w:style>
  <w:style w:type="paragraph" w:customStyle="1" w:styleId="380">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1">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2">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3">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4">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5">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6">
    <w:name w:val="xl110"/>
    <w:basedOn w:val="1"/>
    <w:next w:val="342"/>
    <w:qFormat/>
    <w:uiPriority w:val="0"/>
    <w:pPr>
      <w:widowControl/>
      <w:shd w:val="clear" w:color="000000" w:fill="FFFFFF"/>
      <w:spacing w:before="280" w:after="280"/>
      <w:jc w:val="center"/>
    </w:pPr>
    <w:rPr>
      <w:rFonts w:ascii="宋体" w:hAnsi="Calibri"/>
      <w:kern w:val="0"/>
      <w:sz w:val="20"/>
      <w:szCs w:val="20"/>
    </w:rPr>
  </w:style>
  <w:style w:type="paragraph" w:customStyle="1" w:styleId="387">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8">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9">
    <w:name w:val="xl85"/>
    <w:basedOn w:val="1"/>
    <w:next w:val="390"/>
    <w:qFormat/>
    <w:uiPriority w:val="0"/>
    <w:pPr>
      <w:widowControl/>
      <w:shd w:val="clear" w:color="000000" w:fill="FFFFFF"/>
      <w:spacing w:before="280" w:after="280"/>
      <w:jc w:val="center"/>
    </w:pPr>
    <w:rPr>
      <w:rFonts w:ascii="宋体" w:hAnsi="Calibri"/>
      <w:kern w:val="0"/>
      <w:sz w:val="20"/>
      <w:szCs w:val="20"/>
    </w:rPr>
  </w:style>
  <w:style w:type="paragraph" w:customStyle="1" w:styleId="390">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1">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2">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3">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4">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5">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6">
    <w:name w:val="xl99"/>
    <w:basedOn w:val="1"/>
    <w:next w:val="381"/>
    <w:qFormat/>
    <w:uiPriority w:val="0"/>
    <w:pPr>
      <w:widowControl/>
      <w:shd w:val="clear" w:color="000000" w:fill="FFFFFF"/>
      <w:spacing w:before="280" w:after="280"/>
    </w:pPr>
    <w:rPr>
      <w:rFonts w:ascii="宋体" w:hAnsi="Calibri"/>
      <w:kern w:val="0"/>
      <w:sz w:val="18"/>
      <w:szCs w:val="20"/>
    </w:rPr>
  </w:style>
  <w:style w:type="paragraph" w:customStyle="1" w:styleId="397">
    <w:name w:val="xl97"/>
    <w:basedOn w:val="1"/>
    <w:next w:val="269"/>
    <w:qFormat/>
    <w:uiPriority w:val="0"/>
    <w:pPr>
      <w:widowControl/>
      <w:shd w:val="clear" w:color="000000" w:fill="FFFFFF"/>
      <w:spacing w:before="280" w:after="280"/>
      <w:jc w:val="center"/>
    </w:pPr>
    <w:rPr>
      <w:rFonts w:ascii="宋体" w:hAnsi="Calibri"/>
      <w:kern w:val="0"/>
      <w:sz w:val="20"/>
      <w:szCs w:val="20"/>
    </w:rPr>
  </w:style>
  <w:style w:type="paragraph" w:customStyle="1" w:styleId="398">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9">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400">
    <w:name w:val="TOC Heading15"/>
    <w:next w:val="1"/>
    <w:qFormat/>
    <w:uiPriority w:val="0"/>
    <w:pPr>
      <w:wordWrap w:val="0"/>
    </w:pPr>
    <w:rPr>
      <w:rFonts w:ascii="Calibri" w:hAnsi="Calibri" w:eastAsia="宋体" w:cs="Times New Roman"/>
      <w:sz w:val="32"/>
      <w:lang w:val="en-US" w:eastAsia="zh-CN" w:bidi="ar-SA"/>
    </w:rPr>
  </w:style>
  <w:style w:type="paragraph" w:customStyle="1" w:styleId="401">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2">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3">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4">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5">
    <w:name w:val="xl95"/>
    <w:basedOn w:val="1"/>
    <w:next w:val="406"/>
    <w:qFormat/>
    <w:uiPriority w:val="0"/>
    <w:pPr>
      <w:widowControl/>
      <w:shd w:val="clear" w:color="000000" w:fill="FFFFFF"/>
      <w:spacing w:before="280" w:after="280"/>
    </w:pPr>
    <w:rPr>
      <w:rFonts w:ascii="宋体" w:hAnsi="Calibri"/>
      <w:kern w:val="0"/>
      <w:sz w:val="20"/>
      <w:szCs w:val="20"/>
    </w:rPr>
  </w:style>
  <w:style w:type="paragraph" w:customStyle="1" w:styleId="406">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7">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8">
    <w:name w:val="xl67"/>
    <w:basedOn w:val="1"/>
    <w:next w:val="409"/>
    <w:qFormat/>
    <w:uiPriority w:val="0"/>
    <w:pPr>
      <w:widowControl/>
      <w:shd w:val="clear" w:color="000000" w:fill="FFFFFF"/>
      <w:spacing w:before="280" w:after="280"/>
      <w:jc w:val="center"/>
    </w:pPr>
    <w:rPr>
      <w:rFonts w:ascii="宋体" w:hAnsi="Calibri"/>
      <w:b/>
      <w:kern w:val="0"/>
      <w:sz w:val="20"/>
      <w:szCs w:val="20"/>
    </w:rPr>
  </w:style>
  <w:style w:type="paragraph" w:customStyle="1" w:styleId="409">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10">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1">
    <w:name w:val="正文 A"/>
    <w:next w:val="328"/>
    <w:qFormat/>
    <w:uiPriority w:val="0"/>
    <w:rPr>
      <w:rFonts w:ascii="Arial" w:hAnsi="Calibri" w:eastAsia="Arial Unicode MS" w:cs="Times New Roman"/>
      <w:color w:val="000000"/>
      <w:sz w:val="21"/>
      <w:lang w:val="en-US" w:eastAsia="zh-CN" w:bidi="ar-SA"/>
    </w:rPr>
  </w:style>
  <w:style w:type="paragraph" w:customStyle="1" w:styleId="412">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3">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4">
    <w:name w:val="xl88"/>
    <w:basedOn w:val="1"/>
    <w:next w:val="400"/>
    <w:qFormat/>
    <w:uiPriority w:val="0"/>
    <w:pPr>
      <w:widowControl/>
      <w:shd w:val="clear" w:color="000000" w:fill="FFFFFF"/>
      <w:spacing w:before="280" w:after="280"/>
      <w:jc w:val="center"/>
    </w:pPr>
    <w:rPr>
      <w:rFonts w:ascii="宋体" w:hAnsi="Calibri"/>
      <w:kern w:val="0"/>
      <w:sz w:val="20"/>
      <w:szCs w:val="20"/>
    </w:rPr>
  </w:style>
  <w:style w:type="paragraph" w:customStyle="1" w:styleId="415">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6">
    <w:name w:val="xl100"/>
    <w:basedOn w:val="1"/>
    <w:next w:val="417"/>
    <w:qFormat/>
    <w:uiPriority w:val="0"/>
    <w:pPr>
      <w:widowControl/>
      <w:shd w:val="clear" w:color="000000" w:fill="FFFFFF"/>
      <w:spacing w:before="280" w:after="280"/>
    </w:pPr>
    <w:rPr>
      <w:rFonts w:ascii="宋体" w:hAnsi="Calibri"/>
      <w:kern w:val="0"/>
      <w:sz w:val="20"/>
      <w:szCs w:val="20"/>
    </w:rPr>
  </w:style>
  <w:style w:type="paragraph" w:customStyle="1" w:styleId="417">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8">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9">
    <w:name w:val="xl114"/>
    <w:basedOn w:val="1"/>
    <w:next w:val="271"/>
    <w:qFormat/>
    <w:uiPriority w:val="0"/>
    <w:pPr>
      <w:widowControl/>
      <w:shd w:val="clear" w:color="000000" w:fill="FFFFFF"/>
      <w:spacing w:before="280" w:after="280"/>
      <w:jc w:val="center"/>
    </w:pPr>
    <w:rPr>
      <w:rFonts w:ascii="宋体" w:hAnsi="Calibri"/>
      <w:b/>
      <w:kern w:val="0"/>
      <w:sz w:val="20"/>
      <w:szCs w:val="20"/>
    </w:rPr>
  </w:style>
  <w:style w:type="paragraph" w:customStyle="1" w:styleId="420">
    <w:name w:val="xl107"/>
    <w:basedOn w:val="1"/>
    <w:next w:val="421"/>
    <w:qFormat/>
    <w:uiPriority w:val="0"/>
    <w:pPr>
      <w:widowControl/>
      <w:shd w:val="clear" w:color="000000" w:fill="FFFFFF"/>
      <w:spacing w:before="280" w:after="280"/>
    </w:pPr>
    <w:rPr>
      <w:rFonts w:ascii="宋体" w:hAnsi="Calibri"/>
      <w:kern w:val="0"/>
      <w:sz w:val="20"/>
      <w:szCs w:val="20"/>
    </w:rPr>
  </w:style>
  <w:style w:type="paragraph" w:customStyle="1" w:styleId="421">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2">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3">
    <w:name w:val="xl90"/>
    <w:basedOn w:val="1"/>
    <w:next w:val="225"/>
    <w:qFormat/>
    <w:uiPriority w:val="0"/>
    <w:pPr>
      <w:widowControl/>
      <w:shd w:val="clear" w:color="000000" w:fill="FFFFFF"/>
      <w:spacing w:before="280" w:after="280"/>
    </w:pPr>
    <w:rPr>
      <w:rFonts w:ascii="宋体" w:hAnsi="Calibri"/>
      <w:kern w:val="0"/>
      <w:sz w:val="18"/>
      <w:szCs w:val="20"/>
    </w:rPr>
  </w:style>
  <w:style w:type="paragraph" w:customStyle="1" w:styleId="424">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5">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6">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7">
    <w:name w:val="xl117"/>
    <w:basedOn w:val="1"/>
    <w:next w:val="324"/>
    <w:qFormat/>
    <w:uiPriority w:val="0"/>
    <w:pPr>
      <w:widowControl/>
      <w:shd w:val="clear" w:color="000000" w:fill="FFFFFF"/>
      <w:spacing w:before="280" w:after="280"/>
      <w:jc w:val="center"/>
    </w:pPr>
    <w:rPr>
      <w:rFonts w:ascii="Arial Narrow" w:hAnsi="Calibri"/>
      <w:kern w:val="0"/>
      <w:sz w:val="24"/>
      <w:szCs w:val="20"/>
    </w:rPr>
  </w:style>
  <w:style w:type="paragraph" w:customStyle="1" w:styleId="428">
    <w:name w:val="p15"/>
    <w:basedOn w:val="1"/>
    <w:next w:val="249"/>
    <w:qFormat/>
    <w:uiPriority w:val="0"/>
    <w:pPr>
      <w:widowControl/>
      <w:ind w:firstLine="420"/>
    </w:pPr>
    <w:rPr>
      <w:rFonts w:hAnsi="Calibri"/>
      <w:kern w:val="0"/>
      <w:szCs w:val="20"/>
    </w:rPr>
  </w:style>
  <w:style w:type="paragraph" w:customStyle="1" w:styleId="429">
    <w:name w:val="xl87"/>
    <w:basedOn w:val="1"/>
    <w:next w:val="430"/>
    <w:qFormat/>
    <w:uiPriority w:val="0"/>
    <w:pPr>
      <w:widowControl/>
      <w:shd w:val="clear" w:color="000000" w:fill="FFFFFF"/>
      <w:spacing w:before="280" w:after="280"/>
    </w:pPr>
    <w:rPr>
      <w:rFonts w:ascii="Arial" w:hAnsi="Calibri"/>
      <w:kern w:val="0"/>
      <w:sz w:val="18"/>
      <w:szCs w:val="20"/>
    </w:rPr>
  </w:style>
  <w:style w:type="paragraph" w:customStyle="1" w:styleId="430">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1">
    <w:name w:val="列出段落7"/>
    <w:basedOn w:val="1"/>
    <w:next w:val="413"/>
    <w:qFormat/>
    <w:uiPriority w:val="0"/>
    <w:pPr>
      <w:ind w:firstLine="420"/>
    </w:pPr>
    <w:rPr>
      <w:rFonts w:hAnsi="Calibri"/>
      <w:kern w:val="0"/>
      <w:szCs w:val="20"/>
    </w:rPr>
  </w:style>
  <w:style w:type="paragraph" w:customStyle="1" w:styleId="432">
    <w:name w:val="xl78"/>
    <w:basedOn w:val="1"/>
    <w:next w:val="403"/>
    <w:qFormat/>
    <w:uiPriority w:val="0"/>
    <w:pPr>
      <w:widowControl/>
      <w:shd w:val="clear" w:color="000000" w:fill="FFFFFF"/>
      <w:spacing w:before="280" w:after="280"/>
    </w:pPr>
    <w:rPr>
      <w:rFonts w:ascii="宋体" w:hAnsi="Calibri"/>
      <w:b/>
      <w:kern w:val="0"/>
      <w:sz w:val="20"/>
      <w:szCs w:val="20"/>
    </w:rPr>
  </w:style>
  <w:style w:type="paragraph" w:customStyle="1" w:styleId="433">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4">
    <w:name w:val="xl89"/>
    <w:basedOn w:val="1"/>
    <w:next w:val="368"/>
    <w:qFormat/>
    <w:uiPriority w:val="0"/>
    <w:pPr>
      <w:widowControl/>
      <w:shd w:val="clear" w:color="000000" w:fill="FFFFFF"/>
      <w:spacing w:before="280" w:after="280"/>
    </w:pPr>
    <w:rPr>
      <w:rFonts w:ascii="宋体" w:hAnsi="Calibri"/>
      <w:kern w:val="0"/>
      <w:sz w:val="20"/>
      <w:szCs w:val="20"/>
    </w:rPr>
  </w:style>
  <w:style w:type="paragraph" w:customStyle="1" w:styleId="435">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6">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7">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8">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9">
    <w:name w:val="toc 16"/>
    <w:next w:val="1"/>
    <w:qFormat/>
    <w:uiPriority w:val="0"/>
    <w:pPr>
      <w:wordWrap w:val="0"/>
      <w:jc w:val="both"/>
    </w:pPr>
    <w:rPr>
      <w:rFonts w:ascii="Calibri" w:hAnsi="Calibri" w:eastAsia="宋体" w:cs="Times New Roman"/>
      <w:sz w:val="21"/>
      <w:lang w:val="en-US" w:eastAsia="zh-CN" w:bidi="ar-SA"/>
    </w:rPr>
  </w:style>
  <w:style w:type="paragraph" w:styleId="440">
    <w:name w:val="Quote"/>
    <w:next w:val="1"/>
    <w:link w:val="441"/>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1">
    <w:name w:val="引用 Char"/>
    <w:basedOn w:val="47"/>
    <w:link w:val="440"/>
    <w:qFormat/>
    <w:uiPriority w:val="0"/>
    <w:rPr>
      <w:rFonts w:ascii="Calibri" w:hAnsi="Calibri"/>
      <w:i/>
      <w:sz w:val="21"/>
    </w:rPr>
  </w:style>
  <w:style w:type="paragraph" w:customStyle="1" w:styleId="442">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3">
    <w:name w:val="xl119"/>
    <w:basedOn w:val="1"/>
    <w:next w:val="418"/>
    <w:qFormat/>
    <w:uiPriority w:val="0"/>
    <w:pPr>
      <w:widowControl/>
      <w:shd w:val="clear" w:color="000000" w:fill="FFFFFF"/>
      <w:spacing w:before="280" w:after="280"/>
      <w:jc w:val="center"/>
    </w:pPr>
    <w:rPr>
      <w:rFonts w:ascii="宋体" w:hAnsi="Calibri"/>
      <w:b/>
      <w:kern w:val="0"/>
      <w:sz w:val="20"/>
      <w:szCs w:val="20"/>
    </w:rPr>
  </w:style>
  <w:style w:type="paragraph" w:customStyle="1" w:styleId="444">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5">
    <w:name w:val="xl109"/>
    <w:basedOn w:val="1"/>
    <w:next w:val="391"/>
    <w:qFormat/>
    <w:uiPriority w:val="0"/>
    <w:pPr>
      <w:widowControl/>
      <w:shd w:val="clear" w:color="000000" w:fill="FFFFFF"/>
      <w:spacing w:before="280" w:after="280"/>
    </w:pPr>
    <w:rPr>
      <w:rFonts w:ascii="宋体" w:hAnsi="Calibri"/>
      <w:kern w:val="0"/>
      <w:sz w:val="20"/>
      <w:szCs w:val="20"/>
    </w:rPr>
  </w:style>
  <w:style w:type="paragraph" w:customStyle="1" w:styleId="446">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7">
    <w:name w:val="xl76"/>
    <w:basedOn w:val="1"/>
    <w:next w:val="399"/>
    <w:qFormat/>
    <w:uiPriority w:val="0"/>
    <w:pPr>
      <w:widowControl/>
      <w:shd w:val="clear" w:color="000000" w:fill="FFFFFF"/>
      <w:spacing w:before="280" w:after="280"/>
      <w:jc w:val="center"/>
    </w:pPr>
    <w:rPr>
      <w:rFonts w:ascii="宋体" w:hAnsi="Calibri"/>
      <w:b/>
      <w:kern w:val="0"/>
      <w:sz w:val="20"/>
      <w:szCs w:val="20"/>
    </w:rPr>
  </w:style>
  <w:style w:type="paragraph" w:customStyle="1" w:styleId="448">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9">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50">
    <w:name w:val="xl70"/>
    <w:basedOn w:val="1"/>
    <w:next w:val="376"/>
    <w:qFormat/>
    <w:uiPriority w:val="0"/>
    <w:pPr>
      <w:widowControl/>
      <w:shd w:val="clear" w:color="000000" w:fill="FFFFFF"/>
      <w:spacing w:before="280" w:after="280"/>
    </w:pPr>
    <w:rPr>
      <w:rFonts w:ascii="宋体" w:hAnsi="Calibri"/>
      <w:kern w:val="0"/>
      <w:sz w:val="20"/>
      <w:szCs w:val="20"/>
    </w:rPr>
  </w:style>
  <w:style w:type="paragraph" w:customStyle="1" w:styleId="451">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2">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3">
    <w:name w:val="xl98"/>
    <w:basedOn w:val="1"/>
    <w:next w:val="394"/>
    <w:qFormat/>
    <w:uiPriority w:val="0"/>
    <w:pPr>
      <w:widowControl/>
      <w:shd w:val="clear" w:color="000000" w:fill="FFFFFF"/>
      <w:spacing w:before="280" w:after="280"/>
      <w:jc w:val="center"/>
    </w:pPr>
    <w:rPr>
      <w:rFonts w:ascii="宋体" w:hAnsi="Calibri"/>
      <w:kern w:val="0"/>
      <w:sz w:val="20"/>
      <w:szCs w:val="20"/>
    </w:rPr>
  </w:style>
  <w:style w:type="paragraph" w:customStyle="1" w:styleId="454">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5">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6">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7">
    <w:name w:val="xl101"/>
    <w:basedOn w:val="1"/>
    <w:next w:val="425"/>
    <w:qFormat/>
    <w:uiPriority w:val="0"/>
    <w:pPr>
      <w:widowControl/>
      <w:spacing w:before="280" w:after="280"/>
    </w:pPr>
    <w:rPr>
      <w:rFonts w:ascii="宋体" w:hAnsi="Calibri"/>
      <w:kern w:val="0"/>
      <w:sz w:val="20"/>
      <w:szCs w:val="20"/>
    </w:rPr>
  </w:style>
  <w:style w:type="paragraph" w:customStyle="1" w:styleId="458">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9">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60">
    <w:name w:val="Intense Quote"/>
    <w:next w:val="1"/>
    <w:link w:val="461"/>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1">
    <w:name w:val="明显引用 Char"/>
    <w:basedOn w:val="47"/>
    <w:link w:val="460"/>
    <w:qFormat/>
    <w:uiPriority w:val="0"/>
    <w:rPr>
      <w:rFonts w:ascii="Calibri" w:hAnsi="Calibri"/>
      <w:i/>
      <w:sz w:val="21"/>
    </w:rPr>
  </w:style>
  <w:style w:type="paragraph" w:customStyle="1" w:styleId="462">
    <w:name w:val="Char Char Char Char Char Char Char"/>
    <w:basedOn w:val="1"/>
    <w:next w:val="446"/>
    <w:qFormat/>
    <w:uiPriority w:val="0"/>
    <w:pPr>
      <w:widowControl/>
      <w:spacing w:after="160" w:line="240" w:lineRule="exact"/>
    </w:pPr>
    <w:rPr>
      <w:rFonts w:hAnsi="Calibri"/>
      <w:kern w:val="0"/>
      <w:szCs w:val="20"/>
    </w:rPr>
  </w:style>
  <w:style w:type="paragraph" w:customStyle="1" w:styleId="463">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4">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5">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6">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7">
    <w:name w:val="xl64"/>
    <w:basedOn w:val="1"/>
    <w:next w:val="442"/>
    <w:qFormat/>
    <w:uiPriority w:val="0"/>
    <w:pPr>
      <w:widowControl/>
      <w:shd w:val="clear" w:color="000000" w:fill="FFFFFF"/>
      <w:spacing w:before="280" w:after="280"/>
    </w:pPr>
    <w:rPr>
      <w:rFonts w:ascii="宋体" w:hAnsi="Calibri"/>
      <w:kern w:val="0"/>
      <w:sz w:val="20"/>
      <w:szCs w:val="20"/>
    </w:rPr>
  </w:style>
  <w:style w:type="paragraph" w:customStyle="1" w:styleId="468">
    <w:name w:val="xl82"/>
    <w:basedOn w:val="1"/>
    <w:next w:val="287"/>
    <w:qFormat/>
    <w:uiPriority w:val="0"/>
    <w:pPr>
      <w:widowControl/>
      <w:shd w:val="clear" w:color="000000" w:fill="FFFFFF"/>
      <w:spacing w:before="280" w:after="280"/>
    </w:pPr>
    <w:rPr>
      <w:rFonts w:ascii="宋体" w:hAnsi="Calibri"/>
      <w:kern w:val="0"/>
      <w:sz w:val="20"/>
      <w:szCs w:val="20"/>
    </w:rPr>
  </w:style>
  <w:style w:type="paragraph" w:customStyle="1" w:styleId="469">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70">
    <w:name w:val="xl77"/>
    <w:basedOn w:val="1"/>
    <w:next w:val="435"/>
    <w:qFormat/>
    <w:uiPriority w:val="0"/>
    <w:pPr>
      <w:widowControl/>
      <w:shd w:val="clear" w:color="000000" w:fill="FFFFFF"/>
      <w:spacing w:before="280" w:after="280"/>
      <w:jc w:val="center"/>
    </w:pPr>
    <w:rPr>
      <w:rFonts w:ascii="宋体" w:hAnsi="Calibri"/>
      <w:kern w:val="0"/>
      <w:sz w:val="20"/>
      <w:szCs w:val="20"/>
    </w:rPr>
  </w:style>
  <w:style w:type="character" w:customStyle="1" w:styleId="471">
    <w:name w:val="正文缩进 Char1"/>
    <w:qFormat/>
    <w:uiPriority w:val="0"/>
    <w:rPr>
      <w:rFonts w:eastAsia="宋体"/>
      <w:kern w:val="2"/>
      <w:sz w:val="21"/>
      <w:lang w:val="en-US" w:eastAsia="zh-CN" w:bidi="ar-SA"/>
    </w:rPr>
  </w:style>
  <w:style w:type="character" w:customStyle="1" w:styleId="472">
    <w:name w:val="fielderror"/>
    <w:basedOn w:val="47"/>
    <w:qFormat/>
    <w:uiPriority w:val="0"/>
    <w:rPr>
      <w:color w:val="800000"/>
    </w:rPr>
  </w:style>
  <w:style w:type="character" w:customStyle="1" w:styleId="473">
    <w:name w:val="hilite6"/>
    <w:basedOn w:val="47"/>
    <w:qFormat/>
    <w:uiPriority w:val="0"/>
    <w:rPr>
      <w:color w:val="000000"/>
    </w:rPr>
  </w:style>
  <w:style w:type="character" w:customStyle="1" w:styleId="474">
    <w:name w:val="active6"/>
    <w:basedOn w:val="47"/>
    <w:qFormat/>
    <w:uiPriority w:val="0"/>
    <w:rPr>
      <w:color w:val="FFFFFF"/>
    </w:rPr>
  </w:style>
  <w:style w:type="character" w:customStyle="1" w:styleId="475">
    <w:name w:val="inline-help"/>
    <w:basedOn w:val="47"/>
    <w:qFormat/>
    <w:uiPriority w:val="0"/>
  </w:style>
  <w:style w:type="character" w:customStyle="1" w:styleId="476">
    <w:name w:val="active"/>
    <w:basedOn w:val="47"/>
    <w:qFormat/>
    <w:uiPriority w:val="0"/>
    <w:rPr>
      <w:color w:val="FFFFFF"/>
    </w:rPr>
  </w:style>
  <w:style w:type="table" w:customStyle="1" w:styleId="477">
    <w:name w:val="网格型1"/>
    <w:basedOn w:val="4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79">
    <w:name w:val="font51"/>
    <w:qFormat/>
    <w:uiPriority w:val="0"/>
    <w:rPr>
      <w:rFonts w:hint="eastAsia" w:ascii="宋体" w:hAnsi="宋体" w:eastAsia="宋体" w:cs="宋体"/>
      <w:color w:val="000000"/>
      <w:sz w:val="21"/>
      <w:szCs w:val="21"/>
      <w:u w:val="none"/>
    </w:rPr>
  </w:style>
  <w:style w:type="paragraph" w:customStyle="1" w:styleId="480">
    <w:name w:val="K&amp;W heading 2"/>
    <w:basedOn w:val="1"/>
    <w:next w:val="1"/>
    <w:qFormat/>
    <w:uiPriority w:val="0"/>
    <w:pPr>
      <w:numPr>
        <w:ilvl w:val="1"/>
        <w:numId w:val="7"/>
      </w:numPr>
      <w:spacing w:after="360" w:line="320" w:lineRule="exact"/>
      <w:outlineLvl w:val="1"/>
    </w:pPr>
    <w:rPr>
      <w:rFonts w:ascii="Arial" w:hAnsi="Arial" w:eastAsia="楷体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56335</Words>
  <Characters>59058</Characters>
  <Lines>368</Lines>
  <Paragraphs>103</Paragraphs>
  <TotalTime>7</TotalTime>
  <ScaleCrop>false</ScaleCrop>
  <LinksUpToDate>false</LinksUpToDate>
  <CharactersWithSpaces>63937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2021-05-07T05:47:00Z</dcterms:created>
  <dc:creator>thsware</dc:creator>
  <cp:lastModifiedBy>MusicTing</cp:lastModifiedBy>
  <cp:lastPrinted>2021-05-16T11:04:00Z</cp:lastPrinted>
  <dcterms:modified xsi:type="dcterms:W3CDTF">2025-03-05T08:26:18Z</dcterms:modified>
  <dc:title>招  标　文　件</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17784158DEBF44939F0F4F0B13500CAD</vt:lpwstr>
  </property>
  <property fmtid="{D5CDD505-2E9C-101B-9397-08002B2CF9AE}" pid="4" name="KSOTemplateDocerSaveRecord">
    <vt:lpwstr>eyJoZGlkIjoiMDM0NGY0NDBmODc1YThhYTg4NzJhY2VhYWI1NTQwZTUiLCJ1c2VySWQiOiI1MTYzMzQ1MjUifQ==</vt:lpwstr>
  </property>
</Properties>
</file>