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88F05">
      <w:pPr>
        <w:ind w:firstLine="3654" w:firstLineChars="1300"/>
        <w:rPr>
          <w:rFonts w:hint="eastAsia" w:ascii="宋体" w:hAnsi="宋体"/>
          <w:color w:val="FF0000"/>
          <w:szCs w:val="21"/>
        </w:rPr>
      </w:pPr>
      <w:r>
        <w:rPr>
          <w:rFonts w:hint="eastAsia" w:ascii="宋体" w:hAnsi="宋体" w:eastAsia="黑体"/>
          <w:b/>
          <w:bCs/>
          <w:color w:val="FF0000"/>
          <w:kern w:val="44"/>
          <w:sz w:val="28"/>
          <w:szCs w:val="44"/>
        </w:rPr>
        <w:t>特别警示条款</w:t>
      </w:r>
    </w:p>
    <w:p w14:paraId="44B5C72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240" w:afterLines="100" w:afterAutospacing="0" w:line="400" w:lineRule="exact"/>
        <w:ind w:left="0" w:right="0" w:firstLine="422" w:firstLineChars="200"/>
        <w:jc w:val="both"/>
        <w:rPr>
          <w:rFonts w:hint="eastAsia"/>
        </w:rPr>
      </w:pPr>
      <w:r>
        <w:rPr>
          <w:rFonts w:hint="eastAsia" w:ascii="宋体" w:hAnsi="宋体" w:eastAsia="宋体" w:cs="宋体"/>
          <w:b/>
          <w:bCs/>
          <w:color w:val="FF0000"/>
          <w:kern w:val="2"/>
          <w:sz w:val="21"/>
          <w:szCs w:val="21"/>
          <w:highlight w:val="yellow"/>
          <w:lang w:eastAsia="zh-CN" w:bidi="ar"/>
        </w:rPr>
        <w:t>本项目为自行采购项目，参照《深圳经济特区政府采购条例》、《深圳经济特区政府采购条例实施细则》及政府采购其他法律法规，按照采购人内控制度，通过公开招标方式确定中标供应商。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369"/>
      </w:tblGrid>
      <w:tr w14:paraId="0E9A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1" w:type="dxa"/>
            <w:tcBorders>
              <w:tl2br w:val="nil"/>
              <w:tr2bl w:val="nil"/>
            </w:tcBorders>
            <w:vAlign w:val="center"/>
          </w:tcPr>
          <w:p w14:paraId="601B1566">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序号</w:t>
            </w:r>
          </w:p>
        </w:tc>
        <w:tc>
          <w:tcPr>
            <w:tcW w:w="8369" w:type="dxa"/>
            <w:tcBorders>
              <w:tl2br w:val="nil"/>
              <w:tr2bl w:val="nil"/>
            </w:tcBorders>
            <w:vAlign w:val="center"/>
          </w:tcPr>
          <w:p w14:paraId="7B8BAA7C">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b/>
                <w:bCs/>
                <w:color w:val="FF0000"/>
                <w:szCs w:val="21"/>
              </w:rPr>
              <w:t>供应商参与投标禁止情形</w:t>
            </w:r>
          </w:p>
        </w:tc>
      </w:tr>
      <w:tr w14:paraId="22EE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tcBorders>
              <w:tl2br w:val="nil"/>
              <w:tr2bl w:val="nil"/>
            </w:tcBorders>
            <w:vAlign w:val="center"/>
          </w:tcPr>
          <w:p w14:paraId="3EDFB022">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1</w:t>
            </w:r>
          </w:p>
        </w:tc>
        <w:tc>
          <w:tcPr>
            <w:tcW w:w="8369" w:type="dxa"/>
            <w:tcBorders>
              <w:tl2br w:val="nil"/>
              <w:tr2bl w:val="nil"/>
            </w:tcBorders>
            <w:vAlign w:val="center"/>
          </w:tcPr>
          <w:p w14:paraId="0895B0CB">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与其他投标供应商的法定代表人、主要经营负责人、投标授权代表人、项目负责人、主要技术人员为</w:t>
            </w:r>
            <w:r>
              <w:rPr>
                <w:rFonts w:hint="eastAsia" w:ascii="宋体" w:hAnsi="宋体" w:eastAsia="宋体" w:cs="宋体"/>
                <w:b/>
                <w:bCs/>
                <w:color w:val="FF0000"/>
                <w:szCs w:val="21"/>
              </w:rPr>
              <w:t>同一人、属同一单位或者在同一单位缴纳社会保险</w:t>
            </w:r>
            <w:r>
              <w:rPr>
                <w:rFonts w:hint="eastAsia" w:ascii="宋体" w:hAnsi="宋体" w:eastAsia="宋体" w:cs="宋体"/>
                <w:color w:val="FF0000"/>
                <w:szCs w:val="21"/>
              </w:rPr>
              <w:t>。</w:t>
            </w:r>
          </w:p>
        </w:tc>
      </w:tr>
      <w:tr w14:paraId="529E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1" w:type="dxa"/>
            <w:tcBorders>
              <w:tl2br w:val="nil"/>
              <w:tr2bl w:val="nil"/>
            </w:tcBorders>
            <w:vAlign w:val="center"/>
          </w:tcPr>
          <w:p w14:paraId="775C893F">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2</w:t>
            </w:r>
          </w:p>
        </w:tc>
        <w:tc>
          <w:tcPr>
            <w:tcW w:w="8369" w:type="dxa"/>
            <w:tcBorders>
              <w:tl2br w:val="nil"/>
              <w:tr2bl w:val="nil"/>
            </w:tcBorders>
            <w:vAlign w:val="center"/>
          </w:tcPr>
          <w:p w14:paraId="3FD0E412">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参与本项目政府采购活动时，与其他投标供应商存在单位负责人为</w:t>
            </w:r>
            <w:r>
              <w:rPr>
                <w:rFonts w:hint="eastAsia" w:ascii="宋体" w:hAnsi="宋体" w:eastAsia="宋体" w:cs="宋体"/>
                <w:b/>
                <w:bCs/>
                <w:color w:val="FF0000"/>
                <w:szCs w:val="21"/>
              </w:rPr>
              <w:t>同一人或直接控股、管理关系</w:t>
            </w:r>
            <w:r>
              <w:rPr>
                <w:rFonts w:hint="eastAsia" w:ascii="宋体" w:hAnsi="宋体" w:eastAsia="宋体" w:cs="宋体"/>
                <w:color w:val="FF0000"/>
                <w:szCs w:val="21"/>
              </w:rPr>
              <w:t>。</w:t>
            </w:r>
          </w:p>
        </w:tc>
      </w:tr>
      <w:tr w14:paraId="48AC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tcBorders>
              <w:tl2br w:val="nil"/>
              <w:tr2bl w:val="nil"/>
            </w:tcBorders>
            <w:vAlign w:val="center"/>
          </w:tcPr>
          <w:p w14:paraId="7299B163">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3</w:t>
            </w:r>
          </w:p>
        </w:tc>
        <w:tc>
          <w:tcPr>
            <w:tcW w:w="8369" w:type="dxa"/>
            <w:tcBorders>
              <w:tl2br w:val="nil"/>
              <w:tr2bl w:val="nil"/>
            </w:tcBorders>
            <w:vAlign w:val="center"/>
          </w:tcPr>
          <w:p w14:paraId="71411B77">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与其他投标供应商的投标文件或部分投标文件</w:t>
            </w:r>
            <w:r>
              <w:rPr>
                <w:rFonts w:hint="eastAsia" w:ascii="宋体" w:hAnsi="宋体" w:eastAsia="宋体" w:cs="宋体"/>
                <w:b/>
                <w:bCs/>
                <w:color w:val="FF0000"/>
                <w:szCs w:val="21"/>
              </w:rPr>
              <w:t>相互混装或存在非正常一致</w:t>
            </w:r>
            <w:r>
              <w:rPr>
                <w:rFonts w:hint="eastAsia" w:ascii="宋体" w:hAnsi="宋体" w:eastAsia="宋体" w:cs="宋体"/>
                <w:color w:val="FF0000"/>
                <w:szCs w:val="21"/>
              </w:rPr>
              <w:t>。</w:t>
            </w:r>
          </w:p>
        </w:tc>
      </w:tr>
      <w:tr w14:paraId="79E1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11" w:type="dxa"/>
            <w:tcBorders>
              <w:tl2br w:val="nil"/>
              <w:tr2bl w:val="nil"/>
            </w:tcBorders>
            <w:vAlign w:val="center"/>
          </w:tcPr>
          <w:p w14:paraId="6311B3D3">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4</w:t>
            </w:r>
          </w:p>
        </w:tc>
        <w:tc>
          <w:tcPr>
            <w:tcW w:w="8369" w:type="dxa"/>
            <w:tcBorders>
              <w:tl2br w:val="nil"/>
              <w:tr2bl w:val="nil"/>
            </w:tcBorders>
            <w:vAlign w:val="center"/>
          </w:tcPr>
          <w:p w14:paraId="0FF65D33">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与其他投标供应商的投标文件由</w:t>
            </w:r>
            <w:r>
              <w:rPr>
                <w:rFonts w:hint="eastAsia" w:ascii="宋体" w:hAnsi="宋体" w:eastAsia="宋体" w:cs="宋体"/>
                <w:b/>
                <w:bCs/>
                <w:color w:val="FF0000"/>
                <w:szCs w:val="21"/>
              </w:rPr>
              <w:t>同一单位或者同一人编制</w:t>
            </w:r>
            <w:r>
              <w:rPr>
                <w:rFonts w:hint="eastAsia" w:ascii="宋体" w:hAnsi="宋体" w:eastAsia="宋体" w:cs="宋体"/>
                <w:color w:val="FF0000"/>
                <w:szCs w:val="21"/>
              </w:rPr>
              <w:t>，或者使用</w:t>
            </w:r>
            <w:r>
              <w:rPr>
                <w:rFonts w:hint="eastAsia" w:ascii="宋体" w:hAnsi="宋体" w:eastAsia="宋体" w:cs="宋体"/>
                <w:b/>
                <w:bCs/>
                <w:color w:val="FF0000"/>
                <w:szCs w:val="21"/>
              </w:rPr>
              <w:t>同一设备编制</w:t>
            </w:r>
            <w:r>
              <w:rPr>
                <w:rFonts w:hint="eastAsia" w:ascii="宋体" w:hAnsi="宋体" w:eastAsia="宋体" w:cs="宋体"/>
                <w:color w:val="FF0000"/>
                <w:szCs w:val="21"/>
              </w:rPr>
              <w:t>（“文件制作机器码”“文件创建标识码”一致）。</w:t>
            </w:r>
          </w:p>
        </w:tc>
      </w:tr>
      <w:tr w14:paraId="66A3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11" w:type="dxa"/>
            <w:tcBorders>
              <w:tl2br w:val="nil"/>
              <w:tr2bl w:val="nil"/>
            </w:tcBorders>
            <w:vAlign w:val="center"/>
          </w:tcPr>
          <w:p w14:paraId="2463976F">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5</w:t>
            </w:r>
          </w:p>
        </w:tc>
        <w:tc>
          <w:tcPr>
            <w:tcW w:w="8369" w:type="dxa"/>
            <w:tcBorders>
              <w:tl2br w:val="nil"/>
              <w:tr2bl w:val="nil"/>
            </w:tcBorders>
            <w:vAlign w:val="center"/>
          </w:tcPr>
          <w:p w14:paraId="6F133304">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提供</w:t>
            </w:r>
            <w:r>
              <w:rPr>
                <w:rFonts w:hint="eastAsia" w:ascii="宋体" w:hAnsi="宋体" w:eastAsia="宋体" w:cs="宋体"/>
                <w:b/>
                <w:bCs/>
                <w:color w:val="FF0000"/>
                <w:szCs w:val="21"/>
              </w:rPr>
              <w:t>未经出具机构核实</w:t>
            </w:r>
            <w:r>
              <w:rPr>
                <w:rFonts w:hint="eastAsia" w:ascii="宋体" w:hAnsi="宋体" w:eastAsia="宋体" w:cs="宋体"/>
                <w:color w:val="FF0000"/>
                <w:szCs w:val="21"/>
              </w:rPr>
              <w:t>的虚假的检验检测报告、业绩材料、社保缴纳证明、学历学位证书、职称认证证书等材料。</w:t>
            </w:r>
          </w:p>
        </w:tc>
      </w:tr>
      <w:tr w14:paraId="67BF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11" w:type="dxa"/>
            <w:tcBorders>
              <w:tl2br w:val="nil"/>
              <w:tr2bl w:val="nil"/>
            </w:tcBorders>
            <w:vAlign w:val="center"/>
          </w:tcPr>
          <w:p w14:paraId="3F00F6DD">
            <w:pPr>
              <w:pBdr>
                <w:top w:val="none" w:color="auto" w:sz="0" w:space="1"/>
                <w:left w:val="none" w:color="auto" w:sz="0" w:space="4"/>
                <w:bottom w:val="none" w:color="auto" w:sz="0" w:space="1"/>
                <w:right w:val="none" w:color="auto" w:sz="0" w:space="4"/>
              </w:pBdr>
              <w:jc w:val="center"/>
              <w:rPr>
                <w:rFonts w:hint="eastAsia" w:ascii="宋体" w:hAnsi="宋体" w:eastAsia="宋体" w:cs="宋体"/>
                <w:color w:val="FF0000"/>
                <w:szCs w:val="21"/>
              </w:rPr>
            </w:pPr>
            <w:r>
              <w:rPr>
                <w:rFonts w:hint="eastAsia" w:ascii="宋体" w:hAnsi="宋体" w:eastAsia="宋体" w:cs="宋体"/>
                <w:color w:val="FF0000"/>
                <w:szCs w:val="21"/>
              </w:rPr>
              <w:t>6</w:t>
            </w:r>
          </w:p>
        </w:tc>
        <w:tc>
          <w:tcPr>
            <w:tcW w:w="8369" w:type="dxa"/>
            <w:tcBorders>
              <w:tl2br w:val="nil"/>
              <w:tr2bl w:val="nil"/>
            </w:tcBorders>
            <w:vAlign w:val="center"/>
          </w:tcPr>
          <w:p w14:paraId="42D5A496">
            <w:pPr>
              <w:pBdr>
                <w:top w:val="none" w:color="auto" w:sz="0" w:space="1"/>
                <w:left w:val="none" w:color="auto" w:sz="0" w:space="4"/>
                <w:bottom w:val="none" w:color="auto" w:sz="0" w:space="1"/>
                <w:right w:val="none" w:color="auto" w:sz="0" w:space="4"/>
              </w:pBdr>
              <w:jc w:val="left"/>
              <w:rPr>
                <w:rFonts w:hint="eastAsia" w:ascii="宋体" w:hAnsi="宋体" w:eastAsia="宋体" w:cs="宋体"/>
                <w:color w:val="FF0000"/>
                <w:szCs w:val="21"/>
              </w:rPr>
            </w:pPr>
            <w:r>
              <w:rPr>
                <w:rFonts w:hint="eastAsia" w:ascii="宋体" w:hAnsi="宋体" w:eastAsia="宋体" w:cs="宋体"/>
                <w:color w:val="FF0000"/>
                <w:szCs w:val="21"/>
              </w:rPr>
              <w:t>擅自将投标密钥或电子营业执照出借他人使用或未妥善保管。</w:t>
            </w:r>
          </w:p>
        </w:tc>
      </w:tr>
    </w:tbl>
    <w:p w14:paraId="2F7048B3">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p>
    <w:p w14:paraId="7B2A6DDB">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一、</w:t>
      </w:r>
      <w:r>
        <w:rPr>
          <w:rFonts w:hint="eastAsia" w:ascii="宋体" w:hAnsi="宋体"/>
          <w:b/>
          <w:bCs/>
          <w:color w:val="FF0000"/>
          <w:sz w:val="20"/>
          <w:szCs w:val="20"/>
        </w:rPr>
        <w:t>《深圳经济特区政府采购条例》第五十七条</w:t>
      </w:r>
      <w:r>
        <w:rPr>
          <w:rFonts w:hint="eastAsia" w:ascii="宋体" w:hAnsi="宋体"/>
          <w:color w:val="FF0000"/>
          <w:sz w:val="20"/>
          <w:szCs w:val="20"/>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A460092">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（一）在采购活动中应当回避而未回避的；</w:t>
      </w:r>
    </w:p>
    <w:p w14:paraId="48A3ACC5">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（二）未按本条例规定签订、履行采购合同，造成严重后果的；</w:t>
      </w:r>
    </w:p>
    <w:p w14:paraId="769BAFD0">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（三）隐瞒真实情况，提供虚假资料的；</w:t>
      </w:r>
    </w:p>
    <w:p w14:paraId="37561AD6">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（四）以非法手段排斥其他供应商参与竞争的；</w:t>
      </w:r>
    </w:p>
    <w:p w14:paraId="23E0A729">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（五）与其他采购参加人串通投标的；</w:t>
      </w:r>
    </w:p>
    <w:p w14:paraId="697F27A8">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（六）恶意投诉的；</w:t>
      </w:r>
    </w:p>
    <w:p w14:paraId="1891D375">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（七）向采购项目相关人行贿或者提供其他不当利益的；</w:t>
      </w:r>
    </w:p>
    <w:p w14:paraId="35DC9AFA">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（八）阻碍、抗拒主管部门监督检查的；</w:t>
      </w:r>
    </w:p>
    <w:p w14:paraId="13D1E96B">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（九）其他违反本条例规定的行为。</w:t>
      </w:r>
    </w:p>
    <w:p w14:paraId="4AE6880D">
      <w:pPr>
        <w:pBdr>
          <w:top w:val="none" w:color="auto" w:sz="0" w:space="1"/>
          <w:left w:val="none" w:color="auto" w:sz="0" w:space="4"/>
          <w:bottom w:val="none" w:color="auto" w:sz="0" w:space="1"/>
          <w:right w:val="none" w:color="auto" w:sz="0" w:space="4"/>
        </w:pBdr>
        <w:ind w:firstLine="402" w:firstLineChars="200"/>
        <w:rPr>
          <w:rFonts w:hint="eastAsia" w:ascii="宋体" w:hAnsi="宋体"/>
          <w:color w:val="FF0000"/>
          <w:sz w:val="20"/>
          <w:szCs w:val="20"/>
        </w:rPr>
      </w:pPr>
      <w:r>
        <w:rPr>
          <w:rFonts w:hint="eastAsia" w:ascii="宋体" w:hAnsi="宋体"/>
          <w:b/>
          <w:bCs/>
          <w:color w:val="FF0000"/>
          <w:sz w:val="20"/>
          <w:szCs w:val="20"/>
        </w:rPr>
        <w:t xml:space="preserve">二、《深圳经济特区政府采购条例实施细则》第七十五条 </w:t>
      </w:r>
      <w:r>
        <w:rPr>
          <w:rFonts w:hint="eastAsia" w:ascii="宋体" w:hAnsi="宋体"/>
          <w:color w:val="FF0000"/>
          <w:sz w:val="20"/>
          <w:szCs w:val="20"/>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6D44B99">
      <w:pPr>
        <w:pBdr>
          <w:top w:val="none" w:color="auto" w:sz="0" w:space="1"/>
          <w:left w:val="none" w:color="auto" w:sz="0" w:space="4"/>
          <w:bottom w:val="none" w:color="auto" w:sz="0" w:space="1"/>
          <w:right w:val="none" w:color="auto" w:sz="0" w:space="4"/>
        </w:pBdr>
        <w:ind w:firstLine="402" w:firstLineChars="200"/>
        <w:rPr>
          <w:rFonts w:hint="eastAsia" w:ascii="宋体" w:hAnsi="宋体"/>
          <w:color w:val="FF0000"/>
          <w:sz w:val="20"/>
          <w:szCs w:val="20"/>
        </w:rPr>
      </w:pPr>
      <w:r>
        <w:rPr>
          <w:rFonts w:hint="eastAsia" w:ascii="宋体" w:hAnsi="宋体"/>
          <w:b/>
          <w:bCs/>
          <w:color w:val="FF0000"/>
          <w:sz w:val="20"/>
          <w:szCs w:val="20"/>
        </w:rPr>
        <w:t xml:space="preserve">三、《深圳经济特区政府采购条例实施细则》第七十七条 </w:t>
      </w:r>
      <w:r>
        <w:rPr>
          <w:rFonts w:hint="eastAsia" w:ascii="宋体" w:hAnsi="宋体"/>
          <w:color w:val="FF0000"/>
          <w:sz w:val="20"/>
          <w:szCs w:val="20"/>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677AFB78">
      <w:pPr>
        <w:pBdr>
          <w:top w:val="none" w:color="auto" w:sz="0" w:space="1"/>
          <w:left w:val="none" w:color="auto" w:sz="0" w:space="4"/>
          <w:bottom w:val="none" w:color="auto" w:sz="0" w:space="1"/>
          <w:right w:val="none" w:color="auto" w:sz="0" w:space="4"/>
        </w:pBdr>
        <w:ind w:firstLine="400" w:firstLineChars="200"/>
        <w:rPr>
          <w:rFonts w:hint="eastAsia" w:ascii="宋体" w:hAnsi="宋体"/>
          <w:color w:val="FF0000"/>
          <w:sz w:val="20"/>
          <w:szCs w:val="20"/>
        </w:rPr>
      </w:pPr>
      <w:r>
        <w:rPr>
          <w:rFonts w:hint="eastAsia" w:ascii="宋体" w:hAnsi="宋体"/>
          <w:color w:val="FF0000"/>
          <w:sz w:val="20"/>
          <w:szCs w:val="20"/>
        </w:rPr>
        <w:t>投标供应商不能提供项目负责人或者主要技术人员的劳动合同、社会保险等劳动关系证明材料的，视为存在前款第（三）项规定的情形。</w:t>
      </w:r>
    </w:p>
    <w:p w14:paraId="4EF2186D">
      <w:pPr>
        <w:pBdr>
          <w:top w:val="none" w:color="auto" w:sz="0" w:space="1"/>
          <w:left w:val="none" w:color="auto" w:sz="0" w:space="4"/>
          <w:bottom w:val="none" w:color="auto" w:sz="0" w:space="1"/>
          <w:right w:val="none" w:color="auto" w:sz="0" w:space="4"/>
        </w:pBdr>
        <w:ind w:firstLine="400" w:firstLineChars="200"/>
        <w:rPr>
          <w:bCs/>
          <w:color w:val="FF0000"/>
          <w:sz w:val="20"/>
          <w:szCs w:val="20"/>
        </w:rPr>
      </w:pPr>
      <w:r>
        <w:rPr>
          <w:rFonts w:hint="eastAsia"/>
          <w:bCs/>
          <w:color w:val="FF0000"/>
          <w:sz w:val="20"/>
          <w:szCs w:val="20"/>
        </w:rPr>
        <w:t>四</w:t>
      </w:r>
      <w:r>
        <w:rPr>
          <w:rFonts w:hint="eastAsia" w:ascii="Times New Roman" w:eastAsia="宋体"/>
          <w:bCs/>
          <w:color w:val="FF0000"/>
          <w:sz w:val="20"/>
          <w:szCs w:val="20"/>
        </w:rPr>
        <w:t>、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58C37C87">
      <w:pPr>
        <w:pBdr>
          <w:top w:val="none" w:color="auto" w:sz="0" w:space="1"/>
          <w:left w:val="none" w:color="auto" w:sz="0" w:space="4"/>
          <w:bottom w:val="none" w:color="auto" w:sz="0" w:space="1"/>
          <w:right w:val="none" w:color="auto" w:sz="0" w:space="4"/>
        </w:pBdr>
        <w:ind w:firstLine="400" w:firstLineChars="200"/>
        <w:rPr>
          <w:bCs/>
          <w:color w:val="FF0000"/>
          <w:sz w:val="20"/>
          <w:szCs w:val="20"/>
        </w:rPr>
      </w:pPr>
      <w:r>
        <w:rPr>
          <w:rFonts w:hint="eastAsia" w:ascii="Times New Roman" w:eastAsia="宋体"/>
          <w:bCs/>
          <w:color w:val="FF0000"/>
          <w:sz w:val="20"/>
          <w:szCs w:val="20"/>
        </w:rPr>
        <w:t>为避免出现不同供应商投标文件的文件制作机器码、文件创建标识码、IP地址一致的异常情况，建议各供应商编制、上传投标文件时不要使用公共电脑设备或公共网络。</w:t>
      </w:r>
    </w:p>
    <w:p w14:paraId="1127FABA">
      <w:pPr>
        <w:pBdr>
          <w:top w:val="none" w:color="auto" w:sz="0" w:space="1"/>
          <w:left w:val="none" w:color="auto" w:sz="0" w:space="4"/>
          <w:bottom w:val="none" w:color="auto" w:sz="0" w:space="1"/>
          <w:right w:val="none" w:color="auto" w:sz="0" w:space="4"/>
        </w:pBdr>
        <w:ind w:firstLine="400" w:firstLineChars="200"/>
        <w:rPr>
          <w:rFonts w:ascii="Times New Roman" w:eastAsia="宋体"/>
          <w:bCs/>
          <w:color w:val="FF0000"/>
          <w:sz w:val="20"/>
          <w:szCs w:val="20"/>
        </w:rPr>
      </w:pPr>
      <w:r>
        <w:rPr>
          <w:rFonts w:hint="eastAsia" w:ascii="Times New Roman" w:eastAsia="宋体"/>
          <w:bCs/>
          <w:color w:val="FF0000"/>
          <w:sz w:val="20"/>
          <w:szCs w:val="20"/>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color w:val="FF0000"/>
          <w:sz w:val="20"/>
          <w:szCs w:val="20"/>
        </w:rPr>
        <w:t>取消参与本市政府采购资格</w:t>
      </w:r>
      <w:r>
        <w:rPr>
          <w:rFonts w:hint="eastAsia" w:hAnsi="宋体"/>
          <w:color w:val="FF0000"/>
          <w:sz w:val="20"/>
          <w:szCs w:val="20"/>
        </w:rPr>
        <w:t>、</w:t>
      </w:r>
      <w:r>
        <w:rPr>
          <w:rFonts w:hint="eastAsia" w:ascii="宋体" w:hAnsi="宋体"/>
          <w:color w:val="FF0000"/>
          <w:sz w:val="20"/>
          <w:szCs w:val="20"/>
        </w:rPr>
        <w:t>依法吊销其营业</w:t>
      </w:r>
      <w:r>
        <w:rPr>
          <w:rFonts w:hint="eastAsia" w:hAnsi="宋体"/>
          <w:color w:val="FF0000"/>
          <w:sz w:val="20"/>
          <w:szCs w:val="20"/>
        </w:rPr>
        <w:t>执照等行政处罚，</w:t>
      </w:r>
      <w:r>
        <w:rPr>
          <w:rFonts w:hint="eastAsia" w:ascii="宋体" w:hAnsi="宋体"/>
          <w:color w:val="FF0000"/>
          <w:sz w:val="20"/>
          <w:szCs w:val="20"/>
        </w:rPr>
        <w:t>构成犯罪的，依法追究刑事责任</w:t>
      </w:r>
      <w:r>
        <w:rPr>
          <w:rFonts w:hint="eastAsia" w:ascii="Times New Roman" w:eastAsia="宋体"/>
          <w:bCs/>
          <w:color w:val="FF0000"/>
          <w:sz w:val="20"/>
          <w:szCs w:val="20"/>
        </w:rPr>
        <w:t>，请各供应商独立编制、上传投标文件，妥善保管和使用电子秘钥。</w:t>
      </w:r>
    </w:p>
    <w:p w14:paraId="188476ED">
      <w:pPr>
        <w:pBdr>
          <w:top w:val="none" w:color="auto" w:sz="0" w:space="1"/>
          <w:left w:val="none" w:color="auto" w:sz="0" w:space="4"/>
          <w:bottom w:val="none" w:color="auto" w:sz="0" w:space="1"/>
          <w:right w:val="none" w:color="auto" w:sz="0" w:space="4"/>
        </w:pBdr>
        <w:ind w:firstLine="422" w:firstLineChars="200"/>
      </w:pPr>
      <w:r>
        <w:rPr>
          <w:rFonts w:hint="eastAsia" w:ascii="Times New Roman" w:eastAsia="宋体"/>
          <w:b/>
          <w:color w:val="FF0000"/>
        </w:rPr>
        <w:t>五</w:t>
      </w:r>
      <w:r>
        <w:rPr>
          <w:rFonts w:hint="eastAsia"/>
          <w:b/>
          <w:color w:val="FF0000"/>
        </w:rPr>
        <w:t>、请投标供应商阅读《采购违法行为风险知悉确认书》（内容详见“投标文件附件（信息不公开部分）”中节点“投标人认为需要加以说明的其他内容（格式自定）”），并经各投标供应商负责人签字并加盖单位公章后，扫描上传至投标文件一并提交。</w:t>
      </w:r>
    </w:p>
    <w:p w14:paraId="34519683">
      <w:pPr>
        <w:pStyle w:val="51"/>
        <w:pBdr>
          <w:top w:val="none" w:color="auto" w:sz="0" w:space="1"/>
          <w:left w:val="none" w:color="auto" w:sz="0" w:space="4"/>
          <w:bottom w:val="none" w:color="auto" w:sz="0" w:space="1"/>
          <w:right w:val="none" w:color="auto" w:sz="0" w:space="4"/>
        </w:pBdr>
        <w:rPr>
          <w:bCs/>
          <w:color w:val="FF0000"/>
          <w:sz w:val="20"/>
          <w:szCs w:val="20"/>
        </w:rPr>
      </w:pPr>
    </w:p>
    <w:p w14:paraId="186A49B0">
      <w:pPr>
        <w:widowControl/>
        <w:pBdr>
          <w:top w:val="none" w:color="auto" w:sz="0" w:space="1"/>
          <w:left w:val="none" w:color="auto" w:sz="0" w:space="4"/>
          <w:bottom w:val="none" w:color="auto" w:sz="0" w:space="1"/>
          <w:right w:val="none" w:color="auto" w:sz="0" w:space="4"/>
        </w:pBdr>
        <w:outlineLvl w:val="1"/>
        <w:rPr>
          <w:rFonts w:ascii="Times New Roman" w:hAnsi="Times New Roman" w:eastAsia="宋体" w:cs="Times New Roman"/>
          <w:b/>
          <w:color w:val="FF0000"/>
          <w:szCs w:val="24"/>
        </w:rPr>
      </w:pPr>
      <w:r>
        <w:rPr>
          <w:rFonts w:hint="eastAsia" w:ascii="Times New Roman" w:hAnsi="Times New Roman" w:eastAsia="宋体" w:cs="Times New Roman"/>
          <w:b/>
          <w:color w:val="FF0000"/>
          <w:szCs w:val="24"/>
        </w:rPr>
        <w:t>注：“特别警示条款”和《采购违法行为风险知悉确认书》用于对供应商违法行为的提醒，不作为供应商资格性审查及符合性审查条件。</w:t>
      </w:r>
    </w:p>
    <w:p w14:paraId="10D6472C">
      <w:pPr>
        <w:widowControl/>
        <w:spacing w:beforeAutospacing="1" w:afterAutospacing="1"/>
        <w:jc w:val="center"/>
        <w:outlineLvl w:val="1"/>
        <w:rPr>
          <w:rFonts w:hint="eastAsia" w:ascii="黑体" w:hAnsi="宋体" w:eastAsia="黑体" w:cs="黑体"/>
          <w:kern w:val="0"/>
          <w:sz w:val="40"/>
          <w:szCs w:val="40"/>
        </w:rPr>
      </w:pPr>
    </w:p>
    <w:p w14:paraId="4798F261">
      <w:pPr>
        <w:widowControl/>
        <w:spacing w:beforeAutospacing="1" w:afterAutospacing="1"/>
        <w:jc w:val="center"/>
        <w:outlineLvl w:val="1"/>
        <w:rPr>
          <w:rFonts w:hint="eastAsia" w:ascii="黑体" w:hAnsi="宋体" w:eastAsia="黑体" w:cs="黑体"/>
          <w:kern w:val="0"/>
          <w:sz w:val="40"/>
          <w:szCs w:val="40"/>
        </w:rPr>
        <w:sectPr>
          <w:headerReference r:id="rId3" w:type="first"/>
          <w:footerReference r:id="rId4" w:type="default"/>
          <w:footerReference r:id="rId5" w:type="even"/>
          <w:pgSz w:w="11907" w:h="16840"/>
          <w:pgMar w:top="1440" w:right="1417" w:bottom="1440" w:left="1417" w:header="851" w:footer="992" w:gutter="0"/>
          <w:cols w:space="425" w:num="1"/>
          <w:titlePg/>
          <w:docGrid w:linePitch="462" w:charSpace="0"/>
        </w:sectPr>
      </w:pPr>
    </w:p>
    <w:p w14:paraId="696EF42F">
      <w:pPr>
        <w:rPr>
          <w:rFonts w:ascii="Times New Roman" w:hAnsi="Times New Roman" w:eastAsia="宋体" w:cs="Times New Roman"/>
          <w:b/>
          <w:bCs/>
          <w:kern w:val="0"/>
          <w:sz w:val="40"/>
          <w:szCs w:val="40"/>
        </w:rPr>
      </w:pPr>
    </w:p>
    <w:p w14:paraId="2B36A868">
      <w:pPr>
        <w:widowControl/>
        <w:spacing w:beforeAutospacing="1" w:afterAutospacing="1"/>
        <w:jc w:val="center"/>
        <w:outlineLvl w:val="1"/>
        <w:rPr>
          <w:rFonts w:hint="eastAsia" w:ascii="黑体" w:hAnsi="宋体" w:eastAsia="黑体" w:cs="黑体"/>
          <w:kern w:val="0"/>
          <w:sz w:val="40"/>
          <w:szCs w:val="40"/>
        </w:rPr>
      </w:pPr>
    </w:p>
    <w:p w14:paraId="04DCCBEC">
      <w:pPr>
        <w:widowControl/>
        <w:spacing w:beforeAutospacing="1" w:afterAutospacing="1"/>
        <w:jc w:val="center"/>
        <w:outlineLvl w:val="1"/>
        <w:rPr>
          <w:rFonts w:hint="eastAsia" w:ascii="黑体" w:hAnsi="宋体" w:eastAsia="黑体" w:cs="黑体"/>
          <w:kern w:val="0"/>
          <w:sz w:val="40"/>
          <w:szCs w:val="40"/>
        </w:rPr>
      </w:pPr>
      <w:r>
        <w:rPr>
          <w:rFonts w:hint="eastAsia" w:ascii="黑体" w:hAnsi="宋体" w:eastAsia="黑体" w:cs="黑体"/>
          <w:kern w:val="0"/>
          <w:sz w:val="40"/>
          <w:szCs w:val="40"/>
        </w:rPr>
        <w:t>招标文件信息</w:t>
      </w:r>
    </w:p>
    <w:tbl>
      <w:tblPr>
        <w:tblStyle w:val="42"/>
        <w:tblW w:w="7943" w:type="dxa"/>
        <w:jc w:val="center"/>
        <w:tblCellSpacing w:w="0" w:type="dxa"/>
        <w:tblLayout w:type="autofit"/>
        <w:tblCellMar>
          <w:top w:w="45" w:type="dxa"/>
          <w:left w:w="45" w:type="dxa"/>
          <w:bottom w:w="45" w:type="dxa"/>
          <w:right w:w="45" w:type="dxa"/>
        </w:tblCellMar>
      </w:tblPr>
      <w:tblGrid>
        <w:gridCol w:w="2723"/>
        <w:gridCol w:w="5220"/>
      </w:tblGrid>
      <w:tr w14:paraId="1BD3ABF8">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8544DA2">
            <w:pPr>
              <w:widowControl/>
              <w:jc w:val="right"/>
              <w:rPr>
                <w:rFonts w:ascii="Times New Roman" w:hAnsi="Times New Roman" w:eastAsia="宋体" w:cs="Times New Roman"/>
                <w:sz w:val="30"/>
                <w:szCs w:val="30"/>
              </w:rPr>
            </w:pPr>
            <w:r>
              <w:rPr>
                <w:rFonts w:ascii="Times New Roman" w:hAnsi="Times New Roman" w:eastAsia="宋体" w:cs="Times New Roman"/>
                <w:kern w:val="0"/>
                <w:sz w:val="30"/>
                <w:szCs w:val="30"/>
              </w:rPr>
              <w:t>项目编号：</w:t>
            </w:r>
          </w:p>
        </w:tc>
        <w:tc>
          <w:tcPr>
            <w:tcW w:w="5220" w:type="dxa"/>
            <w:shd w:val="clear" w:color="auto" w:fill="auto"/>
            <w:vAlign w:val="center"/>
          </w:tcPr>
          <w:p w14:paraId="72D4FB6B">
            <w:pPr>
              <w:widowControl/>
              <w:jc w:val="left"/>
              <w:rPr>
                <w:rFonts w:ascii="Times New Roman" w:hAnsi="Times New Roman" w:eastAsia="宋体" w:cs="Times New Roman"/>
                <w:sz w:val="30"/>
                <w:szCs w:val="30"/>
              </w:rPr>
            </w:pPr>
            <w:r>
              <w:rPr>
                <w:rFonts w:hint="eastAsia" w:ascii="Times New Roman" w:hAnsi="Times New Roman" w:eastAsia="宋体" w:cs="Times New Roman"/>
                <w:sz w:val="30"/>
                <w:szCs w:val="30"/>
              </w:rPr>
              <w:t>SZZXCG-2025-00439</w:t>
            </w:r>
          </w:p>
        </w:tc>
      </w:tr>
      <w:tr w14:paraId="1453A418">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0835995C">
            <w:pPr>
              <w:widowControl/>
              <w:jc w:val="right"/>
              <w:rPr>
                <w:rFonts w:ascii="Times New Roman" w:hAnsi="Times New Roman" w:eastAsia="宋体" w:cs="Times New Roman"/>
                <w:sz w:val="30"/>
                <w:szCs w:val="30"/>
              </w:rPr>
            </w:pPr>
            <w:r>
              <w:rPr>
                <w:rFonts w:ascii="Times New Roman" w:hAnsi="Times New Roman" w:eastAsia="宋体" w:cs="Times New Roman"/>
                <w:kern w:val="0"/>
                <w:sz w:val="30"/>
                <w:szCs w:val="30"/>
              </w:rPr>
              <w:t>项目名称：</w:t>
            </w:r>
          </w:p>
        </w:tc>
        <w:tc>
          <w:tcPr>
            <w:tcW w:w="5220" w:type="dxa"/>
            <w:shd w:val="clear" w:color="auto" w:fill="auto"/>
            <w:vAlign w:val="center"/>
          </w:tcPr>
          <w:p w14:paraId="41F8CE4C">
            <w:pPr>
              <w:widowControl/>
              <w:jc w:val="left"/>
              <w:rPr>
                <w:rFonts w:ascii="Times New Roman" w:hAnsi="Times New Roman" w:eastAsia="宋体" w:cs="Times New Roman"/>
                <w:sz w:val="30"/>
                <w:szCs w:val="30"/>
              </w:rPr>
            </w:pPr>
            <w:r>
              <w:rPr>
                <w:rFonts w:hint="eastAsia" w:ascii="Times New Roman" w:hAnsi="Times New Roman" w:eastAsia="宋体" w:cs="Times New Roman"/>
                <w:sz w:val="30"/>
                <w:szCs w:val="30"/>
              </w:rPr>
              <w:t>深圳市高级中学2025-2026年食堂乳制品类配送采购项目</w:t>
            </w:r>
          </w:p>
        </w:tc>
      </w:tr>
      <w:tr w14:paraId="768FAB58">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1CA89B1E">
            <w:pPr>
              <w:widowControl/>
              <w:jc w:val="right"/>
              <w:rPr>
                <w:rFonts w:ascii="Times New Roman" w:hAnsi="Times New Roman" w:eastAsia="宋体" w:cs="Times New Roman"/>
                <w:sz w:val="30"/>
                <w:szCs w:val="30"/>
              </w:rPr>
            </w:pPr>
            <w:r>
              <w:rPr>
                <w:rFonts w:ascii="Times New Roman" w:hAnsi="Times New Roman" w:eastAsia="宋体" w:cs="Times New Roman"/>
                <w:kern w:val="0"/>
                <w:sz w:val="30"/>
                <w:szCs w:val="30"/>
              </w:rPr>
              <w:t>包 号：</w:t>
            </w:r>
          </w:p>
        </w:tc>
        <w:tc>
          <w:tcPr>
            <w:tcW w:w="5220" w:type="dxa"/>
            <w:shd w:val="clear" w:color="auto" w:fill="auto"/>
            <w:vAlign w:val="center"/>
          </w:tcPr>
          <w:p w14:paraId="160BB35D">
            <w:pPr>
              <w:widowControl/>
              <w:jc w:val="left"/>
              <w:rPr>
                <w:rFonts w:ascii="Times New Roman" w:hAnsi="Times New Roman" w:eastAsia="宋体" w:cs="Times New Roman"/>
                <w:sz w:val="30"/>
                <w:szCs w:val="30"/>
              </w:rPr>
            </w:pPr>
            <w:r>
              <w:rPr>
                <w:rFonts w:hint="eastAsia" w:ascii="Times New Roman" w:hAnsi="Times New Roman" w:eastAsia="宋体" w:cs="Times New Roman"/>
                <w:kern w:val="0"/>
                <w:sz w:val="30"/>
                <w:szCs w:val="30"/>
              </w:rPr>
              <w:t>A</w:t>
            </w:r>
          </w:p>
        </w:tc>
      </w:tr>
      <w:tr w14:paraId="6E583444">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387C29EB">
            <w:pPr>
              <w:widowControl/>
              <w:jc w:val="right"/>
              <w:rPr>
                <w:rFonts w:ascii="Times New Roman" w:hAnsi="Times New Roman" w:eastAsia="宋体" w:cs="Times New Roman"/>
                <w:sz w:val="30"/>
                <w:szCs w:val="30"/>
              </w:rPr>
            </w:pPr>
            <w:r>
              <w:rPr>
                <w:rFonts w:ascii="宋体" w:hAnsi="宋体" w:eastAsia="宋体" w:cs="宋体"/>
                <w:kern w:val="0"/>
                <w:sz w:val="30"/>
                <w:szCs w:val="30"/>
              </w:rPr>
              <w:t>项目类型：</w:t>
            </w:r>
          </w:p>
        </w:tc>
        <w:tc>
          <w:tcPr>
            <w:tcW w:w="5220" w:type="dxa"/>
            <w:shd w:val="clear" w:color="auto" w:fill="auto"/>
            <w:vAlign w:val="center"/>
          </w:tcPr>
          <w:p w14:paraId="0777D817">
            <w:pPr>
              <w:widowControl/>
              <w:jc w:val="left"/>
              <w:rPr>
                <w:rFonts w:ascii="Times New Roman" w:hAnsi="Times New Roman" w:eastAsia="宋体" w:cs="Times New Roman"/>
                <w:sz w:val="30"/>
                <w:szCs w:val="30"/>
              </w:rPr>
            </w:pPr>
            <w:r>
              <w:rPr>
                <w:rFonts w:hint="eastAsia" w:ascii="宋体" w:hAnsi="宋体" w:eastAsia="宋体" w:cs="宋体"/>
                <w:kern w:val="0"/>
                <w:sz w:val="30"/>
                <w:szCs w:val="30"/>
              </w:rPr>
              <w:t>服务</w:t>
            </w:r>
            <w:r>
              <w:rPr>
                <w:rFonts w:ascii="宋体" w:hAnsi="宋体" w:eastAsia="宋体" w:cs="宋体"/>
                <w:kern w:val="0"/>
                <w:sz w:val="30"/>
                <w:szCs w:val="30"/>
              </w:rPr>
              <w:t>类</w:t>
            </w:r>
          </w:p>
        </w:tc>
      </w:tr>
      <w:tr w14:paraId="698861F5">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514CF9D1">
            <w:pPr>
              <w:widowControl/>
              <w:jc w:val="right"/>
              <w:rPr>
                <w:rFonts w:ascii="Times New Roman" w:hAnsi="Times New Roman" w:eastAsia="宋体" w:cs="Times New Roman"/>
                <w:sz w:val="30"/>
                <w:szCs w:val="30"/>
              </w:rPr>
            </w:pPr>
            <w:r>
              <w:rPr>
                <w:rFonts w:ascii="宋体" w:hAnsi="宋体" w:eastAsia="宋体" w:cs="宋体"/>
                <w:kern w:val="0"/>
                <w:sz w:val="30"/>
                <w:szCs w:val="30"/>
              </w:rPr>
              <w:t>采购方式：</w:t>
            </w:r>
          </w:p>
        </w:tc>
        <w:tc>
          <w:tcPr>
            <w:tcW w:w="5220" w:type="dxa"/>
            <w:shd w:val="clear" w:color="auto" w:fill="auto"/>
            <w:vAlign w:val="center"/>
          </w:tcPr>
          <w:p w14:paraId="692E08CD">
            <w:pPr>
              <w:widowControl/>
              <w:jc w:val="left"/>
              <w:rPr>
                <w:rFonts w:ascii="Times New Roman" w:hAnsi="Times New Roman" w:eastAsia="宋体" w:cs="Times New Roman"/>
                <w:sz w:val="30"/>
                <w:szCs w:val="30"/>
              </w:rPr>
            </w:pPr>
            <w:r>
              <w:rPr>
                <w:rFonts w:ascii="宋体" w:hAnsi="宋体" w:eastAsia="宋体" w:cs="宋体"/>
                <w:kern w:val="0"/>
                <w:sz w:val="30"/>
                <w:szCs w:val="30"/>
              </w:rPr>
              <w:t>公开招标</w:t>
            </w:r>
          </w:p>
        </w:tc>
      </w:tr>
      <w:tr w14:paraId="5760DBB5">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4FA86C0B">
            <w:pPr>
              <w:widowControl/>
              <w:jc w:val="right"/>
              <w:rPr>
                <w:rFonts w:ascii="Times New Roman" w:hAnsi="Times New Roman" w:eastAsia="宋体" w:cs="Times New Roman"/>
                <w:sz w:val="30"/>
                <w:szCs w:val="30"/>
              </w:rPr>
            </w:pPr>
            <w:r>
              <w:rPr>
                <w:rFonts w:ascii="宋体" w:hAnsi="宋体" w:eastAsia="宋体" w:cs="宋体"/>
                <w:kern w:val="0"/>
                <w:sz w:val="30"/>
                <w:szCs w:val="30"/>
              </w:rPr>
              <w:t>货币类型：</w:t>
            </w:r>
          </w:p>
        </w:tc>
        <w:tc>
          <w:tcPr>
            <w:tcW w:w="5220" w:type="dxa"/>
            <w:shd w:val="clear" w:color="auto" w:fill="auto"/>
            <w:vAlign w:val="center"/>
          </w:tcPr>
          <w:p w14:paraId="0D741B21">
            <w:pPr>
              <w:widowControl/>
              <w:jc w:val="left"/>
              <w:rPr>
                <w:rFonts w:ascii="Times New Roman" w:hAnsi="Times New Roman" w:eastAsia="宋体" w:cs="Times New Roman"/>
                <w:sz w:val="30"/>
                <w:szCs w:val="30"/>
              </w:rPr>
            </w:pPr>
            <w:r>
              <w:rPr>
                <w:rFonts w:ascii="宋体" w:hAnsi="宋体" w:eastAsia="宋体" w:cs="宋体"/>
                <w:kern w:val="0"/>
                <w:sz w:val="30"/>
                <w:szCs w:val="30"/>
              </w:rPr>
              <w:t>人民币</w:t>
            </w:r>
          </w:p>
        </w:tc>
      </w:tr>
      <w:tr w14:paraId="74F7F1D1">
        <w:tblPrEx>
          <w:tblCellMar>
            <w:top w:w="45" w:type="dxa"/>
            <w:left w:w="45" w:type="dxa"/>
            <w:bottom w:w="45" w:type="dxa"/>
            <w:right w:w="45" w:type="dxa"/>
          </w:tblCellMar>
        </w:tblPrEx>
        <w:trPr>
          <w:trHeight w:val="738" w:hRule="atLeast"/>
          <w:tblCellSpacing w:w="0" w:type="dxa"/>
          <w:jc w:val="center"/>
        </w:trPr>
        <w:tc>
          <w:tcPr>
            <w:tcW w:w="0" w:type="auto"/>
            <w:shd w:val="clear" w:color="auto" w:fill="auto"/>
            <w:vAlign w:val="center"/>
          </w:tcPr>
          <w:p w14:paraId="58D419BD">
            <w:pPr>
              <w:widowControl/>
              <w:jc w:val="right"/>
              <w:rPr>
                <w:rFonts w:ascii="Times New Roman" w:hAnsi="Times New Roman" w:eastAsia="宋体" w:cs="Times New Roman"/>
                <w:sz w:val="30"/>
                <w:szCs w:val="30"/>
              </w:rPr>
            </w:pPr>
            <w:r>
              <w:rPr>
                <w:rFonts w:ascii="宋体" w:hAnsi="宋体" w:eastAsia="宋体" w:cs="宋体"/>
                <w:kern w:val="0"/>
                <w:sz w:val="30"/>
                <w:szCs w:val="30"/>
              </w:rPr>
              <w:t>评标方法：</w:t>
            </w:r>
          </w:p>
        </w:tc>
        <w:tc>
          <w:tcPr>
            <w:tcW w:w="5220" w:type="dxa"/>
            <w:shd w:val="clear" w:color="auto" w:fill="auto"/>
            <w:vAlign w:val="center"/>
          </w:tcPr>
          <w:p w14:paraId="33788A0A">
            <w:pPr>
              <w:widowControl/>
              <w:jc w:val="left"/>
              <w:rPr>
                <w:rFonts w:ascii="Times New Roman" w:hAnsi="Times New Roman" w:eastAsia="宋体" w:cs="Times New Roman"/>
                <w:sz w:val="30"/>
                <w:szCs w:val="30"/>
              </w:rPr>
            </w:pPr>
            <w:r>
              <w:rPr>
                <w:rFonts w:ascii="宋体" w:hAnsi="宋体" w:eastAsia="宋体" w:cs="宋体"/>
                <w:kern w:val="0"/>
                <w:sz w:val="30"/>
                <w:szCs w:val="30"/>
              </w:rPr>
              <w:t>综合评分法</w:t>
            </w:r>
          </w:p>
        </w:tc>
      </w:tr>
    </w:tbl>
    <w:p w14:paraId="062963C6">
      <w:pPr>
        <w:rPr>
          <w:rFonts w:hint="eastAsia" w:ascii="黑体" w:hAnsi="黑体" w:eastAsia="黑体" w:cs="Times New Roman"/>
          <w:sz w:val="40"/>
          <w:szCs w:val="40"/>
        </w:rPr>
      </w:pPr>
      <w:r>
        <w:rPr>
          <w:rFonts w:hint="eastAsia" w:ascii="黑体" w:hAnsi="黑体" w:eastAsia="黑体" w:cs="Times New Roman"/>
          <w:sz w:val="40"/>
          <w:szCs w:val="40"/>
        </w:rPr>
        <w:br w:type="page"/>
      </w:r>
    </w:p>
    <w:p w14:paraId="5170FFAE">
      <w:pPr>
        <w:jc w:val="center"/>
        <w:outlineLvl w:val="1"/>
        <w:rPr>
          <w:rFonts w:hint="eastAsia" w:ascii="黑体" w:hAnsi="黑体" w:eastAsia="黑体" w:cs="Times New Roman"/>
          <w:sz w:val="40"/>
          <w:szCs w:val="40"/>
        </w:rPr>
      </w:pPr>
      <w:r>
        <w:rPr>
          <w:rFonts w:hint="eastAsia" w:ascii="黑体" w:hAnsi="黑体" w:eastAsia="黑体" w:cs="Times New Roman"/>
          <w:sz w:val="40"/>
          <w:szCs w:val="40"/>
        </w:rPr>
        <w:t>资格性审查表</w:t>
      </w:r>
    </w:p>
    <w:tbl>
      <w:tblPr>
        <w:tblStyle w:val="42"/>
        <w:tblW w:w="980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840"/>
        <w:gridCol w:w="8969"/>
      </w:tblGrid>
      <w:tr w14:paraId="69A7D2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99DE632">
            <w:pPr>
              <w:jc w:val="center"/>
              <w:rPr>
                <w:rFonts w:hint="eastAsia" w:ascii="宋体" w:hAnsi="宋体" w:eastAsia="宋体" w:cs="宋体"/>
                <w:sz w:val="28"/>
                <w:szCs w:val="28"/>
              </w:rPr>
            </w:pPr>
            <w:r>
              <w:rPr>
                <w:rFonts w:ascii="Times New Roman" w:hAnsi="Times New Roman" w:eastAsia="宋体" w:cs="Times New Roman"/>
                <w:sz w:val="28"/>
                <w:szCs w:val="28"/>
              </w:rPr>
              <w:t>序号</w:t>
            </w:r>
          </w:p>
        </w:tc>
        <w:tc>
          <w:tcPr>
            <w:tcW w:w="8969"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2C92E86">
            <w:pPr>
              <w:jc w:val="center"/>
              <w:rPr>
                <w:rFonts w:hint="eastAsia" w:ascii="宋体" w:hAnsi="宋体" w:eastAsia="宋体" w:cs="宋体"/>
                <w:sz w:val="28"/>
                <w:szCs w:val="28"/>
              </w:rPr>
            </w:pPr>
            <w:r>
              <w:rPr>
                <w:rFonts w:ascii="Times New Roman" w:hAnsi="Times New Roman" w:eastAsia="宋体" w:cs="Times New Roman"/>
                <w:sz w:val="28"/>
                <w:szCs w:val="28"/>
              </w:rPr>
              <w:t>内容</w:t>
            </w:r>
          </w:p>
        </w:tc>
      </w:tr>
      <w:tr w14:paraId="3BA5D2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0" w:type="dxa"/>
            <w:tcBorders>
              <w:top w:val="single" w:color="000000" w:sz="8" w:space="0"/>
              <w:left w:val="single" w:color="000000" w:sz="8" w:space="0"/>
              <w:bottom w:val="single" w:color="000000" w:sz="8" w:space="0"/>
              <w:right w:val="single" w:color="000000" w:sz="8" w:space="0"/>
            </w:tcBorders>
          </w:tcPr>
          <w:p w14:paraId="0706F034">
            <w:pPr>
              <w:jc w:val="center"/>
              <w:rPr>
                <w:rFonts w:hint="eastAsia" w:ascii="宋体" w:hAnsi="宋体" w:eastAsia="宋体" w:cs="宋体"/>
                <w:szCs w:val="21"/>
              </w:rPr>
            </w:pPr>
            <w:r>
              <w:rPr>
                <w:rFonts w:hint="eastAsia" w:ascii="宋体" w:hAnsi="宋体" w:eastAsia="宋体" w:cs="宋体"/>
                <w:szCs w:val="21"/>
              </w:rPr>
              <w:t>1</w:t>
            </w:r>
          </w:p>
        </w:tc>
        <w:tc>
          <w:tcPr>
            <w:tcW w:w="8969" w:type="dxa"/>
            <w:tcBorders>
              <w:top w:val="single" w:color="000000" w:sz="8" w:space="0"/>
              <w:left w:val="single" w:color="000000" w:sz="8" w:space="0"/>
              <w:bottom w:val="single" w:color="000000" w:sz="8" w:space="0"/>
              <w:right w:val="single" w:color="000000" w:sz="8" w:space="0"/>
            </w:tcBorders>
          </w:tcPr>
          <w:p w14:paraId="1B6059DE">
            <w:pPr>
              <w:rPr>
                <w:rFonts w:hint="eastAsia" w:ascii="宋体" w:hAnsi="宋体" w:eastAsia="宋体" w:cs="宋体"/>
                <w:szCs w:val="21"/>
              </w:rPr>
            </w:pPr>
            <w:r>
              <w:rPr>
                <w:rFonts w:hint="eastAsia" w:ascii="宋体" w:hAnsi="宋体" w:eastAsia="宋体" w:cs="宋体"/>
                <w:kern w:val="0"/>
                <w:szCs w:val="21"/>
              </w:rPr>
              <w:t>投标人不符合资格要求，或未提交相应的资格证明资料（详见招标公告</w:t>
            </w:r>
            <w:r>
              <w:rPr>
                <w:rFonts w:hint="eastAsia" w:ascii="宋体" w:hAnsi="宋体" w:eastAsia="宋体" w:cs="宋体"/>
                <w:szCs w:val="21"/>
              </w:rPr>
              <w:t>投标人资格要求，即申请人的资格要求</w:t>
            </w:r>
            <w:r>
              <w:rPr>
                <w:rFonts w:hint="eastAsia" w:ascii="宋体" w:hAnsi="宋体" w:eastAsia="宋体" w:cs="宋体"/>
                <w:kern w:val="0"/>
                <w:szCs w:val="21"/>
              </w:rPr>
              <w:t>）</w:t>
            </w:r>
          </w:p>
        </w:tc>
      </w:tr>
    </w:tbl>
    <w:p w14:paraId="4B684FD1">
      <w:pPr>
        <w:spacing w:before="280"/>
        <w:jc w:val="center"/>
        <w:outlineLvl w:val="1"/>
        <w:rPr>
          <w:rFonts w:hint="eastAsia" w:ascii="黑体" w:hAnsi="黑体" w:eastAsia="黑体" w:cs="Times New Roman"/>
          <w:sz w:val="40"/>
          <w:szCs w:val="40"/>
        </w:rPr>
      </w:pPr>
      <w:r>
        <w:rPr>
          <w:rFonts w:hint="eastAsia" w:ascii="黑体" w:hAnsi="黑体" w:eastAsia="黑体" w:cs="Times New Roman"/>
          <w:sz w:val="40"/>
          <w:szCs w:val="40"/>
        </w:rPr>
        <w:t>符合性审查表</w:t>
      </w:r>
    </w:p>
    <w:tbl>
      <w:tblPr>
        <w:tblStyle w:val="42"/>
        <w:tblW w:w="972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849"/>
        <w:gridCol w:w="8871"/>
      </w:tblGrid>
      <w:tr w14:paraId="69C0E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97BE27B">
            <w:pPr>
              <w:widowControl/>
              <w:jc w:val="center"/>
              <w:rPr>
                <w:rFonts w:ascii="Times New Roman" w:hAnsi="Times New Roman" w:eastAsia="宋体" w:cs="Times New Roman"/>
                <w:sz w:val="28"/>
                <w:szCs w:val="28"/>
              </w:rPr>
            </w:pPr>
            <w:r>
              <w:rPr>
                <w:rFonts w:ascii="宋体" w:hAnsi="宋体" w:eastAsia="宋体" w:cs="宋体"/>
                <w:kern w:val="0"/>
                <w:sz w:val="28"/>
                <w:szCs w:val="28"/>
              </w:rPr>
              <w:t>序号</w:t>
            </w:r>
          </w:p>
        </w:tc>
        <w:tc>
          <w:tcPr>
            <w:tcW w:w="8871"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C62FEA8">
            <w:pPr>
              <w:widowControl/>
              <w:jc w:val="center"/>
              <w:rPr>
                <w:rFonts w:ascii="Times New Roman" w:hAnsi="Times New Roman" w:eastAsia="宋体" w:cs="Times New Roman"/>
                <w:sz w:val="28"/>
                <w:szCs w:val="28"/>
              </w:rPr>
            </w:pPr>
            <w:r>
              <w:rPr>
                <w:rFonts w:ascii="宋体" w:hAnsi="宋体" w:eastAsia="宋体" w:cs="宋体"/>
                <w:kern w:val="0"/>
                <w:sz w:val="28"/>
                <w:szCs w:val="28"/>
              </w:rPr>
              <w:t>内容</w:t>
            </w:r>
          </w:p>
        </w:tc>
      </w:tr>
      <w:tr w14:paraId="1ED35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0F007DD1">
            <w:pPr>
              <w:widowControl/>
              <w:jc w:val="center"/>
              <w:textAlignment w:val="top"/>
              <w:rPr>
                <w:rFonts w:hint="eastAsia" w:ascii="宋体" w:hAnsi="宋体" w:eastAsia="宋体" w:cs="宋体"/>
                <w:szCs w:val="21"/>
              </w:rPr>
            </w:pPr>
            <w:r>
              <w:rPr>
                <w:rFonts w:hint="eastAsia" w:ascii="宋体" w:hAnsi="宋体" w:eastAsia="宋体" w:cs="宋体"/>
                <w:kern w:val="0"/>
                <w:szCs w:val="21"/>
              </w:rPr>
              <w:t>1</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66F9AA82">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不得将一个包内容拆开投标；</w:t>
            </w:r>
          </w:p>
        </w:tc>
      </w:tr>
      <w:tr w14:paraId="34528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2D96F8E1">
            <w:pPr>
              <w:widowControl/>
              <w:jc w:val="center"/>
              <w:textAlignment w:val="top"/>
              <w:rPr>
                <w:rFonts w:hint="eastAsia" w:ascii="宋体" w:hAnsi="宋体" w:eastAsia="宋体" w:cs="宋体"/>
                <w:szCs w:val="21"/>
              </w:rPr>
            </w:pPr>
            <w:r>
              <w:rPr>
                <w:rFonts w:hint="eastAsia" w:ascii="宋体" w:hAnsi="宋体" w:eastAsia="宋体" w:cs="宋体"/>
                <w:kern w:val="0"/>
                <w:szCs w:val="21"/>
              </w:rPr>
              <w:t>2</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79AEAB20">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对同一项目投标时，不得提供两套以上的投标方案（招标文件另有规定的除外）；</w:t>
            </w:r>
          </w:p>
        </w:tc>
      </w:tr>
      <w:tr w14:paraId="643BE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97" w:hRule="atLeast"/>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4FA324FD">
            <w:pPr>
              <w:widowControl/>
              <w:jc w:val="center"/>
              <w:textAlignment w:val="top"/>
              <w:rPr>
                <w:rFonts w:hint="eastAsia" w:ascii="宋体" w:hAnsi="宋体" w:eastAsia="宋体" w:cs="宋体"/>
                <w:szCs w:val="21"/>
              </w:rPr>
            </w:pPr>
            <w:r>
              <w:rPr>
                <w:rFonts w:hint="eastAsia" w:ascii="宋体" w:hAnsi="宋体" w:eastAsia="宋体" w:cs="宋体"/>
                <w:kern w:val="0"/>
                <w:szCs w:val="21"/>
              </w:rPr>
              <w:t>3</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55341449">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eastAsia="宋体"/>
                <w:color w:val="FF0000"/>
              </w:rPr>
              <w:t>填报的“折扣率”不满足“0＜折扣率≤1</w:t>
            </w:r>
            <w:r>
              <w:rPr>
                <w:rFonts w:hint="eastAsia" w:eastAsia="宋体"/>
                <w:color w:val="FF0000"/>
                <w:lang w:eastAsia="zh-CN"/>
              </w:rPr>
              <w:t>00</w:t>
            </w:r>
            <w:r>
              <w:rPr>
                <w:rFonts w:hint="eastAsia" w:eastAsia="宋体"/>
                <w:color w:val="FF0000"/>
              </w:rPr>
              <w:t>”（如 9.5折填写95%、8.0折填写80%、7.8折填写78%）要求的；“折扣率”缺填、漏填或填报了两个或以上“折扣率”；“投标关键信息”开标一览表中填写的投标报价与项目详细</w:t>
            </w:r>
            <w:r>
              <w:rPr>
                <w:rFonts w:hint="eastAsia" w:eastAsia="宋体"/>
                <w:color w:val="FF0000"/>
                <w:lang w:eastAsia="zh-CN"/>
              </w:rPr>
              <w:t>报价的</w:t>
            </w:r>
            <w:r>
              <w:rPr>
                <w:rFonts w:hint="eastAsia" w:eastAsia="宋体"/>
                <w:color w:val="FF0000"/>
              </w:rPr>
              <w:t>分项报价表中填写的“折扣率”不一致的；</w:t>
            </w:r>
          </w:p>
        </w:tc>
      </w:tr>
      <w:tr w14:paraId="22573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3A9AFBAE">
            <w:pPr>
              <w:widowControl/>
              <w:jc w:val="center"/>
              <w:textAlignment w:val="top"/>
              <w:rPr>
                <w:rFonts w:hint="eastAsia" w:ascii="宋体" w:hAnsi="宋体" w:eastAsia="宋体" w:cs="宋体"/>
                <w:szCs w:val="21"/>
              </w:rPr>
            </w:pPr>
            <w:r>
              <w:rPr>
                <w:rFonts w:hint="eastAsia" w:ascii="宋体" w:hAnsi="宋体" w:eastAsia="宋体" w:cs="宋体"/>
                <w:kern w:val="0"/>
                <w:szCs w:val="21"/>
              </w:rPr>
              <w:t>4</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034E8061">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68E2A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69892B79">
            <w:pPr>
              <w:widowControl/>
              <w:jc w:val="center"/>
              <w:textAlignment w:val="top"/>
              <w:rPr>
                <w:rFonts w:hint="eastAsia" w:ascii="宋体" w:hAnsi="宋体" w:eastAsia="宋体" w:cs="宋体"/>
                <w:szCs w:val="21"/>
              </w:rPr>
            </w:pPr>
            <w:r>
              <w:rPr>
                <w:rFonts w:hint="eastAsia" w:ascii="宋体" w:hAnsi="宋体" w:eastAsia="宋体" w:cs="宋体"/>
                <w:kern w:val="0"/>
                <w:szCs w:val="21"/>
              </w:rPr>
              <w:t>5</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2AB094DF">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szCs w:val="21"/>
              </w:rPr>
            </w:pPr>
            <w:r>
              <w:rPr>
                <w:rFonts w:hint="eastAsia" w:eastAsia="宋体"/>
                <w:kern w:val="2"/>
                <w:sz w:val="21"/>
                <w:lang w:eastAsia="zh-C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2A880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705283C3">
            <w:pPr>
              <w:widowControl/>
              <w:jc w:val="center"/>
              <w:textAlignment w:val="top"/>
              <w:rPr>
                <w:rFonts w:hint="eastAsia" w:ascii="宋体" w:hAnsi="宋体" w:eastAsia="宋体" w:cs="宋体"/>
                <w:szCs w:val="21"/>
              </w:rPr>
            </w:pPr>
            <w:r>
              <w:rPr>
                <w:rFonts w:hint="eastAsia" w:ascii="宋体" w:hAnsi="宋体" w:eastAsia="宋体" w:cs="宋体"/>
                <w:kern w:val="0"/>
                <w:szCs w:val="21"/>
              </w:rPr>
              <w:t>6</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67E17C50">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szCs w:val="21"/>
              </w:rPr>
            </w:pPr>
            <w:r>
              <w:rPr>
                <w:rFonts w:hint="eastAsia" w:eastAsia="宋体"/>
                <w:kern w:val="2"/>
                <w:sz w:val="21"/>
                <w:lang w:eastAsia="zh-CN"/>
              </w:rPr>
              <w:t>未按招标文件所提供的样式填写《投标函》；未按招标文件所提供的《采购投标及履约承诺函》进行承诺；未按招标文件对投标文件组成的要求提供投标文件；</w:t>
            </w:r>
          </w:p>
        </w:tc>
      </w:tr>
      <w:tr w14:paraId="1A302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02" w:hRule="atLeast"/>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76695E64">
            <w:pPr>
              <w:widowControl/>
              <w:jc w:val="center"/>
              <w:textAlignment w:val="top"/>
              <w:rPr>
                <w:rFonts w:hint="eastAsia" w:ascii="宋体" w:hAnsi="宋体" w:eastAsia="宋体" w:cs="宋体"/>
                <w:szCs w:val="21"/>
              </w:rPr>
            </w:pPr>
            <w:r>
              <w:rPr>
                <w:rFonts w:hint="eastAsia" w:ascii="宋体" w:hAnsi="宋体" w:eastAsia="宋体" w:cs="宋体"/>
                <w:kern w:val="0"/>
                <w:szCs w:val="21"/>
              </w:rPr>
              <w:t>7</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40DBC63D">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szCs w:val="21"/>
              </w:rPr>
            </w:pPr>
            <w:r>
              <w:rPr>
                <w:rFonts w:hint="eastAsia" w:eastAsia="宋体"/>
                <w:kern w:val="2"/>
                <w:sz w:val="21"/>
                <w:lang w:eastAsia="zh-CN"/>
              </w:rPr>
              <w:t>采购标的/服务清单/报价等任意一类有缺漏项或响应不全，或者对招标文件规定的项目需求内容或者需求数量进行修改</w:t>
            </w:r>
            <w:r>
              <w:rPr>
                <w:rFonts w:hint="eastAsia" w:eastAsia="宋体"/>
                <w:kern w:val="2"/>
                <w:sz w:val="21"/>
                <w:szCs w:val="21"/>
                <w:lang w:eastAsia="zh-CN"/>
              </w:rPr>
              <w:t>，评审委员会判定投标响应不满足采购需求</w:t>
            </w:r>
            <w:r>
              <w:rPr>
                <w:rFonts w:hint="eastAsia" w:eastAsia="宋体"/>
                <w:kern w:val="2"/>
                <w:sz w:val="21"/>
                <w:lang w:eastAsia="zh-CN"/>
              </w:rPr>
              <w:t>；</w:t>
            </w:r>
          </w:p>
        </w:tc>
      </w:tr>
      <w:tr w14:paraId="78BF9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4DF370CF">
            <w:pPr>
              <w:widowControl/>
              <w:jc w:val="center"/>
              <w:textAlignment w:val="top"/>
              <w:rPr>
                <w:rFonts w:hint="eastAsia" w:ascii="宋体" w:hAnsi="宋体" w:eastAsia="宋体" w:cs="宋体"/>
                <w:szCs w:val="21"/>
              </w:rPr>
            </w:pPr>
            <w:r>
              <w:rPr>
                <w:rFonts w:hint="eastAsia" w:ascii="宋体" w:hAnsi="宋体" w:eastAsia="宋体" w:cs="宋体"/>
                <w:kern w:val="0"/>
                <w:szCs w:val="21"/>
              </w:rPr>
              <w:t>8</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2F4B4814">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投标文件电子文档不得带病毒；</w:t>
            </w:r>
          </w:p>
        </w:tc>
      </w:tr>
      <w:tr w14:paraId="259B4D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7B7791CF">
            <w:pPr>
              <w:widowControl/>
              <w:jc w:val="center"/>
              <w:textAlignment w:val="top"/>
              <w:rPr>
                <w:rFonts w:hint="eastAsia" w:ascii="宋体" w:hAnsi="宋体" w:eastAsia="宋体" w:cs="宋体"/>
                <w:szCs w:val="21"/>
              </w:rPr>
            </w:pPr>
            <w:r>
              <w:rPr>
                <w:rFonts w:hint="eastAsia" w:ascii="宋体" w:hAnsi="宋体" w:eastAsia="宋体" w:cs="宋体"/>
                <w:kern w:val="0"/>
                <w:szCs w:val="21"/>
              </w:rPr>
              <w:t>9</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2773AB4F">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投标文件用不属于本公司的电子密钥进行加密；</w:t>
            </w:r>
          </w:p>
        </w:tc>
      </w:tr>
      <w:tr w14:paraId="7D17A9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849" w:type="dxa"/>
            <w:tcBorders>
              <w:top w:val="single" w:color="000000" w:sz="8" w:space="0"/>
              <w:left w:val="single" w:color="000000" w:sz="8" w:space="0"/>
              <w:bottom w:val="single" w:color="000000" w:sz="8" w:space="0"/>
              <w:right w:val="single" w:color="000000" w:sz="8" w:space="0"/>
            </w:tcBorders>
            <w:shd w:val="clear" w:color="auto" w:fill="auto"/>
          </w:tcPr>
          <w:p w14:paraId="77F16EE5">
            <w:pPr>
              <w:widowControl/>
              <w:jc w:val="center"/>
              <w:textAlignment w:val="top"/>
              <w:rPr>
                <w:rFonts w:hint="eastAsia" w:ascii="宋体" w:hAnsi="宋体" w:eastAsia="宋体" w:cs="宋体"/>
                <w:szCs w:val="21"/>
              </w:rPr>
            </w:pPr>
            <w:r>
              <w:rPr>
                <w:rFonts w:hint="eastAsia" w:ascii="宋体" w:hAnsi="宋体" w:eastAsia="宋体" w:cs="宋体"/>
                <w:kern w:val="0"/>
                <w:szCs w:val="21"/>
              </w:rPr>
              <w:t>10</w:t>
            </w:r>
          </w:p>
        </w:tc>
        <w:tc>
          <w:tcPr>
            <w:tcW w:w="8871" w:type="dxa"/>
            <w:tcBorders>
              <w:top w:val="single" w:color="000000" w:sz="8" w:space="0"/>
              <w:left w:val="single" w:color="000000" w:sz="8" w:space="0"/>
              <w:bottom w:val="single" w:color="000000" w:sz="8" w:space="0"/>
              <w:right w:val="single" w:color="000000" w:sz="8" w:space="0"/>
            </w:tcBorders>
            <w:shd w:val="clear" w:color="auto" w:fill="auto"/>
            <w:vAlign w:val="top"/>
          </w:tcPr>
          <w:p w14:paraId="42D348CC">
            <w:pPr>
              <w:keepNext w:val="0"/>
              <w:keepLines w:val="0"/>
              <w:widowControl/>
              <w:suppressLineNumbers w:val="0"/>
              <w:spacing w:before="0" w:beforeAutospacing="0" w:after="0" w:afterAutospacing="0"/>
              <w:ind w:left="0" w:leftChars="0" w:right="0" w:rightChars="0"/>
              <w:jc w:val="left"/>
              <w:textAlignment w:val="top"/>
              <w:rPr>
                <w:rFonts w:hint="eastAsia" w:ascii="宋体" w:hAnsi="宋体" w:eastAsia="宋体" w:cs="宋体"/>
                <w:szCs w:val="21"/>
              </w:rPr>
            </w:pPr>
            <w:r>
              <w:rPr>
                <w:rFonts w:hint="eastAsia" w:ascii="宋体" w:hAnsi="宋体" w:eastAsia="宋体"/>
                <w:kern w:val="2"/>
                <w:sz w:val="21"/>
                <w:szCs w:val="21"/>
                <w:lang w:eastAsia="zh-CN"/>
              </w:rPr>
              <w:t>法律、法规、规章、规范性文件规定的其他情形。</w:t>
            </w:r>
          </w:p>
        </w:tc>
      </w:tr>
    </w:tbl>
    <w:p w14:paraId="3DED7E1F">
      <w:pPr>
        <w:rPr>
          <w:rFonts w:hint="eastAsia" w:ascii="黑体" w:hAnsi="黑体" w:eastAsia="黑体" w:cs="Times New Roman"/>
          <w:sz w:val="40"/>
          <w:szCs w:val="40"/>
        </w:rPr>
      </w:pPr>
      <w:r>
        <w:rPr>
          <w:rFonts w:hint="eastAsia" w:ascii="黑体" w:hAnsi="黑体" w:eastAsia="黑体" w:cs="Times New Roman"/>
          <w:sz w:val="40"/>
          <w:szCs w:val="40"/>
        </w:rPr>
        <w:br w:type="page"/>
      </w:r>
    </w:p>
    <w:p w14:paraId="3E17BB22">
      <w:pPr>
        <w:jc w:val="center"/>
        <w:outlineLvl w:val="1"/>
        <w:rPr>
          <w:rFonts w:hint="eastAsia" w:ascii="黑体" w:hAnsi="黑体" w:eastAsia="黑体" w:cs="Times New Roman"/>
          <w:sz w:val="40"/>
          <w:szCs w:val="40"/>
        </w:rPr>
      </w:pPr>
      <w:r>
        <w:rPr>
          <w:rFonts w:hint="eastAsia" w:ascii="黑体" w:hAnsi="黑体" w:eastAsia="黑体" w:cs="Times New Roman"/>
          <w:sz w:val="40"/>
          <w:szCs w:val="40"/>
        </w:rPr>
        <w:t>评标信息</w:t>
      </w:r>
    </w:p>
    <w:tbl>
      <w:tblPr>
        <w:tblStyle w:val="42"/>
        <w:tblW w:w="9075"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559"/>
        <w:gridCol w:w="591"/>
        <w:gridCol w:w="1030"/>
        <w:gridCol w:w="716"/>
        <w:gridCol w:w="6172"/>
        <w:gridCol w:w="7"/>
      </w:tblGrid>
      <w:tr w14:paraId="1AF8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jc w:val="center"/>
        </w:trPr>
        <w:tc>
          <w:tcPr>
            <w:tcW w:w="9072" w:type="dxa"/>
            <w:gridSpan w:val="6"/>
            <w:vAlign w:val="center"/>
          </w:tcPr>
          <w:p w14:paraId="5A0CF81A">
            <w:pPr>
              <w:jc w:val="left"/>
              <w:rPr>
                <w:rFonts w:hint="eastAsia" w:ascii="宋体" w:hAnsi="宋体" w:eastAsia="宋体" w:cs="宋体"/>
                <w:b/>
                <w:bCs/>
                <w:szCs w:val="21"/>
              </w:rPr>
            </w:pPr>
            <w:r>
              <w:rPr>
                <w:rFonts w:hint="eastAsia" w:ascii="宋体" w:hAnsi="宋体" w:eastAsia="宋体" w:cs="宋体"/>
                <w:b/>
                <w:bCs/>
                <w:szCs w:val="21"/>
              </w:rPr>
              <w:t>评标方法：综合评分法</w:t>
            </w:r>
          </w:p>
        </w:tc>
      </w:tr>
      <w:tr w14:paraId="290F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jc w:val="center"/>
        </w:trPr>
        <w:tc>
          <w:tcPr>
            <w:tcW w:w="9072" w:type="dxa"/>
            <w:gridSpan w:val="6"/>
            <w:vAlign w:val="center"/>
          </w:tcPr>
          <w:p w14:paraId="3EA8D13F">
            <w:pPr>
              <w:ind w:firstLine="420"/>
              <w:rPr>
                <w:rFonts w:hint="eastAsia" w:ascii="宋体" w:hAnsi="宋体" w:eastAsia="宋体" w:cs="宋体"/>
                <w:szCs w:val="21"/>
              </w:rPr>
            </w:pPr>
            <w:r>
              <w:rPr>
                <w:rFonts w:hint="eastAsia" w:ascii="宋体" w:hAnsi="宋体" w:eastAsia="宋体" w:cs="宋体"/>
                <w:szCs w:val="21"/>
              </w:rPr>
              <w:t>综合评分法，是指</w:t>
            </w:r>
            <w:r>
              <w:rPr>
                <w:rFonts w:hint="eastAsia" w:ascii="宋体" w:hAnsi="宋体" w:eastAsia="宋体" w:cs="宋体"/>
                <w:kern w:val="0"/>
                <w:szCs w:val="21"/>
              </w:rPr>
              <w:t>投标文件满足招标文件全部实质性要求</w:t>
            </w:r>
            <w:r>
              <w:rPr>
                <w:rFonts w:hint="eastAsia" w:ascii="宋体" w:hAnsi="宋体" w:eastAsia="宋体" w:cs="宋体"/>
                <w:szCs w:val="21"/>
              </w:rPr>
              <w:t>，且按照招标文件规定的各项因素进行综合评审，评标总得分排名前列的投标人为中标候选人的评标方法。</w:t>
            </w:r>
          </w:p>
          <w:p w14:paraId="1C61E2B3">
            <w:pPr>
              <w:spacing w:line="276" w:lineRule="auto"/>
              <w:ind w:firstLine="420"/>
              <w:rPr>
                <w:rFonts w:hint="eastAsia" w:ascii="宋体" w:hAnsi="宋体" w:eastAsia="宋体" w:cs="宋体"/>
                <w:szCs w:val="21"/>
              </w:rPr>
            </w:pPr>
            <w:r>
              <w:rPr>
                <w:rFonts w:hint="eastAsia" w:ascii="宋体" w:hAnsi="宋体" w:eastAsia="宋体" w:cs="宋体"/>
                <w:szCs w:val="21"/>
              </w:rPr>
              <w:t>价格分计算方法：</w:t>
            </w:r>
          </w:p>
          <w:p w14:paraId="049E7A4C">
            <w:pPr>
              <w:spacing w:line="276" w:lineRule="auto"/>
              <w:ind w:left="420"/>
              <w:rPr>
                <w:rFonts w:hint="eastAsia" w:ascii="宋体" w:hAnsi="宋体" w:eastAsia="宋体" w:cs="宋体"/>
                <w:szCs w:val="21"/>
              </w:rPr>
            </w:pPr>
            <w:r>
              <w:rPr>
                <w:rFonts w:hint="eastAsia" w:ascii="宋体" w:hAnsi="宋体" w:eastAsia="宋体" w:cs="宋体"/>
                <w:szCs w:val="21"/>
              </w:rPr>
              <w:t xml:space="preserve">采用低价优先法计算，即满足招标文件要求且投标价格最低的投标报价为评标基准价，其价格分为满分。其他投标人的价格分统一按照下列公式计算： </w:t>
            </w:r>
          </w:p>
          <w:p w14:paraId="29226741">
            <w:pPr>
              <w:spacing w:line="276" w:lineRule="auto"/>
              <w:ind w:left="420"/>
              <w:rPr>
                <w:rFonts w:hint="eastAsia" w:ascii="宋体" w:hAnsi="宋体" w:eastAsia="宋体" w:cs="宋体"/>
                <w:szCs w:val="21"/>
              </w:rPr>
            </w:pPr>
            <w:r>
              <w:rPr>
                <w:rFonts w:hint="eastAsia" w:ascii="宋体" w:hAnsi="宋体" w:eastAsia="宋体" w:cs="宋体"/>
                <w:szCs w:val="21"/>
              </w:rPr>
              <w:t xml:space="preserve">投标报价得分=(评标基准价／投标报价)×100 </w:t>
            </w:r>
          </w:p>
          <w:p w14:paraId="3A18E043">
            <w:pPr>
              <w:spacing w:line="276" w:lineRule="auto"/>
              <w:ind w:left="420"/>
              <w:rPr>
                <w:rFonts w:hint="eastAsia" w:ascii="宋体" w:hAnsi="宋体" w:eastAsia="宋体" w:cs="宋体"/>
                <w:szCs w:val="21"/>
              </w:rPr>
            </w:pPr>
            <w:r>
              <w:rPr>
                <w:rFonts w:hint="eastAsia" w:ascii="宋体" w:hAnsi="宋体" w:eastAsia="宋体" w:cs="宋体"/>
                <w:szCs w:val="21"/>
              </w:rPr>
              <w:t xml:space="preserve">评标总得分＝F1×A1＋F2×A2＋……＋Fn×An </w:t>
            </w:r>
          </w:p>
          <w:p w14:paraId="267A583D">
            <w:pPr>
              <w:spacing w:line="276" w:lineRule="auto"/>
              <w:ind w:left="420"/>
              <w:rPr>
                <w:rFonts w:hint="eastAsia" w:ascii="宋体" w:hAnsi="宋体" w:eastAsia="宋体" w:cs="宋体"/>
                <w:szCs w:val="21"/>
              </w:rPr>
            </w:pPr>
            <w:r>
              <w:rPr>
                <w:rFonts w:hint="eastAsia" w:ascii="宋体" w:hAnsi="宋体" w:eastAsia="宋体" w:cs="宋体"/>
                <w:szCs w:val="21"/>
              </w:rPr>
              <w:t xml:space="preserve">F1、F2……Fn分别为各项评审因素的得分； </w:t>
            </w:r>
          </w:p>
          <w:p w14:paraId="1263AA0F">
            <w:pPr>
              <w:spacing w:line="276" w:lineRule="auto"/>
              <w:ind w:left="420"/>
              <w:rPr>
                <w:rFonts w:hint="eastAsia" w:ascii="宋体" w:hAnsi="宋体" w:eastAsia="宋体" w:cs="宋体"/>
                <w:szCs w:val="21"/>
              </w:rPr>
            </w:pPr>
            <w:r>
              <w:rPr>
                <w:rFonts w:hint="eastAsia" w:ascii="宋体" w:hAnsi="宋体" w:eastAsia="宋体" w:cs="宋体"/>
                <w:szCs w:val="21"/>
              </w:rPr>
              <w:t xml:space="preserve">A1、A2、……An 分别为各项评审因素所占的权重(A1＋A2＋……＋An＝1)。 </w:t>
            </w:r>
          </w:p>
          <w:p w14:paraId="6E92EF7A">
            <w:pPr>
              <w:spacing w:line="276" w:lineRule="auto"/>
              <w:ind w:left="420"/>
              <w:rPr>
                <w:rFonts w:hint="eastAsia" w:ascii="宋体" w:hAnsi="宋体" w:eastAsia="宋体" w:cs="宋体"/>
                <w:szCs w:val="21"/>
              </w:rPr>
            </w:pPr>
            <w:r>
              <w:rPr>
                <w:rFonts w:hint="eastAsia" w:ascii="宋体" w:hAnsi="宋体" w:eastAsia="宋体" w:cs="宋体"/>
                <w:szCs w:val="21"/>
              </w:rPr>
              <w:t>评标过程中，不得去掉报价中的最高报价和最低报价。</w:t>
            </w:r>
          </w:p>
          <w:p w14:paraId="7411B54E">
            <w:pPr>
              <w:pStyle w:val="37"/>
              <w:widowControl/>
              <w:ind w:left="420"/>
              <w:rPr>
                <w:rFonts w:hint="eastAsia" w:ascii="宋体" w:hAnsi="宋体" w:cs="宋体"/>
                <w:sz w:val="21"/>
                <w:szCs w:val="21"/>
              </w:rPr>
            </w:pPr>
            <w:r>
              <w:rPr>
                <w:rFonts w:hint="eastAsia" w:ascii="宋体" w:hAnsi="宋体" w:cs="宋体"/>
                <w:sz w:val="21"/>
                <w:szCs w:val="21"/>
              </w:rPr>
              <w:t>因落实政府采购政策进行价格调整的，以调整后的价格计算评标基准价和投标报价。</w:t>
            </w:r>
          </w:p>
        </w:tc>
      </w:tr>
      <w:tr w14:paraId="7D7E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blCellSpacing w:w="0" w:type="dxa"/>
          <w:jc w:val="center"/>
        </w:trPr>
        <w:tc>
          <w:tcPr>
            <w:tcW w:w="559" w:type="dxa"/>
            <w:vAlign w:val="center"/>
          </w:tcPr>
          <w:p w14:paraId="5D150679">
            <w:pPr>
              <w:jc w:val="center"/>
              <w:rPr>
                <w:rFonts w:hint="eastAsia" w:ascii="宋体" w:hAnsi="宋体" w:eastAsia="宋体" w:cs="宋体"/>
                <w:b/>
                <w:bCs/>
                <w:kern w:val="44"/>
                <w:szCs w:val="21"/>
              </w:rPr>
            </w:pPr>
            <w:r>
              <w:rPr>
                <w:rFonts w:hint="eastAsia" w:ascii="宋体" w:hAnsi="宋体" w:eastAsia="宋体" w:cs="宋体"/>
                <w:b/>
                <w:bCs/>
                <w:kern w:val="44"/>
                <w:szCs w:val="21"/>
              </w:rPr>
              <w:t>序号</w:t>
            </w:r>
          </w:p>
        </w:tc>
        <w:tc>
          <w:tcPr>
            <w:tcW w:w="2337" w:type="dxa"/>
            <w:gridSpan w:val="3"/>
            <w:vAlign w:val="center"/>
          </w:tcPr>
          <w:p w14:paraId="17DCDECB">
            <w:pPr>
              <w:jc w:val="center"/>
              <w:rPr>
                <w:rFonts w:hint="eastAsia" w:ascii="宋体" w:hAnsi="宋体" w:eastAsia="宋体" w:cs="宋体"/>
                <w:b/>
                <w:bCs/>
                <w:kern w:val="44"/>
                <w:szCs w:val="21"/>
              </w:rPr>
            </w:pPr>
            <w:r>
              <w:rPr>
                <w:rFonts w:hint="eastAsia" w:ascii="宋体" w:hAnsi="宋体" w:eastAsia="宋体" w:cs="宋体"/>
                <w:b/>
                <w:bCs/>
                <w:kern w:val="44"/>
                <w:szCs w:val="21"/>
              </w:rPr>
              <w:t>评分项</w:t>
            </w:r>
          </w:p>
        </w:tc>
        <w:tc>
          <w:tcPr>
            <w:tcW w:w="6172" w:type="dxa"/>
            <w:vAlign w:val="center"/>
          </w:tcPr>
          <w:p w14:paraId="01AF2D90">
            <w:pPr>
              <w:jc w:val="center"/>
              <w:rPr>
                <w:rFonts w:hint="eastAsia" w:ascii="宋体" w:hAnsi="宋体" w:eastAsia="宋体" w:cs="宋体"/>
                <w:b/>
                <w:bCs/>
                <w:kern w:val="44"/>
                <w:szCs w:val="21"/>
              </w:rPr>
            </w:pPr>
            <w:r>
              <w:rPr>
                <w:rFonts w:hint="eastAsia" w:ascii="宋体" w:hAnsi="宋体" w:eastAsia="宋体" w:cs="宋体"/>
                <w:b/>
                <w:bCs/>
                <w:kern w:val="44"/>
                <w:szCs w:val="21"/>
              </w:rPr>
              <w:t>权重</w:t>
            </w:r>
          </w:p>
        </w:tc>
      </w:tr>
      <w:tr w14:paraId="2C27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tcPr>
          <w:p w14:paraId="62809228">
            <w:pPr>
              <w:jc w:val="center"/>
              <w:rPr>
                <w:rFonts w:hint="eastAsia" w:ascii="宋体" w:hAnsi="宋体" w:eastAsia="宋体" w:cs="宋体"/>
                <w:b/>
                <w:bCs/>
                <w:kern w:val="44"/>
                <w:szCs w:val="21"/>
              </w:rPr>
            </w:pPr>
            <w:r>
              <w:rPr>
                <w:rFonts w:hint="eastAsia" w:ascii="宋体" w:hAnsi="宋体" w:eastAsia="宋体" w:cs="宋体"/>
                <w:b/>
                <w:bCs/>
                <w:kern w:val="44"/>
                <w:szCs w:val="21"/>
              </w:rPr>
              <w:t>1</w:t>
            </w:r>
          </w:p>
        </w:tc>
        <w:tc>
          <w:tcPr>
            <w:tcW w:w="2337" w:type="dxa"/>
            <w:gridSpan w:val="3"/>
          </w:tcPr>
          <w:p w14:paraId="61BECEDF">
            <w:pPr>
              <w:jc w:val="center"/>
              <w:rPr>
                <w:rFonts w:hint="eastAsia" w:ascii="宋体" w:hAnsi="宋体" w:eastAsia="宋体" w:cs="宋体"/>
                <w:b/>
                <w:bCs/>
                <w:kern w:val="44"/>
                <w:szCs w:val="21"/>
              </w:rPr>
            </w:pPr>
            <w:r>
              <w:rPr>
                <w:rFonts w:hint="eastAsia" w:ascii="宋体" w:hAnsi="宋体" w:eastAsia="宋体" w:cs="宋体"/>
                <w:b/>
                <w:bCs/>
                <w:kern w:val="44"/>
                <w:szCs w:val="21"/>
              </w:rPr>
              <w:t>价格</w:t>
            </w:r>
          </w:p>
        </w:tc>
        <w:tc>
          <w:tcPr>
            <w:tcW w:w="6172" w:type="dxa"/>
          </w:tcPr>
          <w:p w14:paraId="017BEAC1">
            <w:pPr>
              <w:jc w:val="center"/>
              <w:rPr>
                <w:rFonts w:hint="eastAsia" w:ascii="宋体" w:hAnsi="宋体" w:eastAsia="宋体" w:cs="宋体"/>
                <w:b/>
                <w:bCs/>
                <w:kern w:val="44"/>
                <w:szCs w:val="21"/>
              </w:rPr>
            </w:pPr>
            <w:r>
              <w:rPr>
                <w:rFonts w:hint="eastAsia" w:ascii="宋体" w:hAnsi="宋体" w:eastAsia="宋体" w:cs="宋体"/>
                <w:b/>
                <w:bCs/>
                <w:kern w:val="44"/>
                <w:szCs w:val="21"/>
              </w:rPr>
              <w:t>10</w:t>
            </w:r>
          </w:p>
        </w:tc>
      </w:tr>
      <w:tr w14:paraId="5518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blCellSpacing w:w="0" w:type="dxa"/>
          <w:jc w:val="center"/>
        </w:trPr>
        <w:tc>
          <w:tcPr>
            <w:tcW w:w="559" w:type="dxa"/>
          </w:tcPr>
          <w:p w14:paraId="3E9CCB83">
            <w:pPr>
              <w:jc w:val="center"/>
              <w:rPr>
                <w:rFonts w:hint="eastAsia" w:ascii="宋体" w:hAnsi="宋体" w:eastAsia="宋体" w:cs="宋体"/>
                <w:b/>
                <w:bCs/>
                <w:kern w:val="44"/>
                <w:szCs w:val="21"/>
              </w:rPr>
            </w:pPr>
            <w:r>
              <w:rPr>
                <w:rFonts w:hint="eastAsia" w:ascii="宋体" w:hAnsi="宋体" w:eastAsia="宋体" w:cs="宋体"/>
                <w:b/>
                <w:bCs/>
                <w:kern w:val="44"/>
                <w:szCs w:val="21"/>
              </w:rPr>
              <w:t>2</w:t>
            </w:r>
          </w:p>
        </w:tc>
        <w:tc>
          <w:tcPr>
            <w:tcW w:w="2337" w:type="dxa"/>
            <w:gridSpan w:val="3"/>
          </w:tcPr>
          <w:p w14:paraId="129EE5B2">
            <w:pPr>
              <w:jc w:val="center"/>
              <w:rPr>
                <w:rFonts w:hint="eastAsia" w:ascii="宋体" w:hAnsi="宋体" w:eastAsia="宋体" w:cs="宋体"/>
                <w:b/>
                <w:bCs/>
                <w:kern w:val="44"/>
                <w:szCs w:val="21"/>
              </w:rPr>
            </w:pPr>
            <w:r>
              <w:rPr>
                <w:rFonts w:hint="eastAsia" w:ascii="宋体" w:hAnsi="宋体" w:eastAsia="宋体" w:cs="宋体"/>
                <w:b/>
                <w:bCs/>
                <w:kern w:val="44"/>
                <w:szCs w:val="21"/>
              </w:rPr>
              <w:t>技术部分</w:t>
            </w:r>
          </w:p>
        </w:tc>
        <w:tc>
          <w:tcPr>
            <w:tcW w:w="6172" w:type="dxa"/>
          </w:tcPr>
          <w:p w14:paraId="26831381">
            <w:pPr>
              <w:jc w:val="center"/>
              <w:rPr>
                <w:rFonts w:hint="eastAsia" w:ascii="宋体" w:hAnsi="宋体" w:eastAsia="宋体" w:cs="宋体"/>
                <w:b/>
                <w:bCs/>
                <w:kern w:val="44"/>
                <w:szCs w:val="21"/>
              </w:rPr>
            </w:pPr>
            <w:r>
              <w:rPr>
                <w:rFonts w:hint="eastAsia" w:ascii="宋体" w:hAnsi="宋体" w:eastAsia="宋体" w:cs="宋体"/>
                <w:b/>
                <w:bCs/>
                <w:kern w:val="44"/>
                <w:szCs w:val="21"/>
              </w:rPr>
              <w:t>68</w:t>
            </w:r>
          </w:p>
        </w:tc>
      </w:tr>
      <w:tr w14:paraId="71E0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8" w:hRule="atLeast"/>
          <w:tblCellSpacing w:w="0" w:type="dxa"/>
          <w:jc w:val="center"/>
        </w:trPr>
        <w:tc>
          <w:tcPr>
            <w:tcW w:w="559" w:type="dxa"/>
            <w:vMerge w:val="restart"/>
          </w:tcPr>
          <w:p w14:paraId="710D6C46">
            <w:pPr>
              <w:jc w:val="center"/>
              <w:rPr>
                <w:rFonts w:hint="eastAsia" w:ascii="宋体" w:hAnsi="宋体" w:eastAsia="宋体" w:cs="宋体"/>
                <w:b/>
                <w:bCs/>
                <w:kern w:val="44"/>
                <w:szCs w:val="21"/>
              </w:rPr>
            </w:pPr>
          </w:p>
        </w:tc>
        <w:tc>
          <w:tcPr>
            <w:tcW w:w="591" w:type="dxa"/>
            <w:vAlign w:val="center"/>
          </w:tcPr>
          <w:p w14:paraId="5D28E312">
            <w:pPr>
              <w:jc w:val="center"/>
              <w:rPr>
                <w:rFonts w:hint="eastAsia" w:ascii="宋体" w:hAnsi="宋体" w:eastAsia="宋体" w:cs="宋体"/>
                <w:b/>
                <w:bCs/>
                <w:kern w:val="44"/>
                <w:szCs w:val="21"/>
              </w:rPr>
            </w:pPr>
            <w:r>
              <w:rPr>
                <w:rFonts w:hint="eastAsia" w:ascii="宋体" w:hAnsi="宋体" w:eastAsia="宋体" w:cs="宋体"/>
                <w:b/>
                <w:bCs/>
                <w:kern w:val="44"/>
                <w:szCs w:val="21"/>
              </w:rPr>
              <w:t>序号</w:t>
            </w:r>
          </w:p>
        </w:tc>
        <w:tc>
          <w:tcPr>
            <w:tcW w:w="1030" w:type="dxa"/>
            <w:vAlign w:val="center"/>
          </w:tcPr>
          <w:p w14:paraId="7BCBEC3D">
            <w:pPr>
              <w:jc w:val="center"/>
              <w:rPr>
                <w:rFonts w:hint="eastAsia" w:ascii="宋体" w:hAnsi="宋体" w:eastAsia="宋体" w:cs="宋体"/>
                <w:b/>
                <w:bCs/>
                <w:kern w:val="44"/>
                <w:szCs w:val="21"/>
              </w:rPr>
            </w:pPr>
            <w:r>
              <w:rPr>
                <w:rFonts w:hint="eastAsia" w:ascii="宋体" w:hAnsi="宋体" w:eastAsia="宋体" w:cs="宋体"/>
                <w:b/>
                <w:bCs/>
                <w:kern w:val="44"/>
                <w:szCs w:val="21"/>
              </w:rPr>
              <w:t>评分因素</w:t>
            </w:r>
          </w:p>
        </w:tc>
        <w:tc>
          <w:tcPr>
            <w:tcW w:w="716" w:type="dxa"/>
            <w:vAlign w:val="center"/>
          </w:tcPr>
          <w:p w14:paraId="57B015DA">
            <w:pPr>
              <w:jc w:val="center"/>
              <w:rPr>
                <w:rFonts w:hint="eastAsia" w:ascii="宋体" w:hAnsi="宋体" w:eastAsia="宋体" w:cs="宋体"/>
                <w:b/>
                <w:bCs/>
                <w:kern w:val="44"/>
                <w:szCs w:val="21"/>
              </w:rPr>
            </w:pPr>
            <w:r>
              <w:rPr>
                <w:rFonts w:hint="eastAsia" w:ascii="宋体" w:hAnsi="宋体" w:eastAsia="宋体" w:cs="宋体"/>
                <w:b/>
                <w:bCs/>
                <w:kern w:val="44"/>
                <w:szCs w:val="21"/>
              </w:rPr>
              <w:t>权重</w:t>
            </w:r>
          </w:p>
        </w:tc>
        <w:tc>
          <w:tcPr>
            <w:tcW w:w="6172" w:type="dxa"/>
            <w:vAlign w:val="center"/>
          </w:tcPr>
          <w:p w14:paraId="4180A251">
            <w:pPr>
              <w:jc w:val="center"/>
              <w:rPr>
                <w:rFonts w:hint="eastAsia" w:ascii="宋体" w:hAnsi="宋体" w:eastAsia="宋体" w:cs="宋体"/>
                <w:b/>
                <w:bCs/>
                <w:kern w:val="44"/>
                <w:szCs w:val="21"/>
              </w:rPr>
            </w:pPr>
            <w:r>
              <w:rPr>
                <w:rFonts w:hint="eastAsia" w:ascii="宋体" w:hAnsi="宋体" w:eastAsia="宋体" w:cs="宋体"/>
                <w:b/>
                <w:bCs/>
                <w:kern w:val="44"/>
                <w:szCs w:val="21"/>
              </w:rPr>
              <w:t>评分准则</w:t>
            </w:r>
          </w:p>
        </w:tc>
      </w:tr>
      <w:tr w14:paraId="7EA3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7" w:hRule="atLeast"/>
          <w:tblCellSpacing w:w="0" w:type="dxa"/>
          <w:jc w:val="center"/>
        </w:trPr>
        <w:tc>
          <w:tcPr>
            <w:tcW w:w="559" w:type="dxa"/>
            <w:vMerge w:val="continue"/>
          </w:tcPr>
          <w:p w14:paraId="612FD7E2">
            <w:pPr>
              <w:jc w:val="center"/>
              <w:rPr>
                <w:rFonts w:hint="eastAsia" w:ascii="宋体" w:hAnsi="宋体" w:eastAsia="宋体" w:cs="宋体"/>
                <w:b/>
                <w:bCs/>
                <w:kern w:val="44"/>
                <w:szCs w:val="21"/>
              </w:rPr>
            </w:pPr>
          </w:p>
        </w:tc>
        <w:tc>
          <w:tcPr>
            <w:tcW w:w="591" w:type="dxa"/>
            <w:vAlign w:val="center"/>
          </w:tcPr>
          <w:p w14:paraId="714578FD">
            <w:pPr>
              <w:jc w:val="center"/>
              <w:rPr>
                <w:rFonts w:hint="eastAsia" w:ascii="宋体" w:hAnsi="宋体" w:eastAsia="宋体" w:cs="宋体"/>
                <w:szCs w:val="21"/>
              </w:rPr>
            </w:pPr>
            <w:r>
              <w:rPr>
                <w:rFonts w:hint="eastAsia" w:ascii="宋体" w:hAnsi="宋体" w:eastAsia="宋体" w:cs="宋体"/>
                <w:szCs w:val="21"/>
              </w:rPr>
              <w:t>1</w:t>
            </w:r>
          </w:p>
        </w:tc>
        <w:tc>
          <w:tcPr>
            <w:tcW w:w="1030" w:type="dxa"/>
            <w:vAlign w:val="center"/>
          </w:tcPr>
          <w:p w14:paraId="5B92999A">
            <w:pPr>
              <w:jc w:val="center"/>
              <w:rPr>
                <w:rFonts w:hint="eastAsia" w:ascii="宋体" w:hAnsi="宋体" w:eastAsia="宋体" w:cs="宋体"/>
                <w:szCs w:val="21"/>
              </w:rPr>
            </w:pPr>
            <w:r>
              <w:rPr>
                <w:rFonts w:hint="eastAsia" w:ascii="宋体" w:hAnsi="宋体" w:eastAsia="宋体" w:cs="宋体"/>
                <w:szCs w:val="21"/>
              </w:rPr>
              <w:t>配送服务方案</w:t>
            </w:r>
          </w:p>
        </w:tc>
        <w:tc>
          <w:tcPr>
            <w:tcW w:w="716" w:type="dxa"/>
            <w:vAlign w:val="center"/>
          </w:tcPr>
          <w:p w14:paraId="1C435BDC">
            <w:pPr>
              <w:jc w:val="center"/>
              <w:rPr>
                <w:rFonts w:hint="eastAsia" w:ascii="宋体" w:hAnsi="宋体" w:eastAsia="宋体" w:cs="宋体"/>
                <w:szCs w:val="21"/>
                <w:lang w:eastAsia="zh-CN"/>
              </w:rPr>
            </w:pPr>
            <w:r>
              <w:rPr>
                <w:rFonts w:hint="eastAsia" w:ascii="宋体" w:hAnsi="宋体" w:eastAsia="宋体" w:cs="宋体"/>
                <w:szCs w:val="21"/>
                <w:lang w:val="en-US" w:eastAsia="zh-CN"/>
              </w:rPr>
              <w:t>7</w:t>
            </w:r>
          </w:p>
        </w:tc>
        <w:tc>
          <w:tcPr>
            <w:tcW w:w="6172" w:type="dxa"/>
            <w:vAlign w:val="center"/>
          </w:tcPr>
          <w:p w14:paraId="203F172C">
            <w:pPr>
              <w:widowControl/>
              <w:wordWrap w:val="0"/>
              <w:jc w:val="left"/>
              <w:rPr>
                <w:rFonts w:hint="eastAsia" w:ascii="宋体" w:hAnsi="宋体" w:eastAsia="宋体" w:cs="宋体"/>
                <w:szCs w:val="21"/>
              </w:rPr>
            </w:pPr>
            <w:r>
              <w:rPr>
                <w:rFonts w:hint="eastAsia" w:ascii="宋体" w:hAnsi="宋体" w:eastAsia="宋体" w:cs="宋体"/>
                <w:b/>
                <w:kern w:val="0"/>
                <w:szCs w:val="21"/>
              </w:rPr>
              <w:t>（一）评审内容：</w:t>
            </w:r>
          </w:p>
          <w:p w14:paraId="1037C1E5">
            <w:pPr>
              <w:rPr>
                <w:rFonts w:hint="eastAsia" w:ascii="宋体" w:hAnsi="宋体" w:eastAsia="宋体" w:cs="宋体"/>
                <w:szCs w:val="21"/>
              </w:rPr>
            </w:pPr>
            <w:r>
              <w:rPr>
                <w:rFonts w:hint="eastAsia" w:ascii="宋体" w:hAnsi="宋体" w:eastAsia="宋体" w:cs="宋体"/>
                <w:szCs w:val="21"/>
              </w:rPr>
              <w:t>考察投标人针对本项目提供的配送服务方案</w:t>
            </w:r>
            <w:r>
              <w:rPr>
                <w:rFonts w:hint="eastAsia" w:ascii="宋体" w:hAnsi="宋体" w:eastAsia="宋体" w:cs="宋体"/>
                <w:kern w:val="0"/>
                <w:szCs w:val="21"/>
              </w:rPr>
              <w:t>，包括以下内容：</w:t>
            </w:r>
          </w:p>
          <w:p w14:paraId="54E49AAB">
            <w:pPr>
              <w:rPr>
                <w:rFonts w:hint="eastAsia" w:ascii="宋体" w:hAnsi="宋体" w:eastAsia="宋体" w:cs="宋体"/>
                <w:szCs w:val="21"/>
              </w:rPr>
            </w:pPr>
            <w:r>
              <w:rPr>
                <w:rFonts w:hint="eastAsia" w:ascii="宋体" w:hAnsi="宋体" w:eastAsia="宋体" w:cs="宋体"/>
                <w:szCs w:val="21"/>
              </w:rPr>
              <w:t>1.货源、采购渠道；</w:t>
            </w:r>
          </w:p>
          <w:p w14:paraId="24702F35">
            <w:pPr>
              <w:rPr>
                <w:rFonts w:hint="eastAsia" w:ascii="宋体" w:hAnsi="宋体" w:eastAsia="宋体" w:cs="宋体"/>
                <w:szCs w:val="21"/>
              </w:rPr>
            </w:pPr>
            <w:r>
              <w:rPr>
                <w:rFonts w:hint="eastAsia" w:ascii="宋体" w:hAnsi="宋体" w:eastAsia="宋体" w:cs="宋体"/>
                <w:szCs w:val="21"/>
              </w:rPr>
              <w:t>2.供货保障；</w:t>
            </w:r>
          </w:p>
          <w:p w14:paraId="4CF7E293">
            <w:pPr>
              <w:rPr>
                <w:rFonts w:hint="eastAsia" w:ascii="宋体" w:hAnsi="宋体" w:eastAsia="宋体" w:cs="宋体"/>
                <w:szCs w:val="21"/>
              </w:rPr>
            </w:pPr>
            <w:r>
              <w:rPr>
                <w:rFonts w:hint="eastAsia" w:ascii="宋体" w:hAnsi="宋体" w:eastAsia="宋体" w:cs="宋体"/>
                <w:szCs w:val="21"/>
              </w:rPr>
              <w:t>3.品质监控；</w:t>
            </w:r>
          </w:p>
          <w:p w14:paraId="78013BDE">
            <w:pPr>
              <w:rPr>
                <w:rFonts w:hint="eastAsia" w:ascii="宋体" w:hAnsi="宋体" w:eastAsia="宋体" w:cs="宋体"/>
                <w:szCs w:val="21"/>
              </w:rPr>
            </w:pPr>
            <w:r>
              <w:rPr>
                <w:rFonts w:hint="eastAsia" w:ascii="宋体" w:hAnsi="宋体" w:eastAsia="宋体" w:cs="宋体"/>
                <w:szCs w:val="21"/>
              </w:rPr>
              <w:t>4.日常管理组织；</w:t>
            </w:r>
          </w:p>
          <w:p w14:paraId="7B31FC55">
            <w:pPr>
              <w:rPr>
                <w:rFonts w:hint="eastAsia" w:ascii="宋体" w:hAnsi="宋体" w:eastAsia="宋体" w:cs="宋体"/>
                <w:szCs w:val="21"/>
              </w:rPr>
            </w:pPr>
            <w:r>
              <w:rPr>
                <w:rFonts w:hint="eastAsia" w:ascii="宋体" w:hAnsi="宋体" w:eastAsia="宋体" w:cs="宋体"/>
                <w:szCs w:val="21"/>
              </w:rPr>
              <w:t>5.质量安全控制措施（包括食品来源、入库、出库等全过程的检测与监管措施）。</w:t>
            </w:r>
          </w:p>
          <w:p w14:paraId="6005C859">
            <w:pPr>
              <w:rPr>
                <w:rFonts w:hint="eastAsia" w:ascii="宋体" w:hAnsi="宋体" w:eastAsia="宋体" w:cs="宋体"/>
                <w:szCs w:val="21"/>
              </w:rPr>
            </w:pPr>
            <w:r>
              <w:rPr>
                <w:rFonts w:hint="eastAsia" w:ascii="宋体" w:hAnsi="宋体" w:eastAsia="宋体" w:cs="宋体"/>
                <w:b/>
                <w:bCs/>
                <w:szCs w:val="21"/>
              </w:rPr>
              <w:t>（二）评分依据：</w:t>
            </w:r>
            <w:r>
              <w:rPr>
                <w:rFonts w:hint="eastAsia" w:ascii="宋体" w:hAnsi="宋体" w:eastAsia="宋体" w:cs="宋体"/>
                <w:szCs w:val="21"/>
              </w:rPr>
              <w:t xml:space="preserve"> </w:t>
            </w:r>
          </w:p>
          <w:p w14:paraId="465EFB0A">
            <w:pPr>
              <w:rPr>
                <w:rFonts w:hint="eastAsia" w:ascii="宋体" w:hAnsi="宋体" w:eastAsia="宋体" w:cs="宋体"/>
                <w:szCs w:val="21"/>
              </w:rPr>
            </w:pPr>
            <w:r>
              <w:rPr>
                <w:rFonts w:hint="eastAsia" w:ascii="宋体" w:hAnsi="宋体" w:eastAsia="宋体" w:cs="宋体"/>
                <w:szCs w:val="21"/>
              </w:rPr>
              <w:t>1.每提供上述任意一项内容得12分，本小项累计最高得60分。</w:t>
            </w:r>
          </w:p>
          <w:p w14:paraId="710FC093">
            <w:pPr>
              <w:rPr>
                <w:rFonts w:hint="eastAsia" w:ascii="宋体" w:hAnsi="宋体" w:eastAsia="宋体" w:cs="宋体"/>
                <w:szCs w:val="21"/>
              </w:rPr>
            </w:pPr>
            <w:r>
              <w:rPr>
                <w:rFonts w:hint="eastAsia" w:ascii="宋体" w:hAnsi="宋体" w:eastAsia="宋体" w:cs="宋体"/>
                <w:szCs w:val="21"/>
              </w:rPr>
              <w:t>2.在此基础（第1项得分）上，评审委员会根据各投标人的具体响应内容进行进一步评审：</w:t>
            </w:r>
          </w:p>
          <w:p w14:paraId="5896A0EF">
            <w:pPr>
              <w:rPr>
                <w:rFonts w:hint="eastAsia" w:ascii="宋体" w:hAnsi="宋体" w:eastAsia="宋体" w:cs="宋体"/>
                <w:szCs w:val="21"/>
              </w:rPr>
            </w:pPr>
            <w:r>
              <w:rPr>
                <w:rFonts w:hint="eastAsia" w:ascii="宋体" w:hAnsi="宋体" w:eastAsia="宋体" w:cs="宋体"/>
                <w:szCs w:val="21"/>
              </w:rPr>
              <w:t>优评分标准:优于采购需求的，且方案符合实际、完整、详细、规范、思路清晰，内容合理性强，得40分；</w:t>
            </w:r>
          </w:p>
          <w:p w14:paraId="54E7420D">
            <w:pPr>
              <w:rPr>
                <w:rFonts w:hint="eastAsia" w:ascii="宋体" w:hAnsi="宋体" w:eastAsia="宋体" w:cs="宋体"/>
                <w:szCs w:val="21"/>
              </w:rPr>
            </w:pPr>
            <w:r>
              <w:rPr>
                <w:rFonts w:hint="eastAsia" w:ascii="宋体" w:hAnsi="宋体" w:eastAsia="宋体" w:cs="宋体"/>
                <w:szCs w:val="21"/>
              </w:rPr>
              <w:t>良评分标准:项目实施方案完全满足采购需求，且方案较符合实际、较完整规范、思路较清晰，内容合理性较强，得25分；</w:t>
            </w:r>
          </w:p>
          <w:p w14:paraId="1279817A">
            <w:pPr>
              <w:rPr>
                <w:rFonts w:hint="eastAsia" w:ascii="宋体" w:hAnsi="宋体" w:eastAsia="宋体" w:cs="宋体"/>
                <w:szCs w:val="21"/>
              </w:rPr>
            </w:pPr>
            <w:r>
              <w:rPr>
                <w:rFonts w:hint="eastAsia" w:ascii="宋体" w:hAnsi="宋体" w:eastAsia="宋体" w:cs="宋体"/>
                <w:szCs w:val="21"/>
              </w:rPr>
              <w:t>中评分标准:项目实施方案部分满足采购需求，且方案较普通、完整性规范性一般，思路不够清晰，内容合理性一般，得10分；</w:t>
            </w:r>
          </w:p>
          <w:p w14:paraId="62A89527">
            <w:pPr>
              <w:rPr>
                <w:rFonts w:hint="eastAsia" w:ascii="宋体" w:hAnsi="宋体" w:eastAsia="宋体" w:cs="宋体"/>
                <w:szCs w:val="21"/>
              </w:rPr>
            </w:pPr>
            <w:r>
              <w:rPr>
                <w:rFonts w:hint="eastAsia" w:ascii="宋体" w:hAnsi="宋体" w:eastAsia="宋体" w:cs="宋体"/>
                <w:szCs w:val="21"/>
              </w:rPr>
              <w:t>差评分标准：项目实施方案差的或提供不清晰导致专家无法判断的不得分。</w:t>
            </w:r>
          </w:p>
          <w:p w14:paraId="336E6B42">
            <w:pPr>
              <w:rPr>
                <w:rFonts w:hint="eastAsia" w:ascii="宋体" w:hAnsi="宋体" w:eastAsia="宋体" w:cs="宋体"/>
                <w:szCs w:val="21"/>
              </w:rPr>
            </w:pPr>
            <w:r>
              <w:rPr>
                <w:rFonts w:hint="eastAsia" w:ascii="宋体" w:hAnsi="宋体" w:eastAsia="宋体" w:cs="宋体"/>
                <w:szCs w:val="21"/>
              </w:rPr>
              <w:t>备注：投标人未提供相应方案的，得0分。</w:t>
            </w:r>
          </w:p>
          <w:p w14:paraId="771F4F4C">
            <w:pPr>
              <w:rPr>
                <w:rFonts w:hint="eastAsia" w:ascii="宋体" w:hAnsi="宋体" w:eastAsia="宋体" w:cs="宋体"/>
                <w:szCs w:val="21"/>
              </w:rPr>
            </w:pPr>
            <w:r>
              <w:rPr>
                <w:rFonts w:hint="eastAsia" w:ascii="宋体" w:hAnsi="宋体" w:eastAsia="宋体" w:cs="宋体"/>
                <w:szCs w:val="21"/>
              </w:rPr>
              <w:t>以上两项得分累计，最高得100分。</w:t>
            </w:r>
          </w:p>
        </w:tc>
      </w:tr>
      <w:tr w14:paraId="79D2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7" w:hRule="atLeast"/>
          <w:tblCellSpacing w:w="0" w:type="dxa"/>
          <w:jc w:val="center"/>
        </w:trPr>
        <w:tc>
          <w:tcPr>
            <w:tcW w:w="559" w:type="dxa"/>
            <w:vMerge w:val="continue"/>
          </w:tcPr>
          <w:p w14:paraId="1F9B94DB">
            <w:pPr>
              <w:jc w:val="center"/>
              <w:rPr>
                <w:rFonts w:hint="eastAsia" w:ascii="宋体" w:hAnsi="宋体" w:eastAsia="宋体" w:cs="宋体"/>
                <w:b/>
                <w:bCs/>
                <w:kern w:val="44"/>
                <w:szCs w:val="21"/>
              </w:rPr>
            </w:pPr>
          </w:p>
        </w:tc>
        <w:tc>
          <w:tcPr>
            <w:tcW w:w="591" w:type="dxa"/>
            <w:vAlign w:val="center"/>
          </w:tcPr>
          <w:p w14:paraId="7DA47B8B">
            <w:pPr>
              <w:jc w:val="center"/>
              <w:rPr>
                <w:rFonts w:hint="eastAsia" w:ascii="宋体" w:hAnsi="宋体" w:eastAsia="宋体" w:cs="宋体"/>
                <w:szCs w:val="21"/>
              </w:rPr>
            </w:pPr>
            <w:r>
              <w:rPr>
                <w:rFonts w:hint="eastAsia" w:ascii="宋体" w:hAnsi="宋体" w:eastAsia="宋体" w:cs="宋体"/>
                <w:szCs w:val="21"/>
              </w:rPr>
              <w:t>2</w:t>
            </w:r>
          </w:p>
        </w:tc>
        <w:tc>
          <w:tcPr>
            <w:tcW w:w="1030" w:type="dxa"/>
            <w:vAlign w:val="center"/>
          </w:tcPr>
          <w:p w14:paraId="18AFEBD3">
            <w:pPr>
              <w:jc w:val="center"/>
              <w:rPr>
                <w:rFonts w:hint="eastAsia" w:ascii="宋体" w:hAnsi="宋体" w:eastAsia="宋体" w:cs="宋体"/>
                <w:szCs w:val="21"/>
              </w:rPr>
            </w:pPr>
            <w:r>
              <w:rPr>
                <w:rFonts w:hint="eastAsia" w:ascii="宋体" w:hAnsi="宋体" w:eastAsia="宋体" w:cs="宋体"/>
                <w:szCs w:val="21"/>
              </w:rPr>
              <w:t>质量保证方案</w:t>
            </w:r>
          </w:p>
        </w:tc>
        <w:tc>
          <w:tcPr>
            <w:tcW w:w="716" w:type="dxa"/>
            <w:vAlign w:val="center"/>
          </w:tcPr>
          <w:p w14:paraId="776BF6AD">
            <w:pPr>
              <w:jc w:val="center"/>
              <w:rPr>
                <w:rFonts w:hint="eastAsia" w:ascii="宋体" w:hAnsi="宋体" w:eastAsia="宋体" w:cs="宋体"/>
                <w:szCs w:val="21"/>
                <w:lang w:eastAsia="zh-CN"/>
              </w:rPr>
            </w:pPr>
            <w:r>
              <w:rPr>
                <w:rFonts w:hint="eastAsia" w:ascii="宋体" w:hAnsi="宋体" w:eastAsia="宋体" w:cs="宋体"/>
                <w:szCs w:val="21"/>
                <w:lang w:val="en-US" w:eastAsia="zh-CN"/>
              </w:rPr>
              <w:t>7</w:t>
            </w:r>
          </w:p>
        </w:tc>
        <w:tc>
          <w:tcPr>
            <w:tcW w:w="6172" w:type="dxa"/>
            <w:vAlign w:val="center"/>
          </w:tcPr>
          <w:p w14:paraId="3D462621">
            <w:pPr>
              <w:widowControl/>
              <w:wordWrap w:val="0"/>
              <w:jc w:val="left"/>
              <w:rPr>
                <w:rFonts w:hint="eastAsia" w:ascii="宋体" w:hAnsi="宋体" w:eastAsia="宋体" w:cs="宋体"/>
                <w:szCs w:val="21"/>
              </w:rPr>
            </w:pPr>
            <w:r>
              <w:rPr>
                <w:rFonts w:hint="eastAsia" w:ascii="宋体" w:hAnsi="宋体" w:eastAsia="宋体" w:cs="宋体"/>
                <w:b/>
                <w:kern w:val="0"/>
                <w:szCs w:val="21"/>
              </w:rPr>
              <w:t>（一）评审内容：</w:t>
            </w:r>
            <w:r>
              <w:rPr>
                <w:rFonts w:hint="eastAsia" w:ascii="宋体" w:hAnsi="宋体" w:eastAsia="宋体" w:cs="宋体"/>
                <w:szCs w:val="21"/>
              </w:rPr>
              <w:t xml:space="preserve"> </w:t>
            </w:r>
          </w:p>
          <w:p w14:paraId="5E42D262">
            <w:pPr>
              <w:rPr>
                <w:rFonts w:hint="eastAsia" w:ascii="宋体" w:hAnsi="宋体" w:eastAsia="宋体" w:cs="宋体"/>
                <w:kern w:val="0"/>
                <w:szCs w:val="21"/>
              </w:rPr>
            </w:pPr>
            <w:r>
              <w:rPr>
                <w:rFonts w:hint="eastAsia" w:ascii="宋体" w:hAnsi="宋体" w:eastAsia="宋体" w:cs="宋体"/>
                <w:szCs w:val="21"/>
              </w:rPr>
              <w:t>考察投标人针对本项目提供的质量保证方案</w:t>
            </w:r>
            <w:r>
              <w:rPr>
                <w:rFonts w:hint="eastAsia" w:ascii="宋体" w:hAnsi="宋体" w:eastAsia="宋体" w:cs="宋体"/>
                <w:kern w:val="0"/>
                <w:szCs w:val="21"/>
              </w:rPr>
              <w:t>，包括以下内容：</w:t>
            </w:r>
          </w:p>
          <w:p w14:paraId="6E84D363">
            <w:pPr>
              <w:rPr>
                <w:rFonts w:hint="eastAsia" w:ascii="宋体" w:hAnsi="宋体" w:eastAsia="宋体" w:cs="宋体"/>
                <w:szCs w:val="21"/>
              </w:rPr>
            </w:pPr>
            <w:r>
              <w:rPr>
                <w:rFonts w:hint="eastAsia" w:ascii="宋体" w:hAnsi="宋体" w:eastAsia="宋体" w:cs="宋体"/>
                <w:szCs w:val="21"/>
              </w:rPr>
              <w:t>1.货物的来源；</w:t>
            </w:r>
          </w:p>
          <w:p w14:paraId="29918D7D">
            <w:pPr>
              <w:rPr>
                <w:rFonts w:hint="eastAsia" w:ascii="宋体" w:hAnsi="宋体" w:eastAsia="宋体" w:cs="宋体"/>
                <w:szCs w:val="21"/>
              </w:rPr>
            </w:pPr>
            <w:r>
              <w:rPr>
                <w:rFonts w:hint="eastAsia" w:ascii="宋体" w:hAnsi="宋体" w:eastAsia="宋体" w:cs="宋体"/>
                <w:szCs w:val="21"/>
              </w:rPr>
              <w:t>2.货物的加工；</w:t>
            </w:r>
          </w:p>
          <w:p w14:paraId="0E84BB00">
            <w:pPr>
              <w:rPr>
                <w:rFonts w:hint="eastAsia" w:ascii="宋体" w:hAnsi="宋体" w:eastAsia="宋体" w:cs="宋体"/>
                <w:szCs w:val="21"/>
              </w:rPr>
            </w:pPr>
            <w:r>
              <w:rPr>
                <w:rFonts w:hint="eastAsia" w:ascii="宋体" w:hAnsi="宋体" w:eastAsia="宋体" w:cs="宋体"/>
                <w:szCs w:val="21"/>
              </w:rPr>
              <w:t>3.货物的包装；</w:t>
            </w:r>
          </w:p>
          <w:p w14:paraId="69B21382">
            <w:pPr>
              <w:rPr>
                <w:rFonts w:hint="eastAsia" w:ascii="宋体" w:hAnsi="宋体" w:eastAsia="宋体" w:cs="宋体"/>
                <w:szCs w:val="21"/>
              </w:rPr>
            </w:pPr>
            <w:r>
              <w:rPr>
                <w:rFonts w:hint="eastAsia" w:ascii="宋体" w:hAnsi="宋体" w:eastAsia="宋体" w:cs="宋体"/>
                <w:szCs w:val="21"/>
              </w:rPr>
              <w:t>4.货物的保存；</w:t>
            </w:r>
          </w:p>
          <w:p w14:paraId="1943B374">
            <w:pPr>
              <w:rPr>
                <w:rFonts w:hint="eastAsia" w:ascii="宋体" w:hAnsi="宋体" w:eastAsia="宋体" w:cs="宋体"/>
                <w:szCs w:val="21"/>
              </w:rPr>
            </w:pPr>
            <w:r>
              <w:rPr>
                <w:rFonts w:hint="eastAsia" w:ascii="宋体" w:hAnsi="宋体" w:eastAsia="宋体" w:cs="宋体"/>
                <w:szCs w:val="21"/>
              </w:rPr>
              <w:t>5.货物的运输。</w:t>
            </w:r>
          </w:p>
          <w:p w14:paraId="0F2A7669">
            <w:pPr>
              <w:numPr>
                <w:ilvl w:val="0"/>
                <w:numId w:val="7"/>
              </w:numPr>
              <w:rPr>
                <w:rFonts w:hint="eastAsia" w:ascii="宋体" w:hAnsi="宋体" w:eastAsia="宋体" w:cs="宋体"/>
                <w:b/>
                <w:bCs/>
                <w:szCs w:val="21"/>
              </w:rPr>
            </w:pPr>
            <w:r>
              <w:rPr>
                <w:rFonts w:hint="eastAsia" w:ascii="宋体" w:hAnsi="宋体" w:eastAsia="宋体" w:cs="宋体"/>
                <w:b/>
                <w:bCs/>
                <w:szCs w:val="21"/>
              </w:rPr>
              <w:t>评分依据：</w:t>
            </w:r>
          </w:p>
          <w:p w14:paraId="15A1B156">
            <w:pPr>
              <w:rPr>
                <w:rFonts w:hint="eastAsia" w:ascii="宋体" w:hAnsi="宋体" w:eastAsia="宋体" w:cs="宋体"/>
                <w:szCs w:val="21"/>
              </w:rPr>
            </w:pPr>
            <w:r>
              <w:rPr>
                <w:rFonts w:hint="eastAsia" w:ascii="宋体" w:hAnsi="宋体" w:eastAsia="宋体" w:cs="宋体"/>
                <w:szCs w:val="21"/>
              </w:rPr>
              <w:t>1.每提供上述任意一项内容得12分，本小项累计最高得60分。</w:t>
            </w:r>
          </w:p>
          <w:p w14:paraId="2F1762E1">
            <w:pPr>
              <w:rPr>
                <w:rFonts w:hint="eastAsia" w:ascii="宋体" w:hAnsi="宋体" w:eastAsia="宋体" w:cs="宋体"/>
                <w:szCs w:val="21"/>
              </w:rPr>
            </w:pPr>
            <w:r>
              <w:rPr>
                <w:rFonts w:hint="eastAsia" w:ascii="宋体" w:hAnsi="宋体" w:eastAsia="宋体" w:cs="宋体"/>
                <w:szCs w:val="21"/>
              </w:rPr>
              <w:t>2.在此基础（第1项得分）上，评审委员会根据各投标人的具体响应内容进行进一步评审：</w:t>
            </w:r>
          </w:p>
          <w:p w14:paraId="46F5951A">
            <w:pPr>
              <w:rPr>
                <w:rFonts w:hint="eastAsia" w:ascii="宋体" w:hAnsi="宋体" w:eastAsia="宋体" w:cs="宋体"/>
                <w:szCs w:val="21"/>
              </w:rPr>
            </w:pPr>
            <w:r>
              <w:rPr>
                <w:rFonts w:hint="eastAsia" w:ascii="宋体" w:hAnsi="宋体" w:eastAsia="宋体" w:cs="宋体"/>
                <w:szCs w:val="21"/>
              </w:rPr>
              <w:t>优评分标准:优于采购需求的，且方案符合实际、完整、详细、规范、思路清晰，内容合理性强，得40分；</w:t>
            </w:r>
          </w:p>
          <w:p w14:paraId="49628A07">
            <w:pPr>
              <w:rPr>
                <w:rFonts w:hint="eastAsia" w:ascii="宋体" w:hAnsi="宋体" w:eastAsia="宋体" w:cs="宋体"/>
                <w:szCs w:val="21"/>
              </w:rPr>
            </w:pPr>
            <w:r>
              <w:rPr>
                <w:rFonts w:hint="eastAsia" w:ascii="宋体" w:hAnsi="宋体" w:eastAsia="宋体" w:cs="宋体"/>
                <w:szCs w:val="21"/>
              </w:rPr>
              <w:t>良评分标准:项目实施方案完全满足采购需求，且方案较符合实际、较完整规范、思路较清晰，内容合理性较强，得25分；</w:t>
            </w:r>
          </w:p>
          <w:p w14:paraId="6A07BDF6">
            <w:pPr>
              <w:rPr>
                <w:rFonts w:hint="eastAsia" w:ascii="宋体" w:hAnsi="宋体" w:eastAsia="宋体" w:cs="宋体"/>
                <w:szCs w:val="21"/>
              </w:rPr>
            </w:pPr>
            <w:r>
              <w:rPr>
                <w:rFonts w:hint="eastAsia" w:ascii="宋体" w:hAnsi="宋体" w:eastAsia="宋体" w:cs="宋体"/>
                <w:szCs w:val="21"/>
              </w:rPr>
              <w:t>中评分标准:项目实施方案部分满足采购需求，且方案较普通、完整性规范性一般，思路不够清晰，内容合理性一般，得10分；</w:t>
            </w:r>
          </w:p>
          <w:p w14:paraId="0440E2A8">
            <w:pPr>
              <w:rPr>
                <w:rFonts w:hint="eastAsia" w:ascii="宋体" w:hAnsi="宋体" w:eastAsia="宋体" w:cs="宋体"/>
                <w:szCs w:val="21"/>
              </w:rPr>
            </w:pPr>
            <w:r>
              <w:rPr>
                <w:rFonts w:hint="eastAsia" w:ascii="宋体" w:hAnsi="宋体" w:eastAsia="宋体" w:cs="宋体"/>
                <w:szCs w:val="21"/>
              </w:rPr>
              <w:t>差评分标准：项目实施方案差的或提供不清晰导致专家无法判断的不得分。</w:t>
            </w:r>
          </w:p>
          <w:p w14:paraId="5D2631E1">
            <w:pPr>
              <w:rPr>
                <w:rFonts w:hint="eastAsia" w:ascii="宋体" w:hAnsi="宋体" w:eastAsia="宋体" w:cs="宋体"/>
                <w:szCs w:val="21"/>
              </w:rPr>
            </w:pPr>
            <w:r>
              <w:rPr>
                <w:rFonts w:hint="eastAsia" w:ascii="宋体" w:hAnsi="宋体" w:eastAsia="宋体" w:cs="宋体"/>
                <w:szCs w:val="21"/>
              </w:rPr>
              <w:t>备注：投标人未提供相应方案的，得0分。</w:t>
            </w:r>
          </w:p>
          <w:p w14:paraId="66F795EF">
            <w:pPr>
              <w:rPr>
                <w:rFonts w:hint="eastAsia" w:ascii="宋体" w:hAnsi="宋体" w:eastAsia="宋体" w:cs="宋体"/>
                <w:szCs w:val="21"/>
              </w:rPr>
            </w:pPr>
            <w:r>
              <w:rPr>
                <w:rFonts w:hint="eastAsia" w:ascii="宋体" w:hAnsi="宋体" w:eastAsia="宋体" w:cs="宋体"/>
                <w:szCs w:val="21"/>
              </w:rPr>
              <w:t>以上两项得分累计，最高得100分。</w:t>
            </w:r>
          </w:p>
        </w:tc>
      </w:tr>
      <w:tr w14:paraId="6EA1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7" w:hRule="atLeast"/>
          <w:tblCellSpacing w:w="0" w:type="dxa"/>
          <w:jc w:val="center"/>
        </w:trPr>
        <w:tc>
          <w:tcPr>
            <w:tcW w:w="559" w:type="dxa"/>
            <w:vMerge w:val="continue"/>
          </w:tcPr>
          <w:p w14:paraId="2F9C3B05">
            <w:pPr>
              <w:jc w:val="center"/>
              <w:rPr>
                <w:rFonts w:hint="eastAsia" w:ascii="宋体" w:hAnsi="宋体" w:eastAsia="宋体" w:cs="宋体"/>
                <w:b/>
                <w:bCs/>
                <w:kern w:val="44"/>
                <w:szCs w:val="21"/>
              </w:rPr>
            </w:pPr>
          </w:p>
        </w:tc>
        <w:tc>
          <w:tcPr>
            <w:tcW w:w="591" w:type="dxa"/>
            <w:vAlign w:val="center"/>
          </w:tcPr>
          <w:p w14:paraId="51FE111D">
            <w:pPr>
              <w:jc w:val="center"/>
              <w:rPr>
                <w:rFonts w:hint="eastAsia" w:ascii="宋体" w:hAnsi="宋体" w:eastAsia="宋体" w:cs="宋体"/>
                <w:szCs w:val="21"/>
              </w:rPr>
            </w:pPr>
            <w:r>
              <w:rPr>
                <w:rFonts w:hint="eastAsia" w:ascii="宋体" w:hAnsi="宋体" w:eastAsia="宋体" w:cs="宋体"/>
                <w:szCs w:val="21"/>
              </w:rPr>
              <w:t>3</w:t>
            </w:r>
          </w:p>
        </w:tc>
        <w:tc>
          <w:tcPr>
            <w:tcW w:w="1030" w:type="dxa"/>
            <w:vAlign w:val="center"/>
          </w:tcPr>
          <w:p w14:paraId="4BE37391">
            <w:pPr>
              <w:jc w:val="center"/>
              <w:rPr>
                <w:rFonts w:hint="eastAsia" w:ascii="宋体" w:hAnsi="宋体" w:eastAsia="宋体" w:cs="宋体"/>
                <w:szCs w:val="21"/>
              </w:rPr>
            </w:pPr>
            <w:r>
              <w:rPr>
                <w:rFonts w:hint="eastAsia" w:ascii="宋体" w:hAnsi="宋体" w:eastAsia="宋体" w:cs="宋体"/>
                <w:szCs w:val="21"/>
              </w:rPr>
              <w:t>应急方案</w:t>
            </w:r>
          </w:p>
        </w:tc>
        <w:tc>
          <w:tcPr>
            <w:tcW w:w="716" w:type="dxa"/>
            <w:vAlign w:val="center"/>
          </w:tcPr>
          <w:p w14:paraId="7290EFF2">
            <w:pPr>
              <w:jc w:val="center"/>
              <w:rPr>
                <w:rFonts w:hint="eastAsia" w:ascii="宋体" w:hAnsi="宋体" w:eastAsia="宋体" w:cs="宋体"/>
                <w:szCs w:val="21"/>
                <w:lang w:eastAsia="zh-CN"/>
              </w:rPr>
            </w:pPr>
            <w:r>
              <w:rPr>
                <w:rFonts w:hint="eastAsia" w:ascii="宋体" w:hAnsi="宋体" w:eastAsia="宋体" w:cs="宋体"/>
                <w:szCs w:val="21"/>
                <w:lang w:val="en-US" w:eastAsia="zh-CN"/>
              </w:rPr>
              <w:t>6</w:t>
            </w:r>
          </w:p>
        </w:tc>
        <w:tc>
          <w:tcPr>
            <w:tcW w:w="6172" w:type="dxa"/>
            <w:vAlign w:val="center"/>
          </w:tcPr>
          <w:p w14:paraId="216A7A18">
            <w:pPr>
              <w:widowControl/>
              <w:wordWrap w:val="0"/>
              <w:jc w:val="left"/>
              <w:rPr>
                <w:rFonts w:hint="eastAsia" w:ascii="宋体" w:hAnsi="宋体" w:eastAsia="宋体" w:cs="宋体"/>
                <w:b/>
                <w:kern w:val="0"/>
                <w:szCs w:val="21"/>
              </w:rPr>
            </w:pPr>
            <w:r>
              <w:rPr>
                <w:rFonts w:hint="eastAsia" w:ascii="宋体" w:hAnsi="宋体" w:eastAsia="宋体" w:cs="宋体"/>
                <w:b/>
                <w:kern w:val="0"/>
                <w:szCs w:val="21"/>
              </w:rPr>
              <w:t>（一）评审内容：</w:t>
            </w:r>
          </w:p>
          <w:p w14:paraId="7F19C69C">
            <w:pPr>
              <w:widowControl/>
              <w:wordWrap w:val="0"/>
              <w:jc w:val="left"/>
              <w:rPr>
                <w:rFonts w:hint="eastAsia" w:ascii="宋体" w:hAnsi="宋体" w:eastAsia="宋体" w:cs="宋体"/>
                <w:kern w:val="0"/>
                <w:szCs w:val="21"/>
              </w:rPr>
            </w:pPr>
            <w:r>
              <w:rPr>
                <w:rFonts w:hint="eastAsia" w:ascii="宋体" w:hAnsi="宋体" w:eastAsia="宋体" w:cs="宋体"/>
                <w:szCs w:val="21"/>
              </w:rPr>
              <w:t>考察投标人针对本项目提供的应急方案</w:t>
            </w:r>
            <w:r>
              <w:rPr>
                <w:rFonts w:hint="eastAsia" w:ascii="宋体" w:hAnsi="宋体" w:eastAsia="宋体" w:cs="宋体"/>
                <w:kern w:val="0"/>
                <w:szCs w:val="21"/>
              </w:rPr>
              <w:t>，包括以下内容：</w:t>
            </w:r>
          </w:p>
          <w:p w14:paraId="7DE6C9F6">
            <w:pPr>
              <w:widowControl/>
              <w:wordWrap w:val="0"/>
              <w:jc w:val="left"/>
              <w:rPr>
                <w:rFonts w:hint="eastAsia" w:ascii="宋体" w:hAnsi="宋体" w:eastAsia="宋体" w:cs="宋体"/>
                <w:kern w:val="0"/>
                <w:szCs w:val="21"/>
              </w:rPr>
            </w:pPr>
            <w:r>
              <w:rPr>
                <w:rFonts w:hint="eastAsia" w:ascii="宋体" w:hAnsi="宋体" w:eastAsia="宋体" w:cs="宋体"/>
                <w:kern w:val="0"/>
                <w:szCs w:val="21"/>
              </w:rPr>
              <w:t>1.就餐人数浮动需增加配送份额或者临时配送需求、响应时间及配送时效解决方案;</w:t>
            </w:r>
          </w:p>
          <w:p w14:paraId="301665FD">
            <w:pPr>
              <w:widowControl/>
              <w:wordWrap w:val="0"/>
              <w:jc w:val="left"/>
              <w:rPr>
                <w:rFonts w:hint="eastAsia" w:ascii="宋体" w:hAnsi="宋体" w:eastAsia="宋体" w:cs="宋体"/>
                <w:kern w:val="0"/>
                <w:szCs w:val="21"/>
              </w:rPr>
            </w:pPr>
            <w:r>
              <w:rPr>
                <w:rFonts w:hint="eastAsia" w:ascii="宋体" w:hAnsi="宋体" w:eastAsia="宋体" w:cs="宋体"/>
                <w:kern w:val="0"/>
                <w:szCs w:val="21"/>
              </w:rPr>
              <w:t>2.遇台风、暴雨恶劣天气配送解决方案;</w:t>
            </w:r>
          </w:p>
          <w:p w14:paraId="04C558EB">
            <w:pPr>
              <w:widowControl/>
              <w:wordWrap w:val="0"/>
              <w:jc w:val="left"/>
              <w:rPr>
                <w:rFonts w:hint="eastAsia" w:ascii="宋体" w:hAnsi="宋体" w:eastAsia="宋体" w:cs="宋体"/>
                <w:kern w:val="0"/>
                <w:szCs w:val="21"/>
              </w:rPr>
            </w:pPr>
            <w:r>
              <w:rPr>
                <w:rFonts w:hint="eastAsia" w:ascii="宋体" w:hAnsi="宋体" w:eastAsia="宋体" w:cs="宋体"/>
                <w:kern w:val="0"/>
                <w:szCs w:val="21"/>
              </w:rPr>
              <w:t>3.中标人所提供的产品质量不符合要求,需要更换问题产品的解决方案;</w:t>
            </w:r>
          </w:p>
          <w:p w14:paraId="2A331BD8">
            <w:pPr>
              <w:widowControl/>
              <w:wordWrap w:val="0"/>
              <w:jc w:val="left"/>
              <w:rPr>
                <w:rFonts w:hint="eastAsia" w:ascii="宋体" w:hAnsi="宋体" w:eastAsia="宋体" w:cs="宋体"/>
                <w:kern w:val="0"/>
                <w:szCs w:val="21"/>
              </w:rPr>
            </w:pPr>
            <w:r>
              <w:rPr>
                <w:rFonts w:hint="eastAsia" w:ascii="宋体" w:hAnsi="宋体" w:eastAsia="宋体" w:cs="宋体"/>
                <w:kern w:val="0"/>
                <w:szCs w:val="21"/>
              </w:rPr>
              <w:t>4.采购单位食堂出现食品安全事故,供应商内部自检及善后处理问题解决方案;</w:t>
            </w:r>
          </w:p>
          <w:p w14:paraId="4B3FBAD6">
            <w:pPr>
              <w:widowControl/>
              <w:wordWrap w:val="0"/>
              <w:jc w:val="left"/>
              <w:rPr>
                <w:rFonts w:hint="eastAsia" w:ascii="宋体" w:hAnsi="宋体" w:eastAsia="宋体" w:cs="宋体"/>
                <w:kern w:val="0"/>
                <w:szCs w:val="21"/>
              </w:rPr>
            </w:pPr>
            <w:r>
              <w:rPr>
                <w:rFonts w:hint="eastAsia" w:ascii="宋体" w:hAnsi="宋体" w:eastAsia="宋体" w:cs="宋体"/>
                <w:kern w:val="0"/>
                <w:szCs w:val="21"/>
              </w:rPr>
              <w:t>5.供应商认为其他应急事件解决方案。</w:t>
            </w:r>
          </w:p>
          <w:p w14:paraId="0CEDFD24">
            <w:pPr>
              <w:widowControl/>
              <w:wordWrap w:val="0"/>
              <w:jc w:val="left"/>
              <w:rPr>
                <w:rFonts w:hint="eastAsia" w:ascii="宋体" w:hAnsi="宋体" w:eastAsia="宋体" w:cs="宋体"/>
                <w:b/>
                <w:bCs/>
                <w:szCs w:val="21"/>
              </w:rPr>
            </w:pPr>
            <w:r>
              <w:rPr>
                <w:rFonts w:hint="eastAsia" w:ascii="宋体" w:hAnsi="宋体" w:eastAsia="宋体" w:cs="宋体"/>
                <w:b/>
                <w:bCs/>
                <w:szCs w:val="21"/>
              </w:rPr>
              <w:t>（二）评分依据：</w:t>
            </w:r>
          </w:p>
          <w:p w14:paraId="53A60101">
            <w:pPr>
              <w:rPr>
                <w:rFonts w:hint="eastAsia" w:ascii="宋体" w:hAnsi="宋体" w:eastAsia="宋体" w:cs="宋体"/>
                <w:szCs w:val="21"/>
              </w:rPr>
            </w:pPr>
            <w:r>
              <w:rPr>
                <w:rFonts w:hint="eastAsia" w:ascii="宋体" w:hAnsi="宋体" w:eastAsia="宋体" w:cs="宋体"/>
                <w:szCs w:val="21"/>
              </w:rPr>
              <w:t>1.每提供上述任意一项内容得</w:t>
            </w:r>
            <w:r>
              <w:rPr>
                <w:rFonts w:hint="eastAsia" w:ascii="宋体" w:hAnsi="宋体" w:eastAsia="宋体" w:cs="宋体"/>
                <w:szCs w:val="21"/>
                <w:lang w:val="en-US" w:eastAsia="zh-CN"/>
              </w:rPr>
              <w:t>12</w:t>
            </w:r>
            <w:r>
              <w:rPr>
                <w:rFonts w:hint="eastAsia" w:ascii="宋体" w:hAnsi="宋体" w:eastAsia="宋体" w:cs="宋体"/>
                <w:szCs w:val="21"/>
              </w:rPr>
              <w:t>分，本小项累计最高得60分。</w:t>
            </w:r>
          </w:p>
          <w:p w14:paraId="212D46EB">
            <w:pPr>
              <w:rPr>
                <w:rFonts w:hint="eastAsia" w:ascii="宋体" w:hAnsi="宋体" w:eastAsia="宋体" w:cs="宋体"/>
                <w:szCs w:val="21"/>
              </w:rPr>
            </w:pPr>
            <w:r>
              <w:rPr>
                <w:rFonts w:hint="eastAsia" w:ascii="宋体" w:hAnsi="宋体" w:eastAsia="宋体" w:cs="宋体"/>
                <w:szCs w:val="21"/>
              </w:rPr>
              <w:t>2.在此基础（第1项得分）上，评审委员会根据各投标人的具体响应内容进行进一步评审：</w:t>
            </w:r>
          </w:p>
          <w:p w14:paraId="2CE32C49">
            <w:pPr>
              <w:rPr>
                <w:rFonts w:hint="eastAsia" w:ascii="宋体" w:hAnsi="宋体" w:eastAsia="宋体" w:cs="宋体"/>
                <w:szCs w:val="21"/>
              </w:rPr>
            </w:pPr>
            <w:r>
              <w:rPr>
                <w:rFonts w:hint="eastAsia" w:ascii="宋体" w:hAnsi="宋体" w:eastAsia="宋体" w:cs="宋体"/>
                <w:szCs w:val="21"/>
              </w:rPr>
              <w:t>优评分标准:优于采购需求的，且方案符合实际、完整、详细、规范、思路清晰，内容合理性强，得40分；</w:t>
            </w:r>
          </w:p>
          <w:p w14:paraId="30835B01">
            <w:pPr>
              <w:rPr>
                <w:rFonts w:hint="eastAsia" w:ascii="宋体" w:hAnsi="宋体" w:eastAsia="宋体" w:cs="宋体"/>
                <w:szCs w:val="21"/>
              </w:rPr>
            </w:pPr>
            <w:r>
              <w:rPr>
                <w:rFonts w:hint="eastAsia" w:ascii="宋体" w:hAnsi="宋体" w:eastAsia="宋体" w:cs="宋体"/>
                <w:szCs w:val="21"/>
              </w:rPr>
              <w:t>良评分标准:项目实施方案完全满足采购需求，且方案较符合实际、较完整规范、思路较清晰，内容合理性较强，得25分；</w:t>
            </w:r>
          </w:p>
          <w:p w14:paraId="59156AB0">
            <w:pPr>
              <w:rPr>
                <w:rFonts w:hint="eastAsia" w:ascii="宋体" w:hAnsi="宋体" w:eastAsia="宋体" w:cs="宋体"/>
                <w:szCs w:val="21"/>
              </w:rPr>
            </w:pPr>
            <w:r>
              <w:rPr>
                <w:rFonts w:hint="eastAsia" w:ascii="宋体" w:hAnsi="宋体" w:eastAsia="宋体" w:cs="宋体"/>
                <w:szCs w:val="21"/>
              </w:rPr>
              <w:t>中评分标准:项目实施方案部分满足采购需求，且方案较普通、完整性规范性一般，思路不够清晰，内容合理性一般，得10分；</w:t>
            </w:r>
          </w:p>
          <w:p w14:paraId="080C0544">
            <w:pPr>
              <w:rPr>
                <w:rFonts w:hint="eastAsia" w:ascii="宋体" w:hAnsi="宋体" w:eastAsia="宋体" w:cs="宋体"/>
                <w:szCs w:val="21"/>
              </w:rPr>
            </w:pPr>
            <w:r>
              <w:rPr>
                <w:rFonts w:hint="eastAsia" w:ascii="宋体" w:hAnsi="宋体" w:eastAsia="宋体" w:cs="宋体"/>
                <w:szCs w:val="21"/>
              </w:rPr>
              <w:t>差评分标准：项目实施方案差的或提供不清晰导致专家无法判断的不得分。</w:t>
            </w:r>
          </w:p>
          <w:p w14:paraId="2622DE4A">
            <w:pPr>
              <w:rPr>
                <w:rFonts w:hint="eastAsia" w:ascii="宋体" w:hAnsi="宋体" w:eastAsia="宋体" w:cs="宋体"/>
                <w:szCs w:val="21"/>
              </w:rPr>
            </w:pPr>
            <w:r>
              <w:rPr>
                <w:rFonts w:hint="eastAsia" w:ascii="宋体" w:hAnsi="宋体" w:eastAsia="宋体" w:cs="宋体"/>
                <w:szCs w:val="21"/>
              </w:rPr>
              <w:t>备注：投标人未提供相应方案的，得0分。</w:t>
            </w:r>
          </w:p>
          <w:p w14:paraId="1ADBE584">
            <w:pPr>
              <w:widowControl/>
              <w:wordWrap w:val="0"/>
              <w:jc w:val="left"/>
              <w:rPr>
                <w:rFonts w:hint="eastAsia" w:ascii="宋体" w:hAnsi="宋体" w:eastAsia="宋体" w:cs="宋体"/>
                <w:szCs w:val="21"/>
              </w:rPr>
            </w:pPr>
            <w:r>
              <w:rPr>
                <w:rFonts w:hint="eastAsia" w:ascii="宋体" w:hAnsi="宋体" w:eastAsia="宋体" w:cs="宋体"/>
                <w:szCs w:val="21"/>
              </w:rPr>
              <w:t>以上两项得分累计，最高得100分。</w:t>
            </w:r>
          </w:p>
        </w:tc>
      </w:tr>
      <w:tr w14:paraId="143B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2" w:hRule="atLeast"/>
          <w:tblCellSpacing w:w="0" w:type="dxa"/>
          <w:jc w:val="center"/>
        </w:trPr>
        <w:tc>
          <w:tcPr>
            <w:tcW w:w="559" w:type="dxa"/>
            <w:vMerge w:val="continue"/>
          </w:tcPr>
          <w:p w14:paraId="6C917666">
            <w:pPr>
              <w:jc w:val="center"/>
              <w:rPr>
                <w:rFonts w:hint="eastAsia" w:ascii="宋体" w:hAnsi="宋体" w:eastAsia="宋体" w:cs="宋体"/>
                <w:b/>
                <w:bCs/>
                <w:kern w:val="44"/>
                <w:szCs w:val="21"/>
              </w:rPr>
            </w:pPr>
          </w:p>
        </w:tc>
        <w:tc>
          <w:tcPr>
            <w:tcW w:w="591" w:type="dxa"/>
            <w:vAlign w:val="center"/>
          </w:tcPr>
          <w:p w14:paraId="589C96F2">
            <w:pPr>
              <w:jc w:val="center"/>
              <w:rPr>
                <w:rFonts w:hint="eastAsia" w:ascii="宋体" w:hAnsi="宋体" w:eastAsia="宋体" w:cs="宋体"/>
                <w:szCs w:val="21"/>
              </w:rPr>
            </w:pPr>
            <w:r>
              <w:rPr>
                <w:rFonts w:hint="eastAsia" w:ascii="宋体" w:hAnsi="宋体" w:eastAsia="宋体" w:cs="宋体"/>
                <w:szCs w:val="21"/>
              </w:rPr>
              <w:t>4</w:t>
            </w:r>
          </w:p>
        </w:tc>
        <w:tc>
          <w:tcPr>
            <w:tcW w:w="1030" w:type="dxa"/>
            <w:shd w:val="clear" w:color="auto" w:fill="auto"/>
            <w:vAlign w:val="center"/>
          </w:tcPr>
          <w:p w14:paraId="509F19CA">
            <w:pPr>
              <w:jc w:val="center"/>
              <w:rPr>
                <w:rFonts w:hint="eastAsia" w:ascii="宋体" w:hAnsi="宋体" w:eastAsia="宋体" w:cs="宋体"/>
                <w:szCs w:val="21"/>
              </w:rPr>
            </w:pPr>
            <w:r>
              <w:rPr>
                <w:rFonts w:hint="eastAsia" w:ascii="宋体" w:hAnsi="宋体" w:eastAsia="宋体" w:cs="宋体"/>
                <w:szCs w:val="21"/>
              </w:rPr>
              <w:t>保险情况</w:t>
            </w:r>
          </w:p>
        </w:tc>
        <w:tc>
          <w:tcPr>
            <w:tcW w:w="716" w:type="dxa"/>
            <w:shd w:val="clear" w:color="auto" w:fill="auto"/>
            <w:vAlign w:val="center"/>
          </w:tcPr>
          <w:p w14:paraId="7933BA9A">
            <w:pPr>
              <w:ind w:firstLine="210" w:firstLineChars="100"/>
              <w:jc w:val="left"/>
              <w:rPr>
                <w:rFonts w:hint="eastAsia" w:ascii="宋体" w:hAnsi="宋体" w:eastAsia="宋体" w:cs="宋体"/>
                <w:szCs w:val="21"/>
              </w:rPr>
            </w:pPr>
            <w:r>
              <w:rPr>
                <w:rFonts w:hint="eastAsia" w:ascii="宋体" w:hAnsi="宋体" w:eastAsia="宋体" w:cs="宋体"/>
                <w:szCs w:val="21"/>
              </w:rPr>
              <w:t>8</w:t>
            </w:r>
          </w:p>
        </w:tc>
        <w:tc>
          <w:tcPr>
            <w:tcW w:w="6172" w:type="dxa"/>
            <w:shd w:val="clear" w:color="auto" w:fill="auto"/>
            <w:vAlign w:val="center"/>
          </w:tcPr>
          <w:p w14:paraId="403E0759">
            <w:pPr>
              <w:widowControl/>
              <w:wordWrap/>
              <w:jc w:val="left"/>
              <w:rPr>
                <w:rFonts w:hint="eastAsia" w:ascii="宋体" w:hAnsi="宋体" w:eastAsia="宋体" w:cs="宋体"/>
                <w:b/>
                <w:szCs w:val="21"/>
              </w:rPr>
            </w:pPr>
            <w:r>
              <w:rPr>
                <w:rFonts w:hint="eastAsia" w:ascii="宋体" w:hAnsi="宋体" w:eastAsia="宋体" w:cs="宋体"/>
                <w:b/>
                <w:szCs w:val="21"/>
              </w:rPr>
              <w:t>（一）评审内容：</w:t>
            </w:r>
          </w:p>
          <w:p w14:paraId="34F21AB6">
            <w:pPr>
              <w:widowControl/>
              <w:wordWrap/>
              <w:jc w:val="left"/>
              <w:rPr>
                <w:rFonts w:hint="eastAsia" w:ascii="宋体" w:hAnsi="宋体" w:eastAsia="宋体" w:cs="宋体"/>
                <w:b/>
                <w:bCs/>
                <w:szCs w:val="21"/>
              </w:rPr>
            </w:pPr>
            <w:r>
              <w:rPr>
                <w:rFonts w:hint="eastAsia" w:ascii="宋体" w:hAnsi="宋体" w:eastAsia="宋体" w:cs="宋体"/>
                <w:b/>
                <w:bCs/>
                <w:szCs w:val="21"/>
              </w:rPr>
              <w:t>1.投标人提供有效的食品安全责任险：</w:t>
            </w:r>
          </w:p>
          <w:p w14:paraId="21530441">
            <w:pPr>
              <w:widowControl/>
              <w:wordWrap/>
              <w:jc w:val="left"/>
              <w:rPr>
                <w:rFonts w:hint="eastAsia" w:ascii="宋体" w:hAnsi="宋体" w:eastAsia="宋体" w:cs="宋体"/>
                <w:szCs w:val="21"/>
              </w:rPr>
            </w:pPr>
            <w:r>
              <w:rPr>
                <w:rFonts w:hint="eastAsia" w:ascii="宋体" w:hAnsi="宋体" w:eastAsia="宋体" w:cs="宋体"/>
                <w:szCs w:val="21"/>
              </w:rPr>
              <w:t>（1）投保金额≥2亿元的，得50分；</w:t>
            </w:r>
          </w:p>
          <w:p w14:paraId="6D7A2EEF">
            <w:pPr>
              <w:widowControl/>
              <w:wordWrap/>
              <w:jc w:val="left"/>
              <w:rPr>
                <w:rFonts w:hint="eastAsia" w:ascii="宋体" w:hAnsi="宋体" w:eastAsia="宋体" w:cs="宋体"/>
                <w:szCs w:val="21"/>
              </w:rPr>
            </w:pPr>
            <w:r>
              <w:rPr>
                <w:rFonts w:hint="eastAsia" w:ascii="宋体" w:hAnsi="宋体" w:eastAsia="宋体" w:cs="宋体"/>
                <w:szCs w:val="21"/>
              </w:rPr>
              <w:t>（2）1亿元≤投保金额＜2亿元的，得30分；</w:t>
            </w:r>
          </w:p>
          <w:p w14:paraId="2A4DD524">
            <w:pPr>
              <w:widowControl/>
              <w:wordWrap/>
              <w:jc w:val="left"/>
              <w:rPr>
                <w:rFonts w:hint="eastAsia" w:ascii="宋体" w:hAnsi="宋体" w:eastAsia="宋体" w:cs="宋体"/>
                <w:szCs w:val="21"/>
              </w:rPr>
            </w:pPr>
            <w:r>
              <w:rPr>
                <w:rFonts w:hint="eastAsia" w:ascii="宋体" w:hAnsi="宋体" w:eastAsia="宋体" w:cs="宋体"/>
                <w:szCs w:val="21"/>
              </w:rPr>
              <w:t>（3）5000万元≤投保金额＜1亿元的，得10分；</w:t>
            </w:r>
          </w:p>
          <w:p w14:paraId="2F437EA5">
            <w:pPr>
              <w:widowControl/>
              <w:wordWrap w:val="0"/>
              <w:jc w:val="left"/>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lang w:val="en-US" w:eastAsia="zh-CN"/>
              </w:rPr>
              <w:t>2</w:t>
            </w:r>
            <w:r>
              <w:rPr>
                <w:rFonts w:hint="eastAsia" w:ascii="宋体" w:hAnsi="宋体" w:eastAsia="宋体" w:cs="宋体"/>
                <w:szCs w:val="21"/>
              </w:rPr>
              <w:t>000万元≤投保金额＜</w:t>
            </w:r>
            <w:r>
              <w:rPr>
                <w:rFonts w:hint="eastAsia" w:ascii="宋体" w:hAnsi="宋体" w:eastAsia="宋体" w:cs="宋体"/>
                <w:szCs w:val="21"/>
                <w:lang w:val="en-US" w:eastAsia="zh-CN"/>
              </w:rPr>
              <w:t>5000万</w:t>
            </w:r>
            <w:r>
              <w:rPr>
                <w:rFonts w:hint="eastAsia" w:ascii="宋体" w:hAnsi="宋体" w:eastAsia="宋体" w:cs="宋体"/>
                <w:szCs w:val="21"/>
              </w:rPr>
              <w:t>元的，得</w:t>
            </w:r>
            <w:r>
              <w:rPr>
                <w:rFonts w:hint="eastAsia" w:ascii="宋体" w:hAnsi="宋体" w:eastAsia="宋体" w:cs="宋体"/>
                <w:szCs w:val="21"/>
                <w:lang w:val="en-US" w:eastAsia="zh-CN"/>
              </w:rPr>
              <w:t>5</w:t>
            </w:r>
            <w:r>
              <w:rPr>
                <w:rFonts w:hint="eastAsia" w:ascii="宋体" w:hAnsi="宋体" w:eastAsia="宋体" w:cs="宋体"/>
                <w:szCs w:val="21"/>
              </w:rPr>
              <w:t>分；</w:t>
            </w:r>
          </w:p>
          <w:p w14:paraId="7A42F82C">
            <w:pPr>
              <w:widowControl/>
              <w:wordWrap/>
              <w:jc w:val="left"/>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5</w:t>
            </w:r>
            <w:r>
              <w:rPr>
                <w:rFonts w:hint="eastAsia" w:ascii="宋体" w:hAnsi="宋体" w:eastAsia="宋体" w:cs="宋体"/>
                <w:szCs w:val="21"/>
                <w:lang w:eastAsia="zh-CN"/>
              </w:rPr>
              <w:t>）</w:t>
            </w:r>
            <w:r>
              <w:rPr>
                <w:rFonts w:hint="eastAsia" w:ascii="宋体" w:hAnsi="宋体" w:eastAsia="宋体" w:cs="宋体"/>
                <w:szCs w:val="21"/>
              </w:rPr>
              <w:t>投保金额＜2000万元，不得分。</w:t>
            </w:r>
          </w:p>
          <w:p w14:paraId="05424C7B">
            <w:pPr>
              <w:widowControl/>
              <w:wordWrap/>
              <w:jc w:val="left"/>
              <w:rPr>
                <w:rFonts w:hint="eastAsia" w:ascii="宋体" w:hAnsi="宋体" w:eastAsia="宋体" w:cs="宋体"/>
                <w:szCs w:val="21"/>
              </w:rPr>
            </w:pPr>
            <w:r>
              <w:rPr>
                <w:rFonts w:hint="eastAsia" w:ascii="宋体" w:hAnsi="宋体" w:eastAsia="宋体" w:cs="宋体"/>
                <w:szCs w:val="21"/>
              </w:rPr>
              <w:t>本小项得分不可累计，最高得50分。</w:t>
            </w:r>
          </w:p>
          <w:p w14:paraId="15374906">
            <w:pPr>
              <w:widowControl/>
              <w:wordWrap/>
              <w:jc w:val="left"/>
              <w:rPr>
                <w:rFonts w:hint="eastAsia" w:ascii="宋体" w:hAnsi="宋体" w:eastAsia="宋体" w:cs="宋体"/>
                <w:szCs w:val="21"/>
              </w:rPr>
            </w:pPr>
            <w:r>
              <w:rPr>
                <w:rFonts w:hint="eastAsia" w:ascii="宋体" w:hAnsi="宋体" w:eastAsia="宋体" w:cs="宋体"/>
                <w:szCs w:val="21"/>
              </w:rPr>
              <w:t>提供多个保险投保金额可以累加，以累加后的年总保额计分。</w:t>
            </w:r>
          </w:p>
          <w:p w14:paraId="79C4264B">
            <w:pPr>
              <w:widowControl/>
              <w:wordWrap/>
              <w:jc w:val="left"/>
              <w:rPr>
                <w:rFonts w:hint="eastAsia" w:ascii="宋体" w:hAnsi="宋体" w:eastAsia="宋体" w:cs="宋体"/>
                <w:szCs w:val="21"/>
              </w:rPr>
            </w:pPr>
            <w:r>
              <w:rPr>
                <w:rFonts w:hint="eastAsia" w:ascii="宋体" w:hAnsi="宋体" w:eastAsia="宋体" w:cs="宋体"/>
                <w:b/>
                <w:bCs/>
                <w:szCs w:val="21"/>
              </w:rPr>
              <w:t>2.投标人提供有效的公众责任险：</w:t>
            </w:r>
          </w:p>
          <w:p w14:paraId="67C5B58A">
            <w:pPr>
              <w:widowControl/>
              <w:wordWrap/>
              <w:jc w:val="left"/>
              <w:rPr>
                <w:rFonts w:hint="eastAsia" w:ascii="宋体" w:hAnsi="宋体" w:eastAsia="宋体" w:cs="宋体"/>
                <w:szCs w:val="21"/>
              </w:rPr>
            </w:pPr>
            <w:r>
              <w:rPr>
                <w:rFonts w:hint="eastAsia" w:ascii="宋体" w:hAnsi="宋体" w:eastAsia="宋体" w:cs="宋体"/>
                <w:szCs w:val="21"/>
              </w:rPr>
              <w:t>（1）投保金额≥2亿元的，得50分；</w:t>
            </w:r>
          </w:p>
          <w:p w14:paraId="440F2DA6">
            <w:pPr>
              <w:widowControl/>
              <w:wordWrap/>
              <w:jc w:val="left"/>
              <w:rPr>
                <w:rFonts w:hint="eastAsia" w:ascii="宋体" w:hAnsi="宋体" w:eastAsia="宋体" w:cs="宋体"/>
                <w:szCs w:val="21"/>
              </w:rPr>
            </w:pPr>
            <w:r>
              <w:rPr>
                <w:rFonts w:hint="eastAsia" w:ascii="宋体" w:hAnsi="宋体" w:eastAsia="宋体" w:cs="宋体"/>
                <w:szCs w:val="21"/>
              </w:rPr>
              <w:t>（2）1亿元≤投保金额＜2亿元的，得30分；</w:t>
            </w:r>
          </w:p>
          <w:p w14:paraId="23947F04">
            <w:pPr>
              <w:widowControl/>
              <w:wordWrap/>
              <w:jc w:val="left"/>
              <w:rPr>
                <w:rFonts w:hint="eastAsia" w:ascii="宋体" w:hAnsi="宋体" w:eastAsia="宋体" w:cs="宋体"/>
                <w:szCs w:val="21"/>
              </w:rPr>
            </w:pPr>
            <w:r>
              <w:rPr>
                <w:rFonts w:hint="eastAsia" w:ascii="宋体" w:hAnsi="宋体" w:eastAsia="宋体" w:cs="宋体"/>
                <w:szCs w:val="21"/>
              </w:rPr>
              <w:t>（3）5000万元≤投保金额＜1亿元的，得10分；</w:t>
            </w:r>
          </w:p>
          <w:p w14:paraId="794C82CD">
            <w:pPr>
              <w:widowControl/>
              <w:wordWrap/>
              <w:jc w:val="left"/>
              <w:rPr>
                <w:rFonts w:hint="eastAsia" w:ascii="宋体" w:hAnsi="宋体" w:eastAsia="宋体" w:cs="宋体"/>
                <w:szCs w:val="21"/>
              </w:rPr>
            </w:pPr>
            <w:r>
              <w:rPr>
                <w:rFonts w:hint="eastAsia" w:ascii="宋体" w:hAnsi="宋体" w:eastAsia="宋体" w:cs="宋体"/>
                <w:szCs w:val="21"/>
              </w:rPr>
              <w:t>（4）其他情况不得分。</w:t>
            </w:r>
          </w:p>
          <w:p w14:paraId="4AF618BF">
            <w:pPr>
              <w:widowControl/>
              <w:wordWrap/>
              <w:jc w:val="left"/>
              <w:rPr>
                <w:rFonts w:hint="eastAsia" w:ascii="宋体" w:hAnsi="宋体" w:eastAsia="宋体" w:cs="宋体"/>
                <w:szCs w:val="21"/>
              </w:rPr>
            </w:pPr>
            <w:r>
              <w:rPr>
                <w:rFonts w:hint="eastAsia" w:ascii="宋体" w:hAnsi="宋体" w:eastAsia="宋体" w:cs="宋体"/>
                <w:szCs w:val="21"/>
              </w:rPr>
              <w:t>本小项得分不可累计，最高得50分。</w:t>
            </w:r>
          </w:p>
          <w:p w14:paraId="3037883E">
            <w:pPr>
              <w:widowControl/>
              <w:wordWrap/>
              <w:jc w:val="left"/>
              <w:rPr>
                <w:rFonts w:hint="eastAsia" w:ascii="宋体" w:hAnsi="宋体" w:eastAsia="宋体" w:cs="宋体"/>
                <w:b/>
                <w:szCs w:val="21"/>
              </w:rPr>
            </w:pPr>
            <w:r>
              <w:rPr>
                <w:rFonts w:hint="eastAsia" w:ascii="宋体" w:hAnsi="宋体" w:eastAsia="宋体" w:cs="宋体"/>
                <w:szCs w:val="21"/>
              </w:rPr>
              <w:t>提供多个保险投保金额可以累加，以累加后的年总保额计分。</w:t>
            </w:r>
          </w:p>
          <w:p w14:paraId="2728F288">
            <w:pPr>
              <w:widowControl/>
              <w:wordWrap/>
              <w:jc w:val="left"/>
              <w:rPr>
                <w:rFonts w:hint="eastAsia" w:ascii="宋体" w:hAnsi="宋体" w:eastAsia="宋体" w:cs="宋体"/>
                <w:bCs/>
                <w:szCs w:val="21"/>
              </w:rPr>
            </w:pPr>
            <w:r>
              <w:rPr>
                <w:rFonts w:hint="eastAsia" w:ascii="宋体" w:hAnsi="宋体" w:eastAsia="宋体" w:cs="宋体"/>
                <w:bCs/>
                <w:szCs w:val="21"/>
              </w:rPr>
              <w:t>以上1、2项得分累计，满分100分。</w:t>
            </w:r>
          </w:p>
          <w:p w14:paraId="57A5CF94">
            <w:pPr>
              <w:widowControl/>
              <w:wordWrap/>
              <w:jc w:val="left"/>
              <w:rPr>
                <w:rFonts w:hint="eastAsia" w:ascii="宋体" w:hAnsi="宋体" w:eastAsia="宋体" w:cs="宋体"/>
                <w:b/>
                <w:szCs w:val="21"/>
              </w:rPr>
            </w:pPr>
            <w:r>
              <w:rPr>
                <w:rFonts w:hint="eastAsia" w:ascii="宋体" w:hAnsi="宋体" w:eastAsia="宋体" w:cs="宋体"/>
                <w:b/>
                <w:szCs w:val="21"/>
              </w:rPr>
              <w:t>（二）评审依据：</w:t>
            </w:r>
          </w:p>
          <w:p w14:paraId="06FD6223">
            <w:pPr>
              <w:widowControl/>
              <w:wordWrap/>
              <w:jc w:val="left"/>
              <w:rPr>
                <w:rFonts w:hint="eastAsia" w:ascii="宋体" w:hAnsi="宋体" w:eastAsia="宋体" w:cs="宋体"/>
                <w:szCs w:val="21"/>
              </w:rPr>
            </w:pPr>
            <w:r>
              <w:rPr>
                <w:rFonts w:hint="eastAsia" w:ascii="宋体" w:hAnsi="宋体" w:eastAsia="宋体" w:cs="宋体"/>
                <w:szCs w:val="21"/>
              </w:rPr>
              <w:t>同时提供：①有效的保险合同（或保险单）扫描件及②保险发票（发票提供截图、电子件或扫描件均可）作为得分依据；且要求本项目投标截止日包含于上述保险合同（或保险单）的保险期间内。</w:t>
            </w:r>
          </w:p>
          <w:p w14:paraId="71E25ADE">
            <w:pPr>
              <w:widowControl/>
              <w:jc w:val="left"/>
              <w:rPr>
                <w:rFonts w:hint="eastAsia" w:ascii="宋体" w:hAnsi="宋体" w:eastAsia="宋体" w:cs="宋体"/>
                <w:szCs w:val="21"/>
              </w:rPr>
            </w:pPr>
            <w:r>
              <w:rPr>
                <w:rFonts w:hint="eastAsia" w:ascii="宋体" w:hAnsi="宋体" w:eastAsia="宋体" w:cs="宋体"/>
                <w:szCs w:val="21"/>
              </w:rPr>
              <w:t>如未按要求提供证明材料，或所提供的证明材料未能体现上述评分内容的，视为该证明材料无效。</w:t>
            </w:r>
          </w:p>
        </w:tc>
      </w:tr>
      <w:tr w14:paraId="1EFC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408" w:hRule="atLeast"/>
          <w:tblCellSpacing w:w="0" w:type="dxa"/>
          <w:jc w:val="center"/>
        </w:trPr>
        <w:tc>
          <w:tcPr>
            <w:tcW w:w="559" w:type="dxa"/>
            <w:vMerge w:val="continue"/>
          </w:tcPr>
          <w:p w14:paraId="4C066B0F">
            <w:pPr>
              <w:jc w:val="center"/>
              <w:rPr>
                <w:rFonts w:hint="eastAsia" w:ascii="宋体" w:hAnsi="宋体" w:eastAsia="宋体" w:cs="宋体"/>
                <w:b/>
                <w:bCs/>
                <w:kern w:val="44"/>
                <w:szCs w:val="21"/>
              </w:rPr>
            </w:pPr>
          </w:p>
        </w:tc>
        <w:tc>
          <w:tcPr>
            <w:tcW w:w="591" w:type="dxa"/>
            <w:vAlign w:val="center"/>
          </w:tcPr>
          <w:p w14:paraId="36259174">
            <w:pPr>
              <w:jc w:val="center"/>
              <w:rPr>
                <w:rFonts w:hint="eastAsia" w:ascii="宋体" w:hAnsi="宋体" w:eastAsia="宋体" w:cs="宋体"/>
                <w:szCs w:val="21"/>
              </w:rPr>
            </w:pPr>
            <w:r>
              <w:rPr>
                <w:rFonts w:hint="eastAsia" w:ascii="宋体" w:hAnsi="宋体" w:eastAsia="宋体" w:cs="宋体"/>
                <w:szCs w:val="21"/>
              </w:rPr>
              <w:t>5</w:t>
            </w:r>
          </w:p>
        </w:tc>
        <w:tc>
          <w:tcPr>
            <w:tcW w:w="1030" w:type="dxa"/>
            <w:shd w:val="clear" w:color="auto" w:fill="auto"/>
            <w:vAlign w:val="center"/>
          </w:tcPr>
          <w:p w14:paraId="0D9B702D">
            <w:pPr>
              <w:jc w:val="center"/>
              <w:rPr>
                <w:rFonts w:hint="eastAsia" w:ascii="宋体" w:hAnsi="宋体" w:eastAsia="宋体" w:cs="宋体"/>
                <w:szCs w:val="21"/>
              </w:rPr>
            </w:pPr>
            <w:r>
              <w:rPr>
                <w:rFonts w:hint="eastAsia" w:ascii="宋体" w:hAnsi="宋体" w:eastAsia="宋体" w:cs="宋体"/>
                <w:szCs w:val="21"/>
              </w:rPr>
              <w:t>拟安排的项目负责人情况（仅限1人）</w:t>
            </w:r>
          </w:p>
        </w:tc>
        <w:tc>
          <w:tcPr>
            <w:tcW w:w="716" w:type="dxa"/>
            <w:shd w:val="clear" w:color="auto" w:fill="auto"/>
            <w:vAlign w:val="center"/>
          </w:tcPr>
          <w:p w14:paraId="7DF488BE">
            <w:pPr>
              <w:jc w:val="center"/>
              <w:rPr>
                <w:rFonts w:hint="eastAsia" w:ascii="宋体" w:hAnsi="宋体" w:eastAsia="宋体" w:cs="宋体"/>
                <w:szCs w:val="21"/>
              </w:rPr>
            </w:pPr>
            <w:r>
              <w:rPr>
                <w:rFonts w:hint="eastAsia" w:ascii="宋体" w:hAnsi="宋体" w:eastAsia="宋体" w:cs="宋体"/>
                <w:szCs w:val="21"/>
              </w:rPr>
              <w:t>6</w:t>
            </w:r>
          </w:p>
        </w:tc>
        <w:tc>
          <w:tcPr>
            <w:tcW w:w="6172" w:type="dxa"/>
            <w:shd w:val="clear" w:color="auto" w:fill="auto"/>
            <w:vAlign w:val="center"/>
          </w:tcPr>
          <w:p w14:paraId="5B337491">
            <w:pPr>
              <w:widowControl/>
              <w:jc w:val="left"/>
              <w:rPr>
                <w:rFonts w:hint="eastAsia" w:ascii="宋体" w:hAnsi="宋体" w:eastAsia="宋体" w:cs="宋体"/>
                <w:b/>
                <w:szCs w:val="21"/>
              </w:rPr>
            </w:pPr>
            <w:r>
              <w:rPr>
                <w:rFonts w:hint="eastAsia" w:ascii="宋体" w:hAnsi="宋体" w:eastAsia="宋体" w:cs="宋体"/>
                <w:b/>
                <w:szCs w:val="21"/>
              </w:rPr>
              <w:t>（一）评审内容：</w:t>
            </w:r>
          </w:p>
          <w:p w14:paraId="5EFD886A">
            <w:pPr>
              <w:rPr>
                <w:rFonts w:hint="eastAsia" w:ascii="宋体" w:hAnsi="宋体" w:eastAsia="宋体" w:cs="宋体"/>
                <w:szCs w:val="21"/>
              </w:rPr>
            </w:pPr>
            <w:r>
              <w:rPr>
                <w:rFonts w:hint="eastAsia" w:ascii="宋体" w:hAnsi="宋体" w:eastAsia="宋体" w:cs="宋体"/>
                <w:szCs w:val="21"/>
              </w:rPr>
              <w:t>投标人拟安排的项目负责人须为投标人自有员工</w:t>
            </w:r>
            <w:r>
              <w:rPr>
                <w:rFonts w:hint="eastAsia" w:ascii="宋体" w:hAnsi="宋体" w:eastAsia="宋体" w:cs="宋体"/>
                <w:b/>
                <w:bCs/>
                <w:szCs w:val="21"/>
              </w:rPr>
              <w:t>。</w:t>
            </w:r>
            <w:r>
              <w:rPr>
                <w:rFonts w:hint="eastAsia" w:ascii="宋体" w:hAnsi="宋体" w:eastAsia="宋体" w:cs="宋体"/>
                <w:szCs w:val="21"/>
              </w:rPr>
              <w:t>在此基础上，按以下标准评审：</w:t>
            </w:r>
          </w:p>
          <w:p w14:paraId="05A0BF12">
            <w:pPr>
              <w:rPr>
                <w:rFonts w:hint="eastAsia" w:ascii="宋体" w:hAnsi="宋体" w:eastAsia="宋体" w:cs="宋体"/>
                <w:szCs w:val="21"/>
              </w:rPr>
            </w:pPr>
            <w:r>
              <w:rPr>
                <w:rFonts w:hint="eastAsia" w:ascii="宋体" w:hAnsi="宋体" w:eastAsia="宋体" w:cs="宋体"/>
                <w:szCs w:val="21"/>
              </w:rPr>
              <w:t>1.具有本科（或以上）学历的，得50分；</w:t>
            </w:r>
          </w:p>
          <w:p w14:paraId="1516423D">
            <w:pPr>
              <w:rPr>
                <w:rFonts w:hint="eastAsia" w:ascii="宋体" w:hAnsi="宋体" w:eastAsia="宋体" w:cs="宋体"/>
                <w:szCs w:val="21"/>
              </w:rPr>
            </w:pPr>
            <w:r>
              <w:rPr>
                <w:rFonts w:hint="eastAsia" w:ascii="宋体" w:hAnsi="宋体" w:eastAsia="宋体" w:cs="宋体"/>
                <w:szCs w:val="21"/>
              </w:rPr>
              <w:t>2.具有</w:t>
            </w:r>
            <w:r>
              <w:rPr>
                <w:rFonts w:hint="eastAsia" w:ascii="宋体" w:hAnsi="宋体" w:eastAsia="宋体" w:cs="宋体"/>
                <w:kern w:val="0"/>
                <w:szCs w:val="21"/>
              </w:rPr>
              <w:t>食品安全管理员（师）证</w:t>
            </w:r>
            <w:r>
              <w:rPr>
                <w:rFonts w:hint="eastAsia" w:ascii="宋体" w:hAnsi="宋体" w:eastAsia="宋体" w:cs="宋体"/>
                <w:kern w:val="0"/>
                <w:szCs w:val="21"/>
                <w:lang w:eastAsia="zh-CN"/>
              </w:rPr>
              <w:t>（级别：</w:t>
            </w:r>
            <w:r>
              <w:rPr>
                <w:rFonts w:hint="eastAsia" w:ascii="宋体" w:hAnsi="宋体" w:eastAsia="宋体" w:cs="宋体"/>
                <w:kern w:val="0"/>
                <w:szCs w:val="21"/>
                <w:lang w:val="en-US" w:eastAsia="zh-CN"/>
              </w:rPr>
              <w:t>高级</w:t>
            </w:r>
            <w:r>
              <w:rPr>
                <w:rFonts w:hint="eastAsia" w:ascii="宋体" w:hAnsi="宋体" w:eastAsia="宋体" w:cs="宋体"/>
                <w:kern w:val="0"/>
                <w:szCs w:val="21"/>
                <w:lang w:eastAsia="zh-CN"/>
              </w:rPr>
              <w:t>）</w:t>
            </w:r>
            <w:r>
              <w:rPr>
                <w:rFonts w:hint="eastAsia" w:ascii="宋体" w:hAnsi="宋体" w:eastAsia="宋体" w:cs="宋体"/>
                <w:kern w:val="0"/>
                <w:szCs w:val="21"/>
              </w:rPr>
              <w:t>或食品安全管理（人）员培训考核合格证明</w:t>
            </w:r>
            <w:r>
              <w:rPr>
                <w:rFonts w:hint="eastAsia" w:ascii="宋体" w:hAnsi="宋体" w:eastAsia="宋体" w:cs="宋体"/>
                <w:kern w:val="0"/>
                <w:szCs w:val="21"/>
                <w:lang w:val="en-US" w:eastAsia="zh-CN"/>
              </w:rPr>
              <w:t>[</w:t>
            </w:r>
            <w:r>
              <w:rPr>
                <w:rFonts w:hint="eastAsia" w:ascii="宋体" w:hAnsi="宋体" w:eastAsia="宋体" w:cs="宋体"/>
                <w:kern w:val="0"/>
                <w:szCs w:val="21"/>
                <w:lang w:eastAsia="zh-CN"/>
              </w:rPr>
              <w:t>级别：</w:t>
            </w:r>
            <w:r>
              <w:rPr>
                <w:rFonts w:hint="eastAsia" w:ascii="宋体" w:hAnsi="宋体" w:eastAsia="宋体" w:cs="宋体"/>
                <w:kern w:val="0"/>
                <w:szCs w:val="21"/>
                <w:lang w:val="en-US" w:eastAsia="zh-CN"/>
              </w:rPr>
              <w:t>高级或食品安全总监（原高级）]</w:t>
            </w:r>
            <w:r>
              <w:rPr>
                <w:rFonts w:hint="eastAsia" w:ascii="宋体" w:hAnsi="宋体" w:eastAsia="宋体" w:cs="宋体"/>
                <w:kern w:val="0"/>
                <w:szCs w:val="21"/>
              </w:rPr>
              <w:t>的，得50分</w:t>
            </w:r>
            <w:r>
              <w:rPr>
                <w:rFonts w:hint="eastAsia" w:ascii="宋体" w:hAnsi="宋体" w:eastAsia="宋体" w:cs="宋体"/>
                <w:szCs w:val="21"/>
              </w:rPr>
              <w:t>；</w:t>
            </w:r>
          </w:p>
          <w:p w14:paraId="1468002C">
            <w:pPr>
              <w:widowControl/>
              <w:jc w:val="left"/>
              <w:rPr>
                <w:rFonts w:hint="eastAsia" w:ascii="宋体" w:hAnsi="宋体" w:eastAsia="宋体" w:cs="宋体"/>
                <w:bCs/>
                <w:szCs w:val="21"/>
              </w:rPr>
            </w:pPr>
            <w:r>
              <w:rPr>
                <w:rFonts w:hint="eastAsia" w:ascii="宋体" w:hAnsi="宋体" w:eastAsia="宋体" w:cs="宋体"/>
                <w:bCs/>
                <w:szCs w:val="21"/>
              </w:rPr>
              <w:t>本项最高得100分。</w:t>
            </w:r>
          </w:p>
          <w:p w14:paraId="21D78786">
            <w:pPr>
              <w:widowControl/>
              <w:jc w:val="left"/>
              <w:rPr>
                <w:rFonts w:hint="eastAsia" w:ascii="宋体" w:hAnsi="宋体" w:eastAsia="宋体" w:cs="宋体"/>
                <w:b/>
                <w:szCs w:val="21"/>
              </w:rPr>
            </w:pPr>
            <w:r>
              <w:rPr>
                <w:rFonts w:hint="eastAsia" w:ascii="宋体" w:hAnsi="宋体" w:eastAsia="宋体" w:cs="宋体"/>
                <w:b/>
                <w:szCs w:val="21"/>
              </w:rPr>
              <w:t>（二）评审依据：</w:t>
            </w:r>
          </w:p>
          <w:p w14:paraId="31F12E35">
            <w:pPr>
              <w:widowControl/>
              <w:rPr>
                <w:rFonts w:hint="eastAsia" w:ascii="宋体" w:hAnsi="宋体" w:eastAsia="宋体" w:cs="宋体"/>
                <w:szCs w:val="21"/>
              </w:rPr>
            </w:pPr>
            <w:r>
              <w:rPr>
                <w:rFonts w:hint="eastAsia" w:ascii="宋体" w:hAnsi="宋体" w:eastAsia="宋体" w:cs="宋体"/>
                <w:szCs w:val="21"/>
              </w:rPr>
              <w:t>按照以下要求提供证明材料：</w:t>
            </w:r>
          </w:p>
          <w:p w14:paraId="259054EB">
            <w:pPr>
              <w:widowControl/>
              <w:rPr>
                <w:rFonts w:hint="eastAsia" w:ascii="宋体" w:hAnsi="宋体" w:eastAsia="宋体" w:cs="宋体"/>
                <w:szCs w:val="21"/>
              </w:rPr>
            </w:pPr>
            <w:r>
              <w:rPr>
                <w:rFonts w:hint="eastAsia" w:ascii="宋体" w:hAnsi="宋体" w:eastAsia="宋体" w:cs="宋体"/>
                <w:szCs w:val="21"/>
              </w:rPr>
              <w:t>1.【自有员工证明】提供通过投标人缴纳的近三个月（含开标当月）的任意一个月的社保证明作为本单位员工的证明依据，如供应商成立不足一个月的，提供情况说明函（格式自拟），无需提供相关人员社保，亦可得分；未按要求提供的，投入的该人员作不得分处理。</w:t>
            </w:r>
          </w:p>
          <w:p w14:paraId="1D9F6B01">
            <w:pPr>
              <w:widowControl/>
              <w:rPr>
                <w:rFonts w:hint="eastAsia" w:ascii="宋体" w:hAnsi="宋体" w:eastAsia="宋体" w:cs="宋体"/>
                <w:szCs w:val="21"/>
              </w:rPr>
            </w:pPr>
            <w:r>
              <w:rPr>
                <w:rFonts w:hint="eastAsia" w:ascii="宋体" w:hAnsi="宋体" w:eastAsia="宋体" w:cs="宋体"/>
                <w:szCs w:val="21"/>
              </w:rPr>
              <w:t>2.【评审内容1】提供学历</w:t>
            </w:r>
            <w:r>
              <w:rPr>
                <w:rFonts w:hint="eastAsia" w:ascii="宋体" w:hAnsi="宋体" w:eastAsia="宋体" w:cs="宋体"/>
                <w:szCs w:val="21"/>
                <w:lang w:eastAsia="zh-CN"/>
              </w:rPr>
              <w:t>（</w:t>
            </w:r>
            <w:r>
              <w:rPr>
                <w:rFonts w:hint="eastAsia" w:ascii="宋体" w:hAnsi="宋体" w:eastAsia="宋体" w:cs="宋体"/>
                <w:szCs w:val="21"/>
                <w:lang w:val="en-US" w:eastAsia="zh-CN"/>
              </w:rPr>
              <w:t>毕业</w:t>
            </w:r>
            <w:r>
              <w:rPr>
                <w:rFonts w:hint="eastAsia" w:ascii="宋体" w:hAnsi="宋体" w:eastAsia="宋体" w:cs="宋体"/>
                <w:szCs w:val="21"/>
                <w:lang w:eastAsia="zh-CN"/>
              </w:rPr>
              <w:t>）</w:t>
            </w:r>
            <w:r>
              <w:rPr>
                <w:rFonts w:hint="eastAsia" w:ascii="宋体" w:hAnsi="宋体" w:eastAsia="宋体" w:cs="宋体"/>
                <w:szCs w:val="21"/>
              </w:rPr>
              <w:t>证书扫描件和证书官网中国高等教育学生信息网（学信网）（https://www.chsi.com.cn）查询截图（对于较早颁发的学历证书学信网无法查询的，须另提供毕业院校或者人社部门出具的证明；学历证书如为境外颁发的，则须提供中华人民共和国教育部留学服务中心认证的《国外学历学位认证书》扫描件）。</w:t>
            </w:r>
          </w:p>
          <w:p w14:paraId="507021E5">
            <w:pPr>
              <w:widowControl/>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.【评审内容2】须提供以下证明材料：</w:t>
            </w:r>
          </w:p>
          <w:p w14:paraId="12F97746">
            <w:pPr>
              <w:widowControl/>
              <w:jc w:val="left"/>
              <w:rPr>
                <w:rFonts w:hint="eastAsia" w:ascii="宋体" w:hAnsi="宋体" w:eastAsia="宋体" w:cs="宋体"/>
                <w:szCs w:val="21"/>
              </w:rPr>
            </w:pPr>
            <w:r>
              <w:rPr>
                <w:rFonts w:hint="eastAsia" w:ascii="宋体" w:hAnsi="宋体" w:eastAsia="宋体" w:cs="宋体"/>
                <w:szCs w:val="21"/>
              </w:rPr>
              <w:t>①提供</w:t>
            </w:r>
            <w:r>
              <w:rPr>
                <w:rFonts w:hint="eastAsia" w:ascii="宋体" w:hAnsi="宋体" w:eastAsia="宋体" w:cs="宋体"/>
                <w:kern w:val="0"/>
                <w:szCs w:val="21"/>
              </w:rPr>
              <w:t>食品安全管理员（师）证</w:t>
            </w:r>
            <w:r>
              <w:rPr>
                <w:rFonts w:hint="eastAsia" w:ascii="宋体" w:hAnsi="宋体" w:eastAsia="宋体" w:cs="宋体"/>
                <w:kern w:val="0"/>
                <w:szCs w:val="21"/>
                <w:lang w:eastAsia="zh-CN"/>
              </w:rPr>
              <w:t>（级别：</w:t>
            </w:r>
            <w:r>
              <w:rPr>
                <w:rFonts w:hint="eastAsia" w:ascii="宋体" w:hAnsi="宋体" w:eastAsia="宋体" w:cs="宋体"/>
                <w:kern w:val="0"/>
                <w:szCs w:val="21"/>
                <w:lang w:val="en-US" w:eastAsia="zh-CN"/>
              </w:rPr>
              <w:t>高级</w:t>
            </w:r>
            <w:r>
              <w:rPr>
                <w:rFonts w:hint="eastAsia" w:ascii="宋体" w:hAnsi="宋体" w:eastAsia="宋体" w:cs="宋体"/>
                <w:kern w:val="0"/>
                <w:szCs w:val="21"/>
                <w:lang w:eastAsia="zh-CN"/>
              </w:rPr>
              <w:t>）</w:t>
            </w:r>
            <w:r>
              <w:rPr>
                <w:rFonts w:hint="eastAsia" w:ascii="宋体" w:hAnsi="宋体" w:eastAsia="宋体" w:cs="宋体"/>
                <w:kern w:val="0"/>
                <w:szCs w:val="21"/>
              </w:rPr>
              <w:t>或食品安全管理（人）员培训考核合格证明</w:t>
            </w:r>
            <w:r>
              <w:rPr>
                <w:rFonts w:hint="eastAsia" w:ascii="宋体" w:hAnsi="宋体" w:eastAsia="宋体" w:cs="宋体"/>
                <w:kern w:val="0"/>
                <w:szCs w:val="21"/>
                <w:lang w:val="en-US" w:eastAsia="zh-CN"/>
              </w:rPr>
              <w:t>[</w:t>
            </w:r>
            <w:r>
              <w:rPr>
                <w:rFonts w:hint="eastAsia" w:ascii="宋体" w:hAnsi="宋体" w:eastAsia="宋体" w:cs="宋体"/>
                <w:kern w:val="0"/>
                <w:szCs w:val="21"/>
                <w:lang w:eastAsia="zh-CN"/>
              </w:rPr>
              <w:t>级别：</w:t>
            </w:r>
            <w:r>
              <w:rPr>
                <w:rFonts w:hint="eastAsia" w:ascii="宋体" w:hAnsi="宋体" w:eastAsia="宋体" w:cs="宋体"/>
                <w:kern w:val="0"/>
                <w:szCs w:val="21"/>
                <w:lang w:val="en-US" w:eastAsia="zh-CN"/>
              </w:rPr>
              <w:t>高级或食品安全总监（原高级）]</w:t>
            </w:r>
            <w:r>
              <w:rPr>
                <w:rFonts w:hint="eastAsia" w:ascii="宋体" w:hAnsi="宋体" w:eastAsia="宋体" w:cs="宋体"/>
                <w:kern w:val="0"/>
                <w:szCs w:val="21"/>
              </w:rPr>
              <w:t>的</w:t>
            </w:r>
            <w:r>
              <w:rPr>
                <w:rFonts w:hint="eastAsia" w:ascii="宋体" w:hAnsi="宋体" w:eastAsia="宋体" w:cs="宋体"/>
                <w:szCs w:val="21"/>
              </w:rPr>
              <w:t>证书扫描件。②如证书颁发单位为相关行业协会（或学会），需同时提供证书颁发单位在全国社会组织信用信息公示平台（https://xxgs.chinanpo.mca.gov.cn/gsxt/newList）的信息查询截图（截图需显示发证单位状态为“正常”）。</w:t>
            </w:r>
          </w:p>
          <w:p w14:paraId="7F5EBEE8">
            <w:pPr>
              <w:widowControl/>
              <w:jc w:val="left"/>
              <w:rPr>
                <w:rFonts w:hint="eastAsia" w:ascii="宋体" w:hAnsi="宋体" w:eastAsia="宋体" w:cs="宋体"/>
                <w:szCs w:val="21"/>
              </w:rPr>
            </w:pPr>
            <w:r>
              <w:rPr>
                <w:rFonts w:hint="eastAsia" w:ascii="宋体" w:hAnsi="宋体" w:eastAsia="宋体" w:cs="宋体"/>
                <w:szCs w:val="21"/>
              </w:rPr>
              <w:t>评分中出现无证明资料或者专家无法凭所提供资料判断是否得分的情况，一律做不得分处理。</w:t>
            </w:r>
          </w:p>
        </w:tc>
      </w:tr>
      <w:tr w14:paraId="0B0F1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212" w:hRule="atLeast"/>
          <w:tblCellSpacing w:w="0" w:type="dxa"/>
          <w:jc w:val="center"/>
        </w:trPr>
        <w:tc>
          <w:tcPr>
            <w:tcW w:w="559" w:type="dxa"/>
            <w:vMerge w:val="continue"/>
          </w:tcPr>
          <w:p w14:paraId="54BC5936">
            <w:pPr>
              <w:jc w:val="center"/>
              <w:rPr>
                <w:rFonts w:hint="eastAsia" w:ascii="宋体" w:hAnsi="宋体" w:eastAsia="宋体" w:cs="宋体"/>
                <w:b/>
                <w:bCs/>
                <w:kern w:val="44"/>
                <w:szCs w:val="21"/>
              </w:rPr>
            </w:pPr>
          </w:p>
        </w:tc>
        <w:tc>
          <w:tcPr>
            <w:tcW w:w="591" w:type="dxa"/>
            <w:shd w:val="clear" w:color="auto" w:fill="auto"/>
            <w:vAlign w:val="center"/>
          </w:tcPr>
          <w:p w14:paraId="049CE014">
            <w:pPr>
              <w:widowControl/>
              <w:spacing w:line="200" w:lineRule="atLeast"/>
              <w:jc w:val="center"/>
              <w:rPr>
                <w:rFonts w:hint="eastAsia" w:ascii="宋体" w:hAnsi="宋体" w:eastAsia="宋体" w:cs="宋体"/>
                <w:szCs w:val="21"/>
              </w:rPr>
            </w:pPr>
            <w:r>
              <w:rPr>
                <w:rFonts w:hint="eastAsia" w:ascii="宋体" w:hAnsi="宋体" w:eastAsia="宋体" w:cs="宋体"/>
                <w:szCs w:val="21"/>
              </w:rPr>
              <w:t>6</w:t>
            </w:r>
          </w:p>
        </w:tc>
        <w:tc>
          <w:tcPr>
            <w:tcW w:w="1030" w:type="dxa"/>
            <w:shd w:val="clear" w:color="auto" w:fill="auto"/>
            <w:vAlign w:val="center"/>
          </w:tcPr>
          <w:p w14:paraId="10D404D6">
            <w:pPr>
              <w:jc w:val="center"/>
              <w:rPr>
                <w:rFonts w:hint="eastAsia" w:ascii="宋体" w:hAnsi="宋体" w:eastAsia="宋体" w:cs="宋体"/>
                <w:szCs w:val="21"/>
              </w:rPr>
            </w:pPr>
            <w:r>
              <w:rPr>
                <w:rFonts w:hint="eastAsia" w:ascii="宋体" w:hAnsi="宋体" w:eastAsia="宋体" w:cs="宋体"/>
                <w:szCs w:val="21"/>
              </w:rPr>
              <w:t>定量检测能力情况</w:t>
            </w:r>
          </w:p>
        </w:tc>
        <w:tc>
          <w:tcPr>
            <w:tcW w:w="716" w:type="dxa"/>
            <w:shd w:val="clear" w:color="auto" w:fill="auto"/>
            <w:vAlign w:val="center"/>
          </w:tcPr>
          <w:p w14:paraId="1FA7207C">
            <w:pPr>
              <w:jc w:val="center"/>
              <w:rPr>
                <w:rFonts w:hint="eastAsia" w:ascii="宋体" w:hAnsi="宋体" w:eastAsia="宋体" w:cs="宋体"/>
                <w:szCs w:val="21"/>
              </w:rPr>
            </w:pPr>
            <w:r>
              <w:rPr>
                <w:rFonts w:hint="eastAsia" w:ascii="宋体" w:hAnsi="宋体" w:eastAsia="宋体" w:cs="宋体"/>
                <w:szCs w:val="21"/>
              </w:rPr>
              <w:t>16</w:t>
            </w:r>
          </w:p>
        </w:tc>
        <w:tc>
          <w:tcPr>
            <w:tcW w:w="6172" w:type="dxa"/>
            <w:shd w:val="clear" w:color="auto" w:fill="auto"/>
            <w:vAlign w:val="center"/>
          </w:tcPr>
          <w:p w14:paraId="6A5E1CAB">
            <w:pPr>
              <w:rPr>
                <w:rFonts w:hint="eastAsia" w:ascii="宋体" w:hAnsi="宋体" w:eastAsia="宋体" w:cs="宋体"/>
                <w:b/>
                <w:bCs/>
                <w:szCs w:val="21"/>
              </w:rPr>
            </w:pPr>
            <w:r>
              <w:rPr>
                <w:rFonts w:hint="eastAsia" w:ascii="宋体" w:hAnsi="宋体" w:eastAsia="宋体" w:cs="宋体"/>
                <w:b/>
                <w:bCs/>
                <w:szCs w:val="21"/>
              </w:rPr>
              <w:t>（一）评审内容：</w:t>
            </w:r>
          </w:p>
          <w:p w14:paraId="6A3B6A04">
            <w:pPr>
              <w:rPr>
                <w:rFonts w:hint="eastAsia" w:ascii="宋体" w:hAnsi="宋体" w:eastAsia="宋体" w:cs="宋体"/>
                <w:bCs/>
                <w:snapToGrid w:val="0"/>
                <w:kern w:val="0"/>
                <w:szCs w:val="21"/>
              </w:rPr>
            </w:pPr>
            <w:r>
              <w:rPr>
                <w:rFonts w:hint="eastAsia" w:ascii="宋体" w:hAnsi="宋体" w:eastAsia="宋体" w:cs="宋体"/>
                <w:bCs/>
                <w:snapToGrid w:val="0"/>
                <w:kern w:val="0"/>
                <w:szCs w:val="21"/>
              </w:rPr>
              <w:t>投标人提供2024年1月1日至本项目投标截止之日（以送检日期为准），具备在资质认定证书规定的检测能力范围内出具的检验检测报告，且要求检验检测报告带有CMA标志并加盖检验检测机构公章或专用章，同时，要求检验检测报告的送检/委托单位须为投标人：</w:t>
            </w:r>
          </w:p>
          <w:p w14:paraId="5226C76C">
            <w:pPr>
              <w:widowControl/>
              <w:numPr>
                <w:ilvl w:val="255"/>
                <w:numId w:val="0"/>
              </w:numPr>
              <w:rPr>
                <w:rFonts w:hint="eastAsia" w:ascii="宋体" w:hAnsi="宋体" w:cs="宋体"/>
                <w:szCs w:val="21"/>
              </w:rPr>
            </w:pPr>
            <w:r>
              <w:rPr>
                <w:rFonts w:hint="eastAsia" w:ascii="宋体" w:hAnsi="宋体" w:eastAsia="宋体" w:cs="宋体"/>
                <w:bCs/>
                <w:snapToGrid w:val="0"/>
                <w:kern w:val="0"/>
                <w:szCs w:val="21"/>
              </w:rPr>
              <w:t>乳制品类</w:t>
            </w:r>
            <w:r>
              <w:rPr>
                <w:rFonts w:hint="eastAsia"/>
              </w:rPr>
              <w:t>（单份检验报告中总检测项目不少于15项，且其中需包含以下任意2/3的检测项目，即不少于10项检测项目)</w:t>
            </w:r>
            <w:r>
              <w:rPr>
                <w:rFonts w:hint="eastAsia" w:ascii="宋体" w:hAnsi="宋体" w:cs="宋体"/>
                <w:szCs w:val="21"/>
              </w:rPr>
              <w:t>：</w:t>
            </w:r>
          </w:p>
          <w:p w14:paraId="176A8938">
            <w:pPr>
              <w:widowControl/>
              <w:numPr>
                <w:ilvl w:val="255"/>
                <w:numId w:val="0"/>
              </w:numPr>
              <w:rPr>
                <w:rFonts w:hint="eastAsia" w:ascii="宋体" w:hAnsi="宋体" w:cs="宋体" w:eastAsiaTheme="minorEastAsia"/>
                <w:szCs w:val="21"/>
                <w:lang w:eastAsia="zh-CN"/>
              </w:rPr>
            </w:pPr>
            <w:r>
              <w:rPr>
                <w:rFonts w:hint="eastAsia" w:ascii="宋体" w:hAnsi="宋体" w:cs="宋体"/>
                <w:szCs w:val="21"/>
              </w:rPr>
              <w:t>①铅</w:t>
            </w:r>
            <w:r>
              <w:rPr>
                <w:rFonts w:hint="eastAsia" w:ascii="宋体" w:hAnsi="宋体" w:eastAsia="宋体" w:cs="宋体"/>
                <w:bCs/>
                <w:snapToGrid w:val="0"/>
                <w:kern w:val="0"/>
                <w:szCs w:val="21"/>
              </w:rPr>
              <w:t>(以 Pb计)</w:t>
            </w:r>
            <w:r>
              <w:rPr>
                <w:rFonts w:hint="eastAsia" w:ascii="宋体" w:hAnsi="宋体" w:cs="宋体"/>
                <w:szCs w:val="21"/>
              </w:rPr>
              <w:t>、</w:t>
            </w:r>
            <w:r>
              <w:rPr>
                <w:rFonts w:hint="eastAsia" w:ascii="宋体" w:hAnsi="宋体" w:cs="宋体"/>
                <w:szCs w:val="21"/>
                <w:lang w:val="en-US" w:eastAsia="zh-CN"/>
              </w:rPr>
              <w:t>②</w:t>
            </w:r>
            <w:r>
              <w:rPr>
                <w:rFonts w:hint="eastAsia" w:ascii="宋体" w:hAnsi="宋体" w:cs="宋体"/>
                <w:szCs w:val="21"/>
              </w:rPr>
              <w:t>总汞</w:t>
            </w:r>
            <w:r>
              <w:rPr>
                <w:rFonts w:hint="eastAsia" w:ascii="宋体" w:hAnsi="宋体" w:eastAsia="宋体" w:cs="宋体"/>
                <w:bCs/>
                <w:snapToGrid w:val="0"/>
                <w:kern w:val="0"/>
                <w:szCs w:val="21"/>
              </w:rPr>
              <w:t>(以 Hg计)</w:t>
            </w:r>
            <w:r>
              <w:rPr>
                <w:rFonts w:hint="eastAsia" w:ascii="宋体" w:hAnsi="宋体" w:cs="宋体"/>
                <w:szCs w:val="21"/>
              </w:rPr>
              <w:t>、</w:t>
            </w:r>
            <w:r>
              <w:rPr>
                <w:rFonts w:hint="eastAsia" w:ascii="宋体" w:hAnsi="宋体" w:cs="宋体"/>
                <w:szCs w:val="21"/>
                <w:lang w:val="en-US" w:eastAsia="zh-CN"/>
              </w:rPr>
              <w:t>③</w:t>
            </w:r>
            <w:r>
              <w:rPr>
                <w:rFonts w:hint="eastAsia" w:ascii="宋体" w:hAnsi="宋体" w:cs="宋体"/>
                <w:szCs w:val="21"/>
              </w:rPr>
              <w:t>总砷</w:t>
            </w:r>
            <w:r>
              <w:rPr>
                <w:rFonts w:hint="eastAsia" w:ascii="宋体" w:hAnsi="宋体" w:eastAsia="宋体" w:cs="宋体"/>
                <w:bCs/>
                <w:snapToGrid w:val="0"/>
                <w:kern w:val="0"/>
                <w:szCs w:val="21"/>
              </w:rPr>
              <w:t>(以 As计)、</w:t>
            </w:r>
            <w:r>
              <w:rPr>
                <w:rFonts w:hint="eastAsia" w:ascii="宋体" w:hAnsi="宋体" w:eastAsia="宋体" w:cs="宋体"/>
                <w:bCs/>
                <w:snapToGrid w:val="0"/>
                <w:kern w:val="0"/>
                <w:szCs w:val="21"/>
                <w:lang w:val="en-US" w:eastAsia="zh-CN"/>
              </w:rPr>
              <w:t>④</w:t>
            </w:r>
            <w:r>
              <w:rPr>
                <w:rFonts w:hint="eastAsia" w:ascii="宋体" w:hAnsi="宋体" w:cs="宋体"/>
                <w:szCs w:val="21"/>
              </w:rPr>
              <w:t>三聚氰胺、</w:t>
            </w:r>
            <w:r>
              <w:rPr>
                <w:rFonts w:hint="eastAsia" w:ascii="宋体" w:hAnsi="宋体" w:cs="宋体"/>
                <w:bCs/>
                <w:snapToGrid w:val="0"/>
                <w:kern w:val="0"/>
                <w:szCs w:val="21"/>
                <w:lang w:val="en-US" w:eastAsia="zh-CN"/>
              </w:rPr>
              <w:t>⑤</w:t>
            </w:r>
            <w:r>
              <w:rPr>
                <w:rFonts w:hint="eastAsia" w:ascii="宋体" w:hAnsi="宋体" w:cs="宋体"/>
                <w:szCs w:val="21"/>
              </w:rPr>
              <w:t>黄曲霉毒素M1</w:t>
            </w:r>
            <w:r>
              <w:rPr>
                <w:rFonts w:hint="eastAsia" w:ascii="宋体" w:hAnsi="宋体" w:cs="宋体"/>
                <w:szCs w:val="21"/>
                <w:lang w:eastAsia="zh-CN"/>
              </w:rPr>
              <w:t>、</w:t>
            </w:r>
            <w:r>
              <w:rPr>
                <w:rFonts w:hint="eastAsia" w:ascii="宋体" w:hAnsi="宋体" w:cs="宋体"/>
                <w:szCs w:val="21"/>
                <w:lang w:val="en-US" w:eastAsia="zh-CN"/>
              </w:rPr>
              <w:t>⑥</w:t>
            </w:r>
            <w:r>
              <w:rPr>
                <w:rFonts w:hint="eastAsia" w:ascii="宋体" w:hAnsi="宋体" w:cs="宋体"/>
                <w:szCs w:val="21"/>
              </w:rPr>
              <w:t>大肠菌群、</w:t>
            </w:r>
            <w:r>
              <w:rPr>
                <w:rFonts w:hint="eastAsia" w:ascii="宋体" w:hAnsi="宋体" w:cs="宋体"/>
                <w:bCs/>
                <w:snapToGrid w:val="0"/>
                <w:kern w:val="0"/>
                <w:szCs w:val="21"/>
                <w:lang w:val="en-US" w:eastAsia="zh-CN"/>
              </w:rPr>
              <w:t>⑦</w:t>
            </w:r>
            <w:r>
              <w:rPr>
                <w:rFonts w:hint="eastAsia" w:ascii="宋体" w:hAnsi="宋体" w:cs="宋体"/>
                <w:szCs w:val="21"/>
              </w:rPr>
              <w:t>金黄色葡萄球菌、</w:t>
            </w:r>
            <w:r>
              <w:rPr>
                <w:rFonts w:hint="eastAsia" w:ascii="宋体" w:hAnsi="宋体" w:cs="宋体"/>
                <w:szCs w:val="21"/>
                <w:lang w:val="en-US" w:eastAsia="zh-CN"/>
              </w:rPr>
              <w:t>⑧</w:t>
            </w:r>
            <w:r>
              <w:rPr>
                <w:rFonts w:hint="eastAsia" w:ascii="宋体" w:hAnsi="宋体" w:cs="宋体"/>
                <w:szCs w:val="21"/>
              </w:rPr>
              <w:t>沙门氏菌、</w:t>
            </w:r>
            <w:r>
              <w:rPr>
                <w:rFonts w:hint="eastAsia" w:ascii="宋体" w:hAnsi="宋体" w:cs="宋体"/>
                <w:szCs w:val="21"/>
                <w:lang w:val="en-US" w:eastAsia="zh-CN"/>
              </w:rPr>
              <w:t>⑨</w:t>
            </w:r>
            <w:r>
              <w:rPr>
                <w:rFonts w:hint="eastAsia" w:ascii="宋体" w:hAnsi="宋体" w:cs="宋体"/>
                <w:szCs w:val="21"/>
              </w:rPr>
              <w:t>阿斯巴甜（又名天门冬酰苯丙氨酸甲酯）</w:t>
            </w:r>
            <w:r>
              <w:rPr>
                <w:rFonts w:hint="eastAsia" w:ascii="宋体" w:hAnsi="宋体" w:cs="宋体"/>
                <w:szCs w:val="21"/>
                <w:lang w:eastAsia="zh-CN"/>
              </w:rPr>
              <w:t>、</w:t>
            </w:r>
            <w:r>
              <w:rPr>
                <w:rFonts w:hint="eastAsia" w:ascii="宋体" w:hAnsi="宋体" w:cs="宋体"/>
                <w:bCs/>
                <w:snapToGrid w:val="0"/>
                <w:kern w:val="0"/>
                <w:szCs w:val="21"/>
                <w:lang w:val="en-US" w:eastAsia="zh-CN"/>
              </w:rPr>
              <w:t>⑩</w:t>
            </w:r>
            <w:r>
              <w:rPr>
                <w:rFonts w:hint="eastAsia" w:ascii="宋体" w:hAnsi="宋体" w:cs="宋体"/>
                <w:szCs w:val="21"/>
              </w:rPr>
              <w:t>苯醚甲环唑、</w:t>
            </w:r>
            <w:r>
              <w:rPr>
                <w:rFonts w:hint="eastAsia" w:ascii="宋体" w:hAnsi="宋体" w:cs="宋体"/>
                <w:bCs/>
                <w:snapToGrid w:val="0"/>
                <w:kern w:val="0"/>
                <w:szCs w:val="21"/>
              </w:rPr>
              <w:t>⑪</w:t>
            </w:r>
            <w:r>
              <w:rPr>
                <w:rFonts w:hint="eastAsia" w:ascii="宋体" w:hAnsi="宋体" w:cs="宋体"/>
                <w:szCs w:val="21"/>
              </w:rPr>
              <w:t>丙环唑、</w:t>
            </w:r>
            <w:r>
              <w:rPr>
                <w:rFonts w:hint="eastAsia" w:ascii="宋体" w:hAnsi="宋体" w:cs="宋体"/>
                <w:bCs/>
                <w:snapToGrid w:val="0"/>
                <w:kern w:val="0"/>
                <w:szCs w:val="21"/>
              </w:rPr>
              <w:t>⑫</w:t>
            </w:r>
            <w:r>
              <w:rPr>
                <w:rFonts w:hint="eastAsia" w:ascii="宋体" w:hAnsi="宋体" w:cs="宋体"/>
                <w:szCs w:val="21"/>
              </w:rPr>
              <w:t>毒死蜱、⑬己烯雌酚；⑭氯霉素及其盐、酯；⑮亚硝酸盐</w:t>
            </w:r>
            <w:r>
              <w:rPr>
                <w:rFonts w:hint="eastAsia" w:ascii="宋体" w:hAnsi="宋体" w:cs="宋体"/>
                <w:szCs w:val="21"/>
                <w:lang w:eastAsia="zh-CN"/>
              </w:rPr>
              <w:t>。</w:t>
            </w:r>
          </w:p>
          <w:p w14:paraId="7EFD89C4">
            <w:pPr>
              <w:rPr>
                <w:rFonts w:hint="eastAsia" w:ascii="宋体" w:hAnsi="宋体" w:eastAsia="宋体" w:cs="宋体"/>
                <w:bCs/>
                <w:snapToGrid w:val="0"/>
                <w:kern w:val="0"/>
                <w:szCs w:val="21"/>
              </w:rPr>
            </w:pPr>
            <w:r>
              <w:rPr>
                <w:rFonts w:hint="eastAsia" w:ascii="宋体" w:hAnsi="宋体" w:eastAsia="宋体" w:cs="宋体"/>
                <w:bCs/>
                <w:snapToGrid w:val="0"/>
                <w:kern w:val="0"/>
                <w:szCs w:val="21"/>
              </w:rPr>
              <w:t>投标人提供的检验检测报告需检测以上检测内容，且包含相应指标，检验检测结论为合格或符合或未检出（或同等表述，如检测结论出现“-”“/”类结论的不计分），在此基础上：</w:t>
            </w:r>
          </w:p>
          <w:p w14:paraId="730CFEE3">
            <w:pPr>
              <w:rPr>
                <w:rFonts w:hint="eastAsia" w:ascii="宋体" w:hAnsi="宋体" w:eastAsia="宋体" w:cs="宋体"/>
                <w:bCs/>
                <w:snapToGrid w:val="0"/>
                <w:kern w:val="0"/>
                <w:szCs w:val="21"/>
                <w:lang w:eastAsia="zh-CN"/>
              </w:rPr>
            </w:pPr>
            <w:r>
              <w:rPr>
                <w:rFonts w:hint="eastAsia" w:ascii="宋体" w:hAnsi="宋体" w:eastAsia="宋体" w:cs="宋体"/>
                <w:bCs/>
                <w:snapToGrid w:val="0"/>
                <w:kern w:val="0"/>
                <w:szCs w:val="21"/>
              </w:rPr>
              <w:t>提供任意一个月</w:t>
            </w:r>
            <w:r>
              <w:rPr>
                <w:rFonts w:hint="eastAsia" w:ascii="宋体" w:hAnsi="宋体" w:eastAsia="宋体" w:cs="宋体"/>
                <w:bCs/>
                <w:snapToGrid w:val="0"/>
                <w:kern w:val="0"/>
                <w:szCs w:val="21"/>
                <w:lang w:eastAsia="zh-CN"/>
              </w:rPr>
              <w:t>（每月一份）</w:t>
            </w:r>
            <w:r>
              <w:rPr>
                <w:rFonts w:hint="eastAsia" w:ascii="宋体" w:hAnsi="宋体" w:eastAsia="宋体" w:cs="宋体"/>
                <w:bCs/>
                <w:snapToGrid w:val="0"/>
                <w:kern w:val="0"/>
                <w:szCs w:val="21"/>
              </w:rPr>
              <w:t>的检测报告的，得</w:t>
            </w:r>
            <w:r>
              <w:rPr>
                <w:rFonts w:hint="eastAsia" w:ascii="宋体" w:hAnsi="宋体" w:eastAsia="宋体" w:cs="宋体"/>
                <w:bCs/>
                <w:snapToGrid w:val="0"/>
                <w:kern w:val="0"/>
                <w:szCs w:val="21"/>
                <w:lang w:val="en-US" w:eastAsia="zh-CN"/>
              </w:rPr>
              <w:t>33.4</w:t>
            </w:r>
            <w:r>
              <w:rPr>
                <w:rFonts w:hint="eastAsia" w:ascii="宋体" w:hAnsi="宋体" w:eastAsia="宋体" w:cs="宋体"/>
                <w:bCs/>
                <w:snapToGrid w:val="0"/>
                <w:kern w:val="0"/>
                <w:szCs w:val="21"/>
              </w:rPr>
              <w:t>分，本项最高得</w:t>
            </w:r>
            <w:r>
              <w:rPr>
                <w:rFonts w:hint="eastAsia" w:ascii="宋体" w:hAnsi="宋体" w:eastAsia="宋体" w:cs="宋体"/>
                <w:bCs/>
                <w:snapToGrid w:val="0"/>
                <w:kern w:val="0"/>
                <w:szCs w:val="21"/>
                <w:lang w:val="en-US" w:eastAsia="zh-CN"/>
              </w:rPr>
              <w:t>10</w:t>
            </w:r>
            <w:r>
              <w:rPr>
                <w:rFonts w:hint="eastAsia" w:ascii="宋体" w:hAnsi="宋体" w:eastAsia="宋体" w:cs="宋体"/>
                <w:bCs/>
                <w:snapToGrid w:val="0"/>
                <w:kern w:val="0"/>
                <w:szCs w:val="21"/>
              </w:rPr>
              <w:t>0分</w:t>
            </w:r>
            <w:r>
              <w:rPr>
                <w:rFonts w:hint="eastAsia" w:ascii="宋体" w:hAnsi="宋体" w:eastAsia="宋体" w:cs="宋体"/>
                <w:bCs/>
                <w:snapToGrid w:val="0"/>
                <w:kern w:val="0"/>
                <w:szCs w:val="21"/>
                <w:lang w:eastAsia="zh-CN"/>
              </w:rPr>
              <w:t>。</w:t>
            </w:r>
          </w:p>
          <w:p w14:paraId="04B3FE6E">
            <w:pPr>
              <w:widowControl/>
              <w:rPr>
                <w:rFonts w:hint="eastAsia" w:ascii="宋体" w:hAnsi="宋体" w:eastAsia="宋体" w:cs="宋体"/>
                <w:b/>
                <w:bCs/>
                <w:szCs w:val="21"/>
              </w:rPr>
            </w:pPr>
            <w:r>
              <w:rPr>
                <w:rFonts w:hint="eastAsia" w:ascii="宋体" w:hAnsi="宋体" w:eastAsia="宋体" w:cs="宋体"/>
                <w:b/>
                <w:bCs/>
                <w:szCs w:val="21"/>
              </w:rPr>
              <w:t>（二）证明文件：</w:t>
            </w:r>
          </w:p>
          <w:p w14:paraId="0CF8A07F">
            <w:pPr>
              <w:widowControl/>
              <w:rPr>
                <w:rFonts w:hint="eastAsia" w:ascii="宋体" w:hAnsi="宋体" w:eastAsia="宋体" w:cs="宋体"/>
                <w:szCs w:val="21"/>
              </w:rPr>
            </w:pPr>
            <w:r>
              <w:rPr>
                <w:rFonts w:hint="eastAsia" w:ascii="宋体" w:hAnsi="宋体" w:eastAsia="宋体" w:cs="宋体"/>
                <w:szCs w:val="21"/>
              </w:rPr>
              <w:t>按照以下要求提供证明材料：</w:t>
            </w:r>
          </w:p>
          <w:p w14:paraId="64AC93F0">
            <w:pPr>
              <w:widowControl/>
              <w:rPr>
                <w:rFonts w:hint="eastAsia" w:ascii="宋体" w:hAnsi="宋体" w:eastAsia="宋体" w:cs="宋体"/>
                <w:szCs w:val="21"/>
              </w:rPr>
            </w:pPr>
            <w:r>
              <w:rPr>
                <w:rFonts w:hint="eastAsia" w:ascii="宋体" w:hAnsi="宋体" w:eastAsia="宋体" w:cs="宋体"/>
                <w:szCs w:val="21"/>
              </w:rPr>
              <w:t>1.提供第三方检测机构在检测能力范围内出具的标注资质认定标志（CMA）的检验检测报告扫描件，且检测结果均为合格或符合或未检出或同等表述（如上述检测项目的检测报告出现相关内容备注或体现相关检测项目不在检测机构资质CMA资质认可范围之内的，该检测项目则不符合评分要求）。</w:t>
            </w:r>
          </w:p>
          <w:p w14:paraId="41C62271">
            <w:pPr>
              <w:widowControl/>
              <w:rPr>
                <w:rFonts w:hint="eastAsia" w:ascii="宋体" w:hAnsi="宋体" w:eastAsia="宋体" w:cs="宋体"/>
                <w:szCs w:val="21"/>
              </w:rPr>
            </w:pPr>
            <w:r>
              <w:rPr>
                <w:rFonts w:hint="eastAsia" w:ascii="宋体" w:hAnsi="宋体" w:eastAsia="宋体" w:cs="宋体"/>
                <w:szCs w:val="21"/>
              </w:rPr>
              <w:t>2.提供检验检测报告在检测机构官网或者全国认证认可信息公共服务平台（认e云）（网址：http://cx.cnca.cn/）上的查询截图，且检测报告编号与网站截图的报告编号需一致。</w:t>
            </w:r>
          </w:p>
          <w:p w14:paraId="3CCA8074">
            <w:pPr>
              <w:widowControl/>
              <w:rPr>
                <w:rFonts w:hint="eastAsia" w:ascii="宋体" w:hAnsi="宋体" w:eastAsia="宋体" w:cs="宋体"/>
                <w:szCs w:val="21"/>
              </w:rPr>
            </w:pPr>
            <w:r>
              <w:rPr>
                <w:rFonts w:hint="eastAsia" w:ascii="宋体" w:hAnsi="宋体" w:eastAsia="宋体" w:cs="宋体"/>
                <w:szCs w:val="21"/>
              </w:rPr>
              <w:t>3.提供投标人委托检测机构检测上述事项的任意一张检测费用发票和对应的转账凭证（发票、转账凭证需体现投标人、第三方检测机构名称信息；转账凭证、发票提供截图、电子件或扫描件均可，下同）。如投标人委托多家检测机构检测的，则需要提供委托每家检测机构检测上述事项的任意一张检测费用发票和对应的转账凭证（发票、转账凭证需体现投标人、第三方检测机构名称信息）。</w:t>
            </w:r>
          </w:p>
          <w:p w14:paraId="063B1000">
            <w:pPr>
              <w:widowControl/>
              <w:rPr>
                <w:rFonts w:hint="eastAsia" w:ascii="宋体" w:hAnsi="宋体" w:eastAsia="宋体" w:cs="宋体"/>
                <w:szCs w:val="21"/>
              </w:rPr>
            </w:pPr>
            <w:r>
              <w:rPr>
                <w:rFonts w:hint="eastAsia" w:ascii="宋体" w:hAnsi="宋体" w:eastAsia="宋体" w:cs="宋体"/>
                <w:szCs w:val="21"/>
              </w:rPr>
              <w:t>4.评分中出现无证明资料或者专家无法凭所提供资料判断是否得分的情况，一律做不得分处理。</w:t>
            </w:r>
          </w:p>
          <w:p w14:paraId="224FB0D6">
            <w:pPr>
              <w:rPr>
                <w:rFonts w:hint="eastAsia" w:ascii="宋体" w:hAnsi="宋体" w:eastAsia="宋体" w:cs="宋体"/>
                <w:szCs w:val="21"/>
              </w:rPr>
            </w:pPr>
            <w:r>
              <w:rPr>
                <w:rFonts w:hint="eastAsia" w:ascii="宋体" w:hAnsi="宋体" w:eastAsia="宋体" w:cs="宋体"/>
                <w:szCs w:val="21"/>
              </w:rPr>
              <w:t>注：如为距本项目开标的注册成立时间不足</w:t>
            </w:r>
            <w:r>
              <w:rPr>
                <w:rFonts w:hint="eastAsia" w:ascii="宋体" w:hAnsi="宋体" w:eastAsia="宋体" w:cs="宋体"/>
                <w:szCs w:val="21"/>
                <w:lang w:val="en-US" w:eastAsia="zh-CN"/>
              </w:rPr>
              <w:t>3</w:t>
            </w:r>
            <w:r>
              <w:rPr>
                <w:rFonts w:hint="eastAsia" w:ascii="宋体" w:hAnsi="宋体" w:eastAsia="宋体" w:cs="宋体"/>
                <w:szCs w:val="21"/>
              </w:rPr>
              <w:t>个月的投标人（投标人成立时间以营业执照的成立日期为准），提供自成立以来的每个月份的检验检测报告，可视为已提供“任意</w:t>
            </w:r>
            <w:r>
              <w:rPr>
                <w:rFonts w:hint="eastAsia" w:ascii="宋体" w:hAnsi="宋体" w:eastAsia="宋体" w:cs="宋体"/>
                <w:szCs w:val="21"/>
                <w:lang w:val="en-US" w:eastAsia="zh-CN"/>
              </w:rPr>
              <w:t>三</w:t>
            </w:r>
            <w:r>
              <w:rPr>
                <w:rFonts w:hint="eastAsia" w:ascii="宋体" w:hAnsi="宋体" w:eastAsia="宋体" w:cs="宋体"/>
                <w:szCs w:val="21"/>
              </w:rPr>
              <w:t>个月（每个月提供一份）的检验检测报告”</w:t>
            </w:r>
            <w:r>
              <w:rPr>
                <w:rFonts w:hint="eastAsia" w:ascii="宋体" w:hAnsi="宋体" w:eastAsia="宋体" w:cs="宋体"/>
                <w:szCs w:val="21"/>
                <w:lang w:eastAsia="zh-CN"/>
              </w:rPr>
              <w:t>，</w:t>
            </w:r>
            <w:r>
              <w:rPr>
                <w:rFonts w:hint="eastAsia" w:ascii="宋体" w:hAnsi="宋体" w:eastAsia="宋体" w:cs="宋体"/>
                <w:szCs w:val="21"/>
                <w:lang w:val="en-US" w:eastAsia="zh-CN"/>
              </w:rPr>
              <w:t>得100分</w:t>
            </w:r>
            <w:r>
              <w:rPr>
                <w:rFonts w:hint="eastAsia" w:ascii="宋体" w:hAnsi="宋体" w:eastAsia="宋体" w:cs="宋体"/>
                <w:szCs w:val="21"/>
              </w:rPr>
              <w:t>。</w:t>
            </w:r>
          </w:p>
        </w:tc>
      </w:tr>
      <w:tr w14:paraId="636E8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809" w:hRule="atLeast"/>
          <w:tblCellSpacing w:w="0" w:type="dxa"/>
          <w:jc w:val="center"/>
        </w:trPr>
        <w:tc>
          <w:tcPr>
            <w:tcW w:w="559" w:type="dxa"/>
            <w:vMerge w:val="continue"/>
          </w:tcPr>
          <w:p w14:paraId="028DEDB8">
            <w:pPr>
              <w:jc w:val="center"/>
              <w:rPr>
                <w:rFonts w:hint="eastAsia" w:ascii="宋体" w:hAnsi="宋体" w:eastAsia="宋体" w:cs="宋体"/>
                <w:b/>
                <w:bCs/>
                <w:kern w:val="44"/>
                <w:szCs w:val="21"/>
              </w:rPr>
            </w:pPr>
          </w:p>
        </w:tc>
        <w:tc>
          <w:tcPr>
            <w:tcW w:w="591" w:type="dxa"/>
            <w:shd w:val="clear" w:color="auto" w:fill="auto"/>
            <w:vAlign w:val="center"/>
          </w:tcPr>
          <w:p w14:paraId="0823434F">
            <w:pPr>
              <w:widowControl/>
              <w:spacing w:line="200" w:lineRule="atLeast"/>
              <w:jc w:val="center"/>
              <w:rPr>
                <w:rFonts w:hint="eastAsia" w:ascii="宋体" w:hAnsi="宋体" w:eastAsia="宋体" w:cs="宋体"/>
                <w:szCs w:val="21"/>
              </w:rPr>
            </w:pPr>
            <w:r>
              <w:rPr>
                <w:rFonts w:hint="eastAsia" w:ascii="宋体" w:hAnsi="宋体" w:eastAsia="宋体" w:cs="宋体"/>
                <w:szCs w:val="21"/>
              </w:rPr>
              <w:t>7</w:t>
            </w:r>
          </w:p>
        </w:tc>
        <w:tc>
          <w:tcPr>
            <w:tcW w:w="1030" w:type="dxa"/>
            <w:shd w:val="clear" w:color="auto" w:fill="auto"/>
            <w:vAlign w:val="center"/>
          </w:tcPr>
          <w:p w14:paraId="655F2EFE">
            <w:pPr>
              <w:jc w:val="center"/>
              <w:rPr>
                <w:rFonts w:hint="eastAsia" w:ascii="宋体" w:hAnsi="宋体" w:eastAsia="宋体" w:cs="宋体"/>
                <w:szCs w:val="21"/>
              </w:rPr>
            </w:pPr>
            <w:r>
              <w:rPr>
                <w:rFonts w:hint="eastAsia" w:ascii="宋体" w:hAnsi="宋体" w:eastAsia="宋体" w:cs="宋体"/>
                <w:szCs w:val="21"/>
              </w:rPr>
              <w:t>拟投入本项目车辆情况</w:t>
            </w:r>
          </w:p>
        </w:tc>
        <w:tc>
          <w:tcPr>
            <w:tcW w:w="716" w:type="dxa"/>
            <w:shd w:val="clear" w:color="auto" w:fill="auto"/>
            <w:vAlign w:val="center"/>
          </w:tcPr>
          <w:p w14:paraId="1ECD1D21">
            <w:pPr>
              <w:jc w:val="center"/>
              <w:rPr>
                <w:rFonts w:hint="eastAsia" w:ascii="宋体" w:hAnsi="宋体" w:eastAsia="宋体" w:cs="宋体"/>
                <w:szCs w:val="21"/>
                <w:lang w:eastAsia="zh-CN"/>
              </w:rPr>
            </w:pPr>
            <w:r>
              <w:rPr>
                <w:rFonts w:hint="eastAsia" w:ascii="宋体" w:hAnsi="宋体" w:eastAsia="宋体" w:cs="宋体"/>
                <w:szCs w:val="21"/>
                <w:lang w:val="en-US" w:eastAsia="zh-CN"/>
              </w:rPr>
              <w:t>5</w:t>
            </w:r>
          </w:p>
        </w:tc>
        <w:tc>
          <w:tcPr>
            <w:tcW w:w="6172" w:type="dxa"/>
            <w:shd w:val="clear" w:color="auto" w:fill="auto"/>
            <w:vAlign w:val="center"/>
          </w:tcPr>
          <w:p w14:paraId="7C9A45B6">
            <w:pPr>
              <w:rPr>
                <w:rFonts w:hint="eastAsia" w:ascii="宋体" w:hAnsi="宋体" w:eastAsia="宋体" w:cs="宋体"/>
                <w:b/>
                <w:bCs/>
                <w:szCs w:val="21"/>
              </w:rPr>
            </w:pPr>
            <w:r>
              <w:rPr>
                <w:rFonts w:hint="eastAsia" w:ascii="宋体" w:hAnsi="宋体" w:eastAsia="宋体" w:cs="宋体"/>
                <w:b/>
                <w:bCs/>
                <w:szCs w:val="21"/>
              </w:rPr>
              <w:t>（一）评审内容：</w:t>
            </w:r>
          </w:p>
          <w:p w14:paraId="1CC7D364">
            <w:pPr>
              <w:widowControl/>
              <w:wordWrap w:val="0"/>
              <w:jc w:val="left"/>
              <w:rPr>
                <w:rFonts w:hint="eastAsia" w:ascii="宋体" w:hAnsi="宋体" w:eastAsia="宋体" w:cs="宋体"/>
                <w:kern w:val="0"/>
                <w:szCs w:val="21"/>
              </w:rPr>
            </w:pPr>
            <w:r>
              <w:rPr>
                <w:rFonts w:hint="eastAsia" w:ascii="宋体" w:hAnsi="宋体" w:eastAsia="宋体" w:cs="宋体"/>
                <w:kern w:val="0"/>
                <w:szCs w:val="21"/>
              </w:rPr>
              <w:t>投标人拟投入本项目的车辆情况：</w:t>
            </w:r>
          </w:p>
          <w:p w14:paraId="63FCA104">
            <w:pPr>
              <w:widowControl/>
              <w:numPr>
                <w:ilvl w:val="255"/>
                <w:numId w:val="0"/>
              </w:numPr>
              <w:wordWrap w:val="0"/>
              <w:jc w:val="left"/>
              <w:rPr>
                <w:rFonts w:hint="eastAsia" w:ascii="宋体" w:hAnsi="宋体" w:eastAsia="宋体" w:cs="宋体"/>
                <w:bCs/>
                <w:kern w:val="0"/>
                <w:szCs w:val="21"/>
              </w:rPr>
            </w:pPr>
            <w:r>
              <w:rPr>
                <w:rFonts w:hint="eastAsia" w:ascii="宋体" w:hAnsi="宋体" w:eastAsia="宋体" w:cs="宋体"/>
                <w:bCs/>
                <w:kern w:val="0"/>
                <w:szCs w:val="21"/>
              </w:rPr>
              <w:t>投标人每提供（自有或租赁）1辆</w:t>
            </w:r>
            <w:r>
              <w:rPr>
                <w:rFonts w:hint="eastAsia" w:ascii="宋体" w:hAnsi="宋体" w:cs="宋体"/>
                <w:szCs w:val="21"/>
              </w:rPr>
              <w:t>冷藏（或冷冻）</w:t>
            </w:r>
            <w:r>
              <w:rPr>
                <w:rFonts w:hint="eastAsia" w:ascii="宋体" w:hAnsi="宋体" w:eastAsia="宋体" w:cs="宋体"/>
                <w:bCs/>
                <w:kern w:val="0"/>
                <w:szCs w:val="21"/>
              </w:rPr>
              <w:t>车辆，且具备有效的温度校准报告的，得15分，本项最高得100分。</w:t>
            </w:r>
          </w:p>
          <w:p w14:paraId="3852E682">
            <w:pPr>
              <w:widowControl/>
              <w:wordWrap w:val="0"/>
              <w:jc w:val="left"/>
              <w:rPr>
                <w:rFonts w:hint="eastAsia" w:ascii="宋体" w:hAnsi="宋体" w:eastAsia="宋体" w:cs="宋体"/>
                <w:b/>
                <w:kern w:val="0"/>
                <w:szCs w:val="21"/>
              </w:rPr>
            </w:pPr>
            <w:r>
              <w:rPr>
                <w:rFonts w:hint="eastAsia" w:ascii="宋体" w:hAnsi="宋体" w:eastAsia="宋体" w:cs="宋体"/>
                <w:b/>
                <w:kern w:val="0"/>
                <w:szCs w:val="21"/>
              </w:rPr>
              <w:t>（二）评审依据：</w:t>
            </w:r>
          </w:p>
          <w:p w14:paraId="6FC16BDD">
            <w:pPr>
              <w:rPr>
                <w:rFonts w:hint="eastAsia" w:ascii="宋体" w:hAnsi="宋体" w:eastAsia="宋体" w:cs="宋体"/>
                <w:szCs w:val="21"/>
              </w:rPr>
            </w:pPr>
            <w:r>
              <w:rPr>
                <w:rFonts w:hint="eastAsia" w:ascii="宋体" w:hAnsi="宋体" w:eastAsia="宋体" w:cs="宋体"/>
                <w:szCs w:val="21"/>
              </w:rPr>
              <w:t>按照以下要求提供证明材料：</w:t>
            </w:r>
          </w:p>
          <w:p w14:paraId="5DA00B69">
            <w:pPr>
              <w:rPr>
                <w:rFonts w:hint="eastAsia" w:ascii="宋体" w:hAnsi="宋体" w:eastAsia="宋体" w:cs="宋体"/>
                <w:szCs w:val="21"/>
              </w:rPr>
            </w:pPr>
            <w:r>
              <w:rPr>
                <w:rFonts w:hint="eastAsia" w:ascii="宋体" w:hAnsi="宋体" w:eastAsia="宋体" w:cs="宋体"/>
                <w:szCs w:val="21"/>
              </w:rPr>
              <w:t>1.若为自有车辆，则同时提供：</w:t>
            </w:r>
          </w:p>
          <w:p w14:paraId="6F7F4DA0">
            <w:pPr>
              <w:rPr>
                <w:rFonts w:hint="eastAsia" w:ascii="宋体" w:hAnsi="宋体" w:eastAsia="宋体" w:cs="宋体"/>
                <w:szCs w:val="21"/>
              </w:rPr>
            </w:pPr>
            <w:r>
              <w:rPr>
                <w:rFonts w:hint="eastAsia" w:ascii="宋体" w:hAnsi="宋体" w:eastAsia="宋体" w:cs="宋体"/>
                <w:szCs w:val="21"/>
              </w:rPr>
              <w:t>①车辆行驶证（年审在有效期内，至少涵盖本项目投标截止日期当日）扫描件；</w:t>
            </w:r>
          </w:p>
          <w:p w14:paraId="376C81D0">
            <w:pPr>
              <w:rPr>
                <w:rFonts w:hint="eastAsia" w:ascii="宋体" w:hAnsi="宋体" w:eastAsia="宋体" w:cs="宋体"/>
                <w:szCs w:val="21"/>
              </w:rPr>
            </w:pPr>
            <w:r>
              <w:rPr>
                <w:rFonts w:hint="eastAsia" w:ascii="宋体" w:hAnsi="宋体" w:eastAsia="宋体" w:cs="宋体"/>
                <w:szCs w:val="21"/>
              </w:rPr>
              <w:t>②车辆购置发票（发票提供截图、电子件或扫描件均可）和车辆登记证扫描件，车辆所有人需为投标人；</w:t>
            </w:r>
          </w:p>
          <w:p w14:paraId="0C3EC567">
            <w:pPr>
              <w:rPr>
                <w:rFonts w:hint="eastAsia" w:ascii="宋体" w:hAnsi="宋体" w:eastAsia="宋体" w:cs="宋体"/>
                <w:szCs w:val="21"/>
              </w:rPr>
            </w:pPr>
            <w:r>
              <w:rPr>
                <w:rFonts w:hint="eastAsia" w:ascii="宋体" w:hAnsi="宋体" w:eastAsia="宋体" w:cs="宋体"/>
                <w:szCs w:val="21"/>
              </w:rPr>
              <w:t>③车头完整正面图片（含车牌号码）；</w:t>
            </w:r>
          </w:p>
          <w:p w14:paraId="18BDA069">
            <w:pPr>
              <w:rPr>
                <w:rFonts w:hint="eastAsia" w:ascii="宋体" w:hAnsi="宋体" w:eastAsia="宋体" w:cs="宋体"/>
                <w:szCs w:val="21"/>
              </w:rPr>
            </w:pPr>
            <w:r>
              <w:rPr>
                <w:rFonts w:hint="eastAsia" w:ascii="宋体" w:hAnsi="宋体" w:eastAsia="宋体" w:cs="宋体"/>
                <w:szCs w:val="21"/>
              </w:rPr>
              <w:t>④车辆须提供温度校准报告扫描件。</w:t>
            </w:r>
          </w:p>
          <w:p w14:paraId="01B7DC06">
            <w:pPr>
              <w:rPr>
                <w:rFonts w:hint="eastAsia" w:ascii="宋体" w:hAnsi="宋体" w:eastAsia="宋体" w:cs="宋体"/>
                <w:szCs w:val="21"/>
              </w:rPr>
            </w:pPr>
            <w:r>
              <w:rPr>
                <w:rFonts w:hint="eastAsia" w:ascii="宋体" w:hAnsi="宋体" w:eastAsia="宋体" w:cs="宋体"/>
                <w:szCs w:val="21"/>
              </w:rPr>
              <w:t>2.若为租赁车辆，则同时提供:</w:t>
            </w:r>
          </w:p>
          <w:p w14:paraId="31AC83F2">
            <w:pPr>
              <w:rPr>
                <w:rFonts w:hint="eastAsia" w:ascii="宋体" w:hAnsi="宋体" w:eastAsia="宋体" w:cs="宋体"/>
                <w:szCs w:val="21"/>
              </w:rPr>
            </w:pPr>
            <w:r>
              <w:rPr>
                <w:rFonts w:hint="eastAsia" w:ascii="宋体" w:hAnsi="宋体" w:eastAsia="宋体" w:cs="宋体"/>
                <w:szCs w:val="21"/>
              </w:rPr>
              <w:t>①车辆行驶证（年审在有效期内，至少涵盖本项目投标截止日期当日）扫描件；</w:t>
            </w:r>
          </w:p>
          <w:p w14:paraId="763C4643">
            <w:pPr>
              <w:rPr>
                <w:rFonts w:hint="eastAsia" w:ascii="宋体" w:hAnsi="宋体" w:eastAsia="宋体" w:cs="宋体"/>
                <w:szCs w:val="21"/>
              </w:rPr>
            </w:pPr>
            <w:r>
              <w:rPr>
                <w:rFonts w:hint="eastAsia" w:ascii="宋体" w:hAnsi="宋体" w:eastAsia="宋体" w:cs="宋体"/>
                <w:szCs w:val="21"/>
              </w:rPr>
              <w:t>②车头完整正面图片（含车牌号码）；</w:t>
            </w:r>
          </w:p>
          <w:p w14:paraId="2FCC8C45">
            <w:pPr>
              <w:rPr>
                <w:rFonts w:hint="eastAsia" w:ascii="宋体" w:hAnsi="宋体" w:eastAsia="宋体" w:cs="宋体"/>
                <w:szCs w:val="21"/>
              </w:rPr>
            </w:pPr>
            <w:r>
              <w:rPr>
                <w:rFonts w:hint="eastAsia" w:ascii="宋体" w:hAnsi="宋体" w:eastAsia="宋体" w:cs="宋体"/>
                <w:szCs w:val="21"/>
              </w:rPr>
              <w:t>③提供车辆租赁合同关键页（包括但不限于投标人名称、合同双方签字盖章页，承租方需为投标人），合同有效期涵盖本项目投标截止日期当日，同时，提供承诺函（格式自拟），承诺函要求如下（投标人可根据自身情况任选其中一种方式保障本项目服务即可）：租赁合同期满但本项目服务期未结束情况下，续期原租赁合同，或另行租赁到位不低于原合同数量、档次、规格车辆，或另行购买到位不低于原合同数量、档次、规格车辆，用于本项目服务；</w:t>
            </w:r>
          </w:p>
          <w:p w14:paraId="51CD1177">
            <w:pPr>
              <w:rPr>
                <w:rFonts w:hint="eastAsia" w:ascii="宋体" w:hAnsi="宋体" w:eastAsia="宋体" w:cs="宋体"/>
                <w:szCs w:val="21"/>
              </w:rPr>
            </w:pPr>
            <w:r>
              <w:rPr>
                <w:rFonts w:hint="eastAsia" w:ascii="宋体" w:hAnsi="宋体" w:eastAsia="宋体" w:cs="宋体"/>
                <w:szCs w:val="21"/>
              </w:rPr>
              <w:t>④租赁合同期内任意一次转账凭证；</w:t>
            </w:r>
          </w:p>
          <w:p w14:paraId="4EA3972E">
            <w:pPr>
              <w:rPr>
                <w:rFonts w:hint="eastAsia" w:ascii="宋体" w:hAnsi="宋体" w:eastAsia="宋体" w:cs="宋体"/>
                <w:szCs w:val="21"/>
              </w:rPr>
            </w:pPr>
            <w:r>
              <w:rPr>
                <w:rFonts w:hint="eastAsia" w:ascii="宋体" w:hAnsi="宋体" w:eastAsia="宋体" w:cs="宋体"/>
                <w:szCs w:val="21"/>
              </w:rPr>
              <w:t>⑤与转账凭证相对应的发票（转账凭证、发票提供截图、电子件或扫描件均可）；</w:t>
            </w:r>
          </w:p>
          <w:p w14:paraId="26C762BA">
            <w:pPr>
              <w:rPr>
                <w:rFonts w:hint="eastAsia" w:ascii="宋体" w:hAnsi="宋体" w:eastAsia="宋体" w:cs="宋体"/>
                <w:szCs w:val="21"/>
              </w:rPr>
            </w:pPr>
            <w:r>
              <w:rPr>
                <w:rFonts w:hint="eastAsia" w:ascii="宋体" w:hAnsi="宋体" w:eastAsia="宋体" w:cs="宋体"/>
                <w:szCs w:val="21"/>
              </w:rPr>
              <w:t>⑥车辆须提供温度校准报告扫描件。</w:t>
            </w:r>
          </w:p>
          <w:p w14:paraId="08C53C10">
            <w:pPr>
              <w:rPr>
                <w:rFonts w:hint="eastAsia" w:ascii="宋体" w:hAnsi="宋体" w:eastAsia="宋体" w:cs="宋体"/>
                <w:szCs w:val="21"/>
              </w:rPr>
            </w:pPr>
            <w:r>
              <w:rPr>
                <w:rFonts w:hint="eastAsia" w:ascii="宋体" w:hAnsi="宋体" w:eastAsia="宋体" w:cs="宋体"/>
                <w:szCs w:val="21"/>
              </w:rPr>
              <w:t>如未按要求提供证明材料，或所提供的证明材料未能体现上述评分内容的，视为该证明材料无效。</w:t>
            </w:r>
          </w:p>
        </w:tc>
      </w:tr>
      <w:tr w14:paraId="2EE1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839" w:hRule="atLeast"/>
          <w:tblCellSpacing w:w="0" w:type="dxa"/>
          <w:jc w:val="center"/>
        </w:trPr>
        <w:tc>
          <w:tcPr>
            <w:tcW w:w="559" w:type="dxa"/>
            <w:vMerge w:val="continue"/>
          </w:tcPr>
          <w:p w14:paraId="7565A618">
            <w:pPr>
              <w:rPr>
                <w:rFonts w:hint="eastAsia" w:ascii="宋体" w:hAnsi="宋体" w:eastAsia="宋体" w:cs="宋体"/>
                <w:szCs w:val="21"/>
              </w:rPr>
            </w:pPr>
          </w:p>
        </w:tc>
        <w:tc>
          <w:tcPr>
            <w:tcW w:w="591" w:type="dxa"/>
            <w:shd w:val="clear" w:color="auto" w:fill="auto"/>
            <w:vAlign w:val="center"/>
          </w:tcPr>
          <w:p w14:paraId="035BCD2C">
            <w:pPr>
              <w:widowControl/>
              <w:spacing w:line="200" w:lineRule="atLeast"/>
              <w:jc w:val="center"/>
              <w:rPr>
                <w:rFonts w:hint="eastAsia" w:ascii="宋体" w:hAnsi="宋体" w:eastAsia="宋体" w:cs="宋体"/>
                <w:szCs w:val="21"/>
              </w:rPr>
            </w:pPr>
            <w:r>
              <w:rPr>
                <w:rFonts w:hint="eastAsia" w:ascii="宋体" w:hAnsi="宋体" w:eastAsia="宋体" w:cs="宋体"/>
                <w:szCs w:val="21"/>
              </w:rPr>
              <w:t>8</w:t>
            </w:r>
          </w:p>
        </w:tc>
        <w:tc>
          <w:tcPr>
            <w:tcW w:w="1030" w:type="dxa"/>
            <w:shd w:val="clear" w:color="auto" w:fill="auto"/>
            <w:vAlign w:val="center"/>
          </w:tcPr>
          <w:p w14:paraId="08D8474D">
            <w:pPr>
              <w:jc w:val="center"/>
              <w:rPr>
                <w:rFonts w:hint="eastAsia" w:ascii="宋体" w:hAnsi="宋体" w:eastAsia="宋体" w:cs="宋体"/>
                <w:szCs w:val="21"/>
              </w:rPr>
            </w:pPr>
            <w:r>
              <w:rPr>
                <w:rFonts w:hint="eastAsia" w:ascii="宋体" w:hAnsi="宋体" w:eastAsia="宋体" w:cs="宋体"/>
                <w:szCs w:val="21"/>
              </w:rPr>
              <w:t>冷库情况</w:t>
            </w:r>
          </w:p>
        </w:tc>
        <w:tc>
          <w:tcPr>
            <w:tcW w:w="716" w:type="dxa"/>
            <w:shd w:val="clear" w:color="auto" w:fill="auto"/>
            <w:vAlign w:val="center"/>
          </w:tcPr>
          <w:p w14:paraId="4B1661E2">
            <w:pPr>
              <w:widowControl/>
              <w:spacing w:line="200" w:lineRule="atLeast"/>
              <w:jc w:val="center"/>
              <w:rPr>
                <w:rFonts w:hint="eastAsia" w:ascii="宋体" w:hAnsi="宋体" w:eastAsia="宋体" w:cs="宋体"/>
                <w:szCs w:val="21"/>
              </w:rPr>
            </w:pPr>
            <w:r>
              <w:rPr>
                <w:rFonts w:hint="eastAsia" w:ascii="宋体" w:hAnsi="宋体" w:eastAsia="宋体" w:cs="宋体"/>
                <w:szCs w:val="21"/>
              </w:rPr>
              <w:t>8</w:t>
            </w:r>
          </w:p>
        </w:tc>
        <w:tc>
          <w:tcPr>
            <w:tcW w:w="6172" w:type="dxa"/>
            <w:shd w:val="clear" w:color="auto" w:fill="auto"/>
          </w:tcPr>
          <w:p w14:paraId="570CC626">
            <w:pPr>
              <w:widowControl/>
              <w:jc w:val="left"/>
              <w:rPr>
                <w:rFonts w:hint="eastAsia" w:ascii="宋体" w:hAnsi="宋体" w:eastAsia="宋体" w:cs="宋体"/>
                <w:b/>
                <w:szCs w:val="21"/>
              </w:rPr>
            </w:pPr>
            <w:r>
              <w:rPr>
                <w:rFonts w:hint="eastAsia" w:ascii="宋体" w:hAnsi="宋体" w:eastAsia="宋体" w:cs="宋体"/>
                <w:b/>
                <w:szCs w:val="21"/>
              </w:rPr>
              <w:t>（一）评审内容：</w:t>
            </w:r>
          </w:p>
          <w:p w14:paraId="627FD377">
            <w:pPr>
              <w:widowControl/>
              <w:wordWrap w:val="0"/>
              <w:jc w:val="left"/>
              <w:rPr>
                <w:rFonts w:hint="eastAsia" w:ascii="宋体" w:hAnsi="宋体" w:eastAsia="宋体" w:cs="宋体"/>
                <w:szCs w:val="21"/>
              </w:rPr>
            </w:pPr>
            <w:r>
              <w:rPr>
                <w:rFonts w:hint="eastAsia" w:ascii="宋体" w:hAnsi="宋体" w:eastAsia="宋体" w:cs="宋体"/>
                <w:szCs w:val="21"/>
              </w:rPr>
              <w:t>投标人自有或租赁的冷库【含冷冻（或急冻）和冷藏（或保鲜）】面积：</w:t>
            </w:r>
          </w:p>
          <w:p w14:paraId="1D1314F5">
            <w:pPr>
              <w:widowControl/>
              <w:wordWrap w:val="0"/>
              <w:jc w:val="left"/>
              <w:rPr>
                <w:rFonts w:hint="eastAsia" w:ascii="宋体" w:hAnsi="宋体" w:eastAsia="宋体" w:cs="宋体"/>
                <w:szCs w:val="21"/>
              </w:rPr>
            </w:pPr>
            <w:r>
              <w:rPr>
                <w:rFonts w:hint="eastAsia" w:ascii="宋体" w:hAnsi="宋体" w:eastAsia="宋体" w:cs="宋体"/>
                <w:szCs w:val="21"/>
              </w:rPr>
              <w:t>①冷库面积≥1000平方米的，得100分；</w:t>
            </w:r>
          </w:p>
          <w:p w14:paraId="1197B1BE">
            <w:pPr>
              <w:widowControl/>
              <w:wordWrap w:val="0"/>
              <w:jc w:val="left"/>
              <w:rPr>
                <w:rFonts w:hint="eastAsia" w:ascii="宋体" w:hAnsi="宋体" w:eastAsia="宋体" w:cs="宋体"/>
                <w:szCs w:val="21"/>
              </w:rPr>
            </w:pPr>
            <w:r>
              <w:rPr>
                <w:rFonts w:hint="eastAsia" w:ascii="宋体" w:hAnsi="宋体" w:eastAsia="宋体" w:cs="宋体"/>
                <w:szCs w:val="21"/>
              </w:rPr>
              <w:t>②800平方米≤面积＜1000平方米的，得80分；</w:t>
            </w:r>
          </w:p>
          <w:p w14:paraId="2374A045">
            <w:pPr>
              <w:widowControl/>
              <w:wordWrap w:val="0"/>
              <w:jc w:val="left"/>
              <w:rPr>
                <w:rFonts w:hint="eastAsia" w:ascii="宋体" w:hAnsi="宋体" w:eastAsia="宋体" w:cs="宋体"/>
                <w:szCs w:val="21"/>
              </w:rPr>
            </w:pPr>
            <w:r>
              <w:rPr>
                <w:rFonts w:hint="eastAsia" w:ascii="宋体" w:hAnsi="宋体" w:eastAsia="宋体" w:cs="宋体"/>
                <w:szCs w:val="21"/>
              </w:rPr>
              <w:t>③600平方米≤面积＜800平方米的，得50分；</w:t>
            </w:r>
          </w:p>
          <w:p w14:paraId="37A2ACAD">
            <w:pPr>
              <w:widowControl/>
              <w:wordWrap w:val="0"/>
              <w:jc w:val="left"/>
              <w:rPr>
                <w:rFonts w:hint="eastAsia" w:ascii="宋体" w:hAnsi="宋体" w:eastAsia="宋体" w:cs="宋体"/>
                <w:szCs w:val="21"/>
              </w:rPr>
            </w:pPr>
            <w:r>
              <w:rPr>
                <w:rFonts w:hint="eastAsia" w:ascii="宋体" w:hAnsi="宋体" w:eastAsia="宋体" w:cs="宋体"/>
                <w:szCs w:val="21"/>
              </w:rPr>
              <w:t>④400平方米≤面积＜600平方米的，得30分；</w:t>
            </w:r>
          </w:p>
          <w:p w14:paraId="422BA9DC">
            <w:pPr>
              <w:widowControl/>
              <w:wordWrap w:val="0"/>
              <w:jc w:val="left"/>
              <w:rPr>
                <w:rFonts w:hint="eastAsia" w:ascii="宋体" w:hAnsi="宋体" w:eastAsia="宋体" w:cs="宋体"/>
                <w:szCs w:val="21"/>
              </w:rPr>
            </w:pPr>
            <w:r>
              <w:rPr>
                <w:rFonts w:hint="eastAsia" w:ascii="宋体" w:hAnsi="宋体" w:eastAsia="宋体" w:cs="宋体"/>
                <w:szCs w:val="21"/>
              </w:rPr>
              <w:t>⑤200平方米≤面积＜400平方米的，得10分；</w:t>
            </w:r>
          </w:p>
          <w:p w14:paraId="3A6BD8F2">
            <w:pPr>
              <w:widowControl/>
              <w:wordWrap w:val="0"/>
              <w:jc w:val="left"/>
              <w:rPr>
                <w:rFonts w:hint="eastAsia" w:ascii="宋体" w:hAnsi="宋体" w:eastAsia="宋体" w:cs="宋体"/>
                <w:szCs w:val="21"/>
              </w:rPr>
            </w:pPr>
            <w:r>
              <w:rPr>
                <w:rFonts w:hint="eastAsia" w:ascii="宋体" w:hAnsi="宋体" w:eastAsia="宋体" w:cs="宋体"/>
                <w:szCs w:val="21"/>
              </w:rPr>
              <w:t>⑥其他情形不得分；</w:t>
            </w:r>
          </w:p>
          <w:p w14:paraId="59385299">
            <w:pPr>
              <w:widowControl/>
              <w:wordWrap w:val="0"/>
              <w:jc w:val="left"/>
              <w:rPr>
                <w:rFonts w:hint="eastAsia" w:ascii="宋体" w:hAnsi="宋体" w:eastAsia="宋体" w:cs="宋体"/>
                <w:szCs w:val="21"/>
              </w:rPr>
            </w:pPr>
            <w:r>
              <w:rPr>
                <w:rFonts w:hint="eastAsia" w:ascii="宋体" w:hAnsi="宋体" w:eastAsia="宋体" w:cs="宋体"/>
                <w:szCs w:val="21"/>
              </w:rPr>
              <w:t>提供多个冷库的，冷库总面积可累计。本项最高得100分。</w:t>
            </w:r>
          </w:p>
          <w:p w14:paraId="2E711D59">
            <w:pPr>
              <w:widowControl/>
              <w:wordWrap w:val="0"/>
              <w:jc w:val="left"/>
              <w:rPr>
                <w:rFonts w:hint="eastAsia" w:ascii="宋体" w:hAnsi="宋体" w:eastAsia="宋体" w:cs="宋体"/>
                <w:b/>
                <w:szCs w:val="21"/>
              </w:rPr>
            </w:pPr>
            <w:r>
              <w:rPr>
                <w:rFonts w:hint="eastAsia" w:ascii="宋体" w:hAnsi="宋体" w:eastAsia="宋体" w:cs="宋体"/>
                <w:b/>
                <w:szCs w:val="21"/>
              </w:rPr>
              <w:t>（二）评审依据：</w:t>
            </w:r>
          </w:p>
          <w:p w14:paraId="25155A7D">
            <w:pPr>
              <w:rPr>
                <w:rFonts w:hint="eastAsia" w:ascii="宋体" w:hAnsi="宋体" w:eastAsia="宋体" w:cs="宋体"/>
                <w:szCs w:val="21"/>
              </w:rPr>
            </w:pPr>
            <w:r>
              <w:rPr>
                <w:rFonts w:hint="eastAsia" w:ascii="宋体" w:hAnsi="宋体" w:eastAsia="宋体" w:cs="宋体"/>
                <w:szCs w:val="21"/>
              </w:rPr>
              <w:t>投标人按照以下要求提供证明材料（证明材料需体现冷库面积，若下列材料无面积信息，须增加其他能体现冷库面积信息的证明材料扫描件）：</w:t>
            </w:r>
          </w:p>
          <w:p w14:paraId="42D766DC">
            <w:pPr>
              <w:rPr>
                <w:rFonts w:hint="eastAsia" w:ascii="宋体" w:hAnsi="宋体" w:eastAsia="宋体" w:cs="宋体"/>
                <w:szCs w:val="21"/>
              </w:rPr>
            </w:pPr>
            <w:r>
              <w:rPr>
                <w:rFonts w:hint="eastAsia" w:ascii="宋体" w:hAnsi="宋体" w:eastAsia="宋体" w:cs="宋体"/>
                <w:szCs w:val="21"/>
              </w:rPr>
              <w:t>1.自有冷库的提供：</w:t>
            </w:r>
          </w:p>
          <w:p w14:paraId="561313E7">
            <w:pPr>
              <w:rPr>
                <w:rFonts w:hint="eastAsia" w:ascii="宋体" w:hAnsi="宋体" w:eastAsia="宋体" w:cs="宋体"/>
                <w:szCs w:val="21"/>
              </w:rPr>
            </w:pPr>
            <w:r>
              <w:rPr>
                <w:rFonts w:hint="eastAsia" w:ascii="宋体" w:hAnsi="宋体" w:eastAsia="宋体" w:cs="宋体"/>
                <w:szCs w:val="21"/>
              </w:rPr>
              <w:t>①</w:t>
            </w:r>
            <w:r>
              <w:rPr>
                <w:rFonts w:hint="eastAsia" w:ascii="宋体" w:hAnsi="宋体" w:eastAsia="宋体" w:cs="宋体"/>
                <w:sz w:val="21"/>
                <w:szCs w:val="21"/>
              </w:rPr>
              <w:t>提供建造（或设备安装）合同（合同须体现签署方为投标人）或产权证明文件扫描件及冷库【含冷藏（保鲜）库和冷冻库】建造（或设备安装）发票扫描件</w:t>
            </w:r>
            <w:r>
              <w:rPr>
                <w:rFonts w:hint="eastAsia" w:ascii="宋体" w:hAnsi="宋体" w:eastAsia="宋体" w:cs="宋体"/>
                <w:szCs w:val="21"/>
              </w:rPr>
              <w:t>；</w:t>
            </w:r>
          </w:p>
          <w:p w14:paraId="089C9536">
            <w:pPr>
              <w:rPr>
                <w:rFonts w:hint="eastAsia" w:ascii="宋体" w:hAnsi="宋体" w:eastAsia="宋体" w:cs="宋体"/>
                <w:szCs w:val="21"/>
              </w:rPr>
            </w:pPr>
            <w:r>
              <w:rPr>
                <w:rFonts w:hint="eastAsia" w:ascii="宋体" w:hAnsi="宋体" w:eastAsia="宋体" w:cs="宋体"/>
                <w:szCs w:val="21"/>
              </w:rPr>
              <w:t>②如合同未体现面积的，还需同时提供第三方测绘报告扫描件（须能体现面积信息）；</w:t>
            </w:r>
          </w:p>
          <w:p w14:paraId="3F98B81A">
            <w:pPr>
              <w:rPr>
                <w:rFonts w:hint="eastAsia" w:ascii="宋体" w:hAnsi="宋体" w:eastAsia="宋体" w:cs="宋体"/>
                <w:szCs w:val="21"/>
              </w:rPr>
            </w:pPr>
            <w:r>
              <w:rPr>
                <w:rFonts w:hint="eastAsia" w:ascii="宋体" w:hAnsi="宋体" w:eastAsia="宋体" w:cs="宋体"/>
                <w:szCs w:val="21"/>
              </w:rPr>
              <w:t xml:space="preserve">③冷库正门全景照片和内景照片各一张。 </w:t>
            </w:r>
          </w:p>
          <w:p w14:paraId="1BBFC0A5">
            <w:pPr>
              <w:rPr>
                <w:rFonts w:hint="eastAsia" w:ascii="宋体" w:hAnsi="宋体" w:eastAsia="宋体" w:cs="宋体"/>
                <w:szCs w:val="21"/>
              </w:rPr>
            </w:pPr>
            <w:r>
              <w:rPr>
                <w:rFonts w:hint="eastAsia" w:ascii="宋体" w:hAnsi="宋体" w:eastAsia="宋体" w:cs="宋体"/>
                <w:szCs w:val="21"/>
              </w:rPr>
              <w:t>2.租赁冷库的同时提供：</w:t>
            </w:r>
          </w:p>
          <w:p w14:paraId="7BEF844D">
            <w:pPr>
              <w:rPr>
                <w:rFonts w:hint="eastAsia" w:ascii="宋体" w:hAnsi="宋体" w:eastAsia="宋体" w:cs="宋体"/>
                <w:szCs w:val="21"/>
              </w:rPr>
            </w:pPr>
            <w:r>
              <w:rPr>
                <w:rFonts w:hint="eastAsia" w:ascii="宋体" w:hAnsi="宋体" w:eastAsia="宋体" w:cs="宋体"/>
                <w:szCs w:val="21"/>
              </w:rPr>
              <w:t>①提供租赁合同关键页（包括但不限于投标人名称、面积、合同服务的起止时间、签订日期、合同双方签字盖章页，承租方需为投标人），租赁合同有效期应涵盖本项目投标截止日期当日；②租赁合同期内任意一次转账凭证；③与转账凭证相对应的发票（转账凭证、发票提供截图、电子件或扫描件均可）；④提供承诺函（格式自拟），承诺函要求如下（投标人可根据自身情况任选其中一种方式保障本项目服务即可）：租赁合同期满但本项目服务期未结束的情况下，续期原租赁合同，或另行租赁到位不低于原合同面积的冷库，或另行购买/建设完毕不低于原合同面积的冷库，为本项目提供服务。</w:t>
            </w:r>
          </w:p>
          <w:p w14:paraId="63C018F9">
            <w:pPr>
              <w:rPr>
                <w:rFonts w:hint="eastAsia" w:ascii="宋体" w:hAnsi="宋体" w:eastAsia="宋体" w:cs="宋体"/>
                <w:szCs w:val="21"/>
              </w:rPr>
            </w:pPr>
            <w:r>
              <w:rPr>
                <w:rFonts w:hint="eastAsia" w:ascii="宋体" w:hAnsi="宋体" w:eastAsia="宋体" w:cs="宋体"/>
                <w:szCs w:val="21"/>
              </w:rPr>
              <w:t>⑤如合同未体现面积的，还需同时提供第三方测绘报告扫描件（须能体现面积信息）；</w:t>
            </w:r>
          </w:p>
          <w:p w14:paraId="20EEE47D">
            <w:pPr>
              <w:rPr>
                <w:rFonts w:hint="eastAsia" w:ascii="宋体" w:hAnsi="宋体" w:eastAsia="宋体" w:cs="宋体"/>
                <w:szCs w:val="21"/>
              </w:rPr>
            </w:pPr>
            <w:r>
              <w:rPr>
                <w:rFonts w:hint="eastAsia" w:ascii="宋体" w:hAnsi="宋体" w:eastAsia="宋体" w:cs="宋体"/>
                <w:szCs w:val="21"/>
              </w:rPr>
              <w:t xml:space="preserve">⑥冷库正门全景照片和内景照片各一张。 </w:t>
            </w:r>
          </w:p>
          <w:p w14:paraId="27E86AF7">
            <w:pPr>
              <w:rPr>
                <w:rFonts w:hint="eastAsia" w:ascii="宋体" w:hAnsi="宋体" w:eastAsia="宋体" w:cs="宋体"/>
                <w:szCs w:val="21"/>
              </w:rPr>
            </w:pPr>
            <w:r>
              <w:rPr>
                <w:rFonts w:hint="eastAsia" w:ascii="宋体" w:hAnsi="宋体" w:eastAsia="宋体" w:cs="宋体"/>
                <w:szCs w:val="21"/>
              </w:rPr>
              <w:t>如未按要求提供证明材料，或所提供的证明材料未能体现上述评分内容的，视为该证明材料无效。</w:t>
            </w:r>
          </w:p>
        </w:tc>
      </w:tr>
      <w:tr w14:paraId="6EDD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089" w:hRule="atLeast"/>
          <w:tblCellSpacing w:w="0" w:type="dxa"/>
          <w:jc w:val="center"/>
        </w:trPr>
        <w:tc>
          <w:tcPr>
            <w:tcW w:w="559" w:type="dxa"/>
            <w:vMerge w:val="continue"/>
          </w:tcPr>
          <w:p w14:paraId="690C2A26">
            <w:pPr>
              <w:rPr>
                <w:rFonts w:hint="eastAsia" w:ascii="宋体" w:hAnsi="宋体" w:eastAsia="宋体" w:cs="宋体"/>
                <w:szCs w:val="21"/>
              </w:rPr>
            </w:pPr>
          </w:p>
        </w:tc>
        <w:tc>
          <w:tcPr>
            <w:tcW w:w="591" w:type="dxa"/>
            <w:shd w:val="clear" w:color="auto" w:fill="auto"/>
            <w:vAlign w:val="center"/>
          </w:tcPr>
          <w:p w14:paraId="69B83472">
            <w:pPr>
              <w:widowControl/>
              <w:jc w:val="center"/>
              <w:rPr>
                <w:rFonts w:hint="eastAsia" w:ascii="宋体" w:hAnsi="宋体" w:eastAsia="宋体" w:cs="宋体"/>
                <w:szCs w:val="21"/>
              </w:rPr>
            </w:pPr>
            <w:r>
              <w:rPr>
                <w:rFonts w:hint="eastAsia" w:ascii="宋体" w:hAnsi="宋体" w:eastAsia="宋体" w:cs="宋体"/>
                <w:szCs w:val="21"/>
              </w:rPr>
              <w:t>9</w:t>
            </w:r>
          </w:p>
        </w:tc>
        <w:tc>
          <w:tcPr>
            <w:tcW w:w="1030" w:type="dxa"/>
            <w:shd w:val="clear" w:color="auto" w:fill="auto"/>
            <w:vAlign w:val="center"/>
          </w:tcPr>
          <w:p w14:paraId="28A595B9">
            <w:pPr>
              <w:widowControl/>
              <w:spacing w:line="200" w:lineRule="atLeast"/>
              <w:jc w:val="center"/>
              <w:rPr>
                <w:rFonts w:hint="eastAsia" w:ascii="宋体" w:hAnsi="宋体" w:eastAsia="宋体" w:cs="宋体"/>
                <w:szCs w:val="21"/>
              </w:rPr>
            </w:pPr>
            <w:r>
              <w:rPr>
                <w:rFonts w:hint="eastAsia" w:ascii="宋体" w:hAnsi="宋体" w:eastAsia="宋体" w:cs="宋体"/>
                <w:szCs w:val="21"/>
              </w:rPr>
              <w:t>信息化管理</w:t>
            </w:r>
          </w:p>
        </w:tc>
        <w:tc>
          <w:tcPr>
            <w:tcW w:w="716" w:type="dxa"/>
            <w:shd w:val="clear" w:color="auto" w:fill="auto"/>
            <w:vAlign w:val="center"/>
          </w:tcPr>
          <w:p w14:paraId="7FED88CE">
            <w:pPr>
              <w:widowControl/>
              <w:spacing w:line="200" w:lineRule="atLeast"/>
              <w:jc w:val="center"/>
              <w:rPr>
                <w:rFonts w:hint="eastAsia" w:ascii="宋体" w:hAnsi="宋体" w:eastAsia="宋体" w:cs="宋体"/>
                <w:szCs w:val="21"/>
              </w:rPr>
            </w:pPr>
            <w:r>
              <w:rPr>
                <w:rFonts w:hint="eastAsia" w:ascii="宋体" w:hAnsi="宋体" w:eastAsia="宋体" w:cs="宋体"/>
                <w:szCs w:val="21"/>
              </w:rPr>
              <w:t>5</w:t>
            </w:r>
          </w:p>
        </w:tc>
        <w:tc>
          <w:tcPr>
            <w:tcW w:w="6172" w:type="dxa"/>
            <w:shd w:val="clear" w:color="auto" w:fill="auto"/>
          </w:tcPr>
          <w:p w14:paraId="4D5BB165">
            <w:pPr>
              <w:rPr>
                <w:rFonts w:hint="eastAsia" w:ascii="宋体" w:hAnsi="宋体" w:eastAsia="宋体" w:cs="宋体"/>
                <w:b/>
                <w:bCs/>
                <w:szCs w:val="21"/>
              </w:rPr>
            </w:pPr>
            <w:r>
              <w:rPr>
                <w:rFonts w:hint="eastAsia" w:ascii="宋体" w:hAnsi="宋体" w:eastAsia="宋体" w:cs="宋体"/>
                <w:b/>
                <w:bCs/>
                <w:szCs w:val="21"/>
              </w:rPr>
              <w:t>（一）评审内容：</w:t>
            </w:r>
          </w:p>
          <w:p w14:paraId="61D21416">
            <w:pPr>
              <w:rPr>
                <w:rFonts w:hint="eastAsia" w:ascii="宋体" w:hAnsi="宋体" w:eastAsia="宋体" w:cs="宋体"/>
                <w:szCs w:val="21"/>
              </w:rPr>
            </w:pPr>
            <w:r>
              <w:rPr>
                <w:rFonts w:hint="eastAsia" w:ascii="宋体" w:hAnsi="宋体" w:eastAsia="宋体" w:cs="宋体"/>
                <w:szCs w:val="21"/>
              </w:rPr>
              <w:t>考察投标人具有自有或租赁或购买的信息化管理类系统（软件）情况：</w:t>
            </w:r>
          </w:p>
          <w:p w14:paraId="5ACDFAAE">
            <w:pPr>
              <w:widowControl/>
              <w:wordWrap w:val="0"/>
              <w:jc w:val="lef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w:t>
            </w:r>
            <w:r>
              <w:rPr>
                <w:rFonts w:hint="eastAsia" w:ascii="宋体" w:hAnsi="宋体" w:cs="宋体"/>
                <w:szCs w:val="21"/>
              </w:rPr>
              <w:t>具有信息化管理</w:t>
            </w:r>
            <w:r>
              <w:rPr>
                <w:rFonts w:hint="eastAsia" w:ascii="宋体" w:hAnsi="宋体" w:cs="宋体"/>
                <w:szCs w:val="21"/>
                <w:lang w:val="en-US" w:eastAsia="zh-CN"/>
              </w:rPr>
              <w:t>类</w:t>
            </w:r>
            <w:r>
              <w:rPr>
                <w:rFonts w:hint="eastAsia" w:ascii="宋体" w:hAnsi="宋体" w:cs="宋体"/>
                <w:szCs w:val="21"/>
              </w:rPr>
              <w:t>系统（需体现货物</w:t>
            </w:r>
            <w:r>
              <w:rPr>
                <w:rFonts w:hint="eastAsia" w:ascii="宋体" w:hAnsi="宋体" w:cs="宋体"/>
                <w:szCs w:val="21"/>
                <w:lang w:val="en-US" w:eastAsia="zh-CN"/>
              </w:rPr>
              <w:t>相关</w:t>
            </w:r>
            <w:r>
              <w:rPr>
                <w:rFonts w:hint="eastAsia" w:ascii="宋体" w:hAnsi="宋体" w:cs="宋体"/>
                <w:szCs w:val="21"/>
              </w:rPr>
              <w:t>信息的功能）</w:t>
            </w:r>
            <w:r>
              <w:rPr>
                <w:rFonts w:hint="eastAsia" w:ascii="宋体" w:hAnsi="宋体" w:cs="宋体"/>
                <w:szCs w:val="21"/>
                <w:lang w:val="en-US" w:eastAsia="zh-CN"/>
              </w:rPr>
              <w:t>的</w:t>
            </w:r>
            <w:r>
              <w:rPr>
                <w:rFonts w:hint="eastAsia" w:ascii="宋体" w:hAnsi="宋体" w:cs="宋体"/>
                <w:szCs w:val="21"/>
              </w:rPr>
              <w:t>，得50分；</w:t>
            </w:r>
          </w:p>
          <w:p w14:paraId="3A6A5B4B">
            <w:pPr>
              <w:widowControl/>
              <w:wordWrap w:val="0"/>
              <w:jc w:val="left"/>
              <w:rPr>
                <w:rFonts w:ascii="宋体" w:hAnsi="宋体" w:cs="宋体"/>
                <w:szCs w:val="21"/>
              </w:rPr>
            </w:pPr>
            <w:r>
              <w:rPr>
                <w:rFonts w:hint="eastAsia" w:ascii="宋体" w:hAnsi="宋体" w:cs="宋体"/>
                <w:szCs w:val="21"/>
              </w:rPr>
              <w:t>2</w:t>
            </w:r>
            <w:r>
              <w:rPr>
                <w:rFonts w:hint="eastAsia" w:ascii="宋体" w:hAnsi="宋体" w:cs="宋体"/>
                <w:szCs w:val="21"/>
                <w:lang w:val="en-US" w:eastAsia="zh-CN"/>
              </w:rPr>
              <w:t>.</w:t>
            </w:r>
            <w:r>
              <w:rPr>
                <w:rFonts w:hint="eastAsia" w:ascii="宋体" w:hAnsi="宋体" w:cs="宋体"/>
                <w:szCs w:val="21"/>
              </w:rPr>
              <w:t>具有订单小程序（需体现订退货功能）</w:t>
            </w:r>
            <w:r>
              <w:rPr>
                <w:rFonts w:hint="eastAsia" w:ascii="宋体" w:hAnsi="宋体" w:cs="宋体"/>
                <w:szCs w:val="21"/>
                <w:lang w:val="en-US" w:eastAsia="zh-CN"/>
              </w:rPr>
              <w:t>的</w:t>
            </w:r>
            <w:r>
              <w:rPr>
                <w:rFonts w:hint="eastAsia" w:ascii="宋体" w:hAnsi="宋体" w:cs="宋体"/>
                <w:szCs w:val="21"/>
              </w:rPr>
              <w:t>，得50分。</w:t>
            </w:r>
          </w:p>
          <w:p w14:paraId="1BB3C83D">
            <w:pPr>
              <w:widowControl/>
              <w:wordWrap w:val="0"/>
              <w:jc w:val="left"/>
              <w:rPr>
                <w:rFonts w:hint="eastAsia" w:ascii="宋体" w:hAnsi="宋体" w:cs="宋体"/>
                <w:szCs w:val="21"/>
              </w:rPr>
            </w:pPr>
            <w:r>
              <w:rPr>
                <w:rFonts w:ascii="宋体" w:hAnsi="宋体" w:cs="宋体"/>
                <w:szCs w:val="21"/>
              </w:rPr>
              <w:t>以上</w:t>
            </w:r>
            <w:r>
              <w:rPr>
                <w:rFonts w:hint="eastAsia" w:ascii="宋体" w:hAnsi="宋体" w:cs="宋体"/>
                <w:szCs w:val="21"/>
              </w:rPr>
              <w:t>2项累计得分，最高得1</w:t>
            </w:r>
            <w:r>
              <w:rPr>
                <w:rFonts w:ascii="宋体" w:hAnsi="宋体" w:cs="宋体"/>
                <w:szCs w:val="21"/>
              </w:rPr>
              <w:t>00分。</w:t>
            </w:r>
          </w:p>
          <w:p w14:paraId="5448153E">
            <w:pPr>
              <w:rPr>
                <w:rFonts w:hint="eastAsia" w:ascii="宋体" w:hAnsi="宋体" w:eastAsia="宋体" w:cs="宋体"/>
                <w:b/>
                <w:bCs/>
                <w:szCs w:val="21"/>
              </w:rPr>
            </w:pPr>
            <w:r>
              <w:rPr>
                <w:rFonts w:hint="eastAsia" w:ascii="宋体" w:hAnsi="宋体" w:eastAsia="宋体" w:cs="宋体"/>
                <w:b/>
                <w:bCs/>
                <w:szCs w:val="21"/>
              </w:rPr>
              <w:t>（二）评分依据：</w:t>
            </w:r>
          </w:p>
          <w:p w14:paraId="0B0C969D">
            <w:pPr>
              <w:rPr>
                <w:rFonts w:hint="eastAsia" w:ascii="宋体" w:hAnsi="宋体" w:eastAsia="宋体" w:cs="宋体"/>
                <w:szCs w:val="21"/>
              </w:rPr>
            </w:pPr>
            <w:r>
              <w:rPr>
                <w:rFonts w:hint="eastAsia" w:ascii="宋体" w:hAnsi="宋体" w:eastAsia="宋体" w:cs="宋体"/>
                <w:szCs w:val="21"/>
              </w:rPr>
              <w:t>按照以下要求提供证明材料：</w:t>
            </w:r>
          </w:p>
          <w:p w14:paraId="26198C8C">
            <w:pPr>
              <w:jc w:val="left"/>
              <w:rPr>
                <w:rFonts w:hint="eastAsia" w:ascii="宋体" w:hAnsi="宋体" w:eastAsia="宋体" w:cs="宋体"/>
                <w:szCs w:val="21"/>
              </w:rPr>
            </w:pPr>
            <w:r>
              <w:rPr>
                <w:rFonts w:hint="eastAsia" w:ascii="宋体" w:hAnsi="宋体" w:eastAsia="宋体" w:cs="宋体"/>
                <w:szCs w:val="21"/>
              </w:rPr>
              <w:t>1.如为自有的，同时提供：①国家版权局颁发的计算机软件著作权登记证书扫描件，需能体现投标人为著作权人；②中国软件登记查询服务平台（https://register.ccopyright.com.cn/login.html）查询截图。</w:t>
            </w:r>
          </w:p>
          <w:p w14:paraId="629E3881">
            <w:pPr>
              <w:rPr>
                <w:rFonts w:hint="eastAsia" w:ascii="宋体" w:hAnsi="宋体" w:eastAsia="宋体" w:cs="宋体"/>
                <w:szCs w:val="21"/>
              </w:rPr>
            </w:pPr>
            <w:r>
              <w:rPr>
                <w:rFonts w:hint="eastAsia" w:ascii="宋体" w:hAnsi="宋体" w:eastAsia="宋体" w:cs="宋体"/>
                <w:szCs w:val="21"/>
              </w:rPr>
              <w:t>2.如为租赁（或购买）的，同时提供：①租赁（或购买）合同扫描件，需能体现投标人为租赁人或购买人；②出租（售）方以上系统由国家版权局颁发的计算机软件著作权登记证书扫描件，需能体现著作权人为出租（售）人；③中国软件登记查询服务平台（https://register.ccopyright.com.cn/login.html）查询截图。</w:t>
            </w:r>
          </w:p>
          <w:p w14:paraId="4F79E0F9">
            <w:pPr>
              <w:rPr>
                <w:rFonts w:hint="eastAsia" w:ascii="宋体" w:hAnsi="宋体" w:eastAsia="宋体" w:cs="宋体"/>
                <w:szCs w:val="21"/>
              </w:rPr>
            </w:pPr>
            <w:r>
              <w:rPr>
                <w:rFonts w:hint="eastAsia" w:ascii="宋体" w:hAnsi="宋体" w:eastAsia="宋体" w:cs="宋体"/>
                <w:szCs w:val="21"/>
              </w:rPr>
              <w:t>如未按要求提供证明材料，或所提供的证明材料未能体现上述评分内容的，视为该证明材料无效。</w:t>
            </w:r>
          </w:p>
          <w:p w14:paraId="56DA82FB">
            <w:pPr>
              <w:rPr>
                <w:rFonts w:hint="eastAsia" w:ascii="宋体" w:hAnsi="宋体" w:eastAsia="宋体" w:cs="宋体"/>
                <w:szCs w:val="21"/>
              </w:rPr>
            </w:pPr>
            <w:r>
              <w:rPr>
                <w:rFonts w:hint="eastAsia" w:ascii="宋体" w:hAnsi="宋体" w:eastAsia="宋体" w:cs="宋体"/>
                <w:szCs w:val="21"/>
              </w:rPr>
              <w:t>注：1.提供的计算机软件著作权登记证书扫描件如无法判断是否符合评分要求的，可同时提供系统或软件的功能截图辅助判断，证书及截图均无法判断的不得分；</w:t>
            </w:r>
          </w:p>
          <w:p w14:paraId="056F3E88">
            <w:pPr>
              <w:rPr>
                <w:rFonts w:hint="eastAsia" w:ascii="宋体" w:hAnsi="宋体" w:eastAsia="宋体" w:cs="宋体"/>
                <w:szCs w:val="21"/>
              </w:rPr>
            </w:pPr>
            <w:r>
              <w:rPr>
                <w:rFonts w:hint="eastAsia" w:ascii="宋体" w:hAnsi="宋体" w:eastAsia="宋体" w:cs="宋体"/>
                <w:szCs w:val="21"/>
              </w:rPr>
              <w:t>2.软件产品名称与标书要求不必完全一致，用途一致或相近即可；若同一软件产品系统满足以上多项功能的，可累计得分。</w:t>
            </w:r>
          </w:p>
        </w:tc>
      </w:tr>
      <w:tr w14:paraId="20AE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blCellSpacing w:w="0" w:type="dxa"/>
          <w:jc w:val="center"/>
        </w:trPr>
        <w:tc>
          <w:tcPr>
            <w:tcW w:w="559" w:type="dxa"/>
          </w:tcPr>
          <w:p w14:paraId="26995E5C">
            <w:pPr>
              <w:jc w:val="center"/>
              <w:rPr>
                <w:rFonts w:hint="eastAsia" w:ascii="宋体" w:hAnsi="宋体" w:eastAsia="宋体" w:cs="宋体"/>
                <w:b/>
                <w:bCs/>
                <w:kern w:val="44"/>
                <w:szCs w:val="21"/>
              </w:rPr>
            </w:pPr>
            <w:r>
              <w:rPr>
                <w:rFonts w:hint="eastAsia" w:ascii="宋体" w:hAnsi="宋体" w:eastAsia="宋体" w:cs="宋体"/>
                <w:szCs w:val="21"/>
              </w:rPr>
              <w:t>3</w:t>
            </w:r>
          </w:p>
        </w:tc>
        <w:tc>
          <w:tcPr>
            <w:tcW w:w="2337" w:type="dxa"/>
            <w:gridSpan w:val="3"/>
          </w:tcPr>
          <w:p w14:paraId="39F1A795">
            <w:pPr>
              <w:jc w:val="center"/>
              <w:rPr>
                <w:rFonts w:hint="eastAsia" w:ascii="宋体" w:hAnsi="宋体" w:eastAsia="宋体" w:cs="宋体"/>
                <w:b/>
                <w:bCs/>
                <w:kern w:val="44"/>
                <w:szCs w:val="21"/>
              </w:rPr>
            </w:pPr>
            <w:r>
              <w:rPr>
                <w:rFonts w:hint="eastAsia" w:ascii="宋体" w:hAnsi="宋体" w:eastAsia="宋体" w:cs="宋体"/>
                <w:b/>
                <w:bCs/>
                <w:kern w:val="44"/>
                <w:szCs w:val="21"/>
              </w:rPr>
              <w:t>商务部分</w:t>
            </w:r>
          </w:p>
        </w:tc>
        <w:tc>
          <w:tcPr>
            <w:tcW w:w="6172" w:type="dxa"/>
          </w:tcPr>
          <w:p w14:paraId="2673DE0E">
            <w:pPr>
              <w:jc w:val="center"/>
              <w:rPr>
                <w:rFonts w:hint="eastAsia" w:ascii="宋体" w:hAnsi="宋体" w:eastAsia="宋体" w:cs="宋体"/>
                <w:b/>
                <w:bCs/>
                <w:kern w:val="44"/>
                <w:szCs w:val="21"/>
              </w:rPr>
            </w:pPr>
            <w:r>
              <w:rPr>
                <w:rFonts w:hint="eastAsia" w:ascii="宋体" w:hAnsi="宋体" w:eastAsia="宋体" w:cs="宋体"/>
                <w:b/>
                <w:bCs/>
                <w:kern w:val="44"/>
                <w:szCs w:val="21"/>
              </w:rPr>
              <w:t>17</w:t>
            </w:r>
          </w:p>
        </w:tc>
      </w:tr>
      <w:tr w14:paraId="3879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vMerge w:val="restart"/>
          </w:tcPr>
          <w:p w14:paraId="52D75C83">
            <w:pPr>
              <w:jc w:val="center"/>
              <w:rPr>
                <w:rFonts w:hint="eastAsia" w:ascii="宋体" w:hAnsi="宋体" w:eastAsia="宋体" w:cs="宋体"/>
                <w:b/>
                <w:bCs/>
                <w:kern w:val="44"/>
                <w:szCs w:val="21"/>
              </w:rPr>
            </w:pPr>
          </w:p>
        </w:tc>
        <w:tc>
          <w:tcPr>
            <w:tcW w:w="591" w:type="dxa"/>
            <w:vAlign w:val="center"/>
          </w:tcPr>
          <w:p w14:paraId="09E2A33F">
            <w:pPr>
              <w:jc w:val="center"/>
              <w:rPr>
                <w:rFonts w:hint="eastAsia" w:ascii="宋体" w:hAnsi="宋体" w:eastAsia="宋体" w:cs="宋体"/>
                <w:b/>
                <w:bCs/>
                <w:kern w:val="44"/>
                <w:szCs w:val="21"/>
              </w:rPr>
            </w:pPr>
            <w:r>
              <w:rPr>
                <w:rFonts w:hint="eastAsia" w:ascii="宋体" w:hAnsi="宋体" w:eastAsia="宋体" w:cs="宋体"/>
                <w:b/>
                <w:bCs/>
                <w:kern w:val="44"/>
                <w:szCs w:val="21"/>
              </w:rPr>
              <w:t>序号</w:t>
            </w:r>
          </w:p>
        </w:tc>
        <w:tc>
          <w:tcPr>
            <w:tcW w:w="1030" w:type="dxa"/>
            <w:vAlign w:val="center"/>
          </w:tcPr>
          <w:p w14:paraId="33CA3746">
            <w:pPr>
              <w:jc w:val="center"/>
              <w:rPr>
                <w:rFonts w:hint="eastAsia" w:ascii="宋体" w:hAnsi="宋体" w:eastAsia="宋体" w:cs="宋体"/>
                <w:b/>
                <w:bCs/>
                <w:kern w:val="44"/>
                <w:szCs w:val="21"/>
              </w:rPr>
            </w:pPr>
            <w:r>
              <w:rPr>
                <w:rFonts w:hint="eastAsia" w:ascii="宋体" w:hAnsi="宋体" w:eastAsia="宋体" w:cs="宋体"/>
                <w:b/>
                <w:bCs/>
                <w:kern w:val="44"/>
                <w:szCs w:val="21"/>
              </w:rPr>
              <w:t>评分因素</w:t>
            </w:r>
          </w:p>
        </w:tc>
        <w:tc>
          <w:tcPr>
            <w:tcW w:w="716" w:type="dxa"/>
            <w:vAlign w:val="center"/>
          </w:tcPr>
          <w:p w14:paraId="2303724C">
            <w:pPr>
              <w:jc w:val="center"/>
              <w:rPr>
                <w:rFonts w:hint="eastAsia" w:ascii="宋体" w:hAnsi="宋体" w:eastAsia="宋体" w:cs="宋体"/>
                <w:b/>
                <w:bCs/>
                <w:kern w:val="44"/>
                <w:szCs w:val="21"/>
              </w:rPr>
            </w:pPr>
            <w:r>
              <w:rPr>
                <w:rFonts w:hint="eastAsia" w:ascii="宋体" w:hAnsi="宋体" w:eastAsia="宋体" w:cs="宋体"/>
                <w:b/>
                <w:bCs/>
                <w:kern w:val="44"/>
                <w:szCs w:val="21"/>
              </w:rPr>
              <w:t>权重</w:t>
            </w:r>
          </w:p>
        </w:tc>
        <w:tc>
          <w:tcPr>
            <w:tcW w:w="6172" w:type="dxa"/>
            <w:vAlign w:val="center"/>
          </w:tcPr>
          <w:p w14:paraId="7DB17B80">
            <w:pPr>
              <w:jc w:val="center"/>
              <w:rPr>
                <w:rFonts w:hint="eastAsia" w:ascii="宋体" w:hAnsi="宋体" w:eastAsia="宋体" w:cs="宋体"/>
                <w:b/>
                <w:bCs/>
                <w:kern w:val="44"/>
                <w:szCs w:val="21"/>
              </w:rPr>
            </w:pPr>
            <w:r>
              <w:rPr>
                <w:rFonts w:hint="eastAsia" w:ascii="宋体" w:hAnsi="宋体" w:eastAsia="宋体" w:cs="宋体"/>
                <w:b/>
                <w:bCs/>
                <w:kern w:val="44"/>
                <w:szCs w:val="21"/>
              </w:rPr>
              <w:t>评分准则</w:t>
            </w:r>
          </w:p>
        </w:tc>
      </w:tr>
      <w:tr w14:paraId="06C4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vMerge w:val="continue"/>
          </w:tcPr>
          <w:p w14:paraId="24800A7C">
            <w:pPr>
              <w:jc w:val="center"/>
              <w:rPr>
                <w:rFonts w:hint="eastAsia" w:ascii="宋体" w:hAnsi="宋体" w:eastAsia="宋体" w:cs="宋体"/>
                <w:b/>
                <w:bCs/>
                <w:kern w:val="44"/>
                <w:szCs w:val="21"/>
              </w:rPr>
            </w:pPr>
          </w:p>
        </w:tc>
        <w:tc>
          <w:tcPr>
            <w:tcW w:w="591" w:type="dxa"/>
            <w:vAlign w:val="center"/>
          </w:tcPr>
          <w:p w14:paraId="47620ED3">
            <w:pPr>
              <w:widowControl/>
              <w:spacing w:line="200" w:lineRule="atLeast"/>
              <w:jc w:val="center"/>
              <w:rPr>
                <w:rFonts w:hint="eastAsia" w:ascii="宋体" w:hAnsi="宋体" w:eastAsia="宋体" w:cs="宋体"/>
                <w:szCs w:val="21"/>
              </w:rPr>
            </w:pPr>
            <w:r>
              <w:rPr>
                <w:rFonts w:hint="eastAsia" w:ascii="宋体" w:hAnsi="宋体" w:eastAsia="宋体" w:cs="宋体"/>
                <w:szCs w:val="21"/>
              </w:rPr>
              <w:t>1</w:t>
            </w:r>
          </w:p>
        </w:tc>
        <w:tc>
          <w:tcPr>
            <w:tcW w:w="1030" w:type="dxa"/>
            <w:vAlign w:val="center"/>
          </w:tcPr>
          <w:p w14:paraId="0666E0F5">
            <w:pPr>
              <w:jc w:val="center"/>
              <w:rPr>
                <w:rFonts w:hint="eastAsia" w:ascii="宋体" w:hAnsi="宋体" w:eastAsia="宋体" w:cs="宋体"/>
                <w:szCs w:val="21"/>
              </w:rPr>
            </w:pPr>
            <w:r>
              <w:rPr>
                <w:rFonts w:hint="eastAsia" w:ascii="宋体" w:hAnsi="宋体" w:eastAsia="宋体" w:cs="宋体"/>
                <w:szCs w:val="21"/>
              </w:rPr>
              <w:t>投标人通过相关认证情况</w:t>
            </w:r>
          </w:p>
        </w:tc>
        <w:tc>
          <w:tcPr>
            <w:tcW w:w="716" w:type="dxa"/>
            <w:vAlign w:val="center"/>
          </w:tcPr>
          <w:p w14:paraId="66C2AE5B">
            <w:pPr>
              <w:jc w:val="center"/>
              <w:rPr>
                <w:rFonts w:hint="eastAsia" w:ascii="宋体" w:hAnsi="宋体" w:eastAsia="宋体" w:cs="宋体"/>
                <w:szCs w:val="21"/>
              </w:rPr>
            </w:pPr>
            <w:r>
              <w:rPr>
                <w:rFonts w:hint="eastAsia" w:ascii="宋体" w:hAnsi="宋体" w:eastAsia="宋体" w:cs="宋体"/>
                <w:szCs w:val="21"/>
              </w:rPr>
              <w:t>5</w:t>
            </w:r>
          </w:p>
        </w:tc>
        <w:tc>
          <w:tcPr>
            <w:tcW w:w="6172" w:type="dxa"/>
            <w:vAlign w:val="center"/>
          </w:tcPr>
          <w:p w14:paraId="11219324">
            <w:pPr>
              <w:rPr>
                <w:rFonts w:hint="eastAsia" w:ascii="宋体" w:hAnsi="宋体" w:eastAsia="宋体" w:cs="宋体"/>
                <w:b/>
                <w:bCs/>
                <w:sz w:val="21"/>
                <w:szCs w:val="21"/>
              </w:rPr>
            </w:pPr>
            <w:r>
              <w:rPr>
                <w:rFonts w:hint="eastAsia" w:ascii="宋体" w:hAnsi="宋体" w:eastAsia="宋体" w:cs="宋体"/>
                <w:b/>
                <w:bCs/>
                <w:sz w:val="21"/>
                <w:szCs w:val="21"/>
              </w:rPr>
              <w:t xml:space="preserve">（一）评审内容： </w:t>
            </w:r>
          </w:p>
          <w:p w14:paraId="3A57731B">
            <w:pPr>
              <w:widowControl/>
              <w:wordWrap w:val="0"/>
              <w:jc w:val="left"/>
              <w:rPr>
                <w:rFonts w:hint="eastAsia" w:ascii="宋体" w:hAnsi="宋体" w:eastAsia="宋体" w:cs="宋体"/>
                <w:sz w:val="21"/>
                <w:szCs w:val="21"/>
              </w:rPr>
            </w:pPr>
            <w:r>
              <w:rPr>
                <w:rFonts w:hint="eastAsia" w:ascii="宋体" w:hAnsi="宋体" w:eastAsia="宋体" w:cs="宋体"/>
                <w:sz w:val="21"/>
                <w:szCs w:val="21"/>
              </w:rPr>
              <w:t>1.具有质量管理体系认证证书的，得</w:t>
            </w:r>
            <w:r>
              <w:rPr>
                <w:rFonts w:hint="eastAsia" w:ascii="宋体" w:hAnsi="宋体" w:cs="宋体"/>
                <w:sz w:val="21"/>
                <w:szCs w:val="21"/>
                <w:lang w:val="en-US" w:eastAsia="zh-CN"/>
              </w:rPr>
              <w:t>34</w:t>
            </w:r>
            <w:r>
              <w:rPr>
                <w:rFonts w:hint="eastAsia" w:ascii="宋体" w:hAnsi="宋体" w:eastAsia="宋体" w:cs="宋体"/>
                <w:sz w:val="21"/>
                <w:szCs w:val="21"/>
              </w:rPr>
              <w:t>分；</w:t>
            </w:r>
          </w:p>
          <w:p w14:paraId="443F4B5C">
            <w:pPr>
              <w:widowControl/>
              <w:wordWrap w:val="0"/>
              <w:jc w:val="left"/>
              <w:rPr>
                <w:rFonts w:hint="eastAsia" w:ascii="宋体" w:hAnsi="宋体" w:eastAsia="宋体" w:cs="宋体"/>
                <w:sz w:val="21"/>
                <w:szCs w:val="21"/>
              </w:rPr>
            </w:pPr>
            <w:r>
              <w:rPr>
                <w:rFonts w:hint="eastAsia" w:ascii="宋体" w:hAnsi="宋体" w:eastAsia="宋体" w:cs="宋体"/>
                <w:sz w:val="21"/>
                <w:szCs w:val="21"/>
              </w:rPr>
              <w:t>2.具有职业健康安全管理体系认证证书的，得</w:t>
            </w:r>
            <w:r>
              <w:rPr>
                <w:rFonts w:hint="eastAsia" w:ascii="宋体" w:hAnsi="宋体" w:cs="宋体"/>
                <w:sz w:val="21"/>
                <w:szCs w:val="21"/>
                <w:lang w:val="en-US" w:eastAsia="zh-CN"/>
              </w:rPr>
              <w:t>34</w:t>
            </w:r>
            <w:r>
              <w:rPr>
                <w:rFonts w:hint="eastAsia" w:ascii="宋体" w:hAnsi="宋体" w:eastAsia="宋体" w:cs="宋体"/>
                <w:sz w:val="21"/>
                <w:szCs w:val="21"/>
              </w:rPr>
              <w:t>分；</w:t>
            </w:r>
          </w:p>
          <w:p w14:paraId="2036E55E">
            <w:pPr>
              <w:widowControl/>
              <w:wordWrap w:val="0"/>
              <w:jc w:val="left"/>
              <w:rPr>
                <w:rFonts w:hint="eastAsia" w:ascii="宋体" w:hAnsi="宋体" w:eastAsia="宋体" w:cs="宋体"/>
                <w:sz w:val="21"/>
                <w:szCs w:val="21"/>
              </w:rPr>
            </w:pPr>
            <w:r>
              <w:rPr>
                <w:rFonts w:hint="eastAsia" w:ascii="宋体" w:hAnsi="宋体" w:eastAsia="宋体" w:cs="宋体"/>
                <w:sz w:val="21"/>
                <w:szCs w:val="21"/>
              </w:rPr>
              <w:t>3.具有环境管理体系认证证书的，得</w:t>
            </w:r>
            <w:r>
              <w:rPr>
                <w:rFonts w:hint="eastAsia" w:ascii="宋体" w:hAnsi="宋体" w:cs="宋体"/>
                <w:sz w:val="21"/>
                <w:szCs w:val="21"/>
                <w:lang w:val="en-US" w:eastAsia="zh-CN"/>
              </w:rPr>
              <w:t>32</w:t>
            </w:r>
            <w:r>
              <w:rPr>
                <w:rFonts w:hint="eastAsia" w:ascii="宋体" w:hAnsi="宋体" w:eastAsia="宋体" w:cs="宋体"/>
                <w:sz w:val="21"/>
                <w:szCs w:val="21"/>
              </w:rPr>
              <w:t>分；</w:t>
            </w:r>
          </w:p>
          <w:p w14:paraId="6A87D277">
            <w:pPr>
              <w:rPr>
                <w:rFonts w:hint="eastAsia" w:ascii="宋体" w:hAnsi="宋体" w:eastAsia="宋体" w:cs="宋体"/>
                <w:sz w:val="21"/>
                <w:szCs w:val="21"/>
              </w:rPr>
            </w:pPr>
            <w:r>
              <w:rPr>
                <w:rFonts w:hint="eastAsia" w:ascii="宋体" w:hAnsi="宋体" w:eastAsia="宋体" w:cs="宋体"/>
                <w:sz w:val="21"/>
                <w:szCs w:val="21"/>
              </w:rPr>
              <w:t>以上</w:t>
            </w:r>
            <w:r>
              <w:rPr>
                <w:rFonts w:hint="eastAsia" w:ascii="宋体" w:hAnsi="宋体" w:cs="宋体"/>
                <w:sz w:val="21"/>
                <w:szCs w:val="21"/>
                <w:lang w:val="en-US" w:eastAsia="zh-CN"/>
              </w:rPr>
              <w:t>3</w:t>
            </w:r>
            <w:r>
              <w:rPr>
                <w:rFonts w:hint="eastAsia" w:ascii="宋体" w:hAnsi="宋体" w:eastAsia="宋体" w:cs="宋体"/>
                <w:sz w:val="21"/>
                <w:szCs w:val="21"/>
              </w:rPr>
              <w:t xml:space="preserve">项累计得分，最高得100分。 </w:t>
            </w:r>
          </w:p>
          <w:p w14:paraId="70B51F96">
            <w:pPr>
              <w:rPr>
                <w:rFonts w:hint="eastAsia" w:ascii="宋体" w:hAnsi="宋体" w:eastAsia="宋体" w:cs="宋体"/>
                <w:sz w:val="21"/>
                <w:szCs w:val="21"/>
              </w:rPr>
            </w:pPr>
            <w:r>
              <w:rPr>
                <w:rFonts w:hint="eastAsia" w:ascii="宋体" w:hAnsi="宋体" w:eastAsia="宋体" w:cs="宋体"/>
                <w:b/>
                <w:bCs/>
                <w:sz w:val="21"/>
                <w:szCs w:val="21"/>
              </w:rPr>
              <w:t>（二）评分依据：</w:t>
            </w:r>
            <w:r>
              <w:rPr>
                <w:rFonts w:hint="eastAsia" w:ascii="宋体" w:hAnsi="宋体" w:eastAsia="宋体" w:cs="宋体"/>
                <w:sz w:val="21"/>
                <w:szCs w:val="21"/>
              </w:rPr>
              <w:t xml:space="preserve"> </w:t>
            </w:r>
          </w:p>
          <w:p w14:paraId="5D4DB769">
            <w:pPr>
              <w:rPr>
                <w:rFonts w:hint="eastAsia" w:ascii="宋体" w:hAnsi="宋体" w:eastAsia="宋体" w:cs="宋体"/>
                <w:sz w:val="21"/>
                <w:szCs w:val="21"/>
              </w:rPr>
            </w:pPr>
            <w:r>
              <w:rPr>
                <w:rFonts w:hint="eastAsia" w:ascii="宋体" w:hAnsi="宋体" w:eastAsia="宋体" w:cs="宋体"/>
                <w:sz w:val="21"/>
                <w:szCs w:val="21"/>
              </w:rPr>
              <w:t>1.提供有效期内相关证书扫描件，并同时提供全国认证认可信息公共服务平台（认e云）（http://cx.cnca.cn）的认证信息查询截图（截图需显示证书状态为有效）。</w:t>
            </w:r>
          </w:p>
          <w:p w14:paraId="0F7C2D2D">
            <w:pPr>
              <w:rPr>
                <w:rFonts w:hint="eastAsia" w:ascii="宋体" w:hAnsi="宋体" w:eastAsia="宋体" w:cs="宋体"/>
                <w:szCs w:val="21"/>
              </w:rPr>
            </w:pPr>
            <w:r>
              <w:rPr>
                <w:rFonts w:hint="eastAsia" w:ascii="宋体" w:hAnsi="宋体" w:eastAsia="宋体" w:cs="宋体"/>
                <w:bCs/>
                <w:snapToGrid w:val="0"/>
                <w:kern w:val="0"/>
                <w:sz w:val="21"/>
                <w:szCs w:val="21"/>
              </w:rPr>
              <w:t>2.如未按要求提供证明材料，或所提供的证明材料未能体现上述评分内容的，视为该证明材料无效。</w:t>
            </w:r>
          </w:p>
        </w:tc>
      </w:tr>
      <w:tr w14:paraId="3C06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vMerge w:val="continue"/>
          </w:tcPr>
          <w:p w14:paraId="00B27FB6">
            <w:pPr>
              <w:jc w:val="center"/>
              <w:rPr>
                <w:rFonts w:hint="eastAsia" w:ascii="宋体" w:hAnsi="宋体" w:eastAsia="宋体" w:cs="宋体"/>
                <w:b/>
                <w:bCs/>
                <w:kern w:val="44"/>
                <w:szCs w:val="21"/>
              </w:rPr>
            </w:pPr>
          </w:p>
        </w:tc>
        <w:tc>
          <w:tcPr>
            <w:tcW w:w="591" w:type="dxa"/>
            <w:vAlign w:val="center"/>
          </w:tcPr>
          <w:p w14:paraId="11C150EB">
            <w:pPr>
              <w:widowControl/>
              <w:spacing w:line="200" w:lineRule="atLeast"/>
              <w:jc w:val="center"/>
              <w:rPr>
                <w:rFonts w:hint="eastAsia" w:ascii="宋体" w:hAnsi="宋体" w:eastAsia="宋体" w:cs="宋体"/>
                <w:szCs w:val="21"/>
              </w:rPr>
            </w:pPr>
            <w:r>
              <w:rPr>
                <w:rFonts w:hint="eastAsia" w:ascii="宋体" w:hAnsi="宋体" w:eastAsia="宋体" w:cs="宋体"/>
                <w:szCs w:val="21"/>
              </w:rPr>
              <w:t>2</w:t>
            </w:r>
          </w:p>
        </w:tc>
        <w:tc>
          <w:tcPr>
            <w:tcW w:w="1030" w:type="dxa"/>
            <w:vAlign w:val="center"/>
          </w:tcPr>
          <w:p w14:paraId="1D1D476F">
            <w:pPr>
              <w:widowControl/>
              <w:spacing w:line="200" w:lineRule="atLeast"/>
              <w:jc w:val="center"/>
              <w:rPr>
                <w:rFonts w:hint="eastAsia" w:ascii="宋体" w:hAnsi="宋体" w:eastAsia="宋体" w:cs="宋体"/>
                <w:szCs w:val="21"/>
              </w:rPr>
            </w:pPr>
            <w:r>
              <w:rPr>
                <w:rFonts w:hint="eastAsia" w:ascii="宋体" w:hAnsi="宋体" w:eastAsia="宋体" w:cs="宋体"/>
                <w:kern w:val="0"/>
                <w:szCs w:val="21"/>
              </w:rPr>
              <w:t>同类业绩</w:t>
            </w:r>
          </w:p>
        </w:tc>
        <w:tc>
          <w:tcPr>
            <w:tcW w:w="716" w:type="dxa"/>
            <w:vAlign w:val="center"/>
          </w:tcPr>
          <w:p w14:paraId="1197C98C">
            <w:pPr>
              <w:widowControl/>
              <w:spacing w:line="200" w:lineRule="atLeast"/>
              <w:jc w:val="center"/>
              <w:rPr>
                <w:rFonts w:hint="eastAsia" w:ascii="宋体" w:hAnsi="宋体" w:eastAsia="宋体" w:cs="宋体"/>
                <w:szCs w:val="21"/>
              </w:rPr>
            </w:pPr>
            <w:r>
              <w:rPr>
                <w:rFonts w:hint="eastAsia" w:ascii="宋体" w:hAnsi="宋体" w:eastAsia="宋体" w:cs="宋体"/>
                <w:szCs w:val="21"/>
              </w:rPr>
              <w:t>12</w:t>
            </w:r>
          </w:p>
        </w:tc>
        <w:tc>
          <w:tcPr>
            <w:tcW w:w="6172" w:type="dxa"/>
          </w:tcPr>
          <w:p w14:paraId="57741CC8">
            <w:pPr>
              <w:widowControl/>
              <w:rPr>
                <w:rFonts w:hint="eastAsia" w:ascii="宋体" w:hAnsi="宋体" w:eastAsia="宋体" w:cs="宋体"/>
                <w:b/>
                <w:bCs/>
                <w:szCs w:val="21"/>
              </w:rPr>
            </w:pPr>
            <w:r>
              <w:rPr>
                <w:rFonts w:hint="eastAsia" w:ascii="宋体" w:hAnsi="宋体" w:eastAsia="宋体" w:cs="宋体"/>
                <w:b/>
                <w:bCs/>
                <w:szCs w:val="21"/>
              </w:rPr>
              <w:t>（一）评审内容：</w:t>
            </w:r>
          </w:p>
          <w:p w14:paraId="2B419D24">
            <w:pPr>
              <w:rPr>
                <w:rFonts w:hint="eastAsia" w:ascii="宋体" w:hAnsi="宋体" w:cs="宋体"/>
                <w:szCs w:val="21"/>
              </w:rPr>
            </w:pPr>
            <w:r>
              <w:rPr>
                <w:rFonts w:hint="eastAsia" w:ascii="宋体" w:hAnsi="宋体" w:cs="宋体"/>
                <w:szCs w:val="21"/>
              </w:rPr>
              <w:t>提供投标人2022年1月1日至本项目投标截止之日止（以合同签订日期为准）满足以下条件的业绩：</w:t>
            </w:r>
          </w:p>
          <w:p w14:paraId="1B065A14">
            <w:pPr>
              <w:rPr>
                <w:rFonts w:hint="eastAsia" w:ascii="宋体" w:hAnsi="宋体" w:cs="宋体"/>
                <w:szCs w:val="21"/>
              </w:rPr>
            </w:pPr>
            <w:r>
              <w:rPr>
                <w:rFonts w:hint="eastAsia" w:ascii="宋体" w:hAnsi="宋体" w:cs="宋体"/>
                <w:szCs w:val="21"/>
              </w:rPr>
              <w:t>①</w:t>
            </w:r>
            <w:r>
              <w:rPr>
                <w:rFonts w:hint="eastAsia" w:ascii="宋体" w:hAnsi="宋体" w:eastAsia="宋体" w:cs="宋体"/>
                <w:sz w:val="21"/>
                <w:szCs w:val="21"/>
              </w:rPr>
              <w:t>党政机关或事业单位【或公办或民办学校（含幼儿园）】委托的食材配送同类项目业绩；</w:t>
            </w:r>
          </w:p>
          <w:p w14:paraId="193DA0D8">
            <w:pPr>
              <w:rPr>
                <w:rFonts w:hint="eastAsia" w:ascii="宋体" w:hAnsi="宋体" w:cs="宋体"/>
                <w:szCs w:val="21"/>
              </w:rPr>
            </w:pPr>
            <w:r>
              <w:rPr>
                <w:rFonts w:hint="eastAsia" w:ascii="宋体" w:hAnsi="宋体" w:cs="宋体"/>
                <w:szCs w:val="21"/>
              </w:rPr>
              <w:t>②经采购单位或被服务单位总体（终期）履约（验收）评价结果为“优”或“满意”或该评价体系的最高评价等级。</w:t>
            </w:r>
          </w:p>
          <w:p w14:paraId="347D2432">
            <w:pPr>
              <w:rPr>
                <w:rFonts w:hint="eastAsia" w:ascii="宋体" w:hAnsi="宋体" w:cs="宋体"/>
                <w:szCs w:val="21"/>
              </w:rPr>
            </w:pPr>
            <w:r>
              <w:rPr>
                <w:rFonts w:hint="eastAsia" w:ascii="宋体" w:hAnsi="宋体" w:cs="宋体"/>
                <w:szCs w:val="21"/>
              </w:rPr>
              <w:t>每提供1个同时满足以上条件的同类业绩得20分，最高得100分。一年一签的长期服务续签合同只计算一个业绩。</w:t>
            </w:r>
          </w:p>
          <w:p w14:paraId="64122183">
            <w:pPr>
              <w:widowControl/>
              <w:rPr>
                <w:rFonts w:hint="eastAsia" w:ascii="宋体" w:hAnsi="宋体" w:eastAsia="宋体" w:cs="宋体"/>
                <w:b/>
                <w:bCs/>
                <w:szCs w:val="21"/>
              </w:rPr>
            </w:pPr>
            <w:r>
              <w:rPr>
                <w:rFonts w:hint="eastAsia" w:ascii="宋体" w:hAnsi="宋体" w:eastAsia="宋体" w:cs="宋体"/>
                <w:b/>
                <w:bCs/>
                <w:szCs w:val="21"/>
              </w:rPr>
              <w:t>（二）评分依据：</w:t>
            </w:r>
          </w:p>
          <w:p w14:paraId="7E6811D2">
            <w:pPr>
              <w:rPr>
                <w:rFonts w:hint="eastAsia" w:ascii="宋体" w:hAnsi="宋体" w:cs="宋体"/>
                <w:szCs w:val="21"/>
              </w:rPr>
            </w:pPr>
            <w:r>
              <w:rPr>
                <w:rFonts w:hint="eastAsia" w:ascii="宋体" w:hAnsi="宋体" w:cs="宋体"/>
                <w:szCs w:val="21"/>
              </w:rPr>
              <w:t>按照以下要求提供证明材料：</w:t>
            </w:r>
          </w:p>
          <w:p w14:paraId="666BAE18">
            <w:pPr>
              <w:rPr>
                <w:rFonts w:hint="eastAsia" w:ascii="宋体" w:hAnsi="宋体" w:cs="宋体"/>
                <w:szCs w:val="21"/>
              </w:rPr>
            </w:pPr>
            <w:r>
              <w:rPr>
                <w:rFonts w:hint="eastAsia" w:ascii="宋体" w:hAnsi="宋体" w:cs="宋体"/>
                <w:szCs w:val="21"/>
              </w:rPr>
              <w:t>1.合同关键页（包括但不限于合同的项目名称、服务内容、合同服务的起止时间、签订日期、合同双方签字盖章页），通过合同关键信息无法判断是否得分的，还须同时提供能证明得分的其它证明资料，如项目报告或合同甲方或被服务单位出具的证明文件等。</w:t>
            </w:r>
          </w:p>
          <w:p w14:paraId="27AE334A">
            <w:pPr>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采购单位或被服务单位出具的总体（终期）履约评价为“优”或“满意”或该评价体系的最高评价等级的相关证明文件加盖合同甲方公章（或业务章）。证明文件的内容包括但不仅限于合同的项目名称、总体履约评价结果、出具证明的签署日期等相关内容,如提交的证明材料其评价结果没有结论而仅是打分的（比如打100分、98分、95分、85分等的）不计分。如履约评价中只有“合格”与“不合格”两种档次的，不符合评审要求，作不得分处理。</w:t>
            </w:r>
          </w:p>
          <w:p w14:paraId="4680E831">
            <w:pPr>
              <w:widowControl/>
              <w:rPr>
                <w:rFonts w:hint="eastAsia" w:ascii="宋体" w:hAnsi="宋体" w:eastAsia="宋体" w:cs="宋体"/>
                <w:szCs w:val="21"/>
              </w:rPr>
            </w:pPr>
            <w:r>
              <w:rPr>
                <w:rFonts w:hint="eastAsia" w:ascii="宋体" w:hAnsi="宋体" w:cs="宋体"/>
                <w:szCs w:val="21"/>
              </w:rPr>
              <w:t>如未按要求提供证明材料，或所提供的证明材料未能体现上述评分内容的，视为该证明材料无效。</w:t>
            </w:r>
          </w:p>
        </w:tc>
      </w:tr>
      <w:tr w14:paraId="33A9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tcPr>
          <w:p w14:paraId="07119D38">
            <w:pPr>
              <w:jc w:val="center"/>
              <w:rPr>
                <w:rFonts w:hint="eastAsia" w:ascii="宋体" w:hAnsi="宋体" w:eastAsia="宋体" w:cs="宋体"/>
                <w:b/>
                <w:bCs/>
                <w:kern w:val="44"/>
                <w:szCs w:val="21"/>
              </w:rPr>
            </w:pPr>
            <w:r>
              <w:rPr>
                <w:rFonts w:hint="eastAsia" w:ascii="宋体" w:hAnsi="宋体" w:eastAsia="宋体" w:cs="宋体"/>
                <w:b/>
                <w:bCs/>
                <w:kern w:val="44"/>
                <w:szCs w:val="21"/>
              </w:rPr>
              <w:t>4</w:t>
            </w:r>
          </w:p>
        </w:tc>
        <w:tc>
          <w:tcPr>
            <w:tcW w:w="2337" w:type="dxa"/>
            <w:gridSpan w:val="3"/>
            <w:vAlign w:val="center"/>
          </w:tcPr>
          <w:p w14:paraId="1ACEFA92">
            <w:pPr>
              <w:widowControl/>
              <w:spacing w:line="200" w:lineRule="atLeast"/>
              <w:jc w:val="center"/>
              <w:rPr>
                <w:rFonts w:hint="eastAsia" w:ascii="宋体" w:hAnsi="宋体" w:eastAsia="宋体" w:cs="宋体"/>
                <w:szCs w:val="21"/>
              </w:rPr>
            </w:pPr>
            <w:r>
              <w:rPr>
                <w:rFonts w:hint="eastAsia" w:ascii="宋体" w:hAnsi="宋体" w:eastAsia="宋体" w:cs="宋体"/>
                <w:b/>
                <w:bCs/>
                <w:szCs w:val="21"/>
              </w:rPr>
              <w:t>诚信部分</w:t>
            </w:r>
          </w:p>
        </w:tc>
        <w:tc>
          <w:tcPr>
            <w:tcW w:w="6172" w:type="dxa"/>
          </w:tcPr>
          <w:p w14:paraId="46CDA0D8">
            <w:pPr>
              <w:jc w:val="center"/>
              <w:rPr>
                <w:rFonts w:hint="eastAsia" w:ascii="宋体" w:hAnsi="宋体" w:eastAsia="宋体" w:cs="宋体"/>
                <w:szCs w:val="21"/>
              </w:rPr>
            </w:pPr>
            <w:r>
              <w:rPr>
                <w:rFonts w:hint="eastAsia" w:ascii="宋体" w:hAnsi="宋体" w:eastAsia="宋体" w:cs="宋体"/>
                <w:b/>
                <w:bCs/>
                <w:szCs w:val="21"/>
              </w:rPr>
              <w:t>5</w:t>
            </w:r>
          </w:p>
        </w:tc>
      </w:tr>
      <w:tr w14:paraId="3640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vMerge w:val="restart"/>
          </w:tcPr>
          <w:p w14:paraId="17383913">
            <w:pPr>
              <w:jc w:val="center"/>
              <w:rPr>
                <w:rFonts w:hint="eastAsia" w:ascii="宋体" w:hAnsi="宋体" w:eastAsia="宋体" w:cs="宋体"/>
                <w:b/>
                <w:bCs/>
                <w:kern w:val="44"/>
                <w:szCs w:val="21"/>
              </w:rPr>
            </w:pPr>
          </w:p>
        </w:tc>
        <w:tc>
          <w:tcPr>
            <w:tcW w:w="591" w:type="dxa"/>
            <w:vAlign w:val="center"/>
          </w:tcPr>
          <w:p w14:paraId="3C94FE93">
            <w:pPr>
              <w:jc w:val="center"/>
              <w:rPr>
                <w:rFonts w:hint="eastAsia" w:ascii="宋体" w:hAnsi="宋体" w:eastAsia="宋体" w:cs="宋体"/>
                <w:szCs w:val="21"/>
              </w:rPr>
            </w:pPr>
            <w:r>
              <w:rPr>
                <w:rFonts w:hint="eastAsia" w:ascii="宋体" w:hAnsi="宋体" w:eastAsia="宋体" w:cs="宋体"/>
                <w:b/>
                <w:bCs/>
                <w:kern w:val="44"/>
                <w:szCs w:val="21"/>
              </w:rPr>
              <w:t>序号</w:t>
            </w:r>
          </w:p>
        </w:tc>
        <w:tc>
          <w:tcPr>
            <w:tcW w:w="1030" w:type="dxa"/>
            <w:vAlign w:val="center"/>
          </w:tcPr>
          <w:p w14:paraId="0A8E86E4">
            <w:pPr>
              <w:jc w:val="center"/>
              <w:rPr>
                <w:rFonts w:hint="eastAsia" w:ascii="宋体" w:hAnsi="宋体" w:eastAsia="宋体" w:cs="宋体"/>
                <w:szCs w:val="21"/>
              </w:rPr>
            </w:pPr>
            <w:r>
              <w:rPr>
                <w:rFonts w:hint="eastAsia" w:ascii="宋体" w:hAnsi="宋体" w:eastAsia="宋体" w:cs="宋体"/>
                <w:b/>
                <w:bCs/>
                <w:kern w:val="44"/>
                <w:szCs w:val="21"/>
              </w:rPr>
              <w:t>评分因素</w:t>
            </w:r>
          </w:p>
        </w:tc>
        <w:tc>
          <w:tcPr>
            <w:tcW w:w="716" w:type="dxa"/>
            <w:vAlign w:val="center"/>
          </w:tcPr>
          <w:p w14:paraId="0F9D176E">
            <w:pPr>
              <w:jc w:val="center"/>
              <w:rPr>
                <w:rFonts w:hint="eastAsia" w:ascii="宋体" w:hAnsi="宋体" w:eastAsia="宋体" w:cs="宋体"/>
                <w:szCs w:val="21"/>
              </w:rPr>
            </w:pPr>
            <w:r>
              <w:rPr>
                <w:rFonts w:hint="eastAsia" w:ascii="宋体" w:hAnsi="宋体" w:eastAsia="宋体" w:cs="宋体"/>
                <w:b/>
                <w:bCs/>
                <w:kern w:val="44"/>
                <w:szCs w:val="21"/>
              </w:rPr>
              <w:t>权重</w:t>
            </w:r>
          </w:p>
        </w:tc>
        <w:tc>
          <w:tcPr>
            <w:tcW w:w="6172" w:type="dxa"/>
            <w:vAlign w:val="center"/>
          </w:tcPr>
          <w:p w14:paraId="17B80EBA">
            <w:pPr>
              <w:jc w:val="center"/>
              <w:rPr>
                <w:rFonts w:hint="eastAsia" w:ascii="宋体" w:hAnsi="宋体" w:eastAsia="宋体" w:cs="宋体"/>
                <w:szCs w:val="21"/>
              </w:rPr>
            </w:pPr>
            <w:r>
              <w:rPr>
                <w:rFonts w:hint="eastAsia" w:ascii="宋体" w:hAnsi="宋体" w:eastAsia="宋体" w:cs="宋体"/>
                <w:b/>
                <w:bCs/>
                <w:kern w:val="44"/>
                <w:szCs w:val="21"/>
              </w:rPr>
              <w:t>评分准则</w:t>
            </w:r>
          </w:p>
        </w:tc>
      </w:tr>
      <w:tr w14:paraId="4148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0" w:hRule="atLeast"/>
          <w:tblCellSpacing w:w="0" w:type="dxa"/>
          <w:jc w:val="center"/>
        </w:trPr>
        <w:tc>
          <w:tcPr>
            <w:tcW w:w="559" w:type="dxa"/>
            <w:vMerge w:val="continue"/>
          </w:tcPr>
          <w:p w14:paraId="7F127059">
            <w:pPr>
              <w:jc w:val="center"/>
              <w:rPr>
                <w:rFonts w:hint="eastAsia" w:ascii="宋体" w:hAnsi="宋体" w:eastAsia="宋体" w:cs="宋体"/>
                <w:b/>
                <w:bCs/>
                <w:kern w:val="44"/>
                <w:szCs w:val="21"/>
              </w:rPr>
            </w:pPr>
          </w:p>
        </w:tc>
        <w:tc>
          <w:tcPr>
            <w:tcW w:w="591" w:type="dxa"/>
            <w:vAlign w:val="center"/>
          </w:tcPr>
          <w:p w14:paraId="43608269">
            <w:pPr>
              <w:jc w:val="center"/>
              <w:rPr>
                <w:rFonts w:hint="eastAsia" w:ascii="宋体" w:hAnsi="宋体" w:eastAsia="宋体" w:cs="宋体"/>
                <w:b/>
                <w:bCs/>
                <w:kern w:val="44"/>
                <w:szCs w:val="21"/>
              </w:rPr>
            </w:pPr>
            <w:r>
              <w:rPr>
                <w:rFonts w:hint="eastAsia" w:ascii="宋体" w:hAnsi="宋体" w:eastAsia="宋体" w:cs="宋体"/>
                <w:b/>
                <w:bCs/>
                <w:kern w:val="44"/>
                <w:szCs w:val="21"/>
              </w:rPr>
              <w:t>1</w:t>
            </w:r>
          </w:p>
        </w:tc>
        <w:tc>
          <w:tcPr>
            <w:tcW w:w="1030" w:type="dxa"/>
            <w:vAlign w:val="center"/>
          </w:tcPr>
          <w:p w14:paraId="0F00C0CC">
            <w:pPr>
              <w:jc w:val="center"/>
              <w:rPr>
                <w:rFonts w:hint="eastAsia" w:ascii="宋体" w:hAnsi="宋体" w:eastAsia="宋体" w:cs="宋体"/>
                <w:b/>
                <w:bCs/>
                <w:kern w:val="44"/>
                <w:szCs w:val="21"/>
              </w:rPr>
            </w:pPr>
            <w:r>
              <w:rPr>
                <w:rFonts w:hint="eastAsia" w:ascii="宋体" w:hAnsi="宋体" w:eastAsia="宋体" w:cs="宋体"/>
                <w:kern w:val="44"/>
                <w:szCs w:val="21"/>
              </w:rPr>
              <w:t>诚信情况</w:t>
            </w:r>
          </w:p>
        </w:tc>
        <w:tc>
          <w:tcPr>
            <w:tcW w:w="716" w:type="dxa"/>
            <w:vAlign w:val="center"/>
          </w:tcPr>
          <w:p w14:paraId="4F2792C7">
            <w:pPr>
              <w:jc w:val="center"/>
              <w:rPr>
                <w:rFonts w:hint="eastAsia" w:ascii="宋体" w:hAnsi="宋体" w:eastAsia="宋体" w:cs="宋体"/>
                <w:b/>
                <w:bCs/>
                <w:kern w:val="44"/>
                <w:szCs w:val="21"/>
              </w:rPr>
            </w:pPr>
            <w:r>
              <w:rPr>
                <w:rFonts w:hint="eastAsia" w:ascii="宋体" w:hAnsi="宋体" w:eastAsia="宋体" w:cs="宋体"/>
                <w:kern w:val="44"/>
                <w:szCs w:val="21"/>
              </w:rPr>
              <w:t>5</w:t>
            </w:r>
          </w:p>
        </w:tc>
        <w:tc>
          <w:tcPr>
            <w:tcW w:w="6172" w:type="dxa"/>
          </w:tcPr>
          <w:p w14:paraId="163A3DB6">
            <w:pPr>
              <w:widowControl/>
              <w:jc w:val="left"/>
              <w:rPr>
                <w:rFonts w:hint="eastAsia" w:ascii="宋体" w:hAnsi="宋体" w:eastAsia="宋体" w:cs="宋体"/>
                <w:kern w:val="0"/>
                <w:szCs w:val="21"/>
              </w:rPr>
            </w:pPr>
            <w:r>
              <w:rPr>
                <w:rFonts w:hint="eastAsia" w:ascii="宋体" w:hAnsi="宋体" w:eastAsia="宋体" w:cs="宋体"/>
                <w:kern w:val="0"/>
                <w:szCs w:val="21"/>
              </w:rPr>
              <w:t>投标人存在《深圳市财政局政府采购供应商信用信息管理办法》（深财规〔2023〕3号）列明的一般行政处罚信息、一般违法失信记录信息的，本项不得分，不存在上述情形的本项得满分。投标人无需提供任何证明材料，评标过程中由工作人员向评审委员会提供供应商诚信查询结果。</w:t>
            </w:r>
          </w:p>
          <w:p w14:paraId="5E88338A">
            <w:pPr>
              <w:rPr>
                <w:rFonts w:hint="eastAsia" w:ascii="宋体" w:hAnsi="宋体" w:eastAsia="宋体" w:cs="宋体"/>
                <w:szCs w:val="21"/>
              </w:rPr>
            </w:pPr>
            <w:r>
              <w:rPr>
                <w:rFonts w:hint="eastAsia" w:ascii="宋体" w:hAnsi="宋体" w:eastAsia="宋体" w:cs="宋体"/>
                <w:kern w:val="0"/>
                <w:szCs w:val="21"/>
              </w:rPr>
              <w:t>查询渠道具体包括“信用中国”（www.creditchina.gov.cn，下载信用信息报告）、“中国政府采购网”（www.ccgp.gov.cn）”以及“深圳市政府采购监管网”（http://zfcg.sz.gov.cn）为供应商信用信息的查询渠道，相关信息以开标当日的查询结果为准。</w:t>
            </w:r>
          </w:p>
        </w:tc>
      </w:tr>
    </w:tbl>
    <w:p w14:paraId="739AB973">
      <w:pPr>
        <w:wordWrap w:val="0"/>
        <w:rPr>
          <w:rFonts w:ascii="Times New Roman" w:hAnsi="Times New Roman" w:eastAsia="宋体" w:cs="Times New Roman"/>
          <w:b/>
          <w:bCs/>
          <w:szCs w:val="24"/>
        </w:rPr>
      </w:pPr>
    </w:p>
    <w:p w14:paraId="0664FC84">
      <w:pPr>
        <w:rPr>
          <w:rFonts w:ascii="Times New Roman" w:hAnsi="Times New Roman" w:eastAsia="宋体" w:cs="Times New Roman"/>
          <w:b/>
          <w:sz w:val="120"/>
          <w:szCs w:val="120"/>
        </w:rPr>
      </w:pPr>
      <w:r>
        <w:rPr>
          <w:rFonts w:hint="eastAsia" w:ascii="Times New Roman" w:hAnsi="Times New Roman" w:eastAsia="宋体" w:cs="Times New Roman"/>
          <w:b/>
          <w:sz w:val="120"/>
          <w:szCs w:val="120"/>
        </w:rPr>
        <w:br w:type="page"/>
      </w:r>
    </w:p>
    <w:p w14:paraId="75B52254">
      <w:pPr>
        <w:jc w:val="center"/>
        <w:rPr>
          <w:rFonts w:ascii="Times New Roman" w:hAnsi="Times New Roman" w:eastAsia="宋体" w:cs="Times New Roman"/>
          <w:b/>
          <w:sz w:val="120"/>
          <w:szCs w:val="120"/>
        </w:rPr>
      </w:pPr>
    </w:p>
    <w:p w14:paraId="27C6A302">
      <w:pPr>
        <w:jc w:val="center"/>
        <w:rPr>
          <w:rFonts w:ascii="Times New Roman" w:hAnsi="Times New Roman" w:eastAsia="宋体" w:cs="Times New Roman"/>
          <w:b/>
          <w:sz w:val="120"/>
          <w:szCs w:val="120"/>
        </w:rPr>
      </w:pPr>
    </w:p>
    <w:p w14:paraId="05DE94E6">
      <w:pPr>
        <w:spacing w:line="276" w:lineRule="auto"/>
        <w:jc w:val="center"/>
        <w:rPr>
          <w:rFonts w:ascii="Times New Roman" w:hAnsi="Times New Roman" w:eastAsia="宋体" w:cs="Times New Roman"/>
          <w:b/>
          <w:sz w:val="120"/>
          <w:szCs w:val="120"/>
        </w:rPr>
      </w:pPr>
      <w:r>
        <w:rPr>
          <w:rFonts w:hint="eastAsia" w:ascii="Times New Roman" w:hAnsi="Times New Roman" w:eastAsia="宋体" w:cs="Times New Roman"/>
          <w:b/>
          <w:sz w:val="120"/>
          <w:szCs w:val="120"/>
        </w:rPr>
        <w:t>政府采购</w:t>
      </w:r>
    </w:p>
    <w:p w14:paraId="65EF4EA1">
      <w:pPr>
        <w:spacing w:line="276" w:lineRule="auto"/>
        <w:jc w:val="center"/>
        <w:rPr>
          <w:rFonts w:ascii="Times New Roman" w:hAnsi="Times New Roman" w:eastAsia="宋体" w:cs="Times New Roman"/>
          <w:b/>
          <w:sz w:val="120"/>
          <w:szCs w:val="120"/>
        </w:rPr>
      </w:pPr>
      <w:r>
        <w:rPr>
          <w:rFonts w:hint="eastAsia" w:ascii="Times New Roman" w:hAnsi="Times New Roman" w:eastAsia="宋体" w:cs="Times New Roman"/>
          <w:b/>
          <w:sz w:val="120"/>
          <w:szCs w:val="120"/>
        </w:rPr>
        <w:t>招标文件</w:t>
      </w:r>
    </w:p>
    <w:p w14:paraId="738BF193">
      <w:pPr>
        <w:spacing w:line="276" w:lineRule="auto"/>
        <w:jc w:val="center"/>
        <w:rPr>
          <w:rFonts w:ascii="Times New Roman" w:hAnsi="Times New Roman" w:eastAsia="宋体" w:cs="Times New Roman"/>
          <w:b/>
          <w:sz w:val="52"/>
          <w:szCs w:val="52"/>
        </w:rPr>
      </w:pPr>
      <w:r>
        <w:rPr>
          <w:rFonts w:hint="eastAsia" w:ascii="Times New Roman" w:hAnsi="Times New Roman" w:eastAsia="宋体" w:cs="Times New Roman"/>
          <w:b/>
          <w:sz w:val="52"/>
          <w:szCs w:val="52"/>
        </w:rPr>
        <w:t>（服务类）</w:t>
      </w:r>
    </w:p>
    <w:p w14:paraId="2115F467">
      <w:pPr>
        <w:rPr>
          <w:rFonts w:ascii="Times New Roman" w:hAnsi="Times New Roman" w:eastAsia="宋体" w:cs="Times New Roman"/>
          <w:szCs w:val="24"/>
        </w:rPr>
      </w:pPr>
    </w:p>
    <w:p w14:paraId="62F2B465">
      <w:pPr>
        <w:rPr>
          <w:rFonts w:ascii="Times New Roman" w:hAnsi="Times New Roman" w:eastAsia="宋体" w:cs="Times New Roman"/>
          <w:szCs w:val="24"/>
        </w:rPr>
      </w:pPr>
    </w:p>
    <w:p w14:paraId="5084B5AB">
      <w:pPr>
        <w:rPr>
          <w:rFonts w:ascii="Times New Roman" w:hAnsi="Times New Roman" w:eastAsia="宋体" w:cs="Times New Roman"/>
          <w:szCs w:val="24"/>
        </w:rPr>
      </w:pPr>
    </w:p>
    <w:p w14:paraId="7CA9E5FA">
      <w:pPr>
        <w:rPr>
          <w:rFonts w:ascii="Times New Roman" w:hAnsi="Times New Roman" w:eastAsia="宋体" w:cs="Times New Roman"/>
          <w:szCs w:val="24"/>
        </w:rPr>
      </w:pPr>
    </w:p>
    <w:p w14:paraId="6A1006FE">
      <w:pPr>
        <w:rPr>
          <w:rFonts w:ascii="Times New Roman" w:hAnsi="Times New Roman" w:eastAsia="宋体" w:cs="Times New Roman"/>
          <w:szCs w:val="24"/>
        </w:rPr>
      </w:pPr>
    </w:p>
    <w:p w14:paraId="6A114E20">
      <w:pPr>
        <w:rPr>
          <w:rFonts w:ascii="Times New Roman" w:hAnsi="Times New Roman" w:eastAsia="宋体" w:cs="Times New Roman"/>
          <w:szCs w:val="24"/>
        </w:rPr>
      </w:pPr>
    </w:p>
    <w:p w14:paraId="4126E6AC">
      <w:pPr>
        <w:rPr>
          <w:rFonts w:ascii="Times New Roman" w:hAnsi="Times New Roman" w:eastAsia="宋体" w:cs="Times New Roman"/>
          <w:szCs w:val="24"/>
        </w:rPr>
      </w:pPr>
    </w:p>
    <w:p w14:paraId="7FDC3445">
      <w:pPr>
        <w:jc w:val="center"/>
        <w:rPr>
          <w:rFonts w:ascii="Times New Roman" w:hAnsi="Times New Roman" w:eastAsia="宋体" w:cs="Times New Roman"/>
          <w:b/>
          <w:sz w:val="44"/>
          <w:szCs w:val="44"/>
        </w:rPr>
      </w:pPr>
    </w:p>
    <w:p w14:paraId="39FCA492">
      <w:pPr>
        <w:jc w:val="center"/>
        <w:rPr>
          <w:rFonts w:ascii="Times New Roman" w:hAnsi="Times New Roman" w:eastAsia="宋体" w:cs="Times New Roman"/>
          <w:b/>
          <w:sz w:val="44"/>
          <w:szCs w:val="44"/>
        </w:rPr>
      </w:pPr>
    </w:p>
    <w:p w14:paraId="3FCCBDF9">
      <w:pPr>
        <w:jc w:val="center"/>
        <w:rPr>
          <w:rFonts w:ascii="Times New Roman" w:hAnsi="Times New Roman" w:eastAsia="宋体" w:cs="Times New Roman"/>
          <w:b/>
          <w:sz w:val="44"/>
          <w:szCs w:val="44"/>
        </w:rPr>
      </w:pPr>
    </w:p>
    <w:p w14:paraId="00231CB7">
      <w:pPr>
        <w:spacing w:line="276" w:lineRule="auto"/>
        <w:jc w:val="center"/>
        <w:rPr>
          <w:rFonts w:ascii="Times New Roman" w:hAnsi="Times New Roman" w:eastAsia="宋体" w:cs="Times New Roman"/>
          <w:b/>
          <w:sz w:val="44"/>
          <w:szCs w:val="44"/>
        </w:rPr>
      </w:pPr>
      <w:bookmarkStart w:id="0" w:name="_Hlk71465316"/>
      <w:r>
        <w:rPr>
          <w:rFonts w:hint="eastAsia" w:ascii="Times New Roman" w:hAnsi="Times New Roman" w:eastAsia="宋体" w:cs="Times New Roman"/>
          <w:b/>
          <w:sz w:val="44"/>
          <w:szCs w:val="44"/>
        </w:rPr>
        <w:t>深圳公共资源交易中心</w:t>
      </w:r>
    </w:p>
    <w:p w14:paraId="7D758534">
      <w:pPr>
        <w:spacing w:line="276" w:lineRule="auto"/>
        <w:jc w:val="center"/>
        <w:rPr>
          <w:rFonts w:ascii="Times New Roman" w:hAnsi="Times New Roman" w:eastAsia="宋体" w:cs="Times New Roman"/>
          <w:sz w:val="44"/>
          <w:szCs w:val="44"/>
        </w:rPr>
      </w:pPr>
      <w:r>
        <w:rPr>
          <w:rFonts w:hint="eastAsia" w:ascii="Times New Roman" w:hAnsi="Times New Roman" w:eastAsia="宋体" w:cs="Times New Roman"/>
          <w:b/>
          <w:sz w:val="44"/>
          <w:szCs w:val="44"/>
        </w:rPr>
        <w:t>（2025）</w:t>
      </w:r>
      <w:bookmarkEnd w:id="0"/>
    </w:p>
    <w:p w14:paraId="53AE1FBD">
      <w:pPr>
        <w:ind w:firstLine="3150" w:firstLineChars="1500"/>
        <w:rPr>
          <w:rFonts w:ascii="Times New Roman" w:hAnsi="Times New Roman" w:eastAsia="宋体" w:cs="Times New Roman"/>
          <w:szCs w:val="24"/>
        </w:rPr>
      </w:pPr>
      <w:r>
        <w:rPr>
          <w:rFonts w:hint="eastAsia" w:ascii="Times New Roman" w:hAnsi="Times New Roman" w:eastAsia="宋体" w:cs="Times New Roman"/>
          <w:szCs w:val="24"/>
        </w:rPr>
        <w:br w:type="page"/>
      </w:r>
    </w:p>
    <w:p w14:paraId="1F7919FD">
      <w:pPr>
        <w:spacing w:line="360" w:lineRule="auto"/>
        <w:rPr>
          <w:rFonts w:ascii="Times New Roman" w:hAnsi="Times New Roman" w:eastAsia="宋体" w:cs="Times New Roman"/>
          <w:sz w:val="24"/>
          <w:szCs w:val="24"/>
        </w:rPr>
      </w:pPr>
    </w:p>
    <w:p w14:paraId="4D49A420">
      <w:pPr>
        <w:pStyle w:val="2"/>
        <w:rPr>
          <w:rFonts w:hint="eastAsia"/>
        </w:rPr>
      </w:pPr>
      <w:r>
        <w:rPr>
          <w:rFonts w:hint="eastAsia"/>
        </w:rPr>
        <w:t>目   录</w:t>
      </w:r>
    </w:p>
    <w:p w14:paraId="16CF256F">
      <w:pPr>
        <w:outlineLvl w:val="0"/>
        <w:rPr>
          <w:b/>
          <w:sz w:val="24"/>
        </w:rPr>
      </w:pPr>
      <w:r>
        <w:rPr>
          <w:rFonts w:hint="eastAsia"/>
          <w:b/>
          <w:sz w:val="24"/>
        </w:rPr>
        <w:t>第一册  专用条款</w:t>
      </w:r>
    </w:p>
    <w:p w14:paraId="55656D53">
      <w:pPr>
        <w:ind w:firstLine="960" w:firstLineChars="400"/>
        <w:rPr>
          <w:sz w:val="24"/>
        </w:rPr>
      </w:pPr>
      <w:r>
        <w:rPr>
          <w:rFonts w:hint="eastAsia"/>
          <w:sz w:val="24"/>
        </w:rPr>
        <w:t>关键信息</w:t>
      </w:r>
    </w:p>
    <w:p w14:paraId="27593B44">
      <w:pPr>
        <w:ind w:left="630" w:leftChars="300" w:firstLine="630" w:firstLineChars="300"/>
        <w:rPr>
          <w:rFonts w:hint="eastAsia" w:ascii="宋体" w:hAnsi="宋体"/>
          <w:szCs w:val="21"/>
        </w:rPr>
      </w:pPr>
      <w:r>
        <w:rPr>
          <w:rFonts w:hint="eastAsia" w:ascii="宋体" w:hAnsi="宋体"/>
          <w:szCs w:val="21"/>
        </w:rPr>
        <w:t>第一章  招标公告</w:t>
      </w:r>
    </w:p>
    <w:p w14:paraId="4ACBE6B3">
      <w:pPr>
        <w:ind w:left="630" w:leftChars="300" w:firstLine="630" w:firstLineChars="300"/>
        <w:rPr>
          <w:rFonts w:hint="eastAsia" w:ascii="宋体" w:hAnsi="宋体"/>
          <w:szCs w:val="21"/>
        </w:rPr>
      </w:pPr>
      <w:r>
        <w:rPr>
          <w:rFonts w:hint="eastAsia" w:ascii="宋体" w:hAnsi="宋体"/>
          <w:szCs w:val="21"/>
        </w:rPr>
        <w:t xml:space="preserve">第二章  </w:t>
      </w:r>
      <w:bookmarkStart w:id="1" w:name="_Hlk71994379"/>
      <w:r>
        <w:rPr>
          <w:rFonts w:hint="eastAsia" w:ascii="宋体" w:hAnsi="宋体"/>
          <w:szCs w:val="21"/>
        </w:rPr>
        <w:t>对通用条款的补充内容及其他关键信息</w:t>
      </w:r>
      <w:bookmarkEnd w:id="1"/>
    </w:p>
    <w:p w14:paraId="1E9A2501">
      <w:pPr>
        <w:ind w:left="630" w:leftChars="300" w:firstLine="630" w:firstLineChars="300"/>
        <w:rPr>
          <w:rFonts w:hint="eastAsia" w:ascii="宋体" w:hAnsi="宋体"/>
          <w:szCs w:val="21"/>
        </w:rPr>
      </w:pPr>
      <w:r>
        <w:rPr>
          <w:rFonts w:hint="eastAsia" w:ascii="宋体" w:hAnsi="宋体"/>
          <w:szCs w:val="21"/>
        </w:rPr>
        <w:t xml:space="preserve">第三章 </w:t>
      </w:r>
      <w:r>
        <w:rPr>
          <w:rFonts w:ascii="宋体" w:hAnsi="宋体"/>
          <w:szCs w:val="21"/>
        </w:rPr>
        <w:t xml:space="preserve"> </w:t>
      </w:r>
      <w:r>
        <w:rPr>
          <w:rFonts w:hint="eastAsia" w:ascii="宋体" w:hAnsi="宋体"/>
          <w:szCs w:val="21"/>
        </w:rPr>
        <w:t>用户需求书</w:t>
      </w:r>
    </w:p>
    <w:p w14:paraId="2EB68E35">
      <w:pPr>
        <w:ind w:left="630" w:leftChars="300" w:firstLine="630" w:firstLineChars="300"/>
        <w:rPr>
          <w:rFonts w:hint="eastAsia" w:ascii="宋体" w:hAnsi="宋体"/>
          <w:szCs w:val="21"/>
        </w:rPr>
      </w:pPr>
      <w:r>
        <w:rPr>
          <w:rFonts w:hint="eastAsia" w:ascii="宋体" w:hAnsi="宋体"/>
          <w:szCs w:val="21"/>
        </w:rPr>
        <w:t xml:space="preserve">第四章 </w:t>
      </w:r>
      <w:r>
        <w:rPr>
          <w:rFonts w:ascii="宋体" w:hAnsi="宋体"/>
          <w:szCs w:val="21"/>
        </w:rPr>
        <w:t xml:space="preserve"> </w:t>
      </w:r>
      <w:r>
        <w:rPr>
          <w:rFonts w:hint="eastAsia" w:ascii="宋体" w:hAnsi="宋体"/>
          <w:szCs w:val="21"/>
        </w:rPr>
        <w:t>投标文件组成要求及格式</w:t>
      </w:r>
    </w:p>
    <w:p w14:paraId="3159990F">
      <w:pPr>
        <w:ind w:left="630" w:leftChars="300" w:firstLine="630" w:firstLineChars="300"/>
        <w:rPr>
          <w:rFonts w:hint="eastAsia" w:ascii="宋体" w:hAnsi="宋体"/>
          <w:szCs w:val="21"/>
        </w:rPr>
      </w:pPr>
      <w:r>
        <w:rPr>
          <w:rFonts w:hint="eastAsia" w:ascii="宋体" w:hAnsi="宋体"/>
          <w:szCs w:val="21"/>
        </w:rPr>
        <w:t>第五章  合同条款及格式</w:t>
      </w:r>
    </w:p>
    <w:p w14:paraId="4D759D04">
      <w:pPr>
        <w:rPr>
          <w:b/>
          <w:sz w:val="24"/>
        </w:rPr>
      </w:pPr>
    </w:p>
    <w:p w14:paraId="4F36B871">
      <w:pPr>
        <w:outlineLvl w:val="0"/>
        <w:rPr>
          <w:b/>
          <w:sz w:val="24"/>
        </w:rPr>
      </w:pPr>
      <w:r>
        <w:rPr>
          <w:rFonts w:hint="eastAsia"/>
          <w:b/>
          <w:sz w:val="24"/>
        </w:rPr>
        <w:t>第二册  通用条款</w:t>
      </w:r>
    </w:p>
    <w:p w14:paraId="57C23257">
      <w:pPr>
        <w:ind w:left="630" w:leftChars="300" w:firstLine="411" w:firstLineChars="196"/>
        <w:rPr>
          <w:rFonts w:hint="eastAsia" w:ascii="宋体" w:hAnsi="宋体"/>
          <w:szCs w:val="21"/>
        </w:rPr>
      </w:pPr>
      <w:r>
        <w:rPr>
          <w:rFonts w:hint="eastAsia" w:ascii="宋体" w:hAnsi="宋体"/>
          <w:szCs w:val="21"/>
        </w:rPr>
        <w:t>第一章  总则</w:t>
      </w:r>
    </w:p>
    <w:p w14:paraId="1BEBB291">
      <w:pPr>
        <w:ind w:left="630" w:leftChars="300" w:firstLine="411" w:firstLineChars="196"/>
        <w:rPr>
          <w:rFonts w:hint="eastAsia" w:ascii="宋体" w:hAnsi="宋体"/>
          <w:szCs w:val="21"/>
        </w:rPr>
      </w:pPr>
      <w:r>
        <w:rPr>
          <w:rFonts w:hint="eastAsia" w:ascii="宋体" w:hAnsi="宋体"/>
          <w:szCs w:val="21"/>
        </w:rPr>
        <w:t>第二章  招标文件</w:t>
      </w:r>
    </w:p>
    <w:p w14:paraId="23B54121">
      <w:pPr>
        <w:ind w:left="630" w:leftChars="300" w:firstLine="411" w:firstLineChars="196"/>
        <w:rPr>
          <w:rFonts w:hint="eastAsia" w:ascii="宋体" w:hAnsi="宋体"/>
          <w:szCs w:val="21"/>
        </w:rPr>
      </w:pPr>
      <w:r>
        <w:rPr>
          <w:rFonts w:hint="eastAsia" w:ascii="宋体" w:hAnsi="宋体"/>
          <w:szCs w:val="21"/>
        </w:rPr>
        <w:t>第三章  投标文件的编制</w:t>
      </w:r>
    </w:p>
    <w:p w14:paraId="6759E03C">
      <w:pPr>
        <w:ind w:left="630" w:leftChars="300" w:firstLine="411" w:firstLineChars="196"/>
        <w:rPr>
          <w:rFonts w:hint="eastAsia" w:ascii="宋体" w:hAnsi="宋体"/>
          <w:szCs w:val="21"/>
        </w:rPr>
      </w:pPr>
      <w:r>
        <w:rPr>
          <w:rFonts w:hint="eastAsia" w:ascii="宋体" w:hAnsi="宋体"/>
          <w:szCs w:val="21"/>
        </w:rPr>
        <w:t>第四章  投标文件的递交</w:t>
      </w:r>
    </w:p>
    <w:p w14:paraId="1DAAC137">
      <w:pPr>
        <w:ind w:left="630" w:leftChars="300" w:firstLine="411" w:firstLineChars="196"/>
        <w:rPr>
          <w:rFonts w:hint="eastAsia" w:ascii="宋体" w:hAnsi="宋体"/>
          <w:szCs w:val="21"/>
        </w:rPr>
      </w:pPr>
      <w:r>
        <w:rPr>
          <w:rFonts w:hint="eastAsia" w:ascii="宋体" w:hAnsi="宋体"/>
          <w:szCs w:val="21"/>
        </w:rPr>
        <w:t>第五章  开标</w:t>
      </w:r>
    </w:p>
    <w:p w14:paraId="511E9B04">
      <w:pPr>
        <w:ind w:left="630" w:leftChars="300" w:firstLine="411" w:firstLineChars="196"/>
        <w:rPr>
          <w:rFonts w:hint="eastAsia" w:ascii="宋体" w:hAnsi="宋体"/>
          <w:szCs w:val="21"/>
        </w:rPr>
      </w:pPr>
      <w:r>
        <w:rPr>
          <w:rFonts w:hint="eastAsia" w:ascii="宋体" w:hAnsi="宋体"/>
          <w:szCs w:val="21"/>
        </w:rPr>
        <w:t>第六章  评审要求</w:t>
      </w:r>
    </w:p>
    <w:p w14:paraId="2D2FD967">
      <w:pPr>
        <w:ind w:left="630" w:leftChars="300" w:firstLine="411" w:firstLineChars="196"/>
        <w:rPr>
          <w:rFonts w:hint="eastAsia" w:ascii="宋体" w:hAnsi="宋体"/>
          <w:szCs w:val="21"/>
        </w:rPr>
      </w:pPr>
      <w:r>
        <w:rPr>
          <w:rFonts w:hint="eastAsia" w:ascii="宋体" w:hAnsi="宋体"/>
          <w:szCs w:val="21"/>
        </w:rPr>
        <w:t>第七章  评审程序及评审方法</w:t>
      </w:r>
    </w:p>
    <w:p w14:paraId="78744E52">
      <w:pPr>
        <w:ind w:left="630" w:leftChars="300" w:firstLine="411" w:firstLineChars="196"/>
        <w:rPr>
          <w:rFonts w:hint="eastAsia" w:ascii="宋体" w:hAnsi="宋体"/>
          <w:szCs w:val="21"/>
        </w:rPr>
      </w:pPr>
      <w:r>
        <w:rPr>
          <w:rFonts w:hint="eastAsia" w:ascii="宋体" w:hAnsi="宋体"/>
          <w:szCs w:val="21"/>
        </w:rPr>
        <w:t>第八章  定标及公示</w:t>
      </w:r>
    </w:p>
    <w:p w14:paraId="30A3E08F">
      <w:pPr>
        <w:ind w:left="630" w:leftChars="300" w:firstLine="411" w:firstLineChars="196"/>
        <w:rPr>
          <w:rFonts w:hint="eastAsia" w:ascii="宋体" w:hAnsi="宋体"/>
          <w:szCs w:val="21"/>
        </w:rPr>
      </w:pPr>
      <w:r>
        <w:rPr>
          <w:rFonts w:hint="eastAsia" w:ascii="宋体" w:hAnsi="宋体"/>
          <w:szCs w:val="21"/>
        </w:rPr>
        <w:t>第九章  公开招标失败的后续处理</w:t>
      </w:r>
    </w:p>
    <w:p w14:paraId="5FC45DAB">
      <w:pPr>
        <w:ind w:left="630" w:leftChars="300" w:firstLine="411" w:firstLineChars="196"/>
        <w:rPr>
          <w:rFonts w:hint="eastAsia" w:ascii="宋体" w:hAnsi="宋体"/>
          <w:szCs w:val="21"/>
        </w:rPr>
      </w:pPr>
      <w:r>
        <w:rPr>
          <w:rFonts w:hint="eastAsia" w:ascii="宋体" w:hAnsi="宋体"/>
          <w:szCs w:val="21"/>
        </w:rPr>
        <w:t>第十章  合同的授予与备案</w:t>
      </w:r>
    </w:p>
    <w:p w14:paraId="385028A5">
      <w:pPr>
        <w:ind w:firstLine="1050" w:firstLineChars="500"/>
        <w:outlineLvl w:val="0"/>
        <w:rPr>
          <w:b/>
          <w:sz w:val="24"/>
        </w:rPr>
      </w:pPr>
      <w:r>
        <w:rPr>
          <w:rFonts w:hint="eastAsia" w:ascii="宋体" w:hAnsi="宋体"/>
          <w:szCs w:val="21"/>
        </w:rPr>
        <w:t>第十一章  质疑处理</w:t>
      </w:r>
    </w:p>
    <w:p w14:paraId="38B09686">
      <w:pPr>
        <w:adjustRightInd w:val="0"/>
        <w:snapToGrid w:val="0"/>
        <w:spacing w:line="360" w:lineRule="auto"/>
        <w:ind w:firstLine="420" w:firstLineChars="200"/>
        <w:jc w:val="left"/>
        <w:rPr>
          <w:rFonts w:hint="eastAsia" w:ascii="宋体" w:hAnsi="宋体" w:eastAsia="宋体" w:cs="Times New Roman"/>
          <w:szCs w:val="21"/>
        </w:rPr>
      </w:pPr>
    </w:p>
    <w:p w14:paraId="34FFE3DC">
      <w:pPr>
        <w:keepNext/>
        <w:keepLines/>
        <w:spacing w:before="340" w:after="330" w:line="360" w:lineRule="auto"/>
        <w:jc w:val="center"/>
        <w:outlineLvl w:val="0"/>
        <w:rPr>
          <w:rFonts w:hint="eastAsia" w:ascii="宋体" w:hAnsi="宋体" w:eastAsia="黑体" w:cs="Times New Roman"/>
          <w:b/>
          <w:bCs/>
          <w:kern w:val="44"/>
          <w:sz w:val="24"/>
          <w:szCs w:val="44"/>
        </w:rPr>
      </w:pPr>
      <w:r>
        <w:rPr>
          <w:rFonts w:ascii="宋体" w:hAnsi="宋体" w:eastAsia="黑体" w:cs="Times New Roman"/>
          <w:b/>
          <w:bCs/>
          <w:kern w:val="44"/>
          <w:sz w:val="28"/>
          <w:szCs w:val="44"/>
        </w:rPr>
        <w:br w:type="page"/>
      </w:r>
      <w:bookmarkStart w:id="2" w:name="bt本工程承诺书"/>
      <w:bookmarkEnd w:id="2"/>
      <w:bookmarkStart w:id="3" w:name="bt其他资料由投标人自定"/>
      <w:bookmarkEnd w:id="3"/>
      <w:bookmarkStart w:id="4" w:name="bt投标函"/>
      <w:bookmarkEnd w:id="4"/>
      <w:bookmarkStart w:id="5" w:name="bt投标文件签署授权委托书"/>
      <w:bookmarkEnd w:id="5"/>
      <w:bookmarkStart w:id="6" w:name="bt技术标投标文件格式"/>
      <w:bookmarkEnd w:id="6"/>
      <w:bookmarkStart w:id="7" w:name="合同格式"/>
      <w:bookmarkEnd w:id="7"/>
      <w:bookmarkStart w:id="8" w:name="bt其他资料2"/>
      <w:bookmarkEnd w:id="8"/>
      <w:bookmarkStart w:id="9" w:name="bt项目管理班子配备情况"/>
      <w:bookmarkEnd w:id="9"/>
      <w:bookmarkStart w:id="10" w:name="bt合同条款"/>
      <w:bookmarkEnd w:id="10"/>
      <w:bookmarkStart w:id="11" w:name="bt开标一览表"/>
      <w:bookmarkEnd w:id="11"/>
      <w:bookmarkStart w:id="12" w:name="bt商务标投标文件格式"/>
      <w:bookmarkEnd w:id="12"/>
      <w:bookmarkStart w:id="13" w:name="bt投标人情况介绍"/>
      <w:bookmarkEnd w:id="13"/>
      <w:bookmarkStart w:id="14" w:name="bt说明"/>
      <w:bookmarkEnd w:id="14"/>
      <w:bookmarkStart w:id="15" w:name="bt投标报价汇总表"/>
      <w:bookmarkEnd w:id="15"/>
      <w:bookmarkStart w:id="16" w:name="bt合同条款及格式"/>
      <w:bookmarkEnd w:id="16"/>
      <w:bookmarkStart w:id="17" w:name="bt合同格式"/>
      <w:bookmarkEnd w:id="17"/>
      <w:bookmarkStart w:id="18" w:name="bt投标人须知"/>
      <w:bookmarkEnd w:id="18"/>
      <w:r>
        <w:rPr>
          <w:rFonts w:hint="eastAsia" w:ascii="宋体" w:hAnsi="宋体" w:eastAsia="黑体" w:cs="Times New Roman"/>
          <w:b/>
          <w:bCs/>
          <w:kern w:val="44"/>
          <w:sz w:val="28"/>
          <w:szCs w:val="44"/>
        </w:rPr>
        <w:t>第一册  专用条款</w:t>
      </w:r>
    </w:p>
    <w:p w14:paraId="7C2129FB">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第一章  招标公告</w:t>
      </w:r>
    </w:p>
    <w:p w14:paraId="6579787D">
      <w:pPr>
        <w:spacing w:line="360" w:lineRule="auto"/>
        <w:rPr>
          <w:rFonts w:hint="eastAsia" w:ascii="宋体" w:hAnsi="宋体" w:eastAsia="宋体" w:cs="宋体"/>
          <w:b/>
          <w:bCs/>
          <w:kern w:val="0"/>
          <w:szCs w:val="21"/>
        </w:rPr>
      </w:pPr>
      <w:r>
        <w:rPr>
          <w:rFonts w:hint="eastAsia" w:ascii="宋体" w:hAnsi="宋体" w:eastAsia="宋体" w:cs="宋体"/>
          <w:b/>
          <w:bCs/>
          <w:kern w:val="0"/>
          <w:szCs w:val="21"/>
        </w:rPr>
        <w:t>申请人的资格要求：</w:t>
      </w:r>
    </w:p>
    <w:p w14:paraId="20B89AF8">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w:t>
      </w:r>
      <w:bookmarkStart w:id="19" w:name="_Hlk72162904"/>
      <w:r>
        <w:rPr>
          <w:rFonts w:hint="eastAsia" w:ascii="宋体" w:hAnsi="宋体" w:eastAsia="宋体" w:cs="宋体"/>
          <w:kern w:val="0"/>
          <w:szCs w:val="21"/>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p>
    <w:p w14:paraId="4F885959">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2.本项目不接受联合体投标，不接受投标人选用进口产品参与投标（由供应商在《采购投标及履约承诺函》中作出声明）；</w:t>
      </w:r>
    </w:p>
    <w:p w14:paraId="54D22503">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3.参与本项目采购活动时不存在被有关部门禁止参与政府采购活动且在有效期内的情况（由供应商在《采购投标及履约承诺函》中作出声明）；</w:t>
      </w:r>
    </w:p>
    <w:p w14:paraId="3F221EBA">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4.具备《中华人民共和国政府采购法》第二十二条第一款的条件（由供应商在《采购投标及履约承诺函》中作出声明）；</w:t>
      </w:r>
    </w:p>
    <w:p w14:paraId="25EE0EE7">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5.未被列入失信被执行人、重大税收违法案件当事人名单、政府采购严重违法失信行为记录名单（由供应商在《采购投标及履约承诺函》中作出声明）；</w:t>
      </w:r>
    </w:p>
    <w:p w14:paraId="14615475">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6.不存在《深圳市财政局政府采购供应商信用信息管理办法》（深财规〔2023〕3号）列明的严重违法失信行为（由供应商在《采购投标及履约承诺函》中作出声明）；</w:t>
      </w:r>
    </w:p>
    <w:p w14:paraId="524B6D92">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7.为采购项目提供整体设计、规范编制或者项目管理、监理、检测等服务的供应商，不得再参加该采购项目的其他采购活动（由供应商在《采购投标及履约承诺函》中作出声明）；</w:t>
      </w:r>
    </w:p>
    <w:p w14:paraId="39459730">
      <w:pPr>
        <w:spacing w:line="276"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提供《供应商基本情况表》并加盖公章扫描件）。</w:t>
      </w:r>
    </w:p>
    <w:p w14:paraId="66AC58A2">
      <w:pPr>
        <w:spacing w:line="276" w:lineRule="auto"/>
        <w:ind w:firstLine="420" w:firstLineChars="200"/>
        <w:rPr>
          <w:rFonts w:hint="eastAsia" w:ascii="宋体" w:hAnsi="宋体" w:eastAsia="宋体" w:cs="宋体"/>
          <w:kern w:val="0"/>
          <w:szCs w:val="21"/>
          <w:highlight w:val="yellow"/>
        </w:rPr>
      </w:pPr>
      <w:r>
        <w:rPr>
          <w:rFonts w:hint="eastAsia" w:ascii="宋体" w:hAnsi="宋体" w:eastAsia="宋体" w:cs="宋体"/>
          <w:kern w:val="0"/>
          <w:szCs w:val="21"/>
        </w:rPr>
        <w:t>9.本项目为非专门面向中小企业采购项目</w:t>
      </w:r>
      <w:r>
        <w:rPr>
          <w:rFonts w:hint="eastAsia" w:ascii="宋体" w:hAnsi="宋体" w:cs="宋体"/>
          <w:kern w:val="0"/>
          <w:szCs w:val="21"/>
          <w:highlight w:val="yellow"/>
        </w:rPr>
        <w:t>。</w:t>
      </w:r>
    </w:p>
    <w:p w14:paraId="6275793B">
      <w:pPr>
        <w:spacing w:line="276" w:lineRule="auto"/>
        <w:ind w:firstLine="420" w:firstLineChars="200"/>
        <w:rPr>
          <w:rFonts w:hint="eastAsia" w:ascii="宋体" w:hAnsi="宋体" w:eastAsia="宋体" w:cs="宋体"/>
          <w:kern w:val="0"/>
          <w:szCs w:val="21"/>
          <w:highlight w:val="yellow"/>
        </w:rPr>
      </w:pPr>
      <w:r>
        <w:rPr>
          <w:rFonts w:hint="eastAsia" w:ascii="宋体" w:hAnsi="宋体" w:cs="宋体"/>
          <w:color w:val="FF0000"/>
          <w:kern w:val="0"/>
          <w:szCs w:val="21"/>
          <w:highlight w:val="yellow"/>
        </w:rPr>
        <w:t>10</w:t>
      </w:r>
      <w:r>
        <w:rPr>
          <w:rFonts w:ascii="宋体" w:hAnsi="宋体" w:cs="宋体"/>
          <w:color w:val="FF0000"/>
          <w:kern w:val="0"/>
          <w:szCs w:val="21"/>
          <w:highlight w:val="yellow"/>
        </w:rPr>
        <w:t>.</w:t>
      </w:r>
      <w:r>
        <w:rPr>
          <w:rFonts w:hint="eastAsia" w:ascii="宋体" w:hAnsi="宋体" w:cs="宋体"/>
          <w:kern w:val="0"/>
          <w:szCs w:val="21"/>
        </w:rPr>
        <w:t>①投标人具有市场监督管理部门颁发的有效期内的《食品经营许可证》。或②投标人在其生产加工场所或者通过网络销售其生产的食品，提供符合要求的承诺函（格式自拟），</w:t>
      </w:r>
      <w:r>
        <w:rPr>
          <w:rFonts w:hint="eastAsia" w:ascii="宋体" w:hAnsi="宋体" w:cs="宋体"/>
          <w:b w:val="0"/>
          <w:bCs w:val="0"/>
          <w:kern w:val="0"/>
          <w:szCs w:val="21"/>
        </w:rPr>
        <w:t>及</w:t>
      </w:r>
      <w:r>
        <w:rPr>
          <w:rFonts w:hint="eastAsia" w:ascii="宋体" w:hAnsi="宋体" w:cs="宋体"/>
          <w:kern w:val="0"/>
          <w:szCs w:val="21"/>
        </w:rPr>
        <w:t>市场监督管理部门颁发的有效期内的《食品生产许可证》</w:t>
      </w:r>
      <w:r>
        <w:rPr>
          <w:rFonts w:hint="eastAsia"/>
          <w:lang w:eastAsia="zh-CN"/>
        </w:rPr>
        <w:t>。</w:t>
      </w:r>
    </w:p>
    <w:bookmarkEnd w:id="19"/>
    <w:p w14:paraId="530F7E61">
      <w:pPr>
        <w:spacing w:line="276" w:lineRule="auto"/>
        <w:ind w:firstLine="420" w:firstLineChars="200"/>
        <w:rPr>
          <w:rFonts w:hint="eastAsia" w:ascii="宋体" w:hAnsi="宋体" w:eastAsia="宋体" w:cs="宋体"/>
          <w:kern w:val="0"/>
          <w:szCs w:val="21"/>
          <w:highlight w:val="yellow"/>
        </w:rPr>
      </w:pPr>
    </w:p>
    <w:p w14:paraId="2FB74D41">
      <w:pPr>
        <w:widowControl w:val="0"/>
        <w:jc w:val="both"/>
        <w:rPr>
          <w:rFonts w:ascii="宋体" w:hAnsi="宋体" w:eastAsia="宋体" w:cs="宋体"/>
          <w:sz w:val="21"/>
          <w:szCs w:val="21"/>
          <w:lang w:eastAsia="zh-CN"/>
        </w:rPr>
      </w:pPr>
      <w:r>
        <w:rPr>
          <w:rFonts w:hint="eastAsia" w:ascii="宋体" w:hAnsi="宋体" w:eastAsia="宋体" w:cs="宋体"/>
          <w:sz w:val="21"/>
          <w:szCs w:val="21"/>
          <w:lang w:eastAsia="zh-CN"/>
        </w:rPr>
        <w:t>注：（1）“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14:paraId="2D19EDE8">
      <w:pPr>
        <w:widowControl w:val="0"/>
        <w:numPr>
          <w:ilvl w:val="0"/>
          <w:numId w:val="0"/>
        </w:numPr>
        <w:ind w:left="0" w:firstLine="0"/>
        <w:jc w:val="both"/>
        <w:rPr>
          <w:rFonts w:hint="eastAsia" w:ascii="宋体" w:hAnsi="宋体" w:eastAsia="宋体"/>
          <w:kern w:val="2"/>
          <w:sz w:val="21"/>
          <w:lang w:eastAsia="zh-CN"/>
        </w:rPr>
      </w:pPr>
      <w:r>
        <w:rPr>
          <w:rFonts w:hint="eastAsia" w:ascii="宋体" w:hAnsi="宋体" w:eastAsia="宋体"/>
          <w:kern w:val="2"/>
          <w:sz w:val="21"/>
          <w:lang w:eastAsia="zh-CN"/>
        </w:rPr>
        <w:t>（2）供应商投标（上传投标文件）必须先行办理注册手续，具体操作指引请按照深圳公共资源交易网/交易服务指南/资料下载/深圳自行采购系统用户操作指引（供应商）相关内容指引办理。</w:t>
      </w:r>
    </w:p>
    <w:p w14:paraId="5158B646">
      <w:pPr>
        <w:widowControl w:val="0"/>
        <w:numPr>
          <w:ilvl w:val="0"/>
          <w:numId w:val="0"/>
        </w:numPr>
        <w:spacing w:line="360" w:lineRule="auto"/>
        <w:ind w:left="0" w:firstLine="0"/>
        <w:jc w:val="both"/>
        <w:rPr>
          <w:rFonts w:eastAsia="宋体"/>
          <w:b/>
          <w:bCs/>
          <w:kern w:val="2"/>
          <w:lang w:eastAsia="zh-CN"/>
        </w:rPr>
      </w:pPr>
    </w:p>
    <w:p w14:paraId="5A80A9D1">
      <w:pPr>
        <w:widowControl w:val="0"/>
        <w:jc w:val="left"/>
        <w:rPr>
          <w:rFonts w:eastAsia="宋体"/>
          <w:b/>
          <w:kern w:val="2"/>
          <w:sz w:val="22"/>
          <w:szCs w:val="18"/>
          <w:lang w:eastAsia="zh-CN"/>
        </w:rPr>
      </w:pPr>
      <w:r>
        <w:rPr>
          <w:rFonts w:hint="eastAsia" w:eastAsia="宋体"/>
          <w:b/>
          <w:kern w:val="2"/>
          <w:sz w:val="22"/>
          <w:szCs w:val="18"/>
          <w:lang w:eastAsia="zh-CN"/>
        </w:rPr>
        <w:t>完整公告内容详见：深圳交易集团（深圳公共资源交易中心）官网https://www.szexgrp.com/jyfw/zfcg-view.html?id=zfcg</w:t>
      </w:r>
    </w:p>
    <w:p w14:paraId="29F3B0DC">
      <w:pPr>
        <w:rPr>
          <w:rFonts w:ascii="Times New Roman" w:hAnsi="Times New Roman" w:eastAsia="宋体" w:cs="Times New Roman"/>
          <w:szCs w:val="24"/>
        </w:rPr>
      </w:pPr>
      <w:r>
        <w:rPr>
          <w:rFonts w:hint="eastAsia" w:ascii="Times New Roman" w:hAnsi="Times New Roman" w:eastAsia="宋体" w:cs="Times New Roman"/>
          <w:szCs w:val="24"/>
        </w:rPr>
        <w:br w:type="page"/>
      </w:r>
    </w:p>
    <w:p w14:paraId="11587E94">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第二章  对通用条款的补充内容及其他关键信息</w:t>
      </w:r>
    </w:p>
    <w:p w14:paraId="5E716F72">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8"/>
          <w:szCs w:val="28"/>
        </w:rPr>
      </w:pPr>
      <w:bookmarkStart w:id="20" w:name="_Toc73517639"/>
      <w:bookmarkStart w:id="21" w:name="_Toc100052364"/>
      <w:bookmarkStart w:id="22" w:name="_Toc60560625"/>
      <w:bookmarkStart w:id="23" w:name="_Toc101074876"/>
      <w:bookmarkStart w:id="24" w:name="_Toc73521547"/>
      <w:bookmarkStart w:id="25" w:name="_Toc73518117"/>
      <w:bookmarkStart w:id="26" w:name="_Toc60631620"/>
      <w:bookmarkStart w:id="27" w:name="_Toc73521635"/>
      <w:r>
        <w:rPr>
          <w:rFonts w:hint="eastAsia" w:ascii="宋体" w:hAnsi="宋体" w:eastAsia="宋体" w:cs="Times New Roman"/>
          <w:b/>
          <w:bCs/>
          <w:kern w:val="0"/>
          <w:sz w:val="24"/>
          <w:szCs w:val="24"/>
        </w:rPr>
        <w:t>一、对通用条款的补充内容</w:t>
      </w:r>
    </w:p>
    <w:bookmarkEnd w:id="20"/>
    <w:bookmarkEnd w:id="21"/>
    <w:bookmarkEnd w:id="22"/>
    <w:bookmarkEnd w:id="23"/>
    <w:bookmarkEnd w:id="24"/>
    <w:bookmarkEnd w:id="25"/>
    <w:bookmarkEnd w:id="26"/>
    <w:bookmarkEnd w:id="27"/>
    <w:tbl>
      <w:tblPr>
        <w:tblStyle w:val="42"/>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78"/>
        <w:gridCol w:w="2409"/>
        <w:gridCol w:w="4980"/>
      </w:tblGrid>
      <w:tr w14:paraId="6EC9EF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2E3C138D">
            <w:pPr>
              <w:spacing w:line="300" w:lineRule="exact"/>
              <w:jc w:val="center"/>
              <w:rPr>
                <w:rFonts w:hint="eastAsia" w:ascii="宋体" w:hAnsi="宋体" w:eastAsia="宋体" w:cs="宋体"/>
                <w:b/>
                <w:bCs/>
                <w:szCs w:val="21"/>
              </w:rPr>
            </w:pPr>
            <w:r>
              <w:rPr>
                <w:rFonts w:hint="eastAsia" w:ascii="宋体" w:hAnsi="宋体" w:eastAsia="宋体" w:cs="宋体"/>
                <w:b/>
                <w:bCs/>
                <w:szCs w:val="21"/>
              </w:rPr>
              <w:t>通用条款序号</w:t>
            </w:r>
          </w:p>
        </w:tc>
        <w:tc>
          <w:tcPr>
            <w:tcW w:w="2409" w:type="dxa"/>
            <w:vAlign w:val="center"/>
          </w:tcPr>
          <w:p w14:paraId="083E0539">
            <w:pPr>
              <w:spacing w:line="300" w:lineRule="exact"/>
              <w:jc w:val="center"/>
              <w:rPr>
                <w:rFonts w:hint="eastAsia" w:ascii="宋体" w:hAnsi="宋体" w:eastAsia="宋体" w:cs="宋体"/>
                <w:b/>
                <w:bCs/>
                <w:szCs w:val="21"/>
              </w:rPr>
            </w:pPr>
            <w:r>
              <w:rPr>
                <w:rFonts w:hint="eastAsia" w:ascii="宋体" w:hAnsi="宋体" w:eastAsia="宋体" w:cs="宋体"/>
                <w:b/>
                <w:bCs/>
                <w:szCs w:val="21"/>
              </w:rPr>
              <w:t>涉及事项</w:t>
            </w:r>
          </w:p>
        </w:tc>
        <w:tc>
          <w:tcPr>
            <w:tcW w:w="4980" w:type="dxa"/>
            <w:vAlign w:val="center"/>
          </w:tcPr>
          <w:p w14:paraId="318C66E5">
            <w:pPr>
              <w:spacing w:line="300" w:lineRule="exact"/>
              <w:jc w:val="center"/>
              <w:rPr>
                <w:rFonts w:hint="eastAsia" w:ascii="宋体" w:hAnsi="宋体" w:eastAsia="宋体" w:cs="宋体"/>
                <w:b/>
                <w:bCs/>
                <w:szCs w:val="21"/>
              </w:rPr>
            </w:pPr>
            <w:r>
              <w:rPr>
                <w:rFonts w:hint="eastAsia" w:ascii="宋体" w:hAnsi="宋体" w:eastAsia="宋体" w:cs="宋体"/>
                <w:b/>
                <w:bCs/>
                <w:szCs w:val="21"/>
              </w:rPr>
              <w:t>具  体  补  充  内  容</w:t>
            </w:r>
          </w:p>
        </w:tc>
      </w:tr>
      <w:tr w14:paraId="5291ED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3A1A5F30">
            <w:pPr>
              <w:spacing w:line="300" w:lineRule="exact"/>
              <w:jc w:val="center"/>
              <w:rPr>
                <w:rFonts w:hint="eastAsia" w:ascii="宋体" w:hAnsi="宋体" w:eastAsia="宋体" w:cs="宋体"/>
                <w:szCs w:val="21"/>
              </w:rPr>
            </w:pPr>
            <w:r>
              <w:rPr>
                <w:rFonts w:hint="eastAsia" w:ascii="宋体" w:hAnsi="宋体" w:eastAsia="宋体" w:cs="宋体"/>
                <w:szCs w:val="21"/>
              </w:rPr>
              <w:t>3.1</w:t>
            </w:r>
          </w:p>
        </w:tc>
        <w:tc>
          <w:tcPr>
            <w:tcW w:w="2409" w:type="dxa"/>
            <w:vAlign w:val="center"/>
          </w:tcPr>
          <w:p w14:paraId="7EAC814E">
            <w:pPr>
              <w:spacing w:line="300" w:lineRule="exact"/>
              <w:jc w:val="center"/>
              <w:rPr>
                <w:rFonts w:hint="eastAsia" w:ascii="宋体" w:hAnsi="宋体" w:eastAsia="宋体" w:cs="宋体"/>
                <w:szCs w:val="21"/>
              </w:rPr>
            </w:pPr>
            <w:r>
              <w:rPr>
                <w:rFonts w:hint="eastAsia" w:ascii="宋体" w:hAnsi="宋体" w:eastAsia="宋体" w:cs="宋体"/>
                <w:szCs w:val="21"/>
              </w:rPr>
              <w:t>采购人</w:t>
            </w:r>
          </w:p>
        </w:tc>
        <w:tc>
          <w:tcPr>
            <w:tcW w:w="4980" w:type="dxa"/>
            <w:vAlign w:val="center"/>
          </w:tcPr>
          <w:p w14:paraId="2C6BF692">
            <w:pPr>
              <w:spacing w:line="300" w:lineRule="exact"/>
              <w:jc w:val="center"/>
              <w:rPr>
                <w:rFonts w:hint="eastAsia" w:ascii="宋体" w:hAnsi="宋体" w:eastAsia="宋体" w:cs="宋体"/>
                <w:szCs w:val="21"/>
              </w:rPr>
            </w:pPr>
            <w:r>
              <w:rPr>
                <w:rFonts w:hint="eastAsia" w:ascii="宋体" w:hAnsi="宋体" w:cs="宋体"/>
                <w:color w:val="0000FF"/>
                <w:szCs w:val="21"/>
              </w:rPr>
              <w:t>深圳市高级中学</w:t>
            </w:r>
          </w:p>
        </w:tc>
      </w:tr>
      <w:tr w14:paraId="673668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978" w:type="dxa"/>
            <w:vAlign w:val="center"/>
          </w:tcPr>
          <w:p w14:paraId="45AFCBC1">
            <w:pPr>
              <w:spacing w:line="300" w:lineRule="exact"/>
              <w:jc w:val="center"/>
              <w:rPr>
                <w:rFonts w:hint="eastAsia" w:ascii="宋体" w:hAnsi="宋体" w:eastAsia="宋体" w:cs="宋体"/>
                <w:szCs w:val="21"/>
              </w:rPr>
            </w:pPr>
            <w:r>
              <w:rPr>
                <w:rFonts w:hint="eastAsia" w:ascii="宋体" w:hAnsi="宋体" w:eastAsia="宋体" w:cs="宋体"/>
                <w:szCs w:val="21"/>
              </w:rPr>
              <w:t>3.2</w:t>
            </w:r>
          </w:p>
        </w:tc>
        <w:tc>
          <w:tcPr>
            <w:tcW w:w="2409" w:type="dxa"/>
            <w:vAlign w:val="center"/>
          </w:tcPr>
          <w:p w14:paraId="48E968D8">
            <w:pPr>
              <w:spacing w:line="300" w:lineRule="exact"/>
              <w:jc w:val="center"/>
              <w:rPr>
                <w:rFonts w:hint="eastAsia" w:ascii="宋体" w:hAnsi="宋体" w:eastAsia="宋体" w:cs="宋体"/>
                <w:szCs w:val="21"/>
              </w:rPr>
            </w:pPr>
            <w:r>
              <w:rPr>
                <w:rFonts w:hint="eastAsia" w:ascii="宋体" w:hAnsi="宋体" w:eastAsia="宋体" w:cs="宋体"/>
                <w:szCs w:val="21"/>
              </w:rPr>
              <w:t>政府集中采购机构</w:t>
            </w:r>
          </w:p>
        </w:tc>
        <w:tc>
          <w:tcPr>
            <w:tcW w:w="4980" w:type="dxa"/>
            <w:vAlign w:val="center"/>
          </w:tcPr>
          <w:p w14:paraId="4716AAE0">
            <w:pPr>
              <w:spacing w:line="300" w:lineRule="exact"/>
              <w:jc w:val="center"/>
              <w:rPr>
                <w:rFonts w:hint="eastAsia" w:ascii="宋体" w:hAnsi="宋体" w:eastAsia="宋体" w:cs="宋体"/>
                <w:szCs w:val="21"/>
              </w:rPr>
            </w:pPr>
            <w:r>
              <w:rPr>
                <w:rFonts w:hint="eastAsia" w:ascii="宋体" w:hAnsi="宋体" w:eastAsia="宋体" w:cs="宋体"/>
                <w:szCs w:val="21"/>
              </w:rPr>
              <w:t>深圳公共资源交易中心</w:t>
            </w:r>
          </w:p>
          <w:p w14:paraId="458CF01B">
            <w:pPr>
              <w:spacing w:line="300" w:lineRule="exact"/>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color w:val="0000FF"/>
                <w:szCs w:val="21"/>
              </w:rPr>
              <w:t>深圳交易集团有限公司政府采购业务分公司</w:t>
            </w:r>
            <w:r>
              <w:rPr>
                <w:rFonts w:hint="eastAsia" w:ascii="宋体" w:hAnsi="宋体" w:eastAsia="宋体" w:cs="宋体"/>
                <w:szCs w:val="21"/>
              </w:rPr>
              <w:t>）</w:t>
            </w:r>
          </w:p>
        </w:tc>
      </w:tr>
      <w:tr w14:paraId="60E2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74" w:hRule="atLeast"/>
          <w:jc w:val="center"/>
        </w:trPr>
        <w:tc>
          <w:tcPr>
            <w:tcW w:w="978" w:type="dxa"/>
            <w:vAlign w:val="center"/>
          </w:tcPr>
          <w:p w14:paraId="63D3B843">
            <w:pPr>
              <w:spacing w:line="300" w:lineRule="exact"/>
              <w:jc w:val="center"/>
              <w:rPr>
                <w:rFonts w:hint="eastAsia" w:ascii="宋体" w:hAnsi="宋体" w:eastAsia="宋体" w:cs="宋体"/>
                <w:szCs w:val="21"/>
              </w:rPr>
            </w:pPr>
            <w:r>
              <w:rPr>
                <w:rFonts w:hint="eastAsia" w:ascii="宋体" w:hAnsi="宋体" w:eastAsia="宋体" w:cs="宋体"/>
                <w:szCs w:val="21"/>
              </w:rPr>
              <w:t>9</w:t>
            </w:r>
          </w:p>
        </w:tc>
        <w:tc>
          <w:tcPr>
            <w:tcW w:w="2409" w:type="dxa"/>
            <w:vAlign w:val="center"/>
          </w:tcPr>
          <w:p w14:paraId="2C8F31F9">
            <w:pPr>
              <w:spacing w:line="300" w:lineRule="exact"/>
              <w:jc w:val="center"/>
              <w:rPr>
                <w:rFonts w:hint="eastAsia" w:ascii="宋体" w:hAnsi="宋体" w:eastAsia="宋体" w:cs="宋体"/>
                <w:szCs w:val="21"/>
              </w:rPr>
            </w:pPr>
            <w:r>
              <w:rPr>
                <w:rFonts w:hint="eastAsia" w:ascii="宋体" w:hAnsi="宋体" w:eastAsia="宋体" w:cs="宋体"/>
                <w:szCs w:val="21"/>
              </w:rPr>
              <w:t>踏勘现场</w:t>
            </w:r>
          </w:p>
        </w:tc>
        <w:tc>
          <w:tcPr>
            <w:tcW w:w="4980" w:type="dxa"/>
            <w:vAlign w:val="center"/>
          </w:tcPr>
          <w:p w14:paraId="712FF356">
            <w:pPr>
              <w:spacing w:line="300" w:lineRule="exact"/>
              <w:jc w:val="center"/>
              <w:rPr>
                <w:rFonts w:hint="eastAsia" w:ascii="宋体" w:hAnsi="宋体" w:eastAsia="宋体" w:cs="宋体"/>
                <w:szCs w:val="21"/>
              </w:rPr>
            </w:pPr>
            <w:r>
              <w:rPr>
                <w:rFonts w:hint="eastAsia" w:ascii="宋体" w:hAnsi="宋体" w:eastAsia="宋体" w:cs="宋体"/>
                <w:szCs w:val="21"/>
              </w:rPr>
              <w:sym w:font="Wingdings 2" w:char="0052"/>
            </w:r>
            <w:r>
              <w:rPr>
                <w:rFonts w:hint="eastAsia" w:ascii="宋体" w:hAnsi="宋体" w:eastAsia="宋体" w:cs="宋体"/>
                <w:szCs w:val="21"/>
              </w:rPr>
              <w:t xml:space="preserve">不组织  </w:t>
            </w:r>
          </w:p>
        </w:tc>
      </w:tr>
      <w:tr w14:paraId="49F9D1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7717E21D">
            <w:pPr>
              <w:spacing w:line="300" w:lineRule="exact"/>
              <w:jc w:val="center"/>
              <w:rPr>
                <w:rFonts w:hint="eastAsia" w:ascii="宋体" w:hAnsi="宋体" w:eastAsia="宋体" w:cs="宋体"/>
                <w:szCs w:val="21"/>
              </w:rPr>
            </w:pPr>
            <w:r>
              <w:rPr>
                <w:rFonts w:hint="eastAsia" w:ascii="宋体" w:hAnsi="宋体" w:eastAsia="宋体" w:cs="宋体"/>
                <w:szCs w:val="21"/>
              </w:rPr>
              <w:t>10</w:t>
            </w:r>
          </w:p>
        </w:tc>
        <w:tc>
          <w:tcPr>
            <w:tcW w:w="2409" w:type="dxa"/>
            <w:vAlign w:val="center"/>
          </w:tcPr>
          <w:p w14:paraId="291D4E7A">
            <w:pPr>
              <w:spacing w:line="300" w:lineRule="exact"/>
              <w:jc w:val="center"/>
              <w:rPr>
                <w:rFonts w:hint="eastAsia" w:ascii="宋体" w:hAnsi="宋体" w:eastAsia="宋体" w:cs="宋体"/>
                <w:szCs w:val="21"/>
              </w:rPr>
            </w:pPr>
            <w:r>
              <w:rPr>
                <w:rFonts w:hint="eastAsia" w:ascii="宋体" w:hAnsi="宋体" w:eastAsia="宋体" w:cs="宋体"/>
                <w:szCs w:val="21"/>
              </w:rPr>
              <w:t>标前会议</w:t>
            </w:r>
          </w:p>
        </w:tc>
        <w:tc>
          <w:tcPr>
            <w:tcW w:w="4980" w:type="dxa"/>
            <w:vAlign w:val="center"/>
          </w:tcPr>
          <w:p w14:paraId="118B18A9">
            <w:pPr>
              <w:spacing w:line="300" w:lineRule="exact"/>
              <w:jc w:val="center"/>
              <w:rPr>
                <w:rFonts w:hint="eastAsia" w:ascii="宋体" w:hAnsi="宋体" w:eastAsia="宋体" w:cs="宋体"/>
                <w:szCs w:val="21"/>
              </w:rPr>
            </w:pPr>
            <w:r>
              <w:rPr>
                <w:rFonts w:hint="eastAsia" w:ascii="宋体" w:hAnsi="宋体" w:eastAsia="宋体" w:cs="宋体"/>
                <w:szCs w:val="21"/>
              </w:rPr>
              <w:sym w:font="Wingdings 2" w:char="0052"/>
            </w:r>
            <w:r>
              <w:rPr>
                <w:rFonts w:hint="eastAsia" w:ascii="宋体" w:hAnsi="宋体" w:eastAsia="宋体" w:cs="宋体"/>
                <w:szCs w:val="21"/>
              </w:rPr>
              <w:t xml:space="preserve">不组织  </w:t>
            </w:r>
          </w:p>
        </w:tc>
      </w:tr>
      <w:tr w14:paraId="72AB16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1B1824D3">
            <w:pPr>
              <w:spacing w:line="300" w:lineRule="exact"/>
              <w:jc w:val="center"/>
              <w:rPr>
                <w:rFonts w:hint="eastAsia" w:ascii="宋体" w:hAnsi="宋体" w:eastAsia="宋体" w:cs="宋体"/>
                <w:szCs w:val="21"/>
              </w:rPr>
            </w:pPr>
            <w:r>
              <w:rPr>
                <w:rFonts w:hint="eastAsia" w:ascii="宋体" w:hAnsi="宋体" w:eastAsia="宋体" w:cs="宋体"/>
                <w:szCs w:val="21"/>
              </w:rPr>
              <w:t>12/13</w:t>
            </w:r>
          </w:p>
        </w:tc>
        <w:tc>
          <w:tcPr>
            <w:tcW w:w="2409" w:type="dxa"/>
            <w:vAlign w:val="center"/>
          </w:tcPr>
          <w:p w14:paraId="14D8C49F">
            <w:pPr>
              <w:spacing w:line="300" w:lineRule="exact"/>
              <w:jc w:val="center"/>
              <w:rPr>
                <w:rFonts w:hint="eastAsia" w:ascii="宋体" w:hAnsi="宋体" w:eastAsia="宋体" w:cs="宋体"/>
                <w:szCs w:val="21"/>
              </w:rPr>
            </w:pPr>
            <w:r>
              <w:rPr>
                <w:rFonts w:hint="eastAsia" w:ascii="宋体" w:hAnsi="宋体" w:eastAsia="宋体" w:cs="宋体"/>
                <w:szCs w:val="21"/>
              </w:rPr>
              <w:t>招标文件的澄清和修改</w:t>
            </w:r>
          </w:p>
        </w:tc>
        <w:tc>
          <w:tcPr>
            <w:tcW w:w="4980" w:type="dxa"/>
            <w:vAlign w:val="center"/>
          </w:tcPr>
          <w:p w14:paraId="61A4542A">
            <w:pPr>
              <w:spacing w:line="300" w:lineRule="exact"/>
              <w:jc w:val="left"/>
              <w:rPr>
                <w:rFonts w:hint="eastAsia" w:ascii="宋体" w:hAnsi="宋体" w:eastAsia="宋体" w:cs="宋体"/>
                <w:szCs w:val="21"/>
              </w:rPr>
            </w:pPr>
            <w:r>
              <w:rPr>
                <w:rFonts w:hint="eastAsia" w:ascii="宋体" w:hAnsi="宋体" w:eastAsia="宋体"/>
                <w:kern w:val="2"/>
                <w:sz w:val="21"/>
                <w:lang w:eastAsia="zh-CN"/>
              </w:rPr>
              <w:t>投标截止日三日前，投标人有义务在招标期间在深圳交易集团（深圳公共资源交易中心）网站浏览与本项目有关的澄清和修改信息</w:t>
            </w:r>
          </w:p>
        </w:tc>
      </w:tr>
      <w:tr w14:paraId="724776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2E451A00">
            <w:pPr>
              <w:spacing w:line="300" w:lineRule="exact"/>
              <w:jc w:val="center"/>
              <w:rPr>
                <w:rFonts w:hint="eastAsia" w:ascii="宋体" w:hAnsi="宋体" w:eastAsia="宋体" w:cs="宋体"/>
                <w:szCs w:val="21"/>
              </w:rPr>
            </w:pPr>
            <w:r>
              <w:rPr>
                <w:rFonts w:hint="eastAsia" w:ascii="宋体" w:hAnsi="宋体" w:eastAsia="宋体" w:cs="宋体"/>
                <w:szCs w:val="21"/>
              </w:rPr>
              <w:t>20</w:t>
            </w:r>
          </w:p>
        </w:tc>
        <w:tc>
          <w:tcPr>
            <w:tcW w:w="2409" w:type="dxa"/>
            <w:vAlign w:val="center"/>
          </w:tcPr>
          <w:p w14:paraId="5DE511E4">
            <w:pPr>
              <w:spacing w:line="300" w:lineRule="exact"/>
              <w:jc w:val="center"/>
              <w:rPr>
                <w:rFonts w:hint="eastAsia" w:ascii="宋体" w:hAnsi="宋体" w:eastAsia="宋体" w:cs="宋体"/>
                <w:szCs w:val="21"/>
              </w:rPr>
            </w:pPr>
            <w:r>
              <w:rPr>
                <w:rFonts w:hint="eastAsia" w:ascii="宋体" w:hAnsi="宋体" w:eastAsia="宋体" w:cs="宋体"/>
                <w:szCs w:val="21"/>
              </w:rPr>
              <w:t>投标有效期</w:t>
            </w:r>
          </w:p>
        </w:tc>
        <w:tc>
          <w:tcPr>
            <w:tcW w:w="4980" w:type="dxa"/>
            <w:vAlign w:val="center"/>
          </w:tcPr>
          <w:p w14:paraId="77DE8CCB">
            <w:pPr>
              <w:spacing w:line="300" w:lineRule="exact"/>
              <w:jc w:val="center"/>
              <w:rPr>
                <w:rFonts w:hint="eastAsia" w:ascii="宋体" w:hAnsi="宋体" w:eastAsia="宋体" w:cs="宋体"/>
                <w:szCs w:val="21"/>
              </w:rPr>
            </w:pPr>
            <w:r>
              <w:rPr>
                <w:rFonts w:hint="eastAsia" w:ascii="宋体" w:hAnsi="宋体" w:eastAsia="宋体" w:cs="宋体"/>
                <w:szCs w:val="21"/>
              </w:rPr>
              <w:t>120个日历日</w:t>
            </w:r>
          </w:p>
        </w:tc>
      </w:tr>
      <w:tr w14:paraId="4A4F4E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A7856E7">
            <w:pPr>
              <w:spacing w:line="300" w:lineRule="exact"/>
              <w:jc w:val="center"/>
              <w:rPr>
                <w:rFonts w:hint="eastAsia" w:ascii="宋体" w:hAnsi="宋体" w:eastAsia="宋体" w:cs="宋体"/>
                <w:szCs w:val="21"/>
              </w:rPr>
            </w:pPr>
            <w:r>
              <w:rPr>
                <w:rFonts w:hint="eastAsia" w:ascii="宋体" w:hAnsi="宋体" w:eastAsia="宋体" w:cs="宋体"/>
                <w:szCs w:val="21"/>
              </w:rPr>
              <w:t>22</w:t>
            </w:r>
          </w:p>
        </w:tc>
        <w:tc>
          <w:tcPr>
            <w:tcW w:w="2409" w:type="dxa"/>
            <w:vAlign w:val="center"/>
          </w:tcPr>
          <w:p w14:paraId="42570673">
            <w:pPr>
              <w:spacing w:line="300" w:lineRule="exact"/>
              <w:jc w:val="center"/>
              <w:rPr>
                <w:rFonts w:hint="eastAsia" w:ascii="宋体" w:hAnsi="宋体" w:eastAsia="宋体" w:cs="宋体"/>
                <w:szCs w:val="21"/>
              </w:rPr>
            </w:pPr>
            <w:r>
              <w:rPr>
                <w:rFonts w:hint="eastAsia" w:ascii="宋体" w:hAnsi="宋体" w:eastAsia="宋体" w:cs="宋体"/>
                <w:szCs w:val="21"/>
              </w:rPr>
              <w:t>投标人的替代方案</w:t>
            </w:r>
          </w:p>
        </w:tc>
        <w:tc>
          <w:tcPr>
            <w:tcW w:w="4980" w:type="dxa"/>
            <w:vAlign w:val="center"/>
          </w:tcPr>
          <w:p w14:paraId="18D6EA24">
            <w:pPr>
              <w:spacing w:line="300" w:lineRule="exact"/>
              <w:jc w:val="center"/>
              <w:rPr>
                <w:rFonts w:hint="eastAsia" w:ascii="宋体" w:hAnsi="宋体" w:eastAsia="宋体" w:cs="宋体"/>
                <w:szCs w:val="21"/>
              </w:rPr>
            </w:pPr>
            <w:r>
              <w:rPr>
                <w:rFonts w:hint="eastAsia" w:ascii="宋体" w:hAnsi="宋体" w:eastAsia="宋体" w:cs="宋体"/>
                <w:szCs w:val="21"/>
              </w:rPr>
              <w:t>不接受</w:t>
            </w:r>
          </w:p>
        </w:tc>
      </w:tr>
      <w:tr w14:paraId="5637ED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518B142A">
            <w:pPr>
              <w:spacing w:line="300" w:lineRule="exact"/>
              <w:jc w:val="center"/>
              <w:rPr>
                <w:rFonts w:hint="eastAsia" w:ascii="宋体" w:hAnsi="宋体" w:eastAsia="宋体" w:cs="宋体"/>
                <w:szCs w:val="21"/>
              </w:rPr>
            </w:pPr>
            <w:r>
              <w:rPr>
                <w:rFonts w:hint="eastAsia" w:ascii="宋体" w:hAnsi="宋体" w:eastAsia="宋体" w:cs="宋体"/>
                <w:szCs w:val="21"/>
              </w:rPr>
              <w:t>25</w:t>
            </w:r>
          </w:p>
        </w:tc>
        <w:tc>
          <w:tcPr>
            <w:tcW w:w="2409" w:type="dxa"/>
            <w:vAlign w:val="center"/>
          </w:tcPr>
          <w:p w14:paraId="4C1DDCEA">
            <w:pPr>
              <w:spacing w:line="300" w:lineRule="exact"/>
              <w:jc w:val="center"/>
              <w:rPr>
                <w:rFonts w:hint="eastAsia" w:ascii="宋体" w:hAnsi="宋体" w:eastAsia="宋体" w:cs="宋体"/>
                <w:szCs w:val="21"/>
              </w:rPr>
            </w:pPr>
            <w:r>
              <w:rPr>
                <w:rFonts w:hint="eastAsia" w:ascii="宋体" w:hAnsi="宋体" w:eastAsia="宋体" w:cs="宋体"/>
                <w:szCs w:val="21"/>
              </w:rPr>
              <w:t>投标文件的大小</w:t>
            </w:r>
          </w:p>
        </w:tc>
        <w:tc>
          <w:tcPr>
            <w:tcW w:w="4980" w:type="dxa"/>
            <w:vAlign w:val="center"/>
          </w:tcPr>
          <w:p w14:paraId="642B9223">
            <w:pPr>
              <w:spacing w:line="300" w:lineRule="exact"/>
              <w:jc w:val="center"/>
              <w:rPr>
                <w:rFonts w:hint="eastAsia" w:ascii="宋体" w:hAnsi="宋体" w:eastAsia="宋体" w:cs="宋体"/>
                <w:szCs w:val="21"/>
              </w:rPr>
            </w:pPr>
            <w:r>
              <w:rPr>
                <w:rFonts w:hint="eastAsia" w:ascii="宋体" w:hAnsi="宋体" w:eastAsia="宋体" w:cs="宋体"/>
                <w:szCs w:val="21"/>
              </w:rPr>
              <w:t>投标文件大小不得超过100MB</w:t>
            </w:r>
          </w:p>
        </w:tc>
      </w:tr>
      <w:tr w14:paraId="738E54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978" w:type="dxa"/>
            <w:vAlign w:val="center"/>
          </w:tcPr>
          <w:p w14:paraId="308D10DC">
            <w:pPr>
              <w:spacing w:line="300" w:lineRule="exact"/>
              <w:jc w:val="center"/>
              <w:rPr>
                <w:rFonts w:hint="eastAsia" w:ascii="宋体" w:hAnsi="宋体" w:eastAsia="宋体" w:cs="宋体"/>
                <w:szCs w:val="21"/>
              </w:rPr>
            </w:pPr>
            <w:r>
              <w:rPr>
                <w:rFonts w:hint="eastAsia" w:ascii="宋体" w:hAnsi="宋体" w:eastAsia="宋体" w:cs="宋体"/>
                <w:szCs w:val="21"/>
              </w:rPr>
              <w:t>26</w:t>
            </w:r>
          </w:p>
        </w:tc>
        <w:tc>
          <w:tcPr>
            <w:tcW w:w="2409" w:type="dxa"/>
            <w:vAlign w:val="center"/>
          </w:tcPr>
          <w:p w14:paraId="63E06B1F">
            <w:pPr>
              <w:spacing w:line="300" w:lineRule="exact"/>
              <w:jc w:val="center"/>
              <w:rPr>
                <w:rFonts w:hint="eastAsia" w:ascii="宋体" w:hAnsi="宋体" w:eastAsia="宋体" w:cs="宋体"/>
                <w:szCs w:val="21"/>
              </w:rPr>
            </w:pPr>
            <w:bookmarkStart w:id="28" w:name="_Hlk71664860"/>
            <w:r>
              <w:rPr>
                <w:rFonts w:hint="eastAsia" w:ascii="宋体" w:hAnsi="宋体" w:eastAsia="宋体" w:cs="宋体"/>
                <w:szCs w:val="21"/>
              </w:rPr>
              <w:t>样品、演示、方案讲解</w:t>
            </w:r>
            <w:bookmarkEnd w:id="28"/>
          </w:p>
        </w:tc>
        <w:tc>
          <w:tcPr>
            <w:tcW w:w="4980" w:type="dxa"/>
            <w:vAlign w:val="center"/>
          </w:tcPr>
          <w:p w14:paraId="087FFC66">
            <w:pPr>
              <w:spacing w:line="300" w:lineRule="exact"/>
              <w:jc w:val="left"/>
              <w:rPr>
                <w:rFonts w:hint="eastAsia" w:ascii="宋体" w:hAnsi="宋体" w:eastAsia="宋体" w:cs="宋体"/>
                <w:szCs w:val="21"/>
              </w:rPr>
            </w:pPr>
            <w:r>
              <w:rPr>
                <w:rFonts w:hint="eastAsia" w:ascii="宋体" w:hAnsi="宋体" w:eastAsia="宋体" w:cs="宋体"/>
                <w:szCs w:val="21"/>
              </w:rPr>
              <w:t>如有样品、演示、方案讲解，具体安排见第三章 用户需求书相关要求</w:t>
            </w:r>
          </w:p>
        </w:tc>
      </w:tr>
      <w:tr w14:paraId="0D2B3E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0B92D27A">
            <w:pPr>
              <w:spacing w:line="300" w:lineRule="exact"/>
              <w:jc w:val="center"/>
              <w:rPr>
                <w:rFonts w:hint="eastAsia" w:ascii="宋体" w:hAnsi="宋体" w:eastAsia="宋体" w:cs="宋体"/>
                <w:szCs w:val="21"/>
              </w:rPr>
            </w:pPr>
            <w:r>
              <w:rPr>
                <w:rFonts w:hint="eastAsia" w:ascii="宋体" w:hAnsi="宋体" w:eastAsia="宋体" w:cs="宋体"/>
                <w:szCs w:val="21"/>
              </w:rPr>
              <w:t>37</w:t>
            </w:r>
          </w:p>
        </w:tc>
        <w:tc>
          <w:tcPr>
            <w:tcW w:w="2409" w:type="dxa"/>
            <w:vAlign w:val="center"/>
          </w:tcPr>
          <w:p w14:paraId="1C48E77F">
            <w:pPr>
              <w:spacing w:line="300" w:lineRule="exact"/>
              <w:jc w:val="center"/>
              <w:rPr>
                <w:rFonts w:hint="eastAsia" w:ascii="宋体" w:hAnsi="宋体" w:eastAsia="宋体" w:cs="宋体"/>
                <w:szCs w:val="21"/>
              </w:rPr>
            </w:pPr>
            <w:r>
              <w:rPr>
                <w:rFonts w:hint="eastAsia" w:ascii="宋体" w:hAnsi="宋体" w:eastAsia="宋体" w:cs="宋体"/>
                <w:szCs w:val="21"/>
              </w:rPr>
              <w:t>评审方法</w:t>
            </w:r>
          </w:p>
        </w:tc>
        <w:tc>
          <w:tcPr>
            <w:tcW w:w="4980" w:type="dxa"/>
            <w:vAlign w:val="center"/>
          </w:tcPr>
          <w:p w14:paraId="601D1B68">
            <w:pPr>
              <w:spacing w:line="300" w:lineRule="exact"/>
              <w:jc w:val="left"/>
              <w:rPr>
                <w:rFonts w:hint="eastAsia" w:ascii="宋体" w:hAnsi="宋体" w:eastAsia="宋体" w:cs="宋体"/>
                <w:szCs w:val="21"/>
              </w:rPr>
            </w:pPr>
            <w:r>
              <w:rPr>
                <w:rFonts w:hint="eastAsia" w:ascii="宋体" w:hAnsi="宋体" w:eastAsia="宋体" w:cs="宋体"/>
                <w:bCs/>
                <w:szCs w:val="21"/>
              </w:rPr>
              <w:t>综合评分法</w:t>
            </w:r>
          </w:p>
        </w:tc>
      </w:tr>
      <w:tr w14:paraId="192A52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52CE2D76">
            <w:pPr>
              <w:spacing w:line="300" w:lineRule="exact"/>
              <w:jc w:val="center"/>
              <w:rPr>
                <w:rFonts w:hint="eastAsia" w:ascii="宋体" w:hAnsi="宋体" w:eastAsia="宋体" w:cs="宋体"/>
                <w:szCs w:val="21"/>
              </w:rPr>
            </w:pPr>
            <w:r>
              <w:rPr>
                <w:rFonts w:hint="eastAsia" w:ascii="宋体" w:hAnsi="宋体" w:eastAsia="宋体" w:cs="宋体"/>
                <w:szCs w:val="21"/>
              </w:rPr>
              <w:t>38</w:t>
            </w:r>
          </w:p>
        </w:tc>
        <w:tc>
          <w:tcPr>
            <w:tcW w:w="2409" w:type="dxa"/>
            <w:vAlign w:val="center"/>
          </w:tcPr>
          <w:p w14:paraId="31C16066">
            <w:pPr>
              <w:spacing w:line="300" w:lineRule="exact"/>
              <w:jc w:val="center"/>
              <w:rPr>
                <w:rFonts w:hint="eastAsia" w:ascii="宋体" w:hAnsi="宋体" w:eastAsia="宋体" w:cs="宋体"/>
                <w:szCs w:val="21"/>
              </w:rPr>
            </w:pPr>
            <w:r>
              <w:rPr>
                <w:rFonts w:hint="eastAsia" w:ascii="宋体" w:hAnsi="宋体" w:eastAsia="宋体" w:cs="宋体"/>
                <w:szCs w:val="21"/>
              </w:rPr>
              <w:t>定标方法</w:t>
            </w:r>
          </w:p>
        </w:tc>
        <w:tc>
          <w:tcPr>
            <w:tcW w:w="4980" w:type="dxa"/>
            <w:vAlign w:val="center"/>
          </w:tcPr>
          <w:p w14:paraId="2DE8D030">
            <w:pPr>
              <w:spacing w:line="300" w:lineRule="exact"/>
              <w:jc w:val="left"/>
              <w:rPr>
                <w:rFonts w:hint="eastAsia" w:ascii="宋体" w:hAnsi="宋体" w:eastAsia="宋体" w:cs="宋体"/>
                <w:bCs/>
                <w:szCs w:val="21"/>
              </w:rPr>
            </w:pPr>
            <w:r>
              <w:rPr>
                <w:rFonts w:hint="eastAsia" w:ascii="宋体" w:hAnsi="宋体" w:eastAsia="宋体" w:cs="宋体"/>
                <w:bCs/>
                <w:szCs w:val="21"/>
              </w:rPr>
              <w:sym w:font="Wingdings 2" w:char="0052"/>
            </w:r>
            <w:r>
              <w:rPr>
                <w:rFonts w:hint="eastAsia" w:ascii="宋体" w:hAnsi="宋体" w:eastAsia="宋体" w:cs="宋体"/>
                <w:bCs/>
                <w:szCs w:val="21"/>
              </w:rPr>
              <w:t xml:space="preserve"> 非评定分离</w:t>
            </w:r>
          </w:p>
        </w:tc>
      </w:tr>
      <w:tr w14:paraId="7FFCDF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BFFA08D">
            <w:pPr>
              <w:spacing w:line="30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42</w:t>
            </w:r>
          </w:p>
        </w:tc>
        <w:tc>
          <w:tcPr>
            <w:tcW w:w="2409" w:type="dxa"/>
            <w:vAlign w:val="center"/>
          </w:tcPr>
          <w:p w14:paraId="31D062E5">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szCs w:val="21"/>
              </w:rPr>
            </w:pPr>
            <w:r>
              <w:rPr>
                <w:rFonts w:hint="eastAsia" w:ascii="宋体" w:hAnsi="宋体" w:eastAsia="宋体"/>
                <w:kern w:val="2"/>
                <w:sz w:val="21"/>
                <w:lang w:eastAsia="zh-CN"/>
              </w:rPr>
              <w:t>公开招标失败的处理</w:t>
            </w:r>
          </w:p>
        </w:tc>
        <w:tc>
          <w:tcPr>
            <w:tcW w:w="4980" w:type="dxa"/>
            <w:vAlign w:val="center"/>
          </w:tcPr>
          <w:p w14:paraId="4CD81DD4">
            <w:pPr>
              <w:keepNext w:val="0"/>
              <w:keepLines w:val="0"/>
              <w:widowControl w:val="0"/>
              <w:suppressLineNumbers w:val="0"/>
              <w:spacing w:before="0" w:beforeAutospacing="0" w:after="0" w:afterAutospacing="0"/>
              <w:ind w:left="0" w:leftChars="0" w:right="0" w:rightChars="0"/>
              <w:jc w:val="left"/>
              <w:rPr>
                <w:rFonts w:hint="eastAsia" w:ascii="宋体" w:hAnsi="宋体" w:eastAsia="宋体" w:cs="宋体"/>
                <w:bCs/>
                <w:szCs w:val="21"/>
              </w:rPr>
            </w:pPr>
            <w:r>
              <w:rPr>
                <w:rFonts w:hint="eastAsia" w:ascii="宋体" w:hAnsi="宋体" w:eastAsia="宋体"/>
                <w:kern w:val="2"/>
                <w:sz w:val="21"/>
                <w:lang w:eastAsia="zh-CN"/>
              </w:rPr>
              <w:t>公开招标有效供应商不足三家的，项目公开招标失败，重新采购。</w:t>
            </w:r>
          </w:p>
        </w:tc>
      </w:tr>
      <w:tr w14:paraId="0675E6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980" w:hRule="atLeast"/>
          <w:jc w:val="center"/>
        </w:trPr>
        <w:tc>
          <w:tcPr>
            <w:tcW w:w="978" w:type="dxa"/>
            <w:vAlign w:val="center"/>
          </w:tcPr>
          <w:p w14:paraId="393AB10C">
            <w:pPr>
              <w:spacing w:line="30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46</w:t>
            </w:r>
          </w:p>
        </w:tc>
        <w:tc>
          <w:tcPr>
            <w:tcW w:w="2409" w:type="dxa"/>
            <w:vAlign w:val="center"/>
          </w:tcPr>
          <w:p w14:paraId="6893188F">
            <w:pPr>
              <w:spacing w:line="300" w:lineRule="exact"/>
              <w:jc w:val="center"/>
              <w:rPr>
                <w:rFonts w:hint="eastAsia" w:ascii="宋体" w:hAnsi="宋体" w:eastAsia="宋体" w:cs="宋体"/>
                <w:szCs w:val="21"/>
              </w:rPr>
            </w:pPr>
            <w:r>
              <w:rPr>
                <w:rFonts w:hint="eastAsia" w:ascii="宋体" w:hAnsi="宋体" w:eastAsia="宋体"/>
                <w:kern w:val="2"/>
                <w:sz w:val="21"/>
                <w:lang w:eastAsia="zh-CN"/>
              </w:rPr>
              <w:t>履约担保</w:t>
            </w:r>
          </w:p>
        </w:tc>
        <w:tc>
          <w:tcPr>
            <w:tcW w:w="4980" w:type="dxa"/>
            <w:tcBorders>
              <w:top w:val="single" w:color="auto" w:sz="4" w:space="0"/>
            </w:tcBorders>
            <w:vAlign w:val="center"/>
          </w:tcPr>
          <w:p w14:paraId="56E584BC">
            <w:pPr>
              <w:spacing w:line="300" w:lineRule="exact"/>
              <w:jc w:val="left"/>
              <w:rPr>
                <w:rFonts w:hint="eastAsia" w:ascii="宋体" w:hAnsi="宋体" w:eastAsia="宋体" w:cs="宋体"/>
                <w:bCs/>
                <w:szCs w:val="21"/>
              </w:rPr>
            </w:pPr>
            <w:r>
              <w:rPr>
                <w:rFonts w:hint="eastAsia" w:ascii="宋体" w:hAnsi="宋体" w:eastAsia="宋体" w:cs="宋体"/>
                <w:bCs/>
                <w:szCs w:val="21"/>
              </w:rPr>
              <w:t>☑</w:t>
            </w:r>
            <w:r>
              <w:rPr>
                <w:rFonts w:hint="eastAsia" w:ascii="宋体" w:hAnsi="宋体" w:eastAsia="宋体" w:cs="宋体"/>
                <w:szCs w:val="21"/>
              </w:rPr>
              <w:t xml:space="preserve"> </w:t>
            </w:r>
            <w:r>
              <w:rPr>
                <w:rFonts w:hint="eastAsia" w:ascii="宋体" w:hAnsi="宋体" w:eastAsia="宋体" w:cs="宋体"/>
                <w:color w:val="000000"/>
                <w:szCs w:val="21"/>
              </w:rPr>
              <w:t>需要，合同金额的</w:t>
            </w:r>
            <w:r>
              <w:rPr>
                <w:rFonts w:hint="eastAsia" w:ascii="宋体" w:hAnsi="宋体" w:eastAsia="宋体" w:cs="宋体"/>
                <w:color w:val="000000"/>
                <w:szCs w:val="21"/>
                <w:u w:val="single"/>
              </w:rPr>
              <w:t xml:space="preserve">  5%（</w:t>
            </w:r>
            <w:r>
              <w:rPr>
                <w:rFonts w:hint="eastAsia" w:ascii="宋体" w:hAnsi="宋体" w:eastAsia="宋体" w:cs="宋体"/>
                <w:color w:val="000000"/>
                <w:szCs w:val="24"/>
                <w:u w:val="single"/>
              </w:rPr>
              <w:t>≤5%</w:t>
            </w:r>
            <w:r>
              <w:rPr>
                <w:rFonts w:hint="eastAsia" w:ascii="宋体" w:hAnsi="宋体" w:eastAsia="宋体" w:cs="宋体"/>
                <w:color w:val="000000"/>
                <w:szCs w:val="21"/>
                <w:u w:val="single"/>
              </w:rPr>
              <w:t>）</w:t>
            </w:r>
            <w:r>
              <w:rPr>
                <w:rFonts w:hint="eastAsia" w:ascii="宋体" w:hAnsi="宋体" w:eastAsia="宋体" w:cs="宋体"/>
                <w:color w:val="000000"/>
                <w:szCs w:val="21"/>
              </w:rPr>
              <w:t>，投标供应商自主选择以支票、汇票、本票、保函等非现金形式缴纳或提交。履约保证金在中标人履行完成合同约定权利义务事项在合同期满之日起</w:t>
            </w:r>
            <w:r>
              <w:rPr>
                <w:rFonts w:hint="eastAsia" w:ascii="宋体" w:hAnsi="宋体" w:eastAsia="宋体" w:cs="宋体"/>
                <w:color w:val="000000"/>
                <w:szCs w:val="21"/>
                <w:u w:val="single"/>
              </w:rPr>
              <w:t xml:space="preserve"> 60 日</w:t>
            </w:r>
            <w:r>
              <w:rPr>
                <w:rFonts w:hint="eastAsia" w:ascii="宋体" w:hAnsi="宋体" w:eastAsia="宋体" w:cs="宋体"/>
                <w:color w:val="000000"/>
                <w:szCs w:val="21"/>
              </w:rPr>
              <w:t>内按原方式退还，不计利息。采购人逾期退还履约保证金的，向中标人每日偿付履约保证金的</w:t>
            </w:r>
            <w:r>
              <w:rPr>
                <w:rFonts w:hint="eastAsia" w:ascii="宋体" w:hAnsi="宋体" w:eastAsia="宋体" w:cs="宋体"/>
                <w:color w:val="000000"/>
                <w:szCs w:val="21"/>
                <w:u w:val="single"/>
              </w:rPr>
              <w:t>0.5‰</w:t>
            </w:r>
            <w:r>
              <w:rPr>
                <w:rFonts w:hint="eastAsia" w:ascii="宋体" w:hAnsi="宋体" w:eastAsia="宋体" w:cs="宋体"/>
                <w:color w:val="000000"/>
                <w:szCs w:val="21"/>
              </w:rPr>
              <w:t>的利息。因中标人原因而未能达到本项目验收标准或验收不通过的，履约保证金不予退还。</w:t>
            </w:r>
          </w:p>
        </w:tc>
      </w:tr>
      <w:tr w14:paraId="55E895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 w:type="dxa"/>
            <w:vAlign w:val="center"/>
          </w:tcPr>
          <w:p w14:paraId="4CFDC5B1">
            <w:pPr>
              <w:jc w:val="center"/>
              <w:rPr>
                <w:rFonts w:hint="eastAsia" w:ascii="宋体" w:hAnsi="宋体" w:eastAsia="宋体" w:cs="宋体"/>
                <w:szCs w:val="21"/>
              </w:rPr>
            </w:pPr>
            <w:r>
              <w:rPr>
                <w:rFonts w:hint="eastAsia" w:ascii="宋体" w:hAnsi="宋体" w:eastAsia="宋体" w:cs="宋体"/>
                <w:szCs w:val="24"/>
              </w:rPr>
              <w:t>52.8</w:t>
            </w:r>
          </w:p>
        </w:tc>
        <w:tc>
          <w:tcPr>
            <w:tcW w:w="2409" w:type="dxa"/>
            <w:vAlign w:val="center"/>
          </w:tcPr>
          <w:p w14:paraId="1CB221CF">
            <w:pPr>
              <w:jc w:val="center"/>
              <w:rPr>
                <w:rFonts w:hint="eastAsia" w:ascii="宋体" w:hAnsi="宋体" w:eastAsia="宋体" w:cs="宋体"/>
                <w:szCs w:val="21"/>
              </w:rPr>
            </w:pPr>
            <w:r>
              <w:rPr>
                <w:rFonts w:hint="eastAsia" w:ascii="宋体" w:hAnsi="宋体" w:eastAsia="宋体" w:cs="宋体"/>
                <w:szCs w:val="24"/>
              </w:rPr>
              <w:t>投诉（仅适用自行采购项目）</w:t>
            </w:r>
          </w:p>
        </w:tc>
        <w:tc>
          <w:tcPr>
            <w:tcW w:w="4980" w:type="dxa"/>
            <w:vAlign w:val="center"/>
          </w:tcPr>
          <w:p w14:paraId="13F8B319">
            <w:pPr>
              <w:jc w:val="left"/>
              <w:rPr>
                <w:rFonts w:hint="eastAsia" w:ascii="宋体" w:hAnsi="宋体" w:eastAsia="宋体" w:cs="宋体"/>
                <w:bCs/>
                <w:szCs w:val="21"/>
              </w:rPr>
            </w:pPr>
            <w:r>
              <w:rPr>
                <w:rFonts w:hint="eastAsia" w:ascii="宋体" w:hAnsi="宋体" w:eastAsia="宋体"/>
                <w:kern w:val="2"/>
                <w:sz w:val="21"/>
                <w:lang w:eastAsia="zh-CN"/>
              </w:rPr>
              <w:t>对被质疑人的答复不满意或者被质疑人未在规定时间内答复的，提出质疑的供应商可以在答复期满后十五个工作日内向本项目采购人投诉。供应商投诉的事项应当是经过质疑的事项。</w:t>
            </w:r>
          </w:p>
        </w:tc>
      </w:tr>
    </w:tbl>
    <w:p w14:paraId="187C7315">
      <w:pPr>
        <w:spacing w:line="300" w:lineRule="exact"/>
        <w:rPr>
          <w:rFonts w:hint="eastAsia" w:ascii="宋体" w:hAnsi="宋体" w:eastAsia="宋体" w:cs="宋体"/>
          <w:b/>
          <w:szCs w:val="24"/>
        </w:rPr>
      </w:pPr>
      <w:r>
        <w:rPr>
          <w:rFonts w:hint="eastAsia" w:ascii="宋体" w:hAnsi="宋体" w:eastAsia="宋体" w:cs="宋体"/>
          <w:szCs w:val="21"/>
        </w:rPr>
        <w:t>备注：本表是通用条款相关条款的补充和明确，如与通用条款内容相冲突的，以本表为准。</w:t>
      </w:r>
    </w:p>
    <w:p w14:paraId="533EA06E">
      <w:pPr>
        <w:rPr>
          <w:rFonts w:ascii="Times New Roman" w:hAnsi="Times New Roman" w:eastAsia="宋体" w:cs="Times New Roman"/>
          <w:b/>
          <w:szCs w:val="24"/>
        </w:rPr>
      </w:pPr>
    </w:p>
    <w:p w14:paraId="5263A3C2">
      <w:pPr>
        <w:rPr>
          <w:rFonts w:ascii="Times New Roman" w:hAnsi="Times New Roman" w:eastAsia="宋体" w:cs="Times New Roman"/>
          <w:szCs w:val="24"/>
        </w:rPr>
      </w:pPr>
      <w:r>
        <w:rPr>
          <w:rFonts w:hint="eastAsia" w:ascii="Times New Roman" w:hAnsi="Times New Roman" w:eastAsia="宋体" w:cs="Times New Roman"/>
          <w:szCs w:val="24"/>
        </w:rPr>
        <w:br w:type="page"/>
      </w:r>
    </w:p>
    <w:p w14:paraId="314E1676">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二、其他关键信息</w:t>
      </w:r>
    </w:p>
    <w:p w14:paraId="2650789B">
      <w:pPr>
        <w:adjustRightInd w:val="0"/>
        <w:spacing w:line="276" w:lineRule="auto"/>
        <w:ind w:firstLine="422" w:firstLineChars="200"/>
        <w:rPr>
          <w:b/>
          <w:bCs/>
        </w:rPr>
      </w:pPr>
      <w:r>
        <w:rPr>
          <w:rFonts w:hint="eastAsia" w:ascii="Times New Roman" w:hAnsi="Times New Roman" w:eastAsia="宋体" w:cs="Times New Roman"/>
          <w:b/>
          <w:bCs/>
          <w:szCs w:val="24"/>
        </w:rPr>
        <w:t>（一）</w:t>
      </w:r>
      <w:r>
        <w:rPr>
          <w:rFonts w:hint="eastAsia"/>
          <w:b/>
          <w:bCs/>
        </w:rPr>
        <w:t>与“对通用条款的补充内容”章节相关的事项</w:t>
      </w:r>
    </w:p>
    <w:p w14:paraId="7486226E">
      <w:pPr>
        <w:adjustRightInd w:val="0"/>
        <w:spacing w:line="276" w:lineRule="auto"/>
        <w:ind w:firstLine="422" w:firstLineChars="200"/>
        <w:rPr>
          <w:rFonts w:ascii="Times New Roman" w:hAnsi="Times New Roman" w:eastAsia="宋体" w:cs="Times New Roman"/>
          <w:b/>
          <w:bCs/>
          <w:szCs w:val="24"/>
        </w:rPr>
      </w:pPr>
      <w:r>
        <w:rPr>
          <w:rFonts w:hint="eastAsia" w:eastAsia="宋体"/>
          <w:b/>
          <w:bCs/>
        </w:rPr>
        <w:t>1、</w:t>
      </w:r>
      <w:r>
        <w:rPr>
          <w:rFonts w:hint="eastAsia" w:ascii="Times New Roman" w:hAnsi="Times New Roman" w:eastAsia="宋体" w:cs="Times New Roman"/>
          <w:b/>
          <w:bCs/>
          <w:szCs w:val="24"/>
        </w:rPr>
        <w:t>评标定标信息</w:t>
      </w:r>
    </w:p>
    <w:p w14:paraId="74C43B27">
      <w:pPr>
        <w:adjustRightInd w:val="0"/>
        <w:spacing w:line="276" w:lineRule="auto"/>
        <w:jc w:val="center"/>
        <w:rPr>
          <w:rFonts w:ascii="Times New Roman" w:hAnsi="Times New Roman" w:eastAsia="宋体" w:cs="Times New Roman"/>
          <w:szCs w:val="24"/>
        </w:rPr>
      </w:pPr>
      <w:bookmarkStart w:id="29" w:name="_Hlk72579465"/>
      <w:r>
        <w:rPr>
          <w:rFonts w:hint="eastAsia" w:ascii="Times New Roman" w:hAnsi="Times New Roman" w:eastAsia="宋体" w:cs="Times New Roman"/>
          <w:b/>
          <w:szCs w:val="24"/>
        </w:rPr>
        <w:t>非评定分离项目</w:t>
      </w:r>
    </w:p>
    <w:tbl>
      <w:tblPr>
        <w:tblStyle w:val="4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528"/>
      </w:tblGrid>
      <w:tr w14:paraId="4DB5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3369" w:type="dxa"/>
            <w:vAlign w:val="center"/>
          </w:tcPr>
          <w:p w14:paraId="68F81BC0">
            <w:pPr>
              <w:adjustRightInd w:val="0"/>
              <w:jc w:val="center"/>
              <w:rPr>
                <w:rFonts w:hint="eastAsia" w:ascii="宋体" w:hAnsi="宋体" w:eastAsia="宋体" w:cs="宋体"/>
                <w:kern w:val="0"/>
                <w:szCs w:val="21"/>
              </w:rPr>
            </w:pPr>
            <w:r>
              <w:rPr>
                <w:rFonts w:hint="eastAsia" w:ascii="宋体" w:hAnsi="宋体" w:eastAsia="宋体" w:cs="宋体"/>
                <w:kern w:val="0"/>
                <w:szCs w:val="21"/>
              </w:rPr>
              <w:t>评标方法</w:t>
            </w:r>
          </w:p>
        </w:tc>
        <w:tc>
          <w:tcPr>
            <w:tcW w:w="5528" w:type="dxa"/>
            <w:vAlign w:val="center"/>
          </w:tcPr>
          <w:p w14:paraId="485400A9">
            <w:pPr>
              <w:adjustRightInd w:val="0"/>
              <w:jc w:val="center"/>
              <w:rPr>
                <w:rFonts w:hint="eastAsia" w:ascii="宋体" w:hAnsi="宋体" w:eastAsia="宋体" w:cs="宋体"/>
                <w:kern w:val="0"/>
                <w:szCs w:val="21"/>
                <w:highlight w:val="yellow"/>
              </w:rPr>
            </w:pPr>
            <w:r>
              <w:rPr>
                <w:rFonts w:hint="eastAsia" w:ascii="宋体" w:hAnsi="宋体" w:eastAsia="宋体" w:cs="宋体"/>
                <w:kern w:val="0"/>
                <w:szCs w:val="21"/>
                <w:highlight w:val="yellow"/>
              </w:rPr>
              <w:t>综合评分法</w:t>
            </w:r>
          </w:p>
        </w:tc>
      </w:tr>
      <w:tr w14:paraId="111F4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3369" w:type="dxa"/>
            <w:vAlign w:val="center"/>
          </w:tcPr>
          <w:p w14:paraId="5930A6C5">
            <w:pPr>
              <w:adjustRightInd w:val="0"/>
              <w:jc w:val="center"/>
              <w:rPr>
                <w:rFonts w:hint="eastAsia" w:ascii="宋体" w:hAnsi="宋体" w:eastAsia="宋体" w:cs="宋体"/>
                <w:kern w:val="0"/>
                <w:szCs w:val="21"/>
              </w:rPr>
            </w:pPr>
            <w:r>
              <w:rPr>
                <w:rFonts w:hint="eastAsia" w:ascii="宋体" w:hAnsi="宋体" w:eastAsia="宋体" w:cs="宋体"/>
                <w:kern w:val="0"/>
                <w:szCs w:val="21"/>
              </w:rPr>
              <w:t>候选中标供应商</w:t>
            </w:r>
            <w:r>
              <w:rPr>
                <w:rFonts w:hint="eastAsia" w:ascii="宋体" w:hAnsi="宋体" w:eastAsia="宋体" w:cs="宋体"/>
                <w:kern w:val="0"/>
                <w:sz w:val="20"/>
                <w:szCs w:val="24"/>
              </w:rPr>
              <w:t>家数</w:t>
            </w:r>
          </w:p>
        </w:tc>
        <w:tc>
          <w:tcPr>
            <w:tcW w:w="5528" w:type="dxa"/>
          </w:tcPr>
          <w:p w14:paraId="4F8F02D0">
            <w:pPr>
              <w:jc w:val="center"/>
              <w:rPr>
                <w:rFonts w:hint="eastAsia" w:ascii="宋体" w:hAnsi="宋体" w:eastAsia="宋体" w:cs="宋体"/>
                <w:kern w:val="0"/>
                <w:szCs w:val="21"/>
                <w:highlight w:val="yellow"/>
              </w:rPr>
            </w:pPr>
            <w:r>
              <w:rPr>
                <w:rFonts w:hint="eastAsia" w:ascii="Times New Roman" w:hAnsi="Times New Roman" w:eastAsia="宋体" w:cs="Times New Roman"/>
                <w:highlight w:val="yellow"/>
              </w:rPr>
              <w:t>3</w:t>
            </w:r>
            <w:r>
              <w:rPr>
                <w:rFonts w:ascii="宋体" w:hAnsi="宋体" w:eastAsia="宋体" w:cs="宋体"/>
                <w:kern w:val="0"/>
                <w:szCs w:val="21"/>
                <w:highlight w:val="yellow"/>
              </w:rPr>
              <w:t xml:space="preserve"> </w:t>
            </w:r>
          </w:p>
        </w:tc>
      </w:tr>
      <w:tr w14:paraId="4271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3369" w:type="dxa"/>
            <w:vAlign w:val="center"/>
          </w:tcPr>
          <w:p w14:paraId="5678A1D6">
            <w:pPr>
              <w:adjustRightInd w:val="0"/>
              <w:jc w:val="center"/>
              <w:rPr>
                <w:rFonts w:hint="eastAsia" w:ascii="宋体" w:hAnsi="宋体" w:eastAsia="宋体" w:cs="宋体"/>
                <w:kern w:val="0"/>
                <w:szCs w:val="21"/>
              </w:rPr>
            </w:pPr>
            <w:r>
              <w:rPr>
                <w:rFonts w:hint="eastAsia" w:ascii="宋体" w:hAnsi="宋体" w:eastAsia="宋体" w:cs="宋体"/>
                <w:kern w:val="0"/>
                <w:szCs w:val="21"/>
              </w:rPr>
              <w:t>中标供应商</w:t>
            </w:r>
            <w:r>
              <w:rPr>
                <w:rFonts w:hint="eastAsia" w:ascii="宋体" w:hAnsi="宋体" w:eastAsia="宋体" w:cs="宋体"/>
                <w:kern w:val="0"/>
                <w:sz w:val="20"/>
                <w:szCs w:val="24"/>
              </w:rPr>
              <w:t>家数</w:t>
            </w:r>
          </w:p>
        </w:tc>
        <w:tc>
          <w:tcPr>
            <w:tcW w:w="5528" w:type="dxa"/>
            <w:vAlign w:val="center"/>
          </w:tcPr>
          <w:p w14:paraId="1C5C53C7">
            <w:pPr>
              <w:adjustRightInd w:val="0"/>
              <w:jc w:val="center"/>
              <w:rPr>
                <w:rFonts w:hint="eastAsia" w:ascii="宋体" w:hAnsi="宋体" w:eastAsia="宋体" w:cs="宋体"/>
                <w:kern w:val="0"/>
                <w:szCs w:val="21"/>
                <w:highlight w:val="yellow"/>
              </w:rPr>
            </w:pPr>
            <w:r>
              <w:rPr>
                <w:rFonts w:hint="eastAsia" w:ascii="宋体" w:hAnsi="宋体" w:eastAsia="宋体" w:cs="宋体"/>
                <w:kern w:val="0"/>
                <w:szCs w:val="21"/>
                <w:highlight w:val="yellow"/>
              </w:rPr>
              <w:t>1</w:t>
            </w:r>
          </w:p>
        </w:tc>
      </w:tr>
    </w:tbl>
    <w:p w14:paraId="0C562EA7">
      <w:pPr>
        <w:adjustRightInd w:val="0"/>
        <w:spacing w:line="276" w:lineRule="auto"/>
        <w:jc w:val="center"/>
        <w:rPr>
          <w:rFonts w:ascii="Times New Roman" w:hAnsi="Times New Roman" w:eastAsia="宋体" w:cs="Times New Roman"/>
          <w:b/>
          <w:szCs w:val="24"/>
        </w:rPr>
      </w:pPr>
    </w:p>
    <w:bookmarkEnd w:id="29"/>
    <w:p w14:paraId="0D5A8101">
      <w:pPr>
        <w:ind w:firstLine="422" w:firstLineChars="200"/>
        <w:rPr>
          <w:rFonts w:hint="eastAsia"/>
          <w:b/>
          <w:highlight w:val="none"/>
        </w:rPr>
      </w:pPr>
      <w:bookmarkStart w:id="30" w:name="_Toc128884461"/>
      <w:r>
        <w:rPr>
          <w:rFonts w:hint="eastAsia"/>
          <w:b/>
          <w:highlight w:val="none"/>
        </w:rPr>
        <w:t>（二）其他事项</w:t>
      </w:r>
    </w:p>
    <w:p w14:paraId="2D691CC2">
      <w:pPr>
        <w:ind w:firstLine="422" w:firstLineChars="200"/>
        <w:rPr>
          <w:highlight w:val="none"/>
        </w:rPr>
      </w:pPr>
      <w:r>
        <w:rPr>
          <w:b/>
          <w:bCs/>
          <w:highlight w:val="none"/>
        </w:rPr>
        <w:t>1</w:t>
      </w:r>
      <w:r>
        <w:rPr>
          <w:rFonts w:hint="eastAsia"/>
          <w:b/>
          <w:bCs/>
          <w:highlight w:val="none"/>
        </w:rPr>
        <w:t>、关于享受优惠政策的主体及价格扣除比例</w:t>
      </w:r>
    </w:p>
    <w:p w14:paraId="2109300A">
      <w:pPr>
        <w:ind w:firstLine="420" w:firstLineChars="200"/>
        <w:rPr>
          <w:rFonts w:hint="default" w:eastAsia="宋体"/>
          <w:highlight w:val="none"/>
          <w:lang w:val="en-US" w:eastAsia="zh-CN"/>
        </w:rPr>
      </w:pPr>
      <w:r>
        <w:rPr>
          <w:rFonts w:hint="eastAsia"/>
          <w:highlight w:val="none"/>
        </w:rPr>
        <w:t>（1）</w:t>
      </w:r>
      <w:r>
        <w:rPr>
          <w:rFonts w:hint="eastAsia" w:ascii="Times New Roman" w:eastAsia="宋体"/>
          <w:highlight w:val="none"/>
          <w:lang w:val="en-US" w:eastAsia="zh-CN"/>
        </w:rPr>
        <w:t>专门面向中小企业采购的项目，不再执行价格扣除比例。</w:t>
      </w:r>
    </w:p>
    <w:p w14:paraId="2A43D381">
      <w:pPr>
        <w:ind w:firstLine="420" w:firstLineChars="200"/>
        <w:rPr>
          <w:highlight w:val="none"/>
        </w:rPr>
      </w:pPr>
      <w:r>
        <w:rPr>
          <w:rFonts w:hint="eastAsia"/>
          <w:highlight w:val="none"/>
        </w:rPr>
        <w:t>（</w:t>
      </w:r>
      <w:r>
        <w:rPr>
          <w:rFonts w:hint="eastAsia"/>
          <w:highlight w:val="none"/>
          <w:lang w:val="en-US" w:eastAsia="zh-CN"/>
        </w:rPr>
        <w:t>2</w:t>
      </w:r>
      <w:r>
        <w:rPr>
          <w:rFonts w:hint="eastAsia"/>
          <w:highlight w:val="none"/>
        </w:rPr>
        <w:t>）</w:t>
      </w:r>
      <w:r>
        <w:rPr>
          <w:rFonts w:hint="eastAsia" w:ascii="Times New Roman" w:eastAsia="宋体"/>
          <w:highlight w:val="none"/>
          <w:lang w:val="en-US" w:eastAsia="zh-CN"/>
        </w:rPr>
        <w:t>非专门面向中小企业采购的项目，应执行价格扣除比例：</w:t>
      </w:r>
      <w:r>
        <w:rPr>
          <w:rFonts w:hint="eastAsia"/>
          <w:highlight w:val="none"/>
          <w:lang w:val="en-US" w:eastAsia="zh-CN"/>
        </w:rPr>
        <w:t>供应商</w:t>
      </w:r>
      <w:r>
        <w:rPr>
          <w:rFonts w:hint="eastAsia"/>
          <w:highlight w:val="none"/>
        </w:rPr>
        <w:t>提供的服务全部由优惠主体承接，则对其投标总价给予</w:t>
      </w:r>
      <w:r>
        <w:rPr>
          <w:rFonts w:hint="eastAsia"/>
          <w:color w:val="FF0000"/>
          <w:highlight w:val="none"/>
          <w:u w:val="single"/>
          <w:lang w:val="en-US" w:eastAsia="zh-CN"/>
        </w:rPr>
        <w:t>10</w:t>
      </w:r>
      <w:r>
        <w:rPr>
          <w:color w:val="FF0000"/>
          <w:highlight w:val="none"/>
          <w:u w:val="single"/>
        </w:rPr>
        <w:t xml:space="preserve"> %</w:t>
      </w:r>
      <w:r>
        <w:rPr>
          <w:rFonts w:hint="eastAsia" w:eastAsia="宋体"/>
          <w:color w:val="000000" w:themeColor="text1"/>
          <w:highlight w:val="none"/>
          <w:u w:val="none"/>
          <w:lang w:eastAsia="zh-CN"/>
          <w14:textFill>
            <w14:solidFill>
              <w14:schemeClr w14:val="tx1"/>
            </w14:solidFill>
          </w14:textFill>
        </w:rPr>
        <w:t>（</w:t>
      </w:r>
      <w:r>
        <w:rPr>
          <w:rFonts w:hint="eastAsia" w:ascii="Times New Roman" w:eastAsia="宋体"/>
          <w:color w:val="000000" w:themeColor="text1"/>
          <w:highlight w:val="none"/>
          <w:u w:val="none"/>
          <w:lang w:val="en-US" w:eastAsia="zh-CN"/>
          <w14:textFill>
            <w14:solidFill>
              <w14:schemeClr w14:val="tx1"/>
            </w14:solidFill>
          </w14:textFill>
        </w:rPr>
        <w:t>10%~20%</w:t>
      </w:r>
      <w:r>
        <w:rPr>
          <w:rFonts w:hint="eastAsia" w:eastAsia="宋体"/>
          <w:color w:val="000000" w:themeColor="text1"/>
          <w:highlight w:val="none"/>
          <w:u w:val="none"/>
          <w:lang w:eastAsia="zh-CN"/>
          <w14:textFill>
            <w14:solidFill>
              <w14:schemeClr w14:val="tx1"/>
            </w14:solidFill>
          </w14:textFill>
        </w:rPr>
        <w:t>）</w:t>
      </w:r>
      <w:r>
        <w:rPr>
          <w:rFonts w:hint="eastAsia"/>
          <w:highlight w:val="none"/>
        </w:rPr>
        <w:t>的扣除，用扣除后的价格参与评审。满足多项优惠政策的企业，不重复享受多项价格扣除政策。</w:t>
      </w:r>
    </w:p>
    <w:p w14:paraId="6720D989">
      <w:pPr>
        <w:ind w:firstLine="420" w:firstLineChars="200"/>
        <w:rPr>
          <w:rFonts w:hint="eastAsia"/>
          <w:highlight w:val="none"/>
        </w:rPr>
      </w:pPr>
      <w:r>
        <w:rPr>
          <w:rFonts w:hint="eastAsia"/>
          <w:highlight w:val="none"/>
        </w:rPr>
        <w:t>备注：（a）</w:t>
      </w:r>
      <w:r>
        <w:rPr>
          <w:rFonts w:hint="eastAsia" w:ascii="Times New Roman" w:eastAsia="宋体"/>
          <w:highlight w:val="none"/>
          <w:lang w:val="en-US" w:eastAsia="zh-CN"/>
        </w:rPr>
        <w:t>享受价格扣除</w:t>
      </w:r>
      <w:r>
        <w:rPr>
          <w:rFonts w:hint="eastAsia"/>
          <w:highlight w:val="none"/>
        </w:rPr>
        <w:t>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r>
        <w:rPr>
          <w:highlight w:val="none"/>
        </w:rPr>
        <w:t>b)</w:t>
      </w:r>
      <w:r>
        <w:rPr>
          <w:rFonts w:hint="eastAsia"/>
          <w:highlight w:val="none"/>
        </w:rPr>
        <w:t>优惠主体承接是指提供服务的人员为中小企业依照《中华人民共和国劳动合同法》订立劳动合同的从业人员。</w:t>
      </w:r>
    </w:p>
    <w:p w14:paraId="39A15DA5">
      <w:pPr>
        <w:numPr>
          <w:ilvl w:val="0"/>
          <w:numId w:val="8"/>
        </w:numPr>
        <w:ind w:firstLine="420" w:firstLineChars="200"/>
        <w:rPr>
          <w:rFonts w:hint="eastAsia"/>
          <w:sz w:val="21"/>
          <w:szCs w:val="21"/>
          <w:highlight w:val="none"/>
        </w:rPr>
      </w:pPr>
      <w:r>
        <w:rPr>
          <w:rFonts w:ascii="宋体" w:hAnsi="宋体" w:eastAsia="宋体" w:cs="宋体"/>
          <w:sz w:val="21"/>
          <w:szCs w:val="21"/>
          <w:highlight w:val="none"/>
        </w:rPr>
        <w:t>中小企业参加政府采购活动，应当按照国务院批准的《中小企业划型标准规定》（工信部联企 业〔2011〕300号）、《金融业企业划型标准规定》（银发〔2015〕309号）和《财政部 工业和信息化部关于印发〈政府采购促进中小企业发展管理办法〉的通知》（财库〔2020〕46 号）的规定，出具《中小企业声明函》，</w:t>
      </w:r>
      <w:r>
        <w:rPr>
          <w:rFonts w:ascii="宋体" w:hAnsi="宋体" w:eastAsia="宋体" w:cs="宋体"/>
          <w:b/>
          <w:bCs/>
          <w:color w:val="FF0000"/>
          <w:sz w:val="21"/>
          <w:szCs w:val="21"/>
          <w:highlight w:val="none"/>
        </w:rPr>
        <w:t>《中小企业声明函》中相关企业</w:t>
      </w:r>
      <w:r>
        <w:rPr>
          <w:rFonts w:hint="eastAsia" w:ascii="宋体" w:hAnsi="宋体" w:cs="宋体"/>
          <w:b/>
          <w:bCs/>
          <w:color w:val="FF0000"/>
          <w:sz w:val="21"/>
          <w:szCs w:val="21"/>
          <w:highlight w:val="none"/>
          <w:lang w:eastAsia="zh-CN"/>
        </w:rPr>
        <w:t>（服务承接商）</w:t>
      </w:r>
      <w:r>
        <w:rPr>
          <w:rFonts w:ascii="宋体" w:hAnsi="宋体" w:eastAsia="宋体" w:cs="宋体"/>
          <w:b/>
          <w:bCs/>
          <w:color w:val="FF0000"/>
          <w:sz w:val="21"/>
          <w:szCs w:val="21"/>
          <w:highlight w:val="none"/>
        </w:rPr>
        <w:t>所属行业应当与采购标的所属行业相一致</w:t>
      </w:r>
      <w:r>
        <w:rPr>
          <w:rFonts w:hint="eastAsia" w:eastAsia="宋体"/>
          <w:b/>
          <w:bCs/>
          <w:color w:val="FF0000"/>
          <w:highlight w:val="none"/>
          <w:lang w:eastAsia="zh-CN"/>
        </w:rPr>
        <w:t>，</w:t>
      </w:r>
      <w:r>
        <w:rPr>
          <w:rFonts w:hint="eastAsia"/>
          <w:b/>
          <w:bCs/>
          <w:color w:val="FF0000"/>
          <w:highlight w:val="none"/>
        </w:rPr>
        <w:t>标的所属行业</w:t>
      </w:r>
      <w:r>
        <w:rPr>
          <w:rFonts w:hint="eastAsia" w:ascii="Times New Roman" w:eastAsia="宋体"/>
          <w:b/>
          <w:bCs/>
          <w:color w:val="FF0000"/>
          <w:highlight w:val="none"/>
          <w:lang w:val="en-US" w:eastAsia="zh-CN"/>
        </w:rPr>
        <w:t>以招标文件第一册第三章用户需求书“</w:t>
      </w:r>
      <w:r>
        <w:rPr>
          <w:rFonts w:hint="eastAsia"/>
          <w:b/>
          <w:bCs/>
          <w:color w:val="FF0000"/>
          <w:highlight w:val="none"/>
          <w:lang w:val="en-US" w:eastAsia="zh-CN"/>
        </w:rPr>
        <w:t>服务需求</w:t>
      </w:r>
      <w:r>
        <w:rPr>
          <w:rFonts w:hint="eastAsia" w:ascii="Times New Roman" w:eastAsia="宋体"/>
          <w:b/>
          <w:bCs/>
          <w:color w:val="FF0000"/>
          <w:highlight w:val="none"/>
          <w:lang w:val="en-US" w:eastAsia="zh-CN"/>
        </w:rPr>
        <w:t>明细”的“标的所属行业”一栏为准</w:t>
      </w:r>
      <w:r>
        <w:rPr>
          <w:rFonts w:ascii="宋体" w:hAnsi="宋体" w:eastAsia="宋体" w:cs="宋体"/>
          <w:b/>
          <w:bCs/>
          <w:color w:val="FF0000"/>
          <w:sz w:val="21"/>
          <w:szCs w:val="21"/>
          <w:highlight w:val="none"/>
        </w:rPr>
        <w:t>。</w:t>
      </w:r>
    </w:p>
    <w:p w14:paraId="573744A1">
      <w:pPr>
        <w:numPr>
          <w:ilvl w:val="0"/>
          <w:numId w:val="8"/>
        </w:numPr>
        <w:ind w:firstLine="420" w:firstLineChars="200"/>
        <w:rPr>
          <w:highlight w:val="none"/>
        </w:rPr>
      </w:pPr>
      <w:r>
        <w:rPr>
          <w:rFonts w:hint="eastAsia"/>
          <w:sz w:val="21"/>
          <w:szCs w:val="21"/>
          <w:highlight w:val="none"/>
        </w:rPr>
        <w:t>小型企业、微</w:t>
      </w:r>
      <w:r>
        <w:rPr>
          <w:rFonts w:hint="eastAsia"/>
          <w:highlight w:val="none"/>
        </w:rPr>
        <w:t>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w:t>
      </w:r>
      <w:r>
        <w:rPr>
          <w:rFonts w:hint="eastAsia"/>
          <w:highlight w:val="none"/>
          <w:lang w:eastAsia="zh-CN"/>
        </w:rPr>
        <w:t>第四章“投标文件组成要求及格式”</w:t>
      </w:r>
      <w:r>
        <w:rPr>
          <w:rFonts w:hint="eastAsia"/>
          <w:highlight w:val="none"/>
        </w:rPr>
        <w:t>中“</w:t>
      </w:r>
      <w:r>
        <w:rPr>
          <w:rFonts w:hint="eastAsia"/>
          <w:highlight w:val="none"/>
          <w:lang w:val="en-US" w:eastAsia="zh-CN"/>
        </w:rPr>
        <w:t>三</w:t>
      </w:r>
      <w:r>
        <w:rPr>
          <w:rFonts w:hint="eastAsia"/>
          <w:highlight w:val="none"/>
        </w:rPr>
        <w:t>、投标人情况</w:t>
      </w:r>
      <w:r>
        <w:rPr>
          <w:rFonts w:hint="eastAsia"/>
        </w:rPr>
        <w:t>及资格证明文件</w:t>
      </w:r>
      <w:r>
        <w:rPr>
          <w:rFonts w:hint="eastAsia"/>
          <w:highlight w:val="none"/>
        </w:rPr>
        <w:t>”章节提供的格式）。</w:t>
      </w:r>
    </w:p>
    <w:p w14:paraId="2D868955">
      <w:pPr>
        <w:ind w:firstLine="420" w:firstLineChars="200"/>
        <w:rPr>
          <w:rFonts w:ascii="宋体" w:hAnsi="宋体"/>
          <w:b/>
          <w:highlight w:val="none"/>
        </w:rPr>
      </w:pPr>
      <w:r>
        <w:rPr>
          <w:rFonts w:hint="eastAsia"/>
          <w:highlight w:val="none"/>
        </w:rPr>
        <w:t>（</w:t>
      </w:r>
      <w:r>
        <w:rPr>
          <w:rFonts w:hint="eastAsia"/>
          <w:highlight w:val="none"/>
          <w:lang w:val="en-US" w:eastAsia="zh-CN"/>
        </w:rPr>
        <w:t>5</w:t>
      </w:r>
      <w:r>
        <w:rPr>
          <w:rFonts w:hint="eastAsia"/>
          <w:highlight w:val="none"/>
        </w:rPr>
        <w:t>）享受价格扣除获得政府采购合同的，小微企业不得将合同分包给大中型企业。</w:t>
      </w:r>
    </w:p>
    <w:p w14:paraId="7C87D9C7">
      <w:pPr>
        <w:ind w:firstLine="422" w:firstLineChars="200"/>
        <w:rPr>
          <w:rFonts w:hint="eastAsia"/>
          <w:b/>
          <w:bCs/>
          <w:highlight w:val="none"/>
          <w:lang w:val="en-US" w:eastAsia="zh-CN"/>
        </w:rPr>
      </w:pPr>
      <w:r>
        <w:rPr>
          <w:rFonts w:hint="eastAsia" w:ascii="Times New Roman" w:eastAsia="宋体"/>
          <w:b/>
          <w:bCs/>
          <w:highlight w:val="none"/>
          <w:lang w:val="en-US" w:eastAsia="zh-CN"/>
        </w:rPr>
        <w:t>2、本项目为代理服务项目，将向中标（成交）供应商收取代理服务费。</w:t>
      </w:r>
    </w:p>
    <w:p w14:paraId="571593A1">
      <w:pPr>
        <w:ind w:firstLine="420" w:firstLineChars="200"/>
        <w:rPr>
          <w:highlight w:val="none"/>
        </w:rPr>
      </w:pPr>
      <w:r>
        <w:rPr>
          <w:rFonts w:hint="eastAsia"/>
          <w:highlight w:val="none"/>
        </w:rPr>
        <w:t>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供应商在领取《中标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通知书》之前须向深圳公共资源交易中心（深圳交易集团有限公司</w:t>
      </w:r>
      <w:r>
        <w:rPr>
          <w:rFonts w:hint="eastAsia"/>
          <w:highlight w:val="none"/>
          <w:lang w:eastAsia="zh-CN"/>
        </w:rPr>
        <w:t>政府采购业务分公司</w:t>
      </w:r>
      <w:r>
        <w:rPr>
          <w:rFonts w:hint="eastAsia"/>
          <w:highlight w:val="none"/>
        </w:rPr>
        <w:t>）交纳代理服务费。若因中标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供应商交纳代理服务费所产生的时间影响到合同签订的，由中标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供应商自行承担责任。代理服务费标准参照</w:t>
      </w:r>
      <w:r>
        <w:rPr>
          <w:rFonts w:hint="eastAsia" w:ascii="Times New Roman" w:eastAsia="宋体"/>
          <w:highlight w:val="none"/>
          <w:lang w:val="en-US" w:eastAsia="zh-CN"/>
        </w:rPr>
        <w:t>下列</w:t>
      </w:r>
      <w:r>
        <w:rPr>
          <w:rFonts w:hint="eastAsia"/>
          <w:highlight w:val="none"/>
        </w:rPr>
        <w:t>标准收取。</w:t>
      </w:r>
      <w:r>
        <w:rPr>
          <w:rFonts w:hint="eastAsia"/>
          <w:b/>
          <w:color w:val="FF0000"/>
          <w:highlight w:val="none"/>
        </w:rPr>
        <w:t>本项目类型为</w:t>
      </w:r>
      <w:r>
        <w:rPr>
          <w:rFonts w:hint="eastAsia"/>
          <w:b/>
          <w:color w:val="FF0000"/>
          <w:highlight w:val="none"/>
          <w:lang w:val="en-US" w:eastAsia="zh-CN"/>
        </w:rPr>
        <w:t>服务</w:t>
      </w:r>
      <w:r>
        <w:rPr>
          <w:rFonts w:hint="eastAsia"/>
          <w:b/>
          <w:color w:val="FF0000"/>
          <w:highlight w:val="none"/>
        </w:rPr>
        <w:t>采购：</w:t>
      </w:r>
    </w:p>
    <w:p w14:paraId="17393FA4">
      <w:pPr>
        <w:ind w:firstLine="420" w:firstLineChars="200"/>
        <w:rPr>
          <w:highlight w:val="none"/>
        </w:rPr>
      </w:pPr>
      <w:r>
        <w:rPr>
          <w:rFonts w:hint="eastAsia"/>
          <w:highlight w:val="none"/>
        </w:rPr>
        <w:t>（</w:t>
      </w:r>
      <w:r>
        <w:rPr>
          <w:rFonts w:hint="eastAsia" w:ascii="Times New Roman" w:eastAsia="宋体"/>
          <w:highlight w:val="none"/>
          <w:lang w:val="en-US" w:eastAsia="zh-CN"/>
        </w:rPr>
        <w:t>1</w:t>
      </w:r>
      <w:r>
        <w:rPr>
          <w:rFonts w:hint="eastAsia"/>
          <w:highlight w:val="none"/>
        </w:rPr>
        <w:t>）代理服务费以《中标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通知书》确定的</w:t>
      </w:r>
      <w:r>
        <w:rPr>
          <w:rFonts w:hint="eastAsia" w:ascii="宋体" w:hAnsi="宋体" w:eastAsia="宋体" w:cs="宋体"/>
          <w:b/>
          <w:bCs/>
          <w:sz w:val="21"/>
          <w:szCs w:val="21"/>
          <w:highlight w:val="yellow"/>
          <w:lang w:val="en-US" w:eastAsia="zh-CN"/>
        </w:rPr>
        <w:t>预算</w:t>
      </w:r>
      <w:r>
        <w:rPr>
          <w:rFonts w:hint="eastAsia" w:ascii="宋体" w:hAnsi="宋体" w:eastAsia="宋体" w:cs="宋体"/>
          <w:b/>
          <w:bCs/>
          <w:sz w:val="21"/>
          <w:szCs w:val="21"/>
          <w:highlight w:val="yellow"/>
        </w:rPr>
        <w:t>金额</w:t>
      </w:r>
      <w:r>
        <w:rPr>
          <w:rFonts w:hint="eastAsia" w:ascii="宋体" w:hAnsi="宋体" w:eastAsia="宋体" w:cs="宋体"/>
          <w:b/>
          <w:bCs/>
          <w:sz w:val="21"/>
          <w:szCs w:val="21"/>
          <w:highlight w:val="yellow"/>
          <w:lang w:eastAsia="zh-CN"/>
        </w:rPr>
        <w:t>（</w:t>
      </w:r>
      <w:r>
        <w:rPr>
          <w:rFonts w:hint="eastAsia" w:ascii="宋体" w:hAnsi="宋体" w:eastAsia="宋体" w:cs="宋体"/>
          <w:b/>
          <w:bCs/>
          <w:sz w:val="21"/>
          <w:szCs w:val="21"/>
          <w:highlight w:val="yellow"/>
          <w:lang w:val="en-US" w:eastAsia="zh-CN"/>
        </w:rPr>
        <w:t>年支付上限</w:t>
      </w:r>
      <w:r>
        <w:rPr>
          <w:rFonts w:hint="eastAsia" w:ascii="宋体" w:hAnsi="宋体" w:eastAsia="宋体" w:cs="宋体"/>
          <w:b/>
          <w:bCs/>
          <w:sz w:val="21"/>
          <w:szCs w:val="21"/>
          <w:highlight w:val="yellow"/>
          <w:lang w:eastAsia="zh-CN"/>
        </w:rPr>
        <w:t>）</w:t>
      </w:r>
      <w:r>
        <w:rPr>
          <w:rFonts w:hint="eastAsia"/>
          <w:highlight w:val="none"/>
        </w:rPr>
        <w:t>作为计算基数，按差额定率累进法计算。</w:t>
      </w:r>
    </w:p>
    <w:p w14:paraId="132B7F5D">
      <w:pPr>
        <w:ind w:firstLine="420" w:firstLineChars="200"/>
        <w:rPr>
          <w:highlight w:val="none"/>
        </w:rPr>
      </w:pPr>
      <w:r>
        <w:rPr>
          <w:rFonts w:hint="eastAsia"/>
          <w:highlight w:val="none"/>
        </w:rPr>
        <w:t>（</w:t>
      </w:r>
      <w:r>
        <w:rPr>
          <w:rFonts w:hint="eastAsia" w:ascii="Times New Roman" w:eastAsia="宋体"/>
          <w:highlight w:val="none"/>
          <w:lang w:val="en-US" w:eastAsia="zh-CN"/>
        </w:rPr>
        <w:t>2</w:t>
      </w:r>
      <w:r>
        <w:rPr>
          <w:rFonts w:hint="eastAsia"/>
          <w:highlight w:val="none"/>
        </w:rPr>
        <w:t>）中标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金额的各部分费率如下表：</w:t>
      </w:r>
    </w:p>
    <w:tbl>
      <w:tblPr>
        <w:tblStyle w:val="4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5"/>
        <w:gridCol w:w="1799"/>
        <w:gridCol w:w="1799"/>
        <w:gridCol w:w="1799"/>
      </w:tblGrid>
      <w:tr w14:paraId="246E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7D2E1C87">
            <w:pPr>
              <w:widowControl/>
              <w:spacing w:line="360" w:lineRule="auto"/>
              <w:jc w:val="center"/>
              <w:rPr>
                <w:highlight w:val="none"/>
              </w:rPr>
            </w:pPr>
            <w:r>
              <w:rPr>
                <w:rFonts w:hint="eastAsia" w:ascii="Times New Roman" w:eastAsia="宋体"/>
                <w:highlight w:val="none"/>
                <w:lang w:val="en-US" w:eastAsia="zh-CN"/>
              </w:rPr>
              <w:t>中标</w:t>
            </w:r>
            <w:r>
              <w:rPr>
                <w:rFonts w:hint="eastAsia" w:eastAsia="宋体"/>
                <w:highlight w:val="none"/>
                <w:lang w:eastAsia="zh-CN"/>
              </w:rPr>
              <w:t>（</w:t>
            </w:r>
            <w:r>
              <w:rPr>
                <w:rFonts w:hint="eastAsia" w:ascii="Times New Roman" w:eastAsia="宋体"/>
                <w:highlight w:val="none"/>
                <w:lang w:val="en-US" w:eastAsia="zh-CN"/>
              </w:rPr>
              <w:t>成交</w:t>
            </w:r>
            <w:r>
              <w:rPr>
                <w:rFonts w:hint="eastAsia" w:eastAsia="宋体"/>
                <w:highlight w:val="none"/>
                <w:lang w:eastAsia="zh-CN"/>
              </w:rPr>
              <w:t>）</w:t>
            </w:r>
            <w:r>
              <w:rPr>
                <w:rFonts w:hint="eastAsia"/>
                <w:highlight w:val="none"/>
              </w:rPr>
              <w:t>金额</w:t>
            </w:r>
          </w:p>
        </w:tc>
        <w:tc>
          <w:tcPr>
            <w:tcW w:w="1799" w:type="dxa"/>
            <w:vAlign w:val="center"/>
          </w:tcPr>
          <w:p w14:paraId="144DFE3D">
            <w:pPr>
              <w:widowControl/>
              <w:spacing w:line="360" w:lineRule="auto"/>
              <w:jc w:val="center"/>
              <w:rPr>
                <w:highlight w:val="none"/>
              </w:rPr>
            </w:pPr>
            <w:r>
              <w:rPr>
                <w:rFonts w:hint="eastAsia"/>
                <w:highlight w:val="none"/>
              </w:rPr>
              <w:t>货物采购</w:t>
            </w:r>
          </w:p>
        </w:tc>
        <w:tc>
          <w:tcPr>
            <w:tcW w:w="1799" w:type="dxa"/>
            <w:vAlign w:val="center"/>
          </w:tcPr>
          <w:p w14:paraId="6920B626">
            <w:pPr>
              <w:widowControl/>
              <w:spacing w:line="360" w:lineRule="auto"/>
              <w:jc w:val="center"/>
              <w:rPr>
                <w:highlight w:val="none"/>
              </w:rPr>
            </w:pPr>
            <w:r>
              <w:rPr>
                <w:rFonts w:hint="eastAsia"/>
                <w:highlight w:val="none"/>
              </w:rPr>
              <w:t>服务采购</w:t>
            </w:r>
          </w:p>
        </w:tc>
        <w:tc>
          <w:tcPr>
            <w:tcW w:w="1799" w:type="dxa"/>
            <w:vAlign w:val="center"/>
          </w:tcPr>
          <w:p w14:paraId="517527CA">
            <w:pPr>
              <w:widowControl/>
              <w:spacing w:line="360" w:lineRule="auto"/>
              <w:jc w:val="center"/>
              <w:rPr>
                <w:highlight w:val="none"/>
              </w:rPr>
            </w:pPr>
            <w:r>
              <w:rPr>
                <w:rFonts w:hint="eastAsia"/>
                <w:highlight w:val="none"/>
              </w:rPr>
              <w:t>工程采购</w:t>
            </w:r>
          </w:p>
        </w:tc>
      </w:tr>
      <w:tr w14:paraId="0735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F561386">
            <w:pPr>
              <w:widowControl/>
              <w:spacing w:line="360" w:lineRule="auto"/>
              <w:jc w:val="center"/>
              <w:rPr>
                <w:highlight w:val="none"/>
              </w:rPr>
            </w:pPr>
            <w:r>
              <w:rPr>
                <w:rFonts w:hint="eastAsia"/>
                <w:highlight w:val="none"/>
              </w:rPr>
              <w:t>100万元以下</w:t>
            </w:r>
          </w:p>
        </w:tc>
        <w:tc>
          <w:tcPr>
            <w:tcW w:w="1799" w:type="dxa"/>
            <w:vAlign w:val="center"/>
          </w:tcPr>
          <w:p w14:paraId="211FFBF8">
            <w:pPr>
              <w:widowControl/>
              <w:spacing w:line="360" w:lineRule="auto"/>
              <w:jc w:val="center"/>
              <w:rPr>
                <w:highlight w:val="none"/>
              </w:rPr>
            </w:pPr>
            <w:r>
              <w:rPr>
                <w:rFonts w:hint="eastAsia"/>
                <w:highlight w:val="none"/>
              </w:rPr>
              <w:t>1.5%</w:t>
            </w:r>
          </w:p>
        </w:tc>
        <w:tc>
          <w:tcPr>
            <w:tcW w:w="1799" w:type="dxa"/>
            <w:vAlign w:val="center"/>
          </w:tcPr>
          <w:p w14:paraId="27A51860">
            <w:pPr>
              <w:widowControl/>
              <w:spacing w:line="360" w:lineRule="auto"/>
              <w:jc w:val="center"/>
              <w:rPr>
                <w:highlight w:val="none"/>
              </w:rPr>
            </w:pPr>
            <w:r>
              <w:rPr>
                <w:rFonts w:hint="eastAsia"/>
                <w:highlight w:val="none"/>
              </w:rPr>
              <w:t>1.5%</w:t>
            </w:r>
          </w:p>
        </w:tc>
        <w:tc>
          <w:tcPr>
            <w:tcW w:w="1799" w:type="dxa"/>
            <w:vAlign w:val="center"/>
          </w:tcPr>
          <w:p w14:paraId="3B1D0047">
            <w:pPr>
              <w:widowControl/>
              <w:spacing w:line="360" w:lineRule="auto"/>
              <w:jc w:val="center"/>
              <w:rPr>
                <w:highlight w:val="none"/>
              </w:rPr>
            </w:pPr>
            <w:r>
              <w:rPr>
                <w:rFonts w:hint="eastAsia"/>
                <w:highlight w:val="none"/>
              </w:rPr>
              <w:t>1.0%</w:t>
            </w:r>
          </w:p>
        </w:tc>
      </w:tr>
      <w:tr w14:paraId="63B5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37FC306B">
            <w:pPr>
              <w:widowControl/>
              <w:spacing w:line="360" w:lineRule="auto"/>
              <w:jc w:val="center"/>
              <w:rPr>
                <w:highlight w:val="none"/>
              </w:rPr>
            </w:pPr>
            <w:r>
              <w:rPr>
                <w:rFonts w:hint="eastAsia"/>
                <w:highlight w:val="none"/>
              </w:rPr>
              <w:t>100万元（含）-500万元</w:t>
            </w:r>
          </w:p>
        </w:tc>
        <w:tc>
          <w:tcPr>
            <w:tcW w:w="1799" w:type="dxa"/>
            <w:vAlign w:val="center"/>
          </w:tcPr>
          <w:p w14:paraId="2FFF33EE">
            <w:pPr>
              <w:widowControl/>
              <w:spacing w:line="360" w:lineRule="auto"/>
              <w:jc w:val="center"/>
              <w:rPr>
                <w:highlight w:val="none"/>
              </w:rPr>
            </w:pPr>
            <w:r>
              <w:rPr>
                <w:rFonts w:hint="eastAsia"/>
                <w:highlight w:val="none"/>
              </w:rPr>
              <w:t>1.1%</w:t>
            </w:r>
          </w:p>
        </w:tc>
        <w:tc>
          <w:tcPr>
            <w:tcW w:w="1799" w:type="dxa"/>
            <w:vAlign w:val="center"/>
          </w:tcPr>
          <w:p w14:paraId="3D669FEC">
            <w:pPr>
              <w:widowControl/>
              <w:spacing w:line="360" w:lineRule="auto"/>
              <w:jc w:val="center"/>
              <w:rPr>
                <w:highlight w:val="none"/>
              </w:rPr>
            </w:pPr>
            <w:r>
              <w:rPr>
                <w:rFonts w:hint="eastAsia"/>
                <w:highlight w:val="none"/>
              </w:rPr>
              <w:t>0.8%</w:t>
            </w:r>
          </w:p>
        </w:tc>
        <w:tc>
          <w:tcPr>
            <w:tcW w:w="1799" w:type="dxa"/>
            <w:vAlign w:val="center"/>
          </w:tcPr>
          <w:p w14:paraId="3700C7DE">
            <w:pPr>
              <w:widowControl/>
              <w:spacing w:line="360" w:lineRule="auto"/>
              <w:jc w:val="center"/>
              <w:rPr>
                <w:highlight w:val="none"/>
              </w:rPr>
            </w:pPr>
            <w:r>
              <w:rPr>
                <w:rFonts w:hint="eastAsia"/>
                <w:highlight w:val="none"/>
              </w:rPr>
              <w:t>0.7%</w:t>
            </w:r>
          </w:p>
        </w:tc>
      </w:tr>
      <w:tr w14:paraId="314F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DB023D4">
            <w:pPr>
              <w:widowControl/>
              <w:spacing w:line="360" w:lineRule="auto"/>
              <w:jc w:val="center"/>
              <w:rPr>
                <w:highlight w:val="none"/>
              </w:rPr>
            </w:pPr>
            <w:r>
              <w:rPr>
                <w:rFonts w:hint="eastAsia"/>
                <w:highlight w:val="none"/>
              </w:rPr>
              <w:t>500万元（含）-1000万元</w:t>
            </w:r>
          </w:p>
        </w:tc>
        <w:tc>
          <w:tcPr>
            <w:tcW w:w="1799" w:type="dxa"/>
            <w:vAlign w:val="center"/>
          </w:tcPr>
          <w:p w14:paraId="31FEB8C8">
            <w:pPr>
              <w:widowControl/>
              <w:spacing w:line="360" w:lineRule="auto"/>
              <w:jc w:val="center"/>
              <w:rPr>
                <w:highlight w:val="none"/>
              </w:rPr>
            </w:pPr>
            <w:r>
              <w:rPr>
                <w:rFonts w:hint="eastAsia"/>
                <w:highlight w:val="none"/>
              </w:rPr>
              <w:t>0.8%</w:t>
            </w:r>
          </w:p>
        </w:tc>
        <w:tc>
          <w:tcPr>
            <w:tcW w:w="1799" w:type="dxa"/>
            <w:vAlign w:val="center"/>
          </w:tcPr>
          <w:p w14:paraId="231EA1A1">
            <w:pPr>
              <w:widowControl/>
              <w:spacing w:line="360" w:lineRule="auto"/>
              <w:jc w:val="center"/>
              <w:rPr>
                <w:highlight w:val="none"/>
              </w:rPr>
            </w:pPr>
            <w:r>
              <w:rPr>
                <w:rFonts w:hint="eastAsia"/>
                <w:highlight w:val="none"/>
              </w:rPr>
              <w:t>0.45%</w:t>
            </w:r>
          </w:p>
        </w:tc>
        <w:tc>
          <w:tcPr>
            <w:tcW w:w="1799" w:type="dxa"/>
            <w:vAlign w:val="center"/>
          </w:tcPr>
          <w:p w14:paraId="5B70B6E5">
            <w:pPr>
              <w:widowControl/>
              <w:spacing w:line="360" w:lineRule="auto"/>
              <w:jc w:val="center"/>
              <w:rPr>
                <w:highlight w:val="none"/>
              </w:rPr>
            </w:pPr>
            <w:r>
              <w:rPr>
                <w:rFonts w:hint="eastAsia"/>
                <w:highlight w:val="none"/>
              </w:rPr>
              <w:t>0.55%</w:t>
            </w:r>
          </w:p>
        </w:tc>
      </w:tr>
      <w:tr w14:paraId="0B54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2B64321">
            <w:pPr>
              <w:widowControl/>
              <w:spacing w:line="360" w:lineRule="auto"/>
              <w:jc w:val="center"/>
              <w:rPr>
                <w:highlight w:val="none"/>
              </w:rPr>
            </w:pPr>
            <w:r>
              <w:rPr>
                <w:rFonts w:hint="eastAsia"/>
                <w:highlight w:val="none"/>
              </w:rPr>
              <w:t>1000万元（含）-5000万元</w:t>
            </w:r>
          </w:p>
        </w:tc>
        <w:tc>
          <w:tcPr>
            <w:tcW w:w="1799" w:type="dxa"/>
            <w:vAlign w:val="center"/>
          </w:tcPr>
          <w:p w14:paraId="5F3E15F7">
            <w:pPr>
              <w:widowControl/>
              <w:spacing w:line="360" w:lineRule="auto"/>
              <w:jc w:val="center"/>
              <w:rPr>
                <w:highlight w:val="none"/>
              </w:rPr>
            </w:pPr>
            <w:r>
              <w:rPr>
                <w:rFonts w:hint="eastAsia"/>
                <w:highlight w:val="none"/>
              </w:rPr>
              <w:t>0.5%</w:t>
            </w:r>
          </w:p>
        </w:tc>
        <w:tc>
          <w:tcPr>
            <w:tcW w:w="1799" w:type="dxa"/>
            <w:vAlign w:val="center"/>
          </w:tcPr>
          <w:p w14:paraId="49238104">
            <w:pPr>
              <w:widowControl/>
              <w:spacing w:line="360" w:lineRule="auto"/>
              <w:jc w:val="center"/>
              <w:rPr>
                <w:highlight w:val="none"/>
              </w:rPr>
            </w:pPr>
            <w:r>
              <w:rPr>
                <w:rFonts w:hint="eastAsia"/>
                <w:highlight w:val="none"/>
              </w:rPr>
              <w:t>0.25%</w:t>
            </w:r>
          </w:p>
        </w:tc>
        <w:tc>
          <w:tcPr>
            <w:tcW w:w="1799" w:type="dxa"/>
            <w:vAlign w:val="center"/>
          </w:tcPr>
          <w:p w14:paraId="70ADDF10">
            <w:pPr>
              <w:widowControl/>
              <w:spacing w:line="360" w:lineRule="auto"/>
              <w:jc w:val="center"/>
              <w:rPr>
                <w:highlight w:val="none"/>
              </w:rPr>
            </w:pPr>
            <w:r>
              <w:rPr>
                <w:rFonts w:hint="eastAsia"/>
                <w:highlight w:val="none"/>
              </w:rPr>
              <w:t>0.35%</w:t>
            </w:r>
          </w:p>
        </w:tc>
      </w:tr>
      <w:tr w14:paraId="47BA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011FDAB">
            <w:pPr>
              <w:widowControl/>
              <w:spacing w:line="360" w:lineRule="auto"/>
              <w:jc w:val="center"/>
              <w:rPr>
                <w:highlight w:val="none"/>
              </w:rPr>
            </w:pPr>
            <w:r>
              <w:rPr>
                <w:rFonts w:hint="eastAsia"/>
                <w:highlight w:val="none"/>
              </w:rPr>
              <w:t>5000万元（含）-1亿元</w:t>
            </w:r>
          </w:p>
        </w:tc>
        <w:tc>
          <w:tcPr>
            <w:tcW w:w="1799" w:type="dxa"/>
            <w:vAlign w:val="center"/>
          </w:tcPr>
          <w:p w14:paraId="0E3EEB74">
            <w:pPr>
              <w:widowControl/>
              <w:spacing w:line="360" w:lineRule="auto"/>
              <w:jc w:val="center"/>
              <w:rPr>
                <w:highlight w:val="none"/>
              </w:rPr>
            </w:pPr>
            <w:r>
              <w:rPr>
                <w:rFonts w:hint="eastAsia"/>
                <w:highlight w:val="none"/>
              </w:rPr>
              <w:t>0.25%</w:t>
            </w:r>
          </w:p>
        </w:tc>
        <w:tc>
          <w:tcPr>
            <w:tcW w:w="1799" w:type="dxa"/>
            <w:vAlign w:val="center"/>
          </w:tcPr>
          <w:p w14:paraId="51FC6D68">
            <w:pPr>
              <w:widowControl/>
              <w:spacing w:line="360" w:lineRule="auto"/>
              <w:jc w:val="center"/>
              <w:rPr>
                <w:highlight w:val="none"/>
              </w:rPr>
            </w:pPr>
            <w:r>
              <w:rPr>
                <w:rFonts w:hint="eastAsia"/>
                <w:highlight w:val="none"/>
              </w:rPr>
              <w:t>0.1%</w:t>
            </w:r>
          </w:p>
        </w:tc>
        <w:tc>
          <w:tcPr>
            <w:tcW w:w="1799" w:type="dxa"/>
            <w:vAlign w:val="center"/>
          </w:tcPr>
          <w:p w14:paraId="58335F10">
            <w:pPr>
              <w:widowControl/>
              <w:spacing w:line="360" w:lineRule="auto"/>
              <w:jc w:val="center"/>
              <w:rPr>
                <w:highlight w:val="none"/>
              </w:rPr>
            </w:pPr>
            <w:r>
              <w:rPr>
                <w:rFonts w:hint="eastAsia"/>
                <w:highlight w:val="none"/>
              </w:rPr>
              <w:t>0.2%</w:t>
            </w:r>
          </w:p>
        </w:tc>
      </w:tr>
      <w:tr w14:paraId="6847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4E8576A">
            <w:pPr>
              <w:widowControl/>
              <w:spacing w:line="360" w:lineRule="auto"/>
              <w:jc w:val="center"/>
              <w:rPr>
                <w:highlight w:val="none"/>
              </w:rPr>
            </w:pPr>
            <w:r>
              <w:rPr>
                <w:rFonts w:hint="eastAsia"/>
                <w:highlight w:val="none"/>
              </w:rPr>
              <w:t>1亿元（含）-5亿元</w:t>
            </w:r>
          </w:p>
        </w:tc>
        <w:tc>
          <w:tcPr>
            <w:tcW w:w="1799" w:type="dxa"/>
            <w:vAlign w:val="center"/>
          </w:tcPr>
          <w:p w14:paraId="67CEC9E9">
            <w:pPr>
              <w:widowControl/>
              <w:spacing w:line="360" w:lineRule="auto"/>
              <w:jc w:val="center"/>
              <w:rPr>
                <w:highlight w:val="none"/>
              </w:rPr>
            </w:pPr>
            <w:r>
              <w:rPr>
                <w:rFonts w:hint="eastAsia"/>
                <w:highlight w:val="none"/>
              </w:rPr>
              <w:t>0.05%</w:t>
            </w:r>
          </w:p>
        </w:tc>
        <w:tc>
          <w:tcPr>
            <w:tcW w:w="1799" w:type="dxa"/>
            <w:vAlign w:val="center"/>
          </w:tcPr>
          <w:p w14:paraId="043B07C1">
            <w:pPr>
              <w:widowControl/>
              <w:spacing w:line="360" w:lineRule="auto"/>
              <w:jc w:val="center"/>
              <w:rPr>
                <w:highlight w:val="none"/>
              </w:rPr>
            </w:pPr>
            <w:r>
              <w:rPr>
                <w:rFonts w:hint="eastAsia"/>
                <w:highlight w:val="none"/>
              </w:rPr>
              <w:t>0.05%</w:t>
            </w:r>
          </w:p>
        </w:tc>
        <w:tc>
          <w:tcPr>
            <w:tcW w:w="1799" w:type="dxa"/>
            <w:vAlign w:val="center"/>
          </w:tcPr>
          <w:p w14:paraId="7BF73FD4">
            <w:pPr>
              <w:widowControl/>
              <w:spacing w:line="360" w:lineRule="auto"/>
              <w:jc w:val="center"/>
              <w:rPr>
                <w:highlight w:val="none"/>
              </w:rPr>
            </w:pPr>
            <w:r>
              <w:rPr>
                <w:rFonts w:hint="eastAsia"/>
                <w:highlight w:val="none"/>
              </w:rPr>
              <w:t>0.05%</w:t>
            </w:r>
          </w:p>
        </w:tc>
      </w:tr>
      <w:tr w14:paraId="6546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31484A80">
            <w:pPr>
              <w:widowControl/>
              <w:spacing w:line="360" w:lineRule="auto"/>
              <w:jc w:val="center"/>
              <w:rPr>
                <w:highlight w:val="none"/>
              </w:rPr>
            </w:pPr>
            <w:r>
              <w:rPr>
                <w:rFonts w:hint="eastAsia"/>
                <w:highlight w:val="none"/>
              </w:rPr>
              <w:t>5亿元（含）-10亿元</w:t>
            </w:r>
          </w:p>
        </w:tc>
        <w:tc>
          <w:tcPr>
            <w:tcW w:w="1799" w:type="dxa"/>
            <w:vAlign w:val="center"/>
          </w:tcPr>
          <w:p w14:paraId="6AAEE996">
            <w:pPr>
              <w:widowControl/>
              <w:spacing w:line="360" w:lineRule="auto"/>
              <w:jc w:val="center"/>
              <w:rPr>
                <w:highlight w:val="none"/>
              </w:rPr>
            </w:pPr>
            <w:r>
              <w:rPr>
                <w:rFonts w:hint="eastAsia"/>
                <w:highlight w:val="none"/>
              </w:rPr>
              <w:t>0.035%</w:t>
            </w:r>
          </w:p>
        </w:tc>
        <w:tc>
          <w:tcPr>
            <w:tcW w:w="1799" w:type="dxa"/>
            <w:vAlign w:val="center"/>
          </w:tcPr>
          <w:p w14:paraId="47AC3B6B">
            <w:pPr>
              <w:widowControl/>
              <w:spacing w:line="360" w:lineRule="auto"/>
              <w:jc w:val="center"/>
              <w:rPr>
                <w:highlight w:val="none"/>
              </w:rPr>
            </w:pPr>
            <w:r>
              <w:rPr>
                <w:rFonts w:hint="eastAsia"/>
                <w:highlight w:val="none"/>
              </w:rPr>
              <w:t>0.035%</w:t>
            </w:r>
          </w:p>
        </w:tc>
        <w:tc>
          <w:tcPr>
            <w:tcW w:w="1799" w:type="dxa"/>
            <w:vAlign w:val="center"/>
          </w:tcPr>
          <w:p w14:paraId="7FD22D59">
            <w:pPr>
              <w:widowControl/>
              <w:spacing w:line="360" w:lineRule="auto"/>
              <w:jc w:val="center"/>
              <w:rPr>
                <w:highlight w:val="none"/>
              </w:rPr>
            </w:pPr>
            <w:r>
              <w:rPr>
                <w:rFonts w:hint="eastAsia"/>
                <w:highlight w:val="none"/>
              </w:rPr>
              <w:t>0.035%</w:t>
            </w:r>
          </w:p>
        </w:tc>
      </w:tr>
      <w:tr w14:paraId="769D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228C1ED5">
            <w:pPr>
              <w:widowControl/>
              <w:spacing w:line="360" w:lineRule="auto"/>
              <w:jc w:val="center"/>
              <w:rPr>
                <w:highlight w:val="none"/>
              </w:rPr>
            </w:pPr>
            <w:r>
              <w:rPr>
                <w:rFonts w:hint="eastAsia"/>
                <w:highlight w:val="none"/>
              </w:rPr>
              <w:t>10亿元（含）-50亿元</w:t>
            </w:r>
          </w:p>
        </w:tc>
        <w:tc>
          <w:tcPr>
            <w:tcW w:w="1799" w:type="dxa"/>
            <w:vAlign w:val="center"/>
          </w:tcPr>
          <w:p w14:paraId="2738C7FA">
            <w:pPr>
              <w:widowControl/>
              <w:spacing w:line="360" w:lineRule="auto"/>
              <w:jc w:val="center"/>
              <w:rPr>
                <w:highlight w:val="none"/>
              </w:rPr>
            </w:pPr>
            <w:r>
              <w:rPr>
                <w:rFonts w:hint="eastAsia"/>
                <w:highlight w:val="none"/>
              </w:rPr>
              <w:t>0.008%</w:t>
            </w:r>
          </w:p>
        </w:tc>
        <w:tc>
          <w:tcPr>
            <w:tcW w:w="1799" w:type="dxa"/>
            <w:vAlign w:val="center"/>
          </w:tcPr>
          <w:p w14:paraId="6217E6DA">
            <w:pPr>
              <w:widowControl/>
              <w:spacing w:line="360" w:lineRule="auto"/>
              <w:jc w:val="center"/>
              <w:rPr>
                <w:highlight w:val="none"/>
              </w:rPr>
            </w:pPr>
            <w:r>
              <w:rPr>
                <w:rFonts w:hint="eastAsia"/>
                <w:highlight w:val="none"/>
              </w:rPr>
              <w:t>0.008%</w:t>
            </w:r>
          </w:p>
        </w:tc>
        <w:tc>
          <w:tcPr>
            <w:tcW w:w="1799" w:type="dxa"/>
            <w:vAlign w:val="center"/>
          </w:tcPr>
          <w:p w14:paraId="12F4C0A8">
            <w:pPr>
              <w:widowControl/>
              <w:spacing w:line="360" w:lineRule="auto"/>
              <w:jc w:val="center"/>
              <w:rPr>
                <w:highlight w:val="none"/>
              </w:rPr>
            </w:pPr>
            <w:r>
              <w:rPr>
                <w:rFonts w:hint="eastAsia"/>
                <w:highlight w:val="none"/>
              </w:rPr>
              <w:t>0.008%</w:t>
            </w:r>
          </w:p>
        </w:tc>
      </w:tr>
      <w:tr w14:paraId="4314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31151F72">
            <w:pPr>
              <w:widowControl/>
              <w:spacing w:line="360" w:lineRule="auto"/>
              <w:jc w:val="center"/>
              <w:rPr>
                <w:highlight w:val="none"/>
              </w:rPr>
            </w:pPr>
            <w:r>
              <w:rPr>
                <w:rFonts w:hint="eastAsia"/>
                <w:highlight w:val="none"/>
              </w:rPr>
              <w:t>50亿元（含）-100亿元</w:t>
            </w:r>
          </w:p>
        </w:tc>
        <w:tc>
          <w:tcPr>
            <w:tcW w:w="1799" w:type="dxa"/>
            <w:vAlign w:val="center"/>
          </w:tcPr>
          <w:p w14:paraId="1CBBE480">
            <w:pPr>
              <w:widowControl/>
              <w:spacing w:line="360" w:lineRule="auto"/>
              <w:jc w:val="center"/>
              <w:rPr>
                <w:highlight w:val="none"/>
              </w:rPr>
            </w:pPr>
            <w:r>
              <w:rPr>
                <w:rFonts w:hint="eastAsia"/>
                <w:highlight w:val="none"/>
              </w:rPr>
              <w:t>0.006%</w:t>
            </w:r>
          </w:p>
        </w:tc>
        <w:tc>
          <w:tcPr>
            <w:tcW w:w="1799" w:type="dxa"/>
            <w:vAlign w:val="center"/>
          </w:tcPr>
          <w:p w14:paraId="474467DB">
            <w:pPr>
              <w:widowControl/>
              <w:spacing w:line="360" w:lineRule="auto"/>
              <w:jc w:val="center"/>
              <w:rPr>
                <w:highlight w:val="none"/>
              </w:rPr>
            </w:pPr>
            <w:r>
              <w:rPr>
                <w:rFonts w:hint="eastAsia"/>
                <w:highlight w:val="none"/>
              </w:rPr>
              <w:t>0.006%</w:t>
            </w:r>
          </w:p>
        </w:tc>
        <w:tc>
          <w:tcPr>
            <w:tcW w:w="1799" w:type="dxa"/>
            <w:vAlign w:val="center"/>
          </w:tcPr>
          <w:p w14:paraId="0B21F5E7">
            <w:pPr>
              <w:widowControl/>
              <w:spacing w:line="360" w:lineRule="auto"/>
              <w:jc w:val="center"/>
              <w:rPr>
                <w:highlight w:val="none"/>
              </w:rPr>
            </w:pPr>
            <w:r>
              <w:rPr>
                <w:rFonts w:hint="eastAsia"/>
                <w:highlight w:val="none"/>
              </w:rPr>
              <w:t>0.006%</w:t>
            </w:r>
          </w:p>
        </w:tc>
      </w:tr>
      <w:tr w14:paraId="1C88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E24BCC1">
            <w:pPr>
              <w:widowControl/>
              <w:spacing w:line="360" w:lineRule="auto"/>
              <w:jc w:val="center"/>
              <w:rPr>
                <w:highlight w:val="none"/>
              </w:rPr>
            </w:pPr>
            <w:r>
              <w:rPr>
                <w:rFonts w:hint="eastAsia"/>
                <w:highlight w:val="none"/>
              </w:rPr>
              <w:t>100亿元（含）以上</w:t>
            </w:r>
          </w:p>
        </w:tc>
        <w:tc>
          <w:tcPr>
            <w:tcW w:w="1799" w:type="dxa"/>
            <w:vAlign w:val="center"/>
          </w:tcPr>
          <w:p w14:paraId="747CAFE0">
            <w:pPr>
              <w:widowControl/>
              <w:spacing w:line="360" w:lineRule="auto"/>
              <w:jc w:val="center"/>
              <w:rPr>
                <w:highlight w:val="none"/>
              </w:rPr>
            </w:pPr>
            <w:r>
              <w:rPr>
                <w:rFonts w:hint="eastAsia"/>
                <w:highlight w:val="none"/>
              </w:rPr>
              <w:t>0.004%</w:t>
            </w:r>
          </w:p>
        </w:tc>
        <w:tc>
          <w:tcPr>
            <w:tcW w:w="1799" w:type="dxa"/>
            <w:vAlign w:val="center"/>
          </w:tcPr>
          <w:p w14:paraId="5D28EDB7">
            <w:pPr>
              <w:widowControl/>
              <w:spacing w:line="360" w:lineRule="auto"/>
              <w:jc w:val="center"/>
              <w:rPr>
                <w:highlight w:val="none"/>
              </w:rPr>
            </w:pPr>
            <w:r>
              <w:rPr>
                <w:rFonts w:hint="eastAsia"/>
                <w:highlight w:val="none"/>
              </w:rPr>
              <w:t>0.004%</w:t>
            </w:r>
          </w:p>
        </w:tc>
        <w:tc>
          <w:tcPr>
            <w:tcW w:w="1799" w:type="dxa"/>
            <w:vAlign w:val="center"/>
          </w:tcPr>
          <w:p w14:paraId="10EF7DCA">
            <w:pPr>
              <w:widowControl/>
              <w:spacing w:line="360" w:lineRule="auto"/>
              <w:jc w:val="center"/>
              <w:rPr>
                <w:highlight w:val="none"/>
              </w:rPr>
            </w:pPr>
            <w:r>
              <w:rPr>
                <w:rFonts w:hint="eastAsia"/>
                <w:highlight w:val="none"/>
              </w:rPr>
              <w:t>0.004%</w:t>
            </w:r>
          </w:p>
        </w:tc>
      </w:tr>
    </w:tbl>
    <w:p w14:paraId="4A08B9F0">
      <w:pPr>
        <w:ind w:firstLine="420" w:firstLineChars="200"/>
        <w:rPr>
          <w:highlight w:val="none"/>
        </w:rPr>
      </w:pPr>
      <w:r>
        <w:rPr>
          <w:rFonts w:hint="eastAsia"/>
          <w:highlight w:val="none"/>
        </w:rPr>
        <w:t xml:space="preserve">备注：1.每宗交易代理服务费不低于 </w:t>
      </w:r>
      <w:r>
        <w:rPr>
          <w:rFonts w:hint="eastAsia" w:ascii="Times New Roman" w:eastAsia="宋体"/>
          <w:highlight w:val="none"/>
          <w:lang w:val="en-US" w:eastAsia="zh-CN"/>
        </w:rPr>
        <w:t>5</w:t>
      </w:r>
      <w:r>
        <w:rPr>
          <w:rFonts w:hint="eastAsia"/>
          <w:highlight w:val="none"/>
        </w:rPr>
        <w:t>000 元；</w:t>
      </w:r>
    </w:p>
    <w:p w14:paraId="3AED6285">
      <w:pPr>
        <w:ind w:firstLine="420" w:firstLineChars="200"/>
      </w:pPr>
      <w:r>
        <w:rPr>
          <w:rFonts w:hint="eastAsia"/>
        </w:rPr>
        <w:t>2.对于报总价的采购类项目，中标（成交）价为中标（成交）金额；对于报单价、折扣或费率的采购类项目，中标（成交）价为预算上限金额或经委托方与代理方确定的支付上限金额；</w:t>
      </w:r>
    </w:p>
    <w:p w14:paraId="4F9B69DB">
      <w:pPr>
        <w:ind w:firstLine="420" w:firstLineChars="200"/>
      </w:pPr>
      <w:r>
        <w:rPr>
          <w:rFonts w:hint="eastAsia"/>
        </w:rPr>
        <w:t>如某货物采购项目，中标（成交）金额为600万元，总共交纳的代理服务费的具体计算过程如下：</w:t>
      </w:r>
    </w:p>
    <w:p w14:paraId="78DD314A">
      <w:pPr>
        <w:ind w:firstLine="420" w:firstLineChars="200"/>
      </w:pPr>
      <w:r>
        <w:rPr>
          <w:rFonts w:hint="eastAsia"/>
        </w:rPr>
        <w:t>标准代理服务费＝（100万以下部分的代理服务费）+（100万～500万部分的代理服务费）+（500万～600万部分的代理服务费）＝100万元×1.5%+（500-100）万元×1.1%+（600-500）万元×0.8%=1.5万元+4.4万元+0.8万元＝6.7万元</w:t>
      </w:r>
    </w:p>
    <w:p w14:paraId="7051D567">
      <w:pPr>
        <w:ind w:firstLine="420" w:firstLineChars="200"/>
      </w:pPr>
      <w:r>
        <w:rPr>
          <w:rFonts w:hint="eastAsia"/>
        </w:rPr>
        <w:t>（3）中标（成交）供应商中标（成交）后，必须按规定采用银行对公转账方式向深圳交易集团有限公司直接交纳代理服务费，交纳信息及要求：</w:t>
      </w:r>
    </w:p>
    <w:p w14:paraId="16CCDB8C">
      <w:pPr>
        <w:ind w:firstLine="422" w:firstLineChars="200"/>
        <w:rPr>
          <w:rFonts w:ascii="宋体" w:hAnsi="宋体" w:eastAsia="宋体" w:cs="宋体"/>
          <w:bCs/>
          <w:color w:val="FF0000"/>
          <w:szCs w:val="21"/>
          <w:highlight w:val="none"/>
        </w:rPr>
      </w:pPr>
      <w:r>
        <w:rPr>
          <w:rFonts w:hint="eastAsia" w:ascii="宋体" w:hAnsi="宋体" w:eastAsia="宋体" w:cs="宋体"/>
          <w:b/>
          <w:bCs/>
          <w:color w:val="FF0000"/>
          <w:szCs w:val="21"/>
          <w:highlight w:val="none"/>
        </w:rPr>
        <w:t>转账备注：</w:t>
      </w:r>
    </w:p>
    <w:p w14:paraId="12204C2A">
      <w:pPr>
        <w:ind w:firstLine="420" w:firstLineChars="200"/>
        <w:rPr>
          <w:rFonts w:hint="eastAsia" w:ascii="宋体" w:hAnsi="宋体" w:eastAsia="宋体" w:cs="宋体"/>
          <w:bCs/>
          <w:color w:val="FF0000"/>
          <w:szCs w:val="21"/>
          <w:highlight w:val="none"/>
        </w:rPr>
      </w:pPr>
      <w:r>
        <w:rPr>
          <w:rFonts w:hint="eastAsia" w:ascii="宋体" w:hAnsi="宋体" w:eastAsia="宋体" w:cs="宋体"/>
          <w:bCs/>
          <w:color w:val="FF0000"/>
          <w:szCs w:val="21"/>
          <w:highlight w:val="none"/>
        </w:rPr>
        <w:t>项目编号+项目名称</w:t>
      </w:r>
    </w:p>
    <w:p w14:paraId="3C1A7907">
      <w:pPr>
        <w:spacing w:after="0" w:line="240" w:lineRule="auto"/>
        <w:ind w:firstLine="422" w:firstLineChars="200"/>
        <w:jc w:val="left"/>
        <w:rPr>
          <w:rFonts w:ascii="Times New Roman" w:hAnsi="Times New Roman" w:eastAsia="宋体" w:cs="Times New Roman"/>
          <w:b/>
          <w:color w:val="000000" w:themeColor="text1"/>
          <w:highlight w:val="none"/>
          <w14:textFill>
            <w14:solidFill>
              <w14:schemeClr w14:val="tx1"/>
            </w14:solidFill>
          </w14:textFill>
        </w:rPr>
      </w:pPr>
    </w:p>
    <w:p w14:paraId="04ACE50C">
      <w:pPr>
        <w:wordWrap w:val="0"/>
        <w:spacing w:line="240" w:lineRule="auto"/>
        <w:ind w:firstLine="422" w:firstLineChars="200"/>
        <w:rPr>
          <w:rFonts w:hint="default" w:ascii="Times New Roman" w:hAnsi="Times New Roman" w:eastAsia="宋体" w:cs="Times New Roman"/>
          <w:b/>
          <w:bCs/>
          <w:highlight w:val="none"/>
          <w:lang w:val="en-US" w:eastAsia="zh-CN"/>
        </w:rPr>
      </w:pPr>
      <w:r>
        <w:rPr>
          <w:rFonts w:hint="eastAsia" w:cs="Times New Roman"/>
          <w:b/>
          <w:bCs/>
          <w:highlight w:val="none"/>
          <w:lang w:val="en-US" w:eastAsia="zh-CN"/>
        </w:rPr>
        <w:t>3</w:t>
      </w:r>
      <w:r>
        <w:rPr>
          <w:rFonts w:hint="default" w:ascii="Times New Roman" w:hAnsi="Times New Roman" w:eastAsia="宋体" w:cs="Times New Roman"/>
          <w:b/>
          <w:bCs/>
          <w:highlight w:val="none"/>
          <w:lang w:val="en-US" w:eastAsia="zh-CN"/>
        </w:rPr>
        <w:t>、长期服务采购项目</w:t>
      </w:r>
    </w:p>
    <w:p w14:paraId="6D75202C">
      <w:pPr>
        <w:widowControl/>
        <w:jc w:val="left"/>
        <w:rPr>
          <w:rFonts w:hint="eastAsia" w:ascii="宋体" w:hAnsi="宋体" w:eastAsia="宋体" w:cs="Times New Roman"/>
          <w:b/>
          <w:bCs/>
          <w:kern w:val="0"/>
          <w:sz w:val="28"/>
          <w:szCs w:val="28"/>
          <w:highlight w:val="none"/>
        </w:rPr>
      </w:pPr>
      <w:r>
        <w:rPr>
          <w:rFonts w:hint="eastAsia" w:ascii="Times New Roman" w:hAnsi="Times New Roman" w:eastAsia="宋体" w:cs="Times New Roman"/>
          <w:b w:val="0"/>
          <w:highlight w:val="none"/>
          <w:lang w:val="en-US" w:eastAsia="zh-CN"/>
        </w:rPr>
        <w:t>本项目为长期服务项目，合同期满可以续签，但合同履行期限最长不得超过三十六个月。如甲方对履约情况不满意，甲方不再续约。</w:t>
      </w:r>
    </w:p>
    <w:p w14:paraId="5843EB69">
      <w:pPr>
        <w:widowControl/>
        <w:jc w:val="left"/>
        <w:rPr>
          <w:rFonts w:hint="eastAsia" w:ascii="宋体" w:hAnsi="宋体" w:eastAsia="宋体" w:cs="Times New Roman"/>
          <w:b/>
          <w:bCs/>
          <w:kern w:val="0"/>
          <w:sz w:val="28"/>
          <w:szCs w:val="28"/>
        </w:rPr>
      </w:pPr>
    </w:p>
    <w:p w14:paraId="5918039C">
      <w:pPr>
        <w:rPr>
          <w:rFonts w:ascii="Times New Roman" w:hAnsi="Times New Roman" w:eastAsia="宋体" w:cs="Times New Roman"/>
          <w:sz w:val="28"/>
          <w:szCs w:val="28"/>
        </w:rPr>
      </w:pPr>
      <w:r>
        <w:rPr>
          <w:rFonts w:hint="eastAsia" w:ascii="Times New Roman" w:hAnsi="Times New Roman" w:eastAsia="宋体" w:cs="Times New Roman"/>
          <w:sz w:val="28"/>
          <w:szCs w:val="28"/>
        </w:rPr>
        <w:br w:type="page"/>
      </w:r>
    </w:p>
    <w:p w14:paraId="55BFEB0D">
      <w:pPr>
        <w:keepNext/>
        <w:keepLines/>
        <w:adjustRightInd w:val="0"/>
        <w:spacing w:before="260" w:after="260"/>
        <w:jc w:val="center"/>
        <w:textAlignment w:val="baseline"/>
        <w:outlineLvl w:val="1"/>
        <w:rPr>
          <w:rFonts w:hint="eastAsia" w:ascii="宋体" w:hAnsi="宋体" w:eastAsia="宋体" w:cs="Times New Roman"/>
          <w:b/>
          <w:bCs/>
          <w:kern w:val="0"/>
          <w:sz w:val="28"/>
          <w:szCs w:val="28"/>
        </w:rPr>
      </w:pPr>
      <w:r>
        <w:rPr>
          <w:rFonts w:hint="eastAsia" w:ascii="宋体" w:hAnsi="宋体" w:eastAsia="宋体" w:cs="Times New Roman"/>
          <w:b/>
          <w:bCs/>
          <w:kern w:val="0"/>
          <w:sz w:val="28"/>
          <w:szCs w:val="28"/>
        </w:rPr>
        <w:t>第三章 用户需求书</w:t>
      </w:r>
    </w:p>
    <w:p w14:paraId="562D1D20">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一、项目基本信息</w:t>
      </w:r>
    </w:p>
    <w:tbl>
      <w:tblPr>
        <w:tblStyle w:val="42"/>
        <w:tblpPr w:leftFromText="180" w:rightFromText="180" w:vertAnchor="text" w:horzAnchor="margin" w:tblpY="17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5176"/>
        <w:gridCol w:w="2855"/>
      </w:tblGrid>
      <w:tr w14:paraId="1E38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38" w:type="pct"/>
            <w:vAlign w:val="center"/>
          </w:tcPr>
          <w:p w14:paraId="5BE0A403">
            <w:pPr>
              <w:spacing w:line="276" w:lineRule="auto"/>
              <w:jc w:val="center"/>
              <w:rPr>
                <w:rFonts w:hint="eastAsia" w:ascii="宋体" w:hAnsi="宋体" w:eastAsia="宋体" w:cs="宋体"/>
                <w:bCs/>
                <w:szCs w:val="21"/>
              </w:rPr>
            </w:pPr>
            <w:r>
              <w:rPr>
                <w:rFonts w:hint="eastAsia" w:ascii="宋体" w:hAnsi="宋体" w:eastAsia="宋体" w:cs="宋体"/>
                <w:bCs/>
                <w:szCs w:val="21"/>
              </w:rPr>
              <w:t>序号</w:t>
            </w:r>
          </w:p>
        </w:tc>
        <w:tc>
          <w:tcPr>
            <w:tcW w:w="2875" w:type="pct"/>
            <w:vAlign w:val="center"/>
          </w:tcPr>
          <w:p w14:paraId="52761843">
            <w:pPr>
              <w:spacing w:line="276" w:lineRule="auto"/>
              <w:jc w:val="center"/>
              <w:rPr>
                <w:rFonts w:hint="eastAsia" w:ascii="宋体" w:hAnsi="宋体" w:eastAsia="宋体" w:cs="宋体"/>
                <w:bCs/>
                <w:szCs w:val="21"/>
              </w:rPr>
            </w:pPr>
            <w:r>
              <w:rPr>
                <w:rFonts w:hint="eastAsia" w:ascii="宋体" w:hAnsi="宋体" w:eastAsia="宋体" w:cs="宋体"/>
                <w:bCs/>
                <w:szCs w:val="21"/>
              </w:rPr>
              <w:t>采购项目名称</w:t>
            </w:r>
          </w:p>
        </w:tc>
        <w:tc>
          <w:tcPr>
            <w:tcW w:w="1586" w:type="pct"/>
            <w:vAlign w:val="center"/>
          </w:tcPr>
          <w:p w14:paraId="2D7145C8">
            <w:pPr>
              <w:spacing w:line="276" w:lineRule="auto"/>
              <w:jc w:val="center"/>
              <w:rPr>
                <w:rFonts w:hint="eastAsia" w:ascii="宋体" w:hAnsi="宋体" w:eastAsia="宋体" w:cs="宋体"/>
                <w:b/>
                <w:bCs/>
                <w:color w:val="FF0000"/>
                <w:szCs w:val="21"/>
              </w:rPr>
            </w:pPr>
            <w:r>
              <w:rPr>
                <w:rFonts w:hint="eastAsia" w:ascii="宋体" w:hAnsi="宋体" w:eastAsia="宋体" w:cs="宋体"/>
                <w:b/>
                <w:bCs/>
                <w:szCs w:val="21"/>
              </w:rPr>
              <w:t>预算金额（年支付上限）（元）</w:t>
            </w:r>
          </w:p>
        </w:tc>
      </w:tr>
      <w:tr w14:paraId="2103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38" w:type="pct"/>
            <w:vAlign w:val="center"/>
          </w:tcPr>
          <w:p w14:paraId="17DBA97F">
            <w:pPr>
              <w:spacing w:line="276" w:lineRule="auto"/>
              <w:jc w:val="center"/>
              <w:rPr>
                <w:rFonts w:hint="eastAsia" w:ascii="宋体" w:hAnsi="宋体" w:eastAsia="宋体" w:cs="宋体"/>
                <w:bCs/>
                <w:szCs w:val="21"/>
              </w:rPr>
            </w:pPr>
            <w:r>
              <w:rPr>
                <w:rFonts w:hint="eastAsia" w:ascii="宋体" w:hAnsi="宋体" w:eastAsia="宋体" w:cs="宋体"/>
                <w:bCs/>
                <w:szCs w:val="21"/>
              </w:rPr>
              <w:t>1</w:t>
            </w:r>
          </w:p>
        </w:tc>
        <w:tc>
          <w:tcPr>
            <w:tcW w:w="2875" w:type="pct"/>
            <w:vAlign w:val="center"/>
          </w:tcPr>
          <w:p w14:paraId="367BE27D">
            <w:pPr>
              <w:spacing w:line="276" w:lineRule="auto"/>
              <w:jc w:val="center"/>
              <w:rPr>
                <w:rFonts w:hint="eastAsia" w:ascii="宋体" w:hAnsi="宋体" w:cs="宋体"/>
                <w:b/>
                <w:bCs/>
                <w:color w:val="FF0000"/>
                <w:szCs w:val="21"/>
              </w:rPr>
            </w:pPr>
            <w:r>
              <w:rPr>
                <w:rFonts w:hint="eastAsia" w:ascii="宋体" w:hAnsi="宋体" w:cs="宋体"/>
                <w:b/>
                <w:bCs/>
                <w:color w:val="FF0000"/>
                <w:szCs w:val="21"/>
              </w:rPr>
              <w:t>深圳市高级中学2025-2026年食堂乳制品类配送采购项目</w:t>
            </w:r>
          </w:p>
        </w:tc>
        <w:tc>
          <w:tcPr>
            <w:tcW w:w="1586" w:type="pct"/>
            <w:vAlign w:val="center"/>
          </w:tcPr>
          <w:p w14:paraId="2525A8E5">
            <w:pPr>
              <w:spacing w:line="276" w:lineRule="auto"/>
              <w:jc w:val="center"/>
              <w:rPr>
                <w:rFonts w:hint="default" w:ascii="宋体" w:hAnsi="宋体" w:eastAsia="宋体" w:cs="宋体"/>
                <w:bCs/>
                <w:color w:val="FF0000"/>
                <w:szCs w:val="21"/>
                <w:lang w:val="en-US" w:eastAsia="zh-CN"/>
              </w:rPr>
            </w:pPr>
            <w:r>
              <w:rPr>
                <w:rFonts w:hint="eastAsia" w:ascii="宋体" w:hAnsi="宋体" w:eastAsia="宋体" w:cs="宋体"/>
                <w:bCs/>
                <w:color w:val="FF0000"/>
                <w:szCs w:val="21"/>
                <w:highlight w:val="yellow"/>
                <w:lang w:val="en-US" w:eastAsia="zh-CN"/>
              </w:rPr>
              <w:t>200,000.00</w:t>
            </w:r>
          </w:p>
        </w:tc>
      </w:tr>
    </w:tbl>
    <w:p w14:paraId="2EF0DDED">
      <w:pPr>
        <w:spacing w:line="276" w:lineRule="auto"/>
        <w:ind w:firstLine="422" w:firstLineChars="200"/>
        <w:rPr>
          <w:rFonts w:hint="eastAsia" w:ascii="宋体" w:hAnsi="宋体" w:eastAsia="宋体" w:cs="Times New Roman"/>
          <w:b/>
          <w:color w:val="FF0000"/>
          <w:szCs w:val="21"/>
        </w:rPr>
      </w:pPr>
    </w:p>
    <w:p w14:paraId="0B9D227B">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二、项目概况</w:t>
      </w:r>
    </w:p>
    <w:p w14:paraId="7F0E0470">
      <w:pPr>
        <w:ind w:firstLine="420" w:firstLineChars="200"/>
      </w:pPr>
      <w:r>
        <w:rPr>
          <w:rFonts w:hint="eastAsia"/>
        </w:rPr>
        <w:t>为持续推进深圳市教育领域食堂管理问题专项整治工作，继续规范学校食堂食材采购管理，确保食材采购质量，保障师生饮食安全与健康。现通过公开招标的方式选择1家中标供应商，为深圳市高级中学（7个校区）提供2025年-2026年</w:t>
      </w:r>
      <w:r>
        <w:rPr>
          <w:rFonts w:hint="eastAsia"/>
          <w:lang w:eastAsia="zh-CN"/>
        </w:rPr>
        <w:t>食堂</w:t>
      </w:r>
      <w:r>
        <w:rPr>
          <w:rFonts w:hint="eastAsia"/>
        </w:rPr>
        <w:t>乳制品的配送及相关服务。</w:t>
      </w:r>
    </w:p>
    <w:p w14:paraId="6857783A">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p>
    <w:p w14:paraId="1E30A34F">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三、服务需求明细</w:t>
      </w:r>
    </w:p>
    <w:tbl>
      <w:tblPr>
        <w:tblStyle w:val="42"/>
        <w:tblpPr w:leftFromText="180" w:rightFromText="180" w:vertAnchor="text" w:horzAnchor="margin" w:tblpY="17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705"/>
        <w:gridCol w:w="666"/>
        <w:gridCol w:w="1039"/>
        <w:gridCol w:w="1360"/>
        <w:gridCol w:w="2625"/>
      </w:tblGrid>
      <w:tr w14:paraId="548D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336" w:type="pct"/>
            <w:vAlign w:val="center"/>
          </w:tcPr>
          <w:p w14:paraId="46E26778">
            <w:pPr>
              <w:spacing w:line="276" w:lineRule="auto"/>
              <w:jc w:val="center"/>
              <w:rPr>
                <w:rFonts w:hint="eastAsia" w:ascii="宋体" w:hAnsi="宋体" w:eastAsia="宋体" w:cs="宋体"/>
                <w:b/>
                <w:bCs/>
                <w:szCs w:val="21"/>
              </w:rPr>
            </w:pPr>
            <w:r>
              <w:rPr>
                <w:rFonts w:hint="eastAsia" w:ascii="宋体" w:hAnsi="宋体" w:eastAsia="宋体" w:cs="宋体"/>
                <w:b/>
                <w:bCs/>
                <w:szCs w:val="21"/>
              </w:rPr>
              <w:t>序号</w:t>
            </w:r>
          </w:p>
        </w:tc>
        <w:tc>
          <w:tcPr>
            <w:tcW w:w="1502" w:type="pct"/>
            <w:vAlign w:val="center"/>
          </w:tcPr>
          <w:p w14:paraId="176F631D">
            <w:pPr>
              <w:spacing w:line="276" w:lineRule="auto"/>
              <w:jc w:val="center"/>
              <w:rPr>
                <w:rFonts w:hint="eastAsia" w:ascii="宋体" w:hAnsi="宋体" w:eastAsia="宋体" w:cs="宋体"/>
                <w:b/>
                <w:bCs/>
                <w:szCs w:val="21"/>
              </w:rPr>
            </w:pPr>
            <w:r>
              <w:rPr>
                <w:rFonts w:hint="eastAsia" w:ascii="宋体" w:hAnsi="宋体" w:eastAsia="宋体" w:cs="宋体"/>
                <w:b/>
                <w:bCs/>
                <w:szCs w:val="21"/>
              </w:rPr>
              <w:t>服务需求名称（标的名称）</w:t>
            </w:r>
          </w:p>
        </w:tc>
        <w:tc>
          <w:tcPr>
            <w:tcW w:w="370" w:type="pct"/>
            <w:vAlign w:val="center"/>
          </w:tcPr>
          <w:p w14:paraId="2A9A9174">
            <w:pPr>
              <w:spacing w:line="276" w:lineRule="auto"/>
              <w:jc w:val="center"/>
              <w:rPr>
                <w:rFonts w:hint="eastAsia" w:ascii="宋体" w:hAnsi="宋体" w:eastAsia="宋体" w:cs="宋体"/>
                <w:b/>
                <w:bCs/>
                <w:szCs w:val="21"/>
              </w:rPr>
            </w:pPr>
            <w:r>
              <w:rPr>
                <w:rFonts w:hint="eastAsia" w:ascii="宋体" w:hAnsi="宋体" w:eastAsia="宋体" w:cs="宋体"/>
                <w:b/>
                <w:bCs/>
                <w:szCs w:val="21"/>
              </w:rPr>
              <w:t>数量</w:t>
            </w:r>
          </w:p>
        </w:tc>
        <w:tc>
          <w:tcPr>
            <w:tcW w:w="577" w:type="pct"/>
            <w:vAlign w:val="center"/>
          </w:tcPr>
          <w:p w14:paraId="3D115BE0">
            <w:pPr>
              <w:spacing w:line="276" w:lineRule="auto"/>
              <w:jc w:val="center"/>
              <w:rPr>
                <w:rFonts w:hint="eastAsia" w:ascii="宋体" w:hAnsi="宋体" w:eastAsia="宋体" w:cs="宋体"/>
                <w:b/>
                <w:bCs/>
                <w:szCs w:val="21"/>
              </w:rPr>
            </w:pPr>
            <w:r>
              <w:rPr>
                <w:rFonts w:hint="eastAsia" w:ascii="宋体" w:hAnsi="宋体" w:eastAsia="宋体" w:cs="宋体"/>
                <w:b/>
                <w:bCs/>
                <w:szCs w:val="21"/>
              </w:rPr>
              <w:t>单位</w:t>
            </w:r>
          </w:p>
        </w:tc>
        <w:tc>
          <w:tcPr>
            <w:tcW w:w="755" w:type="pct"/>
            <w:vAlign w:val="center"/>
          </w:tcPr>
          <w:p w14:paraId="646735C4">
            <w:pPr>
              <w:jc w:val="center"/>
              <w:rPr>
                <w:rFonts w:hint="eastAsia" w:ascii="宋体" w:hAnsi="宋体" w:eastAsia="宋体" w:cs="宋体"/>
                <w:b/>
                <w:bCs/>
                <w:szCs w:val="21"/>
              </w:rPr>
            </w:pPr>
            <w:r>
              <w:rPr>
                <w:rFonts w:hint="eastAsia" w:ascii="Times New Roman" w:eastAsia="宋体"/>
                <w:b/>
                <w:bCs/>
                <w:color w:val="FF0000"/>
                <w:szCs w:val="21"/>
              </w:rPr>
              <w:t>是否专门面向中小企业</w:t>
            </w:r>
          </w:p>
        </w:tc>
        <w:tc>
          <w:tcPr>
            <w:tcW w:w="1457" w:type="pct"/>
            <w:vAlign w:val="center"/>
          </w:tcPr>
          <w:p w14:paraId="28D012A1">
            <w:pPr>
              <w:jc w:val="center"/>
              <w:rPr>
                <w:rFonts w:hint="eastAsia" w:ascii="宋体" w:hAnsi="宋体" w:eastAsia="宋体" w:cs="宋体"/>
                <w:b/>
                <w:bCs/>
                <w:szCs w:val="21"/>
              </w:rPr>
            </w:pPr>
            <w:r>
              <w:rPr>
                <w:rFonts w:hint="eastAsia" w:ascii="Times New Roman" w:eastAsia="宋体"/>
                <w:b/>
                <w:bCs/>
                <w:color w:val="FF0000"/>
                <w:szCs w:val="21"/>
              </w:rPr>
              <w:t>标的所属行业</w:t>
            </w:r>
          </w:p>
        </w:tc>
      </w:tr>
      <w:tr w14:paraId="37FC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336" w:type="pct"/>
            <w:vAlign w:val="center"/>
          </w:tcPr>
          <w:p w14:paraId="60FE84B8">
            <w:pPr>
              <w:spacing w:line="276" w:lineRule="auto"/>
              <w:jc w:val="center"/>
              <w:rPr>
                <w:rFonts w:hint="eastAsia" w:ascii="宋体" w:hAnsi="宋体" w:eastAsia="宋体" w:cs="宋体"/>
                <w:bCs/>
                <w:szCs w:val="21"/>
              </w:rPr>
            </w:pPr>
            <w:r>
              <w:rPr>
                <w:rFonts w:hint="eastAsia" w:ascii="宋体" w:hAnsi="宋体" w:eastAsia="宋体" w:cs="宋体"/>
                <w:bCs/>
                <w:szCs w:val="21"/>
              </w:rPr>
              <w:t>1</w:t>
            </w:r>
          </w:p>
        </w:tc>
        <w:tc>
          <w:tcPr>
            <w:tcW w:w="1502" w:type="pct"/>
            <w:vAlign w:val="center"/>
          </w:tcPr>
          <w:p w14:paraId="5352F29A">
            <w:pPr>
              <w:spacing w:line="276" w:lineRule="auto"/>
              <w:jc w:val="center"/>
              <w:rPr>
                <w:rFonts w:hint="eastAsia" w:ascii="宋体" w:hAnsi="宋体" w:eastAsia="宋体" w:cs="宋体"/>
                <w:bCs/>
                <w:szCs w:val="21"/>
              </w:rPr>
            </w:pPr>
            <w:r>
              <w:rPr>
                <w:rFonts w:hint="eastAsia" w:ascii="宋体" w:hAnsi="宋体" w:eastAsia="宋体" w:cs="宋体"/>
                <w:bCs/>
                <w:szCs w:val="21"/>
              </w:rPr>
              <w:t>深圳市高级中学2025-2026年食堂乳制品类配送采购项目</w:t>
            </w:r>
          </w:p>
        </w:tc>
        <w:tc>
          <w:tcPr>
            <w:tcW w:w="370" w:type="pct"/>
            <w:vAlign w:val="center"/>
          </w:tcPr>
          <w:p w14:paraId="044F7B60">
            <w:pPr>
              <w:spacing w:line="276" w:lineRule="auto"/>
              <w:jc w:val="center"/>
              <w:rPr>
                <w:rFonts w:hint="eastAsia" w:ascii="宋体" w:hAnsi="宋体" w:eastAsia="宋体" w:cs="宋体"/>
                <w:bCs/>
                <w:szCs w:val="21"/>
              </w:rPr>
            </w:pPr>
            <w:r>
              <w:rPr>
                <w:rFonts w:hint="eastAsia" w:ascii="宋体" w:hAnsi="宋体" w:eastAsia="宋体" w:cs="宋体"/>
                <w:szCs w:val="21"/>
              </w:rPr>
              <w:t>1</w:t>
            </w:r>
          </w:p>
        </w:tc>
        <w:tc>
          <w:tcPr>
            <w:tcW w:w="577" w:type="pct"/>
            <w:vAlign w:val="center"/>
          </w:tcPr>
          <w:p w14:paraId="42D75349">
            <w:pPr>
              <w:spacing w:line="276" w:lineRule="auto"/>
              <w:jc w:val="center"/>
              <w:rPr>
                <w:rFonts w:hint="eastAsia" w:ascii="宋体" w:hAnsi="宋体" w:eastAsia="宋体" w:cs="宋体"/>
                <w:bCs/>
                <w:szCs w:val="21"/>
              </w:rPr>
            </w:pPr>
            <w:r>
              <w:rPr>
                <w:rFonts w:hint="eastAsia" w:ascii="宋体" w:hAnsi="宋体" w:eastAsia="宋体" w:cs="宋体"/>
                <w:bCs/>
                <w:szCs w:val="21"/>
              </w:rPr>
              <w:t>项</w:t>
            </w:r>
          </w:p>
        </w:tc>
        <w:tc>
          <w:tcPr>
            <w:tcW w:w="755" w:type="pct"/>
            <w:vAlign w:val="center"/>
          </w:tcPr>
          <w:p w14:paraId="2B036353">
            <w:pPr>
              <w:spacing w:line="276" w:lineRule="auto"/>
              <w:jc w:val="center"/>
              <w:rPr>
                <w:rFonts w:hint="eastAsia" w:ascii="宋体" w:hAnsi="宋体" w:eastAsia="宋体" w:cs="宋体"/>
                <w:bCs/>
                <w:szCs w:val="21"/>
              </w:rPr>
            </w:pPr>
            <w:r>
              <w:rPr>
                <w:rFonts w:hint="eastAsia" w:ascii="宋体" w:hAnsi="宋体" w:eastAsia="宋体" w:cs="宋体"/>
                <w:bCs/>
                <w:szCs w:val="21"/>
              </w:rPr>
              <w:t>否</w:t>
            </w:r>
          </w:p>
        </w:tc>
        <w:tc>
          <w:tcPr>
            <w:tcW w:w="1457" w:type="pct"/>
            <w:vAlign w:val="center"/>
          </w:tcPr>
          <w:p w14:paraId="67AE51BA">
            <w:pPr>
              <w:spacing w:line="276" w:lineRule="auto"/>
              <w:jc w:val="center"/>
              <w:rPr>
                <w:rFonts w:hint="eastAsia" w:ascii="宋体" w:hAnsi="宋体" w:eastAsia="宋体" w:cs="宋体"/>
                <w:bCs/>
                <w:szCs w:val="21"/>
              </w:rPr>
            </w:pPr>
            <w:r>
              <w:rPr>
                <w:rFonts w:hint="eastAsia" w:ascii="宋体" w:hAnsi="宋体" w:eastAsia="宋体" w:cs="宋体"/>
                <w:bCs/>
                <w:szCs w:val="21"/>
              </w:rPr>
              <w:t>批发业</w:t>
            </w:r>
          </w:p>
        </w:tc>
      </w:tr>
    </w:tbl>
    <w:p w14:paraId="40D1E497">
      <w:pPr>
        <w:rPr>
          <w:rFonts w:ascii="Times New Roman" w:hAnsi="Times New Roman" w:eastAsia="宋体" w:cs="Times New Roman"/>
          <w:szCs w:val="24"/>
        </w:rPr>
      </w:pPr>
    </w:p>
    <w:p w14:paraId="3804D899">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四、实质性条款</w:t>
      </w:r>
    </w:p>
    <w:tbl>
      <w:tblPr>
        <w:tblStyle w:val="42"/>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8207"/>
      </w:tblGrid>
      <w:tr w14:paraId="34FB7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2" w:type="dxa"/>
            <w:vAlign w:val="center"/>
          </w:tcPr>
          <w:p w14:paraId="7F44FC65">
            <w:pPr>
              <w:adjustRightInd w:val="0"/>
              <w:snapToGrid w:val="0"/>
              <w:spacing w:line="276" w:lineRule="auto"/>
              <w:jc w:val="center"/>
              <w:rPr>
                <w:rFonts w:hint="eastAsia" w:ascii="宋体" w:hAnsi="宋体" w:eastAsia="宋体" w:cs="Times New Roman"/>
                <w:b/>
                <w:bCs/>
                <w:kern w:val="0"/>
                <w:szCs w:val="21"/>
              </w:rPr>
            </w:pPr>
            <w:r>
              <w:rPr>
                <w:rFonts w:hint="eastAsia" w:ascii="宋体" w:hAnsi="宋体" w:eastAsia="宋体" w:cs="Times New Roman"/>
                <w:b/>
                <w:bCs/>
                <w:kern w:val="0"/>
                <w:szCs w:val="21"/>
              </w:rPr>
              <w:t>序号</w:t>
            </w:r>
          </w:p>
        </w:tc>
        <w:tc>
          <w:tcPr>
            <w:tcW w:w="8207" w:type="dxa"/>
            <w:vAlign w:val="center"/>
          </w:tcPr>
          <w:p w14:paraId="1E1C4C56">
            <w:pPr>
              <w:adjustRightInd w:val="0"/>
              <w:snapToGrid w:val="0"/>
              <w:spacing w:line="276" w:lineRule="auto"/>
              <w:jc w:val="center"/>
              <w:rPr>
                <w:rFonts w:hint="eastAsia" w:ascii="宋体" w:hAnsi="宋体" w:eastAsia="宋体" w:cs="Times New Roman"/>
                <w:b/>
                <w:bCs/>
                <w:kern w:val="0"/>
                <w:szCs w:val="21"/>
              </w:rPr>
            </w:pPr>
            <w:r>
              <w:rPr>
                <w:rFonts w:hint="eastAsia" w:ascii="Times New Roman" w:hAnsi="Times New Roman" w:eastAsia="宋体" w:cs="Times New Roman"/>
                <w:b/>
                <w:bCs/>
                <w:color w:val="FF0000"/>
                <w:szCs w:val="21"/>
                <w:highlight w:val="yellow"/>
              </w:rPr>
              <w:t>★</w:t>
            </w:r>
            <w:r>
              <w:rPr>
                <w:rFonts w:hint="eastAsia" w:ascii="宋体" w:hAnsi="宋体" w:eastAsia="宋体" w:cs="Times New Roman"/>
                <w:b/>
                <w:bCs/>
                <w:kern w:val="0"/>
                <w:szCs w:val="21"/>
                <w:highlight w:val="yellow"/>
              </w:rPr>
              <w:t>实质性条款具体内容</w:t>
            </w:r>
          </w:p>
        </w:tc>
      </w:tr>
      <w:tr w14:paraId="11FB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vAlign w:val="center"/>
          </w:tcPr>
          <w:p w14:paraId="24EE525F">
            <w:pPr>
              <w:adjustRightInd w:val="0"/>
              <w:snapToGrid w:val="0"/>
              <w:spacing w:line="276" w:lineRule="auto"/>
              <w:jc w:val="center"/>
              <w:rPr>
                <w:rFonts w:hint="eastAsia" w:ascii="宋体" w:hAnsi="宋体" w:eastAsia="宋体" w:cs="Times New Roman"/>
                <w:kern w:val="0"/>
                <w:szCs w:val="21"/>
              </w:rPr>
            </w:pPr>
            <w:r>
              <w:rPr>
                <w:rFonts w:hint="eastAsia" w:ascii="宋体" w:hAnsi="宋体" w:eastAsia="宋体" w:cs="Times New Roman"/>
                <w:kern w:val="0"/>
                <w:szCs w:val="21"/>
              </w:rPr>
              <w:t>1</w:t>
            </w:r>
          </w:p>
        </w:tc>
        <w:tc>
          <w:tcPr>
            <w:tcW w:w="8207" w:type="dxa"/>
            <w:vAlign w:val="center"/>
          </w:tcPr>
          <w:p w14:paraId="1BE1F0CA">
            <w:pPr>
              <w:adjustRightInd w:val="0"/>
              <w:snapToGrid w:val="0"/>
              <w:spacing w:line="276" w:lineRule="auto"/>
              <w:jc w:val="left"/>
              <w:rPr>
                <w:rFonts w:hint="eastAsia" w:ascii="Times New Roman" w:hAnsi="宋体" w:eastAsia="宋体" w:cs="Times New Roman"/>
                <w:kern w:val="0"/>
                <w:szCs w:val="21"/>
              </w:rPr>
            </w:pPr>
            <w:r>
              <w:rPr>
                <w:rFonts w:hint="eastAsia"/>
                <w:color w:val="auto"/>
                <w:szCs w:val="21"/>
                <w:highlight w:val="none"/>
              </w:rPr>
              <w:t>具体以采购文件第三章 用户需求书中带“★”的需求项为准</w:t>
            </w:r>
          </w:p>
        </w:tc>
      </w:tr>
      <w:tr w14:paraId="12EC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6F3B64B5">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2</w:t>
            </w:r>
          </w:p>
        </w:tc>
        <w:tc>
          <w:tcPr>
            <w:tcW w:w="8207" w:type="dxa"/>
            <w:vAlign w:val="center"/>
          </w:tcPr>
          <w:p w14:paraId="5AEA8618">
            <w:pPr>
              <w:adjustRightInd w:val="0"/>
              <w:snapToGrid w:val="0"/>
              <w:spacing w:line="276" w:lineRule="auto"/>
              <w:jc w:val="left"/>
              <w:rPr>
                <w:rFonts w:hint="eastAsia" w:ascii="Times New Roman" w:hAnsi="宋体" w:eastAsia="宋体" w:cs="Times New Roman"/>
                <w:kern w:val="0"/>
                <w:szCs w:val="21"/>
              </w:rPr>
            </w:pPr>
            <w:r>
              <w:rPr>
                <w:rFonts w:hint="eastAsia" w:ascii="Times New Roman" w:hAnsi="宋体" w:eastAsia="宋体" w:cs="Times New Roman"/>
                <w:kern w:val="0"/>
                <w:szCs w:val="21"/>
              </w:rPr>
              <w:t>★提供的食材原料须为符合国家或行业最新食品质量安全标准的食材。</w:t>
            </w:r>
          </w:p>
        </w:tc>
      </w:tr>
      <w:tr w14:paraId="4184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72" w:type="dxa"/>
            <w:shd w:val="clear" w:color="auto" w:fill="auto"/>
            <w:vAlign w:val="center"/>
          </w:tcPr>
          <w:p w14:paraId="3C88BFFA">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3</w:t>
            </w:r>
          </w:p>
        </w:tc>
        <w:tc>
          <w:tcPr>
            <w:tcW w:w="8207" w:type="dxa"/>
            <w:vAlign w:val="center"/>
          </w:tcPr>
          <w:p w14:paraId="6658D167">
            <w:pPr>
              <w:adjustRightInd w:val="0"/>
              <w:snapToGrid w:val="0"/>
              <w:spacing w:line="276" w:lineRule="auto"/>
              <w:jc w:val="left"/>
            </w:pPr>
            <w:r>
              <w:rPr>
                <w:rFonts w:hint="eastAsia"/>
              </w:rPr>
              <w:t>★车辆要求：</w:t>
            </w:r>
          </w:p>
          <w:p w14:paraId="5CD23B17">
            <w:pPr>
              <w:adjustRightInd w:val="0"/>
              <w:snapToGrid w:val="0"/>
              <w:spacing w:line="276" w:lineRule="auto"/>
              <w:jc w:val="left"/>
            </w:pPr>
            <w:r>
              <w:rPr>
                <w:rFonts w:hint="eastAsia"/>
              </w:rPr>
              <w:t>①食材配送车辆须为冷藏车，冷藏车须为专用封闭式，车辆内部结构应平整、便于清洁，有温度控制设备，具备冷藏功能。凡需冷藏储存的食材，从储存环境到配送环节均需保持冷链完整性，配送时必须使用符合温度标准的冷藏车。</w:t>
            </w:r>
          </w:p>
          <w:p w14:paraId="04E23A60">
            <w:pPr>
              <w:adjustRightInd w:val="0"/>
              <w:snapToGrid w:val="0"/>
              <w:spacing w:line="276" w:lineRule="auto"/>
              <w:jc w:val="left"/>
            </w:pPr>
            <w:r>
              <w:rPr>
                <w:rFonts w:hint="eastAsia"/>
              </w:rPr>
              <w:t>②运输中防虫害、有害物质等的污染，不得靠近或接触有腐蚀性物质，不得与气味浓郁的物品混运。</w:t>
            </w:r>
          </w:p>
          <w:p w14:paraId="2BA4D799">
            <w:pPr>
              <w:adjustRightInd w:val="0"/>
              <w:snapToGrid w:val="0"/>
              <w:spacing w:line="276" w:lineRule="auto"/>
              <w:jc w:val="left"/>
            </w:pPr>
            <w:r>
              <w:rPr>
                <w:rFonts w:hint="eastAsia"/>
              </w:rPr>
              <w:t>③应根据食品的类型、特性、季节、运输距离等选择不同的运输车辆和运输路线，同一运输车辆运输不同食品及多点装卸食品时，应根据食品特性，做好分装、分离或分隔，并存放在符合食品贮存温度要求的区域。</w:t>
            </w:r>
          </w:p>
          <w:p w14:paraId="73BE83B8">
            <w:pPr>
              <w:adjustRightInd w:val="0"/>
              <w:snapToGrid w:val="0"/>
              <w:spacing w:line="276" w:lineRule="auto"/>
              <w:jc w:val="left"/>
            </w:pPr>
            <w:r>
              <w:rPr>
                <w:rFonts w:hint="eastAsia"/>
              </w:rPr>
              <w:t>④中标供应商在签订合同后需将投标文件中响应的“</w:t>
            </w:r>
            <w:r>
              <w:rPr>
                <w:rFonts w:hint="eastAsia"/>
                <w:color w:val="auto"/>
                <w:highlight w:val="none"/>
              </w:rPr>
              <w:t>拟投入本项目车辆情况</w:t>
            </w:r>
            <w:r>
              <w:rPr>
                <w:rFonts w:hint="eastAsia"/>
              </w:rPr>
              <w:t>”备案至学校，使用备案车辆服务本项目，如有特殊情况需提前报备至配送学校。每日配送时需向学校提交配送车辆登记台账（含车牌号等信息），并经学校签字确认。同时通过信息化平台记录车辆配送轨迹信息，供学校查验。</w:t>
            </w:r>
          </w:p>
          <w:p w14:paraId="60D646BA">
            <w:pPr>
              <w:adjustRightInd w:val="0"/>
              <w:snapToGrid w:val="0"/>
              <w:spacing w:line="276" w:lineRule="auto"/>
              <w:jc w:val="left"/>
            </w:pPr>
            <w:r>
              <w:rPr>
                <w:rFonts w:hint="eastAsia"/>
              </w:rPr>
              <w:t>⑤凭专用通行证（各校区自行制定）进出学校。</w:t>
            </w:r>
          </w:p>
          <w:p w14:paraId="0632749B">
            <w:pPr>
              <w:adjustRightInd w:val="0"/>
              <w:snapToGrid w:val="0"/>
              <w:spacing w:line="276" w:lineRule="auto"/>
              <w:jc w:val="left"/>
            </w:pPr>
            <w:r>
              <w:rPr>
                <w:rFonts w:hint="eastAsia"/>
              </w:rPr>
              <w:t>⑥为保障食材的新鲜程度、食品安全，中标供应商不得使用第三方公司配送(如货拉拉、美团跑腿等)，一经学校发现并查证，第一次从当月应支付的配送服务费中扣除5000元作为违约金，第二次从当月应支付的配送服务费中扣除10000元作为违约金，第三次采购人有权解除合同，供应商无条件接受带来的不利后果。</w:t>
            </w:r>
          </w:p>
          <w:p w14:paraId="579BD3AD">
            <w:pPr>
              <w:adjustRightInd w:val="0"/>
              <w:snapToGrid w:val="0"/>
              <w:spacing w:line="276" w:lineRule="auto"/>
              <w:jc w:val="left"/>
              <w:rPr>
                <w:rFonts w:hint="eastAsia" w:ascii="Times New Roman" w:hAnsi="宋体" w:eastAsia="宋体" w:cs="Times New Roman"/>
                <w:kern w:val="0"/>
                <w:szCs w:val="21"/>
              </w:rPr>
            </w:pPr>
            <w:r>
              <w:rPr>
                <w:rFonts w:hint="eastAsia"/>
              </w:rPr>
              <w:t>⑦中标供应商提供配送服务的车辆需符合合法上路的要求，签订合同前需提供服务车辆的道路运输证或道路运输经营许可证作为证明材料。</w:t>
            </w:r>
          </w:p>
        </w:tc>
      </w:tr>
      <w:tr w14:paraId="7524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72" w:type="dxa"/>
            <w:shd w:val="clear" w:color="auto" w:fill="auto"/>
            <w:vAlign w:val="center"/>
          </w:tcPr>
          <w:p w14:paraId="2CB354CC">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4</w:t>
            </w:r>
          </w:p>
        </w:tc>
        <w:tc>
          <w:tcPr>
            <w:tcW w:w="8207" w:type="dxa"/>
            <w:vAlign w:val="center"/>
          </w:tcPr>
          <w:p w14:paraId="0CA2F743">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★人员要求：</w:t>
            </w:r>
          </w:p>
          <w:p w14:paraId="1352F23B">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①中标供应商须为本项目配备1名项目负责人，并依据项目实际需求配备配送管理团队，团队成员均为在职员工。</w:t>
            </w:r>
          </w:p>
          <w:p w14:paraId="320C1DC2">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②指定1 名员工专门负责学校下单食材对接配送事务，按食堂每天制订的采购单进行配送，该员工应相对固定，如更换，需提前三日通知学校并获得认可。</w:t>
            </w:r>
          </w:p>
          <w:p w14:paraId="4E345720">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③配送人员应为中标供应商的正式在职员工，持有广东省食品从业人员健康证明，服从学校的食堂管理和工作调配。如食堂用餐人数和每日订菜数量发生变化，学校有权对配送员人数提出增减需求，中标供应商应对配送人员安排人数进行增减调配。但中标供应商应服从学校的管理，严格遵守国家的有关法律法规。</w:t>
            </w:r>
          </w:p>
          <w:p w14:paraId="7DA98CDB">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④中标供应商所有员工凭广东省食品从业人员健康证明上岗，遵守纪律、服从安排，确保能按时完成工作任务。</w:t>
            </w:r>
          </w:p>
          <w:p w14:paraId="78299153">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⑤中标供应商应做好本单位工作人员的教育工作，遵守配送区域入门岗和物品携带等各项规定。</w:t>
            </w:r>
          </w:p>
        </w:tc>
      </w:tr>
      <w:tr w14:paraId="0436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7DF0EC99">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5</w:t>
            </w:r>
          </w:p>
        </w:tc>
        <w:tc>
          <w:tcPr>
            <w:tcW w:w="8207" w:type="dxa"/>
            <w:vAlign w:val="center"/>
          </w:tcPr>
          <w:p w14:paraId="56D70EBA">
            <w:pPr>
              <w:adjustRightInd w:val="0"/>
              <w:snapToGrid w:val="0"/>
              <w:spacing w:line="276" w:lineRule="auto"/>
              <w:jc w:val="left"/>
            </w:pPr>
            <w:r>
              <w:rPr>
                <w:rFonts w:hint="eastAsia"/>
              </w:rPr>
              <w:t>★食品安全保障要求：</w:t>
            </w:r>
          </w:p>
          <w:p w14:paraId="18A366D8">
            <w:pPr>
              <w:adjustRightInd w:val="0"/>
              <w:snapToGrid w:val="0"/>
              <w:spacing w:line="276" w:lineRule="auto"/>
              <w:jc w:val="left"/>
            </w:pPr>
            <w:r>
              <w:rPr>
                <w:rFonts w:hint="eastAsia"/>
              </w:rPr>
              <w:t>①</w:t>
            </w:r>
            <w:r>
              <w:rPr>
                <w:rFonts w:hint="eastAsia" w:ascii="Times New Roman" w:hAnsi="Times New Roman"/>
                <w:snapToGrid w:val="0"/>
                <w:kern w:val="0"/>
                <w:szCs w:val="21"/>
              </w:rPr>
              <w:t>中标供应商每日配送时，须同时提供本批次产品的出厂检验报告供采购人查验。</w:t>
            </w:r>
          </w:p>
          <w:p w14:paraId="2D8A52EE">
            <w:pPr>
              <w:adjustRightInd w:val="0"/>
              <w:snapToGrid w:val="0"/>
              <w:spacing w:line="276" w:lineRule="auto"/>
              <w:jc w:val="left"/>
            </w:pPr>
            <w:r>
              <w:rPr>
                <w:rFonts w:hint="eastAsia"/>
              </w:rPr>
              <w:t>②中标供应商应每季度按照投标文件中响应的 “定量检测能力情况”中的检测项目送交第三方检测，检测报告交采购人查验。若不按要求送检和提交，将处以10000元/每次作为违约金，并由采购人自行送检第三方，相关检测费用由中标供应商承担。为</w:t>
            </w:r>
            <w:r>
              <w:rPr>
                <w:rFonts w:hint="eastAsia"/>
                <w:lang w:eastAsia="zh-CN"/>
              </w:rPr>
              <w:t>方便学校管理</w:t>
            </w:r>
            <w:r>
              <w:rPr>
                <w:rFonts w:hint="eastAsia"/>
              </w:rPr>
              <w:t>，检测报告需做好品类索引。</w:t>
            </w:r>
          </w:p>
        </w:tc>
      </w:tr>
      <w:tr w14:paraId="1A76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17C6D9DE">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6</w:t>
            </w:r>
          </w:p>
        </w:tc>
        <w:tc>
          <w:tcPr>
            <w:tcW w:w="8207" w:type="dxa"/>
            <w:vAlign w:val="center"/>
          </w:tcPr>
          <w:p w14:paraId="0E7C9E6A">
            <w:pPr>
              <w:adjustRightInd w:val="0"/>
              <w:snapToGrid w:val="0"/>
              <w:spacing w:line="276" w:lineRule="auto"/>
              <w:jc w:val="left"/>
            </w:pPr>
            <w:r>
              <w:rPr>
                <w:rFonts w:hint="eastAsia"/>
              </w:rPr>
              <w:t>★信息化管理要求：</w:t>
            </w:r>
          </w:p>
          <w:p w14:paraId="22A939EE">
            <w:pPr>
              <w:adjustRightInd w:val="0"/>
              <w:snapToGrid w:val="0"/>
              <w:spacing w:line="276" w:lineRule="auto"/>
              <w:jc w:val="left"/>
            </w:pPr>
            <w:r>
              <w:rPr>
                <w:rFonts w:hint="eastAsia"/>
              </w:rPr>
              <w:t>①中标供应商须根据投标文件中响应的“信息化管理”提供相关信息化服务，供采购人查验。投标人应保证采购人在使用该信息化管理服务平台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p w14:paraId="0F238939">
            <w:pPr>
              <w:adjustRightInd w:val="0"/>
              <w:snapToGrid w:val="0"/>
              <w:spacing w:line="276" w:lineRule="auto"/>
              <w:jc w:val="left"/>
            </w:pPr>
            <w:r>
              <w:rPr>
                <w:rFonts w:hint="eastAsia"/>
              </w:rPr>
              <w:t>②若经采购人核实，中标供应商无法提供相应“信息化管理”平台服务的，采购人将从具体服务合同的当月配送服务费中扣除10000元作为违约金。当月应支付的配送服务费不足以支付违约金的，扣除对应具体服务合同当月全部配送服务费；</w:t>
            </w:r>
          </w:p>
          <w:p w14:paraId="2E90EE5D">
            <w:pPr>
              <w:adjustRightInd w:val="0"/>
              <w:snapToGrid w:val="0"/>
              <w:spacing w:line="276" w:lineRule="auto"/>
              <w:jc w:val="left"/>
            </w:pPr>
            <w:r>
              <w:rPr>
                <w:rFonts w:hint="eastAsia"/>
              </w:rPr>
              <w:t>③配送食材可通过“深圳市食品安全追溯信用管理系统”全面、及时、准确上传追溯信息，确保相关品名、规格、批次等数据真实完整，确保配送食材来源可溯、质量可控。</w:t>
            </w:r>
          </w:p>
        </w:tc>
      </w:tr>
      <w:tr w14:paraId="4439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3ACD7AA6">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7</w:t>
            </w:r>
          </w:p>
        </w:tc>
        <w:tc>
          <w:tcPr>
            <w:tcW w:w="8207" w:type="dxa"/>
            <w:vAlign w:val="center"/>
          </w:tcPr>
          <w:p w14:paraId="7D30F19A">
            <w:pPr>
              <w:adjustRightInd w:val="0"/>
              <w:snapToGrid w:val="0"/>
              <w:spacing w:line="276" w:lineRule="auto"/>
              <w:jc w:val="left"/>
            </w:pPr>
            <w:r>
              <w:rPr>
                <w:rFonts w:hint="eastAsia"/>
              </w:rPr>
              <w:t>★因配送运输中出现人身安全事故，中标供应商独立承担一切刑事、民事责任，与采购人无关。</w:t>
            </w:r>
          </w:p>
        </w:tc>
      </w:tr>
      <w:tr w14:paraId="634D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07AEB412">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8</w:t>
            </w:r>
          </w:p>
        </w:tc>
        <w:tc>
          <w:tcPr>
            <w:tcW w:w="8207" w:type="dxa"/>
            <w:vAlign w:val="center"/>
          </w:tcPr>
          <w:p w14:paraId="6E87B0B8">
            <w:pPr>
              <w:adjustRightInd w:val="0"/>
              <w:snapToGrid w:val="0"/>
              <w:spacing w:line="276" w:lineRule="auto"/>
              <w:jc w:val="left"/>
            </w:pPr>
            <w:r>
              <w:rPr>
                <w:rFonts w:hint="eastAsia"/>
              </w:rPr>
              <w:t>★供应商承诺内容包括但不限于：</w:t>
            </w:r>
          </w:p>
          <w:p w14:paraId="277AD5C0">
            <w:pPr>
              <w:adjustRightInd w:val="0"/>
              <w:snapToGrid w:val="0"/>
              <w:spacing w:line="276" w:lineRule="auto"/>
              <w:jc w:val="left"/>
            </w:pPr>
            <w:r>
              <w:rPr>
                <w:rFonts w:hint="eastAsia"/>
              </w:rPr>
              <w:t>①我单位承诺：如我单位中标，保证中标后10个工作日内提供评分细则中所有证明文件原件，供采购人审核。</w:t>
            </w:r>
          </w:p>
          <w:p w14:paraId="386661E5">
            <w:pPr>
              <w:adjustRightInd w:val="0"/>
              <w:snapToGrid w:val="0"/>
              <w:spacing w:line="276" w:lineRule="auto"/>
              <w:jc w:val="left"/>
            </w:pPr>
            <w:r>
              <w:rPr>
                <w:rFonts w:hint="eastAsia"/>
              </w:rPr>
              <w:t>②我单位承诺：如我单位中标，采购人有权随时对我单位的场所及我单位服务的其他食材配送项目进行实地考察，如发现我单位有存在提供虚假证明材料、重大食品安全问题、严重违反合同约定或其他违法违规情形的，我单位将无条件放弃中标资格，并承担由此产生的一切法律责任及赔偿责任。同时，采购人有权终止合同，并按照相关规定追究我单位责任。</w:t>
            </w:r>
          </w:p>
          <w:p w14:paraId="67810EB1">
            <w:pPr>
              <w:adjustRightInd w:val="0"/>
              <w:snapToGrid w:val="0"/>
              <w:spacing w:line="276" w:lineRule="auto"/>
              <w:jc w:val="left"/>
            </w:pPr>
            <w:r>
              <w:rPr>
                <w:rFonts w:hint="eastAsia"/>
              </w:rPr>
              <w:t>③我单位承诺：我单位已充分知悉项目的服务内容、范围等要求，并合理预估自身的服务能力参与本项目投标。中标后不得出现因服务能力不足、非不可抗力等因素提出放弃中标资格或向采购人主动提出解除合同的。</w:t>
            </w:r>
          </w:p>
          <w:p w14:paraId="2E51D588">
            <w:pPr>
              <w:adjustRightInd w:val="0"/>
              <w:snapToGrid w:val="0"/>
              <w:spacing w:line="276" w:lineRule="auto"/>
              <w:jc w:val="left"/>
            </w:pPr>
            <w:r>
              <w:rPr>
                <w:rFonts w:hint="eastAsia"/>
              </w:rPr>
              <w:t>供应商如违反上述承诺，采购人将有权报主管部门进行处罚。</w:t>
            </w:r>
          </w:p>
        </w:tc>
      </w:tr>
      <w:tr w14:paraId="2252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0F02D78F">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9</w:t>
            </w:r>
          </w:p>
        </w:tc>
        <w:tc>
          <w:tcPr>
            <w:tcW w:w="8207" w:type="dxa"/>
            <w:vAlign w:val="center"/>
          </w:tcPr>
          <w:p w14:paraId="50B98C1B">
            <w:pPr>
              <w:adjustRightInd w:val="0"/>
              <w:snapToGrid w:val="0"/>
              <w:spacing w:line="276" w:lineRule="auto"/>
              <w:jc w:val="left"/>
            </w:pPr>
            <w:r>
              <w:rPr>
                <w:rFonts w:hint="eastAsia"/>
              </w:rPr>
              <w:t>★中标供应商需在合同签订前向学校提交《质量安全承诺书》（详见附件4）。</w:t>
            </w:r>
          </w:p>
        </w:tc>
      </w:tr>
      <w:tr w14:paraId="0B6B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5835BE53">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10</w:t>
            </w:r>
          </w:p>
        </w:tc>
        <w:tc>
          <w:tcPr>
            <w:tcW w:w="8207" w:type="dxa"/>
            <w:vAlign w:val="center"/>
          </w:tcPr>
          <w:p w14:paraId="768CC091">
            <w:pPr>
              <w:adjustRightInd w:val="0"/>
              <w:snapToGrid w:val="0"/>
              <w:spacing w:line="276" w:lineRule="auto"/>
              <w:jc w:val="left"/>
            </w:pPr>
            <w:r>
              <w:rPr>
                <w:rFonts w:hint="eastAsia"/>
              </w:rPr>
              <w:t>★其他要求</w:t>
            </w:r>
          </w:p>
          <w:p w14:paraId="41FBF316">
            <w:pPr>
              <w:adjustRightInd w:val="0"/>
              <w:snapToGrid w:val="0"/>
              <w:spacing w:line="276" w:lineRule="auto"/>
              <w:jc w:val="left"/>
              <w:rPr>
                <w:rFonts w:hint="eastAsia" w:eastAsiaTheme="minorEastAsia"/>
                <w:lang w:eastAsia="zh-CN"/>
              </w:rPr>
            </w:pPr>
            <w:r>
              <w:rPr>
                <w:rFonts w:hint="eastAsia"/>
              </w:rPr>
              <w:t>1、投标人保证，若中标本项目，无条件支持配合学校完成扶贫采购任务，按要求预留消费帮扶额度，在“脱贫地区农副产品网络销售平台（https://www.fupin832.com/）”采购。由中标供应商在832平台下单并进行支付开票，学校不支付中标供应商代开发票产生的税费差额，供应商投标报价时应充分考虑此部分成本</w:t>
            </w:r>
            <w:r>
              <w:rPr>
                <w:rFonts w:hint="eastAsia"/>
                <w:lang w:eastAsia="zh-CN"/>
              </w:rPr>
              <w:t>。</w:t>
            </w:r>
          </w:p>
        </w:tc>
      </w:tr>
      <w:tr w14:paraId="332D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2" w:type="dxa"/>
            <w:shd w:val="clear" w:color="auto" w:fill="auto"/>
            <w:vAlign w:val="center"/>
          </w:tcPr>
          <w:p w14:paraId="51891E98">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1</w:t>
            </w:r>
            <w:r>
              <w:rPr>
                <w:rFonts w:hint="eastAsia" w:ascii="宋体" w:hAnsi="宋体" w:eastAsia="宋体" w:cs="Times New Roman"/>
                <w:kern w:val="0"/>
                <w:szCs w:val="21"/>
                <w:lang w:val="en-US" w:eastAsia="zh-CN"/>
              </w:rPr>
              <w:t>1</w:t>
            </w:r>
          </w:p>
        </w:tc>
        <w:tc>
          <w:tcPr>
            <w:tcW w:w="8207" w:type="dxa"/>
            <w:vAlign w:val="center"/>
          </w:tcPr>
          <w:p w14:paraId="5324436B">
            <w:pPr>
              <w:adjustRightInd w:val="0"/>
              <w:snapToGrid w:val="0"/>
              <w:spacing w:line="276" w:lineRule="auto"/>
              <w:jc w:val="left"/>
            </w:pPr>
            <w:r>
              <w:rPr>
                <w:rFonts w:hint="eastAsia"/>
                <w:lang w:val="en-US" w:eastAsia="zh-CN"/>
              </w:rPr>
              <w:t>详见</w:t>
            </w:r>
            <w:r>
              <w:rPr>
                <w:rFonts w:hint="eastAsia"/>
                <w:lang w:eastAsia="zh-CN"/>
              </w:rPr>
              <w:t>“</w:t>
            </w:r>
            <w:r>
              <w:rPr>
                <w:rFonts w:hint="eastAsia"/>
              </w:rPr>
              <w:t>六、★商务要求</w:t>
            </w:r>
            <w:r>
              <w:rPr>
                <w:rFonts w:hint="eastAsia"/>
                <w:lang w:eastAsia="zh-CN"/>
              </w:rPr>
              <w:t>”</w:t>
            </w:r>
          </w:p>
        </w:tc>
      </w:tr>
    </w:tbl>
    <w:p w14:paraId="7CC31BD1">
      <w:pPr>
        <w:adjustRightInd w:val="0"/>
        <w:snapToGrid w:val="0"/>
        <w:spacing w:line="276" w:lineRule="auto"/>
        <w:rPr>
          <w:rFonts w:ascii="Times New Roman" w:hAnsi="Times New Roman" w:eastAsia="宋体" w:cs="Times New Roman"/>
          <w:szCs w:val="24"/>
        </w:rPr>
      </w:pPr>
      <w:r>
        <w:rPr>
          <w:rFonts w:hint="eastAsia" w:ascii="Times New Roman" w:hAnsi="Times New Roman" w:eastAsia="宋体" w:cs="Times New Roman"/>
          <w:szCs w:val="24"/>
        </w:rPr>
        <w:t>注：上表所列内容为不可负偏离条款，负偏离将视为未实质性满足招标文件要求作投标无效处理。</w:t>
      </w:r>
    </w:p>
    <w:p w14:paraId="3E654FB8">
      <w:pPr>
        <w:spacing w:after="120"/>
        <w:rPr>
          <w:rFonts w:ascii="Times New Roman" w:hAnsi="Times New Roman" w:eastAsia="宋体" w:cs="Times New Roman"/>
          <w:szCs w:val="24"/>
        </w:rPr>
      </w:pPr>
    </w:p>
    <w:p w14:paraId="1F3CC58D">
      <w:pPr>
        <w:rPr>
          <w:rFonts w:hint="eastAsia" w:ascii="宋体" w:hAnsi="宋体" w:eastAsia="宋体" w:cs="Times New Roman"/>
          <w:b/>
          <w:bCs/>
          <w:kern w:val="0"/>
          <w:sz w:val="24"/>
          <w:szCs w:val="20"/>
        </w:rPr>
      </w:pPr>
      <w:r>
        <w:rPr>
          <w:rFonts w:hint="eastAsia" w:ascii="宋体" w:hAnsi="宋体" w:eastAsia="宋体" w:cs="Times New Roman"/>
          <w:b/>
          <w:bCs/>
          <w:kern w:val="0"/>
          <w:sz w:val="24"/>
          <w:szCs w:val="20"/>
        </w:rPr>
        <w:br w:type="page"/>
      </w:r>
    </w:p>
    <w:p w14:paraId="104BC7BC">
      <w:pPr>
        <w:keepNext/>
        <w:keepLines/>
        <w:adjustRightInd w:val="0"/>
        <w:spacing w:before="120" w:beforeLines="50" w:after="120" w:afterLines="50"/>
        <w:jc w:val="center"/>
        <w:textAlignment w:val="baseline"/>
        <w:outlineLvl w:val="1"/>
        <w:rPr>
          <w:rFonts w:hint="eastAsia" w:ascii="宋体" w:hAnsi="宋体" w:eastAsia="黑体" w:cs="Times New Roman"/>
          <w:b/>
          <w:bCs/>
          <w:kern w:val="0"/>
          <w:sz w:val="24"/>
          <w:szCs w:val="20"/>
        </w:rPr>
      </w:pPr>
      <w:r>
        <w:rPr>
          <w:rFonts w:hint="eastAsia" w:ascii="宋体" w:hAnsi="宋体" w:eastAsia="宋体" w:cs="Times New Roman"/>
          <w:b/>
          <w:bCs/>
          <w:kern w:val="0"/>
          <w:sz w:val="24"/>
          <w:szCs w:val="20"/>
        </w:rPr>
        <w:t>五、</w:t>
      </w:r>
      <w:r>
        <w:rPr>
          <w:rFonts w:hint="eastAsia" w:ascii="宋体" w:hAnsi="宋体" w:eastAsia="宋体" w:cs="Times New Roman"/>
          <w:b/>
          <w:bCs/>
          <w:kern w:val="0"/>
          <w:sz w:val="24"/>
          <w:szCs w:val="24"/>
        </w:rPr>
        <w:t>技术</w:t>
      </w:r>
      <w:r>
        <w:rPr>
          <w:rFonts w:hint="eastAsia" w:ascii="宋体" w:hAnsi="宋体" w:eastAsia="宋体" w:cs="Times New Roman"/>
          <w:b/>
          <w:bCs/>
          <w:kern w:val="0"/>
          <w:sz w:val="24"/>
          <w:szCs w:val="20"/>
        </w:rPr>
        <w:t>要求</w:t>
      </w:r>
    </w:p>
    <w:bookmarkEnd w:id="30"/>
    <w:p w14:paraId="08A02E6D">
      <w:pPr>
        <w:ind w:firstLine="411" w:firstLineChars="196"/>
        <w:rPr>
          <w:rFonts w:ascii="Times New Roman" w:hAnsi="Times New Roman"/>
          <w:snapToGrid w:val="0"/>
          <w:color w:val="000000"/>
          <w:kern w:val="0"/>
          <w:szCs w:val="21"/>
        </w:rPr>
      </w:pPr>
      <w:r>
        <w:rPr>
          <w:rFonts w:hint="eastAsia" w:ascii="Times New Roman" w:hAnsi="Times New Roman"/>
          <w:snapToGrid w:val="0"/>
          <w:color w:val="000000"/>
          <w:kern w:val="0"/>
          <w:szCs w:val="21"/>
        </w:rPr>
        <w:t>●特别说明：</w:t>
      </w:r>
    </w:p>
    <w:p w14:paraId="252CDDB0">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1、本项目中标供应商将为学校配送</w:t>
      </w:r>
      <w:r>
        <w:rPr>
          <w:rFonts w:hint="eastAsia"/>
        </w:rPr>
        <w:t>乳制品</w:t>
      </w:r>
      <w:r>
        <w:rPr>
          <w:rFonts w:hint="eastAsia" w:ascii="Times New Roman" w:hAnsi="Times New Roman"/>
          <w:snapToGrid w:val="0"/>
          <w:color w:val="000000"/>
          <w:kern w:val="0"/>
          <w:szCs w:val="21"/>
        </w:rPr>
        <w:t>等物资，而教育行业的食品安全工作本身社会关注度高，稍有不慎就容易引起重大安全事故以及舆情事件。考虑到就餐人数多、就餐时间相对集中，现将学校食材供货质量和供货时间等相关事项作以下特别说明：</w:t>
      </w:r>
    </w:p>
    <w:p w14:paraId="005E3F14">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学校可引进“深圳质检院”等有资质的食品安全第三方监管单位对供应商配送的所有物资进行现场验收并进行相关项目检测，中标供应商必须无条件接受第三方监管单位的验收、检测等监管并认可第三方的检测结果。</w:t>
      </w:r>
    </w:p>
    <w:p w14:paraId="6990463F">
      <w:pPr>
        <w:ind w:firstLine="422" w:firstLineChars="200"/>
        <w:rPr>
          <w:rFonts w:ascii="Times New Roman" w:hAnsi="Times New Roman"/>
          <w:b/>
          <w:snapToGrid w:val="0"/>
          <w:color w:val="000000"/>
          <w:kern w:val="0"/>
          <w:szCs w:val="21"/>
        </w:rPr>
      </w:pPr>
      <w:r>
        <w:rPr>
          <w:rFonts w:hint="eastAsia" w:ascii="Times New Roman" w:hAnsi="Times New Roman"/>
          <w:b/>
          <w:snapToGrid w:val="0"/>
          <w:color w:val="000000"/>
          <w:kern w:val="0"/>
          <w:szCs w:val="21"/>
        </w:rPr>
        <w:t>2、项目所依据及参考的标准</w:t>
      </w:r>
    </w:p>
    <w:p w14:paraId="2C8F80D1">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（1）《食品安全国家标准》；</w:t>
      </w:r>
    </w:p>
    <w:p w14:paraId="6F2500D8">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（2）《中华人民共和国食品安全法》；</w:t>
      </w:r>
    </w:p>
    <w:p w14:paraId="2E4075F5">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（3）《深圳市学校食堂食材采购验收参考标准》；</w:t>
      </w:r>
    </w:p>
    <w:p w14:paraId="61594B65">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4</w:t>
      </w:r>
      <w:r>
        <w:rPr>
          <w:rFonts w:hint="eastAsia" w:ascii="Times New Roman" w:hAnsi="Times New Roman"/>
          <w:snapToGrid w:val="0"/>
          <w:color w:val="000000"/>
          <w:kern w:val="0"/>
          <w:szCs w:val="21"/>
        </w:rPr>
        <w:t>）《食品安全国家标准—发酵乳》（GB 19302）最新版；</w:t>
      </w:r>
    </w:p>
    <w:p w14:paraId="02D49234">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5</w:t>
      </w:r>
      <w:r>
        <w:rPr>
          <w:rFonts w:hint="eastAsia" w:ascii="Times New Roman" w:hAnsi="Times New Roman"/>
          <w:snapToGrid w:val="0"/>
          <w:color w:val="000000"/>
          <w:kern w:val="0"/>
          <w:szCs w:val="21"/>
        </w:rPr>
        <w:t>）《食品安全国家标准 巴氏杀菌乳》（GB 19645）最新版；</w:t>
      </w:r>
    </w:p>
    <w:p w14:paraId="03666305">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6</w:t>
      </w:r>
      <w:r>
        <w:rPr>
          <w:rFonts w:hint="eastAsia" w:ascii="Times New Roman" w:hAnsi="Times New Roman"/>
          <w:snapToGrid w:val="0"/>
          <w:color w:val="000000"/>
          <w:kern w:val="0"/>
          <w:szCs w:val="21"/>
        </w:rPr>
        <w:t>）《食品安全国家标准 灭菌乳》（GB 25190）最新版；</w:t>
      </w:r>
    </w:p>
    <w:p w14:paraId="56AE692D">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7</w:t>
      </w:r>
      <w:r>
        <w:rPr>
          <w:rFonts w:hint="eastAsia" w:ascii="Times New Roman" w:hAnsi="Times New Roman"/>
          <w:snapToGrid w:val="0"/>
          <w:color w:val="000000"/>
          <w:kern w:val="0"/>
          <w:szCs w:val="21"/>
        </w:rPr>
        <w:t>）《食品安全国家标准 调制乳》（GB 25191）最新版；</w:t>
      </w:r>
    </w:p>
    <w:p w14:paraId="14295632">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8</w:t>
      </w:r>
      <w:r>
        <w:rPr>
          <w:rFonts w:hint="eastAsia" w:ascii="Times New Roman" w:hAnsi="Times New Roman"/>
          <w:snapToGrid w:val="0"/>
          <w:color w:val="000000"/>
          <w:kern w:val="0"/>
          <w:szCs w:val="21"/>
        </w:rPr>
        <w:t>）《学生饮用奶 纯牛奶》（T/DAC 004）；</w:t>
      </w:r>
    </w:p>
    <w:p w14:paraId="65840B5D">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w:t>
      </w:r>
      <w:r>
        <w:rPr>
          <w:rFonts w:hint="eastAsia" w:ascii="Times New Roman" w:hAnsi="Times New Roman"/>
          <w:snapToGrid w:val="0"/>
          <w:color w:val="000000"/>
          <w:kern w:val="0"/>
          <w:szCs w:val="21"/>
          <w:lang w:val="en-US" w:eastAsia="zh-CN"/>
        </w:rPr>
        <w:t>9</w:t>
      </w:r>
      <w:r>
        <w:rPr>
          <w:rFonts w:hint="eastAsia" w:ascii="Times New Roman" w:hAnsi="Times New Roman"/>
          <w:snapToGrid w:val="0"/>
          <w:color w:val="000000"/>
          <w:kern w:val="0"/>
          <w:szCs w:val="21"/>
        </w:rPr>
        <w:t>）《学生饮用奶 灭菌调制乳》（T/DAC 005）；</w:t>
      </w:r>
    </w:p>
    <w:p w14:paraId="05E3BE8F">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hint="eastAsia" w:ascii="Times New Roman" w:hAnsi="Times New Roman"/>
          <w:snapToGrid w:val="0"/>
          <w:color w:val="000000"/>
          <w:kern w:val="0"/>
          <w:szCs w:val="21"/>
          <w:lang w:val="en-US" w:eastAsia="zh-CN"/>
        </w:rPr>
        <w:t>0</w:t>
      </w:r>
      <w:r>
        <w:rPr>
          <w:rFonts w:hint="eastAsia" w:ascii="Times New Roman" w:hAnsi="Times New Roman"/>
          <w:snapToGrid w:val="0"/>
          <w:color w:val="000000"/>
          <w:kern w:val="0"/>
          <w:szCs w:val="21"/>
        </w:rPr>
        <w:t>）《食品安全国家标准 食品添加剂使用标准》（GB2760）最新版；</w:t>
      </w:r>
    </w:p>
    <w:p w14:paraId="3421696D">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hint="eastAsia" w:ascii="Times New Roman" w:hAnsi="Times New Roman"/>
          <w:snapToGrid w:val="0"/>
          <w:color w:val="000000"/>
          <w:kern w:val="0"/>
          <w:szCs w:val="21"/>
          <w:lang w:val="en-US" w:eastAsia="zh-CN"/>
        </w:rPr>
        <w:t>1</w:t>
      </w:r>
      <w:r>
        <w:rPr>
          <w:rFonts w:hint="eastAsia" w:ascii="Times New Roman" w:hAnsi="Times New Roman"/>
          <w:snapToGrid w:val="0"/>
          <w:color w:val="000000"/>
          <w:kern w:val="0"/>
          <w:szCs w:val="21"/>
        </w:rPr>
        <w:t>）《食品安全国家标准 食品中真菌毒素限量》（GB2761）最新版；</w:t>
      </w:r>
    </w:p>
    <w:p w14:paraId="1E102612">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hint="eastAsia" w:ascii="Times New Roman" w:hAnsi="Times New Roman"/>
          <w:snapToGrid w:val="0"/>
          <w:color w:val="000000"/>
          <w:kern w:val="0"/>
          <w:szCs w:val="21"/>
          <w:lang w:val="en-US" w:eastAsia="zh-CN"/>
        </w:rPr>
        <w:t>2</w:t>
      </w:r>
      <w:r>
        <w:rPr>
          <w:rFonts w:hint="eastAsia" w:ascii="Times New Roman" w:hAnsi="Times New Roman"/>
          <w:snapToGrid w:val="0"/>
          <w:color w:val="000000"/>
          <w:kern w:val="0"/>
          <w:szCs w:val="21"/>
        </w:rPr>
        <w:t>）《食品安全国家标准 食品中污染物限量》(GB 2762)最新版；</w:t>
      </w:r>
    </w:p>
    <w:p w14:paraId="3B6FBD71">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hint="eastAsia" w:ascii="Times New Roman" w:hAnsi="Times New Roman"/>
          <w:snapToGrid w:val="0"/>
          <w:color w:val="000000"/>
          <w:kern w:val="0"/>
          <w:szCs w:val="21"/>
          <w:lang w:val="en-US" w:eastAsia="zh-CN"/>
        </w:rPr>
        <w:t>3</w:t>
      </w:r>
      <w:r>
        <w:rPr>
          <w:rFonts w:hint="eastAsia" w:ascii="Times New Roman" w:hAnsi="Times New Roman"/>
          <w:snapToGrid w:val="0"/>
          <w:color w:val="000000"/>
          <w:kern w:val="0"/>
          <w:szCs w:val="21"/>
        </w:rPr>
        <w:t>）《食品安全国家标准 食品中农药最大残留限量》（GB2763）最新版；</w:t>
      </w:r>
    </w:p>
    <w:p w14:paraId="56DCE197">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hint="eastAsia" w:ascii="Times New Roman" w:hAnsi="Times New Roman"/>
          <w:snapToGrid w:val="0"/>
          <w:color w:val="000000"/>
          <w:kern w:val="0"/>
          <w:szCs w:val="21"/>
          <w:lang w:val="en-US" w:eastAsia="zh-CN"/>
        </w:rPr>
        <w:t>4</w:t>
      </w:r>
      <w:r>
        <w:rPr>
          <w:rFonts w:hint="eastAsia" w:ascii="Times New Roman" w:hAnsi="Times New Roman"/>
          <w:snapToGrid w:val="0"/>
          <w:color w:val="000000"/>
          <w:kern w:val="0"/>
          <w:szCs w:val="21"/>
        </w:rPr>
        <w:t>）其他与食品质量安全有关的法律法规及标准。</w:t>
      </w:r>
    </w:p>
    <w:p w14:paraId="79968C14">
      <w:pPr>
        <w:ind w:firstLine="422" w:firstLineChars="200"/>
        <w:rPr>
          <w:b/>
          <w:bCs/>
        </w:rPr>
      </w:pPr>
      <w:r>
        <w:rPr>
          <w:rFonts w:hint="eastAsia"/>
          <w:b/>
          <w:bCs/>
        </w:rPr>
        <w:t>（一）采购范围：</w:t>
      </w:r>
    </w:p>
    <w:p w14:paraId="146E2E31">
      <w:pPr>
        <w:ind w:firstLine="420" w:firstLineChars="200"/>
      </w:pPr>
      <w:r>
        <w:rPr>
          <w:rFonts w:hint="eastAsia"/>
        </w:rPr>
        <w:t>1、配送范围及地点</w:t>
      </w:r>
    </w:p>
    <w:p w14:paraId="1DB73C5B">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（1）</w:t>
      </w:r>
      <w:r>
        <w:rPr>
          <w:rFonts w:ascii="Times New Roman" w:hAnsi="Times New Roman"/>
          <w:snapToGrid w:val="0"/>
          <w:color w:val="000000"/>
          <w:kern w:val="0"/>
          <w:szCs w:val="21"/>
        </w:rPr>
        <w:t>中心校区（南）：深圳市福田区春田路2号</w:t>
      </w:r>
    </w:p>
    <w:p w14:paraId="1ACB276F">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（2）</w:t>
      </w:r>
      <w:r>
        <w:rPr>
          <w:rFonts w:ascii="Times New Roman" w:hAnsi="Times New Roman"/>
          <w:snapToGrid w:val="0"/>
          <w:color w:val="000000"/>
          <w:kern w:val="0"/>
          <w:szCs w:val="21"/>
        </w:rPr>
        <w:t>中心校区（北）：深圳市福田区泽田路8号</w:t>
      </w:r>
    </w:p>
    <w:p w14:paraId="57176E8C">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（3）</w:t>
      </w:r>
      <w:r>
        <w:rPr>
          <w:rFonts w:ascii="Times New Roman" w:hAnsi="Times New Roman"/>
          <w:snapToGrid w:val="0"/>
          <w:color w:val="000000"/>
          <w:kern w:val="0"/>
          <w:szCs w:val="21"/>
        </w:rPr>
        <w:t>东校区高中部：深圳市坪山区耘田路1001号</w:t>
      </w:r>
    </w:p>
    <w:p w14:paraId="6DBCB2DC">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（4）</w:t>
      </w:r>
      <w:r>
        <w:rPr>
          <w:rFonts w:ascii="Times New Roman" w:hAnsi="Times New Roman"/>
          <w:snapToGrid w:val="0"/>
          <w:color w:val="000000"/>
          <w:kern w:val="0"/>
          <w:szCs w:val="21"/>
        </w:rPr>
        <w:t>东校区小初部：深圳市坪山区创景路</w:t>
      </w:r>
    </w:p>
    <w:p w14:paraId="13E23B85">
      <w:pPr>
        <w:ind w:firstLine="420" w:firstLineChars="200"/>
        <w:rPr>
          <w:rFonts w:ascii="Times New Roman" w:hAnsi="Times New Roman"/>
          <w:snapToGrid w:val="0"/>
          <w:color w:val="000000"/>
          <w:kern w:val="0"/>
          <w:szCs w:val="21"/>
        </w:rPr>
      </w:pPr>
      <w:r>
        <w:rPr>
          <w:rFonts w:hint="eastAsia" w:ascii="Times New Roman" w:hAnsi="Times New Roman"/>
          <w:snapToGrid w:val="0"/>
          <w:color w:val="000000"/>
          <w:kern w:val="0"/>
          <w:szCs w:val="21"/>
        </w:rPr>
        <w:t>（5）</w:t>
      </w:r>
      <w:r>
        <w:rPr>
          <w:rFonts w:ascii="Times New Roman" w:hAnsi="Times New Roman"/>
          <w:snapToGrid w:val="0"/>
          <w:color w:val="000000"/>
          <w:kern w:val="0"/>
          <w:szCs w:val="21"/>
        </w:rPr>
        <w:t>南校区：深圳市福田区农林路28号</w:t>
      </w:r>
    </w:p>
    <w:p w14:paraId="27D27F11">
      <w:pPr>
        <w:ind w:firstLine="420" w:firstLineChars="200"/>
        <w:rPr>
          <w:rFonts w:hint="eastAsia"/>
        </w:rPr>
      </w:pPr>
      <w:r>
        <w:rPr>
          <w:rFonts w:hint="eastAsia"/>
        </w:rPr>
        <w:t>（6）新园：深圳市龙华区白松三路</w:t>
      </w:r>
    </w:p>
    <w:p w14:paraId="317DA1F4">
      <w:pPr>
        <w:ind w:firstLine="420" w:firstLineChars="200"/>
        <w:rPr>
          <w:rFonts w:hint="eastAsia"/>
        </w:rPr>
      </w:pPr>
      <w:r>
        <w:rPr>
          <w:rFonts w:hint="eastAsia"/>
        </w:rPr>
        <w:t>（7）紫园：深圳市龙华区民繁南路1号</w:t>
      </w:r>
    </w:p>
    <w:p w14:paraId="7B445A29">
      <w:pPr>
        <w:ind w:firstLine="420" w:firstLineChars="200"/>
      </w:pPr>
      <w:r>
        <w:rPr>
          <w:rFonts w:hint="eastAsia"/>
        </w:rPr>
        <w:t>2、各校区学校</w:t>
      </w:r>
      <w:r>
        <w:rPr>
          <w:rFonts w:hint="eastAsia"/>
          <w:lang w:eastAsia="zh-CN"/>
        </w:rPr>
        <w:t>食堂</w:t>
      </w:r>
      <w:r>
        <w:rPr>
          <w:rFonts w:hint="eastAsia"/>
        </w:rPr>
        <w:t>每日供餐所需乳制品：低温和常温类乳制品【包括巴氏杀菌乳（鲜牛奶）、灭菌乳（常温纯牛奶）、调制乳、发酵乳（酸乳）、</w:t>
      </w:r>
      <w:r>
        <w:rPr>
          <w:rFonts w:hint="eastAsia" w:ascii="Times New Roman" w:hAnsi="Times New Roman"/>
          <w:snapToGrid w:val="0"/>
          <w:color w:val="000000"/>
          <w:kern w:val="0"/>
          <w:szCs w:val="21"/>
        </w:rPr>
        <w:t>学生饮用奶-纯牛奶、学生饮用奶-灭菌调制乳、奶酪、奶粉、奶酪棒等乳制品</w:t>
      </w:r>
      <w:r>
        <w:rPr>
          <w:rFonts w:hint="eastAsia"/>
        </w:rPr>
        <w:t>】。</w:t>
      </w:r>
    </w:p>
    <w:p w14:paraId="006FDC78">
      <w:pPr>
        <w:ind w:firstLine="422" w:firstLineChars="200"/>
        <w:rPr>
          <w:b/>
          <w:bCs/>
        </w:rPr>
      </w:pPr>
      <w:r>
        <w:rPr>
          <w:rFonts w:hint="eastAsia"/>
          <w:b/>
          <w:bCs/>
        </w:rPr>
        <w:t>本方案所述乳制品范围涵盖学校按有关规定从832平台采购的扶贫农副产品。</w:t>
      </w:r>
    </w:p>
    <w:p w14:paraId="31971351">
      <w:pPr>
        <w:ind w:firstLine="422" w:firstLineChars="200"/>
        <w:rPr>
          <w:b/>
          <w:bCs/>
        </w:rPr>
      </w:pPr>
      <w:r>
        <w:rPr>
          <w:rFonts w:hint="eastAsia"/>
          <w:b/>
          <w:bCs/>
        </w:rPr>
        <w:t>（二）质量通用要求</w:t>
      </w:r>
    </w:p>
    <w:p w14:paraId="46AFD864">
      <w:pPr>
        <w:ind w:firstLine="420" w:firstLineChars="200"/>
      </w:pPr>
      <w:r>
        <w:rPr>
          <w:rFonts w:hint="eastAsia"/>
        </w:rPr>
        <w:t>1、预包装产品保质期在一年及以上的，建议收货时的剩余质保期不得少于标注有效期的二分之一；保质期不足一年的，收货时的剩余质保期不得少于标注有效期的三分之二。</w:t>
      </w:r>
    </w:p>
    <w:p w14:paraId="48DCB04F">
      <w:pPr>
        <w:ind w:firstLine="420" w:firstLineChars="200"/>
      </w:pPr>
      <w:r>
        <w:rPr>
          <w:rFonts w:hint="eastAsia"/>
        </w:rPr>
        <w:t>2、预包装食品的包装整洁、完好，无破损或胀气现象；标签内容完整、清晰，详细列明产品名称、净含量（规格）、生产日期、配料表、生产者的名称、地址、联系方式、保质期、产品标准代号、贮存条件、生产许可证编号等内容（具体符合GB7718的要求）。</w:t>
      </w:r>
    </w:p>
    <w:p w14:paraId="4AF43D12">
      <w:pPr>
        <w:ind w:firstLine="420" w:firstLineChars="200"/>
      </w:pPr>
      <w:r>
        <w:rPr>
          <w:rFonts w:hint="eastAsia"/>
        </w:rPr>
        <w:t>3、预包装食品及加工食品应有生产者及供应商的《食品生产许可证》、《食品经营许可证》等有效资质证明文件；应具有半年内由第三方检测机构或质量监督部门出具的同款产品检测合格报告及本批次产品的出厂检验报告。</w:t>
      </w:r>
    </w:p>
    <w:p w14:paraId="1B864730">
      <w:pPr>
        <w:ind w:firstLine="420" w:firstLineChars="200"/>
      </w:pPr>
      <w:r>
        <w:rPr>
          <w:rFonts w:hint="eastAsia"/>
        </w:rPr>
        <w:t>4、属于无公害农产品、绿色食品、有机农产品的，应当标注相应的标志和附带有相关证明文件。</w:t>
      </w:r>
    </w:p>
    <w:p w14:paraId="5FA638E8">
      <w:pPr>
        <w:ind w:firstLine="422" w:firstLineChars="200"/>
        <w:rPr>
          <w:b/>
          <w:bCs/>
        </w:rPr>
      </w:pPr>
      <w:r>
        <w:rPr>
          <w:rFonts w:hint="eastAsia"/>
          <w:b/>
          <w:bCs/>
        </w:rPr>
        <w:t>（三）项目验收技术要求</w:t>
      </w:r>
    </w:p>
    <w:p w14:paraId="0042B833">
      <w:pPr>
        <w:ind w:firstLine="420" w:firstLineChars="200"/>
      </w:pPr>
      <w:r>
        <w:rPr>
          <w:rFonts w:hint="eastAsia"/>
        </w:rPr>
        <w:t>1、乳制品以生牛乳为主要原料加工，不得使用、不得添加复原乳及营养强化剂，符合食品安全国家标准及产品标签明示执行标准的要求：乳制品（仅限发酵乳、巴氏杀菌乳、灭菌乳、调制乳）的食品安全指标应分别符合GB19302、GB19645、GB25190、GB25191（或最新标准）的规定。学生饮用奶、纯牛奶、灭菌调制奶的食品安全指标应分别符合 T/DAC004、T/DAC005（或最新标准）的规定。</w:t>
      </w:r>
    </w:p>
    <w:p w14:paraId="2C3A6BF2">
      <w:pPr>
        <w:ind w:firstLine="420" w:firstLineChars="200"/>
      </w:pPr>
      <w:r>
        <w:rPr>
          <w:rFonts w:hint="eastAsia"/>
        </w:rPr>
        <w:t>2、以上所有产品必须符合国家的相关标准与要求，在配送时按要求提供产品所涉及的《全国工业产品生产许可证》、《食品生产许可证》和《食品经营许可证》等国家强制规定材料，不得提供转基因食品或利用转基因食品原料加工的成品，国家有出台新的更高标准的，以新的更高标准为准。</w:t>
      </w:r>
    </w:p>
    <w:p w14:paraId="19688F53">
      <w:pPr>
        <w:ind w:firstLine="422" w:firstLineChars="200"/>
        <w:rPr>
          <w:b/>
          <w:bCs/>
        </w:rPr>
      </w:pPr>
      <w:r>
        <w:rPr>
          <w:rFonts w:hint="eastAsia"/>
          <w:b/>
          <w:bCs/>
        </w:rPr>
        <w:t>（四）配送及服务要求</w:t>
      </w:r>
    </w:p>
    <w:p w14:paraId="08F7826B">
      <w:pPr>
        <w:ind w:firstLine="420" w:firstLineChars="200"/>
      </w:pPr>
      <w:r>
        <w:rPr>
          <w:rFonts w:hint="eastAsia"/>
        </w:rPr>
        <w:t>1、时间地点要求：一般须早于当天上午6时前将学校所订的货物送至指定地点（如遇特殊情况，学校可以改变送货时间，但应提前通知中标供应商），具体配送时间和地点以学校的实际需求为准。学校在合同履行过程中有权变更送货地点，中标供应商对此无条件配合。食材送达后，按照学校的要求进行分类清点，待食堂工作人员验收核对后送达学校指定位置。</w:t>
      </w:r>
    </w:p>
    <w:p w14:paraId="107E239E">
      <w:pPr>
        <w:ind w:firstLine="420" w:firstLineChars="200"/>
      </w:pPr>
      <w:r>
        <w:rPr>
          <w:rFonts w:hint="eastAsia"/>
        </w:rPr>
        <w:t>2、具备符合食品安全要求及满足配送需要的仓储（自有或租赁深圳本地的配送场所、冷库及储存空间）、交通运输等设施设备，确保食材的安全储存和安全运输。</w:t>
      </w:r>
    </w:p>
    <w:p w14:paraId="349B03F5">
      <w:pPr>
        <w:ind w:firstLine="420" w:firstLineChars="200"/>
        <w:rPr>
          <w:color w:val="FF0000"/>
        </w:rPr>
      </w:pPr>
      <w:r>
        <w:rPr>
          <w:rFonts w:hint="eastAsia"/>
          <w:color w:val="FF0000"/>
        </w:rPr>
        <w:t>3、★提供的食材原料须为符合国家或行业最新食品质量安全标准的食材。</w:t>
      </w:r>
    </w:p>
    <w:p w14:paraId="65D88B17">
      <w:pPr>
        <w:ind w:firstLine="420" w:firstLineChars="200"/>
        <w:rPr>
          <w:color w:val="FF0000"/>
        </w:rPr>
      </w:pPr>
      <w:r>
        <w:rPr>
          <w:rFonts w:hint="eastAsia"/>
          <w:color w:val="FF0000"/>
        </w:rPr>
        <w:t>4、★车辆要求：</w:t>
      </w:r>
    </w:p>
    <w:p w14:paraId="14A7FE8E">
      <w:pPr>
        <w:ind w:firstLine="420" w:firstLineChars="200"/>
        <w:rPr>
          <w:color w:val="FF0000"/>
        </w:rPr>
      </w:pPr>
      <w:r>
        <w:rPr>
          <w:rFonts w:hint="eastAsia"/>
          <w:color w:val="FF0000"/>
        </w:rPr>
        <w:t>①食材配送车辆须为冷藏车，冷藏车须为专用封闭式，车辆内部结构应平整、便于清洁，有温度控制设备，具备冷藏功能。凡需冷藏储存的食材，从储存环境到配送环节均需保持冷链完整性，配送时必须使用符合温度标准的冷藏车。</w:t>
      </w:r>
    </w:p>
    <w:p w14:paraId="64CE2436">
      <w:pPr>
        <w:ind w:firstLine="420" w:firstLineChars="200"/>
        <w:rPr>
          <w:color w:val="FF0000"/>
        </w:rPr>
      </w:pPr>
      <w:r>
        <w:rPr>
          <w:rFonts w:hint="eastAsia"/>
          <w:color w:val="FF0000"/>
        </w:rPr>
        <w:t>②运输中防虫害、有害物质等的污染，不得靠近或接触有腐蚀性物质，不得与气味浓郁的物品混运。</w:t>
      </w:r>
    </w:p>
    <w:p w14:paraId="18D2FCCD">
      <w:pPr>
        <w:ind w:firstLine="420" w:firstLineChars="200"/>
        <w:rPr>
          <w:color w:val="FF0000"/>
        </w:rPr>
      </w:pPr>
      <w:r>
        <w:rPr>
          <w:rFonts w:hint="eastAsia"/>
          <w:color w:val="FF0000"/>
        </w:rPr>
        <w:t>③应根据食品的类型、特性、季节、运输距离等选择不同的运输车辆和运输路线，同一运输车辆运输不同食品及多点装卸食品时，应根据食品特性，做好分装、分离或分隔，并存放在符合食品贮存温度要求的区域。</w:t>
      </w:r>
    </w:p>
    <w:p w14:paraId="0A6BF071">
      <w:pPr>
        <w:ind w:firstLine="420" w:firstLineChars="200"/>
        <w:rPr>
          <w:color w:val="FF0000"/>
        </w:rPr>
      </w:pPr>
      <w:r>
        <w:rPr>
          <w:rFonts w:hint="eastAsia"/>
          <w:color w:val="FF0000"/>
        </w:rPr>
        <w:t>④中标供应商在签订合同后需将投标文件中响应的“拟投入本项目的车辆”备案至学校，使用备案车辆服务本项目，如有特殊情况需提前报备至配送学校。每日配送时需向学校提交配送车辆登记台账（含车牌号等信息），并经学校签字确认。同时通过信息化平台记录车辆配送轨迹信息，供学校查验。</w:t>
      </w:r>
    </w:p>
    <w:p w14:paraId="56582522">
      <w:pPr>
        <w:ind w:firstLine="420" w:firstLineChars="200"/>
        <w:rPr>
          <w:color w:val="FF0000"/>
        </w:rPr>
      </w:pPr>
      <w:r>
        <w:rPr>
          <w:rFonts w:hint="eastAsia"/>
          <w:color w:val="FF0000"/>
        </w:rPr>
        <w:t>⑤凭专用通行证（各校区自行制定）进出学校。</w:t>
      </w:r>
    </w:p>
    <w:p w14:paraId="1418C4E6">
      <w:pPr>
        <w:ind w:firstLine="420" w:firstLineChars="200"/>
        <w:rPr>
          <w:color w:val="FF0000"/>
          <w:highlight w:val="yellow"/>
        </w:rPr>
      </w:pPr>
      <w:r>
        <w:rPr>
          <w:rFonts w:hint="eastAsia"/>
          <w:color w:val="FF0000"/>
          <w:highlight w:val="yellow"/>
        </w:rPr>
        <w:t>⑥为保障食材的新鲜程度、食品安全，中标供应商不得使用第三方公司配送(如货拉拉、美团跑腿等)，一经学校发现并查证，第一次从当月应支付的配送服务费中扣除5000元作为违约金，第二次从当月应支付的配送服务费中扣除10000元作为违约金，第三次采购人有权解除合同，供应商无条件接受带来的不利后果。</w:t>
      </w:r>
    </w:p>
    <w:p w14:paraId="19BB02A1">
      <w:pPr>
        <w:ind w:firstLine="420" w:firstLineChars="200"/>
        <w:rPr>
          <w:color w:val="0000FF"/>
        </w:rPr>
      </w:pPr>
      <w:r>
        <w:rPr>
          <w:rFonts w:hint="eastAsia"/>
          <w:color w:val="0000FF"/>
        </w:rPr>
        <w:t>⑦中标供应商提供配送服务的车辆需符合合法上路的要求，签订合同前需提供服务车辆的道路运输证或道路运输经营许可证作为证明材料。</w:t>
      </w:r>
    </w:p>
    <w:p w14:paraId="47579912">
      <w:pPr>
        <w:ind w:firstLine="420" w:firstLineChars="200"/>
        <w:rPr>
          <w:color w:val="0000FF"/>
        </w:rPr>
      </w:pPr>
      <w:r>
        <w:rPr>
          <w:rFonts w:hint="eastAsia"/>
          <w:color w:val="0000FF"/>
        </w:rPr>
        <w:t>5、中标供应商需针对本项目提供“配送服务方案”，包括但不限于：①货源、采购渠道；②供货保障；③品质监控；④日常管理组织；⑤质量安全控制措施（包括食品来源、入库、出库等全过程的检测与监管措施）。并在服务过程中严格按照方案执行。</w:t>
      </w:r>
    </w:p>
    <w:p w14:paraId="2EF8A7CB">
      <w:pPr>
        <w:ind w:firstLine="420" w:firstLineChars="200"/>
        <w:rPr>
          <w:color w:val="0000FF"/>
        </w:rPr>
      </w:pPr>
      <w:r>
        <w:rPr>
          <w:rFonts w:hint="eastAsia"/>
          <w:color w:val="0000FF"/>
        </w:rPr>
        <w:t>6、中标供应商需针对本项目提供“质量保证方案”，包括但不限于：①货物的来源；②货物的加工；③货物的包装；④货物的保存；⑤货物的运输。并在服务过程中严格按照方案执行。</w:t>
      </w:r>
    </w:p>
    <w:p w14:paraId="0954FD62">
      <w:pPr>
        <w:ind w:firstLine="420" w:firstLineChars="200"/>
        <w:rPr>
          <w:color w:val="0000FF"/>
        </w:rPr>
      </w:pPr>
      <w:r>
        <w:rPr>
          <w:rFonts w:hint="eastAsia"/>
          <w:color w:val="0000FF"/>
        </w:rPr>
        <w:t>7、中标供应商需针对本项目提供“应急方案”，包括但不限于：①就餐人数浮动需增加配送份额或者临时配送需求、响应时间及配送时效解决方案；②遇台风、暴雨恶劣天气配送解决方案；③中标人所提供的产品质量不符合要求,需要更换问题产品的解决方案；④采购单位食堂出现食品安全事故,供应商内部自检及善后处理问题解决方案；⑤供应商认为其他应急事件解决方案。并在服务过程中严格按照方案执行。</w:t>
      </w:r>
    </w:p>
    <w:p w14:paraId="5D10CD97">
      <w:pPr>
        <w:ind w:firstLine="420" w:firstLineChars="200"/>
        <w:rPr>
          <w:color w:val="0000FF"/>
          <w:highlight w:val="yellow"/>
        </w:rPr>
      </w:pPr>
      <w:r>
        <w:rPr>
          <w:rFonts w:hint="eastAsia"/>
          <w:color w:val="0000FF"/>
          <w:highlight w:val="yellow"/>
        </w:rPr>
        <w:t>8、中标供应商提供应急供（换）货服务，迟到30分钟以内的，从当月货款中扣5000元；迟到30分钟以上的，从当月货款中扣10000元。因暴雨、台风、交通管制等不可抗力</w:t>
      </w:r>
      <w:r>
        <w:rPr>
          <w:rFonts w:hint="eastAsia"/>
          <w:color w:val="0000FF"/>
          <w:highlight w:val="yellow"/>
          <w:lang w:val="en-US" w:eastAsia="zh-CN"/>
        </w:rPr>
        <w:t>因素</w:t>
      </w:r>
      <w:r>
        <w:rPr>
          <w:rFonts w:hint="eastAsia"/>
          <w:color w:val="0000FF"/>
          <w:highlight w:val="yellow"/>
        </w:rPr>
        <w:t>除外。当月应支付的配送服务费不足以支付违约金的，扣除对应具体服务合同当月全部配送服务费。</w:t>
      </w:r>
    </w:p>
    <w:p w14:paraId="39AE9834">
      <w:pPr>
        <w:ind w:firstLine="420" w:firstLineChars="200"/>
        <w:rPr>
          <w:color w:val="0000FF"/>
        </w:rPr>
      </w:pPr>
      <w:r>
        <w:rPr>
          <w:rFonts w:hint="eastAsia"/>
          <w:color w:val="0000FF"/>
        </w:rPr>
        <w:t>9、</w:t>
      </w:r>
      <w:r>
        <w:rPr>
          <w:rFonts w:hint="eastAsia"/>
          <w:color w:val="FF0000"/>
        </w:rPr>
        <w:t>★</w:t>
      </w:r>
      <w:r>
        <w:rPr>
          <w:rFonts w:hint="eastAsia"/>
          <w:color w:val="0000FF"/>
        </w:rPr>
        <w:t>人员要求：</w:t>
      </w:r>
    </w:p>
    <w:p w14:paraId="201ACCF3">
      <w:pPr>
        <w:ind w:firstLine="420" w:firstLineChars="200"/>
        <w:rPr>
          <w:color w:val="0000FF"/>
        </w:rPr>
      </w:pPr>
      <w:r>
        <w:rPr>
          <w:color w:val="0000FF"/>
        </w:rPr>
        <w:t>①中标供应商须为本项目配备1名项目负责人，并依据项目实际需求配备配送管理团队，团队成员均为在职员工。</w:t>
      </w:r>
    </w:p>
    <w:p w14:paraId="71F9894E">
      <w:pPr>
        <w:ind w:firstLine="420" w:firstLineChars="200"/>
        <w:rPr>
          <w:color w:val="0000FF"/>
        </w:rPr>
      </w:pPr>
      <w:r>
        <w:rPr>
          <w:rFonts w:hint="eastAsia"/>
        </w:rPr>
        <w:t>②</w:t>
      </w:r>
      <w:r>
        <w:rPr>
          <w:color w:val="0000FF"/>
        </w:rPr>
        <w:t>指定</w:t>
      </w:r>
      <w:r>
        <w:rPr>
          <w:rFonts w:hint="eastAsia"/>
          <w:color w:val="0000FF"/>
        </w:rPr>
        <w:t>1</w:t>
      </w:r>
      <w:r>
        <w:rPr>
          <w:color w:val="0000FF"/>
        </w:rPr>
        <w:t> 名员工专门负责</w:t>
      </w:r>
      <w:r>
        <w:rPr>
          <w:rFonts w:hint="eastAsia"/>
          <w:color w:val="0000FF"/>
        </w:rPr>
        <w:t>学校</w:t>
      </w:r>
      <w:r>
        <w:rPr>
          <w:color w:val="0000FF"/>
        </w:rPr>
        <w:t>下单食材对接配送事务，按食堂每天制订的采购单进行配送，该员工应相对固定，如更换，需提前三日通知</w:t>
      </w:r>
      <w:r>
        <w:rPr>
          <w:rFonts w:hint="eastAsia"/>
          <w:color w:val="0000FF"/>
        </w:rPr>
        <w:t>学校</w:t>
      </w:r>
      <w:r>
        <w:rPr>
          <w:color w:val="0000FF"/>
        </w:rPr>
        <w:t>并获得认可。</w:t>
      </w:r>
    </w:p>
    <w:p w14:paraId="2BA312E3">
      <w:pPr>
        <w:ind w:firstLine="420" w:firstLineChars="200"/>
        <w:rPr>
          <w:color w:val="0000FF"/>
        </w:rPr>
      </w:pPr>
      <w:r>
        <w:rPr>
          <w:rFonts w:hint="eastAsia"/>
          <w:color w:val="0000FF"/>
        </w:rPr>
        <w:t>③</w:t>
      </w:r>
      <w:r>
        <w:rPr>
          <w:color w:val="0000FF"/>
        </w:rPr>
        <w:t>配送</w:t>
      </w:r>
      <w:r>
        <w:rPr>
          <w:rFonts w:hint="eastAsia"/>
          <w:color w:val="0000FF"/>
        </w:rPr>
        <w:t>人</w:t>
      </w:r>
      <w:r>
        <w:rPr>
          <w:color w:val="0000FF"/>
        </w:rPr>
        <w:t>员应</w:t>
      </w:r>
      <w:r>
        <w:rPr>
          <w:rFonts w:hint="eastAsia"/>
          <w:color w:val="0000FF"/>
        </w:rPr>
        <w:t>为</w:t>
      </w:r>
      <w:r>
        <w:rPr>
          <w:color w:val="0000FF"/>
        </w:rPr>
        <w:t>中标</w:t>
      </w:r>
      <w:r>
        <w:rPr>
          <w:rFonts w:hint="eastAsia"/>
          <w:color w:val="0000FF"/>
        </w:rPr>
        <w:t>供应商</w:t>
      </w:r>
      <w:r>
        <w:rPr>
          <w:color w:val="0000FF"/>
        </w:rPr>
        <w:t>的正式在职员工，持有广东省食品从业人员健康证明，服从</w:t>
      </w:r>
      <w:r>
        <w:rPr>
          <w:rFonts w:hint="eastAsia"/>
          <w:color w:val="0000FF"/>
        </w:rPr>
        <w:t>学校</w:t>
      </w:r>
      <w:r>
        <w:rPr>
          <w:color w:val="0000FF"/>
        </w:rPr>
        <w:t>的食堂管理和工作调配。如食堂用餐人数和每日订菜数量发生变化，</w:t>
      </w:r>
      <w:r>
        <w:rPr>
          <w:rFonts w:hint="eastAsia"/>
          <w:color w:val="0000FF"/>
        </w:rPr>
        <w:t>学校</w:t>
      </w:r>
      <w:r>
        <w:rPr>
          <w:color w:val="0000FF"/>
        </w:rPr>
        <w:t>有权对配送员人数提出增减需求，中标</w:t>
      </w:r>
      <w:r>
        <w:rPr>
          <w:rFonts w:hint="eastAsia"/>
          <w:color w:val="0000FF"/>
        </w:rPr>
        <w:t>供应商</w:t>
      </w:r>
      <w:r>
        <w:rPr>
          <w:color w:val="0000FF"/>
        </w:rPr>
        <w:t>应对配送</w:t>
      </w:r>
      <w:r>
        <w:rPr>
          <w:rFonts w:hint="eastAsia"/>
          <w:color w:val="0000FF"/>
        </w:rPr>
        <w:t>人</w:t>
      </w:r>
      <w:r>
        <w:rPr>
          <w:color w:val="0000FF"/>
        </w:rPr>
        <w:t>员安排人数进行增减调配。但中标</w:t>
      </w:r>
      <w:r>
        <w:rPr>
          <w:rFonts w:hint="eastAsia"/>
          <w:color w:val="0000FF"/>
        </w:rPr>
        <w:t>供应商</w:t>
      </w:r>
      <w:r>
        <w:rPr>
          <w:color w:val="0000FF"/>
        </w:rPr>
        <w:t>应服从</w:t>
      </w:r>
      <w:r>
        <w:rPr>
          <w:rFonts w:hint="eastAsia"/>
          <w:color w:val="0000FF"/>
        </w:rPr>
        <w:t>学校</w:t>
      </w:r>
      <w:r>
        <w:rPr>
          <w:color w:val="0000FF"/>
        </w:rPr>
        <w:t>的管理，严格遵守国家的有关法律法规。</w:t>
      </w:r>
    </w:p>
    <w:p w14:paraId="7336D186">
      <w:pPr>
        <w:ind w:firstLine="420" w:firstLineChars="200"/>
        <w:rPr>
          <w:color w:val="0000FF"/>
        </w:rPr>
      </w:pPr>
      <w:r>
        <w:rPr>
          <w:rFonts w:hint="eastAsia"/>
          <w:color w:val="0000FF"/>
        </w:rPr>
        <w:t>④</w:t>
      </w:r>
      <w:r>
        <w:rPr>
          <w:color w:val="0000FF"/>
        </w:rPr>
        <w:t>中标</w:t>
      </w:r>
      <w:r>
        <w:rPr>
          <w:rFonts w:hint="eastAsia"/>
          <w:color w:val="0000FF"/>
        </w:rPr>
        <w:t>供应商</w:t>
      </w:r>
      <w:r>
        <w:rPr>
          <w:color w:val="0000FF"/>
        </w:rPr>
        <w:t>所有员工凭广东省食品从业人员健康证明上岗，遵守纪律、服从安排，确保能按时完成工作任务。</w:t>
      </w:r>
    </w:p>
    <w:p w14:paraId="58CA68FA">
      <w:pPr>
        <w:ind w:firstLine="420" w:firstLineChars="200"/>
        <w:rPr>
          <w:color w:val="0000FF"/>
        </w:rPr>
      </w:pPr>
      <w:r>
        <w:rPr>
          <w:rFonts w:hint="eastAsia"/>
          <w:color w:val="0000FF"/>
        </w:rPr>
        <w:t>⑤</w:t>
      </w:r>
      <w:r>
        <w:rPr>
          <w:color w:val="0000FF"/>
        </w:rPr>
        <w:t>中标</w:t>
      </w:r>
      <w:r>
        <w:rPr>
          <w:rFonts w:hint="eastAsia"/>
          <w:color w:val="0000FF"/>
        </w:rPr>
        <w:t>供应商</w:t>
      </w:r>
      <w:r>
        <w:rPr>
          <w:color w:val="0000FF"/>
        </w:rPr>
        <w:t>应做好本单位工作人员的教育工作，遵守配送区域入门岗和物品携带等各项规定。</w:t>
      </w:r>
    </w:p>
    <w:p w14:paraId="21AE6036">
      <w:pPr>
        <w:numPr>
          <w:ilvl w:val="0"/>
          <w:numId w:val="9"/>
        </w:numPr>
        <w:ind w:firstLine="420" w:firstLineChars="200"/>
        <w:rPr>
          <w:color w:val="FF0000"/>
        </w:rPr>
      </w:pPr>
      <w:r>
        <w:rPr>
          <w:rFonts w:hint="eastAsia"/>
          <w:color w:val="FF0000"/>
        </w:rPr>
        <w:t>★食品安全保障要求：</w:t>
      </w:r>
    </w:p>
    <w:p w14:paraId="106F58FF">
      <w:pPr>
        <w:ind w:firstLine="420" w:firstLineChars="200"/>
        <w:rPr>
          <w:color w:val="FF0000"/>
          <w:highlight w:val="yellow"/>
        </w:rPr>
      </w:pPr>
      <w:r>
        <w:rPr>
          <w:rFonts w:hint="eastAsia"/>
          <w:color w:val="FF0000"/>
          <w:highlight w:val="yellow"/>
        </w:rPr>
        <w:t>①中标供应商每日配送时，须同时提供本批次产品的出厂检验报告供采购人查验。</w:t>
      </w:r>
    </w:p>
    <w:p w14:paraId="691DE992">
      <w:pPr>
        <w:ind w:firstLine="420" w:firstLineChars="200"/>
        <w:rPr>
          <w:color w:val="FF0000"/>
          <w:highlight w:val="yellow"/>
        </w:rPr>
      </w:pPr>
      <w:r>
        <w:rPr>
          <w:rFonts w:hint="eastAsia"/>
          <w:color w:val="FF0000"/>
          <w:highlight w:val="yellow"/>
        </w:rPr>
        <w:t>②中标供应商应每季度按照投标文件中响应的 “定量检测能力情况”中的检测项目送交第三方检测，检测报告交采购人查验。若不按要求送检和提交，将处以10000元/每次作为违约金，并由采购人自行送检第三方，相关检测费用由中标供应商承担。为</w:t>
      </w:r>
      <w:r>
        <w:rPr>
          <w:rFonts w:hint="eastAsia"/>
          <w:color w:val="FF0000"/>
          <w:highlight w:val="yellow"/>
          <w:lang w:eastAsia="zh-CN"/>
        </w:rPr>
        <w:t>方便学校管理</w:t>
      </w:r>
      <w:r>
        <w:rPr>
          <w:rFonts w:hint="eastAsia"/>
          <w:color w:val="FF0000"/>
          <w:highlight w:val="yellow"/>
        </w:rPr>
        <w:t>，检测报告需做好品类索引。</w:t>
      </w:r>
    </w:p>
    <w:p w14:paraId="3437B7CE">
      <w:pPr>
        <w:ind w:firstLine="420" w:firstLineChars="200"/>
        <w:rPr>
          <w:color w:val="FF0000"/>
        </w:rPr>
      </w:pPr>
      <w:r>
        <w:rPr>
          <w:rFonts w:hint="eastAsia"/>
          <w:color w:val="FF0000"/>
        </w:rPr>
        <w:t>11、★信息化管理要求：</w:t>
      </w:r>
    </w:p>
    <w:p w14:paraId="2A722711">
      <w:pPr>
        <w:ind w:firstLine="420" w:firstLineChars="200"/>
        <w:rPr>
          <w:color w:val="FF0000"/>
        </w:rPr>
      </w:pPr>
      <w:r>
        <w:rPr>
          <w:rFonts w:hint="eastAsia"/>
          <w:color w:val="FF0000"/>
        </w:rPr>
        <w:t>①中标供应商须根据投标文件中响应的“信息化管理”提供相关信息化服务，供采购人查验。投标人应保证采购人在使用该信息化管理服务平台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p w14:paraId="3E9F59F4">
      <w:pPr>
        <w:ind w:firstLine="420" w:firstLineChars="200"/>
        <w:rPr>
          <w:color w:val="FF0000"/>
        </w:rPr>
      </w:pPr>
      <w:r>
        <w:rPr>
          <w:rFonts w:hint="eastAsia"/>
          <w:color w:val="FF0000"/>
        </w:rPr>
        <w:t>②若经采购人核实，中标供应商无法提供相应“信息化管理”平台服务的，采购人将从具体服务合同的当月配送服务费中扣除10000元作为违约金。当月应支付的配送服务费不足以支付违约金的，扣除对应具体服务合同当月全部配送服务费；</w:t>
      </w:r>
    </w:p>
    <w:p w14:paraId="6323C609">
      <w:pPr>
        <w:ind w:firstLine="420" w:firstLineChars="200"/>
        <w:rPr>
          <w:color w:val="FF0000"/>
        </w:rPr>
      </w:pPr>
      <w:r>
        <w:rPr>
          <w:rFonts w:hint="eastAsia"/>
          <w:color w:val="FF0000"/>
        </w:rPr>
        <w:t>③</w:t>
      </w:r>
      <w:r>
        <w:rPr>
          <w:color w:val="FF0000"/>
        </w:rPr>
        <w:t>配送食材可通过“深圳市食品安全追溯信用管理系统”全面、及时、准确上传追溯信息，确保相关品名、规格、批次等数据真实完整，确保配送食材来源可溯、质量可控。</w:t>
      </w:r>
    </w:p>
    <w:p w14:paraId="078B592A">
      <w:pPr>
        <w:ind w:firstLine="420" w:firstLineChars="200"/>
        <w:rPr>
          <w:color w:val="0000FF"/>
        </w:rPr>
      </w:pPr>
      <w:r>
        <w:rPr>
          <w:rFonts w:hint="eastAsia"/>
          <w:color w:val="0000FF"/>
        </w:rPr>
        <w:t>12、食材可视学校实际需求酌情配送，但须确保学校食材优质、安全可靠。</w:t>
      </w:r>
    </w:p>
    <w:p w14:paraId="106F1633">
      <w:pPr>
        <w:ind w:firstLine="420" w:firstLineChars="200"/>
        <w:rPr>
          <w:color w:val="0000FF"/>
        </w:rPr>
      </w:pPr>
      <w:r>
        <w:rPr>
          <w:rFonts w:hint="eastAsia"/>
          <w:color w:val="0000FF"/>
        </w:rPr>
        <w:t>13、食材到指定地点后，中标供应商需在双方验货签收环节须对每次参与的人员、验收的货品（包含但不限于接收单位名称、参与配送验收人员姓名、配送验收时间、验收查验过程等）进行视频影像记录，相关影像记录保存时间不少于90天，采购人有权随时调看。</w:t>
      </w:r>
    </w:p>
    <w:p w14:paraId="4B61CF0E">
      <w:pPr>
        <w:ind w:firstLine="420" w:firstLineChars="200"/>
        <w:rPr>
          <w:color w:val="FF0000"/>
        </w:rPr>
      </w:pPr>
      <w:r>
        <w:rPr>
          <w:rFonts w:hint="eastAsia"/>
          <w:color w:val="FF0000"/>
        </w:rPr>
        <w:t>14、★因配送运输中出现人身安全事故，中标供应商独立承担一切刑事、民事责任，与采购人无关。</w:t>
      </w:r>
    </w:p>
    <w:p w14:paraId="292B83F1">
      <w:pPr>
        <w:ind w:left="420" w:leftChars="200"/>
        <w:rPr>
          <w:color w:val="FF0000"/>
        </w:rPr>
      </w:pPr>
      <w:r>
        <w:rPr>
          <w:rFonts w:hint="eastAsia"/>
          <w:color w:val="FF0000"/>
        </w:rPr>
        <w:t>15、</w:t>
      </w:r>
      <w:r>
        <w:rPr>
          <w:color w:val="FF0000"/>
        </w:rPr>
        <w:t>★供应商承诺内容包括但不限于：</w:t>
      </w:r>
    </w:p>
    <w:p w14:paraId="4E94C19C">
      <w:pPr>
        <w:ind w:firstLine="420" w:firstLineChars="200"/>
        <w:rPr>
          <w:color w:val="FF0000"/>
        </w:rPr>
      </w:pPr>
      <w:r>
        <w:rPr>
          <w:rFonts w:hint="eastAsia"/>
          <w:color w:val="FF0000"/>
        </w:rPr>
        <w:t>①</w:t>
      </w:r>
      <w:r>
        <w:rPr>
          <w:color w:val="FF0000"/>
        </w:rPr>
        <w:t>我单位承诺：如我单位中标，保证中标后</w:t>
      </w:r>
      <w:r>
        <w:rPr>
          <w:rFonts w:hint="eastAsia"/>
          <w:color w:val="FF0000"/>
        </w:rPr>
        <w:t>10</w:t>
      </w:r>
      <w:r>
        <w:rPr>
          <w:color w:val="FF0000"/>
        </w:rPr>
        <w:t>个工作日内提供评分细则中所有证明文件原件</w:t>
      </w:r>
      <w:r>
        <w:rPr>
          <w:rFonts w:hint="eastAsia"/>
          <w:color w:val="FF0000"/>
        </w:rPr>
        <w:t>，</w:t>
      </w:r>
      <w:r>
        <w:rPr>
          <w:color w:val="FF0000"/>
        </w:rPr>
        <w:t>供采购</w:t>
      </w:r>
      <w:r>
        <w:rPr>
          <w:rFonts w:hint="eastAsia"/>
          <w:color w:val="FF0000"/>
        </w:rPr>
        <w:t>人</w:t>
      </w:r>
      <w:r>
        <w:rPr>
          <w:color w:val="FF0000"/>
        </w:rPr>
        <w:t>审核。</w:t>
      </w:r>
      <w:r>
        <w:rPr>
          <w:color w:val="FF0000"/>
        </w:rPr>
        <w:br w:type="textWrapping"/>
      </w:r>
      <w:r>
        <w:rPr>
          <w:rFonts w:hint="eastAsia"/>
          <w:color w:val="FF0000"/>
        </w:rPr>
        <w:t xml:space="preserve">    ②</w:t>
      </w:r>
      <w:r>
        <w:rPr>
          <w:color w:val="FF0000"/>
        </w:rPr>
        <w:t>我单位承诺：如我单位中标，</w:t>
      </w:r>
      <w:r>
        <w:rPr>
          <w:rFonts w:hint="eastAsia"/>
          <w:color w:val="FF0000"/>
        </w:rPr>
        <w:t>采购人有权随时对我单位的场所及我单位服务的其他食材配送项目进行实地考察，如发现我单位有存在提供虚假证明材料、重大食品安全问题、严重违反合同约定或其他违法违规情形的，我单位将无条件放弃中标资格，并承担由此产生的一切法律责任及赔偿责任。同时，采购人有权终止合同，并按照相关规定追究我单位责任。</w:t>
      </w:r>
      <w:r>
        <w:rPr>
          <w:color w:val="FF0000"/>
        </w:rPr>
        <w:br w:type="textWrapping"/>
      </w:r>
      <w:r>
        <w:rPr>
          <w:rFonts w:hint="eastAsia"/>
          <w:color w:val="FF0000"/>
        </w:rPr>
        <w:t xml:space="preserve">    ③</w:t>
      </w:r>
      <w:r>
        <w:rPr>
          <w:color w:val="FF0000"/>
        </w:rPr>
        <w:t>我单位承诺</w:t>
      </w:r>
      <w:r>
        <w:rPr>
          <w:rFonts w:hint="eastAsia"/>
          <w:color w:val="FF0000"/>
        </w:rPr>
        <w:t>：我单位已充分知悉项目的服务内容、范围等要求，并合理预估自身的服务能力参与本项目投标。中标后不得出现因服务能力不足、非不可抗力等因素提出放弃中标资格或向采购人主动提出解除合同的。</w:t>
      </w:r>
    </w:p>
    <w:p w14:paraId="2FC8A6E3">
      <w:pPr>
        <w:ind w:firstLine="420" w:firstLineChars="200"/>
        <w:rPr>
          <w:color w:val="FF0000"/>
        </w:rPr>
      </w:pPr>
      <w:r>
        <w:rPr>
          <w:rFonts w:hint="eastAsia"/>
          <w:color w:val="FF0000"/>
        </w:rPr>
        <w:t>供应商如违反上述承诺，</w:t>
      </w:r>
      <w:r>
        <w:rPr>
          <w:color w:val="FF0000"/>
        </w:rPr>
        <w:t>采购人</w:t>
      </w:r>
      <w:r>
        <w:rPr>
          <w:rFonts w:hint="eastAsia"/>
          <w:color w:val="FF0000"/>
        </w:rPr>
        <w:t>将有权</w:t>
      </w:r>
      <w:r>
        <w:rPr>
          <w:color w:val="FF0000"/>
        </w:rPr>
        <w:t>报主管部门</w:t>
      </w:r>
      <w:r>
        <w:rPr>
          <w:rFonts w:hint="eastAsia"/>
          <w:color w:val="FF0000"/>
        </w:rPr>
        <w:t>进行</w:t>
      </w:r>
      <w:r>
        <w:rPr>
          <w:color w:val="FF0000"/>
        </w:rPr>
        <w:t>处罚。</w:t>
      </w:r>
    </w:p>
    <w:p w14:paraId="6ED740F1">
      <w:pPr>
        <w:ind w:firstLine="422" w:firstLineChars="200"/>
        <w:rPr>
          <w:b/>
          <w:bCs/>
        </w:rPr>
      </w:pPr>
      <w:r>
        <w:rPr>
          <w:rFonts w:hint="eastAsia"/>
          <w:b/>
          <w:bCs/>
        </w:rPr>
        <w:t>（五）管理要求</w:t>
      </w:r>
    </w:p>
    <w:p w14:paraId="6F799B7C">
      <w:pPr>
        <w:ind w:firstLine="420" w:firstLineChars="200"/>
      </w:pPr>
      <w:r>
        <w:rPr>
          <w:rFonts w:hint="eastAsia"/>
        </w:rPr>
        <w:t>1、供应商使用方式及考核制度</w:t>
      </w:r>
    </w:p>
    <w:p w14:paraId="6CD5D645">
      <w:pPr>
        <w:ind w:firstLine="420" w:firstLineChars="200"/>
        <w:rPr>
          <w:color w:val="FF0000"/>
        </w:rPr>
      </w:pPr>
      <w:r>
        <w:rPr>
          <w:rFonts w:hint="eastAsia"/>
          <w:color w:val="FF0000"/>
        </w:rPr>
        <w:t>（1）★中标供应商需在合同签订前向学校提交《质量安全承诺书》（详见附件4）。</w:t>
      </w:r>
    </w:p>
    <w:p w14:paraId="5F138425">
      <w:pPr>
        <w:ind w:firstLine="420" w:firstLineChars="200"/>
      </w:pPr>
      <w:r>
        <w:rPr>
          <w:rFonts w:hint="eastAsia"/>
        </w:rPr>
        <w:t>（2）实施日常考评、月度考评、季度考评的考核机制，考核办法详见“（八）供应商服务综合评议制度”。</w:t>
      </w:r>
    </w:p>
    <w:p w14:paraId="418C23EF">
      <w:pPr>
        <w:ind w:firstLine="420" w:firstLineChars="200"/>
      </w:pPr>
      <w:r>
        <w:rPr>
          <w:rFonts w:hint="eastAsia"/>
        </w:rPr>
        <w:t>（3）各校区设立食材采购项目配送服务供应商评议考核小组，具体负责供应商的评议考核工作。</w:t>
      </w:r>
    </w:p>
    <w:p w14:paraId="3721D550">
      <w:pPr>
        <w:ind w:firstLine="420" w:firstLineChars="200"/>
      </w:pPr>
      <w:r>
        <w:rPr>
          <w:rFonts w:hint="eastAsia"/>
        </w:rPr>
        <w:t>2、对供应商的其他相关要求</w:t>
      </w:r>
    </w:p>
    <w:p w14:paraId="690B341C">
      <w:pPr>
        <w:ind w:firstLine="420" w:firstLineChars="200"/>
      </w:pPr>
      <w:r>
        <w:rPr>
          <w:rFonts w:hint="eastAsia"/>
        </w:rPr>
        <w:t>（1）必须依据国家有关法律法规要求建立健全各项管理制度，保证食品安全，有明确的食品安全责任人。因所供货物质量原因导致发生食品安全事故，除终止采购供应合同外，中标供应商还需赔偿采购人救治经费及误工损失。</w:t>
      </w:r>
    </w:p>
    <w:p w14:paraId="360DA504">
      <w:pPr>
        <w:ind w:firstLine="420" w:firstLineChars="200"/>
      </w:pPr>
      <w:r>
        <w:rPr>
          <w:rFonts w:hint="eastAsia"/>
        </w:rPr>
        <w:t>（2）按合同约定的标的供货，中标供应商不得转包、分包，否则采购人有权终止合同，中标供应商承担由此造成的经济损失。</w:t>
      </w:r>
    </w:p>
    <w:p w14:paraId="58C7ADB0">
      <w:pPr>
        <w:ind w:firstLine="420" w:firstLineChars="200"/>
      </w:pPr>
      <w:r>
        <w:rPr>
          <w:rFonts w:hint="eastAsia"/>
        </w:rPr>
        <w:t>（3）中标供应商应严格按招标要求（含品种、质量等）供应，不得变更供应商品，否则，学校有权退货。应严格按学校要求（含名称、产地、规格和重量等）供应，否则，学校有权拒收。如学校对货物验收不合格导致退货的，中标供应商必须于当日内安排重新送货上门。若因特殊情况（如商家停产或天气因素等）确实需要变更的个别商品，经学校同意，必须以质量较高的同类商品代替，不得未经学校同意私自更改供货单。</w:t>
      </w:r>
    </w:p>
    <w:p w14:paraId="2C2497DC">
      <w:pPr>
        <w:ind w:firstLine="420" w:firstLineChars="200"/>
      </w:pPr>
      <w:r>
        <w:rPr>
          <w:rFonts w:hint="eastAsia"/>
        </w:rPr>
        <w:t>（4）中标供应商除不可抗力，不得因其他任何理由延迟送货。学校如遇特殊情况需推迟送货，应提前通知中标供应商。因中标供应商原因延误交货日期的（学校要求推迟的除外），由中标供应商承担由此产生的一切损失和费用。</w:t>
      </w:r>
    </w:p>
    <w:p w14:paraId="3CC67EED">
      <w:pPr>
        <w:ind w:firstLine="420" w:firstLineChars="200"/>
      </w:pPr>
      <w:r>
        <w:rPr>
          <w:rFonts w:hint="eastAsia"/>
        </w:rPr>
        <w:t>（5）学校对货物进行认真验收，对不符合规格要求的商品，中标供应商必须无条件退货。中标供应商未能履行招标文件和合同所定事项, 或供应不合格的、假冒伪劣、以次充好的商品，学校退货后将记录在案，并对中标供应商予以处罚，除要承担因此产生的一切损失和费用外，情节严重的可终止其采购供应合同。</w:t>
      </w:r>
    </w:p>
    <w:p w14:paraId="0209E077">
      <w:pPr>
        <w:ind w:firstLine="420" w:firstLineChars="200"/>
      </w:pPr>
      <w:r>
        <w:rPr>
          <w:rFonts w:hint="eastAsia"/>
        </w:rPr>
        <w:t>（6）中标供应商每次随货送上一式四份的送货清单,供双方验货后签字确认，中标供应商一份，学校持三份，作为送、收货的凭证。</w:t>
      </w:r>
    </w:p>
    <w:p w14:paraId="06B54F7A">
      <w:pPr>
        <w:ind w:firstLine="420" w:firstLineChars="200"/>
      </w:pPr>
      <w:r>
        <w:rPr>
          <w:rFonts w:hint="eastAsia"/>
        </w:rPr>
        <w:t>（7）结算货款时，中标供应商须提供送货清单和国家正规的电子发票，应由学校财务人员严格审核送货清单。</w:t>
      </w:r>
    </w:p>
    <w:p w14:paraId="0B55C900">
      <w:pPr>
        <w:ind w:firstLine="420" w:firstLineChars="200"/>
      </w:pPr>
      <w:r>
        <w:rPr>
          <w:rFonts w:hint="eastAsia"/>
        </w:rPr>
        <w:t>（8）食品溯源要求：对食品供应链进行明确，所有食品的来源必须清晰，尽量使用知名品牌。生产食品的源头与供应商要有固定的合法的供应关系，严禁收购非标准产品供应。标书要求对食品的来源和质量标准要有详尽的描述，验收须按国家标准。供应商应保存以下资料：</w:t>
      </w:r>
    </w:p>
    <w:p w14:paraId="2A04F266">
      <w:pPr>
        <w:ind w:firstLine="420" w:firstLineChars="200"/>
      </w:pPr>
      <w:r>
        <w:rPr>
          <w:rFonts w:hint="eastAsia"/>
        </w:rPr>
        <w:t>（a）供应商与生产企业的销售合同；</w:t>
      </w:r>
    </w:p>
    <w:p w14:paraId="7366C468">
      <w:pPr>
        <w:ind w:firstLine="420" w:firstLineChars="200"/>
      </w:pPr>
      <w:r>
        <w:rPr>
          <w:rFonts w:hint="eastAsia"/>
        </w:rPr>
        <w:t>（b）生产企业的送货单和销售发票；</w:t>
      </w:r>
    </w:p>
    <w:p w14:paraId="7606FEA2">
      <w:pPr>
        <w:ind w:firstLine="420" w:firstLineChars="200"/>
      </w:pPr>
      <w:r>
        <w:rPr>
          <w:rFonts w:hint="eastAsia"/>
        </w:rPr>
        <w:t>（c）供应商与采购人的采购合同及送货单据、销售发票。</w:t>
      </w:r>
    </w:p>
    <w:p w14:paraId="6F1CE2D5">
      <w:pPr>
        <w:ind w:firstLine="420" w:firstLineChars="200"/>
      </w:pPr>
      <w:r>
        <w:rPr>
          <w:rFonts w:hint="eastAsia"/>
        </w:rPr>
        <w:t>（9）交货要求：</w:t>
      </w:r>
    </w:p>
    <w:p w14:paraId="2CF7E183">
      <w:pPr>
        <w:ind w:firstLine="420" w:firstLineChars="200"/>
      </w:pPr>
      <w:r>
        <w:rPr>
          <w:rFonts w:hint="eastAsia"/>
        </w:rPr>
        <w:t>提供的食材必须为新鲜、经检验合格的产品。</w:t>
      </w:r>
    </w:p>
    <w:p w14:paraId="0E432544">
      <w:pPr>
        <w:ind w:firstLine="420" w:firstLineChars="200"/>
      </w:pPr>
      <w:r>
        <w:rPr>
          <w:rFonts w:hint="eastAsia"/>
        </w:rPr>
        <w:t>（10）中标供应商应随时按采购人要求提供各类货物清晰准确的原产地以及检测报告。</w:t>
      </w:r>
    </w:p>
    <w:p w14:paraId="1806F40D">
      <w:pPr>
        <w:ind w:firstLine="420" w:firstLineChars="200"/>
      </w:pPr>
      <w:r>
        <w:rPr>
          <w:rFonts w:hint="eastAsia"/>
        </w:rPr>
        <w:t>（11）临时加货处理：</w:t>
      </w:r>
    </w:p>
    <w:p w14:paraId="00DB31EE">
      <w:pPr>
        <w:ind w:firstLine="420" w:firstLineChars="200"/>
      </w:pPr>
      <w:r>
        <w:rPr>
          <w:rFonts w:hint="eastAsia"/>
        </w:rPr>
        <w:t>对于学校临时有接待餐任务或临时增加员工用餐时，中标供应商需快速将货物送到学校的指定地点，派专人负责跟踪服务，保证用餐正常。</w:t>
      </w:r>
    </w:p>
    <w:p w14:paraId="6F8CC3E9">
      <w:pPr>
        <w:ind w:firstLine="420" w:firstLineChars="200"/>
      </w:pPr>
      <w:r>
        <w:rPr>
          <w:rFonts w:hint="eastAsia"/>
        </w:rPr>
        <w:t>在配送过程中，学校对所供食材有任何意见，可随时向中标供应商反映，中标供应商应及时改进，否则，采购人有权终止其采购供应合同。</w:t>
      </w:r>
    </w:p>
    <w:p w14:paraId="7E4DBD47">
      <w:pPr>
        <w:ind w:firstLine="420" w:firstLineChars="200"/>
      </w:pPr>
      <w:r>
        <w:rPr>
          <w:rFonts w:hint="eastAsia"/>
        </w:rPr>
        <w:t>（12）因配送运输中出现人身安全事故，中标供应商独立承担一切刑事、民事责任，与采购人无关。</w:t>
      </w:r>
    </w:p>
    <w:p w14:paraId="77DD7F2F">
      <w:pPr>
        <w:ind w:firstLine="420" w:firstLineChars="200"/>
      </w:pPr>
      <w:r>
        <w:rPr>
          <w:rFonts w:hint="eastAsia"/>
        </w:rPr>
        <w:t>（13）如果因供应商所供货的食品造成学校就餐人员食物中毒的，经卫生防疫部门鉴定，属于供应商责任，供应商须承担全部法律责任并作出全部的经济赔偿。供应商的粗加工人员和配送人员在服务过程中如遇到人员安全事故由供应商负全部责任，与采购人无关。</w:t>
      </w:r>
    </w:p>
    <w:p w14:paraId="0ED293F4">
      <w:pPr>
        <w:ind w:firstLine="420" w:firstLineChars="200"/>
      </w:pPr>
      <w:r>
        <w:rPr>
          <w:rFonts w:hint="eastAsia"/>
        </w:rPr>
        <w:t>（14）若因中标供应商没有送餐导致助餐点无法正常开餐，中标供应商应承担采购人误餐的全部责任。</w:t>
      </w:r>
    </w:p>
    <w:p w14:paraId="088475EF">
      <w:pPr>
        <w:ind w:firstLine="422" w:firstLineChars="200"/>
        <w:rPr>
          <w:b/>
          <w:bCs/>
        </w:rPr>
      </w:pPr>
      <w:r>
        <w:rPr>
          <w:rFonts w:hint="eastAsia"/>
          <w:b/>
          <w:bCs/>
        </w:rPr>
        <w:t>（六）供应商退出机制</w:t>
      </w:r>
    </w:p>
    <w:p w14:paraId="65EBEB1D">
      <w:pPr>
        <w:ind w:firstLine="420" w:firstLineChars="200"/>
      </w:pPr>
      <w:r>
        <w:rPr>
          <w:rFonts w:hint="eastAsia"/>
        </w:rPr>
        <w:t>1.中标供应商有下列行为之一的，经查实，取消其中标供应商资格：</w:t>
      </w:r>
    </w:p>
    <w:p w14:paraId="125069B8">
      <w:pPr>
        <w:ind w:firstLine="420" w:firstLineChars="200"/>
      </w:pPr>
      <w:r>
        <w:rPr>
          <w:rFonts w:hint="eastAsia"/>
        </w:rPr>
        <w:t>（1）弄虚作假、隐瞒真实情况骗取中标的；</w:t>
      </w:r>
    </w:p>
    <w:p w14:paraId="2F6FF34B">
      <w:pPr>
        <w:ind w:firstLine="420" w:firstLineChars="200"/>
      </w:pPr>
      <w:r>
        <w:rPr>
          <w:rFonts w:hint="eastAsia"/>
        </w:rPr>
        <w:t>（2）向采购项目相关人行贿或者提供其他不正当利益、受贿、串通投标、转包、挂靠的；</w:t>
      </w:r>
    </w:p>
    <w:p w14:paraId="5D2FE400">
      <w:pPr>
        <w:ind w:firstLine="420" w:firstLineChars="200"/>
      </w:pPr>
      <w:r>
        <w:rPr>
          <w:rFonts w:hint="eastAsia"/>
        </w:rPr>
        <w:t>（3）恶意质疑投诉的；</w:t>
      </w:r>
    </w:p>
    <w:p w14:paraId="01C713F7">
      <w:pPr>
        <w:ind w:firstLine="420" w:firstLineChars="200"/>
      </w:pPr>
      <w:r>
        <w:rPr>
          <w:rFonts w:hint="eastAsia"/>
        </w:rPr>
        <w:t>（4）因其公司资质降低达不到入围供应商资质条件的，或被行业主管部门责令停业或取消资质的；</w:t>
      </w:r>
    </w:p>
    <w:p w14:paraId="2C2F21D2">
      <w:pPr>
        <w:ind w:firstLine="420" w:firstLineChars="200"/>
      </w:pPr>
      <w:r>
        <w:rPr>
          <w:rFonts w:hint="eastAsia"/>
        </w:rPr>
        <w:t>（5）造成严重后果或恶劣影响的行为；</w:t>
      </w:r>
    </w:p>
    <w:p w14:paraId="5BFA199D">
      <w:pPr>
        <w:ind w:firstLine="420" w:firstLineChars="200"/>
      </w:pPr>
      <w:r>
        <w:rPr>
          <w:rFonts w:hint="eastAsia"/>
        </w:rPr>
        <w:t>（6）有商业贿赂行为的；</w:t>
      </w:r>
    </w:p>
    <w:p w14:paraId="385A7135">
      <w:pPr>
        <w:ind w:firstLine="420" w:firstLineChars="200"/>
      </w:pPr>
      <w:r>
        <w:rPr>
          <w:rFonts w:hint="eastAsia"/>
        </w:rPr>
        <w:t>（7）其他违反法律、法规和协议规定的行为。</w:t>
      </w:r>
    </w:p>
    <w:p w14:paraId="575598A0">
      <w:pPr>
        <w:ind w:firstLine="420" w:firstLineChars="200"/>
      </w:pPr>
      <w:r>
        <w:rPr>
          <w:rFonts w:hint="eastAsia"/>
        </w:rPr>
        <w:t>2.供应商在合同执行期间，出现以下行为情况之一者，经查属实的，采购人将有权终止其学校食材配送供应合同，并启动应急处理制度：</w:t>
      </w:r>
    </w:p>
    <w:p w14:paraId="6B72E9F6">
      <w:pPr>
        <w:ind w:firstLine="420" w:firstLineChars="200"/>
      </w:pPr>
      <w:r>
        <w:rPr>
          <w:rFonts w:hint="eastAsia"/>
        </w:rPr>
        <w:t>（1）中标后无正当理由，不按照规定与采购人签订合同的；</w:t>
      </w:r>
    </w:p>
    <w:p w14:paraId="0E9059CD">
      <w:pPr>
        <w:ind w:firstLine="420" w:firstLineChars="200"/>
      </w:pPr>
      <w:r>
        <w:rPr>
          <w:rFonts w:hint="eastAsia"/>
        </w:rPr>
        <w:t>（2）擅自变更或者中止采购服务合同的；</w:t>
      </w:r>
    </w:p>
    <w:p w14:paraId="26CD5E8E">
      <w:pPr>
        <w:ind w:firstLine="420" w:firstLineChars="200"/>
      </w:pPr>
      <w:r>
        <w:rPr>
          <w:rFonts w:hint="eastAsia"/>
        </w:rPr>
        <w:t>（3）不按采购需求、投标文件以及采购服务合同要求全面履约，履约情况评价不合格的；</w:t>
      </w:r>
    </w:p>
    <w:p w14:paraId="731B3D9C">
      <w:pPr>
        <w:ind w:firstLine="420" w:firstLineChars="200"/>
      </w:pPr>
      <w:r>
        <w:rPr>
          <w:rFonts w:hint="eastAsia"/>
        </w:rPr>
        <w:t>（4）未按规定出具检测报告或违背招标承诺书等情况达到二次的；</w:t>
      </w:r>
    </w:p>
    <w:p w14:paraId="677BF835">
      <w:pPr>
        <w:ind w:firstLine="420" w:firstLineChars="200"/>
      </w:pPr>
      <w:r>
        <w:rPr>
          <w:rFonts w:hint="eastAsia"/>
        </w:rPr>
        <w:t>（5）不按招标文件等要求规定，发现 3 次以上虚假报价的；</w:t>
      </w:r>
    </w:p>
    <w:p w14:paraId="386CAC99">
      <w:pPr>
        <w:ind w:firstLine="420" w:firstLineChars="200"/>
      </w:pPr>
      <w:r>
        <w:rPr>
          <w:rFonts w:hint="eastAsia"/>
        </w:rPr>
        <w:t>（6）物资或服务以次充好，存在严重质量问题的；</w:t>
      </w:r>
    </w:p>
    <w:p w14:paraId="49B26EDC">
      <w:pPr>
        <w:ind w:firstLine="420" w:firstLineChars="200"/>
      </w:pPr>
      <w:r>
        <w:rPr>
          <w:rFonts w:hint="eastAsia"/>
        </w:rPr>
        <w:t>（7）因供应的货物质量达不到国家有关食品安全标准而造成食物中毒或其它后果，属于供货方（配送单位）责任的；</w:t>
      </w:r>
    </w:p>
    <w:p w14:paraId="4D039FF2">
      <w:pPr>
        <w:ind w:firstLine="420" w:firstLineChars="200"/>
      </w:pPr>
      <w:r>
        <w:rPr>
          <w:rFonts w:hint="eastAsia"/>
        </w:rPr>
        <w:t>（8）经2次以上（含2次）的有效投诉处理仍不纠正的，有效投诉指的是供应商被投诉内容经查实确定为违反服务合同或其他协议规定的事实；</w:t>
      </w:r>
    </w:p>
    <w:p w14:paraId="15438E87">
      <w:pPr>
        <w:ind w:firstLine="420" w:firstLineChars="200"/>
      </w:pPr>
      <w:r>
        <w:rPr>
          <w:rFonts w:hint="eastAsia"/>
        </w:rPr>
        <w:t>（9）因货品质量或其他原因而造成严重后果或恶劣影响的行为；</w:t>
      </w:r>
    </w:p>
    <w:p w14:paraId="7FD88AA5">
      <w:pPr>
        <w:ind w:firstLine="420" w:firstLineChars="200"/>
      </w:pPr>
      <w:r>
        <w:rPr>
          <w:rFonts w:hint="eastAsia"/>
        </w:rPr>
        <w:t>（10）连续两次综合评议结果为不满意的；</w:t>
      </w:r>
    </w:p>
    <w:p w14:paraId="09FAE293">
      <w:pPr>
        <w:ind w:firstLine="420" w:firstLineChars="200"/>
      </w:pPr>
      <w:r>
        <w:rPr>
          <w:rFonts w:hint="eastAsia"/>
        </w:rPr>
        <w:t>（11）非法手段排斥其他供应商参与竞争的；</w:t>
      </w:r>
    </w:p>
    <w:p w14:paraId="000C825F">
      <w:pPr>
        <w:ind w:firstLine="420" w:firstLineChars="200"/>
      </w:pPr>
      <w:r>
        <w:rPr>
          <w:rFonts w:hint="eastAsia"/>
        </w:rPr>
        <w:t>（12）拖欠工人工资、经劳动或其他政府部门催告或通报仍不清偿的；</w:t>
      </w:r>
    </w:p>
    <w:p w14:paraId="1546DEA9">
      <w:pPr>
        <w:ind w:firstLine="420" w:firstLineChars="200"/>
      </w:pPr>
      <w:r>
        <w:rPr>
          <w:rFonts w:hint="eastAsia"/>
        </w:rPr>
        <w:t>（13）拒绝有关部门检查或者不如实反映情况，提供材料的；</w:t>
      </w:r>
    </w:p>
    <w:p w14:paraId="3463D61B">
      <w:pPr>
        <w:ind w:firstLine="420" w:firstLineChars="200"/>
      </w:pPr>
      <w:r>
        <w:rPr>
          <w:rFonts w:hint="eastAsia"/>
        </w:rPr>
        <w:t>（14）无正当理由，不接受或拒绝采购人订货、供货要求的；</w:t>
      </w:r>
    </w:p>
    <w:p w14:paraId="79B3C55E">
      <w:pPr>
        <w:ind w:firstLine="420" w:firstLineChars="200"/>
      </w:pPr>
      <w:r>
        <w:rPr>
          <w:rFonts w:hint="eastAsia"/>
        </w:rPr>
        <w:t>（15）在合同期内有三次以上被抽检不合格的；</w:t>
      </w:r>
    </w:p>
    <w:p w14:paraId="4A906618">
      <w:pPr>
        <w:ind w:firstLine="420" w:firstLineChars="200"/>
      </w:pPr>
      <w:r>
        <w:rPr>
          <w:rFonts w:hint="eastAsia"/>
        </w:rPr>
        <w:t>（16）供应商公司所属员工在配送过程中与学校工作人员产生矛盾，发生严重肢体冲突，升级为刑事案件，主要责任在供应商一方的；</w:t>
      </w:r>
    </w:p>
    <w:p w14:paraId="5DCB56FB">
      <w:pPr>
        <w:ind w:firstLine="420" w:firstLineChars="200"/>
      </w:pPr>
      <w:r>
        <w:rPr>
          <w:rFonts w:hint="eastAsia"/>
        </w:rPr>
        <w:t>（17）其他违反法律、法规和协议规定的行为。</w:t>
      </w:r>
    </w:p>
    <w:p w14:paraId="261FDF54">
      <w:pPr>
        <w:pStyle w:val="18"/>
        <w:ind w:firstLine="422" w:firstLineChars="200"/>
        <w:rPr>
          <w:b/>
          <w:bCs/>
        </w:rPr>
      </w:pPr>
      <w:r>
        <w:rPr>
          <w:rFonts w:hint="eastAsia"/>
          <w:b/>
          <w:bCs/>
        </w:rPr>
        <w:t>（七）应急处理制度</w:t>
      </w:r>
    </w:p>
    <w:p w14:paraId="68892B89">
      <w:pPr>
        <w:ind w:firstLine="420" w:firstLineChars="200"/>
      </w:pPr>
      <w:r>
        <w:rPr>
          <w:rFonts w:hint="eastAsia"/>
        </w:rPr>
        <w:t>合同执行期间中标供应商因食材质量、配送、服务及管理等引发食品安全事故、连续两次季度考核结果为不满意等触发退出机制需要终止采购供应合同情形的。在新服务供应商签订合同前的过渡期间，中标供应商需配合采购人做好服务过渡工作，在过渡期间或出现短期供应不足等紧急问题时，向采购人提供在大型商超采购的优于其现供应标准的食材（需提供采购清单及规格标准），同时结算价格需按基准价*中标</w:t>
      </w:r>
      <w:r>
        <w:rPr>
          <w:rFonts w:hint="eastAsia" w:ascii="宋体" w:hAnsi="宋体" w:eastAsia="宋体" w:cs="宋体"/>
          <w:color w:val="FF0000"/>
          <w:szCs w:val="21"/>
        </w:rPr>
        <w:t>折扣率</w:t>
      </w:r>
      <w:r>
        <w:rPr>
          <w:rFonts w:hint="eastAsia" w:ascii="宋体" w:hAnsi="宋体" w:eastAsia="宋体" w:cs="宋体"/>
          <w:color w:val="FF0000"/>
          <w:szCs w:val="21"/>
          <w:lang w:val="en-US" w:eastAsia="zh-CN"/>
        </w:rPr>
        <w:t>%</w:t>
      </w:r>
      <w:r>
        <w:rPr>
          <w:rFonts w:hint="eastAsia"/>
        </w:rPr>
        <w:t>*实际供货数量进行结算，直至采购人重新采购到新的服务供应商或恢复正常供应。</w:t>
      </w:r>
    </w:p>
    <w:p w14:paraId="2D39E116">
      <w:pPr>
        <w:ind w:firstLine="422" w:firstLineChars="200"/>
        <w:rPr>
          <w:b/>
          <w:bCs/>
        </w:rPr>
      </w:pPr>
      <w:r>
        <w:rPr>
          <w:rFonts w:hint="eastAsia"/>
          <w:b/>
          <w:bCs/>
        </w:rPr>
        <w:t>（八）供应商服务综合评议制度</w:t>
      </w:r>
    </w:p>
    <w:p w14:paraId="3F01CF6C">
      <w:pPr>
        <w:ind w:firstLine="420" w:firstLineChars="200"/>
      </w:pPr>
      <w:r>
        <w:rPr>
          <w:rFonts w:hint="eastAsia"/>
        </w:rPr>
        <w:t>1、进一步建立健全食材采购项目供应商管理机制，规范食材批量集中采购配送行为，加强对供应商供货品质、服务质量的监督管理，从而优化供应商结构，提高配送水平，有效防控风险，依据《中华人民共和国政府采购法》、《深圳经济特区政府采购条例》等有关规定，特制定本制度。</w:t>
      </w:r>
    </w:p>
    <w:p w14:paraId="6210A78C">
      <w:pPr>
        <w:ind w:firstLine="420" w:firstLineChars="200"/>
      </w:pPr>
      <w:r>
        <w:rPr>
          <w:rFonts w:hint="eastAsia"/>
        </w:rPr>
        <w:t>2、</w:t>
      </w:r>
      <w:r>
        <w:rPr>
          <w:rFonts w:hint="eastAsia"/>
          <w:highlight w:val="yellow"/>
        </w:rPr>
        <w:t>采购人后勤部</w:t>
      </w:r>
      <w:r>
        <w:rPr>
          <w:rFonts w:hint="eastAsia"/>
        </w:rPr>
        <w:t>负责各校区供应商季度考评结果的收集、汇总、计算，并根据评价标准确定供应商季度综合工作评议考核结果。</w:t>
      </w:r>
    </w:p>
    <w:p w14:paraId="629C4D9E">
      <w:pPr>
        <w:ind w:firstLine="420" w:firstLineChars="200"/>
      </w:pPr>
      <w:r>
        <w:rPr>
          <w:rFonts w:hint="eastAsia"/>
        </w:rPr>
        <w:t>3、评价标准：供应商季度综合工作评议考核得分80分（不含）以下评价为不满意，80分（含）以上评价为满意。</w:t>
      </w:r>
    </w:p>
    <w:p w14:paraId="0C9F9588">
      <w:pPr>
        <w:ind w:firstLine="420" w:firstLineChars="200"/>
      </w:pPr>
      <w:r>
        <w:rPr>
          <w:rFonts w:hint="eastAsia"/>
        </w:rPr>
        <w:t>4、各校区评议考核分值均为百分制，对供应商实行日常考评、月度考评、季度考评的动态考核评价机制。</w:t>
      </w:r>
    </w:p>
    <w:p w14:paraId="661193D5">
      <w:pPr>
        <w:ind w:firstLine="420" w:firstLineChars="200"/>
      </w:pPr>
      <w:r>
        <w:rPr>
          <w:rFonts w:hint="eastAsia"/>
        </w:rPr>
        <w:t>5、供应商季度综合评议考核为百分制，得分为各校区季度考核得分的平均值。</w:t>
      </w:r>
    </w:p>
    <w:p w14:paraId="5724CD11">
      <w:pPr>
        <w:ind w:firstLine="420" w:firstLineChars="200"/>
      </w:pPr>
      <w:r>
        <w:rPr>
          <w:rFonts w:hint="eastAsia"/>
        </w:rPr>
        <w:t>6、各校区设立食材采购项目配送服务供应商评议考核小组（以下简称考评小组），具体负责供应商的评议考核工作。</w:t>
      </w:r>
    </w:p>
    <w:p w14:paraId="1C2DA32A">
      <w:pPr>
        <w:ind w:firstLine="420" w:firstLineChars="200"/>
      </w:pPr>
      <w:r>
        <w:rPr>
          <w:rFonts w:hint="eastAsia"/>
        </w:rPr>
        <w:t>7、考评小组职责:</w:t>
      </w:r>
    </w:p>
    <w:p w14:paraId="7BA43FD3">
      <w:pPr>
        <w:ind w:firstLine="420" w:firstLineChars="200"/>
      </w:pPr>
      <w:r>
        <w:rPr>
          <w:rFonts w:hint="eastAsia"/>
        </w:rPr>
        <w:t>（1）监督供应商的食材配送行为；</w:t>
      </w:r>
    </w:p>
    <w:p w14:paraId="026807EB">
      <w:pPr>
        <w:ind w:firstLine="420" w:firstLineChars="200"/>
      </w:pPr>
      <w:r>
        <w:rPr>
          <w:rFonts w:hint="eastAsia"/>
        </w:rPr>
        <w:t>（2）建立供应商考评档案台账；</w:t>
      </w:r>
    </w:p>
    <w:p w14:paraId="05D54FD5">
      <w:pPr>
        <w:ind w:firstLine="420" w:firstLineChars="200"/>
      </w:pPr>
      <w:r>
        <w:rPr>
          <w:rFonts w:hint="eastAsia"/>
        </w:rPr>
        <w:t>（3）每月召开考评小组会议，商讨日常考评中遇到的问题，商定当月的考评结果；</w:t>
      </w:r>
    </w:p>
    <w:p w14:paraId="59CFAA9B">
      <w:pPr>
        <w:ind w:firstLine="420" w:firstLineChars="200"/>
      </w:pPr>
      <w:r>
        <w:rPr>
          <w:rFonts w:hint="eastAsia"/>
        </w:rPr>
        <w:t>（4）每季度进行供应商季度考评，考评结果报送学校领导小组；</w:t>
      </w:r>
    </w:p>
    <w:p w14:paraId="03FC106D">
      <w:pPr>
        <w:ind w:firstLine="420" w:firstLineChars="200"/>
      </w:pPr>
      <w:r>
        <w:rPr>
          <w:rFonts w:hint="eastAsia"/>
        </w:rPr>
        <w:t>8、日常考评：</w:t>
      </w:r>
      <w:r>
        <w:rPr>
          <w:rFonts w:hint="eastAsia"/>
          <w:highlight w:val="yellow"/>
        </w:rPr>
        <w:t>各校区学校食堂负责人</w:t>
      </w:r>
      <w:r>
        <w:rPr>
          <w:rFonts w:hint="eastAsia"/>
        </w:rPr>
        <w:t>根据供应商的每日配送情况进行日常考评，按照《食堂食材供应商供货异常情况登记表》（详见附件1）的要求，对供货异常情况（分为质量、时间、安全、价格、服务共五大类）进行逐一登记。日常考评将作为月度考评得分和季度考评结果的重要依据。</w:t>
      </w:r>
    </w:p>
    <w:p w14:paraId="3092E44D">
      <w:pPr>
        <w:ind w:firstLine="420" w:firstLineChars="200"/>
      </w:pPr>
      <w:r>
        <w:rPr>
          <w:rFonts w:hint="eastAsia"/>
        </w:rPr>
        <w:t>9、月度考评：月度考核采用量化评分方式进行。各校区每月根据上月的日常考评结果进行汇总，按照《服务供应商月度考核评分表》（详见附件2）对各自供应商进行月度考评。</w:t>
      </w:r>
    </w:p>
    <w:p w14:paraId="40D5FB95">
      <w:pPr>
        <w:ind w:firstLine="420" w:firstLineChars="200"/>
      </w:pPr>
      <w:r>
        <w:rPr>
          <w:rFonts w:hint="eastAsia"/>
        </w:rPr>
        <w:t>1</w:t>
      </w:r>
      <w:r>
        <w:rPr>
          <w:rFonts w:hint="eastAsia"/>
          <w:lang w:val="en-US" w:eastAsia="zh-CN"/>
        </w:rPr>
        <w:t>0</w:t>
      </w:r>
      <w:r>
        <w:rPr>
          <w:rFonts w:hint="eastAsia"/>
        </w:rPr>
        <w:t>、季度考评：季度考评以各校区月度考核结果为依据，按照《供应商季度综合评议考核评分表》（详见附件3）对各校区每月综合评分数据进行汇总统计，依据各校区每月综合得分的算术平均值作为供应商季度考评得分，季度考评得分报学校领导小组汇总。</w:t>
      </w:r>
    </w:p>
    <w:p w14:paraId="64E86130">
      <w:pPr>
        <w:ind w:firstLine="420" w:firstLineChars="200"/>
      </w:pPr>
      <w:r>
        <w:rPr>
          <w:rFonts w:hint="eastAsia"/>
        </w:rPr>
        <w:t>1</w:t>
      </w:r>
      <w:r>
        <w:rPr>
          <w:rFonts w:hint="eastAsia"/>
          <w:lang w:val="en-US" w:eastAsia="zh-CN"/>
        </w:rPr>
        <w:t>1</w:t>
      </w:r>
      <w:r>
        <w:rPr>
          <w:rFonts w:hint="eastAsia"/>
        </w:rPr>
        <w:t>、供应商季度综合工作评议结果为不满意的，采购人及时将问题反馈给供应商，并允许供应商在规定期限内提交纸质申辩材料。采购人可组织专题会，根据各校区提交的考评材料及供应商提交的申辩材料，对评议结果进行讨论及投票表决。</w:t>
      </w:r>
    </w:p>
    <w:p w14:paraId="45BA1F3D">
      <w:pPr>
        <w:ind w:firstLine="420" w:firstLineChars="200"/>
      </w:pPr>
      <w:r>
        <w:rPr>
          <w:rFonts w:hint="eastAsia"/>
        </w:rPr>
        <w:t>1</w:t>
      </w:r>
      <w:r>
        <w:rPr>
          <w:rFonts w:hint="eastAsia"/>
          <w:lang w:val="en-US" w:eastAsia="zh-CN"/>
        </w:rPr>
        <w:t>2</w:t>
      </w:r>
      <w:r>
        <w:rPr>
          <w:rFonts w:hint="eastAsia"/>
        </w:rPr>
        <w:t>、供应商连续两次季度综合工作评议为不满意的，采购人报学校领导小组审核同意后，可启动供应商退出及应急处理制度，并报教育局备案。</w:t>
      </w:r>
    </w:p>
    <w:p w14:paraId="7E029AEC">
      <w:pPr>
        <w:ind w:firstLine="420" w:firstLineChars="200"/>
      </w:pPr>
      <w:r>
        <w:rPr>
          <w:rFonts w:hint="eastAsia"/>
        </w:rPr>
        <w:t>1</w:t>
      </w:r>
      <w:r>
        <w:rPr>
          <w:rFonts w:hint="eastAsia"/>
          <w:lang w:val="en-US" w:eastAsia="zh-CN"/>
        </w:rPr>
        <w:t>3</w:t>
      </w:r>
      <w:r>
        <w:rPr>
          <w:rFonts w:hint="eastAsia"/>
        </w:rPr>
        <w:t>、考评完成后，采购人对相关供应商档案（包括基础资料、交易记录和考核资料等）进行建立、收集、整理和归档，以备日后查阅。</w:t>
      </w:r>
    </w:p>
    <w:p w14:paraId="4422E941">
      <w:pPr>
        <w:ind w:firstLine="420" w:firstLineChars="200"/>
      </w:pPr>
      <w:r>
        <w:rPr>
          <w:rFonts w:hint="eastAsia"/>
        </w:rPr>
        <w:t>1</w:t>
      </w:r>
      <w:r>
        <w:rPr>
          <w:rFonts w:hint="eastAsia"/>
          <w:lang w:val="en-US" w:eastAsia="zh-CN"/>
        </w:rPr>
        <w:t>4</w:t>
      </w:r>
      <w:r>
        <w:rPr>
          <w:rFonts w:hint="eastAsia"/>
        </w:rPr>
        <w:t>、本项目供应商服务综合评议制度及其附件相关条款的解释权归采购人所有。服务合同履约过程中，因国家相关政策、法规、标准变化调整需要、上级文件要求以及采购人的工作需要，采购人有权对供应商服务综合评议制度和相关附件进行调整和更新,中标供应商需无条件接受。</w:t>
      </w:r>
    </w:p>
    <w:p w14:paraId="54280118">
      <w:pPr>
        <w:ind w:firstLine="422" w:firstLineChars="200"/>
        <w:rPr>
          <w:b/>
          <w:bCs/>
        </w:rPr>
      </w:pPr>
      <w:r>
        <w:rPr>
          <w:rFonts w:hint="eastAsia"/>
          <w:b/>
          <w:bCs/>
        </w:rPr>
        <w:t>（九）注意事项</w:t>
      </w:r>
    </w:p>
    <w:p w14:paraId="3B0A8923">
      <w:pPr>
        <w:ind w:firstLine="420" w:firstLineChars="200"/>
      </w:pPr>
      <w:r>
        <w:rPr>
          <w:rFonts w:hint="eastAsia"/>
        </w:rPr>
        <w:t>1、本次招标结果仅代表中标供应商可获得的最高采购份额，采购人无法预计实际采购量及落实政府政策（如扶贫任务）等不可抗因素，同时无法保证中标供应商可以获得全部份额。</w:t>
      </w:r>
    </w:p>
    <w:p w14:paraId="666D01F6">
      <w:pPr>
        <w:ind w:firstLine="420" w:firstLineChars="200"/>
      </w:pPr>
      <w:r>
        <w:rPr>
          <w:rFonts w:hint="eastAsia"/>
        </w:rPr>
        <w:t>2、中标供应商不得将项目非法分包或转包给任何单位和个人。否则，采购人有权即刻终止合同，并要求中标供应商赔偿相应损失。</w:t>
      </w:r>
    </w:p>
    <w:p w14:paraId="5A683487">
      <w:pPr>
        <w:ind w:firstLine="420" w:firstLineChars="200"/>
      </w:pPr>
      <w:r>
        <w:rPr>
          <w:rFonts w:hint="eastAsia"/>
        </w:rPr>
        <w:t>3、投标人若认为招标文件的要求有倾向性或不公正性，可在招标答疑阶段提出，以维护招标行为的公平、公正。</w:t>
      </w:r>
    </w:p>
    <w:p w14:paraId="4A75A78A">
      <w:pPr>
        <w:ind w:firstLine="420" w:firstLineChars="200"/>
      </w:pPr>
      <w:r>
        <w:rPr>
          <w:rFonts w:hint="eastAsia"/>
        </w:rPr>
        <w:t>4、投标人使用的标准为国际公认或国家、或地方政府颁布的同等或更高的标准，如投标人使用的标准低于上述标准，评标委员会将有权不予接受，投标人必须列表将明显的差异详细说明。</w:t>
      </w:r>
    </w:p>
    <w:p w14:paraId="62286B0E">
      <w:pPr>
        <w:ind w:firstLine="422" w:firstLineChars="200"/>
        <w:rPr>
          <w:b/>
          <w:bCs/>
        </w:rPr>
      </w:pPr>
      <w:r>
        <w:rPr>
          <w:rFonts w:hint="eastAsia"/>
          <w:b/>
          <w:bCs/>
        </w:rPr>
        <w:t>（十）</w:t>
      </w:r>
      <w:r>
        <w:rPr>
          <w:rFonts w:hint="eastAsia"/>
          <w:color w:val="FF0000"/>
        </w:rPr>
        <w:t>★</w:t>
      </w:r>
      <w:r>
        <w:rPr>
          <w:rFonts w:hint="eastAsia"/>
          <w:b/>
          <w:bCs/>
        </w:rPr>
        <w:t>其他要求</w:t>
      </w:r>
    </w:p>
    <w:p w14:paraId="7DC696D2">
      <w:pPr>
        <w:ind w:firstLine="420" w:firstLineChars="200"/>
      </w:pPr>
      <w:r>
        <w:rPr>
          <w:rFonts w:hint="eastAsia"/>
          <w:color w:val="FF0000"/>
        </w:rPr>
        <w:t>1、投标人保证，若中标本项目，无条件支持配合学校完成扶贫采购任务，按要求预留消费帮扶额度，在“脱贫地区农副产品网络销售平台（https://www.fupin832.com/）”采购。由中标供应商在832平台下单并进行支付开票，学校不支付中标供应商代开发票产生的税费差额，供应商投标报价时应充分考虑此部分成本。</w:t>
      </w:r>
    </w:p>
    <w:p w14:paraId="21536131">
      <w:pPr>
        <w:ind w:firstLine="420" w:firstLineChars="200"/>
        <w:rPr>
          <w:color w:val="FF0000"/>
        </w:rPr>
      </w:pPr>
    </w:p>
    <w:p w14:paraId="0B9BECEA">
      <w:pPr>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br w:type="page"/>
      </w:r>
    </w:p>
    <w:p w14:paraId="4E92F574">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六、★商务要求</w:t>
      </w:r>
    </w:p>
    <w:tbl>
      <w:tblPr>
        <w:tblStyle w:val="42"/>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335"/>
        <w:gridCol w:w="6951"/>
      </w:tblGrid>
      <w:tr w14:paraId="7D04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5AC672C0">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序号</w:t>
            </w:r>
          </w:p>
        </w:tc>
        <w:tc>
          <w:tcPr>
            <w:tcW w:w="1335" w:type="dxa"/>
            <w:vAlign w:val="center"/>
          </w:tcPr>
          <w:p w14:paraId="1788F478">
            <w:pPr>
              <w:adjustRightInd w:val="0"/>
              <w:snapToGrid w:val="0"/>
              <w:spacing w:line="240" w:lineRule="auto"/>
              <w:jc w:val="center"/>
              <w:rPr>
                <w:rFonts w:hint="eastAsia" w:ascii="宋体" w:hAnsi="宋体" w:eastAsia="宋体" w:cs="宋体"/>
                <w:szCs w:val="21"/>
              </w:rPr>
            </w:pPr>
            <w:r>
              <w:rPr>
                <w:rFonts w:hint="eastAsia" w:ascii="宋体" w:hAnsi="宋体" w:eastAsia="宋体" w:cs="宋体"/>
                <w:bCs/>
                <w:szCs w:val="21"/>
              </w:rPr>
              <w:t>名称</w:t>
            </w:r>
          </w:p>
        </w:tc>
        <w:tc>
          <w:tcPr>
            <w:tcW w:w="6951" w:type="dxa"/>
            <w:vAlign w:val="center"/>
          </w:tcPr>
          <w:p w14:paraId="6CA72E11">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商务要求</w:t>
            </w:r>
          </w:p>
        </w:tc>
      </w:tr>
      <w:tr w14:paraId="159A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shd w:val="clear" w:color="auto" w:fill="auto"/>
            <w:vAlign w:val="center"/>
          </w:tcPr>
          <w:p w14:paraId="3AAF9D14">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1</w:t>
            </w:r>
          </w:p>
        </w:tc>
        <w:tc>
          <w:tcPr>
            <w:tcW w:w="1335" w:type="dxa"/>
            <w:shd w:val="clear" w:color="auto" w:fill="auto"/>
            <w:vAlign w:val="center"/>
          </w:tcPr>
          <w:p w14:paraId="20BAD27F">
            <w:pPr>
              <w:adjustRightInd w:val="0"/>
              <w:snapToGrid w:val="0"/>
              <w:spacing w:line="240" w:lineRule="auto"/>
              <w:jc w:val="center"/>
              <w:rPr>
                <w:rFonts w:hint="eastAsia" w:ascii="宋体" w:hAnsi="宋体" w:eastAsia="宋体" w:cs="宋体"/>
                <w:szCs w:val="21"/>
              </w:rPr>
            </w:pPr>
            <w:r>
              <w:rPr>
                <w:rFonts w:hint="eastAsia" w:asciiTheme="minorHAnsi" w:hAnsiTheme="minorHAnsi" w:eastAsiaTheme="minorEastAsia" w:cstheme="minorBidi"/>
                <w:color w:val="FF0000"/>
                <w:szCs w:val="21"/>
              </w:rPr>
              <w:t>服务期要求</w:t>
            </w:r>
          </w:p>
        </w:tc>
        <w:tc>
          <w:tcPr>
            <w:tcW w:w="6951" w:type="dxa"/>
            <w:shd w:val="clear" w:color="auto" w:fill="auto"/>
          </w:tcPr>
          <w:p w14:paraId="13AFD581">
            <w:pPr>
              <w:adjustRightInd w:val="0"/>
              <w:snapToGrid w:val="0"/>
              <w:spacing w:line="240" w:lineRule="auto"/>
              <w:rPr>
                <w:rFonts w:hint="eastAsia" w:asciiTheme="minorHAnsi" w:hAnsiTheme="minorHAnsi" w:eastAsiaTheme="minorEastAsia" w:cstheme="minorBidi"/>
                <w:color w:val="FF0000"/>
                <w:szCs w:val="21"/>
              </w:rPr>
            </w:pPr>
            <w:r>
              <w:rPr>
                <w:rFonts w:hint="eastAsia" w:asciiTheme="minorHAnsi" w:hAnsiTheme="minorHAnsi" w:eastAsiaTheme="minorEastAsia" w:cstheme="minorBidi"/>
                <w:color w:val="FF0000"/>
                <w:szCs w:val="21"/>
              </w:rPr>
              <w:t>（1）本项目服务期自合同签订之日（或约定之日）起一年。</w:t>
            </w:r>
          </w:p>
          <w:p w14:paraId="138372E9">
            <w:pPr>
              <w:adjustRightInd w:val="0"/>
              <w:snapToGrid w:val="0"/>
              <w:spacing w:line="240" w:lineRule="auto"/>
              <w:rPr>
                <w:rFonts w:hint="eastAsia" w:asciiTheme="minorHAnsi" w:hAnsiTheme="minorHAnsi" w:eastAsiaTheme="minorEastAsia" w:cstheme="minorBidi"/>
                <w:color w:val="FF0000"/>
                <w:szCs w:val="21"/>
              </w:rPr>
            </w:pPr>
            <w:r>
              <w:rPr>
                <w:rFonts w:hint="eastAsia" w:asciiTheme="minorHAnsi" w:hAnsiTheme="minorHAnsi" w:eastAsiaTheme="minorEastAsia" w:cstheme="minorBidi"/>
                <w:color w:val="FF0000"/>
                <w:szCs w:val="21"/>
              </w:rPr>
              <w:t>（2）本项目为长期服务项目，合同一年一签，合同期满可以续签，但合同履行期限最长不得超过三十六个月。如采购人对履约情况不满意，甲方不再续约。</w:t>
            </w:r>
          </w:p>
          <w:p w14:paraId="0F443EC5">
            <w:pPr>
              <w:adjustRightInd w:val="0"/>
              <w:snapToGrid w:val="0"/>
              <w:rPr>
                <w:rFonts w:hint="eastAsia"/>
                <w:color w:val="FF0000"/>
                <w:szCs w:val="21"/>
              </w:rPr>
            </w:pPr>
            <w:r>
              <w:rPr>
                <w:rFonts w:hint="eastAsia" w:asciiTheme="minorHAnsi" w:hAnsiTheme="minorHAnsi" w:cstheme="minorBidi"/>
                <w:color w:val="FF0000"/>
                <w:szCs w:val="21"/>
              </w:rPr>
              <w:t>（3）</w:t>
            </w:r>
            <w:r>
              <w:rPr>
                <w:rFonts w:hint="eastAsia"/>
                <w:color w:val="FF0000"/>
                <w:szCs w:val="21"/>
              </w:rPr>
              <w:t>因政策变动等原因终止食材采购工作，导致合同无法续签、终止的，双方均不承担违约责任。</w:t>
            </w:r>
          </w:p>
          <w:p w14:paraId="569FD883">
            <w:pPr>
              <w:adjustRightInd w:val="0"/>
              <w:snapToGrid w:val="0"/>
              <w:rPr>
                <w:szCs w:val="21"/>
              </w:rPr>
            </w:pPr>
            <w:r>
              <w:rPr>
                <w:rFonts w:hint="eastAsia" w:asciiTheme="minorHAnsi" w:hAnsiTheme="minorHAnsi" w:cstheme="minorBidi"/>
                <w:color w:val="FF0000"/>
                <w:szCs w:val="21"/>
              </w:rPr>
              <w:t>（4）因政策变动或食堂拆除、停办等非主观原因导致食堂食材采购范围缩减，采购人可以与中标供应商协商签订补充协议，并按照相关政策规定办理备案变更手续。</w:t>
            </w:r>
          </w:p>
        </w:tc>
      </w:tr>
      <w:tr w14:paraId="35E0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1A78E420">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2</w:t>
            </w:r>
          </w:p>
        </w:tc>
        <w:tc>
          <w:tcPr>
            <w:tcW w:w="1335" w:type="dxa"/>
            <w:vAlign w:val="center"/>
          </w:tcPr>
          <w:p w14:paraId="530D7D1C">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服务地点</w:t>
            </w:r>
          </w:p>
        </w:tc>
        <w:tc>
          <w:tcPr>
            <w:tcW w:w="6951" w:type="dxa"/>
          </w:tcPr>
          <w:p w14:paraId="13A7FD77">
            <w:pPr>
              <w:adjustRightInd w:val="0"/>
              <w:snapToGrid w:val="0"/>
              <w:spacing w:line="240" w:lineRule="auto"/>
              <w:rPr>
                <w:szCs w:val="21"/>
              </w:rPr>
            </w:pPr>
            <w:r>
              <w:rPr>
                <w:rFonts w:hint="eastAsia"/>
                <w:szCs w:val="21"/>
              </w:rPr>
              <w:t>详见“五、技术要求”</w:t>
            </w:r>
          </w:p>
        </w:tc>
      </w:tr>
      <w:tr w14:paraId="33117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21A9ED1A">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3</w:t>
            </w:r>
          </w:p>
        </w:tc>
        <w:tc>
          <w:tcPr>
            <w:tcW w:w="1335" w:type="dxa"/>
            <w:vAlign w:val="center"/>
          </w:tcPr>
          <w:p w14:paraId="05812ACD">
            <w:pPr>
              <w:adjustRightInd w:val="0"/>
              <w:snapToGrid w:val="0"/>
              <w:spacing w:line="240" w:lineRule="auto"/>
              <w:jc w:val="center"/>
              <w:rPr>
                <w:rFonts w:hint="eastAsia" w:ascii="宋体" w:hAnsi="宋体" w:eastAsia="宋体" w:cs="宋体"/>
                <w:color w:val="FF0000"/>
                <w:szCs w:val="21"/>
              </w:rPr>
            </w:pPr>
            <w:r>
              <w:rPr>
                <w:rFonts w:hint="eastAsia" w:ascii="宋体" w:hAnsi="宋体" w:eastAsia="宋体" w:cs="宋体"/>
                <w:color w:val="FF0000"/>
                <w:szCs w:val="21"/>
              </w:rPr>
              <w:t>报价要求</w:t>
            </w:r>
          </w:p>
        </w:tc>
        <w:tc>
          <w:tcPr>
            <w:tcW w:w="6951" w:type="dxa"/>
            <w:vAlign w:val="top"/>
          </w:tcPr>
          <w:p w14:paraId="0BDAF403">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（1）本项目的投标报价为折扣率；</w:t>
            </w:r>
          </w:p>
          <w:p w14:paraId="6CE00081">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 xml:space="preserve">（2）折扣率 </w:t>
            </w:r>
            <w:r>
              <w:rPr>
                <w:rFonts w:hint="eastAsia" w:ascii="宋体" w:hAnsi="宋体" w:eastAsia="宋体" w:cs="宋体"/>
                <w:color w:val="FF0000"/>
                <w:szCs w:val="21"/>
                <w:lang w:eastAsia="zh-CN"/>
              </w:rPr>
              <w:t>：</w:t>
            </w:r>
            <w:r>
              <w:rPr>
                <w:rFonts w:hint="eastAsia" w:ascii="宋体" w:hAnsi="宋体" w:eastAsia="宋体" w:cs="宋体"/>
                <w:color w:val="FF0000"/>
                <w:szCs w:val="21"/>
              </w:rPr>
              <w:t>0＜折扣率≤1，折扣率在服务期限内保持不变（举例说明：若某种货物的价格为10元/斤，投标人投标报价折扣率为9折，实际结算价格为10元/斤*0.9=9.00元/斤，则在投标文件开标一览表中的折扣率应填0.9（最多保留小数点后两位）</w:t>
            </w:r>
            <w:r>
              <w:rPr>
                <w:rFonts w:hint="eastAsia" w:ascii="宋体" w:hAnsi="宋体" w:eastAsia="宋体" w:cs="宋体"/>
                <w:color w:val="FF0000"/>
                <w:szCs w:val="21"/>
                <w:lang w:eastAsia="zh-CN"/>
              </w:rPr>
              <w:t>）</w:t>
            </w:r>
            <w:r>
              <w:rPr>
                <w:rFonts w:hint="eastAsia" w:ascii="宋体" w:hAnsi="宋体" w:eastAsia="宋体" w:cs="宋体"/>
                <w:color w:val="FF0000"/>
                <w:szCs w:val="21"/>
              </w:rPr>
              <w:t>。</w:t>
            </w:r>
          </w:p>
          <w:p w14:paraId="32BCCB5B">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（3）所有食材品类结算价格=基准价*折扣率，基准价=深圳市中农数据有限公司（天天采配平台）上月1至25号公布价格的平均价格（非含费价）。</w:t>
            </w:r>
          </w:p>
          <w:p w14:paraId="6F03B98F">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4）中农数据食堂采配平台中无价格的产品（原则上学校不采购中农数据食堂采配平台中无价格的产品），如学校确需要采购中农数据食堂采配平台中无价格的产品，需与中标供应商提前确认基准价），结算价格=基准价*折扣率。基准价=学校成立议价小组与中标供应商进行统一议价确定。</w:t>
            </w:r>
          </w:p>
          <w:p w14:paraId="4DE0A5BC">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说明：（3）（4）中所指的折扣率由投标人结合企业自身的实力报出的唯一折扣率。</w:t>
            </w:r>
          </w:p>
          <w:p w14:paraId="1C2630E5">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5）中标供应商应积极做好特殊时期食材配送保障，如逢节假日、考评、检查、动物疫情、重大会议或防洪防台风等特殊时期的食材配送，不得借故哄抬物价或拒绝配送，确保食材不间断供应。如遇台风、暴雨等不可</w:t>
            </w:r>
            <w:r>
              <w:rPr>
                <w:rFonts w:hint="eastAsia" w:ascii="宋体" w:hAnsi="宋体" w:eastAsia="宋体" w:cs="宋体"/>
                <w:color w:val="FF0000"/>
                <w:szCs w:val="21"/>
                <w:lang w:val="en-US" w:eastAsia="zh-CN"/>
              </w:rPr>
              <w:t>预见</w:t>
            </w:r>
            <w:r>
              <w:rPr>
                <w:rFonts w:hint="eastAsia" w:ascii="宋体" w:hAnsi="宋体" w:eastAsia="宋体" w:cs="宋体"/>
                <w:color w:val="FF0000"/>
                <w:szCs w:val="21"/>
              </w:rPr>
              <w:t>的原因造成个别品种及价格需临时</w:t>
            </w:r>
            <w:r>
              <w:rPr>
                <w:rFonts w:hint="eastAsia" w:ascii="宋体" w:hAnsi="宋体" w:eastAsia="宋体" w:cs="宋体"/>
                <w:color w:val="FF0000"/>
                <w:szCs w:val="21"/>
                <w:lang w:val="en-US" w:eastAsia="zh-CN"/>
              </w:rPr>
              <w:t>进行</w:t>
            </w:r>
            <w:r>
              <w:rPr>
                <w:rFonts w:hint="eastAsia" w:ascii="宋体" w:hAnsi="宋体" w:eastAsia="宋体" w:cs="宋体"/>
                <w:color w:val="FF0000"/>
                <w:szCs w:val="21"/>
              </w:rPr>
              <w:t>调整的，中标供应商应事先通知采购人，在采购人确认后方可调整。如遇恶劣天气，导致无法明确第二天是否上课、是否配送的，中标供应商可与各校区商议优先配送部分易保管存放的食材。</w:t>
            </w:r>
          </w:p>
          <w:p w14:paraId="4D95F826">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6）投标人的投标报价为包干价，包括供应产品价格和产品运输到使用单位的服务费、检测费、保险、搬运费、人工费、管理费、税金等一切将可能发生的费用。以上报价以人民币为报价和结算单位，须开具国家正规发票。</w:t>
            </w:r>
          </w:p>
        </w:tc>
      </w:tr>
      <w:tr w14:paraId="54A4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1BF939F8">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4</w:t>
            </w:r>
          </w:p>
        </w:tc>
        <w:tc>
          <w:tcPr>
            <w:tcW w:w="1335" w:type="dxa"/>
            <w:vAlign w:val="center"/>
          </w:tcPr>
          <w:p w14:paraId="5F823206">
            <w:pPr>
              <w:adjustRightInd w:val="0"/>
              <w:snapToGrid w:val="0"/>
              <w:spacing w:line="240" w:lineRule="auto"/>
              <w:jc w:val="center"/>
              <w:rPr>
                <w:rFonts w:hint="eastAsia" w:ascii="宋体" w:hAnsi="宋体" w:eastAsia="宋体" w:cs="宋体"/>
                <w:color w:val="FF0000"/>
                <w:szCs w:val="21"/>
              </w:rPr>
            </w:pPr>
            <w:r>
              <w:rPr>
                <w:rFonts w:hint="eastAsia" w:ascii="宋体" w:hAnsi="宋体" w:eastAsia="宋体" w:cs="宋体"/>
                <w:color w:val="FF0000"/>
                <w:szCs w:val="21"/>
              </w:rPr>
              <w:t>“折扣率”填写要求</w:t>
            </w:r>
          </w:p>
        </w:tc>
        <w:tc>
          <w:tcPr>
            <w:tcW w:w="6951" w:type="dxa"/>
            <w:vAlign w:val="top"/>
          </w:tcPr>
          <w:p w14:paraId="689830A7">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（1）填写要求： 0＜折扣率≤1，未按此要求填写将作投标无效处理。</w:t>
            </w:r>
          </w:p>
          <w:p w14:paraId="2D1DCB05">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（2）填写的“折扣率”应为小数，且最多保留小数点后2位，如：0.95、0.80、0.78，未按此要求填写将作投标无效处理。</w:t>
            </w:r>
          </w:p>
          <w:p w14:paraId="58D2017F">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（3）投标人参与投标只允许填报一个“折扣率”，不允许填报2个（或以上）的“折扣率”；填报了2个或以上“折扣率”的，其投标将直接作投标无效处理；</w:t>
            </w:r>
          </w:p>
          <w:p w14:paraId="1966E7FD">
            <w:pPr>
              <w:adjustRightInd/>
              <w:snapToGrid/>
              <w:spacing w:line="240" w:lineRule="auto"/>
              <w:rPr>
                <w:rFonts w:hint="eastAsia" w:ascii="宋体" w:hAnsi="宋体" w:eastAsia="宋体" w:cs="宋体"/>
                <w:color w:val="FF0000"/>
                <w:szCs w:val="21"/>
              </w:rPr>
            </w:pPr>
            <w:r>
              <w:rPr>
                <w:rFonts w:hint="eastAsia" w:ascii="宋体" w:hAnsi="宋体" w:eastAsia="宋体" w:cs="宋体"/>
                <w:color w:val="FF0000"/>
                <w:szCs w:val="21"/>
              </w:rPr>
              <w:t>（4）“折扣率”缺填、漏填将直接作投标无效处理。</w:t>
            </w:r>
          </w:p>
        </w:tc>
      </w:tr>
      <w:tr w14:paraId="49BE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60760216">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5</w:t>
            </w:r>
          </w:p>
        </w:tc>
        <w:tc>
          <w:tcPr>
            <w:tcW w:w="1335" w:type="dxa"/>
            <w:vAlign w:val="center"/>
          </w:tcPr>
          <w:p w14:paraId="533CBD1D">
            <w:pPr>
              <w:adjustRightInd w:val="0"/>
              <w:snapToGrid w:val="0"/>
              <w:spacing w:line="240" w:lineRule="auto"/>
              <w:jc w:val="center"/>
              <w:rPr>
                <w:rFonts w:hint="eastAsia" w:ascii="宋体" w:hAnsi="宋体" w:eastAsia="宋体" w:cs="宋体"/>
                <w:color w:val="FF0000"/>
                <w:szCs w:val="21"/>
              </w:rPr>
            </w:pPr>
            <w:r>
              <w:rPr>
                <w:rFonts w:hint="eastAsia" w:ascii="宋体" w:hAnsi="宋体" w:eastAsia="宋体" w:cs="宋体"/>
                <w:color w:val="FF0000"/>
                <w:szCs w:val="21"/>
              </w:rPr>
              <w:t>付款方式</w:t>
            </w:r>
          </w:p>
        </w:tc>
        <w:tc>
          <w:tcPr>
            <w:tcW w:w="6951" w:type="dxa"/>
          </w:tcPr>
          <w:p w14:paraId="1FF20E1B">
            <w:pPr>
              <w:adjustRightInd w:val="0"/>
              <w:snapToGrid w:val="0"/>
              <w:spacing w:line="240" w:lineRule="auto"/>
              <w:jc w:val="left"/>
              <w:rPr>
                <w:rFonts w:hint="eastAsia" w:ascii="宋体" w:hAnsi="宋体" w:eastAsia="宋体" w:cs="宋体"/>
                <w:color w:val="FF0000"/>
                <w:szCs w:val="21"/>
              </w:rPr>
            </w:pPr>
            <w:r>
              <w:rPr>
                <w:rFonts w:hint="eastAsia" w:ascii="宋体" w:hAnsi="宋体" w:eastAsia="宋体" w:cs="宋体"/>
                <w:color w:val="FF0000"/>
                <w:szCs w:val="21"/>
              </w:rPr>
              <w:t>（1）货款每个月结算一次。中标供应商必须向学校提供合法的货款发票，发票公章必须与公司名称相符，合同方、收款方、发票方三者必须一致。同时按货物品目分类提供明细、汇总清单及产品价格证明；学校对中标供应商提供的资料核对无误，且符合付款条件后予以支付。</w:t>
            </w:r>
          </w:p>
          <w:p w14:paraId="4E35A9C3">
            <w:pPr>
              <w:adjustRightInd w:val="0"/>
              <w:snapToGrid w:val="0"/>
              <w:spacing w:line="240" w:lineRule="auto"/>
              <w:jc w:val="left"/>
              <w:rPr>
                <w:rFonts w:hint="eastAsia" w:ascii="宋体" w:hAnsi="宋体" w:eastAsia="宋体" w:cs="宋体"/>
                <w:color w:val="FF0000"/>
                <w:szCs w:val="21"/>
              </w:rPr>
            </w:pPr>
            <w:r>
              <w:rPr>
                <w:rFonts w:hint="eastAsia" w:ascii="宋体" w:hAnsi="宋体" w:eastAsia="宋体" w:cs="宋体"/>
                <w:color w:val="FF0000"/>
                <w:szCs w:val="21"/>
              </w:rPr>
              <w:t>（2）在“脱贫地区农副产品网络销售平台（https://www.fupin832.com/）”采购食材的，学校在支付食材经费时，应确认收到中标供应商的发票和支付凭证。</w:t>
            </w:r>
          </w:p>
          <w:p w14:paraId="2DD17E8F">
            <w:pPr>
              <w:adjustRightInd w:val="0"/>
              <w:snapToGrid w:val="0"/>
              <w:spacing w:line="240" w:lineRule="auto"/>
              <w:jc w:val="left"/>
              <w:rPr>
                <w:rFonts w:hint="eastAsia" w:ascii="宋体" w:hAnsi="宋体" w:eastAsia="宋体" w:cs="宋体"/>
                <w:color w:val="FF0000"/>
                <w:szCs w:val="21"/>
              </w:rPr>
            </w:pPr>
            <w:r>
              <w:rPr>
                <w:rFonts w:hint="eastAsia" w:ascii="宋体" w:hAnsi="宋体" w:eastAsia="宋体" w:cs="宋体"/>
                <w:color w:val="FF0000"/>
                <w:szCs w:val="21"/>
              </w:rPr>
              <w:t>（3）符合付款条件的，学校自收到发票和深圳市学校食堂智慧管理平台的结算单后10个工作日内，支付给中标供应商。</w:t>
            </w:r>
          </w:p>
        </w:tc>
      </w:tr>
      <w:tr w14:paraId="00C3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708BD3D8">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6</w:t>
            </w:r>
          </w:p>
        </w:tc>
        <w:tc>
          <w:tcPr>
            <w:tcW w:w="1335" w:type="dxa"/>
            <w:vAlign w:val="center"/>
          </w:tcPr>
          <w:p w14:paraId="7A14D646">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关于验收</w:t>
            </w:r>
          </w:p>
        </w:tc>
        <w:tc>
          <w:tcPr>
            <w:tcW w:w="6951" w:type="dxa"/>
          </w:tcPr>
          <w:p w14:paraId="6ED288F2">
            <w:pPr>
              <w:rPr>
                <w:rFonts w:hint="eastAsia" w:ascii="宋体" w:hAnsi="宋体" w:eastAsia="宋体" w:cs="宋体"/>
                <w:szCs w:val="21"/>
              </w:rPr>
            </w:pPr>
            <w:r>
              <w:rPr>
                <w:rFonts w:hint="eastAsia" w:ascii="宋体" w:hAnsi="宋体"/>
                <w:kern w:val="21"/>
                <w:szCs w:val="21"/>
              </w:rPr>
              <w:t>按照服务内容及其标准进行验收</w:t>
            </w:r>
            <w:r>
              <w:rPr>
                <w:rFonts w:ascii="宋体" w:hAnsi="宋体"/>
                <w:kern w:val="21"/>
                <w:szCs w:val="21"/>
              </w:rPr>
              <w:t>。</w:t>
            </w:r>
            <w:r>
              <w:rPr>
                <w:rFonts w:hint="eastAsia" w:ascii="宋体" w:hAnsi="宋体"/>
                <w:kern w:val="21"/>
                <w:szCs w:val="21"/>
              </w:rPr>
              <w:t xml:space="preserve"> </w:t>
            </w:r>
          </w:p>
        </w:tc>
      </w:tr>
      <w:tr w14:paraId="1907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6" w:type="dxa"/>
            <w:vAlign w:val="center"/>
          </w:tcPr>
          <w:p w14:paraId="78409406">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7</w:t>
            </w:r>
          </w:p>
        </w:tc>
        <w:tc>
          <w:tcPr>
            <w:tcW w:w="1335" w:type="dxa"/>
            <w:vAlign w:val="center"/>
          </w:tcPr>
          <w:p w14:paraId="06FD82D7">
            <w:pPr>
              <w:adjustRightInd w:val="0"/>
              <w:snapToGrid w:val="0"/>
              <w:spacing w:line="240" w:lineRule="auto"/>
              <w:jc w:val="center"/>
              <w:rPr>
                <w:rFonts w:hint="eastAsia" w:ascii="宋体" w:hAnsi="宋体" w:eastAsia="宋体" w:cs="宋体"/>
                <w:szCs w:val="21"/>
              </w:rPr>
            </w:pPr>
            <w:r>
              <w:rPr>
                <w:rFonts w:hint="eastAsia" w:ascii="宋体" w:hAnsi="宋体" w:eastAsia="宋体" w:cs="宋体"/>
                <w:szCs w:val="21"/>
              </w:rPr>
              <w:t>合同签订</w:t>
            </w:r>
          </w:p>
        </w:tc>
        <w:tc>
          <w:tcPr>
            <w:tcW w:w="6951" w:type="dxa"/>
          </w:tcPr>
          <w:p w14:paraId="530959F3">
            <w:pPr>
              <w:rPr>
                <w:rFonts w:hint="eastAsia" w:ascii="宋体" w:hAnsi="宋体"/>
                <w:kern w:val="21"/>
                <w:szCs w:val="21"/>
              </w:rPr>
            </w:pPr>
            <w:r>
              <w:rPr>
                <w:rFonts w:hint="eastAsia" w:ascii="宋体" w:hAnsi="宋体"/>
                <w:kern w:val="21"/>
                <w:szCs w:val="21"/>
              </w:rPr>
              <w:t>（1）服务合同应当约定的内容，包括但不限于中标</w:t>
            </w:r>
            <w:r>
              <w:rPr>
                <w:rFonts w:hint="eastAsia" w:ascii="宋体" w:hAnsi="宋体" w:eastAsia="宋体" w:cs="宋体"/>
                <w:color w:val="FF0000"/>
                <w:szCs w:val="21"/>
              </w:rPr>
              <w:t>折扣率</w:t>
            </w:r>
            <w:r>
              <w:rPr>
                <w:rFonts w:hint="eastAsia" w:ascii="宋体" w:hAnsi="宋体"/>
                <w:kern w:val="21"/>
                <w:szCs w:val="21"/>
              </w:rPr>
              <w:t>、服务期、年度支付金额上限、支付方式、履行期限、解决争议的方法。</w:t>
            </w:r>
          </w:p>
          <w:p w14:paraId="03900F45">
            <w:pPr>
              <w:rPr>
                <w:rFonts w:hint="eastAsia" w:ascii="宋体" w:hAnsi="宋体"/>
                <w:kern w:val="21"/>
                <w:szCs w:val="21"/>
              </w:rPr>
            </w:pPr>
            <w:r>
              <w:rPr>
                <w:rFonts w:hint="eastAsia" w:ascii="宋体" w:hAnsi="宋体"/>
                <w:kern w:val="21"/>
                <w:szCs w:val="21"/>
              </w:rPr>
              <w:t>（2）中标供应商须按学校要求在合同签署时提交《质量安全承诺书》等文件。</w:t>
            </w:r>
          </w:p>
        </w:tc>
      </w:tr>
    </w:tbl>
    <w:p w14:paraId="66C600E1">
      <w:pPr>
        <w:ind w:firstLine="420" w:firstLineChars="200"/>
        <w:rPr>
          <w:rFonts w:hint="eastAsia" w:ascii="宋体" w:hAnsi="宋体" w:eastAsia="宋体" w:cs="Times New Roman"/>
          <w:szCs w:val="21"/>
        </w:rPr>
      </w:pPr>
    </w:p>
    <w:p w14:paraId="2DCA5881">
      <w:pPr>
        <w:rPr>
          <w:rFonts w:ascii="Times New Roman" w:hAnsi="Times New Roman" w:eastAsia="宋体" w:cs="Times New Roman"/>
          <w:szCs w:val="24"/>
        </w:rPr>
      </w:pPr>
    </w:p>
    <w:p w14:paraId="3FD27453">
      <w:pPr>
        <w:keepNext/>
        <w:keepLines/>
        <w:adjustRightInd w:val="0"/>
        <w:spacing w:before="120" w:beforeLines="50" w:after="120" w:afterLines="50"/>
        <w:jc w:val="center"/>
        <w:textAlignment w:val="baseline"/>
        <w:outlineLvl w:val="1"/>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七、其他重要条款</w:t>
      </w:r>
    </w:p>
    <w:p w14:paraId="48534E35">
      <w:pPr>
        <w:ind w:firstLine="420" w:firstLineChars="200"/>
        <w:rPr>
          <w:bCs/>
          <w:szCs w:val="21"/>
        </w:rPr>
      </w:pPr>
      <w:r>
        <w:rPr>
          <w:rFonts w:hint="eastAsia"/>
          <w:bCs/>
          <w:szCs w:val="21"/>
        </w:rPr>
        <w:t>1</w:t>
      </w:r>
      <w:r>
        <w:rPr>
          <w:rFonts w:hint="eastAsia" w:ascii="宋体" w:hAnsi="宋体" w:eastAsia="宋体" w:cs="宋体"/>
          <w:bCs/>
          <w:szCs w:val="21"/>
        </w:rPr>
        <w:t>.</w:t>
      </w:r>
      <w:r>
        <w:rPr>
          <w:rFonts w:hint="eastAsia"/>
          <w:bCs/>
          <w:szCs w:val="21"/>
        </w:rPr>
        <w:t>本项目投标报价采用包干制，应包括成本、法定税费和相应的利润，应涵盖本项目招标范围和招标文件所列的各项内容中所述的全部。由投标人根据招标需求自行测算投标报价；一经中标，投标报价即作为中标供应商与采购人签订的合同金额。</w:t>
      </w:r>
    </w:p>
    <w:p w14:paraId="14A1FAC1">
      <w:pPr>
        <w:pStyle w:val="7"/>
        <w:spacing w:before="60" w:beforeLines="25" w:after="60" w:afterLines="25"/>
        <w:ind w:firstLine="392" w:firstLineChars="187"/>
        <w:rPr>
          <w:rFonts w:hint="eastAsia" w:ascii="宋体" w:hAnsi="宋体"/>
          <w:szCs w:val="21"/>
        </w:rPr>
      </w:pPr>
      <w:r>
        <w:rPr>
          <w:bCs/>
          <w:szCs w:val="21"/>
        </w:rPr>
        <w:t>2</w:t>
      </w:r>
      <w:r>
        <w:rPr>
          <w:rFonts w:hint="eastAsia" w:ascii="宋体" w:hAnsi="宋体" w:cs="宋体"/>
          <w:bCs/>
          <w:szCs w:val="21"/>
        </w:rPr>
        <w:t>.</w:t>
      </w:r>
      <w:r>
        <w:rPr>
          <w:rFonts w:hint="eastAsia"/>
          <w:bCs/>
          <w:szCs w:val="21"/>
        </w:rPr>
        <w:t>投标人应充分了解项目的位置、情况、道路及任何其它足以影响投标报价的情况，任何因忽视或误解项目情况而导致的索赔或服务期限延长申请将不获批准。</w:t>
      </w:r>
    </w:p>
    <w:p w14:paraId="758FEE3D">
      <w:pPr>
        <w:ind w:firstLine="420" w:firstLineChars="200"/>
        <w:rPr>
          <w:bCs/>
          <w:szCs w:val="21"/>
        </w:rPr>
      </w:pPr>
      <w:r>
        <w:rPr>
          <w:bCs/>
          <w:szCs w:val="21"/>
        </w:rPr>
        <w:t>3</w:t>
      </w:r>
      <w:r>
        <w:rPr>
          <w:rFonts w:hint="eastAsia" w:ascii="宋体" w:hAnsi="宋体" w:eastAsia="宋体" w:cs="宋体"/>
          <w:bCs/>
          <w:szCs w:val="21"/>
        </w:rPr>
        <w:t>.</w:t>
      </w:r>
      <w:r>
        <w:rPr>
          <w:rFonts w:hint="eastAsia"/>
          <w:bCs/>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200F490E">
      <w:pPr>
        <w:ind w:firstLine="420" w:firstLineChars="200"/>
        <w:rPr>
          <w:bCs/>
          <w:szCs w:val="21"/>
        </w:rPr>
      </w:pPr>
      <w:r>
        <w:rPr>
          <w:rFonts w:hint="eastAsia" w:ascii="Times New Roman" w:eastAsia="宋体"/>
          <w:bCs/>
          <w:szCs w:val="21"/>
        </w:rPr>
        <w:t>4</w:t>
      </w:r>
      <w:r>
        <w:rPr>
          <w:rFonts w:hint="eastAsia" w:ascii="宋体" w:hAnsi="宋体" w:eastAsia="宋体" w:cs="宋体"/>
          <w:bCs/>
          <w:szCs w:val="21"/>
        </w:rPr>
        <w:t>.</w:t>
      </w:r>
      <w:r>
        <w:rPr>
          <w:rFonts w:hint="eastAsia"/>
          <w:bCs/>
          <w:szCs w:val="21"/>
        </w:rPr>
        <w:t>除政府采购合同继续履行将损害国家利益和社会公共利益外，双方当事人不得擅自变更、中止或者终止合同。</w:t>
      </w:r>
    </w:p>
    <w:p w14:paraId="1E46372A">
      <w:pPr>
        <w:ind w:firstLine="420" w:firstLineChars="200"/>
        <w:rPr>
          <w:rFonts w:hint="eastAsia" w:ascii="Times New Roman" w:eastAsia="宋体"/>
          <w:bCs/>
          <w:szCs w:val="21"/>
        </w:rPr>
      </w:pPr>
      <w:r>
        <w:rPr>
          <w:rFonts w:hint="eastAsia" w:ascii="Times New Roman" w:eastAsia="宋体"/>
          <w:bCs/>
          <w:szCs w:val="21"/>
        </w:rPr>
        <w:t>5</w:t>
      </w:r>
      <w:r>
        <w:rPr>
          <w:rFonts w:hint="eastAsia" w:ascii="宋体" w:hAnsi="宋体" w:eastAsia="宋体" w:cs="宋体"/>
          <w:bCs/>
          <w:szCs w:val="21"/>
        </w:rPr>
        <w:t>.</w:t>
      </w:r>
      <w:r>
        <w:rPr>
          <w:rFonts w:hint="eastAsia"/>
          <w:bCs/>
          <w:szCs w:val="21"/>
        </w:rPr>
        <w:t>“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r>
        <w:rPr>
          <w:rFonts w:hint="eastAsia" w:ascii="Times New Roman" w:eastAsia="宋体"/>
          <w:bCs/>
          <w:szCs w:val="21"/>
        </w:rPr>
        <w:t>。</w:t>
      </w:r>
    </w:p>
    <w:p w14:paraId="05C97DA5">
      <w:pPr>
        <w:rPr>
          <w:rFonts w:hint="eastAsia" w:ascii="Times New Roman" w:eastAsia="宋体"/>
          <w:bCs/>
          <w:szCs w:val="21"/>
        </w:rPr>
      </w:pPr>
      <w:r>
        <w:rPr>
          <w:rFonts w:hint="eastAsia" w:ascii="Times New Roman" w:eastAsia="宋体"/>
          <w:bCs/>
          <w:szCs w:val="21"/>
        </w:rPr>
        <w:br w:type="page"/>
      </w:r>
    </w:p>
    <w:p w14:paraId="41DBE52F">
      <w:pPr>
        <w:pStyle w:val="7"/>
        <w:outlineLvl w:val="2"/>
        <w:rPr>
          <w:rFonts w:ascii="宋体" w:hAnsi="宋体"/>
          <w:b/>
          <w:bCs/>
          <w:sz w:val="24"/>
          <w:szCs w:val="21"/>
          <w:highlight w:val="none"/>
        </w:rPr>
      </w:pPr>
      <w:r>
        <w:rPr>
          <w:rFonts w:hint="eastAsia" w:ascii="宋体" w:hAnsi="宋体"/>
          <w:b/>
          <w:bCs/>
          <w:sz w:val="24"/>
          <w:szCs w:val="21"/>
          <w:highlight w:val="none"/>
        </w:rPr>
        <w:t>附件一  食堂食材供应商供货异常情况登记表</w:t>
      </w:r>
    </w:p>
    <w:tbl>
      <w:tblPr>
        <w:tblStyle w:val="42"/>
        <w:tblW w:w="4998"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684"/>
        <w:gridCol w:w="3087"/>
        <w:gridCol w:w="1812"/>
        <w:gridCol w:w="2221"/>
      </w:tblGrid>
      <w:tr w14:paraId="02359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22" w:hRule="atLeast"/>
        </w:trPr>
        <w:tc>
          <w:tcPr>
            <w:tcW w:w="956" w:type="pct"/>
            <w:tcBorders>
              <w:bottom w:val="single" w:color="000000" w:sz="6" w:space="0"/>
              <w:right w:val="single" w:color="000000" w:sz="6" w:space="0"/>
            </w:tcBorders>
            <w:vAlign w:val="center"/>
          </w:tcPr>
          <w:p w14:paraId="061802A4">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供应商名称</w:t>
            </w:r>
          </w:p>
        </w:tc>
        <w:tc>
          <w:tcPr>
            <w:tcW w:w="1753" w:type="pct"/>
            <w:tcBorders>
              <w:left w:val="single" w:color="000000" w:sz="6" w:space="0"/>
              <w:bottom w:val="single" w:color="000000" w:sz="6" w:space="0"/>
              <w:right w:val="single" w:color="000000" w:sz="6" w:space="0"/>
            </w:tcBorders>
            <w:vAlign w:val="center"/>
          </w:tcPr>
          <w:p w14:paraId="025DC8D2">
            <w:pPr>
              <w:autoSpaceDE w:val="0"/>
              <w:autoSpaceDN w:val="0"/>
              <w:adjustRightInd w:val="0"/>
              <w:jc w:val="center"/>
              <w:rPr>
                <w:rFonts w:hAnsi="宋体" w:cs="宋体"/>
                <w:kern w:val="0"/>
                <w:sz w:val="22"/>
                <w:highlight w:val="none"/>
              </w:rPr>
            </w:pPr>
          </w:p>
        </w:tc>
        <w:tc>
          <w:tcPr>
            <w:tcW w:w="1029" w:type="pct"/>
            <w:tcBorders>
              <w:left w:val="single" w:color="000000" w:sz="6" w:space="0"/>
              <w:bottom w:val="single" w:color="000000" w:sz="6" w:space="0"/>
              <w:right w:val="single" w:color="000000" w:sz="6" w:space="0"/>
            </w:tcBorders>
            <w:vAlign w:val="center"/>
          </w:tcPr>
          <w:p w14:paraId="16398BAB">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联系人及电话</w:t>
            </w:r>
          </w:p>
        </w:tc>
        <w:tc>
          <w:tcPr>
            <w:tcW w:w="1260" w:type="pct"/>
            <w:tcBorders>
              <w:top w:val="single" w:color="000000" w:sz="4" w:space="0"/>
              <w:left w:val="single" w:color="000000" w:sz="6" w:space="0"/>
              <w:bottom w:val="single" w:color="000000" w:sz="6" w:space="0"/>
            </w:tcBorders>
            <w:vAlign w:val="center"/>
          </w:tcPr>
          <w:p w14:paraId="7684AF43">
            <w:pPr>
              <w:autoSpaceDE w:val="0"/>
              <w:autoSpaceDN w:val="0"/>
              <w:adjustRightInd w:val="0"/>
              <w:jc w:val="center"/>
              <w:rPr>
                <w:rFonts w:hAnsi="宋体" w:cs="宋体"/>
                <w:kern w:val="0"/>
                <w:sz w:val="22"/>
                <w:highlight w:val="none"/>
              </w:rPr>
            </w:pPr>
          </w:p>
        </w:tc>
      </w:tr>
      <w:tr w14:paraId="768F2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75" w:hRule="atLeast"/>
        </w:trPr>
        <w:tc>
          <w:tcPr>
            <w:tcW w:w="956" w:type="pct"/>
            <w:tcBorders>
              <w:top w:val="single" w:color="000000" w:sz="6" w:space="0"/>
              <w:bottom w:val="single" w:color="000000" w:sz="6" w:space="0"/>
              <w:right w:val="single" w:color="000000" w:sz="6" w:space="0"/>
            </w:tcBorders>
            <w:vAlign w:val="center"/>
          </w:tcPr>
          <w:p w14:paraId="0A6416DF">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送货地点</w:t>
            </w:r>
          </w:p>
        </w:tc>
        <w:tc>
          <w:tcPr>
            <w:tcW w:w="1753" w:type="pct"/>
            <w:tcBorders>
              <w:top w:val="single" w:color="000000" w:sz="6" w:space="0"/>
              <w:left w:val="single" w:color="000000" w:sz="6" w:space="0"/>
              <w:bottom w:val="single" w:color="000000" w:sz="6" w:space="0"/>
              <w:right w:val="single" w:color="000000" w:sz="6" w:space="0"/>
            </w:tcBorders>
            <w:vAlign w:val="center"/>
          </w:tcPr>
          <w:p w14:paraId="4C4EC06C">
            <w:pPr>
              <w:autoSpaceDE w:val="0"/>
              <w:autoSpaceDN w:val="0"/>
              <w:adjustRightInd w:val="0"/>
              <w:jc w:val="center"/>
              <w:rPr>
                <w:rFonts w:hAnsi="宋体" w:cs="宋体"/>
                <w:kern w:val="0"/>
                <w:sz w:val="22"/>
                <w:highlight w:val="none"/>
              </w:rPr>
            </w:pPr>
          </w:p>
        </w:tc>
        <w:tc>
          <w:tcPr>
            <w:tcW w:w="1029" w:type="pct"/>
            <w:tcBorders>
              <w:top w:val="single" w:color="000000" w:sz="6" w:space="0"/>
              <w:left w:val="single" w:color="000000" w:sz="6" w:space="0"/>
              <w:bottom w:val="single" w:color="000000" w:sz="6" w:space="0"/>
              <w:right w:val="single" w:color="000000" w:sz="6" w:space="0"/>
            </w:tcBorders>
            <w:vAlign w:val="center"/>
          </w:tcPr>
          <w:p w14:paraId="5DCF5FA3">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送货时间</w:t>
            </w:r>
          </w:p>
        </w:tc>
        <w:tc>
          <w:tcPr>
            <w:tcW w:w="1260" w:type="pct"/>
            <w:tcBorders>
              <w:top w:val="single" w:color="000000" w:sz="6" w:space="0"/>
              <w:left w:val="single" w:color="000000" w:sz="6" w:space="0"/>
              <w:bottom w:val="single" w:color="000000" w:sz="6" w:space="0"/>
            </w:tcBorders>
            <w:vAlign w:val="center"/>
          </w:tcPr>
          <w:p w14:paraId="1082FE33">
            <w:pPr>
              <w:tabs>
                <w:tab w:val="left" w:pos="1189"/>
                <w:tab w:val="left" w:pos="1789"/>
              </w:tabs>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 xml:space="preserve">   年   月   日</w:t>
            </w:r>
          </w:p>
        </w:tc>
      </w:tr>
      <w:tr w14:paraId="642C1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2" w:hRule="atLeast"/>
        </w:trPr>
        <w:tc>
          <w:tcPr>
            <w:tcW w:w="956" w:type="pct"/>
            <w:tcBorders>
              <w:top w:val="single" w:color="000000" w:sz="6" w:space="0"/>
              <w:bottom w:val="single" w:color="000000" w:sz="6" w:space="0"/>
              <w:right w:val="single" w:color="000000" w:sz="6" w:space="0"/>
            </w:tcBorders>
            <w:vAlign w:val="center"/>
          </w:tcPr>
          <w:p w14:paraId="0CDC50AC">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异常情况</w:t>
            </w:r>
          </w:p>
          <w:p w14:paraId="1343AA46">
            <w:pPr>
              <w:autoSpaceDE w:val="0"/>
              <w:autoSpaceDN w:val="0"/>
              <w:adjustRightInd w:val="0"/>
              <w:spacing w:line="296" w:lineRule="exact"/>
              <w:jc w:val="center"/>
              <w:rPr>
                <w:rFonts w:ascii="宋体" w:hAnsi="宋体" w:cs="宋体"/>
                <w:kern w:val="0"/>
                <w:sz w:val="24"/>
                <w:highlight w:val="none"/>
              </w:rPr>
            </w:pPr>
            <w:r>
              <w:rPr>
                <w:rFonts w:hint="eastAsia" w:ascii="宋体" w:hAnsi="宋体" w:cs="宋体"/>
                <w:kern w:val="0"/>
                <w:sz w:val="24"/>
                <w:highlight w:val="none"/>
              </w:rPr>
              <w:t>类别</w:t>
            </w:r>
          </w:p>
        </w:tc>
        <w:tc>
          <w:tcPr>
            <w:tcW w:w="4043" w:type="pct"/>
            <w:gridSpan w:val="3"/>
            <w:tcBorders>
              <w:top w:val="single" w:color="000000" w:sz="6" w:space="0"/>
              <w:left w:val="single" w:color="000000" w:sz="6" w:space="0"/>
              <w:bottom w:val="single" w:color="000000" w:sz="6" w:space="0"/>
            </w:tcBorders>
            <w:vAlign w:val="center"/>
          </w:tcPr>
          <w:p w14:paraId="20ED82B7">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质量（ ） 时间（ ） 安全（ ） 价格（ ） 服务（ ）</w:t>
            </w:r>
          </w:p>
        </w:tc>
      </w:tr>
      <w:tr w14:paraId="69FB3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32" w:hRule="atLeast"/>
        </w:trPr>
        <w:tc>
          <w:tcPr>
            <w:tcW w:w="956" w:type="pct"/>
            <w:tcBorders>
              <w:top w:val="single" w:color="000000" w:sz="6" w:space="0"/>
              <w:bottom w:val="single" w:color="000000" w:sz="6" w:space="0"/>
              <w:right w:val="single" w:color="000000" w:sz="6" w:space="0"/>
            </w:tcBorders>
            <w:vAlign w:val="center"/>
          </w:tcPr>
          <w:p w14:paraId="665F72BF">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具体情况</w:t>
            </w:r>
          </w:p>
        </w:tc>
        <w:tc>
          <w:tcPr>
            <w:tcW w:w="4043" w:type="pct"/>
            <w:gridSpan w:val="3"/>
            <w:tcBorders>
              <w:top w:val="single" w:color="000000" w:sz="6" w:space="0"/>
              <w:left w:val="single" w:color="000000" w:sz="6" w:space="0"/>
              <w:bottom w:val="single" w:color="000000" w:sz="6" w:space="0"/>
            </w:tcBorders>
            <w:vAlign w:val="center"/>
          </w:tcPr>
          <w:p w14:paraId="45DFD742">
            <w:pPr>
              <w:autoSpaceDE w:val="0"/>
              <w:autoSpaceDN w:val="0"/>
              <w:adjustRightInd w:val="0"/>
              <w:jc w:val="center"/>
              <w:rPr>
                <w:rFonts w:hAnsi="宋体" w:cs="宋体"/>
                <w:kern w:val="0"/>
                <w:sz w:val="22"/>
                <w:highlight w:val="none"/>
              </w:rPr>
            </w:pPr>
          </w:p>
        </w:tc>
      </w:tr>
      <w:tr w14:paraId="6330D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3" w:hRule="atLeast"/>
        </w:trPr>
        <w:tc>
          <w:tcPr>
            <w:tcW w:w="956" w:type="pct"/>
            <w:tcBorders>
              <w:top w:val="single" w:color="000000" w:sz="6" w:space="0"/>
              <w:bottom w:val="single" w:color="000000" w:sz="6" w:space="0"/>
              <w:right w:val="single" w:color="000000" w:sz="6" w:space="0"/>
            </w:tcBorders>
            <w:vAlign w:val="center"/>
          </w:tcPr>
          <w:p w14:paraId="10B35EF2">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学校签名</w:t>
            </w:r>
          </w:p>
        </w:tc>
        <w:tc>
          <w:tcPr>
            <w:tcW w:w="1753" w:type="pct"/>
            <w:tcBorders>
              <w:top w:val="single" w:color="000000" w:sz="6" w:space="0"/>
              <w:left w:val="single" w:color="000000" w:sz="6" w:space="0"/>
              <w:bottom w:val="single" w:color="000000" w:sz="6" w:space="0"/>
              <w:right w:val="single" w:color="000000" w:sz="4" w:space="0"/>
            </w:tcBorders>
            <w:vAlign w:val="center"/>
          </w:tcPr>
          <w:p w14:paraId="0B636B96">
            <w:pPr>
              <w:autoSpaceDE w:val="0"/>
              <w:autoSpaceDN w:val="0"/>
              <w:adjustRightInd w:val="0"/>
              <w:jc w:val="center"/>
              <w:rPr>
                <w:rFonts w:hAnsi="宋体" w:cs="宋体"/>
                <w:kern w:val="0"/>
                <w:sz w:val="22"/>
                <w:highlight w:val="none"/>
              </w:rPr>
            </w:pPr>
          </w:p>
        </w:tc>
        <w:tc>
          <w:tcPr>
            <w:tcW w:w="1029" w:type="pct"/>
            <w:tcBorders>
              <w:top w:val="single" w:color="000000" w:sz="6" w:space="0"/>
              <w:left w:val="single" w:color="000000" w:sz="4" w:space="0"/>
              <w:bottom w:val="single" w:color="000000" w:sz="6" w:space="0"/>
              <w:right w:val="single" w:color="000000" w:sz="4" w:space="0"/>
            </w:tcBorders>
            <w:vAlign w:val="center"/>
          </w:tcPr>
          <w:p w14:paraId="10397367">
            <w:pPr>
              <w:autoSpaceDE w:val="0"/>
              <w:autoSpaceDN w:val="0"/>
              <w:adjustRightInd w:val="0"/>
              <w:jc w:val="center"/>
              <w:rPr>
                <w:rFonts w:ascii="宋体" w:hAnsi="宋体" w:cs="宋体"/>
                <w:kern w:val="0"/>
                <w:sz w:val="24"/>
                <w:highlight w:val="none"/>
              </w:rPr>
            </w:pPr>
            <w:r>
              <w:rPr>
                <w:rFonts w:hint="eastAsia" w:ascii="宋体" w:hAnsi="宋体" w:cs="宋体"/>
                <w:kern w:val="0"/>
                <w:sz w:val="24"/>
                <w:highlight w:val="none"/>
              </w:rPr>
              <w:t>供应商签名</w:t>
            </w:r>
          </w:p>
        </w:tc>
        <w:tc>
          <w:tcPr>
            <w:tcW w:w="1260" w:type="pct"/>
            <w:tcBorders>
              <w:top w:val="single" w:color="000000" w:sz="6" w:space="0"/>
              <w:left w:val="single" w:color="000000" w:sz="4" w:space="0"/>
              <w:bottom w:val="single" w:color="000000" w:sz="6" w:space="0"/>
            </w:tcBorders>
            <w:vAlign w:val="center"/>
          </w:tcPr>
          <w:p w14:paraId="5C388AEF">
            <w:pPr>
              <w:autoSpaceDE w:val="0"/>
              <w:autoSpaceDN w:val="0"/>
              <w:adjustRightInd w:val="0"/>
              <w:jc w:val="center"/>
              <w:rPr>
                <w:rFonts w:hAnsi="宋体" w:cs="宋体"/>
                <w:kern w:val="0"/>
                <w:sz w:val="22"/>
                <w:highlight w:val="none"/>
              </w:rPr>
            </w:pPr>
          </w:p>
        </w:tc>
      </w:tr>
      <w:tr w14:paraId="19110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3" w:hRule="atLeast"/>
        </w:trPr>
        <w:tc>
          <w:tcPr>
            <w:tcW w:w="956" w:type="pct"/>
            <w:tcBorders>
              <w:top w:val="single" w:color="000000" w:sz="6" w:space="0"/>
              <w:right w:val="single" w:color="000000" w:sz="6" w:space="0"/>
            </w:tcBorders>
            <w:vAlign w:val="center"/>
          </w:tcPr>
          <w:p w14:paraId="5E1A66CE">
            <w:pPr>
              <w:autoSpaceDE w:val="0"/>
              <w:autoSpaceDN w:val="0"/>
              <w:adjustRightInd w:val="0"/>
              <w:jc w:val="center"/>
              <w:rPr>
                <w:rFonts w:hint="eastAsia" w:ascii="宋体" w:hAnsi="宋体" w:cs="宋体"/>
                <w:kern w:val="0"/>
                <w:sz w:val="24"/>
                <w:highlight w:val="none"/>
              </w:rPr>
            </w:pPr>
            <w:r>
              <w:rPr>
                <w:rFonts w:hint="eastAsia" w:ascii="宋体" w:hAnsi="宋体" w:cs="宋体"/>
                <w:kern w:val="0"/>
                <w:sz w:val="24"/>
                <w:highlight w:val="none"/>
              </w:rPr>
              <w:t>备注</w:t>
            </w:r>
          </w:p>
        </w:tc>
        <w:tc>
          <w:tcPr>
            <w:tcW w:w="4043" w:type="pct"/>
            <w:gridSpan w:val="3"/>
            <w:tcBorders>
              <w:top w:val="single" w:color="000000" w:sz="6" w:space="0"/>
              <w:left w:val="single" w:color="000000" w:sz="6" w:space="0"/>
            </w:tcBorders>
            <w:vAlign w:val="center"/>
          </w:tcPr>
          <w:p w14:paraId="4065D3AE">
            <w:pPr>
              <w:autoSpaceDE w:val="0"/>
              <w:autoSpaceDN w:val="0"/>
              <w:adjustRightInd w:val="0"/>
              <w:jc w:val="center"/>
              <w:rPr>
                <w:rFonts w:hAnsi="宋体" w:cs="宋体"/>
                <w:kern w:val="0"/>
                <w:sz w:val="22"/>
                <w:highlight w:val="none"/>
              </w:rPr>
            </w:pPr>
          </w:p>
        </w:tc>
      </w:tr>
    </w:tbl>
    <w:p w14:paraId="30B5A24B">
      <w:pPr>
        <w:spacing w:line="290" w:lineRule="auto"/>
        <w:ind w:left="420" w:hanging="420" w:hangingChars="200"/>
        <w:rPr>
          <w:rFonts w:ascii="宋体" w:hAnsi="宋体"/>
          <w:highlight w:val="none"/>
        </w:rPr>
      </w:pPr>
      <w:r>
        <w:rPr>
          <w:rFonts w:hint="eastAsia" w:ascii="宋体" w:hAnsi="宋体"/>
          <w:highlight w:val="none"/>
        </w:rPr>
        <w:t>说明：履约异常情况分为质量、时间、安全、价格、服务共五类，请首先在对应的类别前打“√”，然后在“具体情况”一栏详细说明情况并对照《服务供应商月度考核评分表》  对相应的指标进行扣分。本表格一式两联，学校及供应商各执一联。</w:t>
      </w:r>
    </w:p>
    <w:p w14:paraId="61BC923E">
      <w:pPr>
        <w:rPr>
          <w:rFonts w:hint="eastAsia"/>
          <w:kern w:val="2"/>
          <w:highlight w:val="none"/>
        </w:rPr>
      </w:pPr>
      <w:r>
        <w:rPr>
          <w:rFonts w:hint="eastAsia"/>
          <w:kern w:val="2"/>
          <w:highlight w:val="none"/>
        </w:rPr>
        <w:br w:type="page"/>
      </w:r>
    </w:p>
    <w:p w14:paraId="6C4F8DE1">
      <w:pPr>
        <w:pStyle w:val="7"/>
        <w:outlineLvl w:val="2"/>
        <w:rPr>
          <w:sz w:val="24"/>
          <w:highlight w:val="none"/>
        </w:rPr>
      </w:pPr>
      <w:r>
        <w:rPr>
          <w:rFonts w:hint="eastAsia" w:ascii="宋体" w:hAnsi="宋体"/>
          <w:b/>
          <w:bCs/>
          <w:sz w:val="24"/>
          <w:szCs w:val="21"/>
          <w:highlight w:val="none"/>
        </w:rPr>
        <w:t>附件二  服务供应商月度考核评分表</w:t>
      </w:r>
    </w:p>
    <w:tbl>
      <w:tblPr>
        <w:tblStyle w:val="4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Layout w:type="autofit"/>
        <w:tblCellMar>
          <w:top w:w="0" w:type="dxa"/>
          <w:left w:w="0" w:type="dxa"/>
          <w:bottom w:w="0" w:type="dxa"/>
          <w:right w:w="0" w:type="dxa"/>
        </w:tblCellMar>
      </w:tblPr>
      <w:tblGrid>
        <w:gridCol w:w="594"/>
        <w:gridCol w:w="499"/>
        <w:gridCol w:w="702"/>
        <w:gridCol w:w="603"/>
        <w:gridCol w:w="1529"/>
        <w:gridCol w:w="4454"/>
        <w:gridCol w:w="412"/>
      </w:tblGrid>
      <w:tr w14:paraId="0BF7C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3" w:hRule="atLeast"/>
        </w:trPr>
        <w:tc>
          <w:tcPr>
            <w:tcW w:w="338" w:type="pct"/>
            <w:shd w:val="clear" w:color="auto" w:fill="FFFFFF" w:themeFill="background1"/>
            <w:vAlign w:val="center"/>
          </w:tcPr>
          <w:p w14:paraId="6AF6F1B8">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w w:val="95"/>
                <w:kern w:val="0"/>
                <w:sz w:val="21"/>
                <w:szCs w:val="21"/>
                <w:highlight w:val="none"/>
              </w:rPr>
              <w:t>一级指标</w:t>
            </w:r>
          </w:p>
        </w:tc>
        <w:tc>
          <w:tcPr>
            <w:tcW w:w="284" w:type="pct"/>
            <w:shd w:val="clear" w:color="auto" w:fill="FFFFFF" w:themeFill="background1"/>
            <w:vAlign w:val="center"/>
          </w:tcPr>
          <w:p w14:paraId="45C48FDD">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分值</w:t>
            </w:r>
          </w:p>
        </w:tc>
        <w:tc>
          <w:tcPr>
            <w:tcW w:w="399" w:type="pct"/>
            <w:shd w:val="clear" w:color="auto" w:fill="FFFFFF" w:themeFill="background1"/>
            <w:vAlign w:val="center"/>
          </w:tcPr>
          <w:p w14:paraId="219EE95C">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二级指标</w:t>
            </w:r>
          </w:p>
        </w:tc>
        <w:tc>
          <w:tcPr>
            <w:tcW w:w="343" w:type="pct"/>
            <w:shd w:val="clear" w:color="auto" w:fill="FFFFFF" w:themeFill="background1"/>
            <w:vAlign w:val="center"/>
          </w:tcPr>
          <w:p w14:paraId="01C7C166">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分值</w:t>
            </w:r>
          </w:p>
        </w:tc>
        <w:tc>
          <w:tcPr>
            <w:tcW w:w="869" w:type="pct"/>
            <w:shd w:val="clear" w:color="auto" w:fill="FFFFFF" w:themeFill="background1"/>
            <w:vAlign w:val="center"/>
          </w:tcPr>
          <w:p w14:paraId="2D452712">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考核内容</w:t>
            </w:r>
          </w:p>
        </w:tc>
        <w:tc>
          <w:tcPr>
            <w:tcW w:w="2529" w:type="pct"/>
            <w:shd w:val="clear" w:color="auto" w:fill="FFFFFF" w:themeFill="background1"/>
            <w:vAlign w:val="center"/>
          </w:tcPr>
          <w:p w14:paraId="6D11101F">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评分标准</w:t>
            </w:r>
          </w:p>
        </w:tc>
        <w:tc>
          <w:tcPr>
            <w:tcW w:w="234" w:type="pct"/>
            <w:shd w:val="clear" w:color="auto" w:fill="FFFFFF" w:themeFill="background1"/>
            <w:vAlign w:val="center"/>
          </w:tcPr>
          <w:p w14:paraId="4ABDCAB3">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得分</w:t>
            </w:r>
          </w:p>
        </w:tc>
      </w:tr>
      <w:tr w14:paraId="76566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2788" w:hRule="atLeast"/>
        </w:trPr>
        <w:tc>
          <w:tcPr>
            <w:tcW w:w="338" w:type="pct"/>
            <w:vMerge w:val="restart"/>
            <w:shd w:val="clear" w:color="auto" w:fill="FFFFFF" w:themeFill="background1"/>
            <w:vAlign w:val="center"/>
          </w:tcPr>
          <w:p w14:paraId="2E0A1DD1">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食材管理</w:t>
            </w:r>
          </w:p>
        </w:tc>
        <w:tc>
          <w:tcPr>
            <w:tcW w:w="284" w:type="pct"/>
            <w:vMerge w:val="restart"/>
            <w:shd w:val="clear" w:color="auto" w:fill="FFFFFF" w:themeFill="background1"/>
            <w:vAlign w:val="center"/>
          </w:tcPr>
          <w:p w14:paraId="157C8D4F">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35 分</w:t>
            </w:r>
          </w:p>
        </w:tc>
        <w:tc>
          <w:tcPr>
            <w:tcW w:w="399" w:type="pct"/>
            <w:shd w:val="clear" w:color="auto" w:fill="FFFFFF" w:themeFill="background1"/>
            <w:vAlign w:val="center"/>
          </w:tcPr>
          <w:p w14:paraId="4F5AC2B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食材质量评价指标</w:t>
            </w:r>
          </w:p>
        </w:tc>
        <w:tc>
          <w:tcPr>
            <w:tcW w:w="343" w:type="pct"/>
            <w:shd w:val="clear" w:color="auto" w:fill="FFFFFF" w:themeFill="background1"/>
            <w:vAlign w:val="center"/>
          </w:tcPr>
          <w:p w14:paraId="53CF5C3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25分</w:t>
            </w:r>
          </w:p>
        </w:tc>
        <w:tc>
          <w:tcPr>
            <w:tcW w:w="869" w:type="pct"/>
            <w:shd w:val="clear" w:color="auto" w:fill="FFFFFF" w:themeFill="background1"/>
            <w:vAlign w:val="center"/>
          </w:tcPr>
          <w:p w14:paraId="58528C7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考核内容配送物品是否</w:t>
            </w:r>
            <w:r>
              <w:rPr>
                <w:rFonts w:hint="eastAsia" w:ascii="宋体" w:hAnsi="宋体" w:eastAsia="宋体" w:cs="宋体"/>
                <w:spacing w:val="-12"/>
                <w:kern w:val="0"/>
                <w:sz w:val="21"/>
                <w:szCs w:val="21"/>
                <w:highlight w:val="none"/>
              </w:rPr>
              <w:t>存在霉烂、变质、过期、</w:t>
            </w:r>
            <w:r>
              <w:rPr>
                <w:rFonts w:hint="eastAsia" w:ascii="宋体" w:hAnsi="宋体" w:eastAsia="宋体" w:cs="宋体"/>
                <w:kern w:val="0"/>
                <w:sz w:val="21"/>
                <w:szCs w:val="21"/>
                <w:highlight w:val="none"/>
              </w:rPr>
              <w:t>破损、品种不达标等不符《深圳市学校食堂食材采购验收参考标准》中对质量要求的情况， 是否存在以次充好达不到学校要求等的情况。每次退换货及时补回的</w:t>
            </w:r>
            <w:r>
              <w:rPr>
                <w:rFonts w:hint="eastAsia" w:ascii="宋体" w:hAnsi="宋体" w:eastAsia="宋体" w:cs="宋体"/>
                <w:spacing w:val="-15"/>
                <w:kern w:val="0"/>
                <w:sz w:val="21"/>
                <w:szCs w:val="21"/>
                <w:highlight w:val="none"/>
              </w:rPr>
              <w:t xml:space="preserve">每次扣 </w:t>
            </w:r>
            <w:r>
              <w:rPr>
                <w:rFonts w:hint="eastAsia" w:ascii="宋体" w:hAnsi="宋体" w:eastAsia="宋体" w:cs="宋体"/>
                <w:kern w:val="0"/>
                <w:sz w:val="21"/>
                <w:szCs w:val="21"/>
                <w:highlight w:val="none"/>
              </w:rPr>
              <w:t>1</w:t>
            </w:r>
            <w:r>
              <w:rPr>
                <w:rFonts w:hint="eastAsia" w:ascii="宋体" w:hAnsi="宋体" w:eastAsia="宋体" w:cs="宋体"/>
                <w:spacing w:val="-30"/>
                <w:kern w:val="0"/>
                <w:sz w:val="21"/>
                <w:szCs w:val="21"/>
                <w:highlight w:val="none"/>
              </w:rPr>
              <w:t xml:space="preserve"> 分</w:t>
            </w:r>
            <w:r>
              <w:rPr>
                <w:rFonts w:hint="eastAsia" w:ascii="宋体" w:hAnsi="宋体" w:eastAsia="宋体" w:cs="宋体"/>
                <w:kern w:val="0"/>
                <w:sz w:val="21"/>
                <w:szCs w:val="21"/>
                <w:highlight w:val="none"/>
              </w:rPr>
              <w:t>/</w:t>
            </w:r>
            <w:r>
              <w:rPr>
                <w:rFonts w:hint="eastAsia" w:ascii="宋体" w:hAnsi="宋体" w:eastAsia="宋体" w:cs="宋体"/>
                <w:spacing w:val="-20"/>
                <w:kern w:val="0"/>
                <w:sz w:val="21"/>
                <w:szCs w:val="21"/>
                <w:highlight w:val="none"/>
              </w:rPr>
              <w:t>品种，每次退换货未能及时补回的</w:t>
            </w:r>
            <w:r>
              <w:rPr>
                <w:rFonts w:hint="eastAsia" w:ascii="宋体" w:hAnsi="宋体" w:eastAsia="宋体" w:cs="宋体"/>
                <w:kern w:val="0"/>
                <w:sz w:val="21"/>
                <w:szCs w:val="21"/>
                <w:highlight w:val="none"/>
              </w:rPr>
              <w:t>每次扣 2 分/品种。</w:t>
            </w:r>
          </w:p>
        </w:tc>
        <w:tc>
          <w:tcPr>
            <w:tcW w:w="2529" w:type="pct"/>
            <w:shd w:val="clear" w:color="auto" w:fill="FFFFFF" w:themeFill="background1"/>
            <w:vAlign w:val="center"/>
          </w:tcPr>
          <w:p w14:paraId="67168F1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本月每日配送食材新鲜，不存在霉烂、变质、过期、破损、品种不达标等情况，完全符合《深圳市学校食堂食材采购验收参</w:t>
            </w:r>
            <w:r>
              <w:rPr>
                <w:rFonts w:hint="eastAsia" w:ascii="宋体" w:hAnsi="宋体" w:eastAsia="宋体" w:cs="宋体"/>
                <w:spacing w:val="-8"/>
                <w:kern w:val="0"/>
                <w:sz w:val="21"/>
                <w:szCs w:val="21"/>
                <w:highlight w:val="none"/>
              </w:rPr>
              <w:t xml:space="preserve">考标准》中的相关要求，得 </w:t>
            </w:r>
            <w:r>
              <w:rPr>
                <w:rFonts w:hint="eastAsia" w:ascii="宋体" w:hAnsi="宋体" w:eastAsia="宋体" w:cs="宋体"/>
                <w:kern w:val="0"/>
                <w:sz w:val="21"/>
                <w:szCs w:val="21"/>
                <w:highlight w:val="none"/>
              </w:rPr>
              <w:t>25</w:t>
            </w:r>
            <w:r>
              <w:rPr>
                <w:rFonts w:hint="eastAsia" w:ascii="宋体" w:hAnsi="宋体" w:eastAsia="宋体" w:cs="宋体"/>
                <w:spacing w:val="-11"/>
                <w:kern w:val="0"/>
                <w:sz w:val="21"/>
                <w:szCs w:val="21"/>
                <w:highlight w:val="none"/>
              </w:rPr>
              <w:t>分；因食材不符合《深圳市学校</w:t>
            </w:r>
            <w:r>
              <w:rPr>
                <w:rFonts w:hint="eastAsia" w:ascii="宋体" w:hAnsi="宋体" w:eastAsia="宋体" w:cs="宋体"/>
                <w:kern w:val="0"/>
                <w:sz w:val="21"/>
                <w:szCs w:val="21"/>
                <w:highlight w:val="none"/>
              </w:rPr>
              <w:t>食堂食材采购验收参考标准》中的相关要求，校（园）方要求供应商退换货的：供应商能及时补回同品种食材的，每发生一</w:t>
            </w:r>
            <w:r>
              <w:rPr>
                <w:rFonts w:hint="eastAsia" w:ascii="宋体" w:hAnsi="宋体" w:eastAsia="宋体" w:cs="宋体"/>
                <w:spacing w:val="-20"/>
                <w:kern w:val="0"/>
                <w:sz w:val="21"/>
                <w:szCs w:val="21"/>
                <w:highlight w:val="none"/>
              </w:rPr>
              <w:t xml:space="preserve">次扣 </w:t>
            </w:r>
            <w:r>
              <w:rPr>
                <w:rFonts w:hint="eastAsia" w:ascii="宋体" w:hAnsi="宋体" w:eastAsia="宋体" w:cs="宋体"/>
                <w:kern w:val="0"/>
                <w:sz w:val="21"/>
                <w:szCs w:val="21"/>
                <w:highlight w:val="none"/>
                <w:lang w:val="en-US" w:eastAsia="zh-CN"/>
              </w:rPr>
              <w:t>2</w:t>
            </w:r>
            <w:r>
              <w:rPr>
                <w:rFonts w:hint="eastAsia" w:ascii="宋体" w:hAnsi="宋体" w:eastAsia="宋体" w:cs="宋体"/>
                <w:spacing w:val="-30"/>
                <w:kern w:val="0"/>
                <w:sz w:val="21"/>
                <w:szCs w:val="21"/>
                <w:highlight w:val="none"/>
              </w:rPr>
              <w:t xml:space="preserve"> 分</w:t>
            </w:r>
            <w:r>
              <w:rPr>
                <w:rFonts w:hint="eastAsia" w:ascii="宋体" w:hAnsi="宋体" w:eastAsia="宋体" w:cs="宋体"/>
                <w:kern w:val="0"/>
                <w:sz w:val="21"/>
                <w:szCs w:val="21"/>
                <w:highlight w:val="none"/>
              </w:rPr>
              <w:t>/</w:t>
            </w:r>
            <w:r>
              <w:rPr>
                <w:rFonts w:hint="eastAsia" w:ascii="宋体" w:hAnsi="宋体" w:eastAsia="宋体" w:cs="宋体"/>
                <w:spacing w:val="-6"/>
                <w:kern w:val="0"/>
                <w:sz w:val="21"/>
                <w:szCs w:val="21"/>
                <w:highlight w:val="none"/>
              </w:rPr>
              <w:t>品种；供应商不能及时补回同品种食材、但能及时提</w:t>
            </w:r>
            <w:r>
              <w:rPr>
                <w:rFonts w:hint="eastAsia" w:ascii="宋体" w:hAnsi="宋体" w:eastAsia="宋体" w:cs="宋体"/>
                <w:kern w:val="0"/>
                <w:sz w:val="21"/>
                <w:szCs w:val="21"/>
                <w:highlight w:val="none"/>
              </w:rPr>
              <w:t>供符合《深圳市学校食堂食材采购验收参考标准》中相关要求</w:t>
            </w:r>
            <w:r>
              <w:rPr>
                <w:rFonts w:hint="eastAsia" w:ascii="宋体" w:hAnsi="宋体" w:eastAsia="宋体" w:cs="宋体"/>
                <w:spacing w:val="-8"/>
                <w:kern w:val="0"/>
                <w:sz w:val="21"/>
                <w:szCs w:val="21"/>
                <w:highlight w:val="none"/>
              </w:rPr>
              <w:t xml:space="preserve">的替代食材的，每发生一次扣 </w:t>
            </w:r>
            <w:r>
              <w:rPr>
                <w:rFonts w:hint="eastAsia" w:ascii="宋体" w:hAnsi="宋体" w:eastAsia="宋体" w:cs="宋体"/>
                <w:kern w:val="0"/>
                <w:sz w:val="21"/>
                <w:szCs w:val="21"/>
                <w:highlight w:val="none"/>
                <w:lang w:val="en-US" w:eastAsia="zh-CN"/>
              </w:rPr>
              <w:t>4</w:t>
            </w:r>
            <w:r>
              <w:rPr>
                <w:rFonts w:hint="eastAsia" w:ascii="宋体" w:hAnsi="宋体" w:eastAsia="宋体" w:cs="宋体"/>
                <w:spacing w:val="-30"/>
                <w:kern w:val="0"/>
                <w:sz w:val="21"/>
                <w:szCs w:val="21"/>
                <w:highlight w:val="none"/>
              </w:rPr>
              <w:t xml:space="preserve"> 分</w:t>
            </w:r>
            <w:r>
              <w:rPr>
                <w:rFonts w:hint="eastAsia" w:ascii="宋体" w:hAnsi="宋体" w:eastAsia="宋体" w:cs="宋体"/>
                <w:kern w:val="0"/>
                <w:sz w:val="21"/>
                <w:szCs w:val="21"/>
                <w:highlight w:val="none"/>
              </w:rPr>
              <w:t>/</w:t>
            </w:r>
            <w:r>
              <w:rPr>
                <w:rFonts w:hint="eastAsia" w:ascii="宋体" w:hAnsi="宋体" w:eastAsia="宋体" w:cs="宋体"/>
                <w:spacing w:val="-5"/>
                <w:kern w:val="0"/>
                <w:sz w:val="21"/>
                <w:szCs w:val="21"/>
                <w:highlight w:val="none"/>
              </w:rPr>
              <w:t>品种；供应商不能及时补回</w:t>
            </w:r>
            <w:r>
              <w:rPr>
                <w:rFonts w:hint="eastAsia" w:ascii="宋体" w:hAnsi="宋体" w:eastAsia="宋体" w:cs="宋体"/>
                <w:kern w:val="0"/>
                <w:sz w:val="21"/>
                <w:szCs w:val="21"/>
                <w:highlight w:val="none"/>
              </w:rPr>
              <w:t>同品种食材及符合《深圳市学校食堂食材采购验收参考标准》中相关要求的替代食材，对当日餐食造成影响（如不能按时开</w:t>
            </w:r>
            <w:r>
              <w:rPr>
                <w:rFonts w:hint="eastAsia" w:ascii="宋体" w:hAnsi="宋体" w:eastAsia="宋体" w:cs="宋体"/>
                <w:spacing w:val="-3"/>
                <w:kern w:val="0"/>
                <w:sz w:val="21"/>
                <w:szCs w:val="21"/>
                <w:highlight w:val="none"/>
              </w:rPr>
              <w:t>餐、菜品数量减少等</w:t>
            </w:r>
            <w:r>
              <w:rPr>
                <w:rFonts w:hint="eastAsia" w:ascii="宋体" w:hAnsi="宋体" w:eastAsia="宋体" w:cs="宋体"/>
                <w:spacing w:val="-9"/>
                <w:kern w:val="0"/>
                <w:sz w:val="21"/>
                <w:szCs w:val="21"/>
                <w:highlight w:val="none"/>
              </w:rPr>
              <w:t>）</w:t>
            </w:r>
            <w:r>
              <w:rPr>
                <w:rFonts w:hint="eastAsia" w:ascii="宋体" w:hAnsi="宋体" w:eastAsia="宋体" w:cs="宋体"/>
                <w:spacing w:val="-11"/>
                <w:kern w:val="0"/>
                <w:sz w:val="21"/>
                <w:szCs w:val="21"/>
                <w:highlight w:val="none"/>
              </w:rPr>
              <w:t xml:space="preserve">，每发生一次扣 </w:t>
            </w:r>
            <w:r>
              <w:rPr>
                <w:rFonts w:hint="eastAsia" w:ascii="宋体" w:hAnsi="宋体" w:eastAsia="宋体" w:cs="宋体"/>
                <w:kern w:val="0"/>
                <w:sz w:val="21"/>
                <w:szCs w:val="21"/>
                <w:highlight w:val="none"/>
              </w:rPr>
              <w:t>10</w:t>
            </w:r>
            <w:r>
              <w:rPr>
                <w:rFonts w:hint="eastAsia" w:ascii="宋体" w:hAnsi="宋体" w:eastAsia="宋体" w:cs="宋体"/>
                <w:spacing w:val="-11"/>
                <w:kern w:val="0"/>
                <w:sz w:val="21"/>
                <w:szCs w:val="21"/>
                <w:highlight w:val="none"/>
              </w:rPr>
              <w:t xml:space="preserve"> 分。本项指标累计每</w:t>
            </w:r>
            <w:r>
              <w:rPr>
                <w:rFonts w:hint="eastAsia" w:ascii="宋体" w:hAnsi="宋体" w:eastAsia="宋体" w:cs="宋体"/>
                <w:kern w:val="0"/>
                <w:sz w:val="21"/>
                <w:szCs w:val="21"/>
                <w:highlight w:val="none"/>
              </w:rPr>
              <w:t>月最高扣分 25分。</w:t>
            </w:r>
          </w:p>
        </w:tc>
        <w:tc>
          <w:tcPr>
            <w:tcW w:w="234" w:type="pct"/>
            <w:shd w:val="clear" w:color="auto" w:fill="FFFFFF" w:themeFill="background1"/>
            <w:vAlign w:val="center"/>
          </w:tcPr>
          <w:p w14:paraId="4AE3C9B5">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2EB2A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338" w:type="pct"/>
            <w:vMerge w:val="continue"/>
            <w:tcBorders>
              <w:top w:val="nil"/>
            </w:tcBorders>
            <w:shd w:val="clear" w:color="auto" w:fill="FFFFFF" w:themeFill="background1"/>
            <w:vAlign w:val="center"/>
          </w:tcPr>
          <w:p w14:paraId="4AC33EA8">
            <w:pPr>
              <w:keepNext w:val="0"/>
              <w:keepLines w:val="0"/>
              <w:pageBreakBefore w:val="0"/>
              <w:widowControl w:val="0"/>
              <w:kinsoku/>
              <w:wordWrap/>
              <w:overflowPunct/>
              <w:topLinePunct w:val="0"/>
              <w:bidi w:val="0"/>
              <w:snapToGrid/>
              <w:spacing w:line="240" w:lineRule="auto"/>
              <w:ind w:left="0" w:right="0"/>
              <w:jc w:val="center"/>
              <w:textAlignment w:val="auto"/>
              <w:rPr>
                <w:rFonts w:hint="eastAsia" w:ascii="宋体" w:hAnsi="宋体" w:eastAsia="宋体" w:cs="宋体"/>
                <w:color w:val="auto"/>
                <w:sz w:val="21"/>
                <w:szCs w:val="21"/>
                <w:highlight w:val="none"/>
              </w:rPr>
            </w:pPr>
          </w:p>
        </w:tc>
        <w:tc>
          <w:tcPr>
            <w:tcW w:w="284" w:type="pct"/>
            <w:vMerge w:val="continue"/>
            <w:tcBorders>
              <w:top w:val="nil"/>
            </w:tcBorders>
            <w:shd w:val="clear" w:color="auto" w:fill="FFFFFF" w:themeFill="background1"/>
            <w:vAlign w:val="center"/>
          </w:tcPr>
          <w:p w14:paraId="36C15B80">
            <w:pPr>
              <w:keepNext w:val="0"/>
              <w:keepLines w:val="0"/>
              <w:pageBreakBefore w:val="0"/>
              <w:widowControl w:val="0"/>
              <w:kinsoku/>
              <w:wordWrap/>
              <w:overflowPunct/>
              <w:topLinePunct w:val="0"/>
              <w:bidi w:val="0"/>
              <w:snapToGrid/>
              <w:spacing w:line="240" w:lineRule="auto"/>
              <w:ind w:left="0" w:right="0"/>
              <w:jc w:val="center"/>
              <w:textAlignment w:val="auto"/>
              <w:rPr>
                <w:rFonts w:hint="eastAsia" w:ascii="宋体" w:hAnsi="宋体" w:eastAsia="宋体" w:cs="宋体"/>
                <w:color w:val="auto"/>
                <w:sz w:val="21"/>
                <w:szCs w:val="21"/>
                <w:highlight w:val="none"/>
              </w:rPr>
            </w:pPr>
          </w:p>
        </w:tc>
        <w:tc>
          <w:tcPr>
            <w:tcW w:w="399" w:type="pct"/>
            <w:shd w:val="clear" w:color="auto" w:fill="FFFFFF" w:themeFill="background1"/>
            <w:vAlign w:val="center"/>
          </w:tcPr>
          <w:p w14:paraId="7667C59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食材数量评价指标</w:t>
            </w:r>
          </w:p>
        </w:tc>
        <w:tc>
          <w:tcPr>
            <w:tcW w:w="343" w:type="pct"/>
            <w:shd w:val="clear" w:color="auto" w:fill="FFFFFF" w:themeFill="background1"/>
            <w:vAlign w:val="center"/>
          </w:tcPr>
          <w:p w14:paraId="15063465">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10 分</w:t>
            </w:r>
          </w:p>
        </w:tc>
        <w:tc>
          <w:tcPr>
            <w:tcW w:w="869" w:type="pct"/>
            <w:shd w:val="clear" w:color="auto" w:fill="FFFFFF" w:themeFill="background1"/>
            <w:vAlign w:val="center"/>
          </w:tcPr>
          <w:p w14:paraId="42C82065">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考核供应商是否按照校（园）</w:t>
            </w:r>
            <w:r>
              <w:rPr>
                <w:rFonts w:hint="eastAsia" w:ascii="宋体" w:hAnsi="宋体" w:eastAsia="宋体" w:cs="宋体"/>
                <w:spacing w:val="-3"/>
                <w:kern w:val="0"/>
                <w:sz w:val="21"/>
                <w:szCs w:val="21"/>
                <w:highlight w:val="none"/>
              </w:rPr>
              <w:t>方订单品种和数</w:t>
            </w:r>
            <w:r>
              <w:rPr>
                <w:rFonts w:hint="eastAsia" w:ascii="宋体" w:hAnsi="宋体" w:eastAsia="宋体" w:cs="宋体"/>
                <w:spacing w:val="-2"/>
                <w:kern w:val="0"/>
                <w:sz w:val="21"/>
                <w:szCs w:val="21"/>
                <w:highlight w:val="none"/>
              </w:rPr>
              <w:t>量进行配送物品，是否存在缺斤少两的情况。</w:t>
            </w:r>
          </w:p>
        </w:tc>
        <w:tc>
          <w:tcPr>
            <w:tcW w:w="2529" w:type="pct"/>
            <w:shd w:val="clear" w:color="auto" w:fill="FFFFFF" w:themeFill="background1"/>
            <w:vAlign w:val="center"/>
          </w:tcPr>
          <w:p w14:paraId="3195349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供应商提供的食材品种与校（园）</w:t>
            </w:r>
            <w:r>
              <w:rPr>
                <w:rFonts w:hint="eastAsia" w:ascii="宋体" w:hAnsi="宋体" w:eastAsia="宋体" w:cs="宋体"/>
                <w:spacing w:val="-2"/>
                <w:kern w:val="0"/>
                <w:sz w:val="21"/>
                <w:szCs w:val="21"/>
                <w:highlight w:val="none"/>
              </w:rPr>
              <w:t>方订单要求一致，重量短缺</w:t>
            </w:r>
            <w:r>
              <w:rPr>
                <w:rFonts w:hint="eastAsia" w:ascii="宋体" w:hAnsi="宋体" w:eastAsia="宋体" w:cs="宋体"/>
                <w:spacing w:val="-5"/>
                <w:kern w:val="0"/>
                <w:sz w:val="21"/>
                <w:szCs w:val="21"/>
                <w:highlight w:val="none"/>
              </w:rPr>
              <w:t xml:space="preserve">不超过该类食材配送总量的 </w:t>
            </w:r>
            <w:r>
              <w:rPr>
                <w:rFonts w:hint="eastAsia" w:ascii="宋体" w:hAnsi="宋体" w:eastAsia="宋体" w:cs="宋体"/>
                <w:kern w:val="0"/>
                <w:sz w:val="21"/>
                <w:szCs w:val="21"/>
                <w:highlight w:val="none"/>
              </w:rPr>
              <w:t>5%（</w:t>
            </w:r>
            <w:r>
              <w:rPr>
                <w:rFonts w:hint="eastAsia" w:ascii="宋体" w:hAnsi="宋体" w:eastAsia="宋体" w:cs="宋体"/>
                <w:spacing w:val="-30"/>
                <w:kern w:val="0"/>
                <w:sz w:val="21"/>
                <w:szCs w:val="21"/>
                <w:highlight w:val="none"/>
              </w:rPr>
              <w:t xml:space="preserve">含 </w:t>
            </w:r>
            <w:r>
              <w:rPr>
                <w:rFonts w:hint="eastAsia" w:ascii="宋体" w:hAnsi="宋体" w:eastAsia="宋体" w:cs="宋体"/>
                <w:kern w:val="0"/>
                <w:sz w:val="21"/>
                <w:szCs w:val="21"/>
                <w:highlight w:val="none"/>
              </w:rPr>
              <w:t>5%）</w:t>
            </w:r>
            <w:r>
              <w:rPr>
                <w:rFonts w:hint="eastAsia" w:ascii="宋体" w:hAnsi="宋体" w:eastAsia="宋体" w:cs="宋体"/>
                <w:spacing w:val="-15"/>
                <w:kern w:val="0"/>
                <w:sz w:val="21"/>
                <w:szCs w:val="21"/>
                <w:highlight w:val="none"/>
              </w:rPr>
              <w:t xml:space="preserve">的，得 </w:t>
            </w:r>
            <w:r>
              <w:rPr>
                <w:rFonts w:hint="eastAsia" w:ascii="宋体" w:hAnsi="宋体" w:eastAsia="宋体" w:cs="宋体"/>
                <w:kern w:val="0"/>
                <w:sz w:val="21"/>
                <w:szCs w:val="21"/>
                <w:highlight w:val="none"/>
              </w:rPr>
              <w:t>10</w:t>
            </w:r>
            <w:r>
              <w:rPr>
                <w:rFonts w:hint="eastAsia" w:ascii="宋体" w:hAnsi="宋体" w:eastAsia="宋体" w:cs="宋体"/>
                <w:spacing w:val="-13"/>
                <w:kern w:val="0"/>
                <w:sz w:val="21"/>
                <w:szCs w:val="21"/>
                <w:highlight w:val="none"/>
              </w:rPr>
              <w:t xml:space="preserve"> 分；对照校</w:t>
            </w:r>
            <w:r>
              <w:rPr>
                <w:rFonts w:hint="eastAsia" w:ascii="宋体" w:hAnsi="宋体" w:eastAsia="宋体" w:cs="宋体"/>
                <w:kern w:val="0"/>
                <w:sz w:val="21"/>
                <w:szCs w:val="21"/>
                <w:highlight w:val="none"/>
              </w:rPr>
              <w:t>（园）</w:t>
            </w:r>
            <w:r>
              <w:rPr>
                <w:rFonts w:hint="eastAsia" w:ascii="宋体" w:hAnsi="宋体" w:eastAsia="宋体" w:cs="宋体"/>
                <w:spacing w:val="-3"/>
                <w:kern w:val="0"/>
                <w:sz w:val="21"/>
                <w:szCs w:val="21"/>
                <w:highlight w:val="none"/>
              </w:rPr>
              <w:t xml:space="preserve">方订单，供应商提供的食材每缺失一个品种，扣 </w:t>
            </w:r>
            <w:r>
              <w:rPr>
                <w:rFonts w:hint="eastAsia" w:ascii="宋体" w:hAnsi="宋体" w:eastAsia="宋体" w:cs="宋体"/>
                <w:kern w:val="0"/>
                <w:sz w:val="21"/>
                <w:szCs w:val="21"/>
                <w:highlight w:val="none"/>
                <w:lang w:val="en-US" w:eastAsia="zh-CN"/>
              </w:rPr>
              <w:t>2</w:t>
            </w:r>
            <w:r>
              <w:rPr>
                <w:rFonts w:hint="eastAsia" w:ascii="宋体" w:hAnsi="宋体" w:eastAsia="宋体" w:cs="宋体"/>
                <w:spacing w:val="-26"/>
                <w:kern w:val="0"/>
                <w:sz w:val="21"/>
                <w:szCs w:val="21"/>
                <w:highlight w:val="none"/>
              </w:rPr>
              <w:t xml:space="preserve"> 分； </w:t>
            </w:r>
            <w:r>
              <w:rPr>
                <w:rFonts w:hint="eastAsia" w:ascii="宋体" w:hAnsi="宋体" w:eastAsia="宋体" w:cs="宋体"/>
                <w:spacing w:val="-3"/>
                <w:kern w:val="0"/>
                <w:sz w:val="21"/>
                <w:szCs w:val="21"/>
                <w:highlight w:val="none"/>
              </w:rPr>
              <w:t xml:space="preserve">供应商提供的食材重量短缺在该类食材配送总量中占 </w:t>
            </w:r>
            <w:r>
              <w:rPr>
                <w:rFonts w:hint="eastAsia" w:ascii="宋体" w:hAnsi="宋体" w:eastAsia="宋体" w:cs="宋体"/>
                <w:kern w:val="0"/>
                <w:sz w:val="21"/>
                <w:szCs w:val="21"/>
                <w:highlight w:val="none"/>
              </w:rPr>
              <w:t>5%~10%（</w:t>
            </w:r>
            <w:r>
              <w:rPr>
                <w:rFonts w:hint="eastAsia" w:ascii="宋体" w:hAnsi="宋体" w:eastAsia="宋体" w:cs="宋体"/>
                <w:spacing w:val="-30"/>
                <w:kern w:val="0"/>
                <w:sz w:val="21"/>
                <w:szCs w:val="21"/>
                <w:highlight w:val="none"/>
              </w:rPr>
              <w:t xml:space="preserve">含 </w:t>
            </w:r>
            <w:r>
              <w:rPr>
                <w:rFonts w:hint="eastAsia" w:ascii="宋体" w:hAnsi="宋体" w:eastAsia="宋体" w:cs="宋体"/>
                <w:kern w:val="0"/>
                <w:sz w:val="21"/>
                <w:szCs w:val="21"/>
                <w:highlight w:val="none"/>
              </w:rPr>
              <w:t>10%）</w:t>
            </w:r>
            <w:r>
              <w:rPr>
                <w:rFonts w:hint="eastAsia" w:ascii="宋体" w:hAnsi="宋体" w:eastAsia="宋体" w:cs="宋体"/>
                <w:spacing w:val="-15"/>
                <w:kern w:val="0"/>
                <w:sz w:val="21"/>
                <w:szCs w:val="21"/>
                <w:highlight w:val="none"/>
              </w:rPr>
              <w:t xml:space="preserve">的，扣 </w:t>
            </w:r>
            <w:r>
              <w:rPr>
                <w:rFonts w:hint="eastAsia" w:ascii="宋体" w:hAnsi="宋体" w:eastAsia="宋体" w:cs="宋体"/>
                <w:kern w:val="0"/>
                <w:sz w:val="21"/>
                <w:szCs w:val="21"/>
                <w:highlight w:val="none"/>
                <w:lang w:val="en-US" w:eastAsia="zh-CN"/>
              </w:rPr>
              <w:t>2</w:t>
            </w:r>
            <w:r>
              <w:rPr>
                <w:rFonts w:hint="eastAsia" w:ascii="宋体" w:hAnsi="宋体" w:eastAsia="宋体" w:cs="宋体"/>
                <w:spacing w:val="-24"/>
                <w:kern w:val="0"/>
                <w:sz w:val="21"/>
                <w:szCs w:val="21"/>
                <w:highlight w:val="none"/>
              </w:rPr>
              <w:t xml:space="preserve"> 分；占 </w:t>
            </w:r>
            <w:r>
              <w:rPr>
                <w:rFonts w:hint="eastAsia" w:ascii="宋体" w:hAnsi="宋体" w:eastAsia="宋体" w:cs="宋体"/>
                <w:kern w:val="0"/>
                <w:sz w:val="21"/>
                <w:szCs w:val="21"/>
                <w:highlight w:val="none"/>
              </w:rPr>
              <w:t>10%~20%（</w:t>
            </w:r>
            <w:r>
              <w:rPr>
                <w:rFonts w:hint="eastAsia" w:ascii="宋体" w:hAnsi="宋体" w:eastAsia="宋体" w:cs="宋体"/>
                <w:spacing w:val="-30"/>
                <w:kern w:val="0"/>
                <w:sz w:val="21"/>
                <w:szCs w:val="21"/>
                <w:highlight w:val="none"/>
              </w:rPr>
              <w:t xml:space="preserve">含 </w:t>
            </w:r>
            <w:r>
              <w:rPr>
                <w:rFonts w:hint="eastAsia" w:ascii="宋体" w:hAnsi="宋体" w:eastAsia="宋体" w:cs="宋体"/>
                <w:kern w:val="0"/>
                <w:sz w:val="21"/>
                <w:szCs w:val="21"/>
                <w:highlight w:val="none"/>
              </w:rPr>
              <w:t>20%）</w:t>
            </w:r>
            <w:r>
              <w:rPr>
                <w:rFonts w:hint="eastAsia" w:ascii="宋体" w:hAnsi="宋体" w:eastAsia="宋体" w:cs="宋体"/>
                <w:spacing w:val="-15"/>
                <w:kern w:val="0"/>
                <w:sz w:val="21"/>
                <w:szCs w:val="21"/>
                <w:highlight w:val="none"/>
              </w:rPr>
              <w:t xml:space="preserve">的，扣 </w:t>
            </w:r>
            <w:r>
              <w:rPr>
                <w:rFonts w:hint="eastAsia" w:ascii="宋体" w:hAnsi="宋体" w:eastAsia="宋体" w:cs="宋体"/>
                <w:kern w:val="0"/>
                <w:sz w:val="21"/>
                <w:szCs w:val="21"/>
                <w:highlight w:val="none"/>
                <w:lang w:val="en-US" w:eastAsia="zh-CN"/>
              </w:rPr>
              <w:t>3</w:t>
            </w:r>
            <w:r>
              <w:rPr>
                <w:rFonts w:hint="eastAsia" w:ascii="宋体" w:hAnsi="宋体" w:eastAsia="宋体" w:cs="宋体"/>
                <w:spacing w:val="-20"/>
                <w:kern w:val="0"/>
                <w:sz w:val="21"/>
                <w:szCs w:val="21"/>
                <w:highlight w:val="none"/>
              </w:rPr>
              <w:t xml:space="preserve"> 分；超</w:t>
            </w:r>
            <w:r>
              <w:rPr>
                <w:rFonts w:hint="eastAsia" w:ascii="宋体" w:hAnsi="宋体" w:eastAsia="宋体" w:cs="宋体"/>
                <w:spacing w:val="-30"/>
                <w:kern w:val="0"/>
                <w:sz w:val="21"/>
                <w:szCs w:val="21"/>
                <w:highlight w:val="none"/>
              </w:rPr>
              <w:t xml:space="preserve">过 </w:t>
            </w:r>
            <w:r>
              <w:rPr>
                <w:rFonts w:hint="eastAsia" w:ascii="宋体" w:hAnsi="宋体" w:eastAsia="宋体" w:cs="宋体"/>
                <w:kern w:val="0"/>
                <w:sz w:val="21"/>
                <w:szCs w:val="21"/>
                <w:highlight w:val="none"/>
              </w:rPr>
              <w:t>30%（</w:t>
            </w:r>
            <w:r>
              <w:rPr>
                <w:rFonts w:hint="eastAsia" w:ascii="宋体" w:hAnsi="宋体" w:eastAsia="宋体" w:cs="宋体"/>
                <w:spacing w:val="-30"/>
                <w:kern w:val="0"/>
                <w:sz w:val="21"/>
                <w:szCs w:val="21"/>
                <w:highlight w:val="none"/>
              </w:rPr>
              <w:t xml:space="preserve">含 </w:t>
            </w:r>
            <w:r>
              <w:rPr>
                <w:rFonts w:hint="eastAsia" w:ascii="宋体" w:hAnsi="宋体" w:eastAsia="宋体" w:cs="宋体"/>
                <w:kern w:val="0"/>
                <w:sz w:val="21"/>
                <w:szCs w:val="21"/>
                <w:highlight w:val="none"/>
              </w:rPr>
              <w:t>30%）</w:t>
            </w:r>
            <w:r>
              <w:rPr>
                <w:rFonts w:hint="eastAsia" w:ascii="宋体" w:hAnsi="宋体" w:eastAsia="宋体" w:cs="宋体"/>
                <w:spacing w:val="-15"/>
                <w:kern w:val="0"/>
                <w:sz w:val="21"/>
                <w:szCs w:val="21"/>
                <w:highlight w:val="none"/>
              </w:rPr>
              <w:t xml:space="preserve">的，扣 </w:t>
            </w:r>
            <w:r>
              <w:rPr>
                <w:rFonts w:hint="eastAsia" w:ascii="宋体" w:hAnsi="宋体" w:eastAsia="宋体" w:cs="宋体"/>
                <w:kern w:val="0"/>
                <w:sz w:val="21"/>
                <w:szCs w:val="21"/>
                <w:highlight w:val="none"/>
              </w:rPr>
              <w:t>5</w:t>
            </w:r>
            <w:r>
              <w:rPr>
                <w:rFonts w:hint="eastAsia" w:ascii="宋体" w:hAnsi="宋体" w:eastAsia="宋体" w:cs="宋体"/>
                <w:spacing w:val="-12"/>
                <w:kern w:val="0"/>
                <w:sz w:val="21"/>
                <w:szCs w:val="21"/>
                <w:highlight w:val="none"/>
              </w:rPr>
              <w:t xml:space="preserve"> 分；本项指标累计每月最高扣分 </w:t>
            </w:r>
            <w:r>
              <w:rPr>
                <w:rFonts w:hint="eastAsia" w:ascii="宋体" w:hAnsi="宋体" w:eastAsia="宋体" w:cs="宋体"/>
                <w:kern w:val="0"/>
                <w:sz w:val="21"/>
                <w:szCs w:val="21"/>
                <w:highlight w:val="none"/>
              </w:rPr>
              <w:t>10分。</w:t>
            </w:r>
          </w:p>
        </w:tc>
        <w:tc>
          <w:tcPr>
            <w:tcW w:w="234" w:type="pct"/>
            <w:shd w:val="clear" w:color="auto" w:fill="FFFFFF" w:themeFill="background1"/>
            <w:vAlign w:val="center"/>
          </w:tcPr>
          <w:p w14:paraId="1E0AE6F4">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3DADF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restart"/>
            <w:shd w:val="clear" w:color="auto" w:fill="FFFFFF" w:themeFill="background1"/>
            <w:vAlign w:val="center"/>
          </w:tcPr>
          <w:p w14:paraId="5CAFEBD0">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流程管理</w:t>
            </w:r>
          </w:p>
        </w:tc>
        <w:tc>
          <w:tcPr>
            <w:tcW w:w="284" w:type="pct"/>
            <w:vMerge w:val="restart"/>
            <w:shd w:val="clear" w:color="auto" w:fill="FFFFFF" w:themeFill="background1"/>
            <w:vAlign w:val="center"/>
          </w:tcPr>
          <w:p w14:paraId="5076EC85">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35分</w:t>
            </w:r>
          </w:p>
        </w:tc>
        <w:tc>
          <w:tcPr>
            <w:tcW w:w="399" w:type="pct"/>
            <w:shd w:val="clear" w:color="auto" w:fill="FFFFFF" w:themeFill="background1"/>
            <w:vAlign w:val="center"/>
          </w:tcPr>
          <w:p w14:paraId="4435A4CF">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配送及时性评价指标</w:t>
            </w:r>
          </w:p>
        </w:tc>
        <w:tc>
          <w:tcPr>
            <w:tcW w:w="343" w:type="pct"/>
            <w:shd w:val="clear" w:color="auto" w:fill="FFFFFF" w:themeFill="background1"/>
            <w:vAlign w:val="center"/>
          </w:tcPr>
          <w:p w14:paraId="1C860D9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10 分</w:t>
            </w:r>
          </w:p>
        </w:tc>
        <w:tc>
          <w:tcPr>
            <w:tcW w:w="869" w:type="pct"/>
            <w:shd w:val="clear" w:color="auto" w:fill="FFFFFF" w:themeFill="background1"/>
            <w:vAlign w:val="center"/>
          </w:tcPr>
          <w:p w14:paraId="64C254E7">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考核供应商能否准时送</w:t>
            </w:r>
          </w:p>
          <w:p w14:paraId="473BFE5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货。</w:t>
            </w:r>
          </w:p>
        </w:tc>
        <w:tc>
          <w:tcPr>
            <w:tcW w:w="2529" w:type="pct"/>
            <w:shd w:val="clear" w:color="auto" w:fill="FFFFFF" w:themeFill="background1"/>
            <w:vAlign w:val="center"/>
          </w:tcPr>
          <w:p w14:paraId="2B560CA0">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spacing w:val="-1"/>
                <w:kern w:val="0"/>
                <w:sz w:val="21"/>
                <w:szCs w:val="21"/>
                <w:highlight w:val="none"/>
              </w:rPr>
              <w:t>供应商每日按学校要求时间</w:t>
            </w:r>
            <w:r>
              <w:rPr>
                <w:rFonts w:hint="eastAsia" w:ascii="宋体" w:hAnsi="宋体" w:eastAsia="宋体" w:cs="宋体"/>
                <w:kern w:val="0"/>
                <w:sz w:val="21"/>
                <w:szCs w:val="21"/>
                <w:highlight w:val="none"/>
              </w:rPr>
              <w:t>准时送达食材</w:t>
            </w:r>
            <w:r>
              <w:rPr>
                <w:rFonts w:hint="eastAsia" w:ascii="宋体" w:hAnsi="宋体" w:eastAsia="宋体" w:cs="宋体"/>
                <w:spacing w:val="-8"/>
                <w:kern w:val="0"/>
                <w:sz w:val="21"/>
                <w:szCs w:val="21"/>
                <w:highlight w:val="none"/>
              </w:rPr>
              <w:t>的</w:t>
            </w:r>
            <w:r>
              <w:rPr>
                <w:rFonts w:hint="eastAsia" w:ascii="宋体" w:hAnsi="宋体" w:eastAsia="宋体" w:cs="宋体"/>
                <w:kern w:val="0"/>
                <w:sz w:val="21"/>
                <w:szCs w:val="21"/>
                <w:highlight w:val="none"/>
              </w:rPr>
              <w:t>（因不可抗力造成的延迟或配送失败除外</w:t>
            </w:r>
            <w:r>
              <w:rPr>
                <w:rFonts w:hint="eastAsia" w:ascii="宋体" w:hAnsi="宋体" w:eastAsia="宋体" w:cs="宋体"/>
                <w:spacing w:val="-9"/>
                <w:kern w:val="0"/>
                <w:sz w:val="21"/>
                <w:szCs w:val="21"/>
                <w:highlight w:val="none"/>
              </w:rPr>
              <w:t>）</w:t>
            </w:r>
            <w:r>
              <w:rPr>
                <w:rFonts w:hint="eastAsia" w:ascii="宋体" w:hAnsi="宋体" w:eastAsia="宋体" w:cs="宋体"/>
                <w:spacing w:val="-24"/>
                <w:kern w:val="0"/>
                <w:sz w:val="21"/>
                <w:szCs w:val="21"/>
                <w:highlight w:val="none"/>
              </w:rPr>
              <w:t xml:space="preserve">，得 </w:t>
            </w:r>
            <w:r>
              <w:rPr>
                <w:rFonts w:hint="eastAsia" w:ascii="宋体" w:hAnsi="宋体" w:eastAsia="宋体" w:cs="宋体"/>
                <w:kern w:val="0"/>
                <w:sz w:val="21"/>
                <w:szCs w:val="21"/>
                <w:highlight w:val="none"/>
              </w:rPr>
              <w:t>10</w:t>
            </w:r>
            <w:r>
              <w:rPr>
                <w:rFonts w:hint="eastAsia" w:ascii="宋体" w:hAnsi="宋体" w:eastAsia="宋体" w:cs="宋体"/>
                <w:spacing w:val="-15"/>
                <w:kern w:val="0"/>
                <w:sz w:val="21"/>
                <w:szCs w:val="21"/>
                <w:highlight w:val="none"/>
              </w:rPr>
              <w:t xml:space="preserve"> 分；迟于</w:t>
            </w:r>
            <w:r>
              <w:rPr>
                <w:rFonts w:hint="eastAsia" w:ascii="宋体" w:hAnsi="宋体" w:eastAsia="宋体" w:cs="宋体"/>
                <w:spacing w:val="-1"/>
                <w:kern w:val="0"/>
                <w:sz w:val="21"/>
                <w:szCs w:val="21"/>
                <w:highlight w:val="none"/>
              </w:rPr>
              <w:t>学校要求时间</w:t>
            </w:r>
            <w:r>
              <w:rPr>
                <w:rFonts w:hint="eastAsia" w:ascii="宋体" w:hAnsi="宋体" w:eastAsia="宋体" w:cs="宋体"/>
                <w:spacing w:val="-12"/>
                <w:kern w:val="0"/>
                <w:sz w:val="21"/>
                <w:szCs w:val="21"/>
                <w:highlight w:val="none"/>
              </w:rPr>
              <w:t xml:space="preserve">配送的，每迟到 </w:t>
            </w:r>
            <w:r>
              <w:rPr>
                <w:rFonts w:hint="eastAsia" w:ascii="宋体" w:hAnsi="宋体" w:eastAsia="宋体" w:cs="宋体"/>
                <w:kern w:val="0"/>
                <w:sz w:val="21"/>
                <w:szCs w:val="21"/>
                <w:highlight w:val="none"/>
              </w:rPr>
              <w:t>10</w:t>
            </w:r>
            <w:r>
              <w:rPr>
                <w:rFonts w:hint="eastAsia" w:ascii="宋体" w:hAnsi="宋体" w:eastAsia="宋体" w:cs="宋体"/>
                <w:spacing w:val="-25"/>
                <w:kern w:val="0"/>
                <w:sz w:val="21"/>
                <w:szCs w:val="21"/>
                <w:highlight w:val="none"/>
              </w:rPr>
              <w:t xml:space="preserve"> 分钟扣 </w:t>
            </w:r>
            <w:r>
              <w:rPr>
                <w:rFonts w:hint="eastAsia" w:ascii="宋体" w:hAnsi="宋体" w:eastAsia="宋体" w:cs="宋体"/>
                <w:kern w:val="0"/>
                <w:sz w:val="21"/>
                <w:szCs w:val="21"/>
                <w:highlight w:val="none"/>
              </w:rPr>
              <w:t>2分；本项指标累计每月最高扣分 10 分。</w:t>
            </w:r>
          </w:p>
        </w:tc>
        <w:tc>
          <w:tcPr>
            <w:tcW w:w="234" w:type="pct"/>
            <w:shd w:val="clear" w:color="auto" w:fill="FFFFFF" w:themeFill="background1"/>
            <w:vAlign w:val="center"/>
          </w:tcPr>
          <w:p w14:paraId="3C99063A">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2488A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633F3727">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667E26EA">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75F4CBE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应急响应能力评价指标</w:t>
            </w:r>
          </w:p>
        </w:tc>
        <w:tc>
          <w:tcPr>
            <w:tcW w:w="343" w:type="pct"/>
            <w:shd w:val="clear" w:color="auto" w:fill="FFFFFF" w:themeFill="background1"/>
            <w:vAlign w:val="center"/>
          </w:tcPr>
          <w:p w14:paraId="4BF2F05B">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10 分</w:t>
            </w:r>
          </w:p>
        </w:tc>
        <w:tc>
          <w:tcPr>
            <w:tcW w:w="869" w:type="pct"/>
            <w:shd w:val="clear" w:color="auto" w:fill="FFFFFF" w:themeFill="background1"/>
            <w:vAlign w:val="center"/>
          </w:tcPr>
          <w:p w14:paraId="76421ED5">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考核供应商是否按照校</w:t>
            </w:r>
          </w:p>
          <w:p w14:paraId="200967D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（园）</w:t>
            </w:r>
            <w:r>
              <w:rPr>
                <w:rFonts w:hint="eastAsia" w:ascii="宋体" w:hAnsi="宋体" w:eastAsia="宋体" w:cs="宋体"/>
                <w:spacing w:val="-3"/>
                <w:kern w:val="0"/>
                <w:sz w:val="21"/>
                <w:szCs w:val="21"/>
                <w:highlight w:val="none"/>
              </w:rPr>
              <w:t>方的要求，以最</w:t>
            </w:r>
            <w:r>
              <w:rPr>
                <w:rFonts w:hint="eastAsia" w:ascii="宋体" w:hAnsi="宋体" w:eastAsia="宋体" w:cs="宋体"/>
                <w:spacing w:val="-2"/>
                <w:kern w:val="0"/>
                <w:sz w:val="21"/>
                <w:szCs w:val="21"/>
                <w:highlight w:val="none"/>
              </w:rPr>
              <w:t>快的速度，按照招标时的承诺进行应急处理。</w:t>
            </w:r>
          </w:p>
        </w:tc>
        <w:tc>
          <w:tcPr>
            <w:tcW w:w="2529" w:type="pct"/>
            <w:shd w:val="clear" w:color="auto" w:fill="FFFFFF" w:themeFill="background1"/>
            <w:vAlign w:val="center"/>
          </w:tcPr>
          <w:p w14:paraId="0C94943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eastAsia" w:ascii="宋体" w:hAnsi="宋体" w:eastAsia="宋体" w:cs="宋体"/>
                <w:color w:val="auto"/>
                <w:spacing w:val="-1"/>
                <w:kern w:val="0"/>
                <w:sz w:val="21"/>
                <w:szCs w:val="21"/>
                <w:highlight w:val="none"/>
              </w:rPr>
            </w:pPr>
            <w:r>
              <w:rPr>
                <w:rFonts w:hint="eastAsia" w:ascii="宋体" w:hAnsi="宋体" w:eastAsia="宋体" w:cs="宋体"/>
                <w:kern w:val="0"/>
                <w:sz w:val="21"/>
                <w:szCs w:val="21"/>
                <w:highlight w:val="none"/>
              </w:rPr>
              <w:t>供应商每次都能够按照合同签订时约定的应急方案，及时响应</w:t>
            </w:r>
            <w:r>
              <w:rPr>
                <w:rFonts w:hint="eastAsia" w:ascii="宋体" w:hAnsi="宋体" w:eastAsia="宋体" w:cs="宋体"/>
                <w:spacing w:val="-8"/>
                <w:kern w:val="0"/>
                <w:sz w:val="21"/>
                <w:szCs w:val="21"/>
                <w:highlight w:val="none"/>
              </w:rPr>
              <w:t>校</w:t>
            </w:r>
            <w:r>
              <w:rPr>
                <w:rFonts w:hint="eastAsia" w:ascii="宋体" w:hAnsi="宋体" w:eastAsia="宋体" w:cs="宋体"/>
                <w:kern w:val="0"/>
                <w:sz w:val="21"/>
                <w:szCs w:val="21"/>
                <w:highlight w:val="none"/>
              </w:rPr>
              <w:t>（园</w:t>
            </w:r>
            <w:r>
              <w:rPr>
                <w:rFonts w:hint="eastAsia" w:ascii="宋体" w:hAnsi="宋体" w:eastAsia="宋体" w:cs="宋体"/>
                <w:spacing w:val="-10"/>
                <w:kern w:val="0"/>
                <w:sz w:val="21"/>
                <w:szCs w:val="21"/>
                <w:highlight w:val="none"/>
              </w:rPr>
              <w:t>）</w:t>
            </w:r>
            <w:r>
              <w:rPr>
                <w:rFonts w:hint="eastAsia" w:ascii="宋体" w:hAnsi="宋体" w:eastAsia="宋体" w:cs="宋体"/>
                <w:spacing w:val="-11"/>
                <w:kern w:val="0"/>
                <w:sz w:val="21"/>
                <w:szCs w:val="21"/>
                <w:highlight w:val="none"/>
              </w:rPr>
              <w:t xml:space="preserve">方的要求，得 </w:t>
            </w:r>
            <w:r>
              <w:rPr>
                <w:rFonts w:hint="eastAsia" w:ascii="宋体" w:hAnsi="宋体" w:eastAsia="宋体" w:cs="宋体"/>
                <w:kern w:val="0"/>
                <w:sz w:val="21"/>
                <w:szCs w:val="21"/>
                <w:highlight w:val="none"/>
              </w:rPr>
              <w:t>10</w:t>
            </w:r>
            <w:r>
              <w:rPr>
                <w:rFonts w:hint="eastAsia" w:ascii="宋体" w:hAnsi="宋体" w:eastAsia="宋体" w:cs="宋体"/>
                <w:spacing w:val="-10"/>
                <w:kern w:val="0"/>
                <w:sz w:val="21"/>
                <w:szCs w:val="21"/>
                <w:highlight w:val="none"/>
              </w:rPr>
              <w:t xml:space="preserve"> 分；供应商不能按照</w:t>
            </w:r>
            <w:r>
              <w:rPr>
                <w:rFonts w:hint="eastAsia" w:ascii="宋体" w:hAnsi="宋体" w:eastAsia="宋体" w:cs="宋体"/>
                <w:kern w:val="0"/>
                <w:sz w:val="21"/>
                <w:szCs w:val="21"/>
                <w:highlight w:val="none"/>
              </w:rPr>
              <w:t>合同签订时约定的应急方案，存在延迟响应校（园）方要求且延迟时间不超过半小时（含半小时）</w:t>
            </w:r>
            <w:r>
              <w:rPr>
                <w:rFonts w:hint="eastAsia" w:ascii="宋体" w:hAnsi="宋体" w:eastAsia="宋体" w:cs="宋体"/>
                <w:spacing w:val="-7"/>
                <w:kern w:val="0"/>
                <w:sz w:val="21"/>
                <w:szCs w:val="21"/>
                <w:highlight w:val="none"/>
              </w:rPr>
              <w:t xml:space="preserve">的，每延迟一次扣 </w:t>
            </w:r>
            <w:r>
              <w:rPr>
                <w:rFonts w:hint="eastAsia" w:ascii="宋体" w:hAnsi="宋体" w:eastAsia="宋体" w:cs="宋体"/>
                <w:kern w:val="0"/>
                <w:sz w:val="21"/>
                <w:szCs w:val="21"/>
                <w:highlight w:val="none"/>
              </w:rPr>
              <w:t>2</w:t>
            </w:r>
            <w:r>
              <w:rPr>
                <w:rFonts w:hint="eastAsia" w:ascii="宋体" w:hAnsi="宋体" w:eastAsia="宋体" w:cs="宋体"/>
                <w:spacing w:val="-8"/>
                <w:kern w:val="0"/>
                <w:sz w:val="21"/>
                <w:szCs w:val="21"/>
                <w:highlight w:val="none"/>
              </w:rPr>
              <w:t xml:space="preserve"> 分；供应商延迟响应校（园）方要求超过半个小时的，或者供应商未响应校（园） </w:t>
            </w:r>
            <w:r>
              <w:rPr>
                <w:rFonts w:hint="eastAsia" w:ascii="宋体" w:hAnsi="宋体" w:eastAsia="宋体" w:cs="宋体"/>
                <w:spacing w:val="-13"/>
                <w:kern w:val="0"/>
                <w:sz w:val="21"/>
                <w:szCs w:val="21"/>
                <w:highlight w:val="none"/>
              </w:rPr>
              <w:t xml:space="preserve">方要求的，每发生一次扣 </w:t>
            </w:r>
            <w:r>
              <w:rPr>
                <w:rFonts w:hint="eastAsia" w:ascii="宋体" w:hAnsi="宋体" w:eastAsia="宋体" w:cs="宋体"/>
                <w:kern w:val="0"/>
                <w:sz w:val="21"/>
                <w:szCs w:val="21"/>
                <w:highlight w:val="none"/>
              </w:rPr>
              <w:t>5</w:t>
            </w:r>
            <w:r>
              <w:rPr>
                <w:rFonts w:hint="eastAsia" w:ascii="宋体" w:hAnsi="宋体" w:eastAsia="宋体" w:cs="宋体"/>
                <w:spacing w:val="-12"/>
                <w:kern w:val="0"/>
                <w:sz w:val="21"/>
                <w:szCs w:val="21"/>
                <w:highlight w:val="none"/>
              </w:rPr>
              <w:t xml:space="preserve"> 分。本项指标累计每月最高扣分 </w:t>
            </w:r>
            <w:r>
              <w:rPr>
                <w:rFonts w:hint="eastAsia" w:ascii="宋体" w:hAnsi="宋体" w:eastAsia="宋体" w:cs="宋体"/>
                <w:kern w:val="0"/>
                <w:sz w:val="21"/>
                <w:szCs w:val="21"/>
                <w:highlight w:val="none"/>
              </w:rPr>
              <w:t>10分。</w:t>
            </w:r>
          </w:p>
        </w:tc>
        <w:tc>
          <w:tcPr>
            <w:tcW w:w="234" w:type="pct"/>
            <w:shd w:val="clear" w:color="auto" w:fill="FFFFFF" w:themeFill="background1"/>
            <w:vAlign w:val="center"/>
          </w:tcPr>
          <w:p w14:paraId="4E470C39">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450C9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0CE8E6AD">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70AD5037">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2960760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索证制度评价指标</w:t>
            </w:r>
          </w:p>
        </w:tc>
        <w:tc>
          <w:tcPr>
            <w:tcW w:w="343" w:type="pct"/>
            <w:shd w:val="clear" w:color="auto" w:fill="FFFFFF" w:themeFill="background1"/>
            <w:vAlign w:val="center"/>
          </w:tcPr>
          <w:p w14:paraId="2A853119">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18121763">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考核供应商的食材追踪体系建立情况</w:t>
            </w:r>
          </w:p>
        </w:tc>
        <w:tc>
          <w:tcPr>
            <w:tcW w:w="2529" w:type="pct"/>
            <w:shd w:val="clear" w:color="auto" w:fill="FFFFFF" w:themeFill="background1"/>
            <w:vAlign w:val="center"/>
          </w:tcPr>
          <w:p w14:paraId="2A92D9C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left"/>
              <w:textAlignment w:val="auto"/>
              <w:rPr>
                <w:rFonts w:hint="eastAsia" w:ascii="宋体" w:hAnsi="宋体" w:eastAsia="宋体" w:cs="宋体"/>
                <w:color w:val="auto"/>
                <w:spacing w:val="-1"/>
                <w:kern w:val="0"/>
                <w:sz w:val="21"/>
                <w:szCs w:val="21"/>
                <w:highlight w:val="none"/>
              </w:rPr>
            </w:pPr>
            <w:r>
              <w:rPr>
                <w:rFonts w:hint="eastAsia" w:ascii="宋体" w:hAnsi="宋体" w:eastAsia="宋体" w:cs="宋体"/>
                <w:kern w:val="0"/>
                <w:sz w:val="21"/>
                <w:szCs w:val="21"/>
                <w:highlight w:val="none"/>
              </w:rPr>
              <w:t>供应商按照《餐饮业食品索证管理规定》，建立了食材追踪体系，并有专门的台账档案，能随时查明货物来源或产地，能及</w:t>
            </w:r>
            <w:r>
              <w:rPr>
                <w:rFonts w:hint="eastAsia" w:ascii="宋体" w:hAnsi="宋体" w:eastAsia="宋体" w:cs="宋体"/>
                <w:spacing w:val="-4"/>
                <w:kern w:val="0"/>
                <w:sz w:val="21"/>
                <w:szCs w:val="21"/>
                <w:highlight w:val="none"/>
              </w:rPr>
              <w:t xml:space="preserve">时提供相关的票、据、证等材料的，得 </w:t>
            </w:r>
            <w:r>
              <w:rPr>
                <w:rFonts w:hint="eastAsia" w:ascii="宋体" w:hAnsi="宋体" w:eastAsia="宋体" w:cs="宋体"/>
                <w:kern w:val="0"/>
                <w:sz w:val="21"/>
                <w:szCs w:val="21"/>
                <w:highlight w:val="none"/>
              </w:rPr>
              <w:t>5</w:t>
            </w:r>
            <w:r>
              <w:rPr>
                <w:rFonts w:hint="eastAsia" w:ascii="宋体" w:hAnsi="宋体" w:eastAsia="宋体" w:cs="宋体"/>
                <w:spacing w:val="-15"/>
                <w:kern w:val="0"/>
                <w:sz w:val="21"/>
                <w:szCs w:val="21"/>
                <w:highlight w:val="none"/>
              </w:rPr>
              <w:t xml:space="preserve"> 分；校</w:t>
            </w:r>
            <w:r>
              <w:rPr>
                <w:rFonts w:hint="eastAsia" w:ascii="宋体" w:hAnsi="宋体" w:eastAsia="宋体" w:cs="宋体"/>
                <w:kern w:val="0"/>
                <w:sz w:val="21"/>
                <w:szCs w:val="21"/>
                <w:highlight w:val="none"/>
              </w:rPr>
              <w:t>（园）方对食材进行抽检，每发现一次相关的票、据、证等材料不齐全的或</w:t>
            </w:r>
            <w:r>
              <w:rPr>
                <w:rFonts w:hint="eastAsia" w:ascii="宋体" w:hAnsi="宋体" w:eastAsia="宋体" w:cs="宋体"/>
                <w:spacing w:val="-6"/>
                <w:kern w:val="0"/>
                <w:sz w:val="21"/>
                <w:szCs w:val="21"/>
                <w:highlight w:val="none"/>
              </w:rPr>
              <w:t xml:space="preserve">者无法查明货物来源或产地的，扣 </w:t>
            </w:r>
            <w:r>
              <w:rPr>
                <w:rFonts w:hint="eastAsia" w:ascii="宋体" w:hAnsi="宋体" w:eastAsia="宋体" w:cs="宋体"/>
                <w:kern w:val="0"/>
                <w:sz w:val="21"/>
                <w:szCs w:val="21"/>
                <w:highlight w:val="none"/>
              </w:rPr>
              <w:t>1</w:t>
            </w:r>
            <w:r>
              <w:rPr>
                <w:rFonts w:hint="eastAsia" w:ascii="宋体" w:hAnsi="宋体" w:eastAsia="宋体" w:cs="宋体"/>
                <w:spacing w:val="-30"/>
                <w:kern w:val="0"/>
                <w:sz w:val="21"/>
                <w:szCs w:val="21"/>
                <w:highlight w:val="none"/>
              </w:rPr>
              <w:t xml:space="preserve"> 分</w:t>
            </w:r>
            <w:r>
              <w:rPr>
                <w:rFonts w:hint="eastAsia" w:ascii="宋体" w:hAnsi="宋体" w:eastAsia="宋体" w:cs="宋体"/>
                <w:kern w:val="0"/>
                <w:sz w:val="21"/>
                <w:szCs w:val="21"/>
                <w:highlight w:val="none"/>
              </w:rPr>
              <w:t>/</w:t>
            </w:r>
            <w:r>
              <w:rPr>
                <w:rFonts w:hint="eastAsia" w:ascii="宋体" w:hAnsi="宋体" w:eastAsia="宋体" w:cs="宋体"/>
                <w:spacing w:val="-6"/>
                <w:kern w:val="0"/>
                <w:sz w:val="21"/>
                <w:szCs w:val="21"/>
                <w:highlight w:val="none"/>
              </w:rPr>
              <w:t>品种；本项目指标累计</w:t>
            </w:r>
            <w:r>
              <w:rPr>
                <w:rFonts w:hint="eastAsia" w:ascii="宋体" w:hAnsi="宋体" w:eastAsia="宋体" w:cs="宋体"/>
                <w:kern w:val="0"/>
                <w:sz w:val="21"/>
                <w:szCs w:val="21"/>
                <w:highlight w:val="none"/>
              </w:rPr>
              <w:t>每月最高扣分 5 分。</w:t>
            </w:r>
          </w:p>
        </w:tc>
        <w:tc>
          <w:tcPr>
            <w:tcW w:w="234" w:type="pct"/>
            <w:shd w:val="clear" w:color="auto" w:fill="FFFFFF" w:themeFill="background1"/>
            <w:vAlign w:val="center"/>
          </w:tcPr>
          <w:p w14:paraId="5ED8F723">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45B21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3AD57997">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7F165F1E">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7AC79656">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信息化评价指标</w:t>
            </w:r>
          </w:p>
        </w:tc>
        <w:tc>
          <w:tcPr>
            <w:tcW w:w="343" w:type="pct"/>
            <w:shd w:val="clear" w:color="auto" w:fill="FFFFFF" w:themeFill="background1"/>
            <w:vAlign w:val="center"/>
          </w:tcPr>
          <w:p w14:paraId="652E3734">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kern w:val="0"/>
                <w:sz w:val="21"/>
                <w:szCs w:val="21"/>
                <w:highlight w:val="none"/>
              </w:rPr>
            </w:pPr>
          </w:p>
          <w:p w14:paraId="23694232">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7DB99264">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考核供应商是否按要求运用信息化平台。</w:t>
            </w:r>
          </w:p>
        </w:tc>
        <w:tc>
          <w:tcPr>
            <w:tcW w:w="2529" w:type="pct"/>
            <w:shd w:val="clear" w:color="auto" w:fill="FFFFFF" w:themeFill="background1"/>
            <w:vAlign w:val="center"/>
          </w:tcPr>
          <w:p w14:paraId="20D0EFEA">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jc w:val="left"/>
              <w:textAlignment w:val="auto"/>
              <w:rPr>
                <w:rFonts w:hint="eastAsia" w:ascii="宋体" w:hAnsi="宋体" w:eastAsia="宋体" w:cs="宋体"/>
                <w:color w:val="auto"/>
                <w:spacing w:val="-1"/>
                <w:kern w:val="0"/>
                <w:sz w:val="21"/>
                <w:szCs w:val="21"/>
                <w:highlight w:val="none"/>
              </w:rPr>
            </w:pPr>
            <w:r>
              <w:rPr>
                <w:rFonts w:hint="eastAsia" w:ascii="宋体" w:hAnsi="宋体" w:eastAsia="宋体" w:cs="宋体"/>
                <w:kern w:val="0"/>
                <w:sz w:val="21"/>
                <w:szCs w:val="21"/>
                <w:highlight w:val="none"/>
              </w:rPr>
              <w:t>供应商每次全面、及时、准确上传追溯信息，相关品名、规格、批次等数据真实完整</w:t>
            </w:r>
            <w:r>
              <w:rPr>
                <w:rFonts w:hint="eastAsia" w:ascii="宋体" w:hAnsi="宋体" w:eastAsia="宋体" w:cs="宋体"/>
                <w:spacing w:val="-12"/>
                <w:kern w:val="0"/>
                <w:sz w:val="21"/>
                <w:szCs w:val="21"/>
                <w:highlight w:val="none"/>
              </w:rPr>
              <w:t xml:space="preserve">，得 </w:t>
            </w:r>
            <w:r>
              <w:rPr>
                <w:rFonts w:hint="eastAsia" w:ascii="宋体" w:hAnsi="宋体" w:eastAsia="宋体" w:cs="宋体"/>
                <w:kern w:val="0"/>
                <w:sz w:val="21"/>
                <w:szCs w:val="21"/>
                <w:highlight w:val="none"/>
              </w:rPr>
              <w:t>5</w:t>
            </w:r>
            <w:r>
              <w:rPr>
                <w:rFonts w:hint="eastAsia" w:ascii="宋体" w:hAnsi="宋体" w:eastAsia="宋体" w:cs="宋体"/>
                <w:spacing w:val="-8"/>
                <w:kern w:val="0"/>
                <w:sz w:val="21"/>
                <w:szCs w:val="21"/>
                <w:highlight w:val="none"/>
              </w:rPr>
              <w:t xml:space="preserve"> 分；每发现一次上传信息不完整、不真实</w:t>
            </w:r>
            <w:r>
              <w:rPr>
                <w:rFonts w:hint="eastAsia" w:ascii="宋体" w:hAnsi="宋体" w:eastAsia="宋体" w:cs="宋体"/>
                <w:spacing w:val="-7"/>
                <w:kern w:val="0"/>
                <w:sz w:val="21"/>
                <w:szCs w:val="21"/>
                <w:highlight w:val="none"/>
              </w:rPr>
              <w:t xml:space="preserve">，扣 </w:t>
            </w:r>
            <w:r>
              <w:rPr>
                <w:rFonts w:hint="eastAsia" w:ascii="宋体" w:hAnsi="宋体" w:eastAsia="宋体" w:cs="宋体"/>
                <w:kern w:val="0"/>
                <w:sz w:val="21"/>
                <w:szCs w:val="21"/>
                <w:highlight w:val="none"/>
              </w:rPr>
              <w:t>1</w:t>
            </w:r>
            <w:r>
              <w:rPr>
                <w:rFonts w:hint="eastAsia" w:ascii="宋体" w:hAnsi="宋体" w:eastAsia="宋体" w:cs="宋体"/>
                <w:spacing w:val="-12"/>
                <w:kern w:val="0"/>
                <w:sz w:val="21"/>
                <w:szCs w:val="21"/>
                <w:highlight w:val="none"/>
              </w:rPr>
              <w:t xml:space="preserve"> 分；本项目指标累计每月最高扣分 </w:t>
            </w:r>
            <w:r>
              <w:rPr>
                <w:rFonts w:hint="eastAsia" w:ascii="宋体" w:hAnsi="宋体" w:eastAsia="宋体" w:cs="宋体"/>
                <w:kern w:val="0"/>
                <w:sz w:val="21"/>
                <w:szCs w:val="21"/>
                <w:highlight w:val="none"/>
              </w:rPr>
              <w:t>5</w:t>
            </w:r>
            <w:r>
              <w:rPr>
                <w:rFonts w:hint="eastAsia" w:ascii="宋体" w:hAnsi="宋体" w:eastAsia="宋体" w:cs="宋体"/>
                <w:spacing w:val="-20"/>
                <w:kern w:val="0"/>
                <w:sz w:val="21"/>
                <w:szCs w:val="21"/>
                <w:highlight w:val="none"/>
              </w:rPr>
              <w:t xml:space="preserve"> 分。</w:t>
            </w:r>
          </w:p>
        </w:tc>
        <w:tc>
          <w:tcPr>
            <w:tcW w:w="234" w:type="pct"/>
            <w:shd w:val="clear" w:color="auto" w:fill="FFFFFF" w:themeFill="background1"/>
            <w:vAlign w:val="center"/>
          </w:tcPr>
          <w:p w14:paraId="418FC963">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5DDB9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0B011C56">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2513D395">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5FE93939">
            <w:pPr>
              <w:keepNext w:val="0"/>
              <w:keepLines w:val="0"/>
              <w:pageBreakBefore w:val="0"/>
              <w:widowControl w:val="0"/>
              <w:kinsoku/>
              <w:wordWrap/>
              <w:overflowPunct/>
              <w:topLinePunct w:val="0"/>
              <w:autoSpaceDE w:val="0"/>
              <w:autoSpaceDN w:val="0"/>
              <w:bidi w:val="0"/>
              <w:adjustRightInd w:val="0"/>
              <w:snapToGrid/>
              <w:spacing w:line="240" w:lineRule="auto"/>
              <w:ind w:left="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单据管理评价指标</w:t>
            </w:r>
          </w:p>
        </w:tc>
        <w:tc>
          <w:tcPr>
            <w:tcW w:w="343" w:type="pct"/>
            <w:shd w:val="clear" w:color="auto" w:fill="FFFFFF" w:themeFill="background1"/>
            <w:vAlign w:val="center"/>
          </w:tcPr>
          <w:p w14:paraId="2F5F897C">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058FBF6B">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考核供应商送货单据是否齐全、清晰。</w:t>
            </w:r>
          </w:p>
        </w:tc>
        <w:tc>
          <w:tcPr>
            <w:tcW w:w="2529" w:type="pct"/>
            <w:shd w:val="clear" w:color="auto" w:fill="FFFFFF" w:themeFill="background1"/>
            <w:vAlign w:val="center"/>
          </w:tcPr>
          <w:p w14:paraId="66DBFBA9">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left"/>
              <w:textAlignment w:val="auto"/>
              <w:rPr>
                <w:rFonts w:hint="eastAsia" w:ascii="宋体" w:hAnsi="宋体" w:eastAsia="宋体" w:cs="宋体"/>
                <w:color w:val="auto"/>
                <w:spacing w:val="-1"/>
                <w:kern w:val="0"/>
                <w:sz w:val="21"/>
                <w:szCs w:val="21"/>
                <w:highlight w:val="none"/>
              </w:rPr>
            </w:pPr>
            <w:r>
              <w:rPr>
                <w:rFonts w:hint="eastAsia" w:ascii="宋体" w:hAnsi="宋体" w:eastAsia="宋体" w:cs="宋体"/>
                <w:kern w:val="0"/>
                <w:sz w:val="21"/>
                <w:szCs w:val="21"/>
                <w:highlight w:val="none"/>
              </w:rPr>
              <w:t>供应商每次提供的送货单（结算凭证）</w:t>
            </w:r>
            <w:r>
              <w:rPr>
                <w:rFonts w:hint="eastAsia" w:ascii="宋体" w:hAnsi="宋体" w:eastAsia="宋体" w:cs="宋体"/>
                <w:spacing w:val="-2"/>
                <w:kern w:val="0"/>
                <w:sz w:val="21"/>
                <w:szCs w:val="21"/>
                <w:highlight w:val="none"/>
              </w:rPr>
              <w:t>项目齐全，及其打印清</w:t>
            </w:r>
            <w:r>
              <w:rPr>
                <w:rFonts w:hint="eastAsia" w:ascii="宋体" w:hAnsi="宋体" w:eastAsia="宋体" w:cs="宋体"/>
                <w:spacing w:val="-12"/>
                <w:kern w:val="0"/>
                <w:sz w:val="21"/>
                <w:szCs w:val="21"/>
                <w:highlight w:val="none"/>
              </w:rPr>
              <w:t xml:space="preserve">晰的，得 </w:t>
            </w:r>
            <w:r>
              <w:rPr>
                <w:rFonts w:hint="eastAsia" w:ascii="宋体" w:hAnsi="宋体" w:eastAsia="宋体" w:cs="宋体"/>
                <w:kern w:val="0"/>
                <w:sz w:val="21"/>
                <w:szCs w:val="21"/>
                <w:highlight w:val="none"/>
              </w:rPr>
              <w:t>5</w:t>
            </w:r>
            <w:r>
              <w:rPr>
                <w:rFonts w:hint="eastAsia" w:ascii="宋体" w:hAnsi="宋体" w:eastAsia="宋体" w:cs="宋体"/>
                <w:spacing w:val="-8"/>
                <w:kern w:val="0"/>
                <w:sz w:val="21"/>
                <w:szCs w:val="21"/>
                <w:highlight w:val="none"/>
              </w:rPr>
              <w:t xml:space="preserve"> 分；每发现一次送货单</w:t>
            </w:r>
            <w:r>
              <w:rPr>
                <w:rFonts w:hint="eastAsia" w:ascii="宋体" w:hAnsi="宋体" w:eastAsia="宋体" w:cs="宋体"/>
                <w:kern w:val="0"/>
                <w:sz w:val="21"/>
                <w:szCs w:val="21"/>
                <w:highlight w:val="none"/>
              </w:rPr>
              <w:t>（结算凭证）</w:t>
            </w:r>
            <w:r>
              <w:rPr>
                <w:rFonts w:hint="eastAsia" w:ascii="宋体" w:hAnsi="宋体" w:eastAsia="宋体" w:cs="宋体"/>
                <w:spacing w:val="-3"/>
                <w:kern w:val="0"/>
                <w:sz w:val="21"/>
                <w:szCs w:val="21"/>
                <w:highlight w:val="none"/>
              </w:rPr>
              <w:t>项目不齐全或</w:t>
            </w:r>
            <w:r>
              <w:rPr>
                <w:rFonts w:hint="eastAsia" w:ascii="宋体" w:hAnsi="宋体" w:eastAsia="宋体" w:cs="宋体"/>
                <w:spacing w:val="-7"/>
                <w:kern w:val="0"/>
                <w:sz w:val="21"/>
                <w:szCs w:val="21"/>
                <w:highlight w:val="none"/>
              </w:rPr>
              <w:t xml:space="preserve">者打印不清晰，扣 </w:t>
            </w:r>
            <w:r>
              <w:rPr>
                <w:rFonts w:hint="eastAsia" w:ascii="宋体" w:hAnsi="宋体" w:eastAsia="宋体" w:cs="宋体"/>
                <w:kern w:val="0"/>
                <w:sz w:val="21"/>
                <w:szCs w:val="21"/>
                <w:highlight w:val="none"/>
              </w:rPr>
              <w:t>1</w:t>
            </w:r>
            <w:r>
              <w:rPr>
                <w:rFonts w:hint="eastAsia" w:ascii="宋体" w:hAnsi="宋体" w:eastAsia="宋体" w:cs="宋体"/>
                <w:spacing w:val="-12"/>
                <w:kern w:val="0"/>
                <w:sz w:val="21"/>
                <w:szCs w:val="21"/>
                <w:highlight w:val="none"/>
              </w:rPr>
              <w:t xml:space="preserve"> 分；本项目指标累计每月最高扣分 </w:t>
            </w:r>
            <w:r>
              <w:rPr>
                <w:rFonts w:hint="eastAsia" w:ascii="宋体" w:hAnsi="宋体" w:eastAsia="宋体" w:cs="宋体"/>
                <w:kern w:val="0"/>
                <w:sz w:val="21"/>
                <w:szCs w:val="21"/>
                <w:highlight w:val="none"/>
              </w:rPr>
              <w:t>5</w:t>
            </w:r>
            <w:r>
              <w:rPr>
                <w:rFonts w:hint="eastAsia" w:ascii="宋体" w:hAnsi="宋体" w:eastAsia="宋体" w:cs="宋体"/>
                <w:spacing w:val="-20"/>
                <w:kern w:val="0"/>
                <w:sz w:val="21"/>
                <w:szCs w:val="21"/>
                <w:highlight w:val="none"/>
              </w:rPr>
              <w:t xml:space="preserve"> 分。</w:t>
            </w:r>
          </w:p>
        </w:tc>
        <w:tc>
          <w:tcPr>
            <w:tcW w:w="234" w:type="pct"/>
            <w:shd w:val="clear" w:color="auto" w:fill="FFFFFF" w:themeFill="background1"/>
            <w:vAlign w:val="center"/>
          </w:tcPr>
          <w:p w14:paraId="25F062FD">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5670E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shd w:val="clear" w:color="auto" w:fill="FFFFFF" w:themeFill="background1"/>
            <w:vAlign w:val="center"/>
          </w:tcPr>
          <w:p w14:paraId="16D820FB">
            <w:pPr>
              <w:autoSpaceDE w:val="0"/>
              <w:autoSpaceDN w:val="0"/>
              <w:adjustRightInd w:val="0"/>
              <w:spacing w:line="242" w:lineRule="auto"/>
              <w:ind w:left="148" w:leftChars="0" w:right="138"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价格管理</w:t>
            </w:r>
          </w:p>
        </w:tc>
        <w:tc>
          <w:tcPr>
            <w:tcW w:w="284" w:type="pct"/>
            <w:shd w:val="clear" w:color="auto" w:fill="FFFFFF" w:themeFill="background1"/>
            <w:vAlign w:val="center"/>
          </w:tcPr>
          <w:p w14:paraId="11957604">
            <w:pPr>
              <w:autoSpaceDE w:val="0"/>
              <w:autoSpaceDN w:val="0"/>
              <w:adjustRightInd w:val="0"/>
              <w:ind w:left="114" w:leftChars="0" w:right="106"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399" w:type="pct"/>
            <w:shd w:val="clear" w:color="auto" w:fill="FFFFFF" w:themeFill="background1"/>
            <w:vAlign w:val="center"/>
          </w:tcPr>
          <w:p w14:paraId="2A1450B8">
            <w:pPr>
              <w:autoSpaceDE w:val="0"/>
              <w:autoSpaceDN w:val="0"/>
              <w:adjustRightInd w:val="0"/>
              <w:spacing w:before="195" w:line="242" w:lineRule="auto"/>
              <w:ind w:left="129" w:leftChars="0" w:right="117"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价格合理性评价指标</w:t>
            </w:r>
          </w:p>
        </w:tc>
        <w:tc>
          <w:tcPr>
            <w:tcW w:w="343" w:type="pct"/>
            <w:shd w:val="clear" w:color="auto" w:fill="FFFFFF" w:themeFill="background1"/>
            <w:vAlign w:val="center"/>
          </w:tcPr>
          <w:p w14:paraId="54BF6407">
            <w:pPr>
              <w:autoSpaceDE w:val="0"/>
              <w:autoSpaceDN w:val="0"/>
              <w:adjustRightInd w:val="0"/>
              <w:ind w:left="180" w:leftChars="0" w:right="172"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5D663EC7">
            <w:pPr>
              <w:autoSpaceDE w:val="0"/>
              <w:autoSpaceDN w:val="0"/>
              <w:adjustRightInd w:val="0"/>
              <w:spacing w:before="3" w:line="242" w:lineRule="auto"/>
              <w:ind w:left="108" w:right="122"/>
              <w:jc w:val="center"/>
              <w:rPr>
                <w:rFonts w:hint="eastAsia" w:ascii="宋体" w:hAnsi="宋体" w:eastAsia="宋体" w:cs="宋体"/>
                <w:color w:val="auto"/>
                <w:kern w:val="0"/>
                <w:sz w:val="21"/>
                <w:szCs w:val="21"/>
                <w:highlight w:val="none"/>
              </w:rPr>
            </w:pPr>
            <w:r>
              <w:rPr>
                <w:rFonts w:hint="eastAsia" w:ascii="宋体" w:hAnsi="宋体" w:eastAsia="宋体" w:cs="宋体"/>
                <w:spacing w:val="-2"/>
                <w:kern w:val="0"/>
                <w:sz w:val="21"/>
                <w:szCs w:val="21"/>
                <w:highlight w:val="none"/>
              </w:rPr>
              <w:t>考核供应商是否建立了完善的报价机制；是否存在临时补货物品价格虚高的情况；是否存在对账单价格乱报、错报等的情况；是否存在月</w:t>
            </w:r>
            <w:r>
              <w:rPr>
                <w:rFonts w:hint="eastAsia" w:ascii="宋体" w:hAnsi="宋体" w:eastAsia="宋体" w:cs="宋体"/>
                <w:kern w:val="0"/>
                <w:sz w:val="21"/>
                <w:szCs w:val="21"/>
                <w:highlight w:val="none"/>
              </w:rPr>
              <w:t>度结算对账不及时情况等。</w:t>
            </w:r>
          </w:p>
        </w:tc>
        <w:tc>
          <w:tcPr>
            <w:tcW w:w="2529" w:type="pct"/>
            <w:shd w:val="clear" w:color="auto" w:fill="FFFFFF" w:themeFill="background1"/>
            <w:vAlign w:val="center"/>
          </w:tcPr>
          <w:p w14:paraId="60CC30C6">
            <w:pPr>
              <w:autoSpaceDE w:val="0"/>
              <w:autoSpaceDN w:val="0"/>
              <w:adjustRightInd w:val="0"/>
              <w:spacing w:before="3" w:line="242" w:lineRule="auto"/>
              <w:ind w:left="107" w:right="-29"/>
              <w:jc w:val="left"/>
              <w:rPr>
                <w:rFonts w:hint="eastAsia" w:ascii="宋体" w:hAnsi="宋体" w:eastAsia="宋体" w:cs="宋体"/>
                <w:color w:val="auto"/>
                <w:spacing w:val="-7"/>
                <w:kern w:val="0"/>
                <w:sz w:val="21"/>
                <w:szCs w:val="21"/>
                <w:highlight w:val="none"/>
              </w:rPr>
            </w:pPr>
            <w:r>
              <w:rPr>
                <w:rFonts w:hint="eastAsia" w:ascii="宋体" w:hAnsi="宋体" w:eastAsia="宋体" w:cs="宋体"/>
                <w:kern w:val="0"/>
                <w:sz w:val="21"/>
                <w:szCs w:val="21"/>
                <w:highlight w:val="none"/>
              </w:rPr>
              <w:t>按照规定时间依时报价，且结算价格严格按照招标文件及供应</w:t>
            </w:r>
            <w:r>
              <w:rPr>
                <w:rFonts w:hint="eastAsia" w:ascii="宋体" w:hAnsi="宋体" w:eastAsia="宋体" w:cs="宋体"/>
                <w:spacing w:val="-3"/>
                <w:kern w:val="0"/>
                <w:sz w:val="21"/>
                <w:szCs w:val="21"/>
                <w:highlight w:val="none"/>
              </w:rPr>
              <w:t xml:space="preserve">商承诺的折扣率规定执行，没有虚高、乱报、错报的行为发生， </w:t>
            </w:r>
            <w:r>
              <w:rPr>
                <w:rFonts w:hint="eastAsia" w:ascii="宋体" w:hAnsi="宋体" w:eastAsia="宋体" w:cs="宋体"/>
                <w:spacing w:val="-32"/>
                <w:kern w:val="0"/>
                <w:sz w:val="21"/>
                <w:szCs w:val="21"/>
                <w:highlight w:val="none"/>
              </w:rPr>
              <w:t xml:space="preserve">得 </w:t>
            </w:r>
            <w:r>
              <w:rPr>
                <w:rFonts w:hint="eastAsia" w:ascii="宋体" w:hAnsi="宋体" w:eastAsia="宋体" w:cs="宋体"/>
                <w:kern w:val="0"/>
                <w:sz w:val="21"/>
                <w:szCs w:val="21"/>
                <w:highlight w:val="none"/>
              </w:rPr>
              <w:t>5</w:t>
            </w:r>
            <w:r>
              <w:rPr>
                <w:rFonts w:hint="eastAsia" w:ascii="宋体" w:hAnsi="宋体" w:eastAsia="宋体" w:cs="宋体"/>
                <w:spacing w:val="-10"/>
                <w:kern w:val="0"/>
                <w:sz w:val="21"/>
                <w:szCs w:val="21"/>
                <w:highlight w:val="none"/>
              </w:rPr>
              <w:t>分；没有在规定时间内完成本月报价，每发生一次延迟扣</w:t>
            </w:r>
            <w:r>
              <w:rPr>
                <w:rFonts w:hint="eastAsia" w:ascii="宋体" w:hAnsi="宋体" w:eastAsia="宋体" w:cs="宋体"/>
                <w:kern w:val="0"/>
                <w:sz w:val="21"/>
                <w:szCs w:val="21"/>
                <w:highlight w:val="none"/>
              </w:rPr>
              <w:t>1</w:t>
            </w:r>
            <w:r>
              <w:rPr>
                <w:rFonts w:hint="eastAsia" w:ascii="宋体" w:hAnsi="宋体" w:eastAsia="宋体" w:cs="宋体"/>
                <w:spacing w:val="-10"/>
                <w:kern w:val="0"/>
                <w:sz w:val="21"/>
                <w:szCs w:val="21"/>
                <w:highlight w:val="none"/>
              </w:rPr>
              <w:t xml:space="preserve"> 分；每发现一次没有按照供应商承诺的折扣率报价，扣 </w:t>
            </w:r>
            <w:r>
              <w:rPr>
                <w:rFonts w:hint="eastAsia" w:ascii="宋体" w:hAnsi="宋体" w:eastAsia="宋体" w:cs="宋体"/>
                <w:kern w:val="0"/>
                <w:sz w:val="21"/>
                <w:szCs w:val="21"/>
                <w:highlight w:val="none"/>
              </w:rPr>
              <w:t>1</w:t>
            </w:r>
            <w:r>
              <w:rPr>
                <w:rFonts w:hint="eastAsia" w:ascii="宋体" w:hAnsi="宋体" w:eastAsia="宋体" w:cs="宋体"/>
                <w:spacing w:val="-25"/>
                <w:kern w:val="0"/>
                <w:sz w:val="21"/>
                <w:szCs w:val="21"/>
                <w:highlight w:val="none"/>
              </w:rPr>
              <w:t xml:space="preserve"> 分；</w:t>
            </w:r>
            <w:r>
              <w:rPr>
                <w:rFonts w:hint="eastAsia" w:ascii="宋体" w:hAnsi="宋体" w:eastAsia="宋体" w:cs="宋体"/>
                <w:kern w:val="0"/>
                <w:sz w:val="21"/>
                <w:szCs w:val="21"/>
                <w:highlight w:val="none"/>
              </w:rPr>
              <w:t>每发生一次虚高、乱报或错报行为，扣1分；本项指标累计每月最高扣分5分。</w:t>
            </w:r>
          </w:p>
        </w:tc>
        <w:tc>
          <w:tcPr>
            <w:tcW w:w="234" w:type="pct"/>
            <w:shd w:val="clear" w:color="auto" w:fill="FFFFFF" w:themeFill="background1"/>
            <w:vAlign w:val="center"/>
          </w:tcPr>
          <w:p w14:paraId="7113430E">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3858D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restart"/>
            <w:shd w:val="clear" w:color="auto" w:fill="FFFFFF" w:themeFill="background1"/>
            <w:vAlign w:val="center"/>
          </w:tcPr>
          <w:p w14:paraId="35F76FCF">
            <w:pPr>
              <w:autoSpaceDE w:val="0"/>
              <w:autoSpaceDN w:val="0"/>
              <w:adjustRightInd w:val="0"/>
              <w:spacing w:line="242" w:lineRule="auto"/>
              <w:ind w:left="148" w:leftChars="0" w:right="138"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安全卫生</w:t>
            </w:r>
          </w:p>
        </w:tc>
        <w:tc>
          <w:tcPr>
            <w:tcW w:w="284" w:type="pct"/>
            <w:vMerge w:val="restart"/>
            <w:shd w:val="clear" w:color="auto" w:fill="FFFFFF" w:themeFill="background1"/>
            <w:vAlign w:val="center"/>
          </w:tcPr>
          <w:p w14:paraId="0CFD9684">
            <w:pPr>
              <w:autoSpaceDE w:val="0"/>
              <w:autoSpaceDN w:val="0"/>
              <w:adjustRightInd w:val="0"/>
              <w:ind w:left="114" w:leftChars="0" w:right="103"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15</w:t>
            </w:r>
          </w:p>
        </w:tc>
        <w:tc>
          <w:tcPr>
            <w:tcW w:w="399" w:type="pct"/>
            <w:shd w:val="clear" w:color="auto" w:fill="FFFFFF" w:themeFill="background1"/>
            <w:vAlign w:val="center"/>
          </w:tcPr>
          <w:p w14:paraId="3887642D">
            <w:pPr>
              <w:autoSpaceDE w:val="0"/>
              <w:autoSpaceDN w:val="0"/>
              <w:adjustRightInd w:val="0"/>
              <w:spacing w:before="158" w:line="242" w:lineRule="auto"/>
              <w:ind w:left="129" w:leftChars="0" w:right="117"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食材安全性评价指标</w:t>
            </w:r>
          </w:p>
        </w:tc>
        <w:tc>
          <w:tcPr>
            <w:tcW w:w="343" w:type="pct"/>
            <w:shd w:val="clear" w:color="auto" w:fill="FFFFFF" w:themeFill="background1"/>
            <w:vAlign w:val="center"/>
          </w:tcPr>
          <w:p w14:paraId="5637EC88">
            <w:pPr>
              <w:autoSpaceDE w:val="0"/>
              <w:autoSpaceDN w:val="0"/>
              <w:adjustRightInd w:val="0"/>
              <w:spacing w:before="194"/>
              <w:ind w:left="180" w:leftChars="0" w:right="172"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10 分</w:t>
            </w:r>
          </w:p>
        </w:tc>
        <w:tc>
          <w:tcPr>
            <w:tcW w:w="869" w:type="pct"/>
            <w:shd w:val="clear" w:color="auto" w:fill="FFFFFF" w:themeFill="background1"/>
            <w:vAlign w:val="center"/>
          </w:tcPr>
          <w:p w14:paraId="1AF31496">
            <w:pPr>
              <w:autoSpaceDE w:val="0"/>
              <w:autoSpaceDN w:val="0"/>
              <w:adjustRightInd w:val="0"/>
              <w:spacing w:before="1" w:line="242" w:lineRule="auto"/>
              <w:ind w:left="108" w:leftChars="0" w:right="122" w:rightChars="0"/>
              <w:jc w:val="center"/>
              <w:rPr>
                <w:rFonts w:hint="eastAsia" w:ascii="宋体" w:hAnsi="宋体" w:eastAsia="宋体" w:cs="宋体"/>
                <w:color w:val="auto"/>
                <w:spacing w:val="-2"/>
                <w:kern w:val="0"/>
                <w:sz w:val="21"/>
                <w:szCs w:val="21"/>
                <w:highlight w:val="none"/>
              </w:rPr>
            </w:pPr>
            <w:r>
              <w:rPr>
                <w:rFonts w:hint="eastAsia" w:ascii="宋体" w:hAnsi="宋体" w:eastAsia="宋体" w:cs="宋体"/>
                <w:kern w:val="0"/>
                <w:sz w:val="21"/>
                <w:szCs w:val="21"/>
                <w:highlight w:val="none"/>
              </w:rPr>
              <w:t>考核食材安全检测指标是否符合国家相关规定</w:t>
            </w:r>
          </w:p>
        </w:tc>
        <w:tc>
          <w:tcPr>
            <w:tcW w:w="2529" w:type="pct"/>
            <w:shd w:val="clear" w:color="auto" w:fill="FFFFFF" w:themeFill="background1"/>
            <w:vAlign w:val="center"/>
          </w:tcPr>
          <w:p w14:paraId="08FBCF81">
            <w:pPr>
              <w:autoSpaceDE w:val="0"/>
              <w:autoSpaceDN w:val="0"/>
              <w:adjustRightInd w:val="0"/>
              <w:spacing w:before="2" w:line="242" w:lineRule="auto"/>
              <w:ind w:left="107" w:right="64"/>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校（园）方不定期对配送物品进行食品安全抽检（如农药超标检测等），</w:t>
            </w:r>
            <w:r>
              <w:rPr>
                <w:rFonts w:hint="eastAsia" w:ascii="宋体" w:hAnsi="宋体" w:eastAsia="宋体" w:cs="宋体"/>
                <w:spacing w:val="-3"/>
                <w:kern w:val="0"/>
                <w:sz w:val="21"/>
                <w:szCs w:val="21"/>
                <w:highlight w:val="none"/>
              </w:rPr>
              <w:t xml:space="preserve">各项指标符合国家相关规范标准的要求，得 </w:t>
            </w:r>
            <w:r>
              <w:rPr>
                <w:rFonts w:hint="eastAsia" w:ascii="宋体" w:hAnsi="宋体" w:eastAsia="宋体" w:cs="宋体"/>
                <w:kern w:val="0"/>
                <w:sz w:val="21"/>
                <w:szCs w:val="21"/>
                <w:highlight w:val="none"/>
              </w:rPr>
              <w:t>10</w:t>
            </w:r>
            <w:r>
              <w:rPr>
                <w:rFonts w:hint="eastAsia" w:ascii="宋体" w:hAnsi="宋体" w:eastAsia="宋体" w:cs="宋体"/>
                <w:spacing w:val="-26"/>
                <w:kern w:val="0"/>
                <w:sz w:val="21"/>
                <w:szCs w:val="21"/>
                <w:highlight w:val="none"/>
              </w:rPr>
              <w:t xml:space="preserve"> 分；</w:t>
            </w:r>
            <w:r>
              <w:rPr>
                <w:rFonts w:hint="eastAsia" w:ascii="宋体" w:hAnsi="宋体" w:eastAsia="宋体" w:cs="宋体"/>
                <w:kern w:val="0"/>
                <w:sz w:val="21"/>
                <w:szCs w:val="21"/>
                <w:highlight w:val="none"/>
              </w:rPr>
              <w:t>每存在一项指标不符合国家相关规范标准的要求，扣 5 分；本项目指标累计每月最高扣分 10 分。</w:t>
            </w:r>
          </w:p>
        </w:tc>
        <w:tc>
          <w:tcPr>
            <w:tcW w:w="234" w:type="pct"/>
            <w:shd w:val="clear" w:color="auto" w:fill="FFFFFF" w:themeFill="background1"/>
            <w:vAlign w:val="center"/>
          </w:tcPr>
          <w:p w14:paraId="18DB5B86">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5A646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3CDE99AA">
            <w:pPr>
              <w:jc w:val="center"/>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25B2473C">
            <w:pPr>
              <w:jc w:val="center"/>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5566F6B9">
            <w:pPr>
              <w:autoSpaceDE w:val="0"/>
              <w:autoSpaceDN w:val="0"/>
              <w:adjustRightInd w:val="0"/>
              <w:spacing w:before="158" w:line="242" w:lineRule="auto"/>
              <w:ind w:left="129" w:leftChars="0" w:right="117"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配送人员评价指标</w:t>
            </w:r>
          </w:p>
        </w:tc>
        <w:tc>
          <w:tcPr>
            <w:tcW w:w="343" w:type="pct"/>
            <w:shd w:val="clear" w:color="auto" w:fill="FFFFFF" w:themeFill="background1"/>
            <w:vAlign w:val="center"/>
          </w:tcPr>
          <w:p w14:paraId="143FE823">
            <w:pPr>
              <w:autoSpaceDE w:val="0"/>
              <w:autoSpaceDN w:val="0"/>
              <w:adjustRightInd w:val="0"/>
              <w:ind w:left="180" w:leftChars="0" w:right="172"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73D4F264">
            <w:pPr>
              <w:autoSpaceDE w:val="0"/>
              <w:autoSpaceDN w:val="0"/>
              <w:adjustRightInd w:val="0"/>
              <w:spacing w:before="158" w:line="242" w:lineRule="auto"/>
              <w:ind w:left="108" w:leftChars="0" w:right="122" w:rightChars="0"/>
              <w:jc w:val="center"/>
              <w:rPr>
                <w:rFonts w:hint="eastAsia" w:ascii="宋体" w:hAnsi="宋体" w:eastAsia="宋体" w:cs="宋体"/>
                <w:color w:val="auto"/>
                <w:spacing w:val="-2"/>
                <w:kern w:val="0"/>
                <w:sz w:val="21"/>
                <w:szCs w:val="21"/>
                <w:highlight w:val="none"/>
              </w:rPr>
            </w:pPr>
            <w:r>
              <w:rPr>
                <w:rFonts w:hint="eastAsia" w:ascii="宋体" w:hAnsi="宋体" w:eastAsia="宋体" w:cs="宋体"/>
                <w:kern w:val="0"/>
                <w:sz w:val="21"/>
                <w:szCs w:val="21"/>
                <w:highlight w:val="none"/>
              </w:rPr>
              <w:t>考核配送人员的综合素质。</w:t>
            </w:r>
          </w:p>
        </w:tc>
        <w:tc>
          <w:tcPr>
            <w:tcW w:w="2529" w:type="pct"/>
            <w:shd w:val="clear" w:color="auto" w:fill="FFFFFF" w:themeFill="background1"/>
            <w:vAlign w:val="center"/>
          </w:tcPr>
          <w:p w14:paraId="4803B42D">
            <w:pPr>
              <w:autoSpaceDE w:val="0"/>
              <w:autoSpaceDN w:val="0"/>
              <w:adjustRightInd w:val="0"/>
              <w:spacing w:before="2"/>
              <w:ind w:left="107" w:right="-29"/>
              <w:jc w:val="left"/>
              <w:rPr>
                <w:rFonts w:hint="eastAsia" w:ascii="宋体" w:hAnsi="宋体" w:eastAsia="宋体" w:cs="宋体"/>
                <w:kern w:val="0"/>
                <w:sz w:val="21"/>
                <w:szCs w:val="21"/>
                <w:highlight w:val="none"/>
              </w:rPr>
            </w:pPr>
            <w:r>
              <w:rPr>
                <w:rFonts w:hint="eastAsia" w:ascii="宋体" w:hAnsi="宋体" w:eastAsia="宋体" w:cs="宋体"/>
                <w:spacing w:val="-6"/>
                <w:kern w:val="0"/>
                <w:sz w:val="21"/>
                <w:szCs w:val="21"/>
                <w:highlight w:val="none"/>
              </w:rPr>
              <w:t xml:space="preserve">每一名配送人员均持有健康证，配送时段统一穿工服，得 </w:t>
            </w:r>
            <w:r>
              <w:rPr>
                <w:rFonts w:hint="eastAsia" w:ascii="宋体" w:hAnsi="宋体" w:eastAsia="宋体" w:cs="宋体"/>
                <w:kern w:val="0"/>
                <w:sz w:val="21"/>
                <w:szCs w:val="21"/>
                <w:highlight w:val="none"/>
              </w:rPr>
              <w:t>5</w:t>
            </w:r>
            <w:r>
              <w:rPr>
                <w:rFonts w:hint="eastAsia" w:ascii="宋体" w:hAnsi="宋体" w:eastAsia="宋体" w:cs="宋体"/>
                <w:spacing w:val="-24"/>
                <w:kern w:val="0"/>
                <w:sz w:val="21"/>
                <w:szCs w:val="21"/>
                <w:highlight w:val="none"/>
              </w:rPr>
              <w:t xml:space="preserve"> 分；</w:t>
            </w:r>
            <w:r>
              <w:rPr>
                <w:rFonts w:hint="eastAsia" w:ascii="宋体" w:hAnsi="宋体" w:eastAsia="宋体" w:cs="宋体"/>
                <w:spacing w:val="-6"/>
                <w:kern w:val="0"/>
                <w:sz w:val="21"/>
                <w:szCs w:val="21"/>
                <w:highlight w:val="none"/>
              </w:rPr>
              <w:t xml:space="preserve">每发现一次配送人员未统一着装，扣 </w:t>
            </w:r>
            <w:r>
              <w:rPr>
                <w:rFonts w:hint="eastAsia" w:ascii="宋体" w:hAnsi="宋体" w:eastAsia="宋体" w:cs="宋体"/>
                <w:kern w:val="0"/>
                <w:sz w:val="21"/>
                <w:szCs w:val="21"/>
                <w:highlight w:val="none"/>
              </w:rPr>
              <w:t>1</w:t>
            </w:r>
            <w:r>
              <w:rPr>
                <w:rFonts w:hint="eastAsia" w:ascii="宋体" w:hAnsi="宋体" w:eastAsia="宋体" w:cs="宋体"/>
                <w:spacing w:val="-30"/>
                <w:kern w:val="0"/>
                <w:sz w:val="21"/>
                <w:szCs w:val="21"/>
                <w:highlight w:val="none"/>
              </w:rPr>
              <w:t xml:space="preserve"> 分</w:t>
            </w:r>
            <w:r>
              <w:rPr>
                <w:rFonts w:hint="eastAsia" w:ascii="宋体" w:hAnsi="宋体" w:eastAsia="宋体" w:cs="宋体"/>
                <w:kern w:val="0"/>
                <w:sz w:val="21"/>
                <w:szCs w:val="21"/>
                <w:highlight w:val="none"/>
              </w:rPr>
              <w:t>/</w:t>
            </w:r>
            <w:r>
              <w:rPr>
                <w:rFonts w:hint="eastAsia" w:ascii="宋体" w:hAnsi="宋体" w:eastAsia="宋体" w:cs="宋体"/>
                <w:spacing w:val="-4"/>
                <w:kern w:val="0"/>
                <w:sz w:val="21"/>
                <w:szCs w:val="21"/>
                <w:highlight w:val="none"/>
              </w:rPr>
              <w:t>人；发现一次配送人</w:t>
            </w:r>
          </w:p>
          <w:p w14:paraId="27E8D0D8">
            <w:pPr>
              <w:autoSpaceDE w:val="0"/>
              <w:autoSpaceDN w:val="0"/>
              <w:adjustRightInd w:val="0"/>
              <w:spacing w:before="5" w:line="290" w:lineRule="exact"/>
              <w:ind w:left="107" w:leftChars="0"/>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员无健康证，扣 5 分；本项指标累计每月最高扣分 5 分。</w:t>
            </w:r>
          </w:p>
        </w:tc>
        <w:tc>
          <w:tcPr>
            <w:tcW w:w="234" w:type="pct"/>
            <w:shd w:val="clear" w:color="auto" w:fill="FFFFFF" w:themeFill="background1"/>
            <w:vAlign w:val="center"/>
          </w:tcPr>
          <w:p w14:paraId="5557BF16">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1074C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restart"/>
            <w:shd w:val="clear" w:color="auto" w:fill="FFFFFF" w:themeFill="background1"/>
            <w:vAlign w:val="center"/>
          </w:tcPr>
          <w:p w14:paraId="0CED5F93">
            <w:pPr>
              <w:autoSpaceDE w:val="0"/>
              <w:autoSpaceDN w:val="0"/>
              <w:adjustRightInd w:val="0"/>
              <w:spacing w:before="1" w:line="242" w:lineRule="auto"/>
              <w:ind w:left="148" w:leftChars="0" w:right="138"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服务质量</w:t>
            </w:r>
          </w:p>
        </w:tc>
        <w:tc>
          <w:tcPr>
            <w:tcW w:w="284" w:type="pct"/>
            <w:vMerge w:val="restart"/>
            <w:shd w:val="clear" w:color="auto" w:fill="FFFFFF" w:themeFill="background1"/>
            <w:vAlign w:val="center"/>
          </w:tcPr>
          <w:p w14:paraId="73E8BC3B">
            <w:pPr>
              <w:autoSpaceDE w:val="0"/>
              <w:autoSpaceDN w:val="0"/>
              <w:adjustRightInd w:val="0"/>
              <w:spacing w:before="1"/>
              <w:ind w:left="164" w:lef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10 分</w:t>
            </w:r>
          </w:p>
        </w:tc>
        <w:tc>
          <w:tcPr>
            <w:tcW w:w="399" w:type="pct"/>
            <w:shd w:val="clear" w:color="auto" w:fill="FFFFFF" w:themeFill="background1"/>
            <w:vAlign w:val="center"/>
          </w:tcPr>
          <w:p w14:paraId="3CA832A4">
            <w:pPr>
              <w:autoSpaceDE w:val="0"/>
              <w:autoSpaceDN w:val="0"/>
              <w:adjustRightInd w:val="0"/>
              <w:spacing w:before="160" w:line="242" w:lineRule="auto"/>
              <w:ind w:left="129" w:leftChars="0" w:right="117"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服务态度评价指标</w:t>
            </w:r>
          </w:p>
        </w:tc>
        <w:tc>
          <w:tcPr>
            <w:tcW w:w="343" w:type="pct"/>
            <w:shd w:val="clear" w:color="auto" w:fill="FFFFFF" w:themeFill="background1"/>
            <w:vAlign w:val="center"/>
          </w:tcPr>
          <w:p w14:paraId="502A1ABD">
            <w:pPr>
              <w:autoSpaceDE w:val="0"/>
              <w:autoSpaceDN w:val="0"/>
              <w:adjustRightInd w:val="0"/>
              <w:spacing w:before="5"/>
              <w:jc w:val="center"/>
              <w:rPr>
                <w:rFonts w:hint="eastAsia" w:ascii="宋体" w:hAnsi="宋体" w:eastAsia="宋体" w:cs="宋体"/>
                <w:kern w:val="0"/>
                <w:sz w:val="21"/>
                <w:szCs w:val="21"/>
                <w:highlight w:val="none"/>
              </w:rPr>
            </w:pPr>
          </w:p>
          <w:p w14:paraId="2C4DA869">
            <w:pPr>
              <w:autoSpaceDE w:val="0"/>
              <w:autoSpaceDN w:val="0"/>
              <w:adjustRightInd w:val="0"/>
              <w:ind w:left="180" w:leftChars="0" w:right="172"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2AD4CDE1">
            <w:pPr>
              <w:autoSpaceDE w:val="0"/>
              <w:autoSpaceDN w:val="0"/>
              <w:adjustRightInd w:val="0"/>
              <w:spacing w:before="160" w:line="242" w:lineRule="auto"/>
              <w:ind w:left="108" w:leftChars="0" w:right="122" w:rightChars="0"/>
              <w:jc w:val="center"/>
              <w:rPr>
                <w:rFonts w:hint="eastAsia" w:ascii="宋体" w:hAnsi="宋体" w:eastAsia="宋体" w:cs="宋体"/>
                <w:color w:val="auto"/>
                <w:spacing w:val="-2"/>
                <w:kern w:val="0"/>
                <w:sz w:val="21"/>
                <w:szCs w:val="21"/>
                <w:highlight w:val="none"/>
              </w:rPr>
            </w:pPr>
            <w:r>
              <w:rPr>
                <w:rFonts w:hint="eastAsia" w:ascii="宋体" w:hAnsi="宋体" w:eastAsia="宋体" w:cs="宋体"/>
                <w:kern w:val="0"/>
                <w:sz w:val="21"/>
                <w:szCs w:val="21"/>
                <w:highlight w:val="none"/>
              </w:rPr>
              <w:t>考核供应商服务态度是否良好。</w:t>
            </w:r>
          </w:p>
        </w:tc>
        <w:tc>
          <w:tcPr>
            <w:tcW w:w="2529" w:type="pct"/>
            <w:shd w:val="clear" w:color="auto" w:fill="FFFFFF" w:themeFill="background1"/>
            <w:vAlign w:val="center"/>
          </w:tcPr>
          <w:p w14:paraId="301B94DC">
            <w:pPr>
              <w:autoSpaceDE w:val="0"/>
              <w:autoSpaceDN w:val="0"/>
              <w:adjustRightInd w:val="0"/>
              <w:spacing w:before="4" w:line="242" w:lineRule="auto"/>
              <w:ind w:left="107" w:right="184"/>
              <w:jc w:val="left"/>
              <w:rPr>
                <w:rFonts w:hint="eastAsia" w:ascii="宋体" w:hAnsi="宋体" w:eastAsia="宋体" w:cs="宋体"/>
                <w:kern w:val="0"/>
                <w:sz w:val="21"/>
                <w:szCs w:val="21"/>
                <w:highlight w:val="none"/>
              </w:rPr>
            </w:pPr>
            <w:r>
              <w:rPr>
                <w:rFonts w:hint="eastAsia" w:ascii="宋体" w:hAnsi="宋体" w:eastAsia="宋体" w:cs="宋体"/>
                <w:spacing w:val="-1"/>
                <w:kern w:val="0"/>
                <w:sz w:val="21"/>
                <w:szCs w:val="21"/>
                <w:highlight w:val="none"/>
              </w:rPr>
              <w:t>工作人员工作认真，服务热情周到，运送搬运文明，无投诉事</w:t>
            </w:r>
            <w:r>
              <w:rPr>
                <w:rFonts w:hint="eastAsia" w:ascii="宋体" w:hAnsi="宋体" w:eastAsia="宋体" w:cs="宋体"/>
                <w:spacing w:val="-10"/>
                <w:kern w:val="0"/>
                <w:sz w:val="21"/>
                <w:szCs w:val="21"/>
                <w:highlight w:val="none"/>
              </w:rPr>
              <w:t xml:space="preserve">件发生，得 </w:t>
            </w:r>
            <w:r>
              <w:rPr>
                <w:rFonts w:hint="eastAsia" w:ascii="宋体" w:hAnsi="宋体" w:eastAsia="宋体" w:cs="宋体"/>
                <w:kern w:val="0"/>
                <w:sz w:val="21"/>
                <w:szCs w:val="21"/>
                <w:highlight w:val="none"/>
              </w:rPr>
              <w:t>5</w:t>
            </w:r>
            <w:r>
              <w:rPr>
                <w:rFonts w:hint="eastAsia" w:ascii="宋体" w:hAnsi="宋体" w:eastAsia="宋体" w:cs="宋体"/>
                <w:spacing w:val="-18"/>
                <w:kern w:val="0"/>
                <w:sz w:val="21"/>
                <w:szCs w:val="21"/>
                <w:highlight w:val="none"/>
              </w:rPr>
              <w:t xml:space="preserve"> 分；每接到 </w:t>
            </w:r>
            <w:r>
              <w:rPr>
                <w:rFonts w:hint="eastAsia" w:ascii="宋体" w:hAnsi="宋体" w:eastAsia="宋体" w:cs="宋体"/>
                <w:kern w:val="0"/>
                <w:sz w:val="21"/>
                <w:szCs w:val="21"/>
                <w:highlight w:val="none"/>
              </w:rPr>
              <w:t>1</w:t>
            </w:r>
            <w:r>
              <w:rPr>
                <w:rFonts w:hint="eastAsia" w:ascii="宋体" w:hAnsi="宋体" w:eastAsia="宋体" w:cs="宋体"/>
                <w:spacing w:val="-16"/>
                <w:kern w:val="0"/>
                <w:sz w:val="21"/>
                <w:szCs w:val="21"/>
                <w:highlight w:val="none"/>
              </w:rPr>
              <w:t xml:space="preserve"> 次有效投诉扣 </w:t>
            </w:r>
            <w:r>
              <w:rPr>
                <w:rFonts w:hint="eastAsia" w:ascii="宋体" w:hAnsi="宋体" w:eastAsia="宋体" w:cs="宋体"/>
                <w:kern w:val="0"/>
                <w:sz w:val="21"/>
                <w:szCs w:val="21"/>
                <w:highlight w:val="none"/>
              </w:rPr>
              <w:t>5</w:t>
            </w:r>
            <w:r>
              <w:rPr>
                <w:rFonts w:hint="eastAsia" w:ascii="宋体" w:hAnsi="宋体" w:eastAsia="宋体" w:cs="宋体"/>
                <w:spacing w:val="-9"/>
                <w:kern w:val="0"/>
                <w:sz w:val="21"/>
                <w:szCs w:val="21"/>
                <w:highlight w:val="none"/>
              </w:rPr>
              <w:t xml:space="preserve"> 分；本项指标累计</w:t>
            </w:r>
          </w:p>
          <w:p w14:paraId="03D5B009">
            <w:pPr>
              <w:autoSpaceDE w:val="0"/>
              <w:autoSpaceDN w:val="0"/>
              <w:adjustRightInd w:val="0"/>
              <w:spacing w:before="3" w:line="288" w:lineRule="exact"/>
              <w:ind w:left="107" w:leftChars="0"/>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每月最高扣分 5 分。</w:t>
            </w:r>
          </w:p>
        </w:tc>
        <w:tc>
          <w:tcPr>
            <w:tcW w:w="234" w:type="pct"/>
            <w:shd w:val="clear" w:color="auto" w:fill="FFFFFF" w:themeFill="background1"/>
            <w:vAlign w:val="center"/>
          </w:tcPr>
          <w:p w14:paraId="78DB98BD">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44055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338" w:type="pct"/>
            <w:vMerge w:val="continue"/>
            <w:shd w:val="clear" w:color="auto" w:fill="FFFFFF" w:themeFill="background1"/>
            <w:vAlign w:val="center"/>
          </w:tcPr>
          <w:p w14:paraId="57344C33">
            <w:pPr>
              <w:jc w:val="center"/>
              <w:rPr>
                <w:rFonts w:hint="eastAsia" w:ascii="宋体" w:hAnsi="宋体" w:eastAsia="宋体" w:cs="宋体"/>
                <w:color w:val="auto"/>
                <w:kern w:val="0"/>
                <w:sz w:val="21"/>
                <w:szCs w:val="21"/>
                <w:highlight w:val="none"/>
              </w:rPr>
            </w:pPr>
          </w:p>
        </w:tc>
        <w:tc>
          <w:tcPr>
            <w:tcW w:w="284" w:type="pct"/>
            <w:vMerge w:val="continue"/>
            <w:shd w:val="clear" w:color="auto" w:fill="FFFFFF" w:themeFill="background1"/>
            <w:vAlign w:val="center"/>
          </w:tcPr>
          <w:p w14:paraId="31B5C79E">
            <w:pPr>
              <w:jc w:val="center"/>
              <w:rPr>
                <w:rFonts w:hint="eastAsia" w:ascii="宋体" w:hAnsi="宋体" w:eastAsia="宋体" w:cs="宋体"/>
                <w:color w:val="auto"/>
                <w:kern w:val="0"/>
                <w:sz w:val="21"/>
                <w:szCs w:val="21"/>
                <w:highlight w:val="none"/>
              </w:rPr>
            </w:pPr>
          </w:p>
        </w:tc>
        <w:tc>
          <w:tcPr>
            <w:tcW w:w="399" w:type="pct"/>
            <w:shd w:val="clear" w:color="auto" w:fill="FFFFFF" w:themeFill="background1"/>
            <w:vAlign w:val="center"/>
          </w:tcPr>
          <w:p w14:paraId="54100084">
            <w:pPr>
              <w:autoSpaceDE w:val="0"/>
              <w:autoSpaceDN w:val="0"/>
              <w:adjustRightInd w:val="0"/>
              <w:spacing w:line="242" w:lineRule="auto"/>
              <w:ind w:left="129" w:leftChars="0" w:right="117"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反馈整改评价指标</w:t>
            </w:r>
          </w:p>
        </w:tc>
        <w:tc>
          <w:tcPr>
            <w:tcW w:w="343" w:type="pct"/>
            <w:shd w:val="clear" w:color="auto" w:fill="FFFFFF" w:themeFill="background1"/>
            <w:vAlign w:val="center"/>
          </w:tcPr>
          <w:p w14:paraId="3EB61428">
            <w:pPr>
              <w:autoSpaceDE w:val="0"/>
              <w:autoSpaceDN w:val="0"/>
              <w:adjustRightInd w:val="0"/>
              <w:spacing w:before="195"/>
              <w:ind w:left="180" w:leftChars="0" w:right="172" w:rightChars="0"/>
              <w:jc w:val="center"/>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5 分</w:t>
            </w:r>
          </w:p>
        </w:tc>
        <w:tc>
          <w:tcPr>
            <w:tcW w:w="869" w:type="pct"/>
            <w:shd w:val="clear" w:color="auto" w:fill="FFFFFF" w:themeFill="background1"/>
            <w:vAlign w:val="center"/>
          </w:tcPr>
          <w:p w14:paraId="535A298B">
            <w:pPr>
              <w:autoSpaceDE w:val="0"/>
              <w:autoSpaceDN w:val="0"/>
              <w:adjustRightInd w:val="0"/>
              <w:spacing w:before="3"/>
              <w:ind w:left="108"/>
              <w:jc w:val="center"/>
              <w:rPr>
                <w:rFonts w:hint="eastAsia" w:ascii="宋体" w:hAnsi="宋体" w:eastAsia="宋体" w:cs="宋体"/>
                <w:color w:val="auto"/>
                <w:spacing w:val="-2"/>
                <w:kern w:val="0"/>
                <w:sz w:val="21"/>
                <w:szCs w:val="21"/>
                <w:highlight w:val="none"/>
              </w:rPr>
            </w:pPr>
            <w:r>
              <w:rPr>
                <w:rFonts w:hint="eastAsia" w:ascii="宋体" w:hAnsi="宋体" w:eastAsia="宋体" w:cs="宋体"/>
                <w:kern w:val="0"/>
                <w:sz w:val="21"/>
                <w:szCs w:val="21"/>
                <w:highlight w:val="none"/>
              </w:rPr>
              <w:t>考核供应商是否对校（园）方、考评小组的反馈意见进行认真及时的整改。</w:t>
            </w:r>
          </w:p>
        </w:tc>
        <w:tc>
          <w:tcPr>
            <w:tcW w:w="2529" w:type="pct"/>
            <w:shd w:val="clear" w:color="auto" w:fill="FFFFFF" w:themeFill="background1"/>
            <w:vAlign w:val="center"/>
          </w:tcPr>
          <w:p w14:paraId="22CC73BC">
            <w:pPr>
              <w:autoSpaceDE w:val="0"/>
              <w:autoSpaceDN w:val="0"/>
              <w:adjustRightInd w:val="0"/>
              <w:spacing w:before="159" w:line="242" w:lineRule="auto"/>
              <w:ind w:left="107" w:right="-29"/>
              <w:jc w:val="left"/>
              <w:rPr>
                <w:rFonts w:hint="eastAsia" w:ascii="宋体" w:hAnsi="宋体" w:eastAsia="宋体" w:cs="宋体"/>
                <w:kern w:val="0"/>
                <w:sz w:val="21"/>
                <w:szCs w:val="21"/>
                <w:highlight w:val="none"/>
              </w:rPr>
            </w:pPr>
            <w:r>
              <w:rPr>
                <w:rFonts w:hint="eastAsia" w:ascii="宋体" w:hAnsi="宋体" w:eastAsia="宋体" w:cs="宋体"/>
                <w:spacing w:val="-4"/>
                <w:kern w:val="0"/>
                <w:sz w:val="21"/>
                <w:szCs w:val="21"/>
                <w:highlight w:val="none"/>
              </w:rPr>
              <w:t>对校</w:t>
            </w:r>
            <w:r>
              <w:rPr>
                <w:rFonts w:hint="eastAsia" w:ascii="宋体" w:hAnsi="宋体" w:eastAsia="宋体" w:cs="宋体"/>
                <w:kern w:val="0"/>
                <w:sz w:val="21"/>
                <w:szCs w:val="21"/>
                <w:highlight w:val="none"/>
              </w:rPr>
              <w:t>（园</w:t>
            </w:r>
            <w:r>
              <w:rPr>
                <w:rFonts w:hint="eastAsia" w:ascii="宋体" w:hAnsi="宋体" w:eastAsia="宋体" w:cs="宋体"/>
                <w:spacing w:val="-10"/>
                <w:kern w:val="0"/>
                <w:sz w:val="21"/>
                <w:szCs w:val="21"/>
                <w:highlight w:val="none"/>
              </w:rPr>
              <w:t>）</w:t>
            </w:r>
            <w:r>
              <w:rPr>
                <w:rFonts w:hint="eastAsia" w:ascii="宋体" w:hAnsi="宋体" w:eastAsia="宋体" w:cs="宋体"/>
                <w:spacing w:val="-4"/>
                <w:kern w:val="0"/>
                <w:sz w:val="21"/>
                <w:szCs w:val="21"/>
                <w:highlight w:val="none"/>
              </w:rPr>
              <w:t xml:space="preserve">方、考评小组的反馈意见虚心接受，认真及时更改， </w:t>
            </w:r>
            <w:r>
              <w:rPr>
                <w:rFonts w:hint="eastAsia" w:ascii="宋体" w:hAnsi="宋体" w:eastAsia="宋体" w:cs="宋体"/>
                <w:spacing w:val="-32"/>
                <w:kern w:val="0"/>
                <w:sz w:val="21"/>
                <w:szCs w:val="21"/>
                <w:highlight w:val="none"/>
              </w:rPr>
              <w:t xml:space="preserve">得 </w:t>
            </w:r>
            <w:r>
              <w:rPr>
                <w:rFonts w:hint="eastAsia" w:ascii="宋体" w:hAnsi="宋体" w:eastAsia="宋体" w:cs="宋体"/>
                <w:kern w:val="0"/>
                <w:sz w:val="21"/>
                <w:szCs w:val="21"/>
                <w:highlight w:val="none"/>
              </w:rPr>
              <w:t>5</w:t>
            </w:r>
            <w:r>
              <w:rPr>
                <w:rFonts w:hint="eastAsia" w:ascii="宋体" w:hAnsi="宋体" w:eastAsia="宋体" w:cs="宋体"/>
                <w:spacing w:val="-12"/>
                <w:kern w:val="0"/>
                <w:sz w:val="21"/>
                <w:szCs w:val="21"/>
                <w:highlight w:val="none"/>
              </w:rPr>
              <w:t xml:space="preserve"> 分；对校</w:t>
            </w:r>
            <w:r>
              <w:rPr>
                <w:rFonts w:hint="eastAsia" w:ascii="宋体" w:hAnsi="宋体" w:eastAsia="宋体" w:cs="宋体"/>
                <w:kern w:val="0"/>
                <w:sz w:val="21"/>
                <w:szCs w:val="21"/>
                <w:highlight w:val="none"/>
              </w:rPr>
              <w:t>（园）方、考评小组的反馈意见没有及时整改，</w:t>
            </w:r>
          </w:p>
          <w:p w14:paraId="6FDE3A02">
            <w:pPr>
              <w:autoSpaceDE w:val="0"/>
              <w:autoSpaceDN w:val="0"/>
              <w:adjustRightInd w:val="0"/>
              <w:spacing w:before="3"/>
              <w:ind w:left="107" w:leftChars="0"/>
              <w:jc w:val="left"/>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highlight w:val="none"/>
              </w:rPr>
              <w:t>每发现一次扣 1 分；本项指标累计每月最高扣分 5 分。</w:t>
            </w:r>
          </w:p>
        </w:tc>
        <w:tc>
          <w:tcPr>
            <w:tcW w:w="234" w:type="pct"/>
            <w:shd w:val="clear" w:color="auto" w:fill="FFFFFF" w:themeFill="background1"/>
            <w:vAlign w:val="center"/>
          </w:tcPr>
          <w:p w14:paraId="4CAAA52E">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r w14:paraId="11994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0" w:type="dxa"/>
            <w:bottom w:w="0" w:type="dxa"/>
            <w:right w:w="0" w:type="dxa"/>
          </w:tblCellMar>
        </w:tblPrEx>
        <w:trPr>
          <w:trHeight w:val="622" w:hRule="atLeast"/>
        </w:trPr>
        <w:tc>
          <w:tcPr>
            <w:tcW w:w="4765" w:type="pct"/>
            <w:gridSpan w:val="6"/>
            <w:shd w:val="clear" w:color="auto" w:fill="FFFFFF" w:themeFill="background1"/>
            <w:vAlign w:val="center"/>
          </w:tcPr>
          <w:p w14:paraId="2D59CA6E">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服务供应商月度考核总得分</w:t>
            </w:r>
          </w:p>
        </w:tc>
        <w:tc>
          <w:tcPr>
            <w:tcW w:w="234" w:type="pct"/>
            <w:shd w:val="clear" w:color="auto" w:fill="FFFFFF" w:themeFill="background1"/>
            <w:vAlign w:val="center"/>
          </w:tcPr>
          <w:p w14:paraId="00141152">
            <w:pPr>
              <w:keepNext w:val="0"/>
              <w:keepLines w:val="0"/>
              <w:pageBreakBefore w:val="0"/>
              <w:widowControl w:val="0"/>
              <w:kinsoku/>
              <w:wordWrap/>
              <w:overflowPunct/>
              <w:topLinePunct w:val="0"/>
              <w:autoSpaceDE w:val="0"/>
              <w:autoSpaceDN w:val="0"/>
              <w:bidi w:val="0"/>
              <w:adjustRightInd w:val="0"/>
              <w:snapToGrid/>
              <w:spacing w:line="240" w:lineRule="auto"/>
              <w:ind w:left="0" w:right="0"/>
              <w:jc w:val="center"/>
              <w:textAlignment w:val="auto"/>
              <w:rPr>
                <w:rFonts w:hint="eastAsia" w:ascii="宋体" w:hAnsi="宋体" w:eastAsia="宋体" w:cs="宋体"/>
                <w:color w:val="auto"/>
                <w:kern w:val="0"/>
                <w:sz w:val="21"/>
                <w:szCs w:val="21"/>
                <w:highlight w:val="none"/>
              </w:rPr>
            </w:pPr>
          </w:p>
        </w:tc>
      </w:tr>
    </w:tbl>
    <w:p w14:paraId="761C5DBB">
      <w:pPr>
        <w:tabs>
          <w:tab w:val="left" w:pos="11071"/>
        </w:tabs>
        <w:spacing w:before="62"/>
        <w:ind w:left="291"/>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考</w:t>
      </w:r>
      <w:r>
        <w:rPr>
          <w:rFonts w:hint="eastAsia" w:ascii="仿宋" w:hAnsi="仿宋" w:eastAsia="仿宋" w:cs="仿宋"/>
          <w:color w:val="auto"/>
          <w:spacing w:val="-3"/>
          <w:sz w:val="24"/>
          <w:szCs w:val="24"/>
          <w:highlight w:val="none"/>
        </w:rPr>
        <w:t>评</w:t>
      </w:r>
      <w:r>
        <w:rPr>
          <w:rFonts w:hint="eastAsia" w:ascii="仿宋" w:hAnsi="仿宋" w:eastAsia="仿宋" w:cs="仿宋"/>
          <w:color w:val="auto"/>
          <w:sz w:val="24"/>
          <w:szCs w:val="24"/>
          <w:highlight w:val="none"/>
        </w:rPr>
        <w:t>人员签名</w:t>
      </w:r>
      <w:r>
        <w:rPr>
          <w:rFonts w:hint="eastAsia" w:ascii="仿宋" w:hAnsi="仿宋" w:eastAsia="仿宋" w:cs="仿宋"/>
          <w:color w:val="auto"/>
          <w:sz w:val="24"/>
          <w:szCs w:val="24"/>
          <w:highlight w:val="none"/>
          <w:lang w:eastAsia="zh-CN"/>
        </w:rPr>
        <w:t>：</w:t>
      </w:r>
    </w:p>
    <w:p w14:paraId="2970E234">
      <w:pPr>
        <w:tabs>
          <w:tab w:val="left" w:pos="11071"/>
        </w:tabs>
        <w:spacing w:before="62"/>
        <w:ind w:left="291"/>
        <w:jc w:val="left"/>
        <w:rPr>
          <w:sz w:val="20"/>
          <w:highlight w:val="none"/>
        </w:rPr>
      </w:pPr>
      <w:r>
        <w:rPr>
          <w:rFonts w:hint="eastAsia" w:ascii="仿宋" w:hAnsi="仿宋" w:eastAsia="仿宋" w:cs="仿宋"/>
          <w:color w:val="auto"/>
          <w:sz w:val="24"/>
          <w:szCs w:val="24"/>
          <w:highlight w:val="none"/>
        </w:rPr>
        <w:t>考</w:t>
      </w:r>
      <w:r>
        <w:rPr>
          <w:rFonts w:hint="eastAsia" w:ascii="仿宋" w:hAnsi="仿宋" w:eastAsia="仿宋" w:cs="仿宋"/>
          <w:color w:val="auto"/>
          <w:spacing w:val="-3"/>
          <w:sz w:val="24"/>
          <w:szCs w:val="24"/>
          <w:highlight w:val="none"/>
        </w:rPr>
        <w:t>评</w:t>
      </w:r>
      <w:r>
        <w:rPr>
          <w:rFonts w:hint="eastAsia" w:ascii="仿宋" w:hAnsi="仿宋" w:eastAsia="仿宋" w:cs="仿宋"/>
          <w:color w:val="auto"/>
          <w:sz w:val="24"/>
          <w:szCs w:val="24"/>
          <w:highlight w:val="none"/>
        </w:rPr>
        <w:t>时间：</w:t>
      </w:r>
    </w:p>
    <w:p w14:paraId="6FF57758">
      <w:pPr>
        <w:spacing w:before="4"/>
        <w:rPr>
          <w:sz w:val="20"/>
          <w:highlight w:val="none"/>
        </w:rPr>
      </w:pPr>
    </w:p>
    <w:p w14:paraId="0723E776">
      <w:pPr>
        <w:pStyle w:val="18"/>
        <w:spacing w:before="2"/>
        <w:rPr>
          <w:rFonts w:ascii="方正舒体"/>
          <w:sz w:val="13"/>
          <w:highlight w:val="none"/>
        </w:rPr>
      </w:pPr>
    </w:p>
    <w:p w14:paraId="76359615">
      <w:pPr>
        <w:rPr>
          <w:rFonts w:hint="eastAsia"/>
          <w:kern w:val="2"/>
          <w:highlight w:val="none"/>
        </w:rPr>
      </w:pPr>
      <w:r>
        <w:rPr>
          <w:rFonts w:hint="eastAsia"/>
          <w:kern w:val="2"/>
          <w:highlight w:val="none"/>
        </w:rPr>
        <w:br w:type="page"/>
      </w:r>
    </w:p>
    <w:p w14:paraId="2034F110">
      <w:pPr>
        <w:pStyle w:val="7"/>
        <w:ind w:firstLine="0"/>
        <w:outlineLvl w:val="2"/>
        <w:rPr>
          <w:rFonts w:hint="eastAsia" w:ascii="宋体" w:hAnsi="宋体"/>
          <w:b/>
          <w:bCs/>
          <w:szCs w:val="21"/>
          <w:highlight w:val="none"/>
        </w:rPr>
      </w:pPr>
      <w:r>
        <w:rPr>
          <w:rFonts w:hint="eastAsia" w:ascii="宋体" w:hAnsi="宋体"/>
          <w:b/>
          <w:bCs/>
          <w:sz w:val="24"/>
          <w:szCs w:val="21"/>
          <w:highlight w:val="none"/>
        </w:rPr>
        <w:t xml:space="preserve">附件三 </w:t>
      </w:r>
      <w:r>
        <w:rPr>
          <w:rFonts w:ascii="宋体" w:hAnsi="宋体"/>
          <w:b/>
          <w:bCs/>
          <w:sz w:val="24"/>
          <w:szCs w:val="21"/>
          <w:highlight w:val="none"/>
        </w:rPr>
        <w:t xml:space="preserve"> </w:t>
      </w:r>
      <w:r>
        <w:rPr>
          <w:rFonts w:hint="eastAsia" w:ascii="宋体" w:hAnsi="宋体"/>
          <w:b/>
          <w:bCs/>
          <w:sz w:val="24"/>
          <w:szCs w:val="21"/>
          <w:highlight w:val="none"/>
        </w:rPr>
        <w:t>供应商季度综合评议考核评分表</w:t>
      </w:r>
    </w:p>
    <w:p w14:paraId="2A10A34B">
      <w:pPr>
        <w:rPr>
          <w:rFonts w:eastAsia="仿宋"/>
          <w:highlight w:val="none"/>
        </w:rPr>
      </w:pPr>
      <w:r>
        <w:rPr>
          <w:rFonts w:hint="eastAsia"/>
          <w:highlight w:val="none"/>
        </w:rPr>
        <w:t xml:space="preserve">  </w:t>
      </w:r>
    </w:p>
    <w:tbl>
      <w:tblPr>
        <w:tblStyle w:val="42"/>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895"/>
        <w:gridCol w:w="2216"/>
        <w:gridCol w:w="1872"/>
        <w:gridCol w:w="2821"/>
      </w:tblGrid>
      <w:tr w14:paraId="0935C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2" w:hRule="atLeast"/>
          <w:jc w:val="center"/>
        </w:trPr>
        <w:tc>
          <w:tcPr>
            <w:tcW w:w="1076" w:type="pct"/>
            <w:tcBorders>
              <w:bottom w:val="single" w:color="000000" w:sz="6" w:space="0"/>
              <w:right w:val="single" w:color="000000" w:sz="6" w:space="0"/>
            </w:tcBorders>
            <w:vAlign w:val="center"/>
          </w:tcPr>
          <w:p w14:paraId="5B553BBA">
            <w:pPr>
              <w:autoSpaceDE w:val="0"/>
              <w:autoSpaceDN w:val="0"/>
              <w:adjustRightInd w:val="0"/>
              <w:spacing w:before="9"/>
              <w:ind w:left="132" w:right="119"/>
              <w:jc w:val="center"/>
              <w:rPr>
                <w:rFonts w:hint="eastAsia" w:ascii="宋体" w:hAnsi="宋体" w:cs="宋体"/>
                <w:kern w:val="0"/>
                <w:sz w:val="24"/>
                <w:highlight w:val="none"/>
              </w:rPr>
            </w:pPr>
            <w:r>
              <w:rPr>
                <w:rFonts w:hint="eastAsia" w:ascii="宋体" w:hAnsi="宋体" w:cs="宋体"/>
                <w:kern w:val="0"/>
                <w:sz w:val="24"/>
                <w:highlight w:val="none"/>
              </w:rPr>
              <w:t>供应商名称</w:t>
            </w:r>
          </w:p>
        </w:tc>
        <w:tc>
          <w:tcPr>
            <w:tcW w:w="1258" w:type="pct"/>
            <w:tcBorders>
              <w:left w:val="single" w:color="000000" w:sz="6" w:space="0"/>
              <w:bottom w:val="single" w:color="000000" w:sz="6" w:space="0"/>
              <w:right w:val="single" w:color="000000" w:sz="6" w:space="0"/>
            </w:tcBorders>
          </w:tcPr>
          <w:p w14:paraId="6FE13359">
            <w:pPr>
              <w:autoSpaceDE w:val="0"/>
              <w:autoSpaceDN w:val="0"/>
              <w:adjustRightInd w:val="0"/>
              <w:jc w:val="left"/>
              <w:rPr>
                <w:rFonts w:hint="eastAsia" w:hAnsi="宋体" w:cs="宋体"/>
                <w:kern w:val="0"/>
                <w:sz w:val="22"/>
                <w:highlight w:val="none"/>
              </w:rPr>
            </w:pPr>
          </w:p>
        </w:tc>
        <w:tc>
          <w:tcPr>
            <w:tcW w:w="1063" w:type="pct"/>
            <w:tcBorders>
              <w:left w:val="single" w:color="000000" w:sz="6" w:space="0"/>
              <w:bottom w:val="single" w:color="000000" w:sz="6" w:space="0"/>
              <w:right w:val="single" w:color="000000" w:sz="6" w:space="0"/>
            </w:tcBorders>
          </w:tcPr>
          <w:p w14:paraId="2D7BC2F0">
            <w:pPr>
              <w:autoSpaceDE w:val="0"/>
              <w:autoSpaceDN w:val="0"/>
              <w:adjustRightInd w:val="0"/>
              <w:spacing w:before="172"/>
              <w:ind w:left="139" w:right="122"/>
              <w:jc w:val="center"/>
              <w:rPr>
                <w:rFonts w:hint="eastAsia" w:ascii="宋体" w:hAnsi="宋体" w:cs="宋体"/>
                <w:kern w:val="0"/>
                <w:sz w:val="24"/>
                <w:highlight w:val="none"/>
              </w:rPr>
            </w:pPr>
            <w:r>
              <w:rPr>
                <w:rFonts w:hint="eastAsia" w:ascii="宋体" w:hAnsi="宋体" w:cs="宋体"/>
                <w:kern w:val="0"/>
                <w:sz w:val="24"/>
                <w:highlight w:val="none"/>
              </w:rPr>
              <w:t>联系人及电话</w:t>
            </w:r>
          </w:p>
        </w:tc>
        <w:tc>
          <w:tcPr>
            <w:tcW w:w="1601" w:type="pct"/>
            <w:tcBorders>
              <w:top w:val="single" w:color="000000" w:sz="4" w:space="0"/>
              <w:left w:val="single" w:color="000000" w:sz="6" w:space="0"/>
              <w:bottom w:val="single" w:color="000000" w:sz="6" w:space="0"/>
            </w:tcBorders>
          </w:tcPr>
          <w:p w14:paraId="7FF23059">
            <w:pPr>
              <w:autoSpaceDE w:val="0"/>
              <w:autoSpaceDN w:val="0"/>
              <w:adjustRightInd w:val="0"/>
              <w:jc w:val="left"/>
              <w:rPr>
                <w:rFonts w:hint="eastAsia" w:hAnsi="宋体" w:cs="宋体"/>
                <w:kern w:val="0"/>
                <w:sz w:val="22"/>
                <w:highlight w:val="none"/>
              </w:rPr>
            </w:pPr>
          </w:p>
        </w:tc>
      </w:tr>
      <w:tr w14:paraId="57085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2" w:hRule="atLeast"/>
          <w:jc w:val="center"/>
        </w:trPr>
        <w:tc>
          <w:tcPr>
            <w:tcW w:w="1076" w:type="pct"/>
            <w:tcBorders>
              <w:top w:val="single" w:color="000000" w:sz="6" w:space="0"/>
              <w:bottom w:val="single" w:color="000000" w:sz="6" w:space="0"/>
              <w:right w:val="single" w:color="000000" w:sz="6" w:space="0"/>
            </w:tcBorders>
          </w:tcPr>
          <w:p w14:paraId="6FC35F71">
            <w:pPr>
              <w:autoSpaceDE w:val="0"/>
              <w:autoSpaceDN w:val="0"/>
              <w:adjustRightInd w:val="0"/>
              <w:spacing w:before="173"/>
              <w:ind w:left="132" w:right="119"/>
              <w:jc w:val="center"/>
              <w:rPr>
                <w:rFonts w:hint="eastAsia" w:ascii="宋体" w:hAnsi="宋体" w:cs="宋体"/>
                <w:kern w:val="0"/>
                <w:sz w:val="24"/>
                <w:highlight w:val="none"/>
              </w:rPr>
            </w:pPr>
            <w:r>
              <w:rPr>
                <w:rFonts w:hint="eastAsia" w:ascii="宋体" w:hAnsi="宋体" w:cs="宋体"/>
                <w:kern w:val="0"/>
                <w:sz w:val="24"/>
                <w:highlight w:val="none"/>
              </w:rPr>
              <w:t>合同履约时间</w:t>
            </w:r>
          </w:p>
        </w:tc>
        <w:tc>
          <w:tcPr>
            <w:tcW w:w="1258" w:type="pct"/>
            <w:tcBorders>
              <w:top w:val="single" w:color="000000" w:sz="6" w:space="0"/>
              <w:left w:val="single" w:color="000000" w:sz="6" w:space="0"/>
              <w:bottom w:val="single" w:color="000000" w:sz="6" w:space="0"/>
              <w:right w:val="single" w:color="000000" w:sz="6" w:space="0"/>
            </w:tcBorders>
          </w:tcPr>
          <w:p w14:paraId="3531624B">
            <w:pPr>
              <w:autoSpaceDE w:val="0"/>
              <w:autoSpaceDN w:val="0"/>
              <w:adjustRightInd w:val="0"/>
              <w:jc w:val="left"/>
              <w:rPr>
                <w:rFonts w:hint="eastAsia" w:hAnsi="宋体" w:cs="宋体"/>
                <w:kern w:val="0"/>
                <w:sz w:val="22"/>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4294B4FB">
            <w:pPr>
              <w:autoSpaceDE w:val="0"/>
              <w:autoSpaceDN w:val="0"/>
              <w:adjustRightInd w:val="0"/>
              <w:spacing w:before="173"/>
              <w:ind w:left="139" w:right="122"/>
              <w:jc w:val="center"/>
              <w:rPr>
                <w:rFonts w:hint="eastAsia" w:ascii="宋体" w:hAnsi="宋体" w:cs="宋体"/>
                <w:kern w:val="0"/>
                <w:sz w:val="24"/>
                <w:highlight w:val="none"/>
              </w:rPr>
            </w:pPr>
            <w:r>
              <w:rPr>
                <w:rFonts w:hint="eastAsia" w:ascii="宋体" w:hAnsi="宋体" w:cs="宋体"/>
                <w:kern w:val="0"/>
                <w:sz w:val="24"/>
                <w:highlight w:val="none"/>
              </w:rPr>
              <w:t>考评日期</w:t>
            </w:r>
          </w:p>
        </w:tc>
        <w:tc>
          <w:tcPr>
            <w:tcW w:w="1601" w:type="pct"/>
            <w:tcBorders>
              <w:top w:val="single" w:color="000000" w:sz="6" w:space="0"/>
              <w:left w:val="single" w:color="000000" w:sz="6" w:space="0"/>
              <w:bottom w:val="single" w:color="000000" w:sz="6" w:space="0"/>
            </w:tcBorders>
          </w:tcPr>
          <w:p w14:paraId="5DEFE3F0">
            <w:pPr>
              <w:tabs>
                <w:tab w:val="left" w:pos="1189"/>
                <w:tab w:val="left" w:pos="1789"/>
              </w:tabs>
              <w:autoSpaceDE w:val="0"/>
              <w:autoSpaceDN w:val="0"/>
              <w:adjustRightInd w:val="0"/>
              <w:spacing w:before="173"/>
              <w:ind w:left="589" w:firstLine="240" w:firstLineChars="100"/>
              <w:jc w:val="left"/>
              <w:rPr>
                <w:rFonts w:hint="eastAsia" w:ascii="宋体" w:hAnsi="宋体" w:cs="宋体"/>
                <w:kern w:val="0"/>
                <w:sz w:val="24"/>
                <w:highlight w:val="none"/>
              </w:rPr>
            </w:pPr>
            <w:r>
              <w:rPr>
                <w:rFonts w:hint="eastAsia" w:ascii="宋体" w:hAnsi="宋体" w:cs="宋体"/>
                <w:kern w:val="0"/>
                <w:sz w:val="24"/>
                <w:highlight w:val="none"/>
              </w:rPr>
              <w:t>年</w:t>
            </w:r>
            <w:r>
              <w:rPr>
                <w:rFonts w:hint="eastAsia" w:ascii="宋体" w:hAnsi="宋体" w:cs="宋体"/>
                <w:kern w:val="0"/>
                <w:sz w:val="24"/>
                <w:highlight w:val="none"/>
              </w:rPr>
              <w:tab/>
            </w:r>
            <w:r>
              <w:rPr>
                <w:rFonts w:hint="eastAsia" w:ascii="宋体" w:hAnsi="宋体" w:cs="宋体"/>
                <w:kern w:val="0"/>
                <w:sz w:val="24"/>
                <w:highlight w:val="none"/>
              </w:rPr>
              <w:t xml:space="preserve">  月  日</w:t>
            </w:r>
          </w:p>
        </w:tc>
      </w:tr>
      <w:tr w14:paraId="713E0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2" w:hRule="atLeast"/>
          <w:jc w:val="center"/>
        </w:trPr>
        <w:tc>
          <w:tcPr>
            <w:tcW w:w="1076" w:type="pct"/>
            <w:tcBorders>
              <w:top w:val="single" w:color="000000" w:sz="6" w:space="0"/>
              <w:bottom w:val="single" w:color="000000" w:sz="6" w:space="0"/>
              <w:right w:val="single" w:color="000000" w:sz="6" w:space="0"/>
            </w:tcBorders>
          </w:tcPr>
          <w:p w14:paraId="76102B92">
            <w:pPr>
              <w:autoSpaceDE w:val="0"/>
              <w:autoSpaceDN w:val="0"/>
              <w:adjustRightInd w:val="0"/>
              <w:spacing w:before="173"/>
              <w:ind w:left="132" w:right="119"/>
              <w:jc w:val="center"/>
              <w:rPr>
                <w:rFonts w:hint="eastAsia" w:ascii="宋体" w:hAnsi="宋体" w:cs="宋体"/>
                <w:kern w:val="0"/>
                <w:sz w:val="24"/>
                <w:highlight w:val="none"/>
              </w:rPr>
            </w:pPr>
            <w:r>
              <w:rPr>
                <w:rFonts w:hint="eastAsia" w:ascii="宋体" w:hAnsi="宋体" w:cs="宋体"/>
                <w:kern w:val="0"/>
                <w:sz w:val="24"/>
                <w:highlight w:val="none"/>
              </w:rPr>
              <w:t>学校名称</w:t>
            </w:r>
          </w:p>
        </w:tc>
        <w:tc>
          <w:tcPr>
            <w:tcW w:w="1258" w:type="pct"/>
            <w:tcBorders>
              <w:top w:val="single" w:color="000000" w:sz="6" w:space="0"/>
              <w:left w:val="single" w:color="000000" w:sz="6" w:space="0"/>
              <w:bottom w:val="single" w:color="000000" w:sz="6" w:space="0"/>
              <w:right w:val="single" w:color="000000" w:sz="6" w:space="0"/>
            </w:tcBorders>
            <w:vAlign w:val="center"/>
          </w:tcPr>
          <w:p w14:paraId="65647AD8">
            <w:pPr>
              <w:autoSpaceDE w:val="0"/>
              <w:autoSpaceDN w:val="0"/>
              <w:adjustRightInd w:val="0"/>
              <w:jc w:val="center"/>
              <w:rPr>
                <w:rFonts w:hint="eastAsia" w:hAnsi="宋体" w:cs="宋体"/>
                <w:kern w:val="0"/>
                <w:sz w:val="22"/>
                <w:highlight w:val="none"/>
              </w:rPr>
            </w:pPr>
            <w:r>
              <w:rPr>
                <w:rFonts w:hint="eastAsia" w:ascii="宋体" w:hAnsi="宋体" w:cs="宋体"/>
                <w:kern w:val="0"/>
                <w:sz w:val="24"/>
                <w:highlight w:val="none"/>
              </w:rPr>
              <w:t>季度考核评分</w:t>
            </w:r>
          </w:p>
        </w:tc>
        <w:tc>
          <w:tcPr>
            <w:tcW w:w="1063" w:type="pct"/>
            <w:tcBorders>
              <w:top w:val="single" w:color="000000" w:sz="6" w:space="0"/>
              <w:left w:val="single" w:color="000000" w:sz="6" w:space="0"/>
              <w:bottom w:val="single" w:color="000000" w:sz="6" w:space="0"/>
              <w:right w:val="single" w:color="000000" w:sz="6" w:space="0"/>
            </w:tcBorders>
          </w:tcPr>
          <w:p w14:paraId="5AC9A595">
            <w:pPr>
              <w:autoSpaceDE w:val="0"/>
              <w:autoSpaceDN w:val="0"/>
              <w:adjustRightInd w:val="0"/>
              <w:spacing w:before="173"/>
              <w:ind w:left="132" w:right="119"/>
              <w:jc w:val="center"/>
              <w:rPr>
                <w:rFonts w:hint="eastAsia" w:ascii="宋体" w:hAnsi="仿宋" w:cs="仿宋"/>
                <w:kern w:val="0"/>
                <w:sz w:val="24"/>
                <w:szCs w:val="22"/>
                <w:highlight w:val="none"/>
                <w:lang w:bidi="zh-CN"/>
              </w:rPr>
            </w:pPr>
            <w:r>
              <w:rPr>
                <w:rFonts w:hint="eastAsia" w:ascii="宋体" w:hAnsi="宋体" w:cs="宋体"/>
                <w:kern w:val="0"/>
                <w:sz w:val="24"/>
                <w:highlight w:val="none"/>
              </w:rPr>
              <w:t>学校名称</w:t>
            </w:r>
          </w:p>
        </w:tc>
        <w:tc>
          <w:tcPr>
            <w:tcW w:w="1601" w:type="pct"/>
            <w:tcBorders>
              <w:top w:val="single" w:color="000000" w:sz="6" w:space="0"/>
              <w:left w:val="single" w:color="000000" w:sz="6" w:space="0"/>
              <w:bottom w:val="single" w:color="000000" w:sz="6" w:space="0"/>
            </w:tcBorders>
            <w:vAlign w:val="center"/>
          </w:tcPr>
          <w:p w14:paraId="04E21B4D">
            <w:pPr>
              <w:autoSpaceDE w:val="0"/>
              <w:autoSpaceDN w:val="0"/>
              <w:adjustRightInd w:val="0"/>
              <w:jc w:val="center"/>
              <w:rPr>
                <w:rFonts w:hint="eastAsia" w:hAnsi="仿宋" w:eastAsia="仿宋" w:cs="仿宋"/>
                <w:kern w:val="0"/>
                <w:sz w:val="22"/>
                <w:szCs w:val="22"/>
                <w:highlight w:val="none"/>
                <w:lang w:val="zh-CN" w:bidi="zh-CN"/>
              </w:rPr>
            </w:pPr>
            <w:r>
              <w:rPr>
                <w:rFonts w:hint="eastAsia" w:ascii="宋体" w:hAnsi="宋体" w:cs="宋体"/>
                <w:kern w:val="0"/>
                <w:sz w:val="24"/>
                <w:highlight w:val="none"/>
              </w:rPr>
              <w:t>季度考核评分</w:t>
            </w:r>
          </w:p>
        </w:tc>
      </w:tr>
      <w:tr w14:paraId="75373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20" w:hRule="atLeast"/>
          <w:jc w:val="center"/>
        </w:trPr>
        <w:tc>
          <w:tcPr>
            <w:tcW w:w="1076" w:type="pct"/>
            <w:tcBorders>
              <w:top w:val="single" w:color="000000" w:sz="6" w:space="0"/>
              <w:bottom w:val="single" w:color="000000" w:sz="6" w:space="0"/>
              <w:right w:val="single" w:color="000000" w:sz="6" w:space="0"/>
            </w:tcBorders>
          </w:tcPr>
          <w:p w14:paraId="73C9B0F2">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1B963C83">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6D9C2629">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1A70D20E">
            <w:pPr>
              <w:autoSpaceDE w:val="0"/>
              <w:autoSpaceDN w:val="0"/>
              <w:adjustRightInd w:val="0"/>
              <w:jc w:val="center"/>
              <w:rPr>
                <w:rFonts w:hint="eastAsia" w:ascii="宋体" w:hAnsi="宋体" w:cs="宋体"/>
                <w:kern w:val="0"/>
                <w:szCs w:val="21"/>
                <w:highlight w:val="none"/>
              </w:rPr>
            </w:pPr>
          </w:p>
        </w:tc>
      </w:tr>
      <w:tr w14:paraId="4F023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615D3676">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4FFF2D99">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0B853388">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10169FEE">
            <w:pPr>
              <w:autoSpaceDE w:val="0"/>
              <w:autoSpaceDN w:val="0"/>
              <w:adjustRightInd w:val="0"/>
              <w:jc w:val="center"/>
              <w:rPr>
                <w:rFonts w:hint="eastAsia" w:ascii="宋体" w:hAnsi="宋体" w:cs="宋体"/>
                <w:kern w:val="0"/>
                <w:szCs w:val="21"/>
                <w:highlight w:val="none"/>
              </w:rPr>
            </w:pPr>
          </w:p>
        </w:tc>
      </w:tr>
      <w:tr w14:paraId="277A6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2323216B">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15C5C1F7">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5EAEEE21">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77F25A2D">
            <w:pPr>
              <w:autoSpaceDE w:val="0"/>
              <w:autoSpaceDN w:val="0"/>
              <w:adjustRightInd w:val="0"/>
              <w:jc w:val="center"/>
              <w:rPr>
                <w:rFonts w:hint="eastAsia" w:ascii="宋体" w:hAnsi="宋体" w:cs="宋体"/>
                <w:kern w:val="0"/>
                <w:szCs w:val="21"/>
                <w:highlight w:val="none"/>
              </w:rPr>
            </w:pPr>
          </w:p>
        </w:tc>
      </w:tr>
      <w:tr w14:paraId="23147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1E342EDF">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52F6D682">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62902D97">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5031D711">
            <w:pPr>
              <w:autoSpaceDE w:val="0"/>
              <w:autoSpaceDN w:val="0"/>
              <w:adjustRightInd w:val="0"/>
              <w:jc w:val="center"/>
              <w:rPr>
                <w:rFonts w:hint="eastAsia" w:ascii="宋体" w:hAnsi="宋体" w:cs="宋体"/>
                <w:kern w:val="0"/>
                <w:szCs w:val="21"/>
                <w:highlight w:val="none"/>
              </w:rPr>
            </w:pPr>
          </w:p>
        </w:tc>
      </w:tr>
      <w:tr w14:paraId="72D11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646CCAB6">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3CA98734">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4EB49C9F">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01E96B96">
            <w:pPr>
              <w:autoSpaceDE w:val="0"/>
              <w:autoSpaceDN w:val="0"/>
              <w:adjustRightInd w:val="0"/>
              <w:jc w:val="center"/>
              <w:rPr>
                <w:rFonts w:hint="eastAsia" w:ascii="宋体" w:hAnsi="宋体" w:cs="宋体"/>
                <w:kern w:val="0"/>
                <w:szCs w:val="21"/>
                <w:highlight w:val="none"/>
              </w:rPr>
            </w:pPr>
          </w:p>
        </w:tc>
      </w:tr>
      <w:tr w14:paraId="11643B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5B1BDE8C">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57359346">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3D5FCC48">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1F2CB68E">
            <w:pPr>
              <w:autoSpaceDE w:val="0"/>
              <w:autoSpaceDN w:val="0"/>
              <w:adjustRightInd w:val="0"/>
              <w:jc w:val="center"/>
              <w:rPr>
                <w:rFonts w:hint="eastAsia" w:ascii="宋体" w:hAnsi="宋体" w:cs="宋体"/>
                <w:kern w:val="0"/>
                <w:szCs w:val="21"/>
                <w:highlight w:val="none"/>
              </w:rPr>
            </w:pPr>
          </w:p>
        </w:tc>
      </w:tr>
      <w:tr w14:paraId="72784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4D4F70DD">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7BA9BA07">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3952A664">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32C609F2">
            <w:pPr>
              <w:autoSpaceDE w:val="0"/>
              <w:autoSpaceDN w:val="0"/>
              <w:adjustRightInd w:val="0"/>
              <w:jc w:val="center"/>
              <w:rPr>
                <w:rFonts w:hint="eastAsia" w:ascii="宋体" w:hAnsi="宋体" w:cs="宋体"/>
                <w:kern w:val="0"/>
                <w:szCs w:val="21"/>
                <w:highlight w:val="none"/>
              </w:rPr>
            </w:pPr>
          </w:p>
        </w:tc>
      </w:tr>
      <w:tr w14:paraId="69D9D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1076" w:type="pct"/>
            <w:tcBorders>
              <w:top w:val="single" w:color="000000" w:sz="6" w:space="0"/>
              <w:bottom w:val="single" w:color="000000" w:sz="6" w:space="0"/>
              <w:right w:val="single" w:color="000000" w:sz="6" w:space="0"/>
            </w:tcBorders>
          </w:tcPr>
          <w:p w14:paraId="0AEAEBE8">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258" w:type="pct"/>
            <w:tcBorders>
              <w:top w:val="single" w:color="000000" w:sz="6" w:space="0"/>
              <w:left w:val="single" w:color="000000" w:sz="6" w:space="0"/>
              <w:bottom w:val="single" w:color="000000" w:sz="6" w:space="0"/>
              <w:right w:val="single" w:color="000000" w:sz="6" w:space="0"/>
            </w:tcBorders>
            <w:vAlign w:val="center"/>
          </w:tcPr>
          <w:p w14:paraId="7168E18B">
            <w:pPr>
              <w:autoSpaceDE w:val="0"/>
              <w:autoSpaceDN w:val="0"/>
              <w:adjustRightInd w:val="0"/>
              <w:jc w:val="center"/>
              <w:rPr>
                <w:rFonts w:hint="eastAsia" w:ascii="宋体" w:hAnsi="宋体" w:cs="宋体"/>
                <w:kern w:val="0"/>
                <w:szCs w:val="21"/>
                <w:highlight w:val="none"/>
              </w:rPr>
            </w:pPr>
          </w:p>
        </w:tc>
        <w:tc>
          <w:tcPr>
            <w:tcW w:w="1063" w:type="pct"/>
            <w:tcBorders>
              <w:top w:val="single" w:color="000000" w:sz="6" w:space="0"/>
              <w:left w:val="single" w:color="000000" w:sz="6" w:space="0"/>
              <w:bottom w:val="single" w:color="000000" w:sz="6" w:space="0"/>
              <w:right w:val="single" w:color="000000" w:sz="6" w:space="0"/>
            </w:tcBorders>
          </w:tcPr>
          <w:p w14:paraId="5FA18F86">
            <w:pPr>
              <w:autoSpaceDE w:val="0"/>
              <w:autoSpaceDN w:val="0"/>
              <w:adjustRightInd w:val="0"/>
              <w:spacing w:before="173"/>
              <w:ind w:left="132" w:right="119"/>
              <w:jc w:val="center"/>
              <w:rPr>
                <w:rFonts w:hint="eastAsia" w:ascii="宋体" w:hAnsi="宋体" w:cs="宋体"/>
                <w:i/>
                <w:iCs/>
                <w:kern w:val="0"/>
                <w:szCs w:val="21"/>
                <w:highlight w:val="none"/>
                <w:u w:val="wave"/>
              </w:rPr>
            </w:pPr>
          </w:p>
        </w:tc>
        <w:tc>
          <w:tcPr>
            <w:tcW w:w="1601" w:type="pct"/>
            <w:tcBorders>
              <w:top w:val="single" w:color="000000" w:sz="6" w:space="0"/>
              <w:left w:val="single" w:color="000000" w:sz="6" w:space="0"/>
              <w:bottom w:val="single" w:color="000000" w:sz="6" w:space="0"/>
            </w:tcBorders>
            <w:vAlign w:val="center"/>
          </w:tcPr>
          <w:p w14:paraId="540BF599">
            <w:pPr>
              <w:autoSpaceDE w:val="0"/>
              <w:autoSpaceDN w:val="0"/>
              <w:adjustRightInd w:val="0"/>
              <w:jc w:val="center"/>
              <w:rPr>
                <w:rFonts w:hint="eastAsia" w:ascii="宋体" w:hAnsi="宋体" w:cs="宋体"/>
                <w:kern w:val="0"/>
                <w:szCs w:val="21"/>
                <w:highlight w:val="none"/>
              </w:rPr>
            </w:pPr>
          </w:p>
        </w:tc>
      </w:tr>
      <w:tr w14:paraId="6F40B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81" w:hRule="atLeast"/>
          <w:jc w:val="center"/>
        </w:trPr>
        <w:tc>
          <w:tcPr>
            <w:tcW w:w="1076" w:type="pct"/>
            <w:tcBorders>
              <w:top w:val="single" w:color="000000" w:sz="6" w:space="0"/>
              <w:bottom w:val="single" w:color="000000" w:sz="6" w:space="0"/>
              <w:right w:val="single" w:color="000000" w:sz="6" w:space="0"/>
            </w:tcBorders>
            <w:vAlign w:val="center"/>
          </w:tcPr>
          <w:p w14:paraId="531B818A">
            <w:pPr>
              <w:autoSpaceDE w:val="0"/>
              <w:autoSpaceDN w:val="0"/>
              <w:adjustRightInd w:val="0"/>
              <w:jc w:val="center"/>
              <w:rPr>
                <w:rFonts w:hint="eastAsia" w:ascii="宋体" w:hAnsi="宋体" w:cs="宋体"/>
                <w:kern w:val="0"/>
                <w:sz w:val="24"/>
                <w:highlight w:val="none"/>
              </w:rPr>
            </w:pPr>
            <w:r>
              <w:rPr>
                <w:rFonts w:hint="eastAsia" w:ascii="方正舒体" w:hAnsi="宋体" w:cs="宋体"/>
                <w:i/>
                <w:iCs/>
                <w:kern w:val="0"/>
                <w:sz w:val="24"/>
                <w:highlight w:val="none"/>
                <w:lang w:val="en-US" w:eastAsia="zh-CN"/>
              </w:rPr>
              <w:t>深圳市高级中学</w:t>
            </w:r>
            <w:r>
              <w:rPr>
                <w:rFonts w:hint="eastAsia" w:ascii="方正舒体" w:hAnsi="宋体" w:cs="宋体"/>
                <w:i/>
                <w:iCs/>
                <w:kern w:val="0"/>
                <w:sz w:val="24"/>
                <w:highlight w:val="none"/>
              </w:rPr>
              <w:t>归口职能部门</w:t>
            </w:r>
          </w:p>
        </w:tc>
        <w:tc>
          <w:tcPr>
            <w:tcW w:w="3923" w:type="pct"/>
            <w:gridSpan w:val="3"/>
            <w:tcBorders>
              <w:top w:val="single" w:color="000000" w:sz="6" w:space="0"/>
              <w:left w:val="single" w:color="000000" w:sz="6" w:space="0"/>
              <w:bottom w:val="single" w:color="000000" w:sz="6" w:space="0"/>
            </w:tcBorders>
          </w:tcPr>
          <w:p w14:paraId="6145662B">
            <w:pPr>
              <w:autoSpaceDE w:val="0"/>
              <w:autoSpaceDN w:val="0"/>
              <w:adjustRightInd w:val="0"/>
              <w:jc w:val="right"/>
              <w:rPr>
                <w:rFonts w:hint="eastAsia" w:hAnsi="宋体" w:cs="宋体"/>
                <w:kern w:val="0"/>
                <w:sz w:val="22"/>
                <w:highlight w:val="none"/>
              </w:rPr>
            </w:pPr>
          </w:p>
          <w:p w14:paraId="3E6D740F">
            <w:pPr>
              <w:autoSpaceDE w:val="0"/>
              <w:autoSpaceDN w:val="0"/>
              <w:adjustRightInd w:val="0"/>
              <w:jc w:val="right"/>
              <w:rPr>
                <w:rFonts w:hint="eastAsia" w:hAnsi="宋体" w:cs="宋体"/>
                <w:kern w:val="0"/>
                <w:sz w:val="22"/>
                <w:highlight w:val="none"/>
              </w:rPr>
            </w:pPr>
          </w:p>
          <w:p w14:paraId="080A47A2">
            <w:pPr>
              <w:autoSpaceDE w:val="0"/>
              <w:autoSpaceDN w:val="0"/>
              <w:adjustRightInd w:val="0"/>
              <w:jc w:val="right"/>
              <w:rPr>
                <w:rFonts w:hint="eastAsia" w:hAnsi="宋体" w:cs="宋体"/>
                <w:kern w:val="0"/>
                <w:sz w:val="22"/>
                <w:highlight w:val="none"/>
              </w:rPr>
            </w:pPr>
          </w:p>
          <w:p w14:paraId="0D6ABFB6">
            <w:pPr>
              <w:autoSpaceDE w:val="0"/>
              <w:autoSpaceDN w:val="0"/>
              <w:adjustRightInd w:val="0"/>
              <w:jc w:val="center"/>
              <w:rPr>
                <w:rFonts w:hint="eastAsia" w:ascii="方正舒体" w:hAnsi="宋体" w:eastAsia="仿宋" w:cs="宋体"/>
                <w:i/>
                <w:iCs/>
                <w:kern w:val="0"/>
                <w:sz w:val="24"/>
                <w:highlight w:val="none"/>
              </w:rPr>
            </w:pPr>
            <w:r>
              <w:rPr>
                <w:rFonts w:hint="eastAsia" w:ascii="方正舒体" w:hAnsi="宋体" w:cs="宋体"/>
                <w:i/>
                <w:iCs/>
                <w:kern w:val="0"/>
                <w:sz w:val="24"/>
                <w:highlight w:val="none"/>
              </w:rPr>
              <w:t>供应商季度综合评议考核评分及评价。</w:t>
            </w:r>
          </w:p>
          <w:p w14:paraId="534962E3">
            <w:pPr>
              <w:autoSpaceDE w:val="0"/>
              <w:autoSpaceDN w:val="0"/>
              <w:adjustRightInd w:val="0"/>
              <w:rPr>
                <w:rFonts w:hint="eastAsia" w:hAnsi="宋体" w:cs="宋体"/>
                <w:kern w:val="0"/>
                <w:sz w:val="22"/>
                <w:highlight w:val="none"/>
              </w:rPr>
            </w:pPr>
          </w:p>
          <w:p w14:paraId="41637A07">
            <w:pPr>
              <w:autoSpaceDE w:val="0"/>
              <w:autoSpaceDN w:val="0"/>
              <w:adjustRightInd w:val="0"/>
              <w:jc w:val="center"/>
              <w:rPr>
                <w:rFonts w:hint="eastAsia" w:hAnsi="宋体" w:cs="宋体"/>
                <w:kern w:val="0"/>
                <w:sz w:val="22"/>
                <w:highlight w:val="none"/>
              </w:rPr>
            </w:pPr>
          </w:p>
          <w:p w14:paraId="204D3709">
            <w:pPr>
              <w:autoSpaceDE w:val="0"/>
              <w:autoSpaceDN w:val="0"/>
              <w:adjustRightInd w:val="0"/>
              <w:jc w:val="center"/>
              <w:rPr>
                <w:rFonts w:hint="eastAsia" w:hAnsi="宋体" w:cs="宋体"/>
                <w:kern w:val="0"/>
                <w:sz w:val="22"/>
                <w:highlight w:val="none"/>
              </w:rPr>
            </w:pPr>
            <w:r>
              <w:rPr>
                <w:rFonts w:hint="eastAsia" w:hAnsi="宋体" w:cs="宋体"/>
                <w:kern w:val="0"/>
                <w:sz w:val="22"/>
                <w:highlight w:val="none"/>
              </w:rPr>
              <w:t xml:space="preserve">                                        签名：                           日期：</w:t>
            </w:r>
          </w:p>
          <w:p w14:paraId="4D451B9A">
            <w:pPr>
              <w:autoSpaceDE w:val="0"/>
              <w:autoSpaceDN w:val="0"/>
              <w:adjustRightInd w:val="0"/>
              <w:jc w:val="right"/>
              <w:rPr>
                <w:rFonts w:hint="eastAsia" w:hAnsi="宋体" w:cs="宋体"/>
                <w:kern w:val="0"/>
                <w:sz w:val="22"/>
                <w:highlight w:val="none"/>
              </w:rPr>
            </w:pPr>
          </w:p>
        </w:tc>
      </w:tr>
      <w:tr w14:paraId="17B22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3" w:hRule="atLeast"/>
          <w:jc w:val="center"/>
        </w:trPr>
        <w:tc>
          <w:tcPr>
            <w:tcW w:w="1076" w:type="pct"/>
            <w:tcBorders>
              <w:top w:val="single" w:color="000000" w:sz="6" w:space="0"/>
              <w:right w:val="single" w:color="000000" w:sz="6" w:space="0"/>
            </w:tcBorders>
          </w:tcPr>
          <w:p w14:paraId="212441DE">
            <w:pPr>
              <w:autoSpaceDE w:val="0"/>
              <w:autoSpaceDN w:val="0"/>
              <w:adjustRightInd w:val="0"/>
              <w:spacing w:before="139"/>
              <w:ind w:left="132" w:right="119"/>
              <w:jc w:val="center"/>
              <w:rPr>
                <w:rFonts w:hint="eastAsia" w:ascii="宋体" w:hAnsi="宋体" w:cs="宋体"/>
                <w:kern w:val="0"/>
                <w:sz w:val="24"/>
                <w:highlight w:val="none"/>
              </w:rPr>
            </w:pPr>
            <w:r>
              <w:rPr>
                <w:rFonts w:hint="eastAsia" w:ascii="宋体" w:hAnsi="宋体" w:cs="宋体"/>
                <w:kern w:val="0"/>
                <w:sz w:val="24"/>
                <w:highlight w:val="none"/>
              </w:rPr>
              <w:t>备注</w:t>
            </w:r>
          </w:p>
        </w:tc>
        <w:tc>
          <w:tcPr>
            <w:tcW w:w="3923" w:type="pct"/>
            <w:gridSpan w:val="3"/>
            <w:tcBorders>
              <w:top w:val="single" w:color="000000" w:sz="6" w:space="0"/>
              <w:left w:val="single" w:color="000000" w:sz="6" w:space="0"/>
            </w:tcBorders>
          </w:tcPr>
          <w:p w14:paraId="06FFA038">
            <w:pPr>
              <w:autoSpaceDE w:val="0"/>
              <w:autoSpaceDN w:val="0"/>
              <w:adjustRightInd w:val="0"/>
              <w:jc w:val="left"/>
              <w:rPr>
                <w:rFonts w:hint="eastAsia" w:hAnsi="宋体" w:cs="宋体"/>
                <w:kern w:val="0"/>
                <w:sz w:val="22"/>
                <w:highlight w:val="none"/>
              </w:rPr>
            </w:pPr>
          </w:p>
        </w:tc>
      </w:tr>
    </w:tbl>
    <w:p w14:paraId="292E7AD2">
      <w:pPr>
        <w:spacing w:before="168" w:line="338" w:lineRule="auto"/>
        <w:ind w:left="280" w:right="280" w:firstLine="640"/>
        <w:rPr>
          <w:highlight w:val="none"/>
        </w:rPr>
      </w:pPr>
      <w:r>
        <w:rPr>
          <w:rFonts w:hint="eastAsia" w:ascii="宋体" w:hAnsi="宋体"/>
          <w:w w:val="95"/>
          <w:highlight w:val="none"/>
        </w:rPr>
        <w:t>说明：季度考核得分为各学校提交的加盖学校公章的服务供应商月度考核评分表（评分内容完整无缺漏，并计算出总得分）中月度考核总得分的平均值；供应商季度综合评议考核评分</w:t>
      </w:r>
      <w:r>
        <w:rPr>
          <w:rFonts w:hint="eastAsia" w:ascii="宋体" w:hAnsi="宋体" w:cs="仿宋"/>
          <w:w w:val="95"/>
          <w:szCs w:val="32"/>
          <w:highlight w:val="none"/>
          <w:lang w:bidi="zh-CN"/>
        </w:rPr>
        <w:t>为其负责配送服务</w:t>
      </w:r>
      <w:r>
        <w:rPr>
          <w:rFonts w:hint="eastAsia" w:ascii="宋体" w:hAnsi="宋体" w:cs="仿宋"/>
          <w:w w:val="95"/>
          <w:szCs w:val="32"/>
          <w:highlight w:val="none"/>
          <w:lang w:val="en-US" w:bidi="zh-CN"/>
        </w:rPr>
        <w:t>范围</w:t>
      </w:r>
      <w:r>
        <w:rPr>
          <w:rFonts w:hint="eastAsia" w:ascii="宋体" w:hAnsi="宋体" w:cs="仿宋"/>
          <w:w w:val="95"/>
          <w:szCs w:val="32"/>
          <w:highlight w:val="none"/>
          <w:lang w:bidi="zh-CN"/>
        </w:rPr>
        <w:t>内</w:t>
      </w:r>
      <w:r>
        <w:rPr>
          <w:rFonts w:hint="eastAsia" w:ascii="宋体" w:hAnsi="宋体"/>
          <w:w w:val="95"/>
          <w:highlight w:val="none"/>
        </w:rPr>
        <w:t>各学校季度考核得分的平均值。</w:t>
      </w:r>
    </w:p>
    <w:p w14:paraId="66D9E757">
      <w:pPr>
        <w:rPr>
          <w:rFonts w:hint="eastAsia"/>
          <w:kern w:val="2"/>
          <w:highlight w:val="none"/>
        </w:rPr>
      </w:pPr>
      <w:r>
        <w:rPr>
          <w:rFonts w:hint="eastAsia"/>
          <w:kern w:val="2"/>
          <w:highlight w:val="none"/>
        </w:rPr>
        <w:br w:type="page"/>
      </w:r>
    </w:p>
    <w:p w14:paraId="3876C386">
      <w:pPr>
        <w:pStyle w:val="7"/>
        <w:ind w:firstLine="0"/>
        <w:outlineLvl w:val="2"/>
        <w:rPr>
          <w:rFonts w:ascii="宋体" w:hAnsi="宋体"/>
          <w:b/>
          <w:bCs/>
          <w:szCs w:val="21"/>
          <w:highlight w:val="none"/>
        </w:rPr>
      </w:pPr>
      <w:r>
        <w:rPr>
          <w:rFonts w:hint="eastAsia" w:ascii="宋体" w:hAnsi="宋体"/>
          <w:b/>
          <w:bCs/>
          <w:sz w:val="24"/>
          <w:szCs w:val="21"/>
          <w:highlight w:val="none"/>
        </w:rPr>
        <w:t xml:space="preserve">附件四 </w:t>
      </w:r>
      <w:r>
        <w:rPr>
          <w:rFonts w:ascii="宋体" w:hAnsi="宋体"/>
          <w:b/>
          <w:bCs/>
          <w:sz w:val="24"/>
          <w:szCs w:val="21"/>
          <w:highlight w:val="none"/>
        </w:rPr>
        <w:t xml:space="preserve"> </w:t>
      </w:r>
      <w:r>
        <w:rPr>
          <w:rFonts w:hint="eastAsia" w:ascii="宋体" w:hAnsi="宋体"/>
          <w:b/>
          <w:bCs/>
          <w:sz w:val="24"/>
          <w:szCs w:val="21"/>
          <w:highlight w:val="none"/>
        </w:rPr>
        <w:t>质量安全承诺书</w:t>
      </w:r>
    </w:p>
    <w:p w14:paraId="38D77A62">
      <w:pPr>
        <w:spacing w:line="400" w:lineRule="exact"/>
        <w:ind w:left="281" w:leftChars="134" w:firstLine="422" w:firstLineChars="200"/>
        <w:jc w:val="center"/>
        <w:rPr>
          <w:rFonts w:ascii="宋体" w:hAnsi="宋体" w:cs="宋体"/>
          <w:b/>
          <w:szCs w:val="21"/>
          <w:highlight w:val="none"/>
        </w:rPr>
      </w:pPr>
    </w:p>
    <w:p w14:paraId="6607DB80">
      <w:pPr>
        <w:spacing w:line="400" w:lineRule="exact"/>
        <w:ind w:left="281" w:leftChars="134" w:firstLine="422" w:firstLineChars="200"/>
        <w:jc w:val="center"/>
        <w:rPr>
          <w:rFonts w:ascii="宋体" w:hAnsi="宋体" w:cs="宋体"/>
          <w:b/>
          <w:szCs w:val="21"/>
          <w:highlight w:val="none"/>
        </w:rPr>
      </w:pPr>
      <w:r>
        <w:rPr>
          <w:rFonts w:hint="eastAsia" w:ascii="宋体" w:hAnsi="宋体" w:cs="宋体"/>
          <w:b/>
          <w:szCs w:val="21"/>
          <w:highlight w:val="none"/>
        </w:rPr>
        <w:t>质量安全承诺书</w:t>
      </w:r>
    </w:p>
    <w:p w14:paraId="32A2745E">
      <w:pPr>
        <w:spacing w:line="400" w:lineRule="exact"/>
        <w:ind w:firstLine="437"/>
        <w:rPr>
          <w:rFonts w:ascii="宋体" w:hAnsi="宋体" w:cs="宋体"/>
          <w:szCs w:val="21"/>
          <w:highlight w:val="none"/>
        </w:rPr>
      </w:pPr>
      <w:r>
        <w:rPr>
          <w:rFonts w:hint="eastAsia" w:ascii="宋体" w:hAnsi="宋体" w:cs="宋体"/>
          <w:szCs w:val="21"/>
          <w:highlight w:val="none"/>
        </w:rPr>
        <w:t>我公司清楚作为中标人需承担的法律责任和社会责任，将加强自律，并郑重承诺如下：</w:t>
      </w:r>
    </w:p>
    <w:p w14:paraId="059D9F30">
      <w:pPr>
        <w:spacing w:line="400" w:lineRule="exact"/>
        <w:ind w:firstLine="437"/>
        <w:rPr>
          <w:rFonts w:ascii="宋体" w:hAnsi="宋体" w:cs="宋体"/>
          <w:szCs w:val="21"/>
          <w:highlight w:val="none"/>
        </w:rPr>
      </w:pPr>
      <w:r>
        <w:rPr>
          <w:rFonts w:hint="eastAsia" w:ascii="宋体" w:hAnsi="宋体" w:cs="宋体"/>
          <w:szCs w:val="21"/>
          <w:highlight w:val="none"/>
        </w:rPr>
        <w:t>一、严格遵守《中华人民共和国食品安全法》、《中华人民共和国食品安全实施条例》、《国家食品卫生标准》、《农产品质量安全法》、《餐饮业和集体用餐配送单位卫生规范》等法律、法规和规章的规定从事经营活动，对贵单位和社会公众负责，保证食品安全，接受社会监督，承担社会责任。</w:t>
      </w:r>
    </w:p>
    <w:p w14:paraId="1298A2CC">
      <w:pPr>
        <w:spacing w:line="400" w:lineRule="exact"/>
        <w:ind w:firstLine="437"/>
        <w:rPr>
          <w:rFonts w:ascii="宋体" w:hAnsi="宋体" w:cs="宋体"/>
          <w:szCs w:val="21"/>
          <w:highlight w:val="none"/>
        </w:rPr>
      </w:pPr>
      <w:r>
        <w:rPr>
          <w:rFonts w:hint="eastAsia" w:ascii="宋体" w:hAnsi="宋体" w:cs="宋体"/>
          <w:szCs w:val="21"/>
          <w:highlight w:val="none"/>
        </w:rPr>
        <w:t>二、持有合格有效的《食品生产许可证》或《食品经营许可证》，以及《工商营业执照》，并保证在许可范围内提供符合食品卫生标准的货源，且提供每批次食品应由有资质的检验机构出具的检验合格证。</w:t>
      </w:r>
    </w:p>
    <w:p w14:paraId="71229ED1">
      <w:pPr>
        <w:spacing w:line="400" w:lineRule="exact"/>
        <w:ind w:firstLine="437"/>
        <w:rPr>
          <w:rFonts w:ascii="宋体" w:hAnsi="宋体" w:cs="宋体"/>
          <w:szCs w:val="21"/>
          <w:highlight w:val="none"/>
        </w:rPr>
      </w:pPr>
      <w:r>
        <w:rPr>
          <w:rFonts w:hint="eastAsia" w:ascii="宋体" w:hAnsi="宋体" w:cs="宋体"/>
          <w:szCs w:val="21"/>
          <w:highlight w:val="none"/>
        </w:rPr>
        <w:t>三、保证食品原料来源合法、安全，不提供以下食品：</w:t>
      </w:r>
    </w:p>
    <w:p w14:paraId="1692B012">
      <w:pPr>
        <w:spacing w:line="400" w:lineRule="exact"/>
        <w:ind w:firstLine="437"/>
        <w:rPr>
          <w:rFonts w:ascii="宋体" w:hAnsi="宋体" w:cs="宋体"/>
          <w:szCs w:val="21"/>
          <w:highlight w:val="none"/>
        </w:rPr>
      </w:pPr>
      <w:r>
        <w:rPr>
          <w:rFonts w:hint="eastAsia" w:ascii="宋体" w:hAnsi="宋体" w:cs="宋体"/>
          <w:szCs w:val="21"/>
          <w:highlight w:val="none"/>
        </w:rPr>
        <w:t>（一）无证、照的供应商、农贸市场等销售的米、面、食用油、调味料等食品、食品添加剂和一次性餐具等食品相关产品。</w:t>
      </w:r>
    </w:p>
    <w:p w14:paraId="047FF1D0">
      <w:pPr>
        <w:spacing w:line="400" w:lineRule="exact"/>
        <w:ind w:firstLine="437"/>
        <w:rPr>
          <w:rFonts w:ascii="宋体" w:hAnsi="宋体" w:cs="宋体"/>
          <w:szCs w:val="21"/>
          <w:highlight w:val="none"/>
        </w:rPr>
      </w:pPr>
      <w:r>
        <w:rPr>
          <w:rFonts w:hint="eastAsia" w:ascii="宋体" w:hAnsi="宋体" w:cs="宋体"/>
          <w:szCs w:val="21"/>
          <w:highlight w:val="none"/>
        </w:rPr>
        <w:t>（二）过期、变质或预包装无中文标识、无生产厂家、生产日期、标注内容不齐全、包装不完整或潲水油等假冒伪劣食用品。</w:t>
      </w:r>
    </w:p>
    <w:p w14:paraId="56D69CC4">
      <w:pPr>
        <w:spacing w:line="400" w:lineRule="exact"/>
        <w:ind w:firstLine="437"/>
        <w:rPr>
          <w:rFonts w:ascii="宋体" w:hAnsi="宋体" w:cs="宋体"/>
          <w:szCs w:val="21"/>
          <w:highlight w:val="none"/>
        </w:rPr>
      </w:pPr>
      <w:r>
        <w:rPr>
          <w:rFonts w:hint="eastAsia" w:ascii="宋体" w:hAnsi="宋体" w:cs="宋体"/>
          <w:szCs w:val="21"/>
          <w:highlight w:val="none"/>
        </w:rPr>
        <w:t>（三）非定点屠宰单位供应、未经检疫合格的猪肉，来源不明或不符合要求的水产品，以及病死或者死因不明的禽兽肉及其制品。</w:t>
      </w:r>
    </w:p>
    <w:p w14:paraId="617A1A13">
      <w:pPr>
        <w:spacing w:line="400" w:lineRule="exact"/>
        <w:ind w:firstLine="437"/>
        <w:rPr>
          <w:rFonts w:ascii="宋体" w:hAnsi="宋体" w:cs="宋体"/>
          <w:szCs w:val="21"/>
          <w:highlight w:val="none"/>
        </w:rPr>
      </w:pPr>
      <w:r>
        <w:rPr>
          <w:rFonts w:hint="eastAsia" w:ascii="宋体" w:hAnsi="宋体" w:cs="宋体"/>
          <w:szCs w:val="21"/>
          <w:highlight w:val="none"/>
        </w:rPr>
        <w:t>（四）《食品安全法》第三十四条禁止生产经营的其他食品。</w:t>
      </w:r>
    </w:p>
    <w:p w14:paraId="0BC2366D">
      <w:pPr>
        <w:spacing w:line="400" w:lineRule="exact"/>
        <w:ind w:firstLine="437"/>
        <w:rPr>
          <w:rFonts w:ascii="宋体" w:hAnsi="宋体" w:cs="宋体"/>
          <w:szCs w:val="21"/>
          <w:highlight w:val="none"/>
        </w:rPr>
      </w:pPr>
      <w:r>
        <w:rPr>
          <w:rFonts w:hint="eastAsia" w:ascii="宋体" w:hAnsi="宋体" w:cs="宋体"/>
          <w:szCs w:val="21"/>
          <w:highlight w:val="none"/>
        </w:rPr>
        <w:t>四、不弄虚作假，造成食堂食品安全问题的，我公司承担一切法律后果和赔偿责任；经检测不合格的产品，同意一律当场销毁。</w:t>
      </w:r>
    </w:p>
    <w:p w14:paraId="44C3DFF8">
      <w:pPr>
        <w:spacing w:line="400" w:lineRule="exact"/>
        <w:ind w:firstLine="437"/>
        <w:rPr>
          <w:rFonts w:ascii="宋体" w:hAnsi="宋体" w:cs="宋体"/>
          <w:szCs w:val="21"/>
          <w:highlight w:val="none"/>
        </w:rPr>
      </w:pPr>
      <w:r>
        <w:rPr>
          <w:rFonts w:hint="eastAsia" w:ascii="宋体" w:hAnsi="宋体" w:cs="宋体"/>
          <w:szCs w:val="21"/>
          <w:highlight w:val="none"/>
        </w:rPr>
        <w:t>五、自觉建立票、据、证档案，无条件配合食堂工作人员建立食品原料、食品添加剂、食品相关产品进货查验记录制度，按要求如实记录相关进货信息。</w:t>
      </w:r>
    </w:p>
    <w:p w14:paraId="3150FCBE">
      <w:pPr>
        <w:spacing w:line="400" w:lineRule="exact"/>
        <w:ind w:firstLine="437"/>
        <w:rPr>
          <w:rFonts w:ascii="宋体" w:hAnsi="宋体" w:cs="宋体"/>
          <w:szCs w:val="21"/>
          <w:highlight w:val="none"/>
        </w:rPr>
      </w:pPr>
      <w:r>
        <w:rPr>
          <w:rFonts w:hint="eastAsia" w:ascii="宋体" w:hAnsi="宋体" w:cs="宋体"/>
          <w:szCs w:val="21"/>
          <w:highlight w:val="none"/>
        </w:rPr>
        <w:t>六、接收和配合市场监督管理部门对本单位的食品安全监督检查，如实提供有关情况资料，并落实监督部门提出的整改意见，发现食品安全问题及时报告。</w:t>
      </w:r>
    </w:p>
    <w:p w14:paraId="6662DF90">
      <w:pPr>
        <w:spacing w:line="400" w:lineRule="exact"/>
        <w:ind w:firstLine="437"/>
        <w:rPr>
          <w:rFonts w:ascii="宋体" w:hAnsi="宋体" w:cs="宋体"/>
          <w:szCs w:val="21"/>
          <w:highlight w:val="none"/>
        </w:rPr>
      </w:pPr>
      <w:r>
        <w:rPr>
          <w:rFonts w:hint="eastAsia" w:ascii="宋体" w:hAnsi="宋体" w:cs="宋体"/>
          <w:szCs w:val="21"/>
          <w:highlight w:val="none"/>
        </w:rPr>
        <w:t>七、自行承担工作及运输过程的安全生产管理及责任</w:t>
      </w:r>
    </w:p>
    <w:p w14:paraId="6FCDE6A2">
      <w:pPr>
        <w:spacing w:line="400" w:lineRule="exact"/>
        <w:ind w:firstLine="437"/>
        <w:rPr>
          <w:rFonts w:ascii="宋体" w:hAnsi="宋体" w:cs="宋体"/>
          <w:szCs w:val="21"/>
          <w:highlight w:val="none"/>
        </w:rPr>
      </w:pPr>
      <w:r>
        <w:rPr>
          <w:rFonts w:hint="eastAsia" w:ascii="宋体" w:hAnsi="宋体" w:cs="宋体"/>
          <w:szCs w:val="21"/>
          <w:highlight w:val="none"/>
        </w:rPr>
        <w:t>本公司自愿签署以上承诺，并将严格履行承诺，如有违法，愿意承担相应的法律责任，并接受处罚。欢迎社会各界予以监督。该承诺书与合同具有同等的法律效率。</w:t>
      </w:r>
    </w:p>
    <w:p w14:paraId="027F2C0E">
      <w:pPr>
        <w:adjustRightInd w:val="0"/>
        <w:snapToGrid w:val="0"/>
        <w:spacing w:line="400" w:lineRule="exact"/>
        <w:rPr>
          <w:rFonts w:ascii="宋体" w:hAnsi="宋体" w:cs="宋体"/>
          <w:szCs w:val="21"/>
          <w:highlight w:val="none"/>
        </w:rPr>
      </w:pPr>
      <w:r>
        <w:rPr>
          <w:rFonts w:hint="eastAsia" w:ascii="宋体" w:hAnsi="宋体" w:cs="宋体"/>
          <w:szCs w:val="21"/>
          <w:highlight w:val="none"/>
        </w:rPr>
        <w:t xml:space="preserve">                                              投标单位：（盖章）</w:t>
      </w:r>
    </w:p>
    <w:p w14:paraId="3FF4D27C">
      <w:pPr>
        <w:adjustRightInd w:val="0"/>
        <w:snapToGrid w:val="0"/>
        <w:spacing w:line="400" w:lineRule="exact"/>
        <w:rPr>
          <w:rFonts w:ascii="宋体" w:hAnsi="宋体" w:cs="宋体"/>
          <w:szCs w:val="21"/>
          <w:highlight w:val="none"/>
        </w:rPr>
      </w:pPr>
      <w:r>
        <w:rPr>
          <w:rFonts w:hint="eastAsia" w:ascii="宋体" w:hAnsi="宋体" w:cs="宋体"/>
          <w:szCs w:val="21"/>
          <w:highlight w:val="none"/>
        </w:rPr>
        <w:t xml:space="preserve">                                              授权代表或法人代表：（签字）</w:t>
      </w:r>
    </w:p>
    <w:p w14:paraId="06B00207">
      <w:pPr>
        <w:ind w:left="420"/>
        <w:rPr>
          <w:rFonts w:ascii="宋体" w:hAnsi="宋体" w:cs="宋体"/>
          <w:highlight w:val="none"/>
        </w:rPr>
      </w:pPr>
      <w:r>
        <w:rPr>
          <w:rFonts w:hint="eastAsia" w:ascii="宋体" w:hAnsi="宋体" w:cs="宋体"/>
          <w:szCs w:val="21"/>
          <w:highlight w:val="none"/>
        </w:rPr>
        <w:t xml:space="preserve">                                                年      月     日</w:t>
      </w:r>
    </w:p>
    <w:p w14:paraId="2CBEB24B">
      <w:pPr>
        <w:ind w:firstLine="420" w:firstLineChars="200"/>
        <w:rPr>
          <w:rFonts w:hint="eastAsia" w:ascii="Times New Roman" w:eastAsia="宋体"/>
          <w:bCs/>
          <w:szCs w:val="21"/>
        </w:rPr>
      </w:pPr>
    </w:p>
    <w:p w14:paraId="2F2E22F9"/>
    <w:p w14:paraId="78ECD777">
      <w:pPr>
        <w:adjustRightInd w:val="0"/>
        <w:spacing w:before="60" w:beforeLines="25" w:after="60" w:afterLines="25" w:line="276" w:lineRule="auto"/>
        <w:rPr>
          <w:rFonts w:ascii="Times New Roman" w:hAnsi="Times New Roman" w:eastAsia="宋体" w:cs="Times New Roman"/>
          <w:szCs w:val="24"/>
        </w:rPr>
      </w:pPr>
    </w:p>
    <w:p w14:paraId="73648A8F">
      <w:pPr>
        <w:widowControl/>
        <w:jc w:val="left"/>
        <w:rPr>
          <w:rFonts w:hint="eastAsia" w:ascii="宋体" w:hAnsi="宋体" w:eastAsia="宋体" w:cs="Times New Roman"/>
          <w:b/>
          <w:bCs/>
          <w:sz w:val="24"/>
          <w:szCs w:val="20"/>
        </w:rPr>
      </w:pPr>
    </w:p>
    <w:p w14:paraId="34D6CCD5">
      <w:pPr>
        <w:jc w:val="center"/>
        <w:rPr>
          <w:rFonts w:ascii="宋体" w:hAnsi="宋体" w:eastAsia="宋体"/>
          <w:b/>
          <w:bCs/>
          <w:sz w:val="28"/>
          <w:szCs w:val="28"/>
          <w:lang w:eastAsia="zh-CN"/>
        </w:rPr>
      </w:pPr>
      <w:r>
        <w:rPr>
          <w:rFonts w:hint="eastAsia" w:ascii="Times New Roman" w:hAnsi="Times New Roman" w:eastAsia="宋体" w:cs="Times New Roman"/>
          <w:szCs w:val="24"/>
        </w:rPr>
        <w:br w:type="page"/>
      </w:r>
      <w:r>
        <w:rPr>
          <w:rFonts w:hint="eastAsia" w:ascii="宋体" w:hAnsi="宋体" w:eastAsia="宋体"/>
          <w:b/>
          <w:bCs/>
          <w:sz w:val="28"/>
          <w:szCs w:val="28"/>
          <w:lang w:eastAsia="zh-CN"/>
        </w:rPr>
        <w:t>第四章 投标文件组成要求及格式</w:t>
      </w:r>
    </w:p>
    <w:p w14:paraId="5C9A6CF3">
      <w:pPr>
        <w:widowControl w:val="0"/>
        <w:jc w:val="both"/>
        <w:rPr>
          <w:rFonts w:ascii="黑体" w:eastAsia="黑体"/>
          <w:bCs/>
          <w:kern w:val="2"/>
          <w:lang w:eastAsia="zh-CN"/>
        </w:rPr>
      </w:pPr>
      <w:r>
        <w:rPr>
          <w:rFonts w:hint="eastAsia" w:ascii="黑体" w:eastAsia="黑体"/>
          <w:bCs/>
          <w:kern w:val="2"/>
          <w:lang w:eastAsia="zh-CN"/>
        </w:rPr>
        <w:t>特别提醒：</w:t>
      </w:r>
    </w:p>
    <w:p w14:paraId="6E966ECF">
      <w:pPr>
        <w:widowControl w:val="0"/>
        <w:tabs>
          <w:tab w:val="left" w:pos="1470"/>
        </w:tabs>
        <w:snapToGrid w:val="0"/>
        <w:spacing w:line="320" w:lineRule="atLeast"/>
        <w:ind w:firstLine="42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1.投标人在编辑投标文件时，在投标文件目录中属于本节点内容的需在对应节点中填写，填写到其他节点后果由供应商自行承担。</w:t>
      </w:r>
    </w:p>
    <w:p w14:paraId="1A7B6595">
      <w:pPr>
        <w:widowControl w:val="0"/>
        <w:tabs>
          <w:tab w:val="left" w:pos="1470"/>
        </w:tabs>
        <w:snapToGrid w:val="0"/>
        <w:spacing w:line="320" w:lineRule="atLeast"/>
        <w:ind w:firstLine="42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2.投标文件均不对外公开。</w:t>
      </w:r>
    </w:p>
    <w:p w14:paraId="26C3F941">
      <w:pPr>
        <w:ind w:firstLine="482" w:firstLineChars="200"/>
        <w:rPr>
          <w:rFonts w:hint="eastAsia" w:ascii="宋体" w:hAnsi="宋体" w:eastAsia="宋体" w:cs="Times New Roman"/>
          <w:b/>
          <w:sz w:val="24"/>
          <w:szCs w:val="24"/>
        </w:rPr>
      </w:pPr>
    </w:p>
    <w:p w14:paraId="32BFCB48">
      <w:pPr>
        <w:widowControl/>
        <w:jc w:val="left"/>
        <w:rPr>
          <w:rFonts w:hint="eastAsia" w:ascii="宋体" w:hAnsi="宋体" w:eastAsia="宋体" w:cs="Times New Roman"/>
          <w:b/>
          <w:bCs/>
          <w:sz w:val="28"/>
          <w:szCs w:val="28"/>
        </w:rPr>
      </w:pPr>
      <w:r>
        <w:rPr>
          <w:rFonts w:hint="eastAsia" w:ascii="宋体" w:hAnsi="宋体" w:eastAsia="宋体" w:cs="Times New Roman"/>
          <w:b/>
          <w:bCs/>
          <w:sz w:val="28"/>
          <w:szCs w:val="28"/>
        </w:rPr>
        <w:t>投标文件组成：</w:t>
      </w:r>
    </w:p>
    <w:p w14:paraId="5D37AB76">
      <w:pPr>
        <w:rPr>
          <w:rFonts w:ascii="Times New Roman" w:hAnsi="Times New Roman" w:eastAsia="宋体" w:cs="Times New Roman"/>
          <w:sz w:val="24"/>
          <w:szCs w:val="24"/>
        </w:rPr>
      </w:pPr>
    </w:p>
    <w:p w14:paraId="73127BEC">
      <w:pPr>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1.投标文件主要包括以下内容：</w:t>
      </w:r>
    </w:p>
    <w:p w14:paraId="30A94BEC">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bookmarkStart w:id="31" w:name="_Hlk72070784"/>
      <w:r>
        <w:rPr>
          <w:rFonts w:hint="eastAsia" w:eastAsia="宋体"/>
          <w:kern w:val="2"/>
          <w:sz w:val="21"/>
          <w:szCs w:val="21"/>
          <w:lang w:eastAsia="zh-CN"/>
        </w:rPr>
        <w:t>投标函</w:t>
      </w:r>
      <w:bookmarkEnd w:id="31"/>
    </w:p>
    <w:p w14:paraId="3195CE62">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（2）采购投标及履约承诺函</w:t>
      </w:r>
    </w:p>
    <w:p w14:paraId="38E8B8AF">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3</w:t>
      </w:r>
      <w:r>
        <w:rPr>
          <w:rFonts w:hint="eastAsia" w:eastAsia="宋体"/>
          <w:kern w:val="2"/>
          <w:sz w:val="21"/>
          <w:szCs w:val="21"/>
          <w:lang w:eastAsia="zh-CN"/>
        </w:rPr>
        <w:t>）投标人情况及资格证明文件</w:t>
      </w:r>
    </w:p>
    <w:p w14:paraId="708EDDDA">
      <w:pPr>
        <w:widowControl w:val="0"/>
        <w:ind w:firstLine="840" w:firstLineChars="400"/>
        <w:jc w:val="both"/>
        <w:rPr>
          <w:rFonts w:eastAsia="宋体"/>
          <w:kern w:val="2"/>
          <w:sz w:val="21"/>
          <w:szCs w:val="21"/>
          <w:lang w:eastAsia="zh-CN"/>
        </w:rPr>
      </w:pPr>
      <w:bookmarkStart w:id="32" w:name="_Hlk72257201"/>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）项目详细报价</w:t>
      </w:r>
    </w:p>
    <w:bookmarkEnd w:id="32"/>
    <w:p w14:paraId="0755D16F">
      <w:pPr>
        <w:widowControl w:val="0"/>
        <w:ind w:firstLine="840" w:firstLineChars="400"/>
        <w:jc w:val="both"/>
        <w:rPr>
          <w:rFonts w:hint="eastAsia" w:eastAsia="宋体"/>
          <w:kern w:val="2"/>
          <w:sz w:val="21"/>
          <w:szCs w:val="21"/>
          <w:lang w:eastAsia="zh-CN"/>
        </w:rPr>
      </w:pPr>
      <w:r>
        <w:rPr>
          <w:rFonts w:hint="eastAsia" w:eastAsia="宋体"/>
          <w:kern w:val="2"/>
          <w:sz w:val="21"/>
          <w:szCs w:val="21"/>
          <w:lang w:eastAsia="zh-CN"/>
        </w:rPr>
        <w:t>（5）供应商基本情况表</w:t>
      </w:r>
    </w:p>
    <w:p w14:paraId="68A65268">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（6）法定代表人（负责人）证明书</w:t>
      </w:r>
    </w:p>
    <w:p w14:paraId="7727C1F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（7）投标文件签署授权委托书</w:t>
      </w:r>
    </w:p>
    <w:p w14:paraId="5C0BD79E">
      <w:pPr>
        <w:widowControl w:val="0"/>
        <w:ind w:firstLine="840" w:firstLineChars="400"/>
        <w:jc w:val="both"/>
        <w:rPr>
          <w:rFonts w:hint="eastAsia" w:eastAsia="宋体"/>
          <w:kern w:val="2"/>
          <w:sz w:val="21"/>
          <w:szCs w:val="21"/>
          <w:lang w:val="en-US" w:eastAsia="zh-CN"/>
        </w:rPr>
      </w:pPr>
      <w:r>
        <w:rPr>
          <w:rFonts w:hint="eastAsia" w:eastAsia="宋体"/>
          <w:kern w:val="2"/>
          <w:sz w:val="21"/>
          <w:szCs w:val="21"/>
          <w:lang w:eastAsia="zh-CN"/>
        </w:rPr>
        <w:t>（8）</w:t>
      </w:r>
      <w:r>
        <w:rPr>
          <w:rFonts w:hint="eastAsia" w:eastAsia="宋体"/>
          <w:kern w:val="2"/>
          <w:sz w:val="21"/>
          <w:szCs w:val="21"/>
          <w:lang w:val="en-US" w:eastAsia="zh-CN"/>
        </w:rPr>
        <w:t>实质性情况响应表</w:t>
      </w:r>
    </w:p>
    <w:p w14:paraId="145D05AA">
      <w:pPr>
        <w:widowControl w:val="0"/>
        <w:ind w:firstLine="840" w:firstLineChars="400"/>
        <w:jc w:val="both"/>
        <w:rPr>
          <w:rFonts w:hint="default" w:eastAsia="宋体"/>
          <w:kern w:val="2"/>
          <w:sz w:val="21"/>
          <w:szCs w:val="21"/>
          <w:lang w:val="en-US" w:eastAsia="zh-CN"/>
        </w:rPr>
      </w:pPr>
      <w:r>
        <w:rPr>
          <w:rFonts w:hint="eastAsia" w:eastAsia="宋体"/>
          <w:kern w:val="2"/>
          <w:sz w:val="21"/>
          <w:szCs w:val="21"/>
          <w:lang w:val="en-US" w:eastAsia="zh-CN"/>
        </w:rPr>
        <w:t>（9）配送服务方案</w:t>
      </w:r>
    </w:p>
    <w:p w14:paraId="26F4E890">
      <w:pPr>
        <w:widowControl w:val="0"/>
        <w:ind w:firstLine="840" w:firstLineChars="400"/>
        <w:jc w:val="both"/>
        <w:rPr>
          <w:rFonts w:hint="eastAsia" w:eastAsia="宋体"/>
          <w:kern w:val="2"/>
          <w:sz w:val="21"/>
          <w:szCs w:val="21"/>
          <w:lang w:eastAsia="zh-CN"/>
        </w:rPr>
      </w:pPr>
      <w:r>
        <w:rPr>
          <w:rFonts w:hint="eastAsia" w:eastAsia="宋体"/>
          <w:kern w:val="2"/>
          <w:sz w:val="21"/>
          <w:szCs w:val="21"/>
          <w:lang w:eastAsia="zh-CN"/>
        </w:rPr>
        <w:t>（</w:t>
      </w:r>
      <w:r>
        <w:rPr>
          <w:rFonts w:hint="eastAsia" w:eastAsia="宋体"/>
          <w:kern w:val="2"/>
          <w:sz w:val="21"/>
          <w:szCs w:val="21"/>
          <w:lang w:val="en-US" w:eastAsia="zh-CN"/>
        </w:rPr>
        <w:t>10</w:t>
      </w:r>
      <w:r>
        <w:rPr>
          <w:rFonts w:hint="eastAsia" w:eastAsia="宋体"/>
          <w:kern w:val="2"/>
          <w:sz w:val="21"/>
          <w:szCs w:val="21"/>
          <w:lang w:eastAsia="zh-CN"/>
        </w:rPr>
        <w:t>）质量保证方案</w:t>
      </w:r>
    </w:p>
    <w:p w14:paraId="74F399DD">
      <w:pPr>
        <w:widowControl w:val="0"/>
        <w:ind w:firstLine="840" w:firstLineChars="400"/>
        <w:jc w:val="both"/>
        <w:rPr>
          <w:rFonts w:hint="eastAsia"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1</w:t>
      </w:r>
      <w:r>
        <w:rPr>
          <w:rFonts w:hint="eastAsia" w:eastAsia="宋体"/>
          <w:kern w:val="2"/>
          <w:sz w:val="21"/>
          <w:szCs w:val="21"/>
          <w:lang w:eastAsia="zh-CN"/>
        </w:rPr>
        <w:t>）</w:t>
      </w:r>
      <w:r>
        <w:rPr>
          <w:rFonts w:hint="eastAsia" w:ascii="Times New Roman" w:hAnsi="Times New Roman" w:eastAsia="宋体" w:cs="Times New Roman"/>
          <w:szCs w:val="21"/>
        </w:rPr>
        <w:t>应急方案</w:t>
      </w:r>
    </w:p>
    <w:p w14:paraId="0D7E31EE">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2</w:t>
      </w:r>
      <w:r>
        <w:rPr>
          <w:rFonts w:hint="eastAsia" w:eastAsia="宋体"/>
          <w:kern w:val="2"/>
          <w:sz w:val="21"/>
          <w:szCs w:val="21"/>
          <w:lang w:eastAsia="zh-CN"/>
        </w:rPr>
        <w:t>）</w:t>
      </w:r>
      <w:r>
        <w:rPr>
          <w:rFonts w:hint="eastAsia" w:eastAsia="宋体"/>
          <w:kern w:val="2"/>
          <w:sz w:val="21"/>
          <w:szCs w:val="21"/>
          <w:lang w:val="en-US" w:eastAsia="zh-CN"/>
        </w:rPr>
        <w:t>保险情况</w:t>
      </w:r>
    </w:p>
    <w:p w14:paraId="4521130C">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3</w:t>
      </w:r>
      <w:r>
        <w:rPr>
          <w:rFonts w:hint="eastAsia" w:eastAsia="宋体"/>
          <w:kern w:val="2"/>
          <w:sz w:val="21"/>
          <w:szCs w:val="21"/>
          <w:lang w:eastAsia="zh-CN"/>
        </w:rPr>
        <w:t>）</w:t>
      </w:r>
      <w:r>
        <w:rPr>
          <w:rFonts w:hint="eastAsia" w:ascii="Times New Roman" w:hAnsi="Times New Roman" w:eastAsia="宋体" w:cs="Times New Roman"/>
          <w:szCs w:val="21"/>
        </w:rPr>
        <w:t>拟安排的项目负责人情况（仅限1人）</w:t>
      </w:r>
    </w:p>
    <w:p w14:paraId="46CBEC9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4</w:t>
      </w:r>
      <w:r>
        <w:rPr>
          <w:rFonts w:hint="eastAsia" w:eastAsia="宋体"/>
          <w:kern w:val="2"/>
          <w:sz w:val="21"/>
          <w:szCs w:val="21"/>
          <w:lang w:eastAsia="zh-CN"/>
        </w:rPr>
        <w:t>）</w:t>
      </w:r>
      <w:r>
        <w:rPr>
          <w:rFonts w:hint="eastAsia" w:ascii="Times New Roman" w:hAnsi="Times New Roman" w:eastAsia="宋体" w:cs="Times New Roman"/>
          <w:szCs w:val="21"/>
        </w:rPr>
        <w:t>定量检测能力情况</w:t>
      </w:r>
    </w:p>
    <w:p w14:paraId="52B17C8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5</w:t>
      </w:r>
      <w:r>
        <w:rPr>
          <w:rFonts w:hint="eastAsia" w:eastAsia="宋体"/>
          <w:kern w:val="2"/>
          <w:sz w:val="21"/>
          <w:szCs w:val="21"/>
          <w:lang w:eastAsia="zh-CN"/>
        </w:rPr>
        <w:t>）</w:t>
      </w:r>
      <w:r>
        <w:rPr>
          <w:rFonts w:hint="eastAsia" w:ascii="Times New Roman" w:hAnsi="Times New Roman" w:eastAsia="宋体" w:cs="Times New Roman"/>
          <w:szCs w:val="21"/>
        </w:rPr>
        <w:t>拟投入本项目车辆情况</w:t>
      </w:r>
    </w:p>
    <w:p w14:paraId="7A3B49C6">
      <w:pPr>
        <w:widowControl w:val="0"/>
        <w:ind w:firstLine="840" w:firstLineChars="400"/>
        <w:jc w:val="both"/>
        <w:rPr>
          <w:rFonts w:hint="eastAsia" w:ascii="宋体" w:hAnsi="宋体" w:eastAsia="宋体" w:cs="宋体"/>
          <w:kern w:val="2"/>
          <w:sz w:val="21"/>
          <w:szCs w:val="21"/>
          <w:lang w:val="en-US" w:eastAsia="zh-CN"/>
        </w:rPr>
      </w:pPr>
      <w:r>
        <w:rPr>
          <w:rFonts w:hint="eastAsia" w:eastAsia="宋体"/>
          <w:kern w:val="2"/>
          <w:sz w:val="21"/>
          <w:szCs w:val="21"/>
          <w:lang w:eastAsia="zh-CN"/>
        </w:rPr>
        <w:t>（1</w:t>
      </w:r>
      <w:r>
        <w:rPr>
          <w:rFonts w:hint="eastAsia" w:eastAsia="宋体"/>
          <w:kern w:val="2"/>
          <w:sz w:val="21"/>
          <w:szCs w:val="21"/>
          <w:lang w:val="en-US" w:eastAsia="zh-CN"/>
        </w:rPr>
        <w:t>6</w:t>
      </w:r>
      <w:r>
        <w:rPr>
          <w:rFonts w:hint="eastAsia" w:eastAsia="宋体"/>
          <w:kern w:val="2"/>
          <w:sz w:val="21"/>
          <w:szCs w:val="21"/>
          <w:lang w:eastAsia="zh-CN"/>
        </w:rPr>
        <w:t>）</w:t>
      </w:r>
      <w:r>
        <w:rPr>
          <w:rFonts w:hint="eastAsia" w:ascii="宋体" w:hAnsi="宋体" w:eastAsia="宋体" w:cs="宋体"/>
          <w:kern w:val="2"/>
          <w:sz w:val="21"/>
          <w:szCs w:val="21"/>
          <w:lang w:val="en-US" w:eastAsia="zh-CN"/>
        </w:rPr>
        <w:t>冷库情况</w:t>
      </w:r>
    </w:p>
    <w:p w14:paraId="4052C9AE">
      <w:pPr>
        <w:widowControl w:val="0"/>
        <w:ind w:firstLine="840" w:firstLineChars="400"/>
        <w:jc w:val="both"/>
        <w:rPr>
          <w:rFonts w:hint="default" w:eastAsia="宋体"/>
          <w:kern w:val="2"/>
          <w:sz w:val="21"/>
          <w:szCs w:val="21"/>
          <w:lang w:val="en-US" w:eastAsia="zh-CN"/>
        </w:rPr>
      </w:pPr>
      <w:r>
        <w:rPr>
          <w:rFonts w:hint="eastAsia" w:eastAsia="宋体"/>
          <w:kern w:val="2"/>
          <w:sz w:val="21"/>
          <w:szCs w:val="21"/>
          <w:lang w:eastAsia="zh-CN"/>
        </w:rPr>
        <w:t>（1</w:t>
      </w:r>
      <w:r>
        <w:rPr>
          <w:rFonts w:hint="eastAsia" w:eastAsia="宋体"/>
          <w:kern w:val="2"/>
          <w:sz w:val="21"/>
          <w:szCs w:val="21"/>
          <w:lang w:val="en-US" w:eastAsia="zh-CN"/>
        </w:rPr>
        <w:t>7</w:t>
      </w:r>
      <w:r>
        <w:rPr>
          <w:rFonts w:hint="eastAsia" w:eastAsia="宋体"/>
          <w:kern w:val="2"/>
          <w:sz w:val="21"/>
          <w:szCs w:val="21"/>
          <w:lang w:eastAsia="zh-CN"/>
        </w:rPr>
        <w:t>）</w:t>
      </w:r>
      <w:r>
        <w:rPr>
          <w:rFonts w:hint="eastAsia" w:ascii="宋体" w:hAnsi="宋体" w:eastAsia="宋体" w:cs="宋体"/>
          <w:kern w:val="2"/>
          <w:sz w:val="21"/>
          <w:szCs w:val="21"/>
          <w:lang w:val="en-US" w:eastAsia="zh-CN"/>
        </w:rPr>
        <w:t>信息化管理</w:t>
      </w:r>
    </w:p>
    <w:p w14:paraId="12CA30C2">
      <w:pPr>
        <w:widowControl w:val="0"/>
        <w:ind w:left="840" w:leftChars="400" w:firstLine="0" w:firstLineChars="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8</w:t>
      </w:r>
      <w:r>
        <w:rPr>
          <w:rFonts w:hint="eastAsia" w:eastAsia="宋体"/>
          <w:kern w:val="2"/>
          <w:sz w:val="21"/>
          <w:szCs w:val="21"/>
          <w:lang w:eastAsia="zh-CN"/>
        </w:rPr>
        <w:t>）</w:t>
      </w:r>
      <w:r>
        <w:rPr>
          <w:rFonts w:hint="eastAsia" w:ascii="Times New Roman" w:hAnsi="Times New Roman" w:eastAsia="宋体" w:cs="Times New Roman"/>
          <w:szCs w:val="21"/>
        </w:rPr>
        <w:t>投标人通过相关认证情况</w:t>
      </w:r>
    </w:p>
    <w:p w14:paraId="27F3754C">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r>
        <w:rPr>
          <w:rFonts w:hint="eastAsia" w:eastAsia="宋体"/>
          <w:kern w:val="2"/>
          <w:sz w:val="21"/>
          <w:szCs w:val="21"/>
          <w:lang w:val="en-US" w:eastAsia="zh-CN"/>
        </w:rPr>
        <w:t>9</w:t>
      </w:r>
      <w:r>
        <w:rPr>
          <w:rFonts w:hint="eastAsia" w:eastAsia="宋体"/>
          <w:kern w:val="2"/>
          <w:sz w:val="21"/>
          <w:szCs w:val="21"/>
          <w:lang w:eastAsia="zh-CN"/>
        </w:rPr>
        <w:t>）</w:t>
      </w:r>
      <w:r>
        <w:rPr>
          <w:rFonts w:hint="eastAsia" w:ascii="宋体" w:hAnsi="宋体" w:eastAsia="宋体" w:cs="宋体"/>
          <w:kern w:val="2"/>
          <w:sz w:val="21"/>
          <w:szCs w:val="21"/>
          <w:lang w:val="en-US" w:eastAsia="zh-CN"/>
        </w:rPr>
        <w:t>同类业绩</w:t>
      </w:r>
    </w:p>
    <w:p w14:paraId="3EF31A13">
      <w:pPr>
        <w:widowControl w:val="0"/>
        <w:ind w:firstLine="840" w:firstLineChars="400"/>
        <w:jc w:val="both"/>
        <w:rPr>
          <w:rFonts w:ascii="仿宋_GB2312" w:eastAsia="仿宋_GB2312"/>
          <w:kern w:val="2"/>
          <w:lang w:eastAsia="zh-CN"/>
        </w:rPr>
      </w:pPr>
      <w:r>
        <w:rPr>
          <w:rFonts w:hint="eastAsia" w:eastAsia="宋体"/>
          <w:kern w:val="2"/>
          <w:sz w:val="21"/>
          <w:szCs w:val="21"/>
          <w:lang w:eastAsia="zh-CN"/>
        </w:rPr>
        <w:t>（</w:t>
      </w:r>
      <w:r>
        <w:rPr>
          <w:rFonts w:hint="eastAsia" w:eastAsia="宋体"/>
          <w:kern w:val="2"/>
          <w:sz w:val="21"/>
          <w:szCs w:val="21"/>
          <w:lang w:val="en-US" w:eastAsia="zh-CN"/>
        </w:rPr>
        <w:t>20</w:t>
      </w:r>
      <w:r>
        <w:rPr>
          <w:rFonts w:hint="eastAsia" w:eastAsia="宋体"/>
          <w:kern w:val="2"/>
          <w:sz w:val="21"/>
          <w:szCs w:val="21"/>
          <w:lang w:eastAsia="zh-CN"/>
        </w:rPr>
        <w:t>）</w:t>
      </w:r>
      <w:bookmarkStart w:id="95" w:name="_GoBack"/>
      <w:r>
        <w:rPr>
          <w:rFonts w:hint="eastAsia" w:eastAsia="宋体"/>
          <w:kern w:val="2"/>
          <w:sz w:val="21"/>
          <w:szCs w:val="21"/>
          <w:lang w:eastAsia="zh-CN"/>
        </w:rPr>
        <w:t>投标人认为需要加以说明的其他内容</w:t>
      </w:r>
      <w:bookmarkEnd w:id="95"/>
    </w:p>
    <w:p w14:paraId="4D05EE2E">
      <w:pPr>
        <w:widowControl w:val="0"/>
        <w:ind w:firstLine="426" w:firstLineChars="202"/>
        <w:jc w:val="both"/>
        <w:rPr>
          <w:rFonts w:ascii="宋体" w:hAnsi="宋体" w:eastAsia="宋体"/>
          <w:b/>
          <w:kern w:val="2"/>
          <w:sz w:val="21"/>
          <w:szCs w:val="21"/>
          <w:lang w:eastAsia="zh-CN"/>
        </w:rPr>
      </w:pPr>
    </w:p>
    <w:p w14:paraId="3B2CE92D">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备注：1.本项目为网上电子投标项目，投标文件不需法人或授权委托人另行签字，无需加盖单位公章，招标文件专用条款另有规定的除外。</w:t>
      </w:r>
    </w:p>
    <w:p w14:paraId="0CF7B70E">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2.关于填写“开标一览表”的说明：“开标一览表”中除“投标报价”外，其他信息不作评审依据。</w:t>
      </w:r>
    </w:p>
    <w:p w14:paraId="1E58B745">
      <w:pPr>
        <w:jc w:val="left"/>
        <w:rPr>
          <w:rFonts w:hint="eastAsia" w:ascii="宋体" w:hAnsi="宋体" w:eastAsia="宋体" w:cs="Times New Roman"/>
          <w:b/>
          <w:color w:val="FF0000"/>
          <w:sz w:val="36"/>
          <w:szCs w:val="36"/>
        </w:rPr>
      </w:pPr>
      <w:r>
        <w:rPr>
          <w:rFonts w:hint="eastAsia" w:ascii="宋体" w:hAnsi="宋体" w:eastAsia="宋体" w:cs="Times New Roman"/>
          <w:b/>
          <w:color w:val="FF0000"/>
          <w:sz w:val="36"/>
          <w:szCs w:val="36"/>
        </w:rPr>
        <w:br w:type="page"/>
      </w:r>
    </w:p>
    <w:p w14:paraId="5AC74078">
      <w:pPr>
        <w:outlineLvl w:val="1"/>
        <w:rPr>
          <w:rFonts w:hint="eastAsia" w:ascii="宋体" w:hAnsi="宋体" w:eastAsia="宋体" w:cs="Times New Roman"/>
          <w:b/>
          <w:color w:val="FF0000"/>
          <w:sz w:val="28"/>
          <w:szCs w:val="28"/>
        </w:rPr>
      </w:pPr>
      <w:r>
        <w:rPr>
          <w:rFonts w:hint="eastAsia" w:ascii="宋体" w:hAnsi="宋体" w:eastAsia="宋体" w:cs="Times New Roman"/>
          <w:b/>
          <w:color w:val="FF0000"/>
          <w:sz w:val="28"/>
          <w:szCs w:val="28"/>
        </w:rPr>
        <w:t>投标文件正文（信息公开部分）</w:t>
      </w:r>
    </w:p>
    <w:p w14:paraId="23663C5D">
      <w:pPr>
        <w:keepNext/>
        <w:keepLines/>
        <w:spacing w:before="260" w:after="260" w:line="360" w:lineRule="auto"/>
        <w:jc w:val="center"/>
        <w:outlineLvl w:val="2"/>
        <w:rPr>
          <w:rFonts w:hint="eastAsia" w:ascii="黑体" w:hAnsi="宋体" w:eastAsia="黑体" w:cs="Times New Roman"/>
          <w:bCs/>
          <w:kern w:val="0"/>
          <w:sz w:val="24"/>
          <w:szCs w:val="32"/>
        </w:rPr>
      </w:pPr>
      <w:r>
        <w:rPr>
          <w:rFonts w:hint="eastAsia" w:ascii="黑体" w:hAnsi="宋体" w:eastAsia="黑体" w:cs="Times New Roman"/>
          <w:bCs/>
          <w:kern w:val="0"/>
          <w:sz w:val="24"/>
          <w:szCs w:val="32"/>
        </w:rPr>
        <w:t>一、投标函</w:t>
      </w:r>
    </w:p>
    <w:p w14:paraId="25A756BD">
      <w:pPr>
        <w:spacing w:line="360" w:lineRule="auto"/>
        <w:rPr>
          <w:rFonts w:hint="eastAsia" w:ascii="宋体" w:hAnsi="宋体" w:eastAsia="宋体" w:cs="宋体"/>
          <w:color w:val="000000"/>
          <w:szCs w:val="21"/>
        </w:rPr>
      </w:pPr>
      <w:r>
        <w:rPr>
          <w:rFonts w:hint="eastAsia" w:ascii="宋体" w:hAnsi="宋体" w:eastAsia="宋体" w:cs="宋体"/>
          <w:szCs w:val="21"/>
        </w:rPr>
        <w:t>致：</w:t>
      </w:r>
      <w:r>
        <w:rPr>
          <w:rFonts w:hint="eastAsia" w:ascii="宋体" w:hAnsi="宋体" w:eastAsia="宋体" w:cs="宋体"/>
          <w:color w:val="FF0000"/>
          <w:szCs w:val="21"/>
          <w:u w:val="single"/>
        </w:rPr>
        <w:t xml:space="preserve">  深圳公共资源交易中心  </w:t>
      </w:r>
    </w:p>
    <w:p w14:paraId="038D139A">
      <w:pPr>
        <w:spacing w:line="360" w:lineRule="auto"/>
        <w:ind w:firstLine="420" w:firstLineChars="200"/>
        <w:rPr>
          <w:rFonts w:hint="eastAsia" w:ascii="宋体" w:hAnsi="宋体" w:eastAsia="宋体" w:cs="宋体"/>
          <w:szCs w:val="21"/>
        </w:rPr>
      </w:pPr>
      <w:bookmarkStart w:id="33" w:name="_Hlk73818812"/>
      <w:r>
        <w:rPr>
          <w:rFonts w:hint="eastAsia" w:ascii="宋体" w:hAnsi="宋体" w:eastAsia="宋体" w:cs="宋体"/>
          <w:szCs w:val="21"/>
        </w:rPr>
        <w:t>1.根据已收到贵单位的项目编号为</w:t>
      </w:r>
      <w:r>
        <w:rPr>
          <w:rFonts w:hint="eastAsia"/>
          <w:szCs w:val="21"/>
          <w:u w:val="thick"/>
        </w:rPr>
        <w:t xml:space="preserve">        </w:t>
      </w:r>
      <w:r>
        <w:rPr>
          <w:rFonts w:hint="eastAsia"/>
          <w:szCs w:val="21"/>
        </w:rPr>
        <w:t>的</w:t>
      </w:r>
      <w:r>
        <w:rPr>
          <w:rFonts w:hint="eastAsia"/>
          <w:szCs w:val="21"/>
          <w:u w:val="thick"/>
        </w:rPr>
        <w:t xml:space="preserve">    </w:t>
      </w:r>
      <w:r>
        <w:rPr>
          <w:rFonts w:hint="eastAsia" w:eastAsia="宋体"/>
          <w:szCs w:val="21"/>
          <w:u w:val="thick"/>
        </w:rPr>
        <w:t>（</w:t>
      </w:r>
      <w:r>
        <w:rPr>
          <w:rFonts w:hint="eastAsia"/>
          <w:szCs w:val="21"/>
          <w:u w:val="thick"/>
        </w:rPr>
        <w:t>项目</w:t>
      </w:r>
      <w:r>
        <w:rPr>
          <w:rFonts w:hint="eastAsia" w:ascii="Times New Roman" w:eastAsia="宋体"/>
          <w:szCs w:val="21"/>
          <w:u w:val="thick"/>
        </w:rPr>
        <w:t>名称</w:t>
      </w:r>
      <w:r>
        <w:rPr>
          <w:rFonts w:hint="eastAsia" w:eastAsia="宋体"/>
          <w:szCs w:val="21"/>
          <w:u w:val="thick"/>
        </w:rPr>
        <w:t>）</w:t>
      </w:r>
      <w:r>
        <w:rPr>
          <w:rFonts w:hint="eastAsia"/>
          <w:szCs w:val="21"/>
          <w:u w:val="thick"/>
        </w:rPr>
        <w:t xml:space="preserve">       </w:t>
      </w:r>
      <w:r>
        <w:rPr>
          <w:rFonts w:hint="eastAsia" w:ascii="宋体" w:hAnsi="宋体" w:eastAsia="宋体" w:cs="宋体"/>
          <w:szCs w:val="21"/>
        </w:rPr>
        <w:t>项目的招标文件，遵照《深圳经济特区政府采购条例》和《深圳网上政府采购管理暂行办法》等有关规定，我单位经研究上述招标文件的专用条款及通用条款后，</w:t>
      </w:r>
      <w:bookmarkStart w:id="34" w:name="_Hlk72263588"/>
      <w:r>
        <w:rPr>
          <w:rFonts w:hint="eastAsia" w:ascii="宋体" w:hAnsi="宋体" w:eastAsia="宋体" w:cs="宋体"/>
          <w:szCs w:val="21"/>
        </w:rPr>
        <w:t>愿意按照招标文件要求承包上述项目并修补其任何缺陷。</w:t>
      </w:r>
      <w:bookmarkEnd w:id="34"/>
    </w:p>
    <w:p w14:paraId="26793EC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2.投标价格见投标书编制软件中《开标一览表》中填写的投标</w:t>
      </w:r>
      <w:r>
        <w:rPr>
          <w:rFonts w:hint="eastAsia"/>
          <w:szCs w:val="21"/>
        </w:rPr>
        <w:t>总</w:t>
      </w:r>
      <w:r>
        <w:rPr>
          <w:rFonts w:hint="eastAsia" w:ascii="宋体" w:hAnsi="宋体" w:eastAsia="宋体" w:cs="宋体"/>
          <w:szCs w:val="21"/>
        </w:rPr>
        <w:t>价。</w:t>
      </w:r>
    </w:p>
    <w:p w14:paraId="127C67F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3.如果我单位中标，我单位将按照招标文件的要求</w:t>
      </w:r>
      <w:r>
        <w:rPr>
          <w:rFonts w:hint="eastAsia" w:ascii="宋体" w:hAnsi="宋体"/>
          <w:szCs w:val="21"/>
        </w:rPr>
        <w:t>足额</w:t>
      </w:r>
      <w:r>
        <w:rPr>
          <w:rFonts w:hint="eastAsia" w:ascii="宋体" w:hAnsi="宋体" w:eastAsia="宋体" w:cs="宋体"/>
          <w:szCs w:val="21"/>
        </w:rPr>
        <w:t>提交履约担保。</w:t>
      </w:r>
    </w:p>
    <w:p w14:paraId="5028151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4.我单位同意所递交的投标文件在“对通用条款的补充内容”中明确的投标有效期内有效，在此期间内我单位的投标有可能中标，我方将受此约束。</w:t>
      </w:r>
    </w:p>
    <w:p w14:paraId="14EE458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5.除非另外达成协议并生效，贵单位的中标通知书和本投标文件将构成合同的重要内容。</w:t>
      </w:r>
    </w:p>
    <w:p w14:paraId="1213A391">
      <w:pPr>
        <w:spacing w:line="360" w:lineRule="auto"/>
        <w:ind w:left="525" w:leftChars="200" w:hanging="105" w:hangingChars="50"/>
        <w:rPr>
          <w:rFonts w:hint="eastAsia" w:ascii="宋体" w:hAnsi="宋体" w:eastAsia="宋体" w:cs="宋体"/>
          <w:szCs w:val="21"/>
        </w:rPr>
      </w:pPr>
      <w:r>
        <w:rPr>
          <w:rFonts w:hint="eastAsia" w:ascii="宋体" w:hAnsi="宋体" w:eastAsia="宋体" w:cs="宋体"/>
          <w:szCs w:val="21"/>
        </w:rPr>
        <w:t>6.我单位理解贵单位将不受必须接受所收到的最低报价或其它任何投标文件的约束。</w:t>
      </w:r>
      <w:bookmarkEnd w:id="33"/>
    </w:p>
    <w:p w14:paraId="6C757B6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7.如我单位提交样品，且未在规定时间内取回样品的，视同放弃取回，同意深圳公共资源交易中心对我单位提交的样品进行清理。</w:t>
      </w:r>
    </w:p>
    <w:p w14:paraId="7550B932">
      <w:pPr>
        <w:spacing w:line="360" w:lineRule="auto"/>
        <w:ind w:firstLine="420" w:firstLineChars="200"/>
        <w:rPr>
          <w:rFonts w:hint="eastAsia" w:ascii="宋体" w:hAnsi="宋体" w:eastAsia="宋体" w:cs="宋体"/>
          <w:szCs w:val="21"/>
        </w:rPr>
      </w:pPr>
    </w:p>
    <w:p w14:paraId="5A41B00C">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投标人：</w:t>
      </w:r>
      <w:r>
        <w:rPr>
          <w:rFonts w:hint="eastAsia" w:ascii="宋体" w:hAnsi="宋体" w:eastAsia="宋体" w:cs="宋体"/>
          <w:szCs w:val="21"/>
          <w:u w:val="single"/>
        </w:rPr>
        <w:t xml:space="preserve">                   </w:t>
      </w:r>
      <w:r>
        <w:rPr>
          <w:rFonts w:hint="eastAsia" w:ascii="宋体" w:hAnsi="宋体" w:eastAsia="宋体" w:cs="宋体"/>
          <w:szCs w:val="21"/>
        </w:rPr>
        <w:t xml:space="preserve">    单位地址：</w:t>
      </w:r>
      <w:r>
        <w:rPr>
          <w:rFonts w:hint="eastAsia" w:ascii="宋体" w:hAnsi="宋体" w:eastAsia="宋体" w:cs="宋体"/>
          <w:szCs w:val="21"/>
          <w:u w:val="single"/>
        </w:rPr>
        <w:t xml:space="preserve">               </w:t>
      </w:r>
    </w:p>
    <w:p w14:paraId="20AECD93">
      <w:pPr>
        <w:spacing w:line="360" w:lineRule="auto"/>
        <w:ind w:firstLine="420" w:firstLineChars="200"/>
        <w:rPr>
          <w:rFonts w:hint="eastAsia" w:ascii="宋体" w:hAnsi="宋体" w:eastAsia="宋体" w:cs="宋体"/>
          <w:szCs w:val="21"/>
          <w:u w:val="single"/>
        </w:rPr>
      </w:pPr>
      <w:r>
        <w:rPr>
          <w:rFonts w:hint="eastAsia" w:ascii="宋体" w:hAnsi="宋体" w:eastAsia="宋体" w:cs="宋体"/>
          <w:szCs w:val="21"/>
        </w:rPr>
        <w:t>法定代表人（负责人）或其授权委托代理人：</w:t>
      </w:r>
      <w:r>
        <w:rPr>
          <w:rFonts w:hint="eastAsia" w:ascii="宋体" w:hAnsi="宋体" w:eastAsia="宋体" w:cs="宋体"/>
          <w:szCs w:val="21"/>
          <w:u w:val="single"/>
        </w:rPr>
        <w:t xml:space="preserve">                   </w:t>
      </w:r>
    </w:p>
    <w:p w14:paraId="620BB46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电话：</w:t>
      </w:r>
      <w:r>
        <w:rPr>
          <w:rFonts w:hint="eastAsia" w:ascii="宋体" w:hAnsi="宋体" w:eastAsia="宋体" w:cs="宋体"/>
          <w:szCs w:val="21"/>
          <w:u w:val="single"/>
        </w:rPr>
        <w:t xml:space="preserve">          </w:t>
      </w:r>
      <w:r>
        <w:rPr>
          <w:rFonts w:hint="eastAsia" w:ascii="宋体" w:hAnsi="宋体" w:eastAsia="宋体" w:cs="宋体"/>
          <w:szCs w:val="21"/>
        </w:rPr>
        <w:t xml:space="preserve">  </w:t>
      </w:r>
    </w:p>
    <w:p w14:paraId="3F7AAB9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 xml:space="preserve">日                                </w:t>
      </w:r>
    </w:p>
    <w:p w14:paraId="1B75675C">
      <w:pPr>
        <w:rPr>
          <w:rFonts w:hint="eastAsia" w:ascii="黑体" w:hAnsi="宋体" w:eastAsia="黑体" w:cs="Times New Roman"/>
          <w:szCs w:val="24"/>
        </w:rPr>
      </w:pPr>
    </w:p>
    <w:p w14:paraId="7A4F019F">
      <w:pPr>
        <w:rPr>
          <w:rFonts w:hint="eastAsia" w:ascii="黑体" w:hAnsi="宋体" w:eastAsia="黑体" w:cs="Times New Roman"/>
          <w:szCs w:val="24"/>
        </w:rPr>
      </w:pPr>
    </w:p>
    <w:p w14:paraId="42B8440C">
      <w:pPr>
        <w:rPr>
          <w:rFonts w:ascii="黑体" w:hAnsi="Times New Roman" w:eastAsia="黑体" w:cs="Times New Roman"/>
          <w:kern w:val="0"/>
          <w:sz w:val="24"/>
          <w:szCs w:val="24"/>
        </w:rPr>
      </w:pPr>
      <w:r>
        <w:rPr>
          <w:rFonts w:hint="eastAsia" w:ascii="黑体" w:hAnsi="Times New Roman" w:eastAsia="黑体" w:cs="Times New Roman"/>
          <w:kern w:val="0"/>
          <w:sz w:val="24"/>
          <w:szCs w:val="24"/>
        </w:rPr>
        <w:br w:type="page"/>
      </w:r>
    </w:p>
    <w:p w14:paraId="65AB7696">
      <w:pPr>
        <w:keepNext/>
        <w:keepLines/>
        <w:widowControl w:val="0"/>
        <w:spacing w:before="260" w:after="260" w:line="240" w:lineRule="auto"/>
        <w:jc w:val="center"/>
        <w:outlineLvl w:val="2"/>
        <w:rPr>
          <w:rFonts w:ascii="黑体" w:hAnsi="宋体" w:eastAsia="黑体"/>
          <w:bCs/>
          <w:szCs w:val="32"/>
          <w:lang w:eastAsia="zh-CN"/>
        </w:rPr>
      </w:pPr>
      <w:r>
        <w:rPr>
          <w:rFonts w:hint="eastAsia" w:ascii="黑体" w:hAnsi="宋体" w:eastAsia="黑体"/>
          <w:bCs/>
          <w:szCs w:val="32"/>
          <w:lang w:eastAsia="zh-CN"/>
        </w:rPr>
        <w:t>二、采购投标及履约承诺函</w:t>
      </w:r>
    </w:p>
    <w:p w14:paraId="7897AEF0">
      <w:pPr>
        <w:widowControl w:val="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致：深圳公共资源交易中心（深圳交易集团有限公司政府采购业务分公司）</w:t>
      </w:r>
    </w:p>
    <w:p w14:paraId="3FD5A689">
      <w:pPr>
        <w:widowControl w:val="0"/>
        <w:ind w:right="-815"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我单位承诺：</w:t>
      </w:r>
    </w:p>
    <w:p w14:paraId="1754D4F4">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1.我单位参与本项目</w:t>
      </w:r>
      <w:r>
        <w:rPr>
          <w:rFonts w:hint="eastAsia" w:ascii="宋体" w:hAnsi="宋体" w:eastAsia="宋体" w:cs="宋体"/>
          <w:kern w:val="2"/>
          <w:sz w:val="21"/>
          <w:lang w:eastAsia="zh-CN" w:bidi="ar"/>
        </w:rPr>
        <w:t>所投标（响应）的货物、工程或服务，不存在侵犯知识产权的情况。</w:t>
      </w:r>
    </w:p>
    <w:p w14:paraId="36F5A135">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2.我单位</w:t>
      </w:r>
      <w:r>
        <w:rPr>
          <w:rFonts w:hint="eastAsia" w:ascii="宋体" w:hAnsi="宋体" w:eastAsia="宋体" w:cs="宋体"/>
          <w:sz w:val="21"/>
          <w:szCs w:val="21"/>
          <w:lang w:eastAsia="zh-CN"/>
        </w:rPr>
        <w:t>参与本项目采购活动时</w:t>
      </w:r>
      <w:r>
        <w:rPr>
          <w:rFonts w:hint="eastAsia" w:eastAsia="宋体" w:cs="宋体"/>
          <w:kern w:val="2"/>
          <w:sz w:val="21"/>
          <w:lang w:eastAsia="zh-CN" w:bidi="ar"/>
        </w:rPr>
        <w:t>不存在被有关部门禁止参与政府采购活动且在有效期内的情况。</w:t>
      </w:r>
      <w:r>
        <w:rPr>
          <w:rFonts w:hint="eastAsia" w:eastAsia="宋体"/>
          <w:kern w:val="2"/>
          <w:sz w:val="21"/>
          <w:lang w:eastAsia="zh-CN"/>
        </w:rPr>
        <w:t>符合招标文件关于联合体及进口产品的相关资格要求。</w:t>
      </w:r>
    </w:p>
    <w:p w14:paraId="561DE933">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3.我单位具备《中华人民共和国政府采购法》第二十二条第一款规定的六项条件。</w:t>
      </w:r>
    </w:p>
    <w:p w14:paraId="0FE46F52">
      <w:pPr>
        <w:widowControl w:val="0"/>
        <w:ind w:firstLine="420" w:firstLineChars="200"/>
        <w:jc w:val="both"/>
        <w:rPr>
          <w:rFonts w:eastAsia="宋体"/>
          <w:kern w:val="2"/>
          <w:sz w:val="21"/>
          <w:lang w:eastAsia="zh-CN"/>
        </w:rPr>
      </w:pPr>
      <w:r>
        <w:rPr>
          <w:rFonts w:hint="eastAsia" w:ascii="宋体" w:hAnsi="宋体" w:eastAsia="宋体" w:cs="宋体"/>
          <w:kern w:val="2"/>
          <w:sz w:val="21"/>
          <w:szCs w:val="21"/>
          <w:lang w:eastAsia="zh-CN" w:bidi="ar"/>
        </w:rPr>
        <w:t>4.我单位</w:t>
      </w:r>
      <w:r>
        <w:rPr>
          <w:rFonts w:hint="eastAsia" w:eastAsia="宋体" w:cs="宋体"/>
          <w:kern w:val="2"/>
          <w:sz w:val="21"/>
          <w:lang w:eastAsia="zh-CN" w:bidi="ar"/>
        </w:rPr>
        <w:t>未被列入失信被执行人、重大税收违法案件当事人名单、政府采购严重违法失信行为记录名单。</w:t>
      </w:r>
    </w:p>
    <w:p w14:paraId="062EC36A">
      <w:pPr>
        <w:widowControl w:val="0"/>
        <w:ind w:firstLine="420" w:firstLineChars="200"/>
        <w:jc w:val="both"/>
        <w:rPr>
          <w:rFonts w:eastAsia="宋体"/>
          <w:kern w:val="2"/>
          <w:sz w:val="21"/>
          <w:lang w:eastAsia="zh-CN"/>
        </w:rPr>
      </w:pPr>
      <w:r>
        <w:rPr>
          <w:rFonts w:eastAsia="宋体"/>
          <w:color w:val="FF0000"/>
          <w:kern w:val="2"/>
          <w:sz w:val="21"/>
          <w:lang w:eastAsia="zh-CN" w:bidi="ar"/>
        </w:rPr>
        <w:t>5.</w:t>
      </w:r>
      <w:r>
        <w:rPr>
          <w:rFonts w:hint="eastAsia" w:eastAsia="宋体" w:cs="宋体"/>
          <w:color w:val="FF0000"/>
          <w:kern w:val="2"/>
          <w:sz w:val="21"/>
          <w:lang w:eastAsia="zh-CN" w:bidi="ar"/>
        </w:rPr>
        <w:t>我单位不存在《深圳市财政局政府采购供应商信用信息管理办法》（深财规〔</w:t>
      </w:r>
      <w:r>
        <w:rPr>
          <w:rFonts w:eastAsia="宋体"/>
          <w:color w:val="FF0000"/>
          <w:kern w:val="2"/>
          <w:sz w:val="21"/>
          <w:lang w:eastAsia="zh-CN" w:bidi="ar"/>
        </w:rPr>
        <w:t>2023</w:t>
      </w:r>
      <w:r>
        <w:rPr>
          <w:rFonts w:hint="eastAsia" w:eastAsia="宋体" w:cs="宋体"/>
          <w:color w:val="FF0000"/>
          <w:kern w:val="2"/>
          <w:sz w:val="21"/>
          <w:lang w:eastAsia="zh-CN" w:bidi="ar"/>
        </w:rPr>
        <w:t>〕</w:t>
      </w:r>
      <w:r>
        <w:rPr>
          <w:rFonts w:eastAsia="宋体"/>
          <w:color w:val="FF0000"/>
          <w:kern w:val="2"/>
          <w:sz w:val="21"/>
          <w:lang w:eastAsia="zh-CN" w:bidi="ar"/>
        </w:rPr>
        <w:t>3</w:t>
      </w:r>
      <w:r>
        <w:rPr>
          <w:rFonts w:hint="eastAsia" w:eastAsia="宋体" w:cs="宋体"/>
          <w:color w:val="FF0000"/>
          <w:kern w:val="2"/>
          <w:sz w:val="21"/>
          <w:lang w:eastAsia="zh-CN" w:bidi="ar"/>
        </w:rPr>
        <w:t>号）列明的严重违法失信行为。</w:t>
      </w:r>
    </w:p>
    <w:p w14:paraId="38EF33F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A650C5C">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D0C4FA8">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F23FA4B">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E8FA6B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9.我单位承诺中标后项目不转包，未经采购人同意不进行分包。</w:t>
      </w:r>
    </w:p>
    <w:p w14:paraId="5E830588">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bidi="ar"/>
        </w:rPr>
        <w:t>10.</w:t>
      </w:r>
      <w:r>
        <w:rPr>
          <w:rFonts w:hint="eastAsia" w:ascii="宋体" w:hAnsi="宋体" w:eastAsia="宋体" w:cs="宋体"/>
          <w:kern w:val="2"/>
          <w:sz w:val="21"/>
          <w:lang w:eastAsia="zh-CN" w:bidi="ar"/>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694F3435">
      <w:pPr>
        <w:widowControl w:val="0"/>
        <w:ind w:firstLine="420" w:firstLineChars="200"/>
        <w:jc w:val="both"/>
        <w:rPr>
          <w:rFonts w:ascii="宋体" w:hAnsi="宋体" w:eastAsia="宋体" w:cs="宋体"/>
          <w:b/>
          <w:sz w:val="21"/>
          <w:szCs w:val="21"/>
          <w:lang w:eastAsia="zh-CN"/>
        </w:rPr>
      </w:pPr>
      <w:r>
        <w:rPr>
          <w:rFonts w:hint="eastAsia" w:ascii="宋体" w:hAnsi="宋体" w:eastAsia="宋体" w:cs="宋体"/>
          <w:kern w:val="2"/>
          <w:sz w:val="21"/>
          <w:lang w:eastAsia="zh-CN" w:bidi="ar"/>
        </w:rPr>
        <w:t>11.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eastAsia="宋体" w:cs="宋体"/>
          <w:kern w:val="2"/>
          <w:sz w:val="21"/>
          <w:lang w:eastAsia="zh-CN" w:bidi="ar"/>
        </w:rPr>
        <w:t>《财政部</w:t>
      </w:r>
      <w:r>
        <w:rPr>
          <w:rFonts w:eastAsia="宋体"/>
          <w:kern w:val="2"/>
          <w:sz w:val="21"/>
          <w:lang w:eastAsia="zh-CN" w:bidi="ar"/>
        </w:rPr>
        <w:t xml:space="preserve"> </w:t>
      </w:r>
      <w:r>
        <w:rPr>
          <w:rFonts w:hint="eastAsia" w:eastAsia="宋体" w:cs="宋体"/>
          <w:kern w:val="2"/>
          <w:sz w:val="21"/>
          <w:lang w:eastAsia="zh-CN" w:bidi="ar"/>
        </w:rPr>
        <w:t>生态环境部</w:t>
      </w:r>
      <w:r>
        <w:rPr>
          <w:rFonts w:eastAsia="宋体"/>
          <w:kern w:val="2"/>
          <w:sz w:val="21"/>
          <w:lang w:eastAsia="zh-CN" w:bidi="ar"/>
        </w:rPr>
        <w:t xml:space="preserve"> </w:t>
      </w:r>
      <w:r>
        <w:rPr>
          <w:rFonts w:hint="eastAsia" w:eastAsia="宋体" w:cs="宋体"/>
          <w:kern w:val="2"/>
          <w:sz w:val="21"/>
          <w:lang w:eastAsia="zh-CN" w:bidi="ar"/>
        </w:rPr>
        <w:t>工业和信息化部关于印发</w:t>
      </w:r>
      <w:r>
        <w:rPr>
          <w:rFonts w:eastAsia="宋体"/>
          <w:kern w:val="2"/>
          <w:sz w:val="21"/>
          <w:lang w:eastAsia="zh-CN" w:bidi="ar"/>
        </w:rPr>
        <w:t>&lt;</w:t>
      </w:r>
      <w:r>
        <w:rPr>
          <w:rFonts w:hint="eastAsia" w:eastAsia="宋体" w:cs="宋体"/>
          <w:kern w:val="2"/>
          <w:sz w:val="21"/>
          <w:lang w:eastAsia="zh-CN" w:bidi="ar"/>
        </w:rPr>
        <w:t>绿色数据中心政府采购需求标准（试行）</w:t>
      </w:r>
      <w:r>
        <w:rPr>
          <w:rFonts w:eastAsia="宋体"/>
          <w:kern w:val="2"/>
          <w:sz w:val="21"/>
          <w:lang w:eastAsia="zh-CN" w:bidi="ar"/>
        </w:rPr>
        <w:t>&gt;</w:t>
      </w:r>
      <w:r>
        <w:rPr>
          <w:rFonts w:hint="eastAsia" w:eastAsia="宋体" w:cs="宋体"/>
          <w:kern w:val="2"/>
          <w:sz w:val="21"/>
          <w:lang w:eastAsia="zh-CN" w:bidi="ar"/>
        </w:rPr>
        <w:t>的通知》（财库〔</w:t>
      </w:r>
      <w:r>
        <w:rPr>
          <w:rFonts w:eastAsia="宋体"/>
          <w:kern w:val="2"/>
          <w:sz w:val="21"/>
          <w:lang w:eastAsia="zh-CN" w:bidi="ar"/>
        </w:rPr>
        <w:t>2023</w:t>
      </w:r>
      <w:r>
        <w:rPr>
          <w:rFonts w:hint="eastAsia" w:eastAsia="宋体" w:cs="宋体"/>
          <w:kern w:val="2"/>
          <w:sz w:val="21"/>
          <w:lang w:eastAsia="zh-CN" w:bidi="ar"/>
        </w:rPr>
        <w:t>〕</w:t>
      </w:r>
      <w:r>
        <w:rPr>
          <w:rFonts w:eastAsia="宋体"/>
          <w:kern w:val="2"/>
          <w:sz w:val="21"/>
          <w:lang w:eastAsia="zh-CN" w:bidi="ar"/>
        </w:rPr>
        <w:t>7</w:t>
      </w:r>
      <w:r>
        <w:rPr>
          <w:rFonts w:hint="eastAsia" w:eastAsia="宋体" w:cs="宋体"/>
          <w:kern w:val="2"/>
          <w:sz w:val="21"/>
          <w:lang w:eastAsia="zh-CN" w:bidi="ar"/>
        </w:rPr>
        <w:t>号）要求。若所投产品涉及国家强制性标准的，所投产品应符合国家强制性标准相关要求。</w:t>
      </w:r>
    </w:p>
    <w:p w14:paraId="6DD0DB83">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sz w:val="21"/>
          <w:szCs w:val="21"/>
          <w:lang w:eastAsia="zh-CN" w:bidi="ar"/>
        </w:rPr>
        <w:t>12.</w:t>
      </w:r>
      <w:r>
        <w:rPr>
          <w:rFonts w:hint="eastAsia" w:ascii="宋体" w:hAnsi="宋体" w:eastAsia="宋体" w:cs="宋体"/>
          <w:bCs/>
          <w:kern w:val="2"/>
          <w:sz w:val="21"/>
          <w:lang w:eastAsia="zh-CN" w:bidi="ar"/>
        </w:rPr>
        <w:t>我单位已知悉并同意中标（成交）结果信息公示（公开）的内容。</w:t>
      </w:r>
    </w:p>
    <w:p w14:paraId="69946B70">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13.我单位保证，符合《中华人民共和国政府采购法实施条例》第十八条规定，与其他投标供应商不存在单位负责人为同一人或者存在直接控股、管理关系；不存在为本次采购项目提供整体设计、规范编制或者项目管理、监理、检测等服务的情形。若存在“不同供应商的董事、股东或其他高级管理人员为同一人的”情形的，我单位保证不存在串通投标、恶意串通或者视为串通投标的情形。</w:t>
      </w:r>
    </w:p>
    <w:p w14:paraId="217E424B">
      <w:pPr>
        <w:widowControl w:val="0"/>
        <w:ind w:firstLine="422" w:firstLineChars="200"/>
        <w:jc w:val="both"/>
        <w:rPr>
          <w:rFonts w:ascii="宋体" w:hAnsi="宋体" w:eastAsia="宋体" w:cs="宋体"/>
          <w:b/>
          <w:kern w:val="2"/>
          <w:sz w:val="21"/>
          <w:lang w:eastAsia="zh-CN"/>
        </w:rPr>
      </w:pPr>
      <w:r>
        <w:rPr>
          <w:rFonts w:hint="eastAsia" w:ascii="宋体" w:hAnsi="宋体" w:eastAsia="宋体" w:cs="宋体"/>
          <w:b/>
          <w:kern w:val="2"/>
          <w:sz w:val="21"/>
          <w:lang w:eastAsia="zh-CN" w:bidi="ar"/>
        </w:rPr>
        <w:t>14.我单位清楚，如存在违反投标承诺行为情节严重的，将根据《深圳市财政局关于印发&lt;深圳市财政局政府采购供应商信用信息管理办法&gt;的通知》，依法被列入失信信息。</w:t>
      </w:r>
    </w:p>
    <w:p w14:paraId="2AB77799">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23A2FE4A">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以上承诺，如有违反，愿依照国家相关法律法规处理，并承担由此给采购人带来的损失。</w:t>
      </w:r>
    </w:p>
    <w:p w14:paraId="1F93C1FD">
      <w:pPr>
        <w:widowControl w:val="0"/>
        <w:spacing w:before="78" w:beforeLines="25" w:after="78" w:afterLines="25"/>
        <w:ind w:firstLine="5460" w:firstLineChars="2600"/>
        <w:jc w:val="both"/>
        <w:rPr>
          <w:rFonts w:eastAsia="宋体"/>
          <w:color w:val="FF0000"/>
          <w:kern w:val="2"/>
          <w:sz w:val="21"/>
          <w:szCs w:val="21"/>
          <w:u w:val="single"/>
          <w:lang w:eastAsia="zh-CN" w:bidi="ar"/>
        </w:rPr>
      </w:pPr>
      <w:r>
        <w:rPr>
          <w:rFonts w:hint="eastAsia" w:eastAsia="宋体" w:cs="宋体"/>
          <w:color w:val="FF0000"/>
          <w:kern w:val="2"/>
          <w:sz w:val="21"/>
          <w:szCs w:val="21"/>
          <w:lang w:eastAsia="zh-CN" w:bidi="ar"/>
        </w:rPr>
        <w:t>投标人：</w:t>
      </w:r>
      <w:r>
        <w:rPr>
          <w:rFonts w:eastAsia="宋体"/>
          <w:color w:val="FF0000"/>
          <w:kern w:val="2"/>
          <w:sz w:val="21"/>
          <w:szCs w:val="21"/>
          <w:u w:val="single"/>
          <w:lang w:eastAsia="zh-CN" w:bidi="ar"/>
        </w:rPr>
        <w:t xml:space="preserve">              </w:t>
      </w:r>
    </w:p>
    <w:p w14:paraId="3F0F03F5">
      <w:pPr>
        <w:keepNext/>
        <w:keepLines/>
        <w:spacing w:before="120" w:after="120"/>
        <w:jc w:val="center"/>
        <w:outlineLvl w:val="2"/>
        <w:rPr>
          <w:rFonts w:hint="eastAsia" w:ascii="宋体" w:hAnsi="宋体" w:eastAsia="宋体" w:cs="宋体"/>
          <w:color w:val="FF0000"/>
          <w:kern w:val="2"/>
          <w:sz w:val="21"/>
          <w:szCs w:val="21"/>
          <w:lang w:eastAsia="zh-CN" w:bidi="ar"/>
        </w:rPr>
      </w:pPr>
      <w:r>
        <w:rPr>
          <w:rFonts w:hint="eastAsia" w:ascii="宋体" w:hAnsi="宋体" w:eastAsia="宋体" w:cs="宋体"/>
          <w:color w:val="FF0000"/>
          <w:kern w:val="2"/>
          <w:sz w:val="21"/>
          <w:szCs w:val="21"/>
          <w:lang w:eastAsia="zh-CN" w:bidi="ar"/>
        </w:rPr>
        <w:t>日期：</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年</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月</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日</w:t>
      </w:r>
    </w:p>
    <w:p w14:paraId="20FCFE6B">
      <w:pPr>
        <w:rPr>
          <w:rFonts w:hint="eastAsia" w:ascii="黑体" w:hAnsi="宋体" w:eastAsia="黑体" w:cs="Times New Roman"/>
          <w:bCs/>
          <w:kern w:val="0"/>
          <w:sz w:val="24"/>
          <w:szCs w:val="32"/>
        </w:rPr>
      </w:pPr>
      <w:r>
        <w:rPr>
          <w:rFonts w:hint="eastAsia" w:ascii="黑体" w:hAnsi="宋体" w:eastAsia="黑体" w:cs="Times New Roman"/>
          <w:bCs/>
          <w:kern w:val="0"/>
          <w:sz w:val="24"/>
          <w:szCs w:val="32"/>
        </w:rPr>
        <w:br w:type="page"/>
      </w:r>
    </w:p>
    <w:p w14:paraId="40C259BE">
      <w:pPr>
        <w:keepNext/>
        <w:keepLines/>
        <w:widowControl w:val="0"/>
        <w:spacing w:before="120" w:after="120" w:line="240" w:lineRule="auto"/>
        <w:jc w:val="center"/>
        <w:outlineLvl w:val="2"/>
        <w:rPr>
          <w:rFonts w:ascii="黑体" w:hAnsi="宋体" w:eastAsia="黑体"/>
          <w:bCs/>
          <w:szCs w:val="32"/>
          <w:lang w:eastAsia="zh-CN"/>
        </w:rPr>
      </w:pPr>
      <w:r>
        <w:rPr>
          <w:rFonts w:hint="eastAsia" w:ascii="黑体" w:hAnsi="宋体" w:eastAsia="黑体"/>
          <w:bCs/>
          <w:szCs w:val="32"/>
          <w:lang w:eastAsia="zh-CN"/>
        </w:rPr>
        <w:t>三、投标人情况及资格证明文件</w:t>
      </w:r>
    </w:p>
    <w:p w14:paraId="38C28717">
      <w:pPr>
        <w:widowControl w:val="0"/>
        <w:jc w:val="both"/>
        <w:outlineLvl w:val="3"/>
        <w:rPr>
          <w:rFonts w:ascii="黑体" w:hAnsi="宋体" w:eastAsia="黑体"/>
          <w:bCs/>
          <w:szCs w:val="32"/>
          <w:lang w:eastAsia="zh-CN"/>
        </w:rPr>
      </w:pPr>
      <w:r>
        <w:rPr>
          <w:rFonts w:hint="eastAsia" w:ascii="黑体" w:hAnsi="宋体" w:eastAsia="黑体"/>
          <w:bCs/>
          <w:szCs w:val="32"/>
          <w:lang w:eastAsia="zh-CN"/>
        </w:rPr>
        <w:t>（一）投标人资格证明文件</w:t>
      </w:r>
    </w:p>
    <w:p w14:paraId="3AF4531E">
      <w:pPr>
        <w:widowControl w:val="0"/>
        <w:spacing w:before="156" w:beforeLines="50"/>
        <w:ind w:firstLine="422" w:firstLineChars="200"/>
        <w:jc w:val="both"/>
        <w:rPr>
          <w:rFonts w:eastAsia="宋体"/>
          <w:b/>
          <w:bCs/>
          <w:color w:val="FF0000"/>
          <w:kern w:val="2"/>
          <w:sz w:val="21"/>
          <w:lang w:eastAsia="zh-CN"/>
        </w:rPr>
      </w:pPr>
      <w:r>
        <w:rPr>
          <w:rFonts w:hint="eastAsia" w:eastAsia="宋体"/>
          <w:b/>
          <w:bCs/>
          <w:color w:val="FF0000"/>
          <w:kern w:val="2"/>
          <w:sz w:val="21"/>
          <w:lang w:eastAsia="zh-CN"/>
        </w:rPr>
        <w:t>（特别提示：投标人须按本招标文件第一册第一章招标公告“投标人的资格要求”提供相关的资格证明资料，未提供或提供不完整、不符合要求的，将作投标无效处理，其中要求提供《采购投标及履约承诺函》《供应商基本情况表》且已在规定章节中提供的，此处不重复提供。）</w:t>
      </w:r>
    </w:p>
    <w:p w14:paraId="6D6E02E2">
      <w:pPr>
        <w:widowControl/>
        <w:jc w:val="left"/>
        <w:rPr>
          <w:rFonts w:eastAsia="宋体"/>
          <w:kern w:val="2"/>
          <w:sz w:val="21"/>
          <w:lang w:eastAsia="zh-CN"/>
        </w:rPr>
      </w:pPr>
      <w:r>
        <w:rPr>
          <w:rFonts w:eastAsia="宋体"/>
          <w:kern w:val="2"/>
          <w:sz w:val="21"/>
          <w:lang w:eastAsia="zh-CN"/>
        </w:rPr>
        <w:br w:type="page"/>
      </w:r>
    </w:p>
    <w:p w14:paraId="6D7EFCB4">
      <w:pPr>
        <w:widowControl w:val="0"/>
        <w:jc w:val="both"/>
        <w:outlineLvl w:val="3"/>
        <w:rPr>
          <w:rFonts w:ascii="黑体" w:hAnsi="宋体" w:eastAsia="黑体"/>
          <w:bCs/>
          <w:szCs w:val="32"/>
          <w:lang w:eastAsia="zh-CN"/>
        </w:rPr>
      </w:pPr>
      <w:r>
        <w:rPr>
          <w:rFonts w:hint="eastAsia" w:ascii="黑体" w:hAnsi="宋体" w:eastAsia="黑体"/>
          <w:bCs/>
          <w:szCs w:val="32"/>
          <w:lang w:eastAsia="zh-CN"/>
        </w:rPr>
        <w:t>（二）中小企业声明函、残疾人福利性单位声明函及监狱企业声明函</w:t>
      </w:r>
    </w:p>
    <w:p w14:paraId="37C4C4EA">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填写指引：</w:t>
      </w:r>
    </w:p>
    <w:p w14:paraId="405B8455">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宋体" w:eastAsia="黑体"/>
          <w:bCs/>
          <w:color w:val="FF0000"/>
          <w:sz w:val="21"/>
          <w:szCs w:val="21"/>
          <w:lang w:eastAsia="zh-CN"/>
        </w:rPr>
        <w:t>1、该部分内容由投标人根据自身实际情况填写，不符合要求的投标人可以不填写或直接删除相应的声明函。</w:t>
      </w:r>
      <w:r>
        <w:rPr>
          <w:rFonts w:hint="eastAsia" w:ascii="黑体" w:hAnsi="黑体" w:eastAsia="黑体"/>
          <w:color w:val="FF0000"/>
          <w:kern w:val="2"/>
          <w:sz w:val="21"/>
          <w:szCs w:val="21"/>
          <w:lang w:eastAsia="zh-CN"/>
        </w:rPr>
        <w:t>投标人提供的声明函不属实的，属于提供虚假资料谋取中标，依照《中华人民共和国政府采购法》等国家有关规定追究相应责任。</w:t>
      </w:r>
    </w:p>
    <w:p w14:paraId="75BB819C">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2、该部分内容填写需要参考的相关文件：</w:t>
      </w:r>
    </w:p>
    <w:p w14:paraId="3986DA93">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1</w:t>
      </w:r>
      <w:r>
        <w:rPr>
          <w:rFonts w:hint="eastAsia" w:ascii="黑体" w:hAnsi="黑体" w:eastAsia="黑体"/>
          <w:color w:val="FF0000"/>
          <w:kern w:val="2"/>
          <w:sz w:val="21"/>
          <w:szCs w:val="21"/>
          <w:lang w:eastAsia="zh-CN"/>
        </w:rPr>
        <w:t>)财政部《政府采购促进中小企业发展管理办法》（财库〔2020〕46号）</w:t>
      </w:r>
    </w:p>
    <w:p w14:paraId="0316DADE">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2</w:t>
      </w:r>
      <w:r>
        <w:rPr>
          <w:rFonts w:hint="eastAsia" w:ascii="黑体" w:hAnsi="黑体" w:eastAsia="黑体"/>
          <w:color w:val="FF0000"/>
          <w:kern w:val="2"/>
          <w:sz w:val="21"/>
          <w:szCs w:val="21"/>
          <w:lang w:eastAsia="zh-CN"/>
        </w:rPr>
        <w:t>)</w:t>
      </w:r>
      <w:bookmarkStart w:id="35" w:name="_Hlk71925120"/>
      <w:r>
        <w:rPr>
          <w:rFonts w:hint="eastAsia" w:ascii="黑体" w:hAnsi="黑体" w:eastAsia="黑体"/>
          <w:color w:val="FF0000"/>
          <w:kern w:val="2"/>
          <w:sz w:val="21"/>
          <w:szCs w:val="21"/>
          <w:lang w:eastAsia="zh-CN"/>
        </w:rPr>
        <w:t>《工业和信息化部、国家统计局、国家发展和改革委员会、财政部关于印发中小企业划型标准规定的通知》（工信部联企业〔2011〕300号</w:t>
      </w:r>
      <w:bookmarkEnd w:id="35"/>
      <w:r>
        <w:rPr>
          <w:rFonts w:hint="eastAsia" w:ascii="黑体" w:hAnsi="黑体" w:eastAsia="黑体"/>
          <w:color w:val="FF0000"/>
          <w:kern w:val="2"/>
          <w:sz w:val="21"/>
          <w:szCs w:val="21"/>
          <w:lang w:eastAsia="zh-CN"/>
        </w:rPr>
        <w:t>）</w:t>
      </w:r>
    </w:p>
    <w:p w14:paraId="43C3D1AA">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(3)《统计上大中小微型企业划分办法(2017)》（国统字〔2017〕213号）</w:t>
      </w:r>
    </w:p>
    <w:p w14:paraId="3BB3A7DB">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(4)《关于促进残疾人就业政府采购政策的通知》（财库〔2017〕141号）</w:t>
      </w:r>
    </w:p>
    <w:p w14:paraId="77CCB7BF">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(5)《关于政府采购支持监狱企业发展有关问题的通知》（财库〔2014〕68号）</w:t>
      </w:r>
    </w:p>
    <w:p w14:paraId="3CB9919E">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3、请依照提供的格式和内容填写声明函，不要随意变更格式；声明函不需要盖章或签字；</w:t>
      </w:r>
      <w:r>
        <w:rPr>
          <w:rFonts w:hint="eastAsia" w:ascii="黑体" w:hAnsi="黑体" w:eastAsia="黑体"/>
          <w:color w:val="FF0000"/>
          <w:kern w:val="2"/>
          <w:sz w:val="21"/>
          <w:szCs w:val="21"/>
          <w:lang w:eastAsia="zh-CN"/>
        </w:rPr>
        <w:t>满足多项优惠政策的投标人，不重复享受多项价格扣除政策。</w:t>
      </w:r>
    </w:p>
    <w:p w14:paraId="26153937">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4、声明函具体填写要求：</w:t>
      </w:r>
    </w:p>
    <w:p w14:paraId="2977F5CB">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（1）声明是中小企业须填写《中小企业声明函》的以下内容：</w:t>
      </w:r>
    </w:p>
    <w:p w14:paraId="313D764A">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第一处，在“单位名称”下划线处如实填写采购人名称（深圳公共资源交易中心不是本项目的采购人，而是组织实施机构）；</w:t>
      </w:r>
    </w:p>
    <w:p w14:paraId="3978B5FD">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174617CD">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405B6BC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四处，在“采购文件中明确的所属行业”下划线处填写采购标的对应的中小企业划分标准所属行业（所属行业以招标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联合体部分采购标的涉及的服务承接商本身的所属行业保持一致；</w:t>
      </w:r>
    </w:p>
    <w:p w14:paraId="3DE11C3E">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第五处，在“企业名称”下划线处如实填写</w:t>
      </w:r>
      <w:r>
        <w:rPr>
          <w:rFonts w:hint="eastAsia" w:ascii="黑体" w:hAnsi="宋体" w:eastAsia="黑体"/>
          <w:b/>
          <w:color w:val="FF0000"/>
          <w:sz w:val="21"/>
          <w:szCs w:val="21"/>
          <w:lang w:eastAsia="zh-CN"/>
        </w:rPr>
        <w:t>服务承接商名称。</w:t>
      </w:r>
      <w:r>
        <w:rPr>
          <w:rFonts w:hint="eastAsia" w:ascii="黑体" w:hAnsi="宋体" w:eastAsia="黑体"/>
          <w:bCs/>
          <w:color w:val="FF0000"/>
          <w:sz w:val="21"/>
          <w:szCs w:val="21"/>
          <w:lang w:eastAsia="zh-CN"/>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14:paraId="3D828A9E">
      <w:pPr>
        <w:widowControl w:val="0"/>
        <w:numPr>
          <w:ilvl w:val="0"/>
          <w:numId w:val="0"/>
        </w:numPr>
        <w:ind w:left="0"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3D317867">
      <w:pPr>
        <w:widowControl w:val="0"/>
        <w:numPr>
          <w:ilvl w:val="0"/>
          <w:numId w:val="0"/>
        </w:numPr>
        <w:ind w:left="0"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14:paraId="696DF04C">
      <w:pPr>
        <w:widowControl w:val="0"/>
        <w:ind w:firstLine="420" w:firstLineChars="200"/>
        <w:jc w:val="both"/>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6578F2C6">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（3）事业单位、社会组织等非企业主体不享受中小企业扶持政策。</w:t>
      </w:r>
    </w:p>
    <w:p w14:paraId="23626868">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（4）声明是残疾人福利性单位须填写《残疾人福利性单位声明函》的相关内容，具体参照以上《中小企业声明函》填写要求执行。</w:t>
      </w:r>
    </w:p>
    <w:p w14:paraId="5B477556">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（5）声明是监狱企业须填写《监狱企业声明函》的三项内容（填写位置的字体已加粗），具体参照以上《中小企业声明函》填写要求执行。</w:t>
      </w:r>
    </w:p>
    <w:p w14:paraId="61F9D06C">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5、本项目属于服务类项目，相关服务承接商应当为中小企业或残疾人福利性单位或监狱企业，如包含硬件设备、产品等货物采购的，不再对其中涉及的货物制造商作出要求。</w:t>
      </w:r>
    </w:p>
    <w:p w14:paraId="3F7B6F00">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6、若本项目属于专门面向中小企业、残疾人福利性单位或监狱企业，则声明函有效性由采购人或代理机构判定，如判定声明函无效的，相关供应商将作资格审查不通过处理；若本项目非专门面向中小企业、残疾人福利性单位或监狱企业，声明函的有效性由评审委员会判定，如评审委员会判定声明函无效，相关供应商不享受价格扣除（但不作投标无效处理）。</w:t>
      </w:r>
    </w:p>
    <w:p w14:paraId="597A7D1C">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0526955">
      <w:pPr>
        <w:widowControl w:val="0"/>
        <w:spacing w:line="360" w:lineRule="auto"/>
        <w:jc w:val="both"/>
        <w:rPr>
          <w:rFonts w:eastAsia="宋体"/>
          <w:b/>
          <w:bCs/>
          <w:kern w:val="2"/>
          <w:lang w:eastAsia="zh-CN"/>
        </w:rPr>
      </w:pPr>
    </w:p>
    <w:p w14:paraId="1C56A735">
      <w:pPr>
        <w:widowControl w:val="0"/>
        <w:numPr>
          <w:ilvl w:val="0"/>
          <w:numId w:val="10"/>
        </w:numPr>
        <w:ind w:left="0" w:firstLine="0"/>
        <w:jc w:val="center"/>
        <w:outlineLvl w:val="3"/>
        <w:rPr>
          <w:rFonts w:eastAsia="宋体"/>
          <w:kern w:val="2"/>
          <w:sz w:val="21"/>
          <w:lang w:eastAsia="zh-CN"/>
        </w:rPr>
      </w:pPr>
      <w:r>
        <w:rPr>
          <w:rFonts w:hint="eastAsia" w:eastAsia="宋体" w:cs="宋体"/>
          <w:b/>
          <w:kern w:val="2"/>
          <w:lang w:eastAsia="zh-CN" w:bidi="ar"/>
        </w:rPr>
        <w:t>中小企业声明函（服务）</w:t>
      </w:r>
    </w:p>
    <w:p w14:paraId="0B421EB5">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本公司（联合体）郑重声明，根据《政府采购促进中小企业发展管理办法》（财库﹝2020﹞46号）的规定，本公司（联合体）参加</w:t>
      </w:r>
      <w:r>
        <w:rPr>
          <w:rFonts w:hint="eastAsia" w:ascii="宋体" w:hAnsi="宋体" w:eastAsia="宋体" w:cs="宋体"/>
          <w:b/>
          <w:bCs/>
          <w:i/>
          <w:iCs/>
          <w:kern w:val="2"/>
          <w:sz w:val="21"/>
          <w:szCs w:val="21"/>
          <w:u w:val="single"/>
          <w:lang w:eastAsia="zh-CN" w:bidi="ar"/>
        </w:rPr>
        <w:t xml:space="preserve">    （单位名称）    </w:t>
      </w:r>
      <w:r>
        <w:rPr>
          <w:rFonts w:hint="eastAsia" w:ascii="宋体" w:hAnsi="宋体" w:eastAsia="宋体" w:cs="宋体"/>
          <w:kern w:val="2"/>
          <w:sz w:val="21"/>
          <w:szCs w:val="21"/>
          <w:lang w:eastAsia="zh-CN" w:bidi="ar"/>
        </w:rPr>
        <w:t>的</w:t>
      </w:r>
      <w:r>
        <w:rPr>
          <w:rFonts w:hint="eastAsia" w:ascii="宋体" w:hAnsi="宋体" w:eastAsia="宋体" w:cs="宋体"/>
          <w:b/>
          <w:bCs/>
          <w:i/>
          <w:iCs/>
          <w:kern w:val="2"/>
          <w:sz w:val="21"/>
          <w:szCs w:val="21"/>
          <w:u w:val="single"/>
          <w:lang w:eastAsia="zh-CN" w:bidi="ar"/>
        </w:rPr>
        <w:t xml:space="preserve">    （项目名称）    </w:t>
      </w:r>
      <w:r>
        <w:rPr>
          <w:rFonts w:hint="eastAsia" w:ascii="宋体" w:hAnsi="宋体" w:eastAsia="宋体" w:cs="宋体"/>
          <w:kern w:val="2"/>
          <w:sz w:val="21"/>
          <w:szCs w:val="21"/>
          <w:lang w:eastAsia="zh-CN" w:bidi="ar"/>
        </w:rPr>
        <w:t>采购活动，服务全部由符合政策要求的中小企业承接。相关企业（含联合体中的中小企业、签订分包意向协议的中小企业）的具体情况如下：</w:t>
      </w:r>
    </w:p>
    <w:p w14:paraId="26797221">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i/>
          <w:iCs/>
          <w:kern w:val="2"/>
          <w:sz w:val="21"/>
          <w:szCs w:val="21"/>
          <w:u w:val="single"/>
          <w:lang w:eastAsia="zh-CN" w:bidi="ar"/>
        </w:rPr>
        <w:t xml:space="preserve">    （标的名称）     </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 xml:space="preserve">        （采购文件中明确的所属行业）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30DB3C0B">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i/>
          <w:iCs/>
          <w:kern w:val="2"/>
          <w:sz w:val="21"/>
          <w:szCs w:val="21"/>
          <w:u w:val="single"/>
          <w:lang w:eastAsia="zh-CN" w:bidi="ar"/>
        </w:rPr>
        <w:t xml:space="preserve">    （标的名称）     </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 xml:space="preserve">        （采购文件中明确的所属行业）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115D3B73">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w:t>
      </w:r>
    </w:p>
    <w:p w14:paraId="6E243004">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以上企业，不属于大企业的分支机构，不存在控股股东为大企业的情形，也不存在与大企业的负责人为同一人的情形。</w:t>
      </w:r>
    </w:p>
    <w:p w14:paraId="38BA7A1B">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本企业对上述声明内容的真实性负责。如有虚假，将依法承担相应责任。</w:t>
      </w:r>
    </w:p>
    <w:p w14:paraId="049CFA08">
      <w:pPr>
        <w:widowControl w:val="0"/>
        <w:spacing w:line="360" w:lineRule="auto"/>
        <w:ind w:firstLine="420" w:firstLineChars="200"/>
        <w:jc w:val="both"/>
        <w:outlineLvl w:val="3"/>
        <w:rPr>
          <w:rFonts w:ascii="宋体" w:hAnsi="宋体" w:eastAsia="宋体" w:cs="宋体"/>
          <w:kern w:val="2"/>
          <w:sz w:val="21"/>
          <w:szCs w:val="21"/>
          <w:lang w:eastAsia="zh-CN" w:bidi="ar"/>
        </w:rPr>
      </w:pPr>
      <w:bookmarkStart w:id="36" w:name="_Hlk73562275"/>
      <w:r>
        <w:rPr>
          <w:rFonts w:hint="eastAsia" w:ascii="宋体" w:hAnsi="宋体" w:eastAsia="宋体" w:cs="宋体"/>
          <w:kern w:val="2"/>
          <w:sz w:val="21"/>
          <w:szCs w:val="21"/>
          <w:lang w:eastAsia="zh-CN" w:bidi="ar"/>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36"/>
    </w:p>
    <w:p w14:paraId="2344834F">
      <w:pPr>
        <w:widowControl w:val="0"/>
        <w:spacing w:line="360" w:lineRule="auto"/>
        <w:jc w:val="both"/>
        <w:rPr>
          <w:rFonts w:eastAsia="宋体"/>
          <w:b/>
          <w:bCs/>
          <w:kern w:val="2"/>
          <w:lang w:eastAsia="zh-CN"/>
        </w:rPr>
      </w:pPr>
    </w:p>
    <w:p w14:paraId="3AAE5F80">
      <w:pPr>
        <w:widowControl w:val="0"/>
        <w:ind w:firstLine="420" w:firstLineChars="200"/>
        <w:jc w:val="both"/>
        <w:rPr>
          <w:rFonts w:eastAsia="宋体"/>
          <w:kern w:val="2"/>
          <w:sz w:val="21"/>
          <w:lang w:eastAsia="zh-CN"/>
        </w:rPr>
      </w:pPr>
    </w:p>
    <w:p w14:paraId="75CC37F9">
      <w:pPr>
        <w:widowControl w:val="0"/>
        <w:jc w:val="center"/>
        <w:outlineLvl w:val="3"/>
        <w:rPr>
          <w:rFonts w:eastAsia="宋体"/>
          <w:b/>
          <w:kern w:val="2"/>
          <w:lang w:eastAsia="zh-CN"/>
        </w:rPr>
      </w:pPr>
      <w:r>
        <w:rPr>
          <w:rFonts w:eastAsia="宋体"/>
          <w:b/>
          <w:kern w:val="2"/>
          <w:lang w:eastAsia="zh-CN" w:bidi="ar"/>
        </w:rPr>
        <w:t>2</w:t>
      </w:r>
      <w:r>
        <w:rPr>
          <w:rFonts w:hint="eastAsia" w:eastAsia="宋体" w:cs="宋体"/>
          <w:b/>
          <w:kern w:val="2"/>
          <w:lang w:eastAsia="zh-CN" w:bidi="ar"/>
        </w:rPr>
        <w:t>、残疾人福利性单位声明函（服务类）</w:t>
      </w:r>
    </w:p>
    <w:p w14:paraId="0164433F">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b/>
          <w:bCs/>
          <w:i/>
          <w:iCs/>
          <w:kern w:val="2"/>
          <w:sz w:val="21"/>
          <w:szCs w:val="21"/>
          <w:u w:val="single"/>
          <w:lang w:eastAsia="zh-CN" w:bidi="ar"/>
        </w:rPr>
        <w:t xml:space="preserve">    （单位名称）    </w:t>
      </w:r>
      <w:r>
        <w:rPr>
          <w:rFonts w:hint="eastAsia" w:ascii="宋体" w:hAnsi="宋体" w:eastAsia="宋体" w:cs="宋体"/>
          <w:kern w:val="2"/>
          <w:sz w:val="21"/>
          <w:szCs w:val="21"/>
          <w:lang w:eastAsia="zh-CN" w:bidi="ar"/>
        </w:rPr>
        <w:t>单位的</w:t>
      </w:r>
      <w:r>
        <w:rPr>
          <w:rFonts w:hint="eastAsia" w:ascii="宋体" w:hAnsi="宋体" w:eastAsia="宋体" w:cs="宋体"/>
          <w:b/>
          <w:bCs/>
          <w:i/>
          <w:iCs/>
          <w:kern w:val="2"/>
          <w:sz w:val="21"/>
          <w:szCs w:val="21"/>
          <w:u w:val="single"/>
          <w:lang w:eastAsia="zh-CN" w:bidi="ar"/>
        </w:rPr>
        <w:t xml:space="preserve">    （项目名称）    </w:t>
      </w:r>
      <w:r>
        <w:rPr>
          <w:rFonts w:hint="eastAsia" w:ascii="宋体" w:hAnsi="宋体" w:eastAsia="宋体" w:cs="宋体"/>
          <w:kern w:val="2"/>
          <w:sz w:val="21"/>
          <w:szCs w:val="21"/>
          <w:lang w:eastAsia="zh-CN" w:bidi="ar"/>
        </w:rPr>
        <w:t>项目采购活动由本单位提供服务。</w:t>
      </w:r>
    </w:p>
    <w:p w14:paraId="2687FAE3">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本单位对上述声明的真实性负责。如有虚假，将依法承担相应责任。</w:t>
      </w:r>
    </w:p>
    <w:p w14:paraId="54B8C781">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本投标人已知悉《财政部民政部中国残疾人联合会关于促进残疾人就业政府采购政策的通知》（财库〔2017〕141号）的规定，承诺提供的声明函内容是真实的，如提供声明函内容不实，则依法追究相关法律责任。</w:t>
      </w:r>
    </w:p>
    <w:p w14:paraId="7B598E61">
      <w:pPr>
        <w:widowControl w:val="0"/>
        <w:ind w:firstLine="420" w:firstLineChars="200"/>
        <w:jc w:val="both"/>
        <w:rPr>
          <w:rFonts w:ascii="宋体" w:hAnsi="宋体" w:eastAsia="宋体" w:cs="宋体"/>
          <w:kern w:val="2"/>
          <w:sz w:val="21"/>
          <w:szCs w:val="21"/>
          <w:lang w:eastAsia="zh-CN"/>
        </w:rPr>
      </w:pPr>
    </w:p>
    <w:p w14:paraId="5BCD6542">
      <w:pPr>
        <w:widowControl w:val="0"/>
        <w:ind w:firstLine="420" w:firstLineChars="200"/>
        <w:jc w:val="both"/>
        <w:rPr>
          <w:rFonts w:ascii="宋体" w:hAnsi="宋体" w:eastAsia="宋体" w:cs="宋体"/>
          <w:kern w:val="2"/>
          <w:sz w:val="21"/>
          <w:szCs w:val="21"/>
          <w:lang w:eastAsia="zh-CN"/>
        </w:rPr>
      </w:pPr>
    </w:p>
    <w:p w14:paraId="0353264F">
      <w:pPr>
        <w:widowControl w:val="0"/>
        <w:ind w:firstLine="420" w:firstLineChars="200"/>
        <w:jc w:val="both"/>
        <w:rPr>
          <w:rFonts w:ascii="宋体" w:hAnsi="宋体" w:eastAsia="宋体" w:cs="宋体"/>
          <w:kern w:val="2"/>
          <w:sz w:val="21"/>
          <w:szCs w:val="21"/>
          <w:lang w:eastAsia="zh-CN"/>
        </w:rPr>
      </w:pPr>
    </w:p>
    <w:p w14:paraId="0C10D74D">
      <w:pPr>
        <w:widowControl w:val="0"/>
        <w:jc w:val="center"/>
        <w:outlineLvl w:val="3"/>
        <w:rPr>
          <w:rFonts w:eastAsia="宋体"/>
          <w:b/>
          <w:kern w:val="2"/>
          <w:lang w:eastAsia="zh-CN"/>
        </w:rPr>
      </w:pPr>
      <w:r>
        <w:rPr>
          <w:rFonts w:eastAsia="宋体"/>
          <w:b/>
          <w:kern w:val="2"/>
          <w:lang w:eastAsia="zh-CN" w:bidi="ar"/>
        </w:rPr>
        <w:t>3</w:t>
      </w:r>
      <w:r>
        <w:rPr>
          <w:rFonts w:hint="eastAsia" w:eastAsia="宋体" w:cs="宋体"/>
          <w:b/>
          <w:kern w:val="2"/>
          <w:lang w:eastAsia="zh-CN" w:bidi="ar"/>
        </w:rPr>
        <w:t>、监狱企业声明函【服务类，监狱企业如需享受优惠政策，还须另行提供省级以上监狱管理局、戒毒管理局（含新疆生产建设兵团）出具的监狱企业证明文件】</w:t>
      </w:r>
    </w:p>
    <w:p w14:paraId="6B7004BA">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本投标人郑重声明，根据《财政部司法部关于政府采购支持监狱企业发展有关问题的通知》（财库〔2014〕68号）的规定，本投标人</w:t>
      </w:r>
      <w:r>
        <w:rPr>
          <w:rFonts w:hint="eastAsia" w:ascii="宋体" w:hAnsi="宋体" w:eastAsia="宋体"/>
          <w:kern w:val="2"/>
          <w:sz w:val="21"/>
          <w:szCs w:val="21"/>
          <w:lang w:eastAsia="zh-CN" w:bidi="ar"/>
        </w:rPr>
        <w:t>参加</w:t>
      </w:r>
      <w:r>
        <w:rPr>
          <w:rFonts w:hint="eastAsia" w:ascii="宋体" w:hAnsi="宋体" w:eastAsia="宋体" w:cs="宋体"/>
          <w:b/>
          <w:bCs/>
          <w:kern w:val="2"/>
          <w:sz w:val="21"/>
          <w:szCs w:val="21"/>
          <w:u w:val="single"/>
          <w:lang w:eastAsia="zh-CN" w:bidi="ar"/>
        </w:rPr>
        <w:t>（采购人名称）</w:t>
      </w:r>
      <w:r>
        <w:rPr>
          <w:rFonts w:hint="eastAsia" w:ascii="宋体" w:hAnsi="宋体" w:eastAsia="宋体" w:cs="宋体"/>
          <w:kern w:val="2"/>
          <w:sz w:val="21"/>
          <w:szCs w:val="21"/>
          <w:lang w:eastAsia="zh-CN" w:bidi="ar"/>
        </w:rPr>
        <w:t>的</w:t>
      </w:r>
      <w:r>
        <w:rPr>
          <w:rFonts w:hint="eastAsia" w:ascii="宋体" w:hAnsi="宋体" w:eastAsia="宋体" w:cs="宋体"/>
          <w:b/>
          <w:bCs/>
          <w:kern w:val="2"/>
          <w:sz w:val="21"/>
          <w:szCs w:val="21"/>
          <w:u w:val="single"/>
          <w:lang w:eastAsia="zh-CN" w:bidi="ar"/>
        </w:rPr>
        <w:t>（项目名称）</w:t>
      </w:r>
      <w:r>
        <w:rPr>
          <w:rFonts w:hint="eastAsia" w:ascii="宋体" w:hAnsi="宋体" w:eastAsia="宋体" w:cs="宋体"/>
          <w:kern w:val="2"/>
          <w:sz w:val="21"/>
          <w:szCs w:val="21"/>
          <w:lang w:eastAsia="zh-CN" w:bidi="ar"/>
        </w:rPr>
        <w:t>采购活动，服务全部由符合政策要求的监狱企业承接。相关监狱企业的具体情况如下：</w:t>
      </w:r>
    </w:p>
    <w:p w14:paraId="6BB439FF">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b/>
          <w:bCs/>
          <w:kern w:val="2"/>
          <w:sz w:val="21"/>
          <w:szCs w:val="21"/>
          <w:u w:val="single"/>
          <w:lang w:eastAsia="zh-CN" w:bidi="ar"/>
        </w:rPr>
        <w:t>）</w:t>
      </w:r>
      <w:r>
        <w:rPr>
          <w:rFonts w:hint="eastAsia" w:ascii="宋体" w:hAnsi="宋体" w:eastAsia="宋体" w:cs="宋体"/>
          <w:kern w:val="2"/>
          <w:sz w:val="21"/>
          <w:szCs w:val="21"/>
          <w:lang w:eastAsia="zh-CN" w:bidi="ar"/>
        </w:rPr>
        <w:t xml:space="preserve"> ，承接单位为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4FDEB2D6">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i/>
          <w:iCs/>
          <w:kern w:val="2"/>
          <w:sz w:val="21"/>
          <w:szCs w:val="21"/>
          <w:lang w:eastAsia="zh-CN" w:bidi="ar"/>
        </w:rPr>
        <w:t xml:space="preserve"> </w:t>
      </w:r>
      <w:r>
        <w:rPr>
          <w:rFonts w:hint="eastAsia" w:ascii="宋体" w:hAnsi="宋体" w:eastAsia="宋体" w:cs="宋体"/>
          <w:kern w:val="2"/>
          <w:sz w:val="21"/>
          <w:szCs w:val="21"/>
          <w:lang w:eastAsia="zh-CN" w:bidi="ar"/>
        </w:rPr>
        <w:t>，承接单位为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761A946A">
      <w:pPr>
        <w:widowControl w:val="0"/>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 xml:space="preserve">…… </w:t>
      </w:r>
    </w:p>
    <w:p w14:paraId="08C1AE1D">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kern w:val="2"/>
          <w:sz w:val="21"/>
          <w:szCs w:val="21"/>
          <w:lang w:eastAsia="zh-CN" w:bidi="ar"/>
        </w:rPr>
        <w:t>本投标人</w:t>
      </w:r>
      <w:r>
        <w:rPr>
          <w:rFonts w:hint="eastAsia" w:ascii="宋体" w:hAnsi="宋体" w:eastAsia="宋体" w:cs="宋体"/>
          <w:kern w:val="2"/>
          <w:sz w:val="21"/>
          <w:szCs w:val="21"/>
          <w:lang w:eastAsia="zh-CN" w:bidi="ar"/>
        </w:rPr>
        <w:t>对上述声明内容的真实性负责。如有虚假，将依法承担相应责任。</w:t>
      </w:r>
    </w:p>
    <w:p w14:paraId="05CD9269">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附：省级以上监狱管理局、戒毒管理局（含新疆生产建设兵团）出具的监狱企业证明文件。</w:t>
      </w:r>
    </w:p>
    <w:p w14:paraId="3AB4F998">
      <w:pPr>
        <w:widowControl w:val="0"/>
        <w:jc w:val="both"/>
        <w:rPr>
          <w:rFonts w:ascii="黑体" w:eastAsia="黑体"/>
          <w:kern w:val="2"/>
          <w:lang w:eastAsia="zh-CN"/>
        </w:rPr>
      </w:pPr>
      <w:r>
        <w:rPr>
          <w:rFonts w:hint="eastAsia" w:ascii="黑体" w:eastAsia="黑体"/>
          <w:kern w:val="2"/>
          <w:lang w:eastAsia="zh-CN"/>
        </w:rPr>
        <w:br w:type="page"/>
      </w:r>
    </w:p>
    <w:p w14:paraId="11C6F887">
      <w:pPr>
        <w:pStyle w:val="18"/>
        <w:rPr>
          <w:rFonts w:hint="eastAsia" w:ascii="宋体" w:hAnsi="宋体" w:cs="宋体"/>
          <w:szCs w:val="21"/>
        </w:rPr>
      </w:pPr>
    </w:p>
    <w:p w14:paraId="68ECD241">
      <w:pPr>
        <w:pStyle w:val="19"/>
        <w:rPr>
          <w:rFonts w:hint="eastAsia" w:ascii="宋体" w:hAnsi="宋体" w:cs="宋体"/>
          <w:szCs w:val="21"/>
        </w:rPr>
      </w:pPr>
    </w:p>
    <w:p w14:paraId="4CD77B45">
      <w:pPr>
        <w:pStyle w:val="19"/>
        <w:rPr>
          <w:rFonts w:hint="eastAsia" w:ascii="宋体" w:hAnsi="宋体" w:cs="宋体"/>
          <w:szCs w:val="21"/>
        </w:rPr>
      </w:pPr>
    </w:p>
    <w:p w14:paraId="77B5E01A">
      <w:pPr>
        <w:wordWrap w:val="0"/>
        <w:adjustRightInd w:val="0"/>
        <w:spacing w:line="300" w:lineRule="exact"/>
        <w:ind w:firstLine="420" w:firstLineChars="200"/>
        <w:jc w:val="right"/>
        <w:rPr>
          <w:rFonts w:hint="eastAsia" w:ascii="宋体" w:hAnsi="宋体" w:eastAsia="宋体" w:cs="宋体"/>
          <w:szCs w:val="21"/>
        </w:rPr>
      </w:pPr>
    </w:p>
    <w:p w14:paraId="53ED7FB7">
      <w:pPr>
        <w:keepNext/>
        <w:keepLines/>
        <w:widowControl w:val="0"/>
        <w:spacing w:before="260" w:after="260" w:line="240" w:lineRule="auto"/>
        <w:jc w:val="center"/>
        <w:outlineLvl w:val="2"/>
        <w:rPr>
          <w:rFonts w:eastAsia="宋体"/>
          <w:b/>
          <w:kern w:val="2"/>
          <w:lang w:eastAsia="zh-CN"/>
        </w:rPr>
      </w:pPr>
      <w:r>
        <w:rPr>
          <w:rFonts w:hint="eastAsia" w:ascii="黑体" w:hAnsi="宋体" w:eastAsia="黑体"/>
          <w:bCs/>
          <w:kern w:val="2"/>
          <w:lang w:eastAsia="zh-CN"/>
        </w:rPr>
        <w:t>四、项目详细报价</w:t>
      </w:r>
    </w:p>
    <w:p w14:paraId="70D2207A">
      <w:pPr>
        <w:widowControl w:val="0"/>
        <w:spacing w:line="360" w:lineRule="auto"/>
        <w:jc w:val="center"/>
        <w:rPr>
          <w:rFonts w:eastAsia="宋体"/>
          <w:kern w:val="2"/>
          <w:lang w:eastAsia="zh-CN"/>
        </w:rPr>
      </w:pPr>
      <w:r>
        <w:rPr>
          <w:rFonts w:hint="eastAsia" w:eastAsia="宋体"/>
          <w:b/>
          <w:bCs/>
          <w:kern w:val="2"/>
          <w:lang w:eastAsia="zh-CN"/>
        </w:rPr>
        <w:t>（一）</w:t>
      </w:r>
      <w:r>
        <w:rPr>
          <w:rFonts w:hint="eastAsia" w:eastAsia="宋体"/>
          <w:b/>
          <w:kern w:val="2"/>
          <w:lang w:eastAsia="zh-CN"/>
        </w:rPr>
        <w:t>分项报价表</w:t>
      </w:r>
    </w:p>
    <w:tbl>
      <w:tblPr>
        <w:tblStyle w:val="4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2990"/>
        <w:gridCol w:w="2317"/>
      </w:tblGrid>
      <w:tr w14:paraId="20003E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246" w:type="dxa"/>
            <w:tcBorders>
              <w:top w:val="double" w:color="auto" w:sz="4" w:space="0"/>
              <w:bottom w:val="single" w:color="auto" w:sz="4" w:space="0"/>
            </w:tcBorders>
            <w:vAlign w:val="center"/>
          </w:tcPr>
          <w:p w14:paraId="394FB956">
            <w:pPr>
              <w:widowControl/>
              <w:adjustRightInd w:val="0"/>
              <w:snapToGrid w:val="0"/>
              <w:spacing w:line="300" w:lineRule="auto"/>
              <w:jc w:val="center"/>
              <w:rPr>
                <w:rFonts w:ascii="宋体" w:hAnsi="宋体"/>
                <w:snapToGrid w:val="0"/>
                <w:szCs w:val="21"/>
              </w:rPr>
            </w:pPr>
            <w:r>
              <w:rPr>
                <w:rFonts w:hint="eastAsia" w:ascii="宋体" w:hAnsi="宋体"/>
                <w:snapToGrid w:val="0"/>
                <w:szCs w:val="21"/>
              </w:rPr>
              <w:t>项目名称</w:t>
            </w:r>
          </w:p>
        </w:tc>
        <w:tc>
          <w:tcPr>
            <w:tcW w:w="2625" w:type="dxa"/>
            <w:tcBorders>
              <w:top w:val="double" w:color="auto" w:sz="4" w:space="0"/>
              <w:bottom w:val="single" w:color="auto" w:sz="4" w:space="0"/>
            </w:tcBorders>
            <w:vAlign w:val="center"/>
          </w:tcPr>
          <w:p w14:paraId="073D8705">
            <w:pPr>
              <w:widowControl/>
              <w:adjustRightInd w:val="0"/>
              <w:snapToGrid w:val="0"/>
              <w:spacing w:line="300" w:lineRule="auto"/>
              <w:jc w:val="center"/>
              <w:rPr>
                <w:rFonts w:ascii="宋体" w:hAnsi="宋体"/>
                <w:snapToGrid w:val="0"/>
                <w:szCs w:val="21"/>
              </w:rPr>
            </w:pPr>
            <w:r>
              <w:rPr>
                <w:rFonts w:hint="eastAsia" w:ascii="宋体" w:hAnsi="宋体"/>
                <w:snapToGrid w:val="0"/>
                <w:szCs w:val="21"/>
              </w:rPr>
              <w:t>折扣率</w:t>
            </w:r>
          </w:p>
        </w:tc>
        <w:tc>
          <w:tcPr>
            <w:tcW w:w="2034" w:type="dxa"/>
            <w:tcBorders>
              <w:top w:val="double" w:color="auto" w:sz="4" w:space="0"/>
              <w:bottom w:val="single" w:color="auto" w:sz="4" w:space="0"/>
            </w:tcBorders>
            <w:vAlign w:val="center"/>
          </w:tcPr>
          <w:p w14:paraId="254E1CAA">
            <w:pPr>
              <w:widowControl/>
              <w:adjustRightInd w:val="0"/>
              <w:snapToGrid w:val="0"/>
              <w:spacing w:line="300" w:lineRule="auto"/>
              <w:jc w:val="center"/>
              <w:rPr>
                <w:rFonts w:ascii="宋体" w:hAnsi="宋体"/>
                <w:snapToGrid w:val="0"/>
                <w:szCs w:val="21"/>
              </w:rPr>
            </w:pPr>
            <w:r>
              <w:rPr>
                <w:rFonts w:hint="eastAsia" w:ascii="宋体" w:hAnsi="宋体"/>
                <w:snapToGrid w:val="0"/>
                <w:szCs w:val="21"/>
              </w:rPr>
              <w:t>备注</w:t>
            </w:r>
          </w:p>
        </w:tc>
      </w:tr>
      <w:tr w14:paraId="0CDD15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3246" w:type="dxa"/>
            <w:tcBorders>
              <w:top w:val="single" w:color="auto" w:sz="4" w:space="0"/>
            </w:tcBorders>
            <w:vAlign w:val="center"/>
          </w:tcPr>
          <w:p w14:paraId="642EB783">
            <w:pPr>
              <w:widowControl/>
              <w:adjustRightInd w:val="0"/>
              <w:snapToGrid w:val="0"/>
              <w:spacing w:line="300" w:lineRule="auto"/>
              <w:jc w:val="center"/>
              <w:rPr>
                <w:rFonts w:ascii="宋体" w:hAnsi="宋体"/>
                <w:snapToGrid w:val="0"/>
                <w:szCs w:val="21"/>
                <w:u w:val="single"/>
              </w:rPr>
            </w:pPr>
            <w:r>
              <w:rPr>
                <w:rFonts w:hint="eastAsia" w:ascii="宋体" w:hAnsi="宋体" w:eastAsia="宋体" w:cs="Times New Roman"/>
                <w:snapToGrid w:val="0"/>
                <w:kern w:val="0"/>
                <w:sz w:val="24"/>
                <w:szCs w:val="21"/>
                <w:highlight w:val="none"/>
                <w:u w:val="single"/>
              </w:rPr>
              <w:t>深圳市高级中学2025-2026年食堂乳制品类配送采购项目</w:t>
            </w:r>
          </w:p>
        </w:tc>
        <w:tc>
          <w:tcPr>
            <w:tcW w:w="2625" w:type="dxa"/>
            <w:tcBorders>
              <w:top w:val="single" w:color="auto" w:sz="4" w:space="0"/>
            </w:tcBorders>
            <w:vAlign w:val="center"/>
          </w:tcPr>
          <w:p w14:paraId="75929765">
            <w:pPr>
              <w:widowControl/>
              <w:adjustRightInd w:val="0"/>
              <w:snapToGrid w:val="0"/>
              <w:spacing w:line="300" w:lineRule="auto"/>
              <w:jc w:val="left"/>
            </w:pPr>
          </w:p>
        </w:tc>
        <w:tc>
          <w:tcPr>
            <w:tcW w:w="2034" w:type="dxa"/>
            <w:tcBorders>
              <w:top w:val="single" w:color="auto" w:sz="4" w:space="0"/>
            </w:tcBorders>
            <w:vAlign w:val="center"/>
          </w:tcPr>
          <w:p w14:paraId="5DF88312">
            <w:pPr>
              <w:widowControl/>
              <w:adjustRightInd w:val="0"/>
              <w:snapToGrid w:val="0"/>
              <w:spacing w:line="300" w:lineRule="auto"/>
              <w:jc w:val="center"/>
              <w:rPr>
                <w:rFonts w:ascii="宋体" w:hAnsi="宋体"/>
                <w:snapToGrid w:val="0"/>
                <w:szCs w:val="21"/>
              </w:rPr>
            </w:pPr>
          </w:p>
        </w:tc>
      </w:tr>
    </w:tbl>
    <w:p w14:paraId="498DE3E7">
      <w:pPr>
        <w:rPr>
          <w:rFonts w:hAnsi="宋体" w:eastAsia="宋体"/>
          <w:b/>
          <w:bCs/>
          <w:lang w:eastAsia="zh-CN"/>
        </w:rPr>
      </w:pPr>
      <w:r>
        <w:rPr>
          <w:rFonts w:hint="eastAsia" w:hAnsi="宋体"/>
          <w:b/>
          <w:bCs/>
        </w:rPr>
        <w:t>注: 1、投标人如果需要对其它内容加以说明，可在备注</w:t>
      </w:r>
      <w:r>
        <w:rPr>
          <w:rFonts w:hint="eastAsia" w:hAnsi="宋体"/>
          <w:b/>
          <w:bCs/>
          <w:lang w:eastAsia="zh-CN"/>
        </w:rPr>
        <w:t>栏填写。</w:t>
      </w:r>
    </w:p>
    <w:p w14:paraId="1A8C8520">
      <w:pPr>
        <w:rPr>
          <w:rFonts w:hint="eastAsia" w:hAnsi="宋体" w:eastAsia="宋体"/>
          <w:b/>
          <w:bCs/>
          <w:color w:val="FF0000"/>
          <w:lang w:eastAsia="zh-CN"/>
        </w:rPr>
      </w:pPr>
      <w:r>
        <w:rPr>
          <w:rFonts w:hint="eastAsia" w:hAnsi="宋体"/>
          <w:b/>
          <w:bCs/>
          <w:color w:val="FF0000"/>
        </w:rPr>
        <w:t>2、本次招标不涉及具体投标金额(无须投标人在投标文件中填报具体投标金额)，投标人只需在投标文件中就基准价填报唯一的</w:t>
      </w:r>
      <w:r>
        <w:rPr>
          <w:rFonts w:hint="eastAsia" w:hAnsi="宋体"/>
          <w:b/>
          <w:bCs/>
          <w:color w:val="000000"/>
        </w:rPr>
        <w:t>折扣率</w:t>
      </w:r>
      <w:r>
        <w:rPr>
          <w:rFonts w:hint="eastAsia" w:hAnsi="宋体"/>
          <w:b/>
          <w:bCs/>
          <w:color w:val="FF0000"/>
        </w:rPr>
        <w:t>。投标人应根据自身成本自行填报折扣率，但不得以低于其成本的报价竞标</w:t>
      </w:r>
      <w:r>
        <w:rPr>
          <w:rFonts w:hint="eastAsia" w:hAnsi="宋体"/>
          <w:b/>
          <w:bCs/>
          <w:color w:val="FF0000"/>
          <w:lang w:eastAsia="zh-CN"/>
        </w:rPr>
        <w:t>。</w:t>
      </w:r>
    </w:p>
    <w:p w14:paraId="1A30AFF2">
      <w:pPr>
        <w:rPr>
          <w:rFonts w:hint="eastAsia" w:hAnsi="宋体"/>
          <w:b/>
          <w:bCs/>
          <w:color w:val="FF0000"/>
        </w:rPr>
      </w:pPr>
      <w:r>
        <w:rPr>
          <w:rFonts w:hint="eastAsia" w:hAnsi="宋体"/>
          <w:b/>
          <w:bCs/>
          <w:color w:val="FF0000"/>
        </w:rPr>
        <w:t>3、折扣率填写要求</w:t>
      </w:r>
      <w:r>
        <w:rPr>
          <w:rFonts w:hint="eastAsia" w:hAnsi="宋体" w:eastAsia="宋体"/>
          <w:b/>
          <w:bCs/>
          <w:color w:val="FF0000"/>
          <w:lang w:eastAsia="zh-CN"/>
        </w:rPr>
        <w:t>：</w:t>
      </w:r>
    </w:p>
    <w:p w14:paraId="7A0385BA">
      <w:pPr>
        <w:rPr>
          <w:rFonts w:hint="eastAsia" w:hAnsi="宋体"/>
          <w:b/>
          <w:bCs/>
          <w:color w:val="FF0000"/>
        </w:rPr>
      </w:pPr>
      <w:r>
        <w:rPr>
          <w:rFonts w:hint="eastAsia" w:hAnsi="宋体"/>
          <w:b/>
          <w:bCs/>
          <w:color w:val="FF0000"/>
        </w:rPr>
        <w:t>(1) 填写要求</w:t>
      </w:r>
      <w:r>
        <w:rPr>
          <w:rFonts w:hint="eastAsia" w:hAnsi="宋体" w:eastAsia="宋体"/>
          <w:b/>
          <w:bCs/>
          <w:color w:val="FF0000"/>
          <w:lang w:eastAsia="zh-CN"/>
        </w:rPr>
        <w:t>：</w:t>
      </w:r>
      <w:r>
        <w:rPr>
          <w:rFonts w:hint="eastAsia" w:hAnsi="宋体"/>
          <w:b/>
          <w:bCs/>
          <w:color w:val="FF0000"/>
        </w:rPr>
        <w:t xml:space="preserve"> 0&lt;折扣率≤1</w:t>
      </w:r>
      <w:r>
        <w:rPr>
          <w:rFonts w:hint="eastAsia" w:hAnsi="宋体" w:eastAsia="宋体"/>
          <w:b/>
          <w:bCs/>
          <w:color w:val="FF0000"/>
          <w:lang w:eastAsia="zh-CN"/>
        </w:rPr>
        <w:t>00</w:t>
      </w:r>
      <w:r>
        <w:rPr>
          <w:rFonts w:hint="eastAsia" w:hAnsi="宋体"/>
          <w:b/>
          <w:bCs/>
          <w:color w:val="FF0000"/>
        </w:rPr>
        <w:t>，未按此要求填写将作废标处理</w:t>
      </w:r>
      <w:r>
        <w:rPr>
          <w:rFonts w:hint="eastAsia" w:hAnsi="宋体" w:eastAsia="宋体"/>
          <w:b/>
          <w:bCs/>
          <w:color w:val="FF0000"/>
          <w:lang w:eastAsia="zh-CN"/>
        </w:rPr>
        <w:t>；</w:t>
      </w:r>
    </w:p>
    <w:p w14:paraId="67E3B0FF">
      <w:pPr>
        <w:rPr>
          <w:rFonts w:hint="eastAsia" w:hAnsi="宋体"/>
          <w:b/>
          <w:bCs/>
          <w:color w:val="FF0000"/>
        </w:rPr>
      </w:pPr>
      <w:r>
        <w:rPr>
          <w:rFonts w:hint="eastAsia" w:hAnsi="宋体"/>
          <w:b/>
          <w:bCs/>
          <w:color w:val="000000"/>
        </w:rPr>
        <w:t>(2) 填写的折扣率应为</w:t>
      </w:r>
      <w:r>
        <w:rPr>
          <w:rFonts w:hint="eastAsia" w:hAnsi="宋体" w:eastAsia="宋体"/>
          <w:b/>
          <w:bCs/>
          <w:color w:val="000000"/>
          <w:lang w:eastAsia="zh-CN"/>
        </w:rPr>
        <w:t>百分制；</w:t>
      </w:r>
      <w:r>
        <w:rPr>
          <w:rFonts w:hint="eastAsia" w:hAnsi="宋体"/>
          <w:b/>
          <w:bCs/>
          <w:color w:val="000000"/>
        </w:rPr>
        <w:t>如 9</w:t>
      </w:r>
      <w:r>
        <w:rPr>
          <w:rFonts w:hint="eastAsia" w:hAnsi="宋体" w:eastAsia="宋体"/>
          <w:b/>
          <w:bCs/>
          <w:color w:val="000000"/>
          <w:lang w:eastAsia="zh-CN"/>
        </w:rPr>
        <w:t>.</w:t>
      </w:r>
      <w:r>
        <w:rPr>
          <w:rFonts w:hint="eastAsia" w:hAnsi="宋体"/>
          <w:b/>
          <w:bCs/>
          <w:color w:val="000000"/>
        </w:rPr>
        <w:t>5</w:t>
      </w:r>
      <w:r>
        <w:rPr>
          <w:rFonts w:hint="eastAsia" w:hAnsi="宋体" w:eastAsia="宋体"/>
          <w:b/>
          <w:bCs/>
          <w:color w:val="000000"/>
          <w:lang w:eastAsia="zh-CN"/>
        </w:rPr>
        <w:t>折填写95%</w:t>
      </w:r>
      <w:r>
        <w:rPr>
          <w:rFonts w:hint="eastAsia" w:hAnsi="宋体"/>
          <w:b/>
          <w:bCs/>
          <w:color w:val="000000"/>
        </w:rPr>
        <w:t>、8</w:t>
      </w:r>
      <w:r>
        <w:rPr>
          <w:rFonts w:hint="eastAsia" w:hAnsi="宋体" w:eastAsia="宋体"/>
          <w:b/>
          <w:bCs/>
          <w:color w:val="000000"/>
          <w:lang w:eastAsia="zh-CN"/>
        </w:rPr>
        <w:t>.0折填写80%</w:t>
      </w:r>
      <w:r>
        <w:rPr>
          <w:rFonts w:hint="eastAsia" w:hAnsi="宋体"/>
          <w:b/>
          <w:bCs/>
          <w:color w:val="000000"/>
        </w:rPr>
        <w:t>、7</w:t>
      </w:r>
      <w:r>
        <w:rPr>
          <w:rFonts w:hint="eastAsia" w:hAnsi="宋体" w:eastAsia="宋体"/>
          <w:b/>
          <w:bCs/>
          <w:color w:val="000000"/>
          <w:lang w:eastAsia="zh-CN"/>
        </w:rPr>
        <w:t>.</w:t>
      </w:r>
      <w:r>
        <w:rPr>
          <w:rFonts w:hint="eastAsia" w:hAnsi="宋体"/>
          <w:b/>
          <w:bCs/>
          <w:color w:val="000000"/>
        </w:rPr>
        <w:t>8</w:t>
      </w:r>
      <w:r>
        <w:rPr>
          <w:rFonts w:hint="eastAsia" w:hAnsi="宋体" w:eastAsia="宋体"/>
          <w:b/>
          <w:bCs/>
          <w:color w:val="000000"/>
          <w:lang w:eastAsia="zh-CN"/>
        </w:rPr>
        <w:t>折填写78%</w:t>
      </w:r>
      <w:r>
        <w:rPr>
          <w:rFonts w:hint="eastAsia" w:hAnsi="宋体"/>
          <w:b/>
          <w:bCs/>
          <w:color w:val="FF0000"/>
          <w:lang w:eastAsia="zh-CN"/>
        </w:rPr>
        <w:t>；</w:t>
      </w:r>
    </w:p>
    <w:p w14:paraId="5F14FF0B">
      <w:pPr>
        <w:rPr>
          <w:rFonts w:hint="eastAsia" w:hAnsi="宋体" w:eastAsia="宋体"/>
          <w:b/>
          <w:bCs/>
          <w:color w:val="FF0000"/>
          <w:lang w:eastAsia="zh-CN"/>
        </w:rPr>
      </w:pPr>
      <w:r>
        <w:rPr>
          <w:rFonts w:hint="eastAsia" w:hAnsi="宋体"/>
          <w:b/>
          <w:bCs/>
          <w:color w:val="FF0000"/>
        </w:rPr>
        <w:t>(3) 投标人参与投标只允许填报唯一1个折扣率，不允许填报 2个(或以</w:t>
      </w:r>
      <w:r>
        <w:rPr>
          <w:rFonts w:hint="eastAsia" w:hAnsi="宋体" w:eastAsia="宋体"/>
          <w:b/>
          <w:bCs/>
          <w:color w:val="FF0000"/>
          <w:lang w:eastAsia="zh-CN"/>
        </w:rPr>
        <w:t>上</w:t>
      </w:r>
      <w:r>
        <w:rPr>
          <w:rFonts w:hint="eastAsia" w:hAnsi="宋体"/>
          <w:b/>
          <w:bCs/>
          <w:color w:val="FF0000"/>
        </w:rPr>
        <w:t>的折扣率</w:t>
      </w:r>
      <w:r>
        <w:rPr>
          <w:rFonts w:hint="eastAsia" w:hAnsi="宋体"/>
          <w:b/>
          <w:bCs/>
          <w:color w:val="FF0000"/>
          <w:lang w:eastAsia="zh-CN"/>
        </w:rPr>
        <w:t>；</w:t>
      </w:r>
      <w:r>
        <w:rPr>
          <w:rFonts w:hint="eastAsia" w:hAnsi="宋体"/>
          <w:b/>
          <w:bCs/>
          <w:color w:val="FF0000"/>
        </w:rPr>
        <w:t>填报了 2 个或以上折扣率的，其投标将直接作废标处理</w:t>
      </w:r>
      <w:r>
        <w:rPr>
          <w:rFonts w:hint="eastAsia" w:hAnsi="宋体"/>
          <w:b/>
          <w:bCs/>
          <w:color w:val="FF0000"/>
          <w:lang w:eastAsia="zh-CN"/>
        </w:rPr>
        <w:t>；</w:t>
      </w:r>
    </w:p>
    <w:p w14:paraId="120259A0">
      <w:pPr>
        <w:rPr>
          <w:rFonts w:hint="eastAsia" w:hAnsi="宋体" w:eastAsia="宋体"/>
          <w:b/>
          <w:bCs/>
          <w:color w:val="FF0000"/>
          <w:lang w:eastAsia="zh-CN"/>
        </w:rPr>
      </w:pPr>
      <w:r>
        <w:rPr>
          <w:rFonts w:hint="eastAsia" w:hAnsi="宋体"/>
          <w:b/>
          <w:bCs/>
          <w:color w:val="FF0000"/>
        </w:rPr>
        <w:t>(4)折扣率缺填、漏填将直接作废标处理，上表“折扣率”应与开标一览表中“投标报价”一致，否则将做投标无效处理</w:t>
      </w:r>
      <w:r>
        <w:rPr>
          <w:rFonts w:hint="eastAsia" w:hAnsi="宋体"/>
          <w:b/>
          <w:bCs/>
          <w:color w:val="FF0000"/>
          <w:lang w:eastAsia="zh-CN"/>
        </w:rPr>
        <w:t>。</w:t>
      </w:r>
    </w:p>
    <w:p w14:paraId="7E7588B4">
      <w:pPr>
        <w:widowControl w:val="0"/>
        <w:tabs>
          <w:tab w:val="left" w:pos="720"/>
        </w:tabs>
        <w:jc w:val="center"/>
        <w:rPr>
          <w:rFonts w:hint="eastAsia" w:eastAsia="宋体"/>
          <w:b/>
          <w:kern w:val="2"/>
          <w:lang w:eastAsia="zh-CN"/>
        </w:rPr>
      </w:pPr>
    </w:p>
    <w:p w14:paraId="646E832B">
      <w:pPr>
        <w:widowControl w:val="0"/>
        <w:tabs>
          <w:tab w:val="left" w:pos="720"/>
        </w:tabs>
        <w:jc w:val="center"/>
        <w:rPr>
          <w:rFonts w:eastAsia="宋体"/>
          <w:b/>
          <w:kern w:val="2"/>
          <w:lang w:eastAsia="zh-CN"/>
        </w:rPr>
      </w:pPr>
      <w:r>
        <w:rPr>
          <w:rFonts w:hint="eastAsia" w:eastAsia="宋体"/>
          <w:b/>
          <w:kern w:val="2"/>
          <w:lang w:eastAsia="zh-CN"/>
        </w:rPr>
        <w:t>（二）</w:t>
      </w:r>
      <w:bookmarkStart w:id="37" w:name="_Hlk72073235"/>
      <w:r>
        <w:rPr>
          <w:rFonts w:hint="eastAsia" w:eastAsia="宋体"/>
          <w:b/>
          <w:kern w:val="2"/>
          <w:lang w:eastAsia="zh-CN"/>
        </w:rPr>
        <w:t>投标人认为需要涉及的其他内容报价清单</w:t>
      </w:r>
      <w:bookmarkEnd w:id="37"/>
    </w:p>
    <w:p w14:paraId="40E3ECD1">
      <w:pPr>
        <w:rPr>
          <w:rFonts w:ascii="Times New Roman" w:hAnsi="Times New Roman" w:eastAsia="宋体" w:cs="Times New Roman"/>
          <w:szCs w:val="24"/>
        </w:rPr>
      </w:pPr>
      <w:r>
        <w:rPr>
          <w:rFonts w:ascii="Times New Roman" w:hAnsi="Times New Roman" w:eastAsia="宋体" w:cs="Times New Roman"/>
          <w:szCs w:val="24"/>
        </w:rPr>
        <w:br w:type="page"/>
      </w:r>
    </w:p>
    <w:p w14:paraId="64C92473">
      <w:pPr>
        <w:keepNext/>
        <w:keepLines/>
        <w:widowControl w:val="0"/>
        <w:spacing w:before="0" w:after="0" w:line="240" w:lineRule="auto"/>
        <w:jc w:val="center"/>
        <w:outlineLvl w:val="2"/>
        <w:rPr>
          <w:rFonts w:ascii="黑体" w:hAnsi="黑体" w:eastAsia="黑体" w:cs="黑体"/>
          <w:kern w:val="2"/>
          <w:szCs w:val="28"/>
          <w:lang w:eastAsia="zh-CN"/>
        </w:rPr>
      </w:pPr>
      <w:r>
        <w:rPr>
          <w:rFonts w:hint="eastAsia" w:ascii="黑体" w:hAnsi="黑体" w:eastAsia="黑体" w:cs="黑体"/>
          <w:kern w:val="2"/>
          <w:szCs w:val="28"/>
          <w:lang w:eastAsia="zh-CN"/>
        </w:rPr>
        <w:t>五、供应商基本情况表</w:t>
      </w:r>
    </w:p>
    <w:p w14:paraId="6BD5E5FB">
      <w:pPr>
        <w:widowControl w:val="0"/>
        <w:jc w:val="both"/>
        <w:rPr>
          <w:rFonts w:eastAsia="宋体"/>
          <w:kern w:val="2"/>
          <w:sz w:val="21"/>
          <w:lang w:eastAsia="zh-CN"/>
        </w:rPr>
      </w:pPr>
    </w:p>
    <w:p w14:paraId="598E5A3A">
      <w:pPr>
        <w:widowControl w:val="0"/>
        <w:jc w:val="both"/>
        <w:rPr>
          <w:rFonts w:ascii="宋体" w:hAnsi="宋体" w:eastAsia="宋体" w:cs="宋体"/>
          <w:kern w:val="2"/>
          <w:lang w:eastAsia="zh-CN"/>
        </w:rPr>
      </w:pPr>
      <w:r>
        <w:rPr>
          <w:rFonts w:hint="eastAsia" w:ascii="宋体" w:hAnsi="宋体" w:eastAsia="宋体" w:cs="宋体"/>
          <w:kern w:val="2"/>
          <w:lang w:eastAsia="zh-CN"/>
        </w:rPr>
        <w:t>填表单位：                                       填表日期：    年   月   日</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634"/>
        <w:gridCol w:w="1432"/>
        <w:gridCol w:w="972"/>
        <w:gridCol w:w="744"/>
        <w:gridCol w:w="858"/>
        <w:gridCol w:w="1852"/>
        <w:gridCol w:w="1811"/>
      </w:tblGrid>
      <w:tr w14:paraId="5915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0E5F01DE">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采购人</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42BCBF88">
            <w:pPr>
              <w:keepNext w:val="0"/>
              <w:keepLines w:val="0"/>
              <w:widowControl w:val="0"/>
              <w:suppressLineNumbers w:val="0"/>
              <w:spacing w:before="0" w:beforeAutospacing="0" w:after="0" w:afterAutospacing="0" w:line="400" w:lineRule="exact"/>
              <w:ind w:left="0" w:right="0"/>
              <w:jc w:val="left"/>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45B0D4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项目名称</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7D35677A">
            <w:pPr>
              <w:keepNext w:val="0"/>
              <w:keepLines w:val="0"/>
              <w:widowControl w:val="0"/>
              <w:suppressLineNumbers w:val="0"/>
              <w:spacing w:before="0" w:beforeAutospacing="0" w:after="0" w:afterAutospacing="0" w:line="400" w:lineRule="exact"/>
              <w:ind w:left="0" w:right="0"/>
              <w:jc w:val="both"/>
              <w:rPr>
                <w:rFonts w:ascii="宋体" w:hAnsi="宋体" w:eastAsia="宋体" w:cs="宋体"/>
                <w:kern w:val="2"/>
                <w:sz w:val="22"/>
                <w:szCs w:val="22"/>
                <w:lang w:eastAsia="zh-CN"/>
              </w:rPr>
            </w:pPr>
          </w:p>
        </w:tc>
      </w:tr>
      <w:tr w14:paraId="014FB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247FE309">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投标（响应）供应商</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3885D13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1C72C61C">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供应商统一社会信用代码</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0996FEE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6546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71499B9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投标（响应）供应商相关人员情况</w:t>
            </w:r>
          </w:p>
        </w:tc>
      </w:tr>
      <w:tr w14:paraId="7198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256293FC">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序号</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4861FFB1">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职务</w:t>
            </w:r>
          </w:p>
        </w:tc>
        <w:tc>
          <w:tcPr>
            <w:tcW w:w="1027" w:type="dxa"/>
            <w:tcBorders>
              <w:top w:val="single" w:color="auto" w:sz="4" w:space="0"/>
              <w:left w:val="single" w:color="auto" w:sz="4" w:space="0"/>
              <w:bottom w:val="single" w:color="auto" w:sz="4" w:space="0"/>
              <w:right w:val="single" w:color="auto" w:sz="4" w:space="0"/>
            </w:tcBorders>
            <w:vAlign w:val="center"/>
          </w:tcPr>
          <w:p w14:paraId="70B17552">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姓名</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C68ACF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身份证号码</w:t>
            </w:r>
          </w:p>
        </w:tc>
        <w:tc>
          <w:tcPr>
            <w:tcW w:w="1972" w:type="dxa"/>
            <w:tcBorders>
              <w:top w:val="single" w:color="auto" w:sz="4" w:space="0"/>
              <w:left w:val="single" w:color="auto" w:sz="4" w:space="0"/>
              <w:bottom w:val="single" w:color="auto" w:sz="4" w:space="0"/>
              <w:right w:val="single" w:color="auto" w:sz="4" w:space="0"/>
            </w:tcBorders>
            <w:vAlign w:val="center"/>
          </w:tcPr>
          <w:p w14:paraId="5B3EA818">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劳动合同</w:t>
            </w:r>
          </w:p>
          <w:p w14:paraId="2FCEE922">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关系单位</w:t>
            </w:r>
          </w:p>
        </w:tc>
        <w:tc>
          <w:tcPr>
            <w:tcW w:w="1928" w:type="dxa"/>
            <w:tcBorders>
              <w:top w:val="single" w:color="auto" w:sz="4" w:space="0"/>
              <w:left w:val="single" w:color="auto" w:sz="4" w:space="0"/>
              <w:bottom w:val="single" w:color="auto" w:sz="4" w:space="0"/>
              <w:right w:val="single" w:color="auto" w:sz="4" w:space="0"/>
            </w:tcBorders>
            <w:vAlign w:val="center"/>
          </w:tcPr>
          <w:p w14:paraId="43532232">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缴纳社会</w:t>
            </w:r>
          </w:p>
          <w:p w14:paraId="021A1462">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保险单位</w:t>
            </w:r>
          </w:p>
        </w:tc>
      </w:tr>
      <w:tr w14:paraId="56D7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CBDE0B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1</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0D16007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法定代表人/单位负责人/主要经营负责人</w:t>
            </w:r>
          </w:p>
        </w:tc>
        <w:tc>
          <w:tcPr>
            <w:tcW w:w="1027" w:type="dxa"/>
            <w:tcBorders>
              <w:top w:val="single" w:color="auto" w:sz="4" w:space="0"/>
              <w:left w:val="single" w:color="auto" w:sz="4" w:space="0"/>
              <w:bottom w:val="single" w:color="auto" w:sz="4" w:space="0"/>
              <w:right w:val="single" w:color="auto" w:sz="4" w:space="0"/>
            </w:tcBorders>
            <w:vAlign w:val="center"/>
          </w:tcPr>
          <w:p w14:paraId="2C19CEF3">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2E5B426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64E686D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28979B6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14AB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DD467D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2</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7F6E3E4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项目投标授权代表人</w:t>
            </w:r>
          </w:p>
        </w:tc>
        <w:tc>
          <w:tcPr>
            <w:tcW w:w="1027" w:type="dxa"/>
            <w:tcBorders>
              <w:top w:val="single" w:color="auto" w:sz="4" w:space="0"/>
              <w:left w:val="single" w:color="auto" w:sz="4" w:space="0"/>
              <w:bottom w:val="single" w:color="auto" w:sz="4" w:space="0"/>
              <w:right w:val="single" w:color="auto" w:sz="4" w:space="0"/>
            </w:tcBorders>
            <w:vAlign w:val="center"/>
          </w:tcPr>
          <w:p w14:paraId="575BAE7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28571D7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76BDF8F3">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7D78B361">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6A77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71FF57D2">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3</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48B2A6F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项目负责人</w:t>
            </w:r>
          </w:p>
        </w:tc>
        <w:tc>
          <w:tcPr>
            <w:tcW w:w="1027" w:type="dxa"/>
            <w:tcBorders>
              <w:top w:val="single" w:color="auto" w:sz="4" w:space="0"/>
              <w:left w:val="single" w:color="auto" w:sz="4" w:space="0"/>
              <w:bottom w:val="single" w:color="auto" w:sz="4" w:space="0"/>
              <w:right w:val="single" w:color="auto" w:sz="4" w:space="0"/>
            </w:tcBorders>
            <w:vAlign w:val="center"/>
          </w:tcPr>
          <w:p w14:paraId="0CBCF51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3EBE5759">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592E25A9">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3698733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55F5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51E76EE">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4</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4FB17B8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主要技术人员</w:t>
            </w:r>
          </w:p>
        </w:tc>
        <w:tc>
          <w:tcPr>
            <w:tcW w:w="1027" w:type="dxa"/>
            <w:tcBorders>
              <w:top w:val="single" w:color="auto" w:sz="4" w:space="0"/>
              <w:left w:val="single" w:color="auto" w:sz="4" w:space="0"/>
              <w:bottom w:val="single" w:color="auto" w:sz="4" w:space="0"/>
              <w:right w:val="single" w:color="auto" w:sz="4" w:space="0"/>
            </w:tcBorders>
            <w:vAlign w:val="center"/>
          </w:tcPr>
          <w:p w14:paraId="6E01E601">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551D58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5017CCA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446546B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69DF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4146DD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5</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5B4D7B1B">
            <w:pPr>
              <w:keepNext w:val="0"/>
              <w:keepLines w:val="0"/>
              <w:widowControl w:val="0"/>
              <w:suppressLineNumbers w:val="0"/>
              <w:snapToGrid w:val="0"/>
              <w:spacing w:before="0" w:beforeAutospacing="0" w:after="0" w:afterAutospacing="0" w:line="400" w:lineRule="exact"/>
              <w:ind w:left="0" w:right="0" w:firstLine="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投标文件编制人员</w:t>
            </w:r>
          </w:p>
        </w:tc>
        <w:tc>
          <w:tcPr>
            <w:tcW w:w="1027" w:type="dxa"/>
            <w:tcBorders>
              <w:top w:val="single" w:color="auto" w:sz="4" w:space="0"/>
              <w:left w:val="single" w:color="auto" w:sz="4" w:space="0"/>
              <w:bottom w:val="single" w:color="auto" w:sz="4" w:space="0"/>
              <w:right w:val="single" w:color="auto" w:sz="4" w:space="0"/>
            </w:tcBorders>
            <w:vAlign w:val="center"/>
          </w:tcPr>
          <w:p w14:paraId="1CD34F6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084B7C9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6571FB3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12D94AC1">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5DA9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2939B4C7">
            <w:pPr>
              <w:keepNext w:val="0"/>
              <w:keepLines w:val="0"/>
              <w:widowControl w:val="0"/>
              <w:suppressLineNumbers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说明：同一职务有多人担任（如主要技术人员），应分行填写。</w:t>
            </w:r>
          </w:p>
        </w:tc>
      </w:tr>
      <w:tr w14:paraId="4DAE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5171B93A">
            <w:pPr>
              <w:keepNext w:val="0"/>
              <w:keepLines w:val="0"/>
              <w:widowControl w:val="0"/>
              <w:suppressLineNumbers w:val="0"/>
              <w:spacing w:before="0" w:beforeAutospacing="0" w:after="0" w:afterAutospacing="0" w:line="400" w:lineRule="exact"/>
              <w:ind w:left="0" w:right="0"/>
              <w:jc w:val="center"/>
              <w:rPr>
                <w:rFonts w:ascii="宋体" w:hAnsi="宋体" w:eastAsia="宋体" w:cs="宋体"/>
                <w:b/>
                <w:bCs/>
                <w:kern w:val="2"/>
                <w:sz w:val="22"/>
                <w:szCs w:val="22"/>
                <w:lang w:eastAsia="zh-CN"/>
              </w:rPr>
            </w:pPr>
            <w:r>
              <w:rPr>
                <w:rFonts w:hint="eastAsia" w:ascii="宋体" w:hAnsi="宋体" w:eastAsia="宋体" w:cs="宋体"/>
                <w:b/>
                <w:bCs/>
                <w:kern w:val="2"/>
                <w:sz w:val="22"/>
                <w:szCs w:val="22"/>
                <w:lang w:eastAsia="zh-CN"/>
              </w:rPr>
              <w:t>投标（响应）供应商关联关系情况</w:t>
            </w:r>
          </w:p>
        </w:tc>
      </w:tr>
      <w:tr w14:paraId="1B1D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D5745A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序号</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32EF2F3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关联关系类型</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75FD9E2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关联主体名称</w:t>
            </w: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4615DCA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备注</w:t>
            </w:r>
          </w:p>
        </w:tc>
      </w:tr>
      <w:tr w14:paraId="1552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16E1039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1</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3E040F0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控股股东</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71788C4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5EAC8877">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kern w:val="2"/>
                <w:sz w:val="22"/>
                <w:szCs w:val="22"/>
                <w:lang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0477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993C8E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2</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09D3EC22">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管理关系</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7402682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080C7E3B">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kern w:val="2"/>
                <w:sz w:val="22"/>
                <w:szCs w:val="22"/>
                <w:lang w:eastAsia="zh-CN"/>
              </w:rPr>
              <w:t>指对投标（响应）供应商不具有出资持股关系，但对其存在管理关系的主体。</w:t>
            </w:r>
          </w:p>
        </w:tc>
      </w:tr>
      <w:tr w14:paraId="3893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293D0CB4">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说明：同一关联关系类型有多个主体的，应分行填写。</w:t>
            </w:r>
          </w:p>
        </w:tc>
      </w:tr>
    </w:tbl>
    <w:p w14:paraId="4F587CF6">
      <w:pPr>
        <w:widowControl/>
        <w:jc w:val="left"/>
        <w:rPr>
          <w:rFonts w:ascii="宋体" w:hAnsi="宋体" w:eastAsia="宋体" w:cs="宋体"/>
          <w:kern w:val="2"/>
          <w:sz w:val="20"/>
          <w:szCs w:val="22"/>
          <w:lang w:eastAsia="zh-CN"/>
        </w:rPr>
        <w:sectPr>
          <w:pgSz w:w="11906" w:h="16838"/>
          <w:pgMar w:top="1417" w:right="1417" w:bottom="1417" w:left="1701" w:header="851" w:footer="1588" w:gutter="0"/>
          <w:pgNumType w:fmt="numberInDash"/>
          <w:cols w:space="720" w:num="1"/>
          <w:docGrid w:type="lines" w:linePitch="312" w:charSpace="0"/>
        </w:sectPr>
      </w:pPr>
    </w:p>
    <w:p w14:paraId="74E56B2D">
      <w:pPr>
        <w:keepNext/>
        <w:keepLines/>
        <w:widowControl w:val="0"/>
        <w:spacing w:before="260" w:after="260" w:line="240" w:lineRule="auto"/>
        <w:jc w:val="center"/>
        <w:outlineLvl w:val="2"/>
        <w:rPr>
          <w:rFonts w:ascii="黑体" w:hAnsi="宋体" w:eastAsia="黑体"/>
          <w:bCs/>
          <w:kern w:val="2"/>
          <w:szCs w:val="32"/>
          <w:lang w:eastAsia="zh-CN"/>
        </w:rPr>
      </w:pPr>
      <w:r>
        <w:rPr>
          <w:rFonts w:hint="eastAsia" w:ascii="黑体" w:hAnsi="宋体" w:eastAsia="黑体"/>
          <w:bCs/>
          <w:kern w:val="2"/>
          <w:szCs w:val="32"/>
          <w:lang w:eastAsia="zh-CN"/>
        </w:rPr>
        <w:t>六、</w:t>
      </w:r>
      <w:bookmarkStart w:id="38" w:name="_Hlk72092499"/>
      <w:r>
        <w:rPr>
          <w:rFonts w:hint="eastAsia" w:ascii="黑体" w:hAnsi="宋体" w:eastAsia="黑体"/>
          <w:bCs/>
          <w:kern w:val="2"/>
          <w:szCs w:val="32"/>
          <w:lang w:eastAsia="zh-CN"/>
        </w:rPr>
        <w:t>法定代表人（负责人）证明书</w:t>
      </w:r>
      <w:bookmarkEnd w:id="38"/>
    </w:p>
    <w:p w14:paraId="1797EEF7">
      <w:pPr>
        <w:widowControl w:val="0"/>
        <w:jc w:val="both"/>
        <w:rPr>
          <w:rFonts w:eastAsia="宋体"/>
          <w:kern w:val="2"/>
          <w:lang w:eastAsia="zh-CN"/>
        </w:rPr>
      </w:pPr>
    </w:p>
    <w:p w14:paraId="77E89974">
      <w:pPr>
        <w:widowControl w:val="0"/>
        <w:spacing w:line="360" w:lineRule="auto"/>
        <w:ind w:firstLine="420" w:firstLineChars="200"/>
        <w:jc w:val="both"/>
        <w:rPr>
          <w:rFonts w:eastAsia="宋体"/>
          <w:kern w:val="2"/>
          <w:sz w:val="21"/>
          <w:szCs w:val="21"/>
          <w:lang w:eastAsia="zh-CN"/>
        </w:rPr>
      </w:pPr>
      <w:r>
        <w:rPr>
          <w:rFonts w:eastAsia="宋体"/>
          <w:kern w:val="2"/>
          <w:sz w:val="21"/>
          <w:szCs w:val="21"/>
          <w:u w:val="single"/>
          <w:lang w:eastAsia="zh-CN" w:bidi="ar"/>
        </w:rPr>
        <w:t xml:space="preserve">                 </w:t>
      </w:r>
      <w:r>
        <w:rPr>
          <w:rFonts w:hint="eastAsia" w:eastAsia="宋体" w:cs="宋体"/>
          <w:kern w:val="2"/>
          <w:sz w:val="21"/>
          <w:szCs w:val="21"/>
          <w:lang w:eastAsia="zh-CN" w:bidi="ar"/>
        </w:rPr>
        <w:t>（姓名），现任我单位</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职务，为法定代表人（负责人），身份证件号为：</w:t>
      </w:r>
      <w:r>
        <w:rPr>
          <w:rFonts w:eastAsia="宋体"/>
          <w:kern w:val="2"/>
          <w:sz w:val="21"/>
          <w:szCs w:val="21"/>
          <w:u w:val="single"/>
          <w:lang w:eastAsia="zh-CN" w:bidi="ar"/>
        </w:rPr>
        <w:t xml:space="preserve">                                     </w:t>
      </w: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68D05699">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特此证明。</w:t>
      </w:r>
    </w:p>
    <w:p w14:paraId="6E76A484">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说明：</w:t>
      </w:r>
      <w:r>
        <w:rPr>
          <w:rFonts w:eastAsia="宋体"/>
          <w:b/>
          <w:bCs/>
          <w:color w:val="FF0000"/>
          <w:kern w:val="2"/>
          <w:sz w:val="21"/>
          <w:szCs w:val="21"/>
          <w:lang w:eastAsia="zh-CN" w:bidi="ar"/>
        </w:rPr>
        <w:t>1</w:t>
      </w:r>
      <w:r>
        <w:rPr>
          <w:rFonts w:hint="eastAsia" w:eastAsia="宋体" w:cs="宋体"/>
          <w:b/>
          <w:bCs/>
          <w:color w:val="FF0000"/>
          <w:kern w:val="2"/>
          <w:sz w:val="21"/>
          <w:szCs w:val="21"/>
          <w:lang w:eastAsia="zh-CN" w:bidi="ar"/>
        </w:rPr>
        <w:t>、法定代表人为投标人（企业事业单位、国家机关、社会团体）的主要行政负责人。</w:t>
      </w:r>
    </w:p>
    <w:p w14:paraId="7D648BAC">
      <w:pPr>
        <w:widowControl w:val="0"/>
        <w:numPr>
          <w:ilvl w:val="0"/>
          <w:numId w:val="11"/>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本证明书要供法定代表人（负责人）相关身份证明文件：身份证扫描件（正反两面）；港澳台居民可提供来往通行证扫描件；非中国国籍管辖范围人员，可提供公安部门认可的身份证明材料扫描件。</w:t>
      </w:r>
    </w:p>
    <w:p w14:paraId="433F086C">
      <w:pPr>
        <w:widowControl w:val="0"/>
        <w:numPr>
          <w:ilvl w:val="0"/>
          <w:numId w:val="11"/>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本项目投标授权代表为法定代表人（负责人）的，无需提供《投标文件签署授权委托书》。</w:t>
      </w:r>
    </w:p>
    <w:p w14:paraId="3FC5EF9C">
      <w:pPr>
        <w:widowControl w:val="0"/>
        <w:numPr>
          <w:ilvl w:val="0"/>
          <w:numId w:val="11"/>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内容必须填写真实、清楚，涂改无效，不得转让、买卖。</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9"/>
        <w:gridCol w:w="4539"/>
      </w:tblGrid>
      <w:tr w14:paraId="1B5C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Borders>
              <w:top w:val="single" w:color="auto" w:sz="4" w:space="0"/>
              <w:left w:val="single" w:color="auto" w:sz="4" w:space="0"/>
              <w:bottom w:val="single" w:color="auto" w:sz="4" w:space="0"/>
              <w:right w:val="single" w:color="auto" w:sz="4" w:space="0"/>
            </w:tcBorders>
            <w:shd w:val="clear" w:color="auto" w:fill="auto"/>
          </w:tcPr>
          <w:p w14:paraId="00D71446">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证件扫描件正面</w:t>
            </w:r>
          </w:p>
          <w:p w14:paraId="5D61C8F5">
            <w:pPr>
              <w:keepNext w:val="0"/>
              <w:keepLines w:val="0"/>
              <w:widowControl w:val="0"/>
              <w:suppressLineNumbers w:val="0"/>
              <w:spacing w:before="0" w:beforeAutospacing="0" w:after="120" w:afterAutospacing="0"/>
              <w:ind w:left="0" w:right="0"/>
              <w:jc w:val="left"/>
              <w:rPr>
                <w:rFonts w:eastAsia="宋体"/>
                <w:lang w:eastAsia="zh-CN" w:bidi="ar"/>
              </w:rPr>
            </w:pPr>
          </w:p>
          <w:p w14:paraId="5C2726C2">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181FD5BA">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47A4F090">
            <w:pPr>
              <w:keepNext w:val="0"/>
              <w:keepLines w:val="0"/>
              <w:widowControl w:val="0"/>
              <w:suppressLineNumbers w:val="0"/>
              <w:spacing w:before="0" w:beforeAutospacing="0" w:after="0" w:afterAutospacing="0" w:line="360" w:lineRule="auto"/>
              <w:ind w:left="0" w:right="0"/>
              <w:jc w:val="left"/>
              <w:rPr>
                <w:rFonts w:eastAsia="宋体"/>
                <w:lang w:eastAsia="zh-CN" w:bidi="ar"/>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3AF77105">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证件扫描件反面</w:t>
            </w:r>
          </w:p>
          <w:p w14:paraId="24C80881">
            <w:pPr>
              <w:keepNext w:val="0"/>
              <w:keepLines w:val="0"/>
              <w:widowControl w:val="0"/>
              <w:suppressLineNumbers w:val="0"/>
              <w:spacing w:before="0" w:beforeAutospacing="0" w:after="120" w:afterAutospacing="0"/>
              <w:ind w:left="0" w:right="0"/>
              <w:jc w:val="center"/>
              <w:rPr>
                <w:rFonts w:eastAsia="宋体"/>
                <w:lang w:eastAsia="zh-CN" w:bidi="ar"/>
              </w:rPr>
            </w:pPr>
          </w:p>
          <w:p w14:paraId="5B9A279D">
            <w:pPr>
              <w:keepNext w:val="0"/>
              <w:keepLines w:val="0"/>
              <w:widowControl w:val="0"/>
              <w:suppressLineNumbers w:val="0"/>
              <w:spacing w:before="0" w:beforeAutospacing="0" w:after="0" w:afterAutospacing="0" w:line="360" w:lineRule="auto"/>
              <w:ind w:left="0" w:right="0"/>
              <w:jc w:val="center"/>
              <w:rPr>
                <w:rFonts w:eastAsia="宋体"/>
                <w:lang w:eastAsia="zh-CN" w:bidi="ar"/>
              </w:rPr>
            </w:pPr>
          </w:p>
        </w:tc>
      </w:tr>
    </w:tbl>
    <w:p w14:paraId="7E6A8BDE">
      <w:pPr>
        <w:widowControl w:val="0"/>
        <w:spacing w:before="0" w:beforeAutospacing="1" w:after="0" w:afterAutospacing="1"/>
        <w:ind w:left="0" w:right="0"/>
        <w:jc w:val="left"/>
        <w:rPr>
          <w:rFonts w:eastAsia="宋体"/>
          <w:szCs w:val="22"/>
          <w:lang w:eastAsia="zh-CN" w:bidi="ar"/>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026C74DC">
      <w:pPr>
        <w:widowControl w:val="0"/>
        <w:jc w:val="both"/>
        <w:rPr>
          <w:rFonts w:eastAsia="宋体"/>
          <w:kern w:val="2"/>
          <w:lang w:eastAsia="zh-CN"/>
        </w:rPr>
      </w:pPr>
    </w:p>
    <w:p w14:paraId="5C8DBD35">
      <w:pPr>
        <w:widowControl w:val="0"/>
        <w:jc w:val="both"/>
        <w:rPr>
          <w:rFonts w:ascii="黑体" w:hAnsi="宋体" w:eastAsia="黑体" w:cs="黑体"/>
          <w:bCs/>
          <w:kern w:val="2"/>
          <w:szCs w:val="32"/>
          <w:lang w:eastAsia="zh-CN"/>
        </w:rPr>
      </w:pPr>
      <w:r>
        <w:rPr>
          <w:rFonts w:hint="eastAsia" w:ascii="黑体" w:hAnsi="宋体" w:eastAsia="黑体" w:cs="黑体"/>
          <w:bCs/>
          <w:kern w:val="2"/>
          <w:szCs w:val="32"/>
          <w:lang w:eastAsia="zh-CN"/>
        </w:rPr>
        <w:br w:type="page"/>
      </w:r>
    </w:p>
    <w:p w14:paraId="3A23686E">
      <w:pPr>
        <w:keepNext/>
        <w:keepLines/>
        <w:widowControl/>
        <w:spacing w:before="120" w:after="120" w:line="240" w:lineRule="auto"/>
        <w:jc w:val="center"/>
        <w:outlineLvl w:val="2"/>
        <w:rPr>
          <w:rFonts w:ascii="黑体" w:hAnsi="宋体" w:eastAsia="黑体" w:cs="黑体"/>
          <w:bCs/>
          <w:kern w:val="2"/>
          <w:szCs w:val="32"/>
          <w:lang w:eastAsia="zh-CN"/>
        </w:rPr>
      </w:pPr>
      <w:r>
        <w:rPr>
          <w:rFonts w:hint="eastAsia" w:ascii="黑体" w:hAnsi="宋体" w:eastAsia="黑体" w:cs="黑体"/>
          <w:bCs/>
          <w:kern w:val="2"/>
          <w:szCs w:val="32"/>
          <w:lang w:eastAsia="zh-CN"/>
        </w:rPr>
        <w:t>七、投标文件签署授权委托书</w:t>
      </w:r>
    </w:p>
    <w:p w14:paraId="2956EFD9">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本授权委托书声明：我</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（姓名）系</w:t>
      </w:r>
      <w:r>
        <w:rPr>
          <w:rFonts w:eastAsia="宋体"/>
          <w:kern w:val="2"/>
          <w:sz w:val="21"/>
          <w:szCs w:val="21"/>
          <w:u w:val="single"/>
          <w:lang w:eastAsia="zh-CN" w:bidi="ar"/>
        </w:rPr>
        <w:t xml:space="preserve">             </w:t>
      </w:r>
      <w:r>
        <w:rPr>
          <w:rFonts w:hint="eastAsia" w:eastAsia="宋体" w:cs="宋体"/>
          <w:kern w:val="2"/>
          <w:sz w:val="21"/>
          <w:szCs w:val="21"/>
          <w:lang w:eastAsia="zh-CN" w:bidi="ar"/>
        </w:rPr>
        <w:t>（投标人名称）的法定代表人（负责人），现授权委托</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（姓名）为我单位签署本项目已递交的投标文件的法定代表人（负责人）的授权委托代理人，代理人全权代表我所签署的本项目已递交的投标文件内容我均承认。</w:t>
      </w:r>
    </w:p>
    <w:p w14:paraId="2F82C349">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代理人无转委托权，特此委托。</w:t>
      </w:r>
    </w:p>
    <w:p w14:paraId="281FE882">
      <w:pPr>
        <w:widowControl w:val="0"/>
        <w:spacing w:line="360" w:lineRule="auto"/>
        <w:ind w:firstLine="420" w:firstLineChars="200"/>
        <w:jc w:val="both"/>
        <w:rPr>
          <w:rFonts w:eastAsia="宋体"/>
          <w:kern w:val="2"/>
          <w:sz w:val="21"/>
          <w:szCs w:val="21"/>
          <w:lang w:eastAsia="zh-CN"/>
        </w:rPr>
      </w:pPr>
    </w:p>
    <w:p w14:paraId="736C0371">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460DB02F">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身份证件号：</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6D11FED5">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，手机：</w:t>
      </w:r>
      <w:r>
        <w:rPr>
          <w:rFonts w:eastAsia="宋体"/>
          <w:kern w:val="2"/>
          <w:sz w:val="21"/>
          <w:szCs w:val="21"/>
          <w:u w:val="single"/>
          <w:lang w:eastAsia="zh-CN" w:bidi="ar"/>
        </w:rPr>
        <w:t xml:space="preserve">                </w:t>
      </w:r>
      <w:r>
        <w:rPr>
          <w:rFonts w:hint="eastAsia" w:eastAsia="宋体" w:cs="宋体"/>
          <w:kern w:val="2"/>
          <w:sz w:val="21"/>
          <w:szCs w:val="21"/>
          <w:lang w:eastAsia="zh-CN" w:bidi="ar"/>
        </w:rPr>
        <w:t>，电子邮箱：</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C9E801C">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授权委托日期：</w:t>
      </w:r>
      <w:r>
        <w:rPr>
          <w:rFonts w:eastAsia="宋体"/>
          <w:kern w:val="2"/>
          <w:sz w:val="21"/>
          <w:szCs w:val="21"/>
          <w:u w:val="single"/>
          <w:lang w:eastAsia="zh-CN" w:bidi="ar"/>
        </w:rPr>
        <w:t xml:space="preserve">         </w:t>
      </w:r>
      <w:r>
        <w:rPr>
          <w:rFonts w:hint="eastAsia" w:eastAsia="宋体" w:cs="宋体"/>
          <w:kern w:val="2"/>
          <w:sz w:val="21"/>
          <w:szCs w:val="21"/>
          <w:lang w:eastAsia="zh-CN" w:bidi="ar"/>
        </w:rPr>
        <w:t>年</w:t>
      </w:r>
      <w:r>
        <w:rPr>
          <w:rFonts w:eastAsia="宋体"/>
          <w:kern w:val="2"/>
          <w:sz w:val="21"/>
          <w:szCs w:val="21"/>
          <w:u w:val="single"/>
          <w:lang w:eastAsia="zh-CN" w:bidi="ar"/>
        </w:rPr>
        <w:t xml:space="preserve">     </w:t>
      </w:r>
      <w:r>
        <w:rPr>
          <w:rFonts w:hint="eastAsia" w:eastAsia="宋体" w:cs="宋体"/>
          <w:kern w:val="2"/>
          <w:sz w:val="21"/>
          <w:szCs w:val="21"/>
          <w:lang w:eastAsia="zh-CN" w:bidi="ar"/>
        </w:rPr>
        <w:t>月</w:t>
      </w:r>
      <w:r>
        <w:rPr>
          <w:rFonts w:eastAsia="宋体"/>
          <w:kern w:val="2"/>
          <w:sz w:val="21"/>
          <w:szCs w:val="21"/>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日。</w:t>
      </w:r>
    </w:p>
    <w:p w14:paraId="04DC3B32">
      <w:pPr>
        <w:widowControl w:val="0"/>
        <w:spacing w:line="360" w:lineRule="auto"/>
        <w:jc w:val="both"/>
        <w:rPr>
          <w:rFonts w:eastAsia="宋体"/>
          <w:b/>
          <w:color w:val="FF0000"/>
          <w:kern w:val="2"/>
          <w:sz w:val="21"/>
          <w:szCs w:val="21"/>
          <w:lang w:eastAsia="zh-CN"/>
        </w:rPr>
      </w:pPr>
      <w:r>
        <w:rPr>
          <w:rFonts w:hint="eastAsia" w:eastAsia="宋体" w:cs="宋体"/>
          <w:b/>
          <w:color w:val="FF0000"/>
          <w:kern w:val="2"/>
          <w:sz w:val="21"/>
          <w:szCs w:val="21"/>
          <w:lang w:eastAsia="zh-CN" w:bidi="ar"/>
        </w:rPr>
        <w:t>附：请提供代理人身份证扫描件（正反两面）；港澳台居民可提供来往通行证扫描件；非中国国籍管辖范围人员，可提供公安部门认可的身份证明材料扫描件。</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9"/>
        <w:gridCol w:w="4539"/>
      </w:tblGrid>
      <w:tr w14:paraId="0A58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Borders>
              <w:top w:val="single" w:color="auto" w:sz="4" w:space="0"/>
              <w:left w:val="single" w:color="auto" w:sz="4" w:space="0"/>
              <w:bottom w:val="single" w:color="auto" w:sz="4" w:space="0"/>
              <w:right w:val="single" w:color="auto" w:sz="4" w:space="0"/>
            </w:tcBorders>
            <w:shd w:val="clear" w:color="auto" w:fill="auto"/>
          </w:tcPr>
          <w:p w14:paraId="3D9BC145">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证件扫描件正面</w:t>
            </w:r>
          </w:p>
          <w:p w14:paraId="6C512D35">
            <w:pPr>
              <w:keepNext w:val="0"/>
              <w:keepLines w:val="0"/>
              <w:widowControl w:val="0"/>
              <w:suppressLineNumbers w:val="0"/>
              <w:spacing w:before="0" w:beforeAutospacing="0" w:after="120" w:afterAutospacing="0"/>
              <w:ind w:left="0" w:right="0"/>
              <w:jc w:val="left"/>
              <w:rPr>
                <w:rFonts w:eastAsia="宋体"/>
                <w:lang w:eastAsia="zh-CN" w:bidi="ar"/>
              </w:rPr>
            </w:pPr>
          </w:p>
          <w:p w14:paraId="5B180EAD">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7071834A">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31E4C91E">
            <w:pPr>
              <w:keepNext w:val="0"/>
              <w:keepLines w:val="0"/>
              <w:widowControl w:val="0"/>
              <w:suppressLineNumbers w:val="0"/>
              <w:spacing w:before="0" w:beforeAutospacing="0" w:after="0" w:afterAutospacing="0" w:line="360" w:lineRule="auto"/>
              <w:ind w:left="0" w:right="0"/>
              <w:jc w:val="left"/>
              <w:rPr>
                <w:rFonts w:eastAsia="宋体"/>
                <w:lang w:eastAsia="zh-CN" w:bidi="ar"/>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6BBD8106">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证件扫描件反面</w:t>
            </w:r>
          </w:p>
          <w:p w14:paraId="61DC75FD">
            <w:pPr>
              <w:keepNext w:val="0"/>
              <w:keepLines w:val="0"/>
              <w:widowControl w:val="0"/>
              <w:suppressLineNumbers w:val="0"/>
              <w:spacing w:before="0" w:beforeAutospacing="0" w:after="120" w:afterAutospacing="0"/>
              <w:ind w:left="0" w:right="0"/>
              <w:jc w:val="center"/>
              <w:rPr>
                <w:rFonts w:eastAsia="宋体"/>
                <w:lang w:eastAsia="zh-CN" w:bidi="ar"/>
              </w:rPr>
            </w:pPr>
          </w:p>
          <w:p w14:paraId="7547785F">
            <w:pPr>
              <w:keepNext w:val="0"/>
              <w:keepLines w:val="0"/>
              <w:widowControl w:val="0"/>
              <w:suppressLineNumbers w:val="0"/>
              <w:spacing w:before="0" w:beforeAutospacing="0" w:after="0" w:afterAutospacing="0" w:line="360" w:lineRule="auto"/>
              <w:ind w:left="0" w:right="0"/>
              <w:jc w:val="center"/>
              <w:rPr>
                <w:rFonts w:eastAsia="宋体"/>
                <w:lang w:eastAsia="zh-CN" w:bidi="ar"/>
              </w:rPr>
            </w:pPr>
          </w:p>
        </w:tc>
      </w:tr>
    </w:tbl>
    <w:p w14:paraId="3A832E21">
      <w:pPr>
        <w:widowControl w:val="0"/>
        <w:spacing w:before="0" w:beforeAutospacing="1" w:after="0" w:afterAutospacing="1"/>
        <w:ind w:left="0" w:right="0"/>
        <w:jc w:val="left"/>
        <w:rPr>
          <w:rFonts w:eastAsia="宋体"/>
          <w:szCs w:val="22"/>
          <w:lang w:eastAsia="zh-CN" w:bidi="ar"/>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7BAED414">
      <w:pPr>
        <w:widowControl w:val="0"/>
        <w:jc w:val="both"/>
        <w:rPr>
          <w:rFonts w:eastAsia="宋体"/>
          <w:kern w:val="2"/>
          <w:sz w:val="21"/>
          <w:lang w:eastAsia="zh-CN"/>
        </w:rPr>
      </w:pPr>
    </w:p>
    <w:p w14:paraId="230E56DD">
      <w:pPr>
        <w:widowControl w:val="0"/>
        <w:spacing w:line="360" w:lineRule="auto"/>
        <w:jc w:val="both"/>
        <w:rPr>
          <w:rFonts w:hAnsi="宋体" w:eastAsia="宋体"/>
          <w:b/>
          <w:bCs/>
          <w:kern w:val="2"/>
          <w:lang w:eastAsia="zh-CN"/>
        </w:rPr>
      </w:pPr>
      <w:r>
        <w:rPr>
          <w:rFonts w:eastAsia="宋体"/>
          <w:b/>
          <w:bCs/>
          <w:kern w:val="2"/>
          <w:lang w:eastAsia="zh-CN"/>
        </w:rPr>
        <w:br w:type="page"/>
      </w:r>
    </w:p>
    <w:p w14:paraId="5A3DA4B0">
      <w:pPr>
        <w:keepNext/>
        <w:keepLines/>
        <w:widowControl w:val="0"/>
        <w:spacing w:before="260" w:after="260" w:line="240" w:lineRule="auto"/>
        <w:jc w:val="center"/>
        <w:outlineLvl w:val="2"/>
        <w:rPr>
          <w:rFonts w:ascii="黑体" w:hAnsi="宋体" w:eastAsia="黑体"/>
          <w:bCs/>
          <w:lang w:eastAsia="zh-CN"/>
        </w:rPr>
      </w:pPr>
      <w:r>
        <w:rPr>
          <w:rFonts w:hint="eastAsia" w:ascii="黑体" w:hAnsi="宋体" w:eastAsia="黑体"/>
          <w:bCs/>
          <w:lang w:eastAsia="zh-CN"/>
        </w:rPr>
        <w:t>八、</w:t>
      </w:r>
      <w:bookmarkStart w:id="39" w:name="_Hlk72092634"/>
      <w:r>
        <w:rPr>
          <w:rFonts w:hint="eastAsia" w:ascii="黑体" w:hAnsi="宋体" w:eastAsia="黑体"/>
          <w:bCs/>
          <w:lang w:eastAsia="zh-CN"/>
        </w:rPr>
        <w:t>实质性条款响应情况表</w:t>
      </w:r>
      <w:bookmarkEnd w:id="39"/>
    </w:p>
    <w:tbl>
      <w:tblPr>
        <w:tblStyle w:val="42"/>
        <w:tblW w:w="9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3978"/>
        <w:gridCol w:w="1539"/>
        <w:gridCol w:w="1292"/>
        <w:gridCol w:w="865"/>
      </w:tblGrid>
      <w:tr w14:paraId="4EB85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402" w:type="dxa"/>
            <w:vAlign w:val="center"/>
          </w:tcPr>
          <w:p w14:paraId="1DDDE2AC">
            <w:pPr>
              <w:adjustRightInd w:val="0"/>
              <w:snapToGrid w:val="0"/>
              <w:spacing w:line="276" w:lineRule="auto"/>
              <w:jc w:val="center"/>
              <w:rPr>
                <w:rFonts w:hint="eastAsia" w:ascii="宋体" w:hAnsi="宋体" w:eastAsia="宋体" w:cs="Times New Roman"/>
                <w:b/>
                <w:bCs/>
                <w:kern w:val="0"/>
                <w:szCs w:val="21"/>
              </w:rPr>
            </w:pPr>
            <w:r>
              <w:rPr>
                <w:rFonts w:hint="eastAsia" w:ascii="宋体" w:hAnsi="宋体" w:eastAsia="宋体" w:cs="Times New Roman"/>
                <w:b/>
                <w:bCs/>
                <w:kern w:val="0"/>
                <w:szCs w:val="21"/>
              </w:rPr>
              <w:t>序号</w:t>
            </w:r>
          </w:p>
        </w:tc>
        <w:tc>
          <w:tcPr>
            <w:tcW w:w="3978" w:type="dxa"/>
            <w:vAlign w:val="center"/>
          </w:tcPr>
          <w:p w14:paraId="516A5DF2">
            <w:pPr>
              <w:adjustRightInd w:val="0"/>
              <w:snapToGrid w:val="0"/>
              <w:spacing w:line="276" w:lineRule="auto"/>
              <w:jc w:val="center"/>
              <w:rPr>
                <w:rFonts w:hint="eastAsia" w:ascii="宋体" w:hAnsi="宋体" w:eastAsia="宋体" w:cs="Times New Roman"/>
                <w:b/>
                <w:bCs/>
                <w:kern w:val="0"/>
                <w:szCs w:val="21"/>
              </w:rPr>
            </w:pPr>
            <w:r>
              <w:rPr>
                <w:rFonts w:hint="eastAsia" w:ascii="Times New Roman" w:hAnsi="Times New Roman" w:eastAsia="宋体" w:cs="Times New Roman"/>
                <w:b/>
                <w:bCs/>
                <w:color w:val="FF0000"/>
                <w:szCs w:val="21"/>
                <w:highlight w:val="yellow"/>
              </w:rPr>
              <w:t>★</w:t>
            </w:r>
            <w:r>
              <w:rPr>
                <w:rFonts w:hint="eastAsia" w:ascii="宋体" w:hAnsi="宋体" w:eastAsia="宋体" w:cs="Times New Roman"/>
                <w:b/>
                <w:bCs/>
                <w:kern w:val="0"/>
                <w:szCs w:val="21"/>
                <w:highlight w:val="yellow"/>
              </w:rPr>
              <w:t>实质性条款具体内容</w:t>
            </w:r>
          </w:p>
        </w:tc>
        <w:tc>
          <w:tcPr>
            <w:tcW w:w="1539" w:type="dxa"/>
            <w:vAlign w:val="center"/>
          </w:tcPr>
          <w:p w14:paraId="13CD71F5">
            <w:pPr>
              <w:adjustRightInd w:val="0"/>
              <w:snapToGrid w:val="0"/>
              <w:spacing w:line="276" w:lineRule="auto"/>
              <w:jc w:val="center"/>
              <w:rPr>
                <w:rFonts w:hint="default" w:ascii="Times New Roman" w:hAnsi="Times New Roman" w:eastAsia="宋体" w:cs="Times New Roman"/>
                <w:b/>
                <w:bCs/>
                <w:color w:val="FF0000"/>
                <w:szCs w:val="21"/>
                <w:highlight w:val="yellow"/>
                <w:lang w:val="en-US" w:eastAsia="zh-CN"/>
              </w:rPr>
            </w:pPr>
            <w:r>
              <w:rPr>
                <w:rFonts w:hint="eastAsia" w:ascii="Times New Roman" w:hAnsi="Times New Roman" w:eastAsia="宋体" w:cs="Times New Roman"/>
                <w:b/>
                <w:bCs/>
                <w:color w:val="FF0000"/>
                <w:szCs w:val="21"/>
                <w:highlight w:val="yellow"/>
                <w:lang w:val="en-US" w:eastAsia="zh-CN"/>
              </w:rPr>
              <w:t>投标响应情况</w:t>
            </w:r>
          </w:p>
        </w:tc>
        <w:tc>
          <w:tcPr>
            <w:tcW w:w="1292" w:type="dxa"/>
            <w:vAlign w:val="center"/>
          </w:tcPr>
          <w:p w14:paraId="4D40861C">
            <w:pPr>
              <w:adjustRightInd w:val="0"/>
              <w:snapToGrid w:val="0"/>
              <w:spacing w:line="276" w:lineRule="auto"/>
              <w:jc w:val="center"/>
              <w:rPr>
                <w:rFonts w:hint="eastAsia" w:ascii="Times New Roman" w:hAnsi="Times New Roman" w:eastAsia="宋体" w:cs="Times New Roman"/>
                <w:b/>
                <w:bCs/>
                <w:color w:val="FF0000"/>
                <w:szCs w:val="21"/>
                <w:highlight w:val="yellow"/>
                <w:lang w:val="en-US" w:eastAsia="zh-CN"/>
              </w:rPr>
            </w:pPr>
            <w:r>
              <w:rPr>
                <w:rFonts w:hint="eastAsia" w:ascii="Times New Roman" w:hAnsi="Times New Roman" w:eastAsia="宋体" w:cs="Times New Roman"/>
                <w:b/>
                <w:bCs/>
                <w:color w:val="FF0000"/>
                <w:szCs w:val="21"/>
                <w:highlight w:val="yellow"/>
                <w:lang w:val="en-US" w:eastAsia="zh-CN"/>
              </w:rPr>
              <w:t>偏离情况</w:t>
            </w:r>
          </w:p>
        </w:tc>
        <w:tc>
          <w:tcPr>
            <w:tcW w:w="865" w:type="dxa"/>
            <w:vAlign w:val="center"/>
          </w:tcPr>
          <w:p w14:paraId="21C7547B">
            <w:pPr>
              <w:adjustRightInd w:val="0"/>
              <w:snapToGrid w:val="0"/>
              <w:spacing w:line="276" w:lineRule="auto"/>
              <w:jc w:val="center"/>
              <w:rPr>
                <w:rFonts w:hint="eastAsia" w:ascii="Times New Roman" w:hAnsi="Times New Roman" w:eastAsia="宋体" w:cs="Times New Roman"/>
                <w:b/>
                <w:bCs/>
                <w:color w:val="FF0000"/>
                <w:szCs w:val="21"/>
                <w:highlight w:val="yellow"/>
                <w:lang w:val="en-US" w:eastAsia="zh-CN"/>
              </w:rPr>
            </w:pPr>
            <w:r>
              <w:rPr>
                <w:rFonts w:hint="eastAsia" w:ascii="Times New Roman" w:hAnsi="Times New Roman" w:eastAsia="宋体" w:cs="Times New Roman"/>
                <w:b/>
                <w:bCs/>
                <w:color w:val="FF0000"/>
                <w:szCs w:val="21"/>
                <w:highlight w:val="yellow"/>
                <w:lang w:val="en-US" w:eastAsia="zh-CN"/>
              </w:rPr>
              <w:t>备注</w:t>
            </w:r>
          </w:p>
        </w:tc>
      </w:tr>
      <w:tr w14:paraId="3650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vAlign w:val="center"/>
          </w:tcPr>
          <w:p w14:paraId="49719194">
            <w:pPr>
              <w:adjustRightInd w:val="0"/>
              <w:snapToGrid w:val="0"/>
              <w:spacing w:line="276" w:lineRule="auto"/>
              <w:jc w:val="center"/>
              <w:rPr>
                <w:rFonts w:hint="eastAsia" w:ascii="宋体" w:hAnsi="宋体" w:eastAsia="宋体" w:cs="Times New Roman"/>
                <w:kern w:val="0"/>
                <w:szCs w:val="21"/>
              </w:rPr>
            </w:pPr>
            <w:r>
              <w:rPr>
                <w:rFonts w:hint="eastAsia" w:ascii="宋体" w:hAnsi="宋体" w:eastAsia="宋体" w:cs="Times New Roman"/>
                <w:kern w:val="0"/>
                <w:szCs w:val="21"/>
              </w:rPr>
              <w:t>1</w:t>
            </w:r>
          </w:p>
        </w:tc>
        <w:tc>
          <w:tcPr>
            <w:tcW w:w="3978" w:type="dxa"/>
            <w:vAlign w:val="center"/>
          </w:tcPr>
          <w:p w14:paraId="714F0B26">
            <w:pPr>
              <w:adjustRightInd w:val="0"/>
              <w:snapToGrid w:val="0"/>
              <w:spacing w:line="276" w:lineRule="auto"/>
              <w:jc w:val="left"/>
              <w:rPr>
                <w:rFonts w:hint="eastAsia" w:ascii="Times New Roman" w:hAnsi="宋体" w:eastAsia="宋体" w:cs="Times New Roman"/>
                <w:kern w:val="0"/>
                <w:szCs w:val="21"/>
              </w:rPr>
            </w:pPr>
            <w:r>
              <w:rPr>
                <w:rFonts w:hint="eastAsia"/>
                <w:color w:val="auto"/>
                <w:szCs w:val="21"/>
                <w:highlight w:val="none"/>
              </w:rPr>
              <w:t>具体以采购文件第三章 用户需求书中带“★”的需求项为准</w:t>
            </w:r>
          </w:p>
        </w:tc>
        <w:tc>
          <w:tcPr>
            <w:tcW w:w="1539" w:type="dxa"/>
            <w:vAlign w:val="center"/>
          </w:tcPr>
          <w:p w14:paraId="7006FA7A">
            <w:pPr>
              <w:adjustRightInd w:val="0"/>
              <w:snapToGrid w:val="0"/>
              <w:spacing w:line="276" w:lineRule="auto"/>
              <w:jc w:val="left"/>
              <w:rPr>
                <w:rFonts w:hint="eastAsia"/>
                <w:color w:val="auto"/>
                <w:szCs w:val="21"/>
                <w:highlight w:val="none"/>
              </w:rPr>
            </w:pPr>
          </w:p>
        </w:tc>
        <w:tc>
          <w:tcPr>
            <w:tcW w:w="1292" w:type="dxa"/>
            <w:vAlign w:val="center"/>
          </w:tcPr>
          <w:p w14:paraId="675371AE">
            <w:pPr>
              <w:adjustRightInd w:val="0"/>
              <w:snapToGrid w:val="0"/>
              <w:spacing w:line="276" w:lineRule="auto"/>
              <w:jc w:val="left"/>
              <w:rPr>
                <w:rFonts w:hint="eastAsia"/>
                <w:color w:val="auto"/>
                <w:szCs w:val="21"/>
                <w:highlight w:val="none"/>
              </w:rPr>
            </w:pPr>
          </w:p>
        </w:tc>
        <w:tc>
          <w:tcPr>
            <w:tcW w:w="865" w:type="dxa"/>
            <w:vAlign w:val="center"/>
          </w:tcPr>
          <w:p w14:paraId="435239BD">
            <w:pPr>
              <w:adjustRightInd w:val="0"/>
              <w:snapToGrid w:val="0"/>
              <w:spacing w:line="276" w:lineRule="auto"/>
              <w:jc w:val="left"/>
              <w:rPr>
                <w:rFonts w:hint="eastAsia"/>
                <w:color w:val="auto"/>
                <w:szCs w:val="21"/>
                <w:highlight w:val="none"/>
              </w:rPr>
            </w:pPr>
          </w:p>
        </w:tc>
      </w:tr>
      <w:tr w14:paraId="7076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061AA289">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2</w:t>
            </w:r>
          </w:p>
        </w:tc>
        <w:tc>
          <w:tcPr>
            <w:tcW w:w="3978" w:type="dxa"/>
            <w:vAlign w:val="center"/>
          </w:tcPr>
          <w:p w14:paraId="7F0D2B0D">
            <w:pPr>
              <w:adjustRightInd w:val="0"/>
              <w:snapToGrid w:val="0"/>
              <w:spacing w:line="276" w:lineRule="auto"/>
              <w:jc w:val="left"/>
              <w:rPr>
                <w:rFonts w:hint="eastAsia" w:ascii="Times New Roman" w:hAnsi="宋体" w:eastAsia="宋体" w:cs="Times New Roman"/>
                <w:kern w:val="0"/>
                <w:szCs w:val="21"/>
              </w:rPr>
            </w:pPr>
            <w:r>
              <w:rPr>
                <w:rFonts w:hint="eastAsia" w:ascii="Times New Roman" w:hAnsi="宋体" w:eastAsia="宋体" w:cs="Times New Roman"/>
                <w:kern w:val="0"/>
                <w:szCs w:val="21"/>
              </w:rPr>
              <w:t>★提供的食材原料须为符合国家或行业最新食品质量安全标准的食材。</w:t>
            </w:r>
          </w:p>
        </w:tc>
        <w:tc>
          <w:tcPr>
            <w:tcW w:w="1539" w:type="dxa"/>
            <w:vAlign w:val="center"/>
          </w:tcPr>
          <w:p w14:paraId="2C74B2D9">
            <w:pPr>
              <w:adjustRightInd w:val="0"/>
              <w:snapToGrid w:val="0"/>
              <w:spacing w:line="276" w:lineRule="auto"/>
              <w:jc w:val="left"/>
              <w:rPr>
                <w:rFonts w:hint="eastAsia" w:ascii="Times New Roman" w:hAnsi="宋体" w:eastAsia="宋体" w:cs="Times New Roman"/>
                <w:kern w:val="0"/>
                <w:szCs w:val="21"/>
              </w:rPr>
            </w:pPr>
          </w:p>
        </w:tc>
        <w:tc>
          <w:tcPr>
            <w:tcW w:w="1292" w:type="dxa"/>
            <w:vAlign w:val="center"/>
          </w:tcPr>
          <w:p w14:paraId="67D469BA">
            <w:pPr>
              <w:adjustRightInd w:val="0"/>
              <w:snapToGrid w:val="0"/>
              <w:spacing w:line="276" w:lineRule="auto"/>
              <w:jc w:val="left"/>
              <w:rPr>
                <w:rFonts w:hint="eastAsia" w:ascii="Times New Roman" w:hAnsi="宋体" w:eastAsia="宋体" w:cs="Times New Roman"/>
                <w:kern w:val="0"/>
                <w:szCs w:val="21"/>
              </w:rPr>
            </w:pPr>
          </w:p>
        </w:tc>
        <w:tc>
          <w:tcPr>
            <w:tcW w:w="865" w:type="dxa"/>
            <w:vAlign w:val="center"/>
          </w:tcPr>
          <w:p w14:paraId="1589E827">
            <w:pPr>
              <w:adjustRightInd w:val="0"/>
              <w:snapToGrid w:val="0"/>
              <w:spacing w:line="276" w:lineRule="auto"/>
              <w:jc w:val="left"/>
              <w:rPr>
                <w:rFonts w:hint="eastAsia" w:ascii="Times New Roman" w:hAnsi="宋体" w:eastAsia="宋体" w:cs="Times New Roman"/>
                <w:kern w:val="0"/>
                <w:szCs w:val="21"/>
              </w:rPr>
            </w:pPr>
          </w:p>
        </w:tc>
      </w:tr>
      <w:tr w14:paraId="2ABE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402" w:type="dxa"/>
            <w:shd w:val="clear" w:color="auto" w:fill="auto"/>
            <w:vAlign w:val="center"/>
          </w:tcPr>
          <w:p w14:paraId="1E0D2FBD">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3</w:t>
            </w:r>
          </w:p>
        </w:tc>
        <w:tc>
          <w:tcPr>
            <w:tcW w:w="3978" w:type="dxa"/>
            <w:vAlign w:val="center"/>
          </w:tcPr>
          <w:p w14:paraId="205122BE">
            <w:pPr>
              <w:adjustRightInd w:val="0"/>
              <w:snapToGrid w:val="0"/>
              <w:spacing w:line="276" w:lineRule="auto"/>
              <w:jc w:val="left"/>
            </w:pPr>
            <w:r>
              <w:rPr>
                <w:rFonts w:hint="eastAsia"/>
              </w:rPr>
              <w:t>★车辆要求：</w:t>
            </w:r>
          </w:p>
          <w:p w14:paraId="34EAB9E4">
            <w:pPr>
              <w:adjustRightInd w:val="0"/>
              <w:snapToGrid w:val="0"/>
              <w:spacing w:line="276" w:lineRule="auto"/>
              <w:jc w:val="left"/>
            </w:pPr>
            <w:r>
              <w:rPr>
                <w:rFonts w:hint="eastAsia"/>
              </w:rPr>
              <w:t>①食材配送车辆须为冷藏车，冷藏车须为专用封闭式，车辆内部结构应平整、便于清洁，有温度控制设备，具备冷藏功能。凡需冷藏储存的食材，从储存环境到配送环节均需保持冷链完整性，配送时必须使用符合温度标准的冷藏车。</w:t>
            </w:r>
          </w:p>
          <w:p w14:paraId="0347CC44">
            <w:pPr>
              <w:adjustRightInd w:val="0"/>
              <w:snapToGrid w:val="0"/>
              <w:spacing w:line="276" w:lineRule="auto"/>
              <w:jc w:val="left"/>
            </w:pPr>
            <w:r>
              <w:rPr>
                <w:rFonts w:hint="eastAsia"/>
              </w:rPr>
              <w:t>②运输中防虫害、有害物质等的污染，不得靠近或接触有腐蚀性物质，不得与气味浓郁的物品混运。</w:t>
            </w:r>
          </w:p>
          <w:p w14:paraId="7D3A8120">
            <w:pPr>
              <w:adjustRightInd w:val="0"/>
              <w:snapToGrid w:val="0"/>
              <w:spacing w:line="276" w:lineRule="auto"/>
              <w:jc w:val="left"/>
            </w:pPr>
            <w:r>
              <w:rPr>
                <w:rFonts w:hint="eastAsia"/>
              </w:rPr>
              <w:t>③应根据食品的类型、特性、季节、运输距离等选择不同的运输车辆和运输路线，同一运输车辆运输不同食品及多点装卸食品时，应根据食品特性，做好分装、分离或分隔，并存放在符合食品贮存温度要求的区域。</w:t>
            </w:r>
          </w:p>
          <w:p w14:paraId="72FCB5AC">
            <w:pPr>
              <w:adjustRightInd w:val="0"/>
              <w:snapToGrid w:val="0"/>
              <w:spacing w:line="276" w:lineRule="auto"/>
              <w:jc w:val="left"/>
            </w:pPr>
            <w:r>
              <w:rPr>
                <w:rFonts w:hint="eastAsia"/>
              </w:rPr>
              <w:t>④中标供应商在签订合同后需将投标文件中响应的“</w:t>
            </w:r>
            <w:r>
              <w:rPr>
                <w:rFonts w:hint="eastAsia"/>
                <w:color w:val="auto"/>
                <w:highlight w:val="none"/>
              </w:rPr>
              <w:t>拟投入本项目车辆情况</w:t>
            </w:r>
            <w:r>
              <w:rPr>
                <w:rFonts w:hint="eastAsia"/>
              </w:rPr>
              <w:t>”备案至学校，使用备案车辆服务本项目，如有特殊情况需提前报备至配送学校。每日配送时需向学校提交配送车辆登记台账（含车牌号等信息），并经学校签字确认。同时通过信息化平台记录车辆配送轨迹信息，供学校查验。</w:t>
            </w:r>
          </w:p>
          <w:p w14:paraId="4303BD3D">
            <w:pPr>
              <w:adjustRightInd w:val="0"/>
              <w:snapToGrid w:val="0"/>
              <w:spacing w:line="276" w:lineRule="auto"/>
              <w:jc w:val="left"/>
            </w:pPr>
            <w:r>
              <w:rPr>
                <w:rFonts w:hint="eastAsia"/>
              </w:rPr>
              <w:t>⑤凭专用通行证（各校区自行制定）进出学校。</w:t>
            </w:r>
          </w:p>
          <w:p w14:paraId="49E379B0">
            <w:pPr>
              <w:adjustRightInd w:val="0"/>
              <w:snapToGrid w:val="0"/>
              <w:spacing w:line="276" w:lineRule="auto"/>
              <w:jc w:val="left"/>
            </w:pPr>
            <w:r>
              <w:rPr>
                <w:rFonts w:hint="eastAsia"/>
              </w:rPr>
              <w:t>⑥为保障食材的新鲜程度、食品安全，中标供应商不得使用第三方公司配送(如货拉拉、美团跑腿等)，一经学校发现并查证，第一次从当月应支付的配送服务费中扣除5000元作为违约金，第二次从当月应支付的配送服务费中扣除10000元作为违约金，第三次采购人有权解除合同，供应商无条件接受带来的不利后果。</w:t>
            </w:r>
          </w:p>
          <w:p w14:paraId="210A69D2">
            <w:pPr>
              <w:adjustRightInd w:val="0"/>
              <w:snapToGrid w:val="0"/>
              <w:spacing w:line="276" w:lineRule="auto"/>
              <w:jc w:val="left"/>
              <w:rPr>
                <w:rFonts w:hint="eastAsia" w:ascii="Times New Roman" w:hAnsi="宋体" w:eastAsia="宋体" w:cs="Times New Roman"/>
                <w:kern w:val="0"/>
                <w:szCs w:val="21"/>
              </w:rPr>
            </w:pPr>
            <w:r>
              <w:rPr>
                <w:rFonts w:hint="eastAsia"/>
              </w:rPr>
              <w:t>⑦中标供应商提供配送服务的车辆需符合合法上路的要求，签订合同前需提供服务车辆的道路运输证或道路运输经营许可证作为证明材料。</w:t>
            </w:r>
          </w:p>
        </w:tc>
        <w:tc>
          <w:tcPr>
            <w:tcW w:w="1539" w:type="dxa"/>
            <w:vAlign w:val="center"/>
          </w:tcPr>
          <w:p w14:paraId="0D71F4A6">
            <w:pPr>
              <w:adjustRightInd w:val="0"/>
              <w:snapToGrid w:val="0"/>
              <w:spacing w:line="276" w:lineRule="auto"/>
              <w:jc w:val="left"/>
              <w:rPr>
                <w:rFonts w:hint="eastAsia"/>
              </w:rPr>
            </w:pPr>
          </w:p>
        </w:tc>
        <w:tc>
          <w:tcPr>
            <w:tcW w:w="1292" w:type="dxa"/>
            <w:vAlign w:val="center"/>
          </w:tcPr>
          <w:p w14:paraId="424C46C6">
            <w:pPr>
              <w:adjustRightInd w:val="0"/>
              <w:snapToGrid w:val="0"/>
              <w:spacing w:line="276" w:lineRule="auto"/>
              <w:jc w:val="left"/>
              <w:rPr>
                <w:rFonts w:hint="eastAsia"/>
              </w:rPr>
            </w:pPr>
          </w:p>
        </w:tc>
        <w:tc>
          <w:tcPr>
            <w:tcW w:w="865" w:type="dxa"/>
            <w:vAlign w:val="center"/>
          </w:tcPr>
          <w:p w14:paraId="52121A91">
            <w:pPr>
              <w:adjustRightInd w:val="0"/>
              <w:snapToGrid w:val="0"/>
              <w:spacing w:line="276" w:lineRule="auto"/>
              <w:jc w:val="left"/>
              <w:rPr>
                <w:rFonts w:hint="eastAsia"/>
              </w:rPr>
            </w:pPr>
          </w:p>
        </w:tc>
      </w:tr>
      <w:tr w14:paraId="5011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402" w:type="dxa"/>
            <w:shd w:val="clear" w:color="auto" w:fill="auto"/>
            <w:vAlign w:val="center"/>
          </w:tcPr>
          <w:p w14:paraId="40D262B6">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4</w:t>
            </w:r>
          </w:p>
        </w:tc>
        <w:tc>
          <w:tcPr>
            <w:tcW w:w="3978" w:type="dxa"/>
            <w:vAlign w:val="center"/>
          </w:tcPr>
          <w:p w14:paraId="204A87A8">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★人员要求：</w:t>
            </w:r>
          </w:p>
          <w:p w14:paraId="7B1AED0B">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①中标供应商须为本项目配备1名项目负责人，并依据项目实际需求配备配送管理团队，团队成员均为在职员工。</w:t>
            </w:r>
          </w:p>
          <w:p w14:paraId="56560C4D">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②指定1 名员工专门负责学校下单食材对接配送事务，按食堂每天制订的采购单进行配送，该员工应相对固定，如更换，需提前三日通知学校并获得认可。</w:t>
            </w:r>
          </w:p>
          <w:p w14:paraId="1A5F20EF">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③配送人员应为中标供应商的正式在职员工，持有广东省食品从业人员健康证明，服从学校的食堂管理和工作调配。如食堂用餐人数和每日订菜数量发生变化，学校有权对配送员人数提出增减需求，中标供应商应对配送人员安排人数进行增减调配。但中标供应商应服从学校的管理，严格遵守国家的有关法律法规。</w:t>
            </w:r>
          </w:p>
          <w:p w14:paraId="2B21C41D">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④中标供应商所有员工凭广东省食品从业人员健康证明上岗，遵守纪律、服从安排，确保能按时完成工作任务。</w:t>
            </w:r>
          </w:p>
          <w:p w14:paraId="61F9A2F5">
            <w:pPr>
              <w:adjustRightInd w:val="0"/>
              <w:snapToGrid w:val="0"/>
              <w:spacing w:line="276" w:lineRule="auto"/>
              <w:jc w:val="left"/>
              <w:rPr>
                <w:rFonts w:hint="eastAsia" w:ascii="宋体" w:hAnsi="宋体" w:eastAsia="宋体" w:cs="Times New Roman"/>
                <w:kern w:val="0"/>
                <w:szCs w:val="21"/>
              </w:rPr>
            </w:pPr>
            <w:r>
              <w:rPr>
                <w:rFonts w:hint="eastAsia" w:ascii="宋体" w:hAnsi="宋体" w:eastAsia="宋体" w:cs="Times New Roman"/>
                <w:kern w:val="0"/>
                <w:szCs w:val="21"/>
              </w:rPr>
              <w:t>⑤中标供应商应做好本单位工作人员的教育工作，遵守配送区域入门岗和物品携带等各项规定。</w:t>
            </w:r>
          </w:p>
        </w:tc>
        <w:tc>
          <w:tcPr>
            <w:tcW w:w="1539" w:type="dxa"/>
            <w:vAlign w:val="center"/>
          </w:tcPr>
          <w:p w14:paraId="2BC9DDFE">
            <w:pPr>
              <w:adjustRightInd w:val="0"/>
              <w:snapToGrid w:val="0"/>
              <w:spacing w:line="276" w:lineRule="auto"/>
              <w:jc w:val="left"/>
              <w:rPr>
                <w:rFonts w:hint="eastAsia" w:ascii="宋体" w:hAnsi="宋体" w:eastAsia="宋体" w:cs="Times New Roman"/>
                <w:kern w:val="0"/>
                <w:szCs w:val="21"/>
              </w:rPr>
            </w:pPr>
          </w:p>
        </w:tc>
        <w:tc>
          <w:tcPr>
            <w:tcW w:w="1292" w:type="dxa"/>
            <w:vAlign w:val="center"/>
          </w:tcPr>
          <w:p w14:paraId="5DB93360">
            <w:pPr>
              <w:adjustRightInd w:val="0"/>
              <w:snapToGrid w:val="0"/>
              <w:spacing w:line="276" w:lineRule="auto"/>
              <w:jc w:val="left"/>
              <w:rPr>
                <w:rFonts w:hint="eastAsia" w:ascii="宋体" w:hAnsi="宋体" w:eastAsia="宋体" w:cs="Times New Roman"/>
                <w:kern w:val="0"/>
                <w:szCs w:val="21"/>
              </w:rPr>
            </w:pPr>
          </w:p>
        </w:tc>
        <w:tc>
          <w:tcPr>
            <w:tcW w:w="865" w:type="dxa"/>
            <w:vAlign w:val="center"/>
          </w:tcPr>
          <w:p w14:paraId="4CFA5791">
            <w:pPr>
              <w:adjustRightInd w:val="0"/>
              <w:snapToGrid w:val="0"/>
              <w:spacing w:line="276" w:lineRule="auto"/>
              <w:jc w:val="left"/>
              <w:rPr>
                <w:rFonts w:hint="eastAsia" w:ascii="宋体" w:hAnsi="宋体" w:eastAsia="宋体" w:cs="Times New Roman"/>
                <w:kern w:val="0"/>
                <w:szCs w:val="21"/>
              </w:rPr>
            </w:pPr>
          </w:p>
        </w:tc>
      </w:tr>
      <w:tr w14:paraId="01E0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1BBB169E">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5</w:t>
            </w:r>
          </w:p>
        </w:tc>
        <w:tc>
          <w:tcPr>
            <w:tcW w:w="3978" w:type="dxa"/>
            <w:vAlign w:val="center"/>
          </w:tcPr>
          <w:p w14:paraId="75405F5A">
            <w:pPr>
              <w:adjustRightInd w:val="0"/>
              <w:snapToGrid w:val="0"/>
              <w:spacing w:line="276" w:lineRule="auto"/>
              <w:jc w:val="left"/>
            </w:pPr>
            <w:r>
              <w:rPr>
                <w:rFonts w:hint="eastAsia"/>
              </w:rPr>
              <w:t>★食品安全保障要求：</w:t>
            </w:r>
          </w:p>
          <w:p w14:paraId="5936F520">
            <w:pPr>
              <w:adjustRightInd w:val="0"/>
              <w:snapToGrid w:val="0"/>
              <w:spacing w:line="276" w:lineRule="auto"/>
              <w:jc w:val="left"/>
            </w:pPr>
            <w:r>
              <w:rPr>
                <w:rFonts w:hint="eastAsia"/>
              </w:rPr>
              <w:t>①</w:t>
            </w:r>
            <w:r>
              <w:rPr>
                <w:rFonts w:hint="eastAsia" w:ascii="Times New Roman" w:hAnsi="Times New Roman"/>
                <w:snapToGrid w:val="0"/>
                <w:kern w:val="0"/>
                <w:szCs w:val="21"/>
              </w:rPr>
              <w:t>中标供应商每日配送时，须同时提供本批次产品的出厂检验报告供采购人查验。</w:t>
            </w:r>
          </w:p>
          <w:p w14:paraId="3B067C16">
            <w:pPr>
              <w:adjustRightInd w:val="0"/>
              <w:snapToGrid w:val="0"/>
              <w:spacing w:line="276" w:lineRule="auto"/>
              <w:jc w:val="left"/>
            </w:pPr>
            <w:r>
              <w:rPr>
                <w:rFonts w:hint="eastAsia"/>
              </w:rPr>
              <w:t>②中标供应商应每季度按照投标文件中响应的 “定量检测能力情况”中的检测项目送交第三方检测，检测报告交采购人查验。若不按要求送检和提交，将处以10000元/每次作为违约金，并由采购人自行送检第三方，相关检测费用由中标供应商承担。为</w:t>
            </w:r>
            <w:r>
              <w:rPr>
                <w:rFonts w:hint="eastAsia"/>
                <w:lang w:eastAsia="zh-CN"/>
              </w:rPr>
              <w:t>方便学校管理</w:t>
            </w:r>
            <w:r>
              <w:rPr>
                <w:rFonts w:hint="eastAsia"/>
              </w:rPr>
              <w:t>，检测报告需做好品类索引。</w:t>
            </w:r>
          </w:p>
        </w:tc>
        <w:tc>
          <w:tcPr>
            <w:tcW w:w="1539" w:type="dxa"/>
            <w:vAlign w:val="center"/>
          </w:tcPr>
          <w:p w14:paraId="16B63D65">
            <w:pPr>
              <w:adjustRightInd w:val="0"/>
              <w:snapToGrid w:val="0"/>
              <w:spacing w:line="276" w:lineRule="auto"/>
              <w:jc w:val="left"/>
              <w:rPr>
                <w:rFonts w:hint="eastAsia"/>
              </w:rPr>
            </w:pPr>
          </w:p>
        </w:tc>
        <w:tc>
          <w:tcPr>
            <w:tcW w:w="1292" w:type="dxa"/>
            <w:vAlign w:val="center"/>
          </w:tcPr>
          <w:p w14:paraId="1EC162F5">
            <w:pPr>
              <w:adjustRightInd w:val="0"/>
              <w:snapToGrid w:val="0"/>
              <w:spacing w:line="276" w:lineRule="auto"/>
              <w:jc w:val="left"/>
              <w:rPr>
                <w:rFonts w:hint="eastAsia"/>
              </w:rPr>
            </w:pPr>
          </w:p>
        </w:tc>
        <w:tc>
          <w:tcPr>
            <w:tcW w:w="865" w:type="dxa"/>
            <w:vAlign w:val="center"/>
          </w:tcPr>
          <w:p w14:paraId="5BA3DFA3">
            <w:pPr>
              <w:adjustRightInd w:val="0"/>
              <w:snapToGrid w:val="0"/>
              <w:spacing w:line="276" w:lineRule="auto"/>
              <w:jc w:val="left"/>
              <w:rPr>
                <w:rFonts w:hint="eastAsia"/>
              </w:rPr>
            </w:pPr>
          </w:p>
        </w:tc>
      </w:tr>
      <w:tr w14:paraId="2674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03B6C7BF">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6</w:t>
            </w:r>
          </w:p>
        </w:tc>
        <w:tc>
          <w:tcPr>
            <w:tcW w:w="3978" w:type="dxa"/>
            <w:vAlign w:val="center"/>
          </w:tcPr>
          <w:p w14:paraId="652D804C">
            <w:pPr>
              <w:adjustRightInd w:val="0"/>
              <w:snapToGrid w:val="0"/>
              <w:spacing w:line="276" w:lineRule="auto"/>
              <w:jc w:val="left"/>
            </w:pPr>
            <w:r>
              <w:rPr>
                <w:rFonts w:hint="eastAsia"/>
              </w:rPr>
              <w:t>★信息化管理要求：</w:t>
            </w:r>
          </w:p>
          <w:p w14:paraId="470662FC">
            <w:pPr>
              <w:adjustRightInd w:val="0"/>
              <w:snapToGrid w:val="0"/>
              <w:spacing w:line="276" w:lineRule="auto"/>
              <w:jc w:val="left"/>
            </w:pPr>
            <w:r>
              <w:rPr>
                <w:rFonts w:hint="eastAsia"/>
              </w:rPr>
              <w:t>①中标供应商须根据投标文件中响应的“信息化管理”提供相关信息化服务，供采购人查验。投标人应保证采购人在使用该信息化管理服务平台或其任何一部分时，免受第三方提出的侵犯其专利权、商标权、著作权或其它知识产权的起诉。投标人保证所提供软件的合法性，所发生的任何知识产权纠纷与采购人无关。若因为知识产权纠纷造成的一切损害赔偿及损失由投标人承担，包括但不限于实际损失、预期损失和对方要求赔偿损失及支出的律师费、交通费和差旅费等。</w:t>
            </w:r>
          </w:p>
          <w:p w14:paraId="4F759A6B">
            <w:pPr>
              <w:adjustRightInd w:val="0"/>
              <w:snapToGrid w:val="0"/>
              <w:spacing w:line="276" w:lineRule="auto"/>
              <w:jc w:val="left"/>
            </w:pPr>
            <w:r>
              <w:rPr>
                <w:rFonts w:hint="eastAsia"/>
              </w:rPr>
              <w:t>②若经采购人核实，中标供应商无法提供相应“信息化管理”平台服务的，采购人将从具体服务合同的当月配送服务费中扣除10000元作为违约金。当月应支付的配送服务费不足以支付违约金的，扣除对应具体服务合同当月全部配送服务费；</w:t>
            </w:r>
          </w:p>
          <w:p w14:paraId="1F1335C9">
            <w:pPr>
              <w:adjustRightInd w:val="0"/>
              <w:snapToGrid w:val="0"/>
              <w:spacing w:line="276" w:lineRule="auto"/>
              <w:jc w:val="left"/>
            </w:pPr>
            <w:r>
              <w:rPr>
                <w:rFonts w:hint="eastAsia"/>
              </w:rPr>
              <w:t>③配送食材可通过“深圳市食品安全追溯信用管理系统”全面、及时、准确上传追溯信息，确保相关品名、规格、批次等数据真实完整，确保配送食材来源可溯、质量可控。</w:t>
            </w:r>
          </w:p>
        </w:tc>
        <w:tc>
          <w:tcPr>
            <w:tcW w:w="1539" w:type="dxa"/>
            <w:vAlign w:val="center"/>
          </w:tcPr>
          <w:p w14:paraId="428570AD">
            <w:pPr>
              <w:adjustRightInd w:val="0"/>
              <w:snapToGrid w:val="0"/>
              <w:spacing w:line="276" w:lineRule="auto"/>
              <w:jc w:val="left"/>
              <w:rPr>
                <w:rFonts w:hint="eastAsia"/>
              </w:rPr>
            </w:pPr>
          </w:p>
        </w:tc>
        <w:tc>
          <w:tcPr>
            <w:tcW w:w="1292" w:type="dxa"/>
            <w:vAlign w:val="center"/>
          </w:tcPr>
          <w:p w14:paraId="73F431C1">
            <w:pPr>
              <w:adjustRightInd w:val="0"/>
              <w:snapToGrid w:val="0"/>
              <w:spacing w:line="276" w:lineRule="auto"/>
              <w:jc w:val="left"/>
              <w:rPr>
                <w:rFonts w:hint="eastAsia"/>
              </w:rPr>
            </w:pPr>
          </w:p>
        </w:tc>
        <w:tc>
          <w:tcPr>
            <w:tcW w:w="865" w:type="dxa"/>
            <w:vAlign w:val="center"/>
          </w:tcPr>
          <w:p w14:paraId="6714D179">
            <w:pPr>
              <w:adjustRightInd w:val="0"/>
              <w:snapToGrid w:val="0"/>
              <w:spacing w:line="276" w:lineRule="auto"/>
              <w:jc w:val="left"/>
              <w:rPr>
                <w:rFonts w:hint="eastAsia"/>
              </w:rPr>
            </w:pPr>
          </w:p>
        </w:tc>
      </w:tr>
      <w:tr w14:paraId="72D3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4DBF7010">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7</w:t>
            </w:r>
          </w:p>
        </w:tc>
        <w:tc>
          <w:tcPr>
            <w:tcW w:w="3978" w:type="dxa"/>
            <w:vAlign w:val="center"/>
          </w:tcPr>
          <w:p w14:paraId="05106EBD">
            <w:pPr>
              <w:adjustRightInd w:val="0"/>
              <w:snapToGrid w:val="0"/>
              <w:spacing w:line="276" w:lineRule="auto"/>
              <w:jc w:val="left"/>
            </w:pPr>
            <w:r>
              <w:rPr>
                <w:rFonts w:hint="eastAsia"/>
              </w:rPr>
              <w:t>★因配送运输中出现人身安全事故，中标供应商独立承担一切刑事、民事责任，与采购人无关。</w:t>
            </w:r>
          </w:p>
        </w:tc>
        <w:tc>
          <w:tcPr>
            <w:tcW w:w="1539" w:type="dxa"/>
            <w:vAlign w:val="center"/>
          </w:tcPr>
          <w:p w14:paraId="77994C77">
            <w:pPr>
              <w:adjustRightInd w:val="0"/>
              <w:snapToGrid w:val="0"/>
              <w:spacing w:line="276" w:lineRule="auto"/>
              <w:jc w:val="left"/>
              <w:rPr>
                <w:rFonts w:hint="eastAsia"/>
              </w:rPr>
            </w:pPr>
          </w:p>
        </w:tc>
        <w:tc>
          <w:tcPr>
            <w:tcW w:w="1292" w:type="dxa"/>
            <w:vAlign w:val="center"/>
          </w:tcPr>
          <w:p w14:paraId="51E78202">
            <w:pPr>
              <w:adjustRightInd w:val="0"/>
              <w:snapToGrid w:val="0"/>
              <w:spacing w:line="276" w:lineRule="auto"/>
              <w:jc w:val="left"/>
              <w:rPr>
                <w:rFonts w:hint="eastAsia"/>
              </w:rPr>
            </w:pPr>
          </w:p>
        </w:tc>
        <w:tc>
          <w:tcPr>
            <w:tcW w:w="865" w:type="dxa"/>
            <w:vAlign w:val="center"/>
          </w:tcPr>
          <w:p w14:paraId="23B1AA83">
            <w:pPr>
              <w:adjustRightInd w:val="0"/>
              <w:snapToGrid w:val="0"/>
              <w:spacing w:line="276" w:lineRule="auto"/>
              <w:jc w:val="left"/>
              <w:rPr>
                <w:rFonts w:hint="eastAsia"/>
              </w:rPr>
            </w:pPr>
          </w:p>
        </w:tc>
      </w:tr>
      <w:tr w14:paraId="0E89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52B73B96">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8</w:t>
            </w:r>
          </w:p>
        </w:tc>
        <w:tc>
          <w:tcPr>
            <w:tcW w:w="3978" w:type="dxa"/>
            <w:vAlign w:val="center"/>
          </w:tcPr>
          <w:p w14:paraId="35394A90">
            <w:pPr>
              <w:adjustRightInd w:val="0"/>
              <w:snapToGrid w:val="0"/>
              <w:spacing w:line="276" w:lineRule="auto"/>
              <w:jc w:val="left"/>
            </w:pPr>
            <w:r>
              <w:rPr>
                <w:rFonts w:hint="eastAsia"/>
              </w:rPr>
              <w:t>★供应商承诺内容包括但不限于：</w:t>
            </w:r>
          </w:p>
          <w:p w14:paraId="35996648">
            <w:pPr>
              <w:adjustRightInd w:val="0"/>
              <w:snapToGrid w:val="0"/>
              <w:spacing w:line="276" w:lineRule="auto"/>
              <w:jc w:val="left"/>
            </w:pPr>
            <w:r>
              <w:rPr>
                <w:rFonts w:hint="eastAsia"/>
              </w:rPr>
              <w:t>①我单位承诺：如我单位中标，保证中标后10个工作日内提供评分细则中所有证明文件原件，供采购人审核。</w:t>
            </w:r>
          </w:p>
          <w:p w14:paraId="486B2F51">
            <w:pPr>
              <w:adjustRightInd w:val="0"/>
              <w:snapToGrid w:val="0"/>
              <w:spacing w:line="276" w:lineRule="auto"/>
              <w:jc w:val="left"/>
            </w:pPr>
            <w:r>
              <w:rPr>
                <w:rFonts w:hint="eastAsia"/>
              </w:rPr>
              <w:t>②我单位承诺：如我单位中标，采购人有权随时对我单位的场所及我单位服务的其他食材配送项目进行实地考察，如发现我单位有存在提供虚假证明材料、重大食品安全问题、严重违反合同约定或其他违法违规情形的，我单位将无条件放弃中标资格，并承担由此产生的一切法律责任及赔偿责任。同时，采购人有权终止合同，并按照相关规定追究我单位责任。</w:t>
            </w:r>
          </w:p>
          <w:p w14:paraId="095922DB">
            <w:pPr>
              <w:adjustRightInd w:val="0"/>
              <w:snapToGrid w:val="0"/>
              <w:spacing w:line="276" w:lineRule="auto"/>
              <w:jc w:val="left"/>
            </w:pPr>
            <w:r>
              <w:rPr>
                <w:rFonts w:hint="eastAsia"/>
              </w:rPr>
              <w:t>③我单位承诺：我单位已充分知悉项目的服务内容、范围等要求，并合理预估自身的服务能力参与本项目投标。中标后不得出现因服务能力不足、非不可抗力等因素提出放弃中标资格或向采购人主动提出解除合同的。</w:t>
            </w:r>
          </w:p>
          <w:p w14:paraId="6E430F36">
            <w:pPr>
              <w:adjustRightInd w:val="0"/>
              <w:snapToGrid w:val="0"/>
              <w:spacing w:line="276" w:lineRule="auto"/>
              <w:jc w:val="left"/>
            </w:pPr>
            <w:r>
              <w:rPr>
                <w:rFonts w:hint="eastAsia"/>
              </w:rPr>
              <w:t>供应商如违反上述承诺，采购人将有权报主管部门进行处罚。</w:t>
            </w:r>
          </w:p>
        </w:tc>
        <w:tc>
          <w:tcPr>
            <w:tcW w:w="1539" w:type="dxa"/>
            <w:vAlign w:val="center"/>
          </w:tcPr>
          <w:p w14:paraId="54281488">
            <w:pPr>
              <w:adjustRightInd w:val="0"/>
              <w:snapToGrid w:val="0"/>
              <w:spacing w:line="276" w:lineRule="auto"/>
              <w:jc w:val="left"/>
              <w:rPr>
                <w:rFonts w:hint="eastAsia"/>
              </w:rPr>
            </w:pPr>
          </w:p>
        </w:tc>
        <w:tc>
          <w:tcPr>
            <w:tcW w:w="1292" w:type="dxa"/>
            <w:vAlign w:val="center"/>
          </w:tcPr>
          <w:p w14:paraId="0028CDA7">
            <w:pPr>
              <w:adjustRightInd w:val="0"/>
              <w:snapToGrid w:val="0"/>
              <w:spacing w:line="276" w:lineRule="auto"/>
              <w:jc w:val="left"/>
              <w:rPr>
                <w:rFonts w:hint="eastAsia"/>
              </w:rPr>
            </w:pPr>
          </w:p>
        </w:tc>
        <w:tc>
          <w:tcPr>
            <w:tcW w:w="865" w:type="dxa"/>
            <w:vAlign w:val="center"/>
          </w:tcPr>
          <w:p w14:paraId="15C21D49">
            <w:pPr>
              <w:adjustRightInd w:val="0"/>
              <w:snapToGrid w:val="0"/>
              <w:spacing w:line="276" w:lineRule="auto"/>
              <w:jc w:val="left"/>
              <w:rPr>
                <w:rFonts w:hint="eastAsia"/>
              </w:rPr>
            </w:pPr>
          </w:p>
        </w:tc>
      </w:tr>
      <w:tr w14:paraId="69B6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3DF33066">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9</w:t>
            </w:r>
          </w:p>
        </w:tc>
        <w:tc>
          <w:tcPr>
            <w:tcW w:w="3978" w:type="dxa"/>
            <w:vAlign w:val="center"/>
          </w:tcPr>
          <w:p w14:paraId="5173EFBF">
            <w:pPr>
              <w:adjustRightInd w:val="0"/>
              <w:snapToGrid w:val="0"/>
              <w:spacing w:line="276" w:lineRule="auto"/>
              <w:jc w:val="left"/>
            </w:pPr>
            <w:r>
              <w:rPr>
                <w:rFonts w:hint="eastAsia"/>
              </w:rPr>
              <w:t>★中标供应商需在合同签订前向学校提交《质量安全承诺书》（详见附件4）。</w:t>
            </w:r>
          </w:p>
        </w:tc>
        <w:tc>
          <w:tcPr>
            <w:tcW w:w="1539" w:type="dxa"/>
            <w:vAlign w:val="center"/>
          </w:tcPr>
          <w:p w14:paraId="013C649E">
            <w:pPr>
              <w:adjustRightInd w:val="0"/>
              <w:snapToGrid w:val="0"/>
              <w:spacing w:line="276" w:lineRule="auto"/>
              <w:jc w:val="left"/>
              <w:rPr>
                <w:rFonts w:hint="eastAsia"/>
              </w:rPr>
            </w:pPr>
          </w:p>
        </w:tc>
        <w:tc>
          <w:tcPr>
            <w:tcW w:w="1292" w:type="dxa"/>
            <w:vAlign w:val="center"/>
          </w:tcPr>
          <w:p w14:paraId="1002A302">
            <w:pPr>
              <w:adjustRightInd w:val="0"/>
              <w:snapToGrid w:val="0"/>
              <w:spacing w:line="276" w:lineRule="auto"/>
              <w:jc w:val="left"/>
              <w:rPr>
                <w:rFonts w:hint="eastAsia"/>
              </w:rPr>
            </w:pPr>
          </w:p>
        </w:tc>
        <w:tc>
          <w:tcPr>
            <w:tcW w:w="865" w:type="dxa"/>
            <w:vAlign w:val="center"/>
          </w:tcPr>
          <w:p w14:paraId="00F1C090">
            <w:pPr>
              <w:adjustRightInd w:val="0"/>
              <w:snapToGrid w:val="0"/>
              <w:spacing w:line="276" w:lineRule="auto"/>
              <w:jc w:val="left"/>
              <w:rPr>
                <w:rFonts w:hint="eastAsia"/>
              </w:rPr>
            </w:pPr>
          </w:p>
        </w:tc>
      </w:tr>
      <w:tr w14:paraId="122F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56E0BFC3">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10</w:t>
            </w:r>
          </w:p>
        </w:tc>
        <w:tc>
          <w:tcPr>
            <w:tcW w:w="3978" w:type="dxa"/>
            <w:vAlign w:val="center"/>
          </w:tcPr>
          <w:p w14:paraId="13ED816E">
            <w:pPr>
              <w:adjustRightInd w:val="0"/>
              <w:snapToGrid w:val="0"/>
              <w:spacing w:line="276" w:lineRule="auto"/>
              <w:jc w:val="left"/>
            </w:pPr>
            <w:r>
              <w:rPr>
                <w:rFonts w:hint="eastAsia"/>
              </w:rPr>
              <w:t>★其他要求</w:t>
            </w:r>
          </w:p>
          <w:p w14:paraId="0156541E">
            <w:pPr>
              <w:adjustRightInd w:val="0"/>
              <w:snapToGrid w:val="0"/>
              <w:spacing w:line="276" w:lineRule="auto"/>
              <w:jc w:val="left"/>
            </w:pPr>
            <w:r>
              <w:rPr>
                <w:rFonts w:hint="eastAsia"/>
              </w:rPr>
              <w:t>1、投标人保证，若中标本项目，无条件支持配合学校完成扶贫采购任务，按要求预留消费帮扶额度，在“脱贫地区农副产品网络销售平台（https://www.fupin832.com/）”采购。由中标供应商在832平台下单并进行支付开票，学校不支付中标供应商代开发票产生的税费差额，供应商投标报价时应充分考虑此部分成本。</w:t>
            </w:r>
          </w:p>
        </w:tc>
        <w:tc>
          <w:tcPr>
            <w:tcW w:w="1539" w:type="dxa"/>
            <w:vAlign w:val="center"/>
          </w:tcPr>
          <w:p w14:paraId="750CE728">
            <w:pPr>
              <w:adjustRightInd w:val="0"/>
              <w:snapToGrid w:val="0"/>
              <w:spacing w:line="276" w:lineRule="auto"/>
              <w:jc w:val="left"/>
              <w:rPr>
                <w:rFonts w:hint="eastAsia"/>
              </w:rPr>
            </w:pPr>
          </w:p>
        </w:tc>
        <w:tc>
          <w:tcPr>
            <w:tcW w:w="1292" w:type="dxa"/>
            <w:vAlign w:val="center"/>
          </w:tcPr>
          <w:p w14:paraId="6A489C3A">
            <w:pPr>
              <w:adjustRightInd w:val="0"/>
              <w:snapToGrid w:val="0"/>
              <w:spacing w:line="276" w:lineRule="auto"/>
              <w:jc w:val="left"/>
              <w:rPr>
                <w:rFonts w:hint="eastAsia"/>
              </w:rPr>
            </w:pPr>
          </w:p>
        </w:tc>
        <w:tc>
          <w:tcPr>
            <w:tcW w:w="865" w:type="dxa"/>
            <w:vAlign w:val="center"/>
          </w:tcPr>
          <w:p w14:paraId="4BF5D002">
            <w:pPr>
              <w:adjustRightInd w:val="0"/>
              <w:snapToGrid w:val="0"/>
              <w:spacing w:line="276" w:lineRule="auto"/>
              <w:jc w:val="left"/>
              <w:rPr>
                <w:rFonts w:hint="eastAsia"/>
              </w:rPr>
            </w:pPr>
          </w:p>
        </w:tc>
      </w:tr>
      <w:tr w14:paraId="2D91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402" w:type="dxa"/>
            <w:shd w:val="clear" w:color="auto" w:fill="auto"/>
            <w:vAlign w:val="center"/>
          </w:tcPr>
          <w:p w14:paraId="278AB3FA">
            <w:pPr>
              <w:adjustRightInd w:val="0"/>
              <w:snapToGrid w:val="0"/>
              <w:spacing w:line="276" w:lineRule="auto"/>
              <w:jc w:val="center"/>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Cs w:val="21"/>
              </w:rPr>
              <w:t>1</w:t>
            </w:r>
            <w:r>
              <w:rPr>
                <w:rFonts w:hint="eastAsia" w:ascii="宋体" w:hAnsi="宋体" w:eastAsia="宋体" w:cs="Times New Roman"/>
                <w:kern w:val="0"/>
                <w:szCs w:val="21"/>
                <w:lang w:val="en-US" w:eastAsia="zh-CN"/>
              </w:rPr>
              <w:t>1</w:t>
            </w:r>
          </w:p>
        </w:tc>
        <w:tc>
          <w:tcPr>
            <w:tcW w:w="3978" w:type="dxa"/>
            <w:vAlign w:val="center"/>
          </w:tcPr>
          <w:p w14:paraId="2CB0AD6D">
            <w:pPr>
              <w:adjustRightInd w:val="0"/>
              <w:snapToGrid w:val="0"/>
              <w:spacing w:line="276" w:lineRule="auto"/>
              <w:jc w:val="left"/>
            </w:pPr>
            <w:r>
              <w:rPr>
                <w:rFonts w:hint="eastAsia"/>
                <w:lang w:val="en-US" w:eastAsia="zh-CN"/>
              </w:rPr>
              <w:t>详见</w:t>
            </w:r>
            <w:r>
              <w:rPr>
                <w:rFonts w:hint="eastAsia"/>
                <w:lang w:eastAsia="zh-CN"/>
              </w:rPr>
              <w:t>“</w:t>
            </w:r>
            <w:r>
              <w:rPr>
                <w:rFonts w:hint="eastAsia"/>
              </w:rPr>
              <w:t>六、★商务要求</w:t>
            </w:r>
            <w:r>
              <w:rPr>
                <w:rFonts w:hint="eastAsia"/>
                <w:lang w:eastAsia="zh-CN"/>
              </w:rPr>
              <w:t>”</w:t>
            </w:r>
          </w:p>
        </w:tc>
        <w:tc>
          <w:tcPr>
            <w:tcW w:w="1539" w:type="dxa"/>
            <w:vAlign w:val="center"/>
          </w:tcPr>
          <w:p w14:paraId="128BEB81">
            <w:pPr>
              <w:adjustRightInd w:val="0"/>
              <w:snapToGrid w:val="0"/>
              <w:spacing w:line="276" w:lineRule="auto"/>
              <w:jc w:val="left"/>
              <w:rPr>
                <w:rFonts w:hint="eastAsia"/>
                <w:lang w:val="en-US" w:eastAsia="zh-CN"/>
              </w:rPr>
            </w:pPr>
          </w:p>
        </w:tc>
        <w:tc>
          <w:tcPr>
            <w:tcW w:w="1292" w:type="dxa"/>
            <w:vAlign w:val="center"/>
          </w:tcPr>
          <w:p w14:paraId="0A3108F3">
            <w:pPr>
              <w:adjustRightInd w:val="0"/>
              <w:snapToGrid w:val="0"/>
              <w:spacing w:line="276" w:lineRule="auto"/>
              <w:jc w:val="left"/>
              <w:rPr>
                <w:rFonts w:hint="eastAsia"/>
                <w:lang w:val="en-US" w:eastAsia="zh-CN"/>
              </w:rPr>
            </w:pPr>
          </w:p>
        </w:tc>
        <w:tc>
          <w:tcPr>
            <w:tcW w:w="865" w:type="dxa"/>
            <w:vAlign w:val="center"/>
          </w:tcPr>
          <w:p w14:paraId="3EF7FC89">
            <w:pPr>
              <w:adjustRightInd w:val="0"/>
              <w:snapToGrid w:val="0"/>
              <w:spacing w:line="276" w:lineRule="auto"/>
              <w:jc w:val="left"/>
              <w:rPr>
                <w:rFonts w:hint="eastAsia"/>
                <w:lang w:val="en-US" w:eastAsia="zh-CN"/>
              </w:rPr>
            </w:pPr>
          </w:p>
        </w:tc>
      </w:tr>
    </w:tbl>
    <w:p w14:paraId="51E6E00D">
      <w:pPr>
        <w:ind w:firstLine="482" w:firstLineChars="200"/>
        <w:rPr>
          <w:b/>
          <w:sz w:val="24"/>
          <w:szCs w:val="22"/>
        </w:rPr>
      </w:pPr>
      <w:r>
        <w:rPr>
          <w:rFonts w:hint="eastAsia"/>
          <w:b/>
          <w:sz w:val="24"/>
          <w:szCs w:val="22"/>
        </w:rPr>
        <w:t>注：1.上表所列各项均为不可负偏离条款。</w:t>
      </w:r>
    </w:p>
    <w:p w14:paraId="766466E0">
      <w:pPr>
        <w:ind w:firstLine="482" w:firstLineChars="200"/>
        <w:rPr>
          <w:b/>
          <w:sz w:val="24"/>
          <w:szCs w:val="22"/>
        </w:rPr>
      </w:pPr>
      <w:r>
        <w:rPr>
          <w:rFonts w:hint="eastAsia"/>
          <w:b/>
          <w:sz w:val="24"/>
          <w:szCs w:val="22"/>
        </w:rPr>
        <w:t>2.“投标响应”一栏应当详细填写投标人自身响应情况，而不能不合理照搬照抄招实质性条款具体内容。</w:t>
      </w:r>
    </w:p>
    <w:p w14:paraId="5B72808B">
      <w:pPr>
        <w:ind w:firstLine="482" w:firstLineChars="200"/>
        <w:rPr>
          <w:b/>
          <w:sz w:val="24"/>
          <w:szCs w:val="22"/>
        </w:rPr>
      </w:pPr>
      <w:r>
        <w:rPr>
          <w:rFonts w:hint="eastAsia"/>
          <w:b/>
          <w:sz w:val="24"/>
          <w:szCs w:val="22"/>
        </w:rPr>
        <w:t>3</w:t>
      </w:r>
      <w:r>
        <w:rPr>
          <w:b/>
          <w:sz w:val="24"/>
          <w:szCs w:val="22"/>
        </w:rPr>
        <w:t>.</w:t>
      </w:r>
      <w:r>
        <w:rPr>
          <w:rFonts w:hint="eastAsia"/>
          <w:b/>
          <w:sz w:val="24"/>
          <w:szCs w:val="22"/>
        </w:rPr>
        <w:t>“偏离情况”一栏应填写“正偏离”、“负偏离”或“无偏离”，</w:t>
      </w:r>
      <w:r>
        <w:rPr>
          <w:rFonts w:hint="eastAsia"/>
          <w:b/>
          <w:sz w:val="24"/>
        </w:rPr>
        <w:t>“正偏离”表示“投标响应优于实质性条款具体内容要求”，“负偏离”表示“投标响应不满足实质性条款具体内容要求”，“无偏离”表示“投标响应与实质性条款具体内容要求一致”。</w:t>
      </w:r>
    </w:p>
    <w:p w14:paraId="6F0A77E5">
      <w:pPr>
        <w:ind w:firstLine="482" w:firstLineChars="200"/>
        <w:rPr>
          <w:b/>
          <w:sz w:val="24"/>
        </w:rPr>
      </w:pPr>
      <w:r>
        <w:rPr>
          <w:b/>
          <w:sz w:val="24"/>
        </w:rPr>
        <w:t>4.</w:t>
      </w:r>
      <w:r>
        <w:rPr>
          <w:rFonts w:hint="eastAsia"/>
          <w:b/>
          <w:sz w:val="24"/>
        </w:rPr>
        <w:t>评审委员会有权对投标响应情况作出判断（作出评审结论）。</w:t>
      </w:r>
    </w:p>
    <w:p w14:paraId="53D95DA8">
      <w:pPr>
        <w:ind w:firstLine="482" w:firstLineChars="200"/>
        <w:rPr>
          <w:b/>
          <w:sz w:val="24"/>
          <w:szCs w:val="22"/>
        </w:rPr>
      </w:pPr>
      <w:r>
        <w:rPr>
          <w:b/>
          <w:sz w:val="24"/>
          <w:szCs w:val="22"/>
        </w:rPr>
        <w:t>5</w:t>
      </w:r>
      <w:r>
        <w:rPr>
          <w:rFonts w:hint="eastAsia"/>
          <w:b/>
          <w:sz w:val="24"/>
          <w:szCs w:val="22"/>
        </w:rPr>
        <w:t>.实质性响应条款“投标响应情况”与投标文件其它内容冲突的，以实质性响应条款“投标响应情况”为准。</w:t>
      </w:r>
    </w:p>
    <w:p w14:paraId="7B6796E9">
      <w:pPr>
        <w:ind w:firstLine="482" w:firstLineChars="200"/>
        <w:rPr>
          <w:rFonts w:hint="eastAsia"/>
          <w:b/>
          <w:sz w:val="24"/>
          <w:szCs w:val="22"/>
        </w:rPr>
      </w:pPr>
      <w:r>
        <w:rPr>
          <w:rFonts w:hint="eastAsia"/>
          <w:b/>
          <w:sz w:val="24"/>
          <w:szCs w:val="22"/>
        </w:rPr>
        <w:t>6.要求提供证明资料，在“说明”一栏中列明证明资料的位置,以便评审；未要求提供证明材料的，投标人可以不提供。</w:t>
      </w:r>
    </w:p>
    <w:p w14:paraId="2C512A2E">
      <w:pPr>
        <w:rPr>
          <w:rFonts w:hint="eastAsia"/>
          <w:b/>
          <w:sz w:val="24"/>
          <w:szCs w:val="22"/>
        </w:rPr>
      </w:pPr>
    </w:p>
    <w:p w14:paraId="568261BC">
      <w:pPr>
        <w:rPr>
          <w:rFonts w:hint="eastAsia" w:ascii="黑体" w:hAnsi="宋体" w:eastAsia="黑体" w:cs="Times New Roman"/>
          <w:bCs/>
          <w:kern w:val="0"/>
          <w:sz w:val="24"/>
          <w:szCs w:val="24"/>
        </w:rPr>
      </w:pPr>
      <w:r>
        <w:rPr>
          <w:rFonts w:hint="eastAsia" w:ascii="黑体" w:hAnsi="宋体" w:eastAsia="黑体" w:cs="Times New Roman"/>
          <w:bCs/>
          <w:kern w:val="0"/>
          <w:sz w:val="24"/>
          <w:szCs w:val="24"/>
        </w:rPr>
        <w:br w:type="page"/>
      </w:r>
    </w:p>
    <w:p w14:paraId="1784CD0E">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九、配送服务方案</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4F59AD2D">
      <w:pPr>
        <w:widowControl w:val="0"/>
        <w:spacing w:before="60" w:beforeLines="25" w:after="60" w:afterLines="25"/>
        <w:ind w:firstLine="0"/>
        <w:jc w:val="both"/>
        <w:rPr>
          <w:rFonts w:hint="default" w:ascii="黑体" w:hAnsi="宋体" w:eastAsia="黑体" w:cs="Times New Roman"/>
          <w:kern w:val="2"/>
          <w:sz w:val="24"/>
          <w:szCs w:val="20"/>
          <w:highlight w:val="none"/>
          <w:lang w:val="en-US" w:eastAsia="zh-CN" w:bidi="ar-SA"/>
        </w:rPr>
      </w:pPr>
    </w:p>
    <w:p w14:paraId="74FEE441">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十、质量保证方案</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41517326">
      <w:pPr>
        <w:widowControl w:val="0"/>
        <w:ind w:firstLine="840" w:firstLineChars="400"/>
        <w:jc w:val="both"/>
        <w:rPr>
          <w:rFonts w:hint="eastAsia" w:eastAsia="宋体"/>
          <w:kern w:val="2"/>
          <w:sz w:val="21"/>
          <w:szCs w:val="21"/>
          <w:lang w:eastAsia="zh-CN"/>
        </w:rPr>
      </w:pPr>
    </w:p>
    <w:p w14:paraId="7BFA779A">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十一、应急方案</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2C70AE88">
      <w:pPr>
        <w:widowControl w:val="0"/>
        <w:ind w:firstLine="840" w:firstLineChars="400"/>
        <w:jc w:val="both"/>
        <w:rPr>
          <w:rFonts w:hint="eastAsia" w:eastAsia="宋体"/>
          <w:kern w:val="2"/>
          <w:sz w:val="21"/>
          <w:szCs w:val="21"/>
          <w:lang w:eastAsia="zh-CN"/>
        </w:rPr>
      </w:pPr>
    </w:p>
    <w:p w14:paraId="7EE22F55">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十二、保险情况</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1EDAADBE">
      <w:pPr>
        <w:widowControl w:val="0"/>
        <w:ind w:firstLine="840" w:firstLineChars="400"/>
        <w:jc w:val="both"/>
        <w:rPr>
          <w:rFonts w:eastAsia="宋体"/>
          <w:kern w:val="2"/>
          <w:sz w:val="21"/>
          <w:szCs w:val="21"/>
          <w:lang w:eastAsia="zh-CN"/>
        </w:rPr>
      </w:pPr>
    </w:p>
    <w:p w14:paraId="7BB03B76">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十三、拟安排的项目负责人情况（仅限1人）</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02268A45">
      <w:pPr>
        <w:widowControl w:val="0"/>
        <w:ind w:firstLine="840" w:firstLineChars="400"/>
        <w:jc w:val="both"/>
        <w:rPr>
          <w:rFonts w:eastAsia="宋体"/>
          <w:kern w:val="2"/>
          <w:sz w:val="21"/>
          <w:szCs w:val="21"/>
          <w:lang w:eastAsia="zh-CN"/>
        </w:rPr>
      </w:pPr>
    </w:p>
    <w:p w14:paraId="46D6E09A">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十四、定量检测能力情况</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2B0E5AFB">
      <w:pPr>
        <w:widowControl w:val="0"/>
        <w:ind w:firstLine="840" w:firstLineChars="400"/>
        <w:jc w:val="both"/>
        <w:rPr>
          <w:rFonts w:eastAsia="宋体"/>
          <w:kern w:val="2"/>
          <w:sz w:val="21"/>
          <w:szCs w:val="21"/>
          <w:lang w:eastAsia="zh-CN"/>
        </w:rPr>
      </w:pPr>
    </w:p>
    <w:p w14:paraId="483F6689">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十五、拟投入本项目车辆情况</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15DAF524">
      <w:pPr>
        <w:widowControl w:val="0"/>
        <w:ind w:firstLine="840" w:firstLineChars="400"/>
        <w:jc w:val="both"/>
        <w:rPr>
          <w:rFonts w:eastAsia="宋体"/>
          <w:kern w:val="2"/>
          <w:sz w:val="21"/>
          <w:szCs w:val="21"/>
          <w:lang w:eastAsia="zh-CN"/>
        </w:rPr>
      </w:pPr>
    </w:p>
    <w:p w14:paraId="33084D53">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十六、冷库情况</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33769D8F">
      <w:pPr>
        <w:widowControl w:val="0"/>
        <w:ind w:firstLine="840" w:firstLineChars="400"/>
        <w:jc w:val="both"/>
        <w:rPr>
          <w:rFonts w:hint="eastAsia" w:ascii="宋体" w:hAnsi="宋体" w:eastAsia="宋体" w:cs="宋体"/>
          <w:kern w:val="2"/>
          <w:sz w:val="21"/>
          <w:szCs w:val="21"/>
          <w:lang w:val="en-US" w:eastAsia="zh-CN"/>
        </w:rPr>
      </w:pPr>
    </w:p>
    <w:p w14:paraId="77188232">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十七、信息化管理</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24424323">
      <w:pPr>
        <w:widowControl w:val="0"/>
        <w:ind w:firstLine="840" w:firstLineChars="400"/>
        <w:jc w:val="both"/>
        <w:rPr>
          <w:rFonts w:hint="default" w:eastAsia="宋体"/>
          <w:kern w:val="2"/>
          <w:sz w:val="21"/>
          <w:szCs w:val="21"/>
          <w:lang w:val="en-US" w:eastAsia="zh-CN"/>
        </w:rPr>
      </w:pPr>
    </w:p>
    <w:p w14:paraId="7A52A153">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十八、投标人通过相关认证情况</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73386A67">
      <w:pPr>
        <w:widowControl w:val="0"/>
        <w:spacing w:before="60" w:beforeLines="25" w:after="60" w:afterLines="25"/>
        <w:ind w:firstLine="0"/>
        <w:jc w:val="both"/>
        <w:rPr>
          <w:rFonts w:hint="eastAsia" w:ascii="黑体" w:hAnsi="宋体" w:eastAsia="黑体" w:cs="Times New Roman"/>
          <w:kern w:val="2"/>
          <w:sz w:val="24"/>
          <w:szCs w:val="20"/>
          <w:highlight w:val="none"/>
          <w:lang w:val="en-US" w:eastAsia="zh-CN" w:bidi="ar-SA"/>
        </w:rPr>
      </w:pPr>
    </w:p>
    <w:p w14:paraId="1BD36584">
      <w:pPr>
        <w:widowControl w:val="0"/>
        <w:spacing w:before="60" w:beforeLines="25" w:after="60" w:afterLines="25"/>
        <w:ind w:firstLine="0"/>
        <w:jc w:val="both"/>
        <w:rPr>
          <w:rFonts w:asciiTheme="minorEastAsia" w:hAnsiTheme="minorEastAsia" w:eastAsiaTheme="minorEastAsia" w:cstheme="minorEastAsia"/>
          <w:color w:val="FF0000"/>
          <w:kern w:val="2"/>
          <w:sz w:val="24"/>
          <w:szCs w:val="20"/>
          <w:highlight w:val="none"/>
          <w:lang w:val="en-US" w:eastAsia="zh-CN" w:bidi="ar-SA"/>
        </w:rPr>
      </w:pPr>
      <w:r>
        <w:rPr>
          <w:rFonts w:hint="eastAsia" w:ascii="黑体" w:hAnsi="宋体" w:eastAsia="黑体" w:cs="Times New Roman"/>
          <w:kern w:val="2"/>
          <w:sz w:val="24"/>
          <w:szCs w:val="20"/>
          <w:highlight w:val="none"/>
          <w:lang w:val="en-US" w:eastAsia="zh-CN" w:bidi="ar-SA"/>
        </w:rPr>
        <w:t>十九、同类业绩</w:t>
      </w:r>
      <w:r>
        <w:rPr>
          <w:rFonts w:hint="eastAsia" w:asciiTheme="minorEastAsia" w:hAnsiTheme="minorEastAsia" w:eastAsiaTheme="minorEastAsia" w:cstheme="minorEastAsia"/>
          <w:color w:val="FF0000"/>
          <w:kern w:val="2"/>
          <w:sz w:val="24"/>
          <w:szCs w:val="20"/>
          <w:highlight w:val="none"/>
          <w:lang w:val="en-US" w:eastAsia="zh-CN" w:bidi="ar-SA"/>
        </w:rPr>
        <w:t>（特别提示：投标人须按本招标文件评标信息中这一评审因素要求，提供证明资料）</w:t>
      </w:r>
    </w:p>
    <w:p w14:paraId="40214F74">
      <w:pPr>
        <w:rPr>
          <w:rFonts w:eastAsia="宋体"/>
          <w:kern w:val="2"/>
          <w:sz w:val="21"/>
          <w:szCs w:val="21"/>
          <w:lang w:eastAsia="zh-CN"/>
        </w:rPr>
      </w:pPr>
      <w:r>
        <w:rPr>
          <w:rFonts w:eastAsia="宋体"/>
          <w:kern w:val="2"/>
          <w:sz w:val="21"/>
          <w:szCs w:val="21"/>
          <w:lang w:eastAsia="zh-CN"/>
        </w:rPr>
        <w:br w:type="page"/>
      </w:r>
    </w:p>
    <w:p w14:paraId="4A0790AF">
      <w:pPr>
        <w:widowControl w:val="0"/>
        <w:ind w:firstLine="840" w:firstLineChars="400"/>
        <w:jc w:val="both"/>
        <w:rPr>
          <w:rFonts w:eastAsia="宋体"/>
          <w:kern w:val="2"/>
          <w:sz w:val="21"/>
          <w:szCs w:val="21"/>
          <w:lang w:eastAsia="zh-CN"/>
        </w:rPr>
      </w:pPr>
    </w:p>
    <w:p w14:paraId="7615EB7A">
      <w:pPr>
        <w:keepNext/>
        <w:keepLines/>
        <w:numPr>
          <w:ilvl w:val="0"/>
          <w:numId w:val="0"/>
        </w:numPr>
        <w:spacing w:before="260" w:after="260"/>
        <w:jc w:val="center"/>
        <w:outlineLvl w:val="2"/>
        <w:rPr>
          <w:rFonts w:hint="eastAsia" w:ascii="黑体" w:hAnsi="宋体" w:eastAsia="黑体" w:cs="Times New Roman"/>
          <w:sz w:val="24"/>
          <w:szCs w:val="32"/>
        </w:rPr>
      </w:pPr>
      <w:r>
        <w:rPr>
          <w:rFonts w:hint="eastAsia" w:ascii="黑体" w:hAnsi="宋体" w:eastAsia="黑体" w:cs="Times New Roman"/>
          <w:sz w:val="24"/>
          <w:szCs w:val="32"/>
          <w:lang w:val="en-US" w:eastAsia="zh-CN"/>
        </w:rPr>
        <w:t>二十、</w:t>
      </w:r>
      <w:r>
        <w:rPr>
          <w:rFonts w:hint="eastAsia" w:ascii="黑体" w:hAnsi="宋体" w:eastAsia="黑体" w:cs="Times New Roman"/>
          <w:sz w:val="24"/>
          <w:szCs w:val="32"/>
        </w:rPr>
        <w:t>投标人认为需要加以说明的其他内容（格式自定）</w:t>
      </w:r>
    </w:p>
    <w:p w14:paraId="3EE59517">
      <w:pPr>
        <w:widowControl/>
        <w:jc w:val="center"/>
        <w:rPr>
          <w:rFonts w:hint="eastAsia"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yellow"/>
        </w:rPr>
        <w:t>政府采购违法行为风险知悉确认书</w:t>
      </w:r>
    </w:p>
    <w:p w14:paraId="011A1BF7">
      <w:pPr>
        <w:widowControl/>
        <w:jc w:val="center"/>
        <w:rPr>
          <w:rFonts w:hint="eastAsia" w:ascii="黑体" w:hAnsi="宋体" w:eastAsia="黑体"/>
          <w:kern w:val="0"/>
          <w:sz w:val="24"/>
          <w:szCs w:val="20"/>
        </w:rPr>
      </w:pPr>
    </w:p>
    <w:p w14:paraId="2715CC06">
      <w:pPr>
        <w:spacing w:after="120" w:afterLines="50" w:line="360" w:lineRule="exact"/>
        <w:ind w:firstLine="422" w:firstLineChars="200"/>
        <w:rPr>
          <w:rFonts w:hint="eastAsia" w:ascii="宋体" w:hAnsi="宋体" w:eastAsia="宋体" w:cs="宋体"/>
          <w:b/>
          <w:bCs/>
          <w:szCs w:val="21"/>
        </w:rPr>
      </w:pPr>
      <w:r>
        <w:rPr>
          <w:rFonts w:hint="eastAsia" w:ascii="宋体" w:hAnsi="宋体" w:eastAsia="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3F9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010385C0">
            <w:pPr>
              <w:spacing w:line="400" w:lineRule="exact"/>
              <w:jc w:val="center"/>
              <w:rPr>
                <w:rFonts w:hint="eastAsia" w:ascii="宋体" w:hAnsi="宋体" w:eastAsia="宋体" w:cs="宋体"/>
                <w:szCs w:val="21"/>
              </w:rPr>
            </w:pPr>
            <w:r>
              <w:rPr>
                <w:rFonts w:hint="eastAsia" w:ascii="宋体" w:hAnsi="宋体" w:eastAsia="宋体" w:cs="宋体"/>
                <w:szCs w:val="21"/>
              </w:rPr>
              <w:t>序号</w:t>
            </w:r>
          </w:p>
        </w:tc>
        <w:tc>
          <w:tcPr>
            <w:tcW w:w="7811" w:type="dxa"/>
          </w:tcPr>
          <w:p w14:paraId="6E21CF8C">
            <w:pPr>
              <w:spacing w:line="400" w:lineRule="exact"/>
              <w:jc w:val="center"/>
              <w:rPr>
                <w:rFonts w:hint="eastAsia" w:ascii="宋体" w:hAnsi="宋体" w:eastAsia="宋体" w:cs="宋体"/>
                <w:szCs w:val="21"/>
              </w:rPr>
            </w:pPr>
            <w:r>
              <w:rPr>
                <w:rFonts w:hint="eastAsia" w:ascii="宋体" w:hAnsi="宋体" w:eastAsia="宋体" w:cs="宋体"/>
                <w:b/>
                <w:bCs/>
                <w:szCs w:val="21"/>
              </w:rPr>
              <w:t>供应商参与投标禁止情形</w:t>
            </w:r>
          </w:p>
        </w:tc>
      </w:tr>
      <w:tr w14:paraId="3726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410A76AB">
            <w:pPr>
              <w:spacing w:line="400" w:lineRule="exact"/>
              <w:jc w:val="center"/>
              <w:rPr>
                <w:rFonts w:hint="eastAsia" w:ascii="宋体" w:hAnsi="宋体" w:eastAsia="宋体" w:cs="宋体"/>
                <w:szCs w:val="21"/>
              </w:rPr>
            </w:pPr>
            <w:r>
              <w:rPr>
                <w:rFonts w:hint="eastAsia" w:ascii="宋体" w:hAnsi="宋体" w:eastAsia="宋体" w:cs="宋体"/>
                <w:szCs w:val="21"/>
              </w:rPr>
              <w:t>1</w:t>
            </w:r>
          </w:p>
        </w:tc>
        <w:tc>
          <w:tcPr>
            <w:tcW w:w="7811" w:type="dxa"/>
            <w:vAlign w:val="center"/>
          </w:tcPr>
          <w:p w14:paraId="047EB4C1">
            <w:pPr>
              <w:spacing w:line="400" w:lineRule="exact"/>
              <w:jc w:val="left"/>
              <w:rPr>
                <w:rFonts w:hint="eastAsia" w:ascii="宋体" w:hAnsi="宋体" w:eastAsia="宋体" w:cs="宋体"/>
                <w:szCs w:val="21"/>
              </w:rPr>
            </w:pPr>
            <w:r>
              <w:rPr>
                <w:rFonts w:hint="eastAsia" w:ascii="宋体" w:hAnsi="宋体" w:eastAsia="宋体" w:cs="宋体"/>
                <w:szCs w:val="21"/>
              </w:rPr>
              <w:t>与其他投标供应商的法定代表人、主要经营负责人、投标授权代表人、项目负责人、主要技术人员为</w:t>
            </w:r>
            <w:r>
              <w:rPr>
                <w:rFonts w:hint="eastAsia" w:ascii="宋体" w:hAnsi="宋体" w:eastAsia="宋体" w:cs="宋体"/>
                <w:b/>
                <w:bCs/>
                <w:szCs w:val="21"/>
              </w:rPr>
              <w:t>同一人、属同一单位或者在同一单位缴纳社会保险</w:t>
            </w:r>
            <w:r>
              <w:rPr>
                <w:rFonts w:hint="eastAsia" w:ascii="宋体" w:hAnsi="宋体" w:eastAsia="宋体" w:cs="宋体"/>
                <w:szCs w:val="21"/>
              </w:rPr>
              <w:t>。</w:t>
            </w:r>
          </w:p>
        </w:tc>
      </w:tr>
      <w:tr w14:paraId="02D3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257C91CE">
            <w:pPr>
              <w:spacing w:line="400" w:lineRule="exact"/>
              <w:jc w:val="center"/>
              <w:rPr>
                <w:rFonts w:hint="eastAsia" w:ascii="宋体" w:hAnsi="宋体" w:eastAsia="宋体" w:cs="宋体"/>
                <w:szCs w:val="21"/>
              </w:rPr>
            </w:pPr>
            <w:r>
              <w:rPr>
                <w:rFonts w:hint="eastAsia" w:ascii="宋体" w:hAnsi="宋体" w:eastAsia="宋体" w:cs="宋体"/>
                <w:szCs w:val="21"/>
              </w:rPr>
              <w:t>2</w:t>
            </w:r>
          </w:p>
        </w:tc>
        <w:tc>
          <w:tcPr>
            <w:tcW w:w="7811" w:type="dxa"/>
            <w:vAlign w:val="center"/>
          </w:tcPr>
          <w:p w14:paraId="5574BF3A">
            <w:pPr>
              <w:spacing w:line="400" w:lineRule="exact"/>
              <w:jc w:val="left"/>
              <w:rPr>
                <w:rFonts w:hint="eastAsia" w:ascii="宋体" w:hAnsi="宋体" w:eastAsia="宋体" w:cs="宋体"/>
                <w:szCs w:val="21"/>
              </w:rPr>
            </w:pPr>
            <w:r>
              <w:rPr>
                <w:rFonts w:hint="eastAsia" w:ascii="宋体" w:hAnsi="宋体" w:eastAsia="宋体" w:cs="宋体"/>
                <w:szCs w:val="21"/>
              </w:rPr>
              <w:t>参与本项目政府采购活动时，与其他投标供应商存在单位负责人为</w:t>
            </w:r>
            <w:r>
              <w:rPr>
                <w:rFonts w:hint="eastAsia" w:ascii="宋体" w:hAnsi="宋体" w:eastAsia="宋体" w:cs="宋体"/>
                <w:b/>
                <w:bCs/>
                <w:szCs w:val="21"/>
              </w:rPr>
              <w:t>同一人或直接控股、管理关系</w:t>
            </w:r>
            <w:r>
              <w:rPr>
                <w:rFonts w:hint="eastAsia" w:ascii="宋体" w:hAnsi="宋体" w:eastAsia="宋体" w:cs="宋体"/>
                <w:szCs w:val="21"/>
              </w:rPr>
              <w:t>。</w:t>
            </w:r>
          </w:p>
        </w:tc>
      </w:tr>
      <w:tr w14:paraId="57F1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6CDE4C1C">
            <w:pPr>
              <w:spacing w:line="400" w:lineRule="exact"/>
              <w:jc w:val="center"/>
              <w:rPr>
                <w:rFonts w:hint="eastAsia" w:ascii="宋体" w:hAnsi="宋体" w:eastAsia="宋体" w:cs="宋体"/>
                <w:szCs w:val="21"/>
              </w:rPr>
            </w:pPr>
            <w:r>
              <w:rPr>
                <w:rFonts w:hint="eastAsia" w:ascii="宋体" w:hAnsi="宋体" w:eastAsia="宋体" w:cs="宋体"/>
                <w:szCs w:val="21"/>
              </w:rPr>
              <w:t>3</w:t>
            </w:r>
          </w:p>
        </w:tc>
        <w:tc>
          <w:tcPr>
            <w:tcW w:w="7811" w:type="dxa"/>
            <w:vAlign w:val="center"/>
          </w:tcPr>
          <w:p w14:paraId="0140E6DF">
            <w:pPr>
              <w:spacing w:line="400" w:lineRule="exact"/>
              <w:jc w:val="left"/>
              <w:rPr>
                <w:rFonts w:hint="eastAsia" w:ascii="宋体" w:hAnsi="宋体" w:eastAsia="宋体" w:cs="宋体"/>
                <w:szCs w:val="21"/>
              </w:rPr>
            </w:pPr>
            <w:r>
              <w:rPr>
                <w:rFonts w:hint="eastAsia" w:ascii="宋体" w:hAnsi="宋体" w:eastAsia="宋体" w:cs="宋体"/>
                <w:szCs w:val="21"/>
              </w:rPr>
              <w:t>与其他投标供应商的投标文件或部分投标文件</w:t>
            </w:r>
            <w:r>
              <w:rPr>
                <w:rFonts w:hint="eastAsia" w:ascii="宋体" w:hAnsi="宋体" w:eastAsia="宋体" w:cs="宋体"/>
                <w:b/>
                <w:bCs/>
                <w:szCs w:val="21"/>
              </w:rPr>
              <w:t>相互混装或存在非正常一致</w:t>
            </w:r>
            <w:r>
              <w:rPr>
                <w:rFonts w:hint="eastAsia" w:ascii="宋体" w:hAnsi="宋体" w:eastAsia="宋体" w:cs="宋体"/>
                <w:szCs w:val="21"/>
              </w:rPr>
              <w:t>。</w:t>
            </w:r>
          </w:p>
        </w:tc>
      </w:tr>
      <w:tr w14:paraId="3457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EC09F33">
            <w:pPr>
              <w:spacing w:line="400" w:lineRule="exact"/>
              <w:jc w:val="center"/>
              <w:rPr>
                <w:rFonts w:hint="eastAsia" w:ascii="宋体" w:hAnsi="宋体" w:eastAsia="宋体" w:cs="宋体"/>
                <w:szCs w:val="21"/>
              </w:rPr>
            </w:pPr>
            <w:r>
              <w:rPr>
                <w:rFonts w:hint="eastAsia" w:ascii="宋体" w:hAnsi="宋体" w:eastAsia="宋体" w:cs="宋体"/>
                <w:szCs w:val="21"/>
              </w:rPr>
              <w:t>4</w:t>
            </w:r>
          </w:p>
        </w:tc>
        <w:tc>
          <w:tcPr>
            <w:tcW w:w="7811" w:type="dxa"/>
            <w:vAlign w:val="center"/>
          </w:tcPr>
          <w:p w14:paraId="590CA778">
            <w:pPr>
              <w:spacing w:line="400" w:lineRule="exact"/>
              <w:jc w:val="left"/>
              <w:rPr>
                <w:rFonts w:hint="eastAsia" w:ascii="宋体" w:hAnsi="宋体" w:eastAsia="宋体" w:cs="宋体"/>
                <w:szCs w:val="21"/>
              </w:rPr>
            </w:pPr>
            <w:r>
              <w:rPr>
                <w:rFonts w:hint="eastAsia" w:ascii="宋体" w:hAnsi="宋体" w:eastAsia="宋体" w:cs="宋体"/>
                <w:szCs w:val="21"/>
              </w:rPr>
              <w:t>与其他投标供应商的投标文件由</w:t>
            </w:r>
            <w:r>
              <w:rPr>
                <w:rFonts w:hint="eastAsia" w:ascii="宋体" w:hAnsi="宋体" w:eastAsia="宋体" w:cs="宋体"/>
                <w:b/>
                <w:bCs/>
                <w:szCs w:val="21"/>
              </w:rPr>
              <w:t>同一单位或者同一人编制</w:t>
            </w:r>
            <w:r>
              <w:rPr>
                <w:rFonts w:hint="eastAsia" w:ascii="宋体" w:hAnsi="宋体" w:eastAsia="宋体" w:cs="宋体"/>
                <w:szCs w:val="21"/>
              </w:rPr>
              <w:t>，或者使用</w:t>
            </w:r>
            <w:r>
              <w:rPr>
                <w:rFonts w:hint="eastAsia" w:ascii="宋体" w:hAnsi="宋体" w:eastAsia="宋体" w:cs="宋体"/>
                <w:b/>
                <w:bCs/>
                <w:szCs w:val="21"/>
              </w:rPr>
              <w:t>同一设备编制</w:t>
            </w:r>
            <w:r>
              <w:rPr>
                <w:rFonts w:hint="eastAsia" w:ascii="宋体" w:hAnsi="宋体" w:eastAsia="宋体" w:cs="宋体"/>
                <w:szCs w:val="21"/>
              </w:rPr>
              <w:t>（“文件制作机器码”“文件创建标识码”一致）。</w:t>
            </w:r>
          </w:p>
        </w:tc>
      </w:tr>
      <w:tr w14:paraId="7F30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7CE4FAA">
            <w:pPr>
              <w:spacing w:line="400" w:lineRule="exact"/>
              <w:jc w:val="center"/>
              <w:rPr>
                <w:rFonts w:hint="eastAsia" w:ascii="宋体" w:hAnsi="宋体" w:eastAsia="宋体" w:cs="宋体"/>
                <w:szCs w:val="21"/>
              </w:rPr>
            </w:pPr>
            <w:r>
              <w:rPr>
                <w:rFonts w:hint="eastAsia" w:ascii="宋体" w:hAnsi="宋体" w:eastAsia="宋体" w:cs="宋体"/>
                <w:szCs w:val="21"/>
              </w:rPr>
              <w:t>5</w:t>
            </w:r>
          </w:p>
        </w:tc>
        <w:tc>
          <w:tcPr>
            <w:tcW w:w="7811" w:type="dxa"/>
            <w:vAlign w:val="center"/>
          </w:tcPr>
          <w:p w14:paraId="2639F7FC">
            <w:pPr>
              <w:spacing w:line="400" w:lineRule="exact"/>
              <w:jc w:val="left"/>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b/>
                <w:bCs/>
                <w:szCs w:val="21"/>
              </w:rPr>
              <w:t>未经出具机构核实</w:t>
            </w:r>
            <w:r>
              <w:rPr>
                <w:rFonts w:hint="eastAsia" w:ascii="宋体" w:hAnsi="宋体" w:eastAsia="宋体" w:cs="宋体"/>
                <w:szCs w:val="21"/>
              </w:rPr>
              <w:t>的虚假的检验检测报告、业绩材料、社保缴纳证明、学历学位证书、职称认证证书等材料。</w:t>
            </w:r>
          </w:p>
        </w:tc>
      </w:tr>
      <w:tr w14:paraId="07CD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547094FA">
            <w:pPr>
              <w:spacing w:line="400" w:lineRule="exact"/>
              <w:jc w:val="center"/>
              <w:rPr>
                <w:rFonts w:hint="eastAsia" w:ascii="宋体" w:hAnsi="宋体" w:eastAsia="宋体" w:cs="宋体"/>
                <w:szCs w:val="21"/>
              </w:rPr>
            </w:pPr>
            <w:r>
              <w:rPr>
                <w:rFonts w:hint="eastAsia" w:ascii="宋体" w:hAnsi="宋体" w:eastAsia="宋体" w:cs="宋体"/>
                <w:szCs w:val="21"/>
              </w:rPr>
              <w:t>6</w:t>
            </w:r>
          </w:p>
        </w:tc>
        <w:tc>
          <w:tcPr>
            <w:tcW w:w="7811" w:type="dxa"/>
            <w:vAlign w:val="center"/>
          </w:tcPr>
          <w:p w14:paraId="6D74F46B">
            <w:pPr>
              <w:spacing w:line="400" w:lineRule="exact"/>
              <w:jc w:val="left"/>
              <w:rPr>
                <w:rFonts w:hint="eastAsia" w:ascii="宋体" w:hAnsi="宋体" w:eastAsia="宋体" w:cs="宋体"/>
                <w:szCs w:val="21"/>
              </w:rPr>
            </w:pPr>
            <w:r>
              <w:rPr>
                <w:rFonts w:hint="eastAsia" w:ascii="宋体" w:hAnsi="宋体" w:eastAsia="宋体" w:cs="宋体"/>
                <w:szCs w:val="21"/>
              </w:rPr>
              <w:t>擅自将投标密钥或电子营业执照出借他人使用或未妥善保管。</w:t>
            </w:r>
          </w:p>
        </w:tc>
      </w:tr>
    </w:tbl>
    <w:p w14:paraId="2E20A676">
      <w:pPr>
        <w:pStyle w:val="18"/>
      </w:pPr>
    </w:p>
    <w:tbl>
      <w:tblPr>
        <w:tblStyle w:val="43"/>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9"/>
      </w:tblGrid>
      <w:tr w14:paraId="73051DB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6E392B3">
            <w:pPr>
              <w:spacing w:before="120" w:beforeLines="50" w:line="380" w:lineRule="exact"/>
              <w:ind w:firstLine="422" w:firstLineChars="200"/>
              <w:rPr>
                <w:rFonts w:hint="eastAsia" w:ascii="宋体" w:hAnsi="宋体" w:eastAsia="宋体" w:cs="宋体"/>
                <w:b/>
                <w:szCs w:val="21"/>
              </w:rPr>
            </w:pPr>
            <w:r>
              <w:rPr>
                <w:rFonts w:hint="eastAsia" w:ascii="宋体" w:hAnsi="宋体" w:eastAsia="宋体" w:cs="宋体"/>
                <w:b/>
                <w:szCs w:val="21"/>
              </w:rPr>
              <w:t>一、我单位已充分知悉“隐瞒真实情况，提供虚假资料”的法定情形，包括但不限于：</w:t>
            </w:r>
          </w:p>
          <w:p w14:paraId="7BD421DD">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（一）通过转让或者租借等方式从其他单位获取资格或者资质证书投标的。</w:t>
            </w:r>
          </w:p>
          <w:p w14:paraId="6AE4CD5E">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（二）由其他单位或者其他单位负责人在投标供应商编制的投标文件上加盖印章或者签字的。</w:t>
            </w:r>
          </w:p>
          <w:p w14:paraId="50F3539B">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（三）项目负责人或者主要技术人员不是本单位人员的。</w:t>
            </w:r>
          </w:p>
          <w:p w14:paraId="3539FDB0">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（四）投标保证金不是从投标供应商基本账户转出的。</w:t>
            </w:r>
          </w:p>
          <w:p w14:paraId="1FC767DE">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（五）其他隐瞒真实情况、提供虚假资料的行为。</w:t>
            </w:r>
          </w:p>
          <w:p w14:paraId="1E30427F">
            <w:pPr>
              <w:spacing w:line="380" w:lineRule="exact"/>
              <w:ind w:firstLine="422" w:firstLineChars="200"/>
              <w:rPr>
                <w:rFonts w:hint="eastAsia" w:ascii="宋体" w:hAnsi="宋体" w:eastAsia="宋体" w:cs="宋体"/>
                <w:b/>
                <w:szCs w:val="21"/>
              </w:rPr>
            </w:pPr>
            <w:r>
              <w:rPr>
                <w:rFonts w:hint="eastAsia" w:ascii="宋体" w:hAnsi="宋体" w:eastAsia="宋体" w:cs="宋体"/>
                <w:b/>
                <w:szCs w:val="21"/>
              </w:rPr>
              <w:t>二、我单位已充分知悉“与其他采购参加人串通投标”的法定情形，包括但不限于：</w:t>
            </w:r>
          </w:p>
          <w:p w14:paraId="70B117AD">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（一）投标供应商之间相互约定给予未中标的供应商利益补偿。</w:t>
            </w:r>
          </w:p>
          <w:p w14:paraId="6EFF99BE">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（二）不同投标供应商的法定代表人、主要经营负责人、项目投标授权代表人、项目负责人、主要技术人员为同一人、属同一单位或者在同一单位缴纳社会保险。</w:t>
            </w:r>
          </w:p>
          <w:p w14:paraId="1E519656">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（三）不同投标供应商的投标文件由同一单位或者同一人编制，或者由同一人分阶段参与编制的。</w:t>
            </w:r>
          </w:p>
          <w:p w14:paraId="336320D1">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（四）不同投标供应商的投标文件或部分投标文件相互混装。</w:t>
            </w:r>
          </w:p>
          <w:p w14:paraId="576F329C">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（五）不同投标供应商的投标文件内容存在非正常一致。</w:t>
            </w:r>
          </w:p>
          <w:p w14:paraId="1F9DCC75">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（六）由同一单位工作人员为两家以上（含两家）供应商进行同一项投标活动的。</w:t>
            </w:r>
          </w:p>
          <w:p w14:paraId="706E0E4F">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（七）不同投标人的投标报价呈规律性差异。</w:t>
            </w:r>
          </w:p>
          <w:p w14:paraId="00EE4C9B">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（八）不同投标人的投标保证金从同一单位或者个人的账户转出。</w:t>
            </w:r>
          </w:p>
          <w:p w14:paraId="4F7F8825">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（九）主管部门依照法律、法规认定的其他情形。</w:t>
            </w:r>
          </w:p>
          <w:p w14:paraId="6B0730EA">
            <w:pPr>
              <w:spacing w:line="340" w:lineRule="exact"/>
              <w:ind w:firstLine="422" w:firstLineChars="200"/>
              <w:rPr>
                <w:rFonts w:hint="eastAsia" w:ascii="宋体" w:hAnsi="宋体" w:eastAsia="宋体" w:cs="宋体"/>
                <w:b/>
                <w:szCs w:val="21"/>
              </w:rPr>
            </w:pPr>
            <w:r>
              <w:rPr>
                <w:rFonts w:hint="eastAsia" w:ascii="宋体" w:hAnsi="宋体" w:eastAsia="宋体" w:cs="宋体"/>
                <w:b/>
                <w:szCs w:val="21"/>
              </w:rPr>
              <w:t>三、我单位已充分知悉下列情形存在法律风险，在投标前已对相关风险事项进行排查。</w:t>
            </w:r>
          </w:p>
          <w:p w14:paraId="401E169C">
            <w:pPr>
              <w:spacing w:line="340" w:lineRule="exact"/>
              <w:ind w:firstLine="420" w:firstLineChars="200"/>
              <w:rPr>
                <w:rFonts w:hint="eastAsia" w:ascii="宋体" w:hAnsi="宋体" w:eastAsia="宋体" w:cs="宋体"/>
                <w:b/>
                <w:szCs w:val="21"/>
              </w:rPr>
            </w:pPr>
            <w:r>
              <w:rPr>
                <w:rFonts w:hint="eastAsia" w:ascii="宋体" w:hAnsi="宋体" w:eastAsia="宋体" w:cs="宋体"/>
                <w:szCs w:val="21"/>
              </w:rPr>
              <w:t>（一）对于从其他主体获取的投标资料，我单位应审慎核查，确保其真实性。</w:t>
            </w:r>
            <w:r>
              <w:rPr>
                <w:rFonts w:hint="eastAsia" w:ascii="宋体" w:hAnsi="宋体" w:eastAsia="宋体" w:cs="宋体"/>
                <w:b/>
                <w:szCs w:val="21"/>
              </w:rPr>
              <w:t>如主管部门查实投标文件中存在虚假资料的，无论相关资料是否由第三方或本公司员工提供，均不影响主管部门对供应商存在“隐瞒真实情况，提供虚假资料”违法行为的认定。</w:t>
            </w:r>
          </w:p>
          <w:p w14:paraId="655E67F2">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（二）对于涉及国家机关出具的公文、证件、证明材料等文件，一旦涉嫌虚假，经查实，主管部门将依法从严处理，并移送有关部门追究法律责任；涉嫌犯罪的，移送司法机关处理。</w:t>
            </w:r>
          </w:p>
          <w:p w14:paraId="7B328D30">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eastAsia="宋体" w:cs="宋体"/>
                <w:b/>
                <w:bCs/>
                <w:szCs w:val="21"/>
              </w:rPr>
              <w:t>擅自将投标密钥或电子营业执照出借他人使用所造成的法律后果，由我单位自行承担</w:t>
            </w:r>
            <w:r>
              <w:rPr>
                <w:rFonts w:hint="eastAsia" w:ascii="宋体" w:hAnsi="宋体" w:eastAsia="宋体" w:cs="宋体"/>
                <w:szCs w:val="21"/>
              </w:rPr>
              <w:t>。</w:t>
            </w:r>
          </w:p>
          <w:p w14:paraId="7425452B">
            <w:pPr>
              <w:spacing w:line="340" w:lineRule="exact"/>
              <w:ind w:firstLine="422" w:firstLineChars="200"/>
              <w:rPr>
                <w:rFonts w:hint="eastAsia" w:ascii="宋体" w:hAnsi="宋体" w:eastAsia="宋体" w:cs="宋体"/>
                <w:b/>
                <w:szCs w:val="21"/>
              </w:rPr>
            </w:pPr>
            <w:r>
              <w:rPr>
                <w:rFonts w:hint="eastAsia" w:ascii="宋体" w:hAnsi="宋体" w:eastAsia="宋体" w:cs="宋体"/>
                <w:b/>
                <w:szCs w:val="21"/>
              </w:rPr>
              <w:t>四、我单位已充分知悉政府采购违法、违规行为的法律后果。</w:t>
            </w:r>
          </w:p>
          <w:p w14:paraId="1663C99C">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2BBB7401">
            <w:pPr>
              <w:spacing w:line="340" w:lineRule="exact"/>
              <w:ind w:firstLine="420" w:firstLineChars="200"/>
              <w:rPr>
                <w:rFonts w:hint="eastAsia" w:ascii="宋体" w:hAnsi="宋体" w:eastAsia="宋体" w:cs="宋体"/>
                <w:szCs w:val="21"/>
                <w:highlight w:val="yellow"/>
              </w:rPr>
            </w:pPr>
            <w:r>
              <w:rPr>
                <w:rFonts w:hint="eastAsia" w:ascii="宋体" w:hAnsi="宋体" w:eastAsia="宋体" w:cs="宋体"/>
                <w:szCs w:val="21"/>
                <w:highlight w:val="yellow"/>
              </w:rPr>
              <w:t>以下文字请投标供应商抄写并确认：“我单位已仔细阅读《政府采购违法行为风险知悉确认书》，充分知悉违法行为的法律后果，并承诺将严谨、诚信、依法依规参与政府采购活动”。</w:t>
            </w:r>
          </w:p>
          <w:p w14:paraId="322CE7E4">
            <w:pPr>
              <w:autoSpaceDE w:val="0"/>
              <w:autoSpaceDN w:val="0"/>
              <w:adjustRightInd w:val="0"/>
              <w:snapToGrid w:val="0"/>
              <w:spacing w:line="320" w:lineRule="exact"/>
              <w:rPr>
                <w:rFonts w:hint="eastAsia" w:ascii="宋体" w:hAnsi="宋体" w:eastAsia="宋体" w:cs="Times New Roman"/>
                <w:spacing w:val="-4"/>
                <w:kern w:val="0"/>
                <w:sz w:val="20"/>
                <w:szCs w:val="21"/>
              </w:rPr>
            </w:pPr>
          </w:p>
        </w:tc>
      </w:tr>
      <w:tr w14:paraId="40A218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3F91423">
            <w:pPr>
              <w:autoSpaceDE w:val="0"/>
              <w:autoSpaceDN w:val="0"/>
              <w:adjustRightInd w:val="0"/>
              <w:snapToGrid w:val="0"/>
              <w:spacing w:line="320" w:lineRule="exact"/>
              <w:rPr>
                <w:rFonts w:hint="eastAsia" w:ascii="宋体" w:hAnsi="宋体" w:eastAsia="宋体" w:cs="Times New Roman"/>
                <w:spacing w:val="-4"/>
                <w:kern w:val="0"/>
                <w:sz w:val="20"/>
                <w:szCs w:val="21"/>
              </w:rPr>
            </w:pPr>
          </w:p>
        </w:tc>
      </w:tr>
      <w:tr w14:paraId="3D7CC57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1564EFDB">
            <w:pPr>
              <w:autoSpaceDE w:val="0"/>
              <w:autoSpaceDN w:val="0"/>
              <w:adjustRightInd w:val="0"/>
              <w:snapToGrid w:val="0"/>
              <w:spacing w:line="320" w:lineRule="exact"/>
              <w:rPr>
                <w:rFonts w:hint="eastAsia" w:ascii="宋体" w:hAnsi="宋体" w:eastAsia="宋体" w:cs="Times New Roman"/>
                <w:spacing w:val="-4"/>
                <w:kern w:val="0"/>
                <w:sz w:val="20"/>
                <w:szCs w:val="21"/>
              </w:rPr>
            </w:pPr>
          </w:p>
        </w:tc>
      </w:tr>
      <w:tr w14:paraId="1167C94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5C03210E">
            <w:pPr>
              <w:autoSpaceDE w:val="0"/>
              <w:autoSpaceDN w:val="0"/>
              <w:adjustRightInd w:val="0"/>
              <w:snapToGrid w:val="0"/>
              <w:spacing w:line="320" w:lineRule="exact"/>
              <w:rPr>
                <w:rFonts w:hint="eastAsia" w:ascii="宋体" w:hAnsi="宋体" w:eastAsia="宋体" w:cs="Times New Roman"/>
                <w:spacing w:val="-4"/>
                <w:kern w:val="0"/>
                <w:sz w:val="20"/>
                <w:szCs w:val="21"/>
              </w:rPr>
            </w:pPr>
          </w:p>
        </w:tc>
      </w:tr>
    </w:tbl>
    <w:p w14:paraId="3CC64BB2">
      <w:pPr>
        <w:widowControl/>
        <w:wordWrap w:val="0"/>
        <w:autoSpaceDE w:val="0"/>
        <w:autoSpaceDN w:val="0"/>
        <w:spacing w:line="340" w:lineRule="exact"/>
        <w:ind w:right="808" w:firstLine="404" w:firstLineChars="200"/>
        <w:jc w:val="right"/>
        <w:rPr>
          <w:rFonts w:hint="eastAsia" w:ascii="宋体" w:hAnsi="宋体" w:eastAsia="宋体" w:cs="宋体"/>
          <w:spacing w:val="-4"/>
          <w:kern w:val="0"/>
          <w:szCs w:val="21"/>
          <w:u w:val="single"/>
        </w:rPr>
      </w:pPr>
      <w:r>
        <w:rPr>
          <w:rFonts w:hint="eastAsia" w:ascii="宋体" w:hAnsi="宋体" w:eastAsia="宋体" w:cs="宋体"/>
          <w:spacing w:val="-4"/>
          <w:kern w:val="0"/>
          <w:szCs w:val="21"/>
        </w:rPr>
        <w:t>单位负责人签名：</w:t>
      </w:r>
      <w:r>
        <w:rPr>
          <w:rFonts w:hint="eastAsia" w:ascii="宋体" w:hAnsi="宋体" w:eastAsia="宋体" w:cs="宋体"/>
          <w:spacing w:val="-4"/>
          <w:kern w:val="0"/>
          <w:szCs w:val="21"/>
          <w:u w:val="single"/>
        </w:rPr>
        <w:t xml:space="preserve">              </w:t>
      </w:r>
    </w:p>
    <w:p w14:paraId="26A985EC">
      <w:pPr>
        <w:widowControl/>
        <w:wordWrap w:val="0"/>
        <w:autoSpaceDE w:val="0"/>
        <w:autoSpaceDN w:val="0"/>
        <w:spacing w:line="340" w:lineRule="exact"/>
        <w:ind w:right="808" w:firstLine="404" w:firstLineChars="200"/>
        <w:jc w:val="center"/>
        <w:rPr>
          <w:rFonts w:hint="eastAsia" w:ascii="宋体" w:hAnsi="宋体" w:eastAsia="宋体" w:cs="宋体"/>
          <w:spacing w:val="-4"/>
          <w:kern w:val="0"/>
          <w:szCs w:val="21"/>
          <w:u w:val="single"/>
        </w:rPr>
      </w:pPr>
      <w:r>
        <w:rPr>
          <w:rFonts w:hint="eastAsia" w:ascii="宋体" w:hAnsi="宋体" w:eastAsia="宋体" w:cs="宋体"/>
          <w:spacing w:val="-4"/>
          <w:kern w:val="0"/>
          <w:szCs w:val="21"/>
        </w:rPr>
        <w:t xml:space="preserve">                                 （加盖公章）</w:t>
      </w:r>
    </w:p>
    <w:p w14:paraId="190C1B23">
      <w:pPr>
        <w:widowControl/>
        <w:wordWrap w:val="0"/>
        <w:autoSpaceDE w:val="0"/>
        <w:autoSpaceDN w:val="0"/>
        <w:spacing w:line="340" w:lineRule="exact"/>
        <w:ind w:right="808" w:firstLine="404" w:firstLineChars="200"/>
        <w:jc w:val="right"/>
        <w:rPr>
          <w:rFonts w:hint="eastAsia" w:ascii="宋体" w:hAnsi="宋体" w:eastAsia="宋体" w:cs="宋体"/>
          <w:spacing w:val="-4"/>
          <w:kern w:val="0"/>
          <w:szCs w:val="21"/>
          <w:u w:val="single"/>
        </w:rPr>
      </w:pPr>
      <w:r>
        <w:rPr>
          <w:rFonts w:hint="eastAsia" w:ascii="宋体" w:hAnsi="宋体" w:eastAsia="宋体" w:cs="宋体"/>
          <w:spacing w:val="-4"/>
          <w:kern w:val="0"/>
          <w:szCs w:val="21"/>
        </w:rPr>
        <w:t xml:space="preserve">     日期：</w:t>
      </w:r>
      <w:r>
        <w:rPr>
          <w:rFonts w:hint="eastAsia" w:ascii="宋体" w:hAnsi="宋体" w:eastAsia="宋体" w:cs="宋体"/>
          <w:spacing w:val="-4"/>
          <w:kern w:val="0"/>
          <w:szCs w:val="21"/>
          <w:u w:val="single"/>
        </w:rPr>
        <w:t xml:space="preserve">              </w:t>
      </w:r>
    </w:p>
    <w:p w14:paraId="2F182BE8">
      <w:pPr>
        <w:widowControl/>
        <w:autoSpaceDE w:val="0"/>
        <w:autoSpaceDN w:val="0"/>
        <w:spacing w:line="340" w:lineRule="exact"/>
        <w:ind w:firstLine="406" w:firstLineChars="200"/>
        <w:jc w:val="left"/>
        <w:rPr>
          <w:rFonts w:hint="eastAsia" w:ascii="宋体" w:hAnsi="宋体" w:eastAsia="宋体" w:cs="宋体"/>
          <w:b/>
          <w:bCs/>
          <w:spacing w:val="-4"/>
          <w:kern w:val="0"/>
          <w:szCs w:val="21"/>
        </w:rPr>
      </w:pPr>
    </w:p>
    <w:p w14:paraId="698EF1EB">
      <w:pPr>
        <w:widowControl/>
        <w:autoSpaceDE w:val="0"/>
        <w:autoSpaceDN w:val="0"/>
        <w:spacing w:line="340" w:lineRule="exact"/>
        <w:ind w:firstLine="406" w:firstLineChars="200"/>
        <w:jc w:val="left"/>
        <w:rPr>
          <w:rFonts w:hint="eastAsia" w:ascii="宋体" w:hAnsi="宋体" w:eastAsia="宋体" w:cs="宋体"/>
          <w:b/>
          <w:bCs/>
          <w:spacing w:val="-4"/>
          <w:kern w:val="0"/>
          <w:szCs w:val="21"/>
        </w:rPr>
      </w:pPr>
      <w:r>
        <w:rPr>
          <w:rFonts w:hint="eastAsia" w:ascii="宋体" w:hAnsi="宋体" w:eastAsia="宋体" w:cs="宋体"/>
          <w:b/>
          <w:bCs/>
          <w:spacing w:val="-4"/>
          <w:kern w:val="0"/>
          <w:szCs w:val="21"/>
        </w:rPr>
        <w:t>注：1.《政府采购违法行为风险知悉确认书》需由投标供应商负责人签字并加盖单位公章后，扫描上传至投标文件一并提交。</w:t>
      </w:r>
    </w:p>
    <w:p w14:paraId="525E6D43">
      <w:pPr>
        <w:pStyle w:val="51"/>
        <w:rPr>
          <w:lang w:bidi="ar"/>
        </w:rPr>
      </w:pPr>
      <w:r>
        <w:rPr>
          <w:rFonts w:hint="eastAsia" w:ascii="宋体" w:hAnsi="宋体" w:cs="宋体"/>
          <w:b/>
          <w:bCs/>
          <w:spacing w:val="-4"/>
          <w:kern w:val="0"/>
          <w:szCs w:val="21"/>
        </w:rPr>
        <w:t>2.根据《深圳市财政局关于在采购文件及深圳政府采购智慧平台增设供应商投标特别警示条款等事宜的通知》（深财购〔2025〕7号）的要求，《政府采购违法行为风险知悉确认书》用于对供应商违法行为的提醒，不作为供应商资格性审查及符合性审查条件。</w:t>
      </w:r>
    </w:p>
    <w:p w14:paraId="294D2EAB">
      <w:pPr>
        <w:autoSpaceDE w:val="0"/>
        <w:autoSpaceDN w:val="0"/>
        <w:adjustRightInd w:val="0"/>
        <w:snapToGrid w:val="0"/>
        <w:spacing w:line="320" w:lineRule="exact"/>
        <w:ind w:firstLine="404" w:firstLineChars="200"/>
        <w:rPr>
          <w:rFonts w:hint="eastAsia" w:ascii="宋体" w:hAnsi="宋体" w:eastAsia="宋体" w:cs="Times New Roman"/>
          <w:spacing w:val="-4"/>
          <w:kern w:val="0"/>
          <w:szCs w:val="21"/>
        </w:rPr>
      </w:pPr>
    </w:p>
    <w:p w14:paraId="5D00C08E">
      <w:pPr>
        <w:adjustRightInd w:val="0"/>
        <w:snapToGrid w:val="0"/>
        <w:spacing w:after="120" w:line="276" w:lineRule="auto"/>
        <w:rPr>
          <w:rFonts w:ascii="Times New Roman" w:hAnsi="Times New Roman" w:eastAsia="宋体" w:cs="Times New Roman"/>
          <w:szCs w:val="24"/>
        </w:rPr>
      </w:pPr>
    </w:p>
    <w:p w14:paraId="15F4EFFD">
      <w:pPr>
        <w:jc w:val="center"/>
        <w:rPr>
          <w:rFonts w:ascii="黑体" w:eastAsia="黑体"/>
          <w:sz w:val="24"/>
          <w:szCs w:val="20"/>
        </w:rPr>
      </w:pPr>
      <w:r>
        <w:rPr>
          <w:rFonts w:hint="eastAsia" w:ascii="黑体" w:eastAsia="黑体"/>
          <w:sz w:val="24"/>
          <w:szCs w:val="20"/>
        </w:rPr>
        <w:t>（二）订单融资情况</w:t>
      </w:r>
    </w:p>
    <w:p w14:paraId="60CAF31C">
      <w:pPr>
        <w:ind w:firstLine="422" w:firstLineChars="200"/>
        <w:rPr>
          <w:rFonts w:hint="eastAsia" w:ascii="宋体" w:hAnsi="宋体" w:cs="宋体"/>
          <w:b/>
          <w:bCs/>
        </w:rPr>
      </w:pPr>
      <w:r>
        <w:rPr>
          <w:rFonts w:hint="eastAsia" w:ascii="宋体" w:hAnsi="宋体" w:cs="宋体"/>
          <w:b/>
          <w:bCs/>
        </w:rPr>
        <w:t>1、关于政府采购订单融资政策</w:t>
      </w:r>
    </w:p>
    <w:p w14:paraId="1003C878">
      <w:pPr>
        <w:pStyle w:val="18"/>
        <w:ind w:firstLine="420" w:firstLineChars="200"/>
        <w:rPr>
          <w:bCs/>
          <w:szCs w:val="21"/>
        </w:rPr>
      </w:pPr>
      <w:r>
        <w:rPr>
          <w:rFonts w:hint="eastAsia"/>
          <w:bCs/>
          <w:szCs w:val="21"/>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政府采购活动供应商可凭借所获取的深圳市政府采购中标通知书与采购合同，向参与订单融资业务的金融机构提出融资申请，金融机构以各自信贷政策为基础，为中标（成交）供应商提供融资授信，订单融资具体流程可登录深圳要素交易金融服务平台(https://finance.szexgrp.com/gtm/web/guarantee/#/)，相关政策法规参阅深圳市政府采购监管网（http://zfcg.sz.gov.cn/）信息公开栏目。</w:t>
      </w:r>
    </w:p>
    <w:p w14:paraId="5F6DF2C9">
      <w:pPr>
        <w:ind w:firstLine="422" w:firstLineChars="200"/>
        <w:rPr>
          <w:rFonts w:hint="eastAsia" w:ascii="宋体" w:hAnsi="宋体" w:cs="宋体"/>
          <w:b/>
          <w:bCs/>
        </w:rPr>
      </w:pPr>
      <w:r>
        <w:rPr>
          <w:rFonts w:hint="eastAsia" w:ascii="宋体" w:hAnsi="宋体" w:cs="宋体"/>
          <w:b/>
          <w:bCs/>
        </w:rPr>
        <w:t>2、供应商账户信息</w:t>
      </w:r>
    </w:p>
    <w:p w14:paraId="3B2E40FA">
      <w:pPr>
        <w:ind w:left="420" w:leftChars="200" w:firstLine="210" w:firstLineChars="100"/>
        <w:rPr>
          <w:szCs w:val="21"/>
        </w:rPr>
      </w:pPr>
      <w:r>
        <w:rPr>
          <w:rFonts w:hint="eastAsia"/>
          <w:szCs w:val="21"/>
        </w:rPr>
        <w:t>投标人（单位全称）：</w:t>
      </w:r>
      <w:r>
        <w:rPr>
          <w:rFonts w:hint="eastAsia"/>
          <w:szCs w:val="21"/>
          <w:u w:val="thick"/>
        </w:rPr>
        <w:t xml:space="preserve">                           </w:t>
      </w:r>
      <w:r>
        <w:rPr>
          <w:rFonts w:hint="eastAsia" w:eastAsia="宋体"/>
          <w:szCs w:val="21"/>
        </w:rPr>
        <w:t>；</w:t>
      </w:r>
      <w:r>
        <w:rPr>
          <w:rFonts w:hint="eastAsia"/>
          <w:szCs w:val="21"/>
        </w:rPr>
        <w:t xml:space="preserve">  </w:t>
      </w:r>
    </w:p>
    <w:p w14:paraId="46E6E482">
      <w:pPr>
        <w:ind w:left="420" w:leftChars="200" w:firstLine="210" w:firstLineChars="100"/>
        <w:rPr>
          <w:szCs w:val="21"/>
        </w:rPr>
      </w:pPr>
      <w:r>
        <w:rPr>
          <w:rFonts w:hint="eastAsia"/>
          <w:szCs w:val="21"/>
        </w:rPr>
        <w:t>投标人单位地址：</w:t>
      </w:r>
      <w:r>
        <w:rPr>
          <w:rFonts w:hint="eastAsia"/>
          <w:szCs w:val="21"/>
          <w:u w:val="thick"/>
        </w:rPr>
        <w:t xml:space="preserve">       </w:t>
      </w:r>
      <w:r>
        <w:rPr>
          <w:rFonts w:hint="eastAsia" w:ascii="Times New Roman" w:eastAsia="宋体"/>
          <w:szCs w:val="21"/>
          <w:u w:val="thick"/>
        </w:rPr>
        <w:t xml:space="preserve">          </w:t>
      </w:r>
      <w:r>
        <w:rPr>
          <w:rFonts w:hint="eastAsia"/>
          <w:szCs w:val="21"/>
          <w:u w:val="thick"/>
        </w:rPr>
        <w:t xml:space="preserve"> </w:t>
      </w:r>
      <w:r>
        <w:rPr>
          <w:rFonts w:hint="eastAsia" w:ascii="Times New Roman" w:eastAsia="宋体"/>
          <w:szCs w:val="21"/>
          <w:u w:val="thick"/>
        </w:rPr>
        <w:t xml:space="preserve">  </w:t>
      </w:r>
      <w:r>
        <w:rPr>
          <w:rFonts w:hint="eastAsia" w:eastAsia="宋体"/>
          <w:szCs w:val="21"/>
        </w:rPr>
        <w:t>；</w:t>
      </w:r>
    </w:p>
    <w:p w14:paraId="2C20E566">
      <w:pPr>
        <w:ind w:left="420" w:leftChars="200" w:firstLine="210" w:firstLineChars="100"/>
        <w:rPr>
          <w:szCs w:val="21"/>
        </w:rPr>
      </w:pPr>
      <w:r>
        <w:rPr>
          <w:rFonts w:hint="eastAsia"/>
          <w:szCs w:val="21"/>
        </w:rPr>
        <w:t>法定代表人（负责人）或其</w:t>
      </w:r>
      <w:r>
        <w:rPr>
          <w:rFonts w:hint="eastAsia" w:ascii="Times New Roman" w:eastAsia="宋体"/>
          <w:szCs w:val="21"/>
        </w:rPr>
        <w:t>授权</w:t>
      </w:r>
      <w:r>
        <w:rPr>
          <w:rFonts w:hint="eastAsia"/>
          <w:szCs w:val="21"/>
        </w:rPr>
        <w:t>委托代理人：</w:t>
      </w:r>
      <w:r>
        <w:rPr>
          <w:rFonts w:hint="eastAsia"/>
          <w:szCs w:val="21"/>
          <w:u w:val="thick"/>
        </w:rPr>
        <w:t xml:space="preserve">                      </w:t>
      </w:r>
      <w:r>
        <w:rPr>
          <w:rFonts w:hint="eastAsia" w:eastAsia="宋体"/>
          <w:szCs w:val="21"/>
        </w:rPr>
        <w:t>；</w:t>
      </w:r>
    </w:p>
    <w:p w14:paraId="45005A72">
      <w:pPr>
        <w:ind w:left="420" w:leftChars="200" w:firstLine="210" w:firstLineChars="100"/>
        <w:rPr>
          <w:szCs w:val="21"/>
          <w:u w:val="thick"/>
        </w:rPr>
      </w:pPr>
      <w:r>
        <w:rPr>
          <w:rFonts w:hint="eastAsia"/>
          <w:szCs w:val="21"/>
        </w:rPr>
        <w:t>联系电话：</w:t>
      </w:r>
      <w:r>
        <w:rPr>
          <w:rFonts w:hint="eastAsia"/>
          <w:szCs w:val="21"/>
          <w:u w:val="thick"/>
        </w:rPr>
        <w:t xml:space="preserve">        </w:t>
      </w:r>
      <w:r>
        <w:rPr>
          <w:rFonts w:hint="eastAsia" w:ascii="Times New Roman" w:eastAsia="宋体"/>
          <w:szCs w:val="21"/>
          <w:u w:val="thick"/>
        </w:rPr>
        <w:t xml:space="preserve">          </w:t>
      </w:r>
      <w:r>
        <w:rPr>
          <w:rFonts w:hint="eastAsia"/>
          <w:szCs w:val="21"/>
          <w:u w:val="thick"/>
        </w:rPr>
        <w:t xml:space="preserve"> </w:t>
      </w:r>
      <w:r>
        <w:rPr>
          <w:rFonts w:hint="eastAsia" w:ascii="Times New Roman" w:eastAsia="宋体"/>
          <w:szCs w:val="21"/>
          <w:u w:val="thick"/>
        </w:rPr>
        <w:t xml:space="preserve">  </w:t>
      </w:r>
      <w:r>
        <w:rPr>
          <w:rFonts w:hint="eastAsia" w:eastAsia="宋体"/>
          <w:szCs w:val="21"/>
        </w:rPr>
        <w:t>；</w:t>
      </w:r>
    </w:p>
    <w:p w14:paraId="75B0119B">
      <w:pPr>
        <w:ind w:left="420" w:leftChars="200" w:firstLine="210" w:firstLineChars="100"/>
        <w:rPr>
          <w:szCs w:val="21"/>
        </w:rPr>
      </w:pPr>
      <w:r>
        <w:rPr>
          <w:rFonts w:hint="eastAsia" w:ascii="Times New Roman" w:eastAsia="宋体"/>
          <w:szCs w:val="21"/>
        </w:rPr>
        <w:t>开户银行名称：</w:t>
      </w:r>
      <w:r>
        <w:rPr>
          <w:rFonts w:hint="eastAsia"/>
          <w:szCs w:val="21"/>
          <w:u w:val="thick"/>
        </w:rPr>
        <w:t xml:space="preserve">                                                 </w:t>
      </w:r>
      <w:r>
        <w:rPr>
          <w:rFonts w:hint="eastAsia" w:eastAsia="宋体"/>
          <w:szCs w:val="21"/>
        </w:rPr>
        <w:t>；</w:t>
      </w:r>
    </w:p>
    <w:p w14:paraId="6B96CCC8">
      <w:pPr>
        <w:ind w:left="420" w:leftChars="200" w:firstLine="210" w:firstLineChars="100"/>
        <w:rPr>
          <w:szCs w:val="21"/>
          <w:u w:val="thick"/>
        </w:rPr>
      </w:pPr>
      <w:r>
        <w:rPr>
          <w:rFonts w:hint="eastAsia"/>
          <w:szCs w:val="21"/>
        </w:rPr>
        <w:t>开户银行账号：</w:t>
      </w:r>
      <w:r>
        <w:rPr>
          <w:rFonts w:hint="eastAsia"/>
          <w:szCs w:val="21"/>
          <w:u w:val="thick"/>
        </w:rPr>
        <w:t xml:space="preserve">                                                  </w:t>
      </w:r>
      <w:r>
        <w:rPr>
          <w:rFonts w:hint="eastAsia"/>
          <w:szCs w:val="21"/>
        </w:rPr>
        <w:t>；</w:t>
      </w:r>
    </w:p>
    <w:p w14:paraId="2175BC06">
      <w:pPr>
        <w:ind w:left="420" w:leftChars="200" w:firstLine="210" w:firstLineChars="100"/>
        <w:rPr>
          <w:szCs w:val="21"/>
        </w:rPr>
      </w:pPr>
      <w:r>
        <w:rPr>
          <w:rFonts w:hint="eastAsia"/>
          <w:szCs w:val="21"/>
        </w:rPr>
        <w:t>开户银行地址：</w:t>
      </w:r>
      <w:r>
        <w:rPr>
          <w:rFonts w:hint="eastAsia"/>
          <w:szCs w:val="21"/>
          <w:u w:val="thick"/>
        </w:rPr>
        <w:t xml:space="preserve">                                                  </w:t>
      </w:r>
      <w:r>
        <w:rPr>
          <w:rFonts w:hint="eastAsia"/>
          <w:szCs w:val="21"/>
        </w:rPr>
        <w:t>。</w:t>
      </w:r>
    </w:p>
    <w:p w14:paraId="27C050EE">
      <w:pPr>
        <w:ind w:left="420" w:leftChars="200" w:firstLine="210" w:firstLineChars="100"/>
        <w:rPr>
          <w:szCs w:val="21"/>
        </w:rPr>
      </w:pPr>
      <w:r>
        <w:rPr>
          <w:rFonts w:hint="eastAsia"/>
          <w:szCs w:val="21"/>
        </w:rPr>
        <w:t xml:space="preserve"> </w:t>
      </w:r>
      <w:r>
        <w:rPr>
          <w:rFonts w:hint="eastAsia" w:ascii="宋体" w:hAnsi="宋体"/>
          <w:b/>
          <w:bCs/>
          <w:color w:val="FF0000"/>
          <w:spacing w:val="-4"/>
          <w:kern w:val="0"/>
          <w:szCs w:val="21"/>
        </w:rPr>
        <w:t>注：本项填写内容作为订单融资开展的参考信息，不作为供应商资格性审查及符合性审查条件。</w:t>
      </w:r>
    </w:p>
    <w:p w14:paraId="1D93153B">
      <w:pPr>
        <w:pStyle w:val="18"/>
      </w:pPr>
    </w:p>
    <w:p w14:paraId="42477F51">
      <w:pPr>
        <w:pStyle w:val="19"/>
      </w:pPr>
    </w:p>
    <w:p w14:paraId="1EA8280B">
      <w:pPr>
        <w:adjustRightInd w:val="0"/>
        <w:snapToGrid w:val="0"/>
        <w:spacing w:line="276" w:lineRule="auto"/>
        <w:jc w:val="center"/>
        <w:rPr>
          <w:rFonts w:hint="eastAsia" w:ascii="黑体" w:hAnsi="宋体" w:eastAsia="黑体" w:cs="Times New Roman"/>
          <w:sz w:val="24"/>
          <w:szCs w:val="20"/>
        </w:rPr>
      </w:pPr>
      <w:r>
        <w:rPr>
          <w:rFonts w:hint="eastAsia" w:ascii="黑体" w:hAnsi="宋体" w:eastAsia="黑体" w:cs="Times New Roman"/>
          <w:sz w:val="24"/>
          <w:szCs w:val="20"/>
        </w:rPr>
        <w:t>（三）投标人认为需要加以说明的其他内容</w:t>
      </w:r>
      <w:r>
        <w:rPr>
          <w:rFonts w:hint="eastAsia" w:ascii="黑体" w:hAnsi="宋体" w:eastAsia="黑体"/>
          <w:kern w:val="0"/>
          <w:sz w:val="24"/>
          <w:szCs w:val="20"/>
        </w:rPr>
        <w:t>（格式自定）</w:t>
      </w:r>
    </w:p>
    <w:p w14:paraId="6F7C8998">
      <w:pPr>
        <w:spacing w:before="60" w:beforeLines="25" w:after="60" w:afterLines="25"/>
        <w:rPr>
          <w:rFonts w:ascii="宋体" w:hAnsi="Times New Roman" w:eastAsia="宋体" w:cs="Times New Roman"/>
          <w:kern w:val="0"/>
          <w:szCs w:val="21"/>
        </w:rPr>
      </w:pPr>
    </w:p>
    <w:p w14:paraId="3BA49F2D">
      <w:pPr>
        <w:widowControl/>
        <w:jc w:val="left"/>
        <w:rPr>
          <w:rFonts w:hint="eastAsia" w:ascii="宋体" w:hAnsi="宋体" w:eastAsia="宋体" w:cs="Times New Roman"/>
          <w:b/>
          <w:bCs/>
          <w:kern w:val="0"/>
          <w:sz w:val="24"/>
          <w:szCs w:val="20"/>
        </w:rPr>
      </w:pPr>
      <w:r>
        <w:rPr>
          <w:rFonts w:ascii="Times New Roman" w:hAnsi="Times New Roman" w:eastAsia="宋体" w:cs="Times New Roman"/>
          <w:szCs w:val="24"/>
        </w:rPr>
        <w:br w:type="page"/>
      </w:r>
    </w:p>
    <w:p w14:paraId="10DB5582">
      <w:pPr>
        <w:keepNext/>
        <w:keepLines/>
        <w:adjustRightInd w:val="0"/>
        <w:spacing w:before="260" w:after="260" w:line="276" w:lineRule="auto"/>
        <w:jc w:val="center"/>
        <w:textAlignment w:val="baseline"/>
        <w:outlineLvl w:val="1"/>
        <w:rPr>
          <w:rFonts w:hint="eastAsia" w:ascii="宋体" w:hAnsi="宋体" w:eastAsia="宋体" w:cs="Times New Roman"/>
          <w:b/>
          <w:bCs/>
          <w:kern w:val="0"/>
          <w:sz w:val="24"/>
          <w:szCs w:val="20"/>
        </w:rPr>
      </w:pPr>
      <w:r>
        <w:rPr>
          <w:rFonts w:hint="eastAsia" w:ascii="宋体" w:hAnsi="宋体" w:eastAsia="宋体" w:cs="Times New Roman"/>
          <w:b/>
          <w:bCs/>
          <w:kern w:val="0"/>
          <w:sz w:val="24"/>
          <w:szCs w:val="20"/>
        </w:rPr>
        <w:t>第五章  合同条款及格式</w:t>
      </w:r>
    </w:p>
    <w:p w14:paraId="33A39068">
      <w:pPr>
        <w:spacing w:line="276" w:lineRule="auto"/>
        <w:ind w:firstLine="411" w:firstLineChars="196"/>
        <w:rPr>
          <w:rFonts w:ascii="Times New Roman" w:hAnsi="Times New Roman" w:eastAsia="宋体" w:cs="Times New Roman"/>
          <w:szCs w:val="24"/>
        </w:rPr>
      </w:pPr>
    </w:p>
    <w:p w14:paraId="6F54026C">
      <w:pPr>
        <w:jc w:val="center"/>
        <w:outlineLvl w:val="0"/>
      </w:pPr>
      <w:r>
        <w:rPr>
          <w:rFonts w:hint="eastAsia"/>
          <w:b/>
          <w:sz w:val="24"/>
        </w:rPr>
        <w:t>（仅供参考，具体以项目需求及采购结果为准）</w:t>
      </w:r>
    </w:p>
    <w:p w14:paraId="4AF64818">
      <w:pPr>
        <w:rPr>
          <w:rFonts w:hint="eastAsia" w:ascii="宋体" w:hAnsi="宋体"/>
          <w:b/>
          <w:bCs/>
          <w:szCs w:val="21"/>
        </w:rPr>
      </w:pPr>
      <w:r>
        <w:rPr>
          <w:rFonts w:hint="eastAsia" w:ascii="宋体" w:hAnsi="宋体"/>
          <w:b/>
          <w:bCs/>
          <w:szCs w:val="21"/>
        </w:rPr>
        <w:t>甲方：</w:t>
      </w:r>
    </w:p>
    <w:p w14:paraId="29800E8E">
      <w:pPr>
        <w:rPr>
          <w:rFonts w:hint="eastAsia" w:ascii="宋体" w:hAnsi="宋体"/>
          <w:szCs w:val="21"/>
        </w:rPr>
      </w:pPr>
      <w:r>
        <w:rPr>
          <w:rFonts w:hint="eastAsia" w:ascii="宋体" w:hAnsi="宋体"/>
          <w:szCs w:val="21"/>
        </w:rPr>
        <w:t>地址：</w:t>
      </w:r>
    </w:p>
    <w:p w14:paraId="18BC51CC">
      <w:pPr>
        <w:rPr>
          <w:rFonts w:hint="eastAsia" w:ascii="宋体" w:hAnsi="宋体"/>
          <w:szCs w:val="21"/>
        </w:rPr>
      </w:pPr>
      <w:r>
        <w:rPr>
          <w:rFonts w:hint="eastAsia" w:ascii="宋体" w:hAnsi="宋体"/>
          <w:szCs w:val="21"/>
        </w:rPr>
        <w:t>联系人：</w:t>
      </w:r>
      <w:r>
        <w:rPr>
          <w:rFonts w:ascii="宋体" w:hAnsi="宋体"/>
          <w:szCs w:val="21"/>
        </w:rPr>
        <w:t xml:space="preserve">                          </w:t>
      </w:r>
    </w:p>
    <w:p w14:paraId="024E5D0C">
      <w:pPr>
        <w:rPr>
          <w:rFonts w:hint="eastAsia" w:ascii="宋体" w:hAnsi="宋体"/>
          <w:b/>
          <w:bCs/>
          <w:szCs w:val="21"/>
        </w:rPr>
      </w:pPr>
      <w:r>
        <w:rPr>
          <w:rFonts w:hint="eastAsia" w:ascii="宋体" w:hAnsi="宋体"/>
          <w:szCs w:val="21"/>
        </w:rPr>
        <w:t>联系电话：</w:t>
      </w:r>
    </w:p>
    <w:p w14:paraId="02A37458">
      <w:pPr>
        <w:rPr>
          <w:rFonts w:hint="eastAsia" w:ascii="宋体" w:hAnsi="宋体"/>
          <w:b/>
          <w:bCs/>
          <w:szCs w:val="21"/>
        </w:rPr>
      </w:pPr>
      <w:r>
        <w:rPr>
          <w:rFonts w:ascii="宋体" w:hAnsi="宋体"/>
          <w:b/>
          <w:bCs/>
          <w:szCs w:val="21"/>
        </w:rPr>
        <w:t xml:space="preserve"> </w:t>
      </w:r>
      <w:r>
        <w:rPr>
          <w:rFonts w:hint="eastAsia" w:ascii="宋体" w:hAnsi="宋体"/>
          <w:b/>
          <w:bCs/>
          <w:szCs w:val="21"/>
        </w:rPr>
        <w:t xml:space="preserve"> </w:t>
      </w:r>
      <w:r>
        <w:rPr>
          <w:rFonts w:ascii="宋体" w:hAnsi="宋体"/>
          <w:b/>
          <w:bCs/>
          <w:szCs w:val="21"/>
        </w:rPr>
        <w:t xml:space="preserve"> </w:t>
      </w:r>
    </w:p>
    <w:p w14:paraId="31DB9634">
      <w:pPr>
        <w:rPr>
          <w:rFonts w:hint="eastAsia" w:ascii="宋体" w:hAnsi="宋体"/>
          <w:b/>
          <w:bCs/>
          <w:szCs w:val="21"/>
        </w:rPr>
      </w:pPr>
      <w:r>
        <w:rPr>
          <w:rFonts w:hint="eastAsia" w:ascii="宋体" w:hAnsi="宋体"/>
          <w:b/>
          <w:bCs/>
          <w:szCs w:val="21"/>
        </w:rPr>
        <w:t>乙方：</w:t>
      </w:r>
    </w:p>
    <w:p w14:paraId="616D326C">
      <w:pPr>
        <w:rPr>
          <w:rFonts w:hint="eastAsia" w:ascii="宋体" w:hAnsi="宋体"/>
          <w:szCs w:val="21"/>
        </w:rPr>
      </w:pPr>
      <w:r>
        <w:rPr>
          <w:rFonts w:hint="eastAsia" w:ascii="宋体" w:hAnsi="宋体"/>
          <w:szCs w:val="21"/>
        </w:rPr>
        <w:t>地址：</w:t>
      </w:r>
    </w:p>
    <w:p w14:paraId="12B105AB">
      <w:pPr>
        <w:rPr>
          <w:rFonts w:hint="eastAsia" w:ascii="宋体" w:hAnsi="宋体"/>
          <w:szCs w:val="21"/>
        </w:rPr>
      </w:pPr>
      <w:r>
        <w:rPr>
          <w:rFonts w:hint="eastAsia" w:ascii="宋体" w:hAnsi="宋体"/>
          <w:szCs w:val="21"/>
        </w:rPr>
        <w:t>联系人：</w:t>
      </w:r>
      <w:r>
        <w:rPr>
          <w:rFonts w:ascii="宋体" w:hAnsi="宋体"/>
          <w:szCs w:val="21"/>
        </w:rPr>
        <w:t xml:space="preserve">                          </w:t>
      </w:r>
    </w:p>
    <w:p w14:paraId="0554D2B7">
      <w:pPr>
        <w:rPr>
          <w:rFonts w:hint="eastAsia" w:ascii="宋体" w:hAnsi="宋体"/>
          <w:b/>
          <w:bCs/>
          <w:szCs w:val="21"/>
        </w:rPr>
      </w:pPr>
      <w:r>
        <w:rPr>
          <w:rFonts w:hint="eastAsia" w:ascii="宋体" w:hAnsi="宋体"/>
          <w:szCs w:val="21"/>
        </w:rPr>
        <w:t>联系电话：</w:t>
      </w:r>
    </w:p>
    <w:p w14:paraId="6EF0E97D">
      <w:pPr>
        <w:rPr>
          <w:rFonts w:hint="eastAsia" w:ascii="宋体" w:hAnsi="宋体"/>
          <w:szCs w:val="21"/>
        </w:rPr>
      </w:pPr>
      <w:r>
        <w:rPr>
          <w:rFonts w:ascii="宋体" w:hAnsi="宋体"/>
          <w:b/>
          <w:bCs/>
          <w:szCs w:val="21"/>
        </w:rPr>
        <w:t xml:space="preserve">            </w:t>
      </w:r>
      <w:r>
        <w:rPr>
          <w:rFonts w:hint="eastAsia" w:ascii="宋体" w:hAnsi="宋体"/>
          <w:b/>
          <w:bCs/>
          <w:szCs w:val="21"/>
        </w:rPr>
        <w:t xml:space="preserve">          </w:t>
      </w:r>
    </w:p>
    <w:p w14:paraId="3057C467">
      <w:pPr>
        <w:rPr>
          <w:rFonts w:hint="eastAsia" w:ascii="宋体" w:hAnsi="宋体"/>
          <w:szCs w:val="21"/>
        </w:rPr>
      </w:pPr>
    </w:p>
    <w:p w14:paraId="525CBA28">
      <w:pPr>
        <w:ind w:firstLine="420" w:firstLineChars="200"/>
        <w:rPr>
          <w:rFonts w:hint="eastAsia" w:ascii="宋体" w:hAnsi="宋体"/>
          <w:szCs w:val="21"/>
        </w:rPr>
      </w:pPr>
      <w:r>
        <w:rPr>
          <w:rFonts w:hint="eastAsia" w:ascii="宋体" w:hAnsi="宋体"/>
          <w:szCs w:val="21"/>
        </w:rPr>
        <w:t>根据深圳公共资源交易中心（深圳交易集团有限公司*</w:t>
      </w:r>
      <w:r>
        <w:rPr>
          <w:rFonts w:ascii="宋体" w:hAnsi="宋体"/>
          <w:szCs w:val="21"/>
        </w:rPr>
        <w:t>**</w:t>
      </w:r>
      <w:r>
        <w:rPr>
          <w:rFonts w:hint="eastAsia" w:ascii="宋体" w:hAnsi="宋体"/>
          <w:szCs w:val="21"/>
        </w:rPr>
        <w:t>分公司）*</w:t>
      </w:r>
      <w:r>
        <w:rPr>
          <w:rFonts w:ascii="宋体" w:hAnsi="宋体"/>
          <w:szCs w:val="21"/>
        </w:rPr>
        <w:t>**</w:t>
      </w:r>
      <w:r>
        <w:rPr>
          <w:rFonts w:hint="eastAsia" w:ascii="宋体" w:hAnsi="宋体"/>
          <w:szCs w:val="21"/>
        </w:rPr>
        <w:t>号项目结果，*</w:t>
      </w:r>
      <w:r>
        <w:rPr>
          <w:rFonts w:ascii="宋体" w:hAnsi="宋体"/>
          <w:szCs w:val="21"/>
        </w:rPr>
        <w:t>**</w:t>
      </w:r>
      <w:r>
        <w:rPr>
          <w:rFonts w:hint="eastAsia" w:ascii="宋体" w:hAnsi="宋体"/>
          <w:szCs w:val="21"/>
        </w:rPr>
        <w:t>单位为中标人。按照《中华人民共和国民法典》（第三编 合同）》和《深圳经济特区政府采购条例》，经深圳市（以下简称甲方）和单位（以下简称乙方）协商，就甲方委托乙方承担</w:t>
      </w:r>
      <w:r>
        <w:rPr>
          <w:rFonts w:hint="eastAsia" w:ascii="宋体" w:hAnsi="宋体"/>
          <w:b/>
          <w:bCs/>
          <w:snapToGrid w:val="0"/>
          <w:kern w:val="0"/>
          <w:szCs w:val="21"/>
          <w:u w:val="single"/>
          <w:lang w:val="zh-CN"/>
        </w:rPr>
        <w:t xml:space="preserve">                      服务项目</w:t>
      </w:r>
      <w:r>
        <w:rPr>
          <w:rFonts w:hint="eastAsia" w:ascii="宋体" w:hAnsi="宋体"/>
          <w:szCs w:val="21"/>
        </w:rPr>
        <w:t>，达成以下合同条款：</w:t>
      </w:r>
    </w:p>
    <w:p w14:paraId="74C73558">
      <w:pPr>
        <w:ind w:firstLine="422" w:firstLineChars="200"/>
        <w:rPr>
          <w:rFonts w:hint="eastAsia" w:ascii="宋体" w:hAnsi="宋体"/>
          <w:b/>
          <w:bCs/>
          <w:szCs w:val="21"/>
        </w:rPr>
      </w:pPr>
      <w:r>
        <w:rPr>
          <w:rFonts w:hint="eastAsia" w:ascii="宋体" w:hAnsi="宋体"/>
          <w:b/>
          <w:bCs/>
          <w:szCs w:val="21"/>
        </w:rPr>
        <w:t>第一条　项目概况</w:t>
      </w:r>
    </w:p>
    <w:p w14:paraId="3BF1122C">
      <w:pPr>
        <w:ind w:firstLine="420" w:firstLineChars="200"/>
        <w:rPr>
          <w:rFonts w:hint="eastAsia" w:ascii="宋体" w:hAnsi="宋体"/>
          <w:szCs w:val="21"/>
        </w:rPr>
      </w:pPr>
      <w:r>
        <w:rPr>
          <w:rFonts w:hint="eastAsia" w:ascii="宋体" w:hAnsi="宋体"/>
          <w:szCs w:val="21"/>
        </w:rPr>
        <w:t xml:space="preserve">项目名称： </w:t>
      </w:r>
    </w:p>
    <w:p w14:paraId="16EE14C1">
      <w:pPr>
        <w:ind w:firstLine="420" w:firstLineChars="200"/>
        <w:rPr>
          <w:rFonts w:hint="eastAsia" w:ascii="宋体" w:hAnsi="宋体"/>
          <w:szCs w:val="21"/>
        </w:rPr>
      </w:pPr>
      <w:r>
        <w:rPr>
          <w:rFonts w:hint="eastAsia" w:ascii="宋体" w:hAnsi="宋体"/>
          <w:szCs w:val="21"/>
        </w:rPr>
        <w:t xml:space="preserve">项目内容： </w:t>
      </w:r>
    </w:p>
    <w:p w14:paraId="256307D8">
      <w:pPr>
        <w:ind w:firstLine="420" w:firstLineChars="200"/>
        <w:rPr>
          <w:rFonts w:hint="eastAsia" w:ascii="宋体" w:hAnsi="宋体"/>
          <w:szCs w:val="21"/>
        </w:rPr>
      </w:pPr>
      <w:r>
        <w:rPr>
          <w:rFonts w:hint="eastAsia" w:ascii="宋体" w:hAnsi="宋体"/>
          <w:szCs w:val="21"/>
        </w:rPr>
        <w:t xml:space="preserve">服务时间： </w:t>
      </w:r>
    </w:p>
    <w:p w14:paraId="1CCE8A78">
      <w:pPr>
        <w:ind w:firstLine="420" w:firstLineChars="200"/>
        <w:rPr>
          <w:rFonts w:hint="eastAsia" w:ascii="宋体" w:hAnsi="宋体"/>
          <w:szCs w:val="21"/>
        </w:rPr>
      </w:pPr>
      <w:r>
        <w:rPr>
          <w:rFonts w:hint="eastAsia" w:ascii="宋体" w:hAnsi="宋体"/>
          <w:szCs w:val="21"/>
        </w:rPr>
        <w:t>合同价款：合同总价为元，含一切税、费。</w:t>
      </w:r>
      <w:r>
        <w:t>本合同总价包括</w:t>
      </w:r>
      <w:r>
        <w:rPr>
          <w:rFonts w:hint="eastAsia" w:ascii="宋体" w:hAnsi="宋体"/>
          <w:szCs w:val="21"/>
        </w:rPr>
        <w:t>乙方为实施本项目*</w:t>
      </w:r>
      <w:r>
        <w:rPr>
          <w:rFonts w:ascii="宋体" w:hAnsi="宋体"/>
          <w:szCs w:val="21"/>
        </w:rPr>
        <w:t>**</w:t>
      </w:r>
      <w:r>
        <w:rPr>
          <w:rFonts w:hint="eastAsia" w:ascii="宋体" w:hAnsi="宋体"/>
          <w:szCs w:val="21"/>
        </w:rPr>
        <w:t>所需的设备仪器费、车辆租赁费、</w:t>
      </w:r>
      <w:r>
        <w:t>服务</w:t>
      </w:r>
      <w:r>
        <w:rPr>
          <w:rFonts w:hint="eastAsia"/>
        </w:rPr>
        <w:t>和</w:t>
      </w:r>
      <w:r>
        <w:t>技术费用</w:t>
      </w:r>
      <w:r>
        <w:rPr>
          <w:rFonts w:hint="eastAsia"/>
        </w:rPr>
        <w:t>等</w:t>
      </w:r>
      <w:r>
        <w:t>，为固定不变价格，且不随通货膨胀的影响而波动。合同总价包括</w:t>
      </w:r>
      <w:r>
        <w:rPr>
          <w:rFonts w:hint="eastAsia" w:ascii="宋体" w:hAnsi="宋体"/>
          <w:szCs w:val="21"/>
        </w:rPr>
        <w:t>乙方</w:t>
      </w:r>
      <w:r>
        <w:t>履行本合同义务所发生的一切费用和支出和以各种方式寄送技术资料到</w:t>
      </w:r>
      <w:r>
        <w:rPr>
          <w:rFonts w:hint="eastAsia"/>
        </w:rPr>
        <w:t>甲</w:t>
      </w:r>
      <w:r>
        <w:t>方办公室所发生的费用。</w:t>
      </w:r>
    </w:p>
    <w:p w14:paraId="6157505A">
      <w:pPr>
        <w:pStyle w:val="7"/>
        <w:rPr>
          <w:rFonts w:hint="eastAsia" w:ascii="宋体" w:hAnsi="宋体"/>
          <w:szCs w:val="21"/>
        </w:rPr>
      </w:pPr>
      <w:r>
        <w:rPr>
          <w:rFonts w:hint="eastAsia" w:ascii="宋体" w:hAnsi="宋体"/>
          <w:szCs w:val="21"/>
        </w:rPr>
        <w:t>支付方式：分期支付。</w:t>
      </w:r>
    </w:p>
    <w:p w14:paraId="2508E490">
      <w:pPr>
        <w:ind w:firstLine="422" w:firstLineChars="200"/>
        <w:rPr>
          <w:rFonts w:hint="eastAsia" w:ascii="宋体" w:hAnsi="宋体"/>
          <w:b/>
          <w:bCs/>
          <w:szCs w:val="21"/>
        </w:rPr>
      </w:pPr>
      <w:r>
        <w:rPr>
          <w:rFonts w:hint="eastAsia" w:ascii="宋体" w:hAnsi="宋体"/>
          <w:b/>
          <w:bCs/>
          <w:szCs w:val="21"/>
        </w:rPr>
        <w:t>第二条  服务范围</w:t>
      </w:r>
    </w:p>
    <w:p w14:paraId="2F7E3D5B">
      <w:pPr>
        <w:ind w:firstLine="420" w:firstLineChars="200"/>
        <w:rPr>
          <w:rFonts w:hint="eastAsia" w:ascii="宋体" w:hAnsi="宋体"/>
          <w:szCs w:val="21"/>
        </w:rPr>
      </w:pPr>
      <w:r>
        <w:rPr>
          <w:rFonts w:hint="eastAsia" w:ascii="宋体" w:hAnsi="宋体"/>
          <w:szCs w:val="21"/>
        </w:rPr>
        <w:t xml:space="preserve">1、  </w:t>
      </w:r>
    </w:p>
    <w:p w14:paraId="7FC349A1">
      <w:pPr>
        <w:ind w:firstLine="420" w:firstLineChars="200"/>
        <w:rPr>
          <w:rFonts w:hint="eastAsia" w:ascii="宋体" w:hAnsi="宋体"/>
          <w:szCs w:val="21"/>
        </w:rPr>
      </w:pPr>
      <w:r>
        <w:rPr>
          <w:rFonts w:hint="eastAsia" w:ascii="宋体" w:hAnsi="宋体"/>
          <w:szCs w:val="21"/>
        </w:rPr>
        <w:t xml:space="preserve">2、  </w:t>
      </w:r>
    </w:p>
    <w:p w14:paraId="2BE980B7">
      <w:pPr>
        <w:ind w:firstLine="420" w:firstLineChars="200"/>
        <w:rPr>
          <w:rFonts w:hint="eastAsia" w:ascii="宋体" w:hAnsi="宋体"/>
          <w:szCs w:val="21"/>
        </w:rPr>
      </w:pPr>
      <w:r>
        <w:rPr>
          <w:rFonts w:hint="eastAsia" w:ascii="宋体" w:hAnsi="宋体"/>
          <w:szCs w:val="21"/>
        </w:rPr>
        <w:t xml:space="preserve">3、  </w:t>
      </w:r>
    </w:p>
    <w:p w14:paraId="0711707E">
      <w:pPr>
        <w:ind w:firstLine="420" w:firstLineChars="200"/>
        <w:rPr>
          <w:rFonts w:hint="eastAsia" w:ascii="宋体" w:hAnsi="宋体"/>
          <w:szCs w:val="21"/>
        </w:rPr>
      </w:pPr>
      <w:r>
        <w:rPr>
          <w:rFonts w:hint="eastAsia" w:ascii="宋体" w:hAnsi="宋体"/>
          <w:szCs w:val="21"/>
        </w:rPr>
        <w:t>4、 其他合同未明示的相关工作。</w:t>
      </w:r>
    </w:p>
    <w:p w14:paraId="7D0FF52A">
      <w:pPr>
        <w:ind w:firstLine="422" w:firstLineChars="200"/>
        <w:rPr>
          <w:rFonts w:hint="eastAsia" w:ascii="宋体" w:hAnsi="宋体"/>
          <w:b/>
          <w:bCs/>
          <w:szCs w:val="21"/>
        </w:rPr>
      </w:pPr>
      <w:r>
        <w:rPr>
          <w:rFonts w:hint="eastAsia" w:ascii="宋体" w:hAnsi="宋体"/>
          <w:b/>
          <w:bCs/>
          <w:szCs w:val="21"/>
        </w:rPr>
        <w:t>第三条  时间要求及阶段成果</w:t>
      </w:r>
    </w:p>
    <w:p w14:paraId="1540A635">
      <w:pPr>
        <w:ind w:firstLine="420" w:firstLineChars="200"/>
        <w:rPr>
          <w:rFonts w:hint="eastAsia" w:ascii="宋体" w:hAnsi="宋体"/>
          <w:szCs w:val="21"/>
        </w:rPr>
      </w:pPr>
      <w:r>
        <w:rPr>
          <w:rFonts w:hint="eastAsia" w:ascii="宋体" w:hAnsi="宋体"/>
          <w:szCs w:val="21"/>
        </w:rPr>
        <w:t>1、合同签订天内完成项目实施的准备工作，包括工作大纲和试验细则的编制；</w:t>
      </w:r>
    </w:p>
    <w:p w14:paraId="5E9AE64B">
      <w:pPr>
        <w:ind w:firstLine="420" w:firstLineChars="200"/>
        <w:rPr>
          <w:rFonts w:hint="eastAsia" w:ascii="宋体" w:hAnsi="宋体"/>
          <w:szCs w:val="21"/>
        </w:rPr>
      </w:pPr>
      <w:r>
        <w:rPr>
          <w:rFonts w:hint="eastAsia" w:ascii="宋体" w:hAnsi="宋体"/>
          <w:szCs w:val="21"/>
        </w:rPr>
        <w:t xml:space="preserve">2、 </w:t>
      </w:r>
    </w:p>
    <w:p w14:paraId="68C1A449">
      <w:pPr>
        <w:ind w:firstLine="420" w:firstLineChars="200"/>
        <w:rPr>
          <w:rFonts w:hint="eastAsia" w:ascii="宋体" w:hAnsi="宋体"/>
          <w:szCs w:val="21"/>
        </w:rPr>
      </w:pPr>
      <w:r>
        <w:rPr>
          <w:rFonts w:hint="eastAsia" w:ascii="宋体" w:hAnsi="宋体"/>
          <w:szCs w:val="21"/>
        </w:rPr>
        <w:t>3、</w:t>
      </w:r>
    </w:p>
    <w:p w14:paraId="30483AAD">
      <w:pPr>
        <w:ind w:firstLine="420" w:firstLineChars="200"/>
        <w:rPr>
          <w:rFonts w:hint="eastAsia" w:ascii="宋体" w:hAnsi="宋体"/>
          <w:szCs w:val="21"/>
        </w:rPr>
      </w:pPr>
      <w:r>
        <w:rPr>
          <w:rFonts w:hint="eastAsia" w:ascii="宋体" w:hAnsi="宋体"/>
          <w:szCs w:val="21"/>
        </w:rPr>
        <w:t>4、</w:t>
      </w:r>
    </w:p>
    <w:p w14:paraId="4661970A">
      <w:pPr>
        <w:ind w:firstLine="422" w:firstLineChars="200"/>
        <w:rPr>
          <w:rFonts w:hint="eastAsia" w:ascii="宋体" w:hAnsi="宋体"/>
          <w:b/>
          <w:bCs/>
          <w:szCs w:val="21"/>
        </w:rPr>
      </w:pPr>
      <w:r>
        <w:rPr>
          <w:rFonts w:hint="eastAsia" w:ascii="宋体" w:hAnsi="宋体"/>
          <w:b/>
          <w:bCs/>
          <w:szCs w:val="21"/>
        </w:rPr>
        <w:t>第四条  服务资料归属</w:t>
      </w:r>
    </w:p>
    <w:p w14:paraId="2EEA4F4F">
      <w:pPr>
        <w:ind w:firstLine="420" w:firstLineChars="200"/>
      </w:pPr>
      <w:r>
        <w:t>1</w:t>
      </w:r>
      <w:r>
        <w:rPr>
          <w:rFonts w:hint="eastAsia"/>
        </w:rPr>
        <w:t>、</w:t>
      </w:r>
      <w:r>
        <w:t>所有提交给</w:t>
      </w:r>
      <w:r>
        <w:rPr>
          <w:rFonts w:hint="eastAsia"/>
        </w:rPr>
        <w:t>甲</w:t>
      </w:r>
      <w:r>
        <w:t>方的服务</w:t>
      </w:r>
      <w:r>
        <w:rPr>
          <w:rFonts w:hint="eastAsia"/>
        </w:rPr>
        <w:t>文件</w:t>
      </w:r>
      <w:r>
        <w:t>及相关的资料的最后文本，包括为履行技术服务范围所编制的图纸、计划和证明资料等，都属于</w:t>
      </w:r>
      <w:r>
        <w:rPr>
          <w:rFonts w:hint="eastAsia"/>
        </w:rPr>
        <w:t>甲</w:t>
      </w:r>
      <w:r>
        <w:t>方的财产，</w:t>
      </w:r>
      <w:r>
        <w:rPr>
          <w:rFonts w:hint="eastAsia" w:ascii="宋体" w:hAnsi="宋体"/>
          <w:szCs w:val="21"/>
        </w:rPr>
        <w:t>乙</w:t>
      </w:r>
      <w:r>
        <w:t>方在提交给</w:t>
      </w:r>
      <w:r>
        <w:rPr>
          <w:rFonts w:hint="eastAsia"/>
        </w:rPr>
        <w:t>甲</w:t>
      </w:r>
      <w:r>
        <w:t>方之前应将上述资料进行整理归类和编制索引</w:t>
      </w:r>
      <w:r>
        <w:rPr>
          <w:rFonts w:hint="eastAsia"/>
        </w:rPr>
        <w:t>。</w:t>
      </w:r>
    </w:p>
    <w:p w14:paraId="63DAD6B4">
      <w:pPr>
        <w:ind w:firstLine="420" w:firstLineChars="200"/>
      </w:pPr>
      <w:r>
        <w:t>2</w:t>
      </w:r>
      <w:r>
        <w:rPr>
          <w:rFonts w:hint="eastAsia"/>
        </w:rPr>
        <w:t>、</w:t>
      </w:r>
      <w:r>
        <w:rPr>
          <w:rFonts w:hint="eastAsia" w:ascii="宋体" w:hAnsi="宋体"/>
          <w:szCs w:val="21"/>
        </w:rPr>
        <w:t>乙</w:t>
      </w:r>
      <w:r>
        <w:t>方未经</w:t>
      </w:r>
      <w:r>
        <w:rPr>
          <w:rFonts w:hint="eastAsia"/>
        </w:rPr>
        <w:t>甲</w:t>
      </w:r>
      <w:r>
        <w:t>方的书面同意，不得将上述资料用于与本服务项目之外的任何项目</w:t>
      </w:r>
      <w:r>
        <w:rPr>
          <w:rFonts w:hint="eastAsia"/>
        </w:rPr>
        <w:t>。</w:t>
      </w:r>
    </w:p>
    <w:p w14:paraId="1D50DDEC">
      <w:pPr>
        <w:ind w:firstLine="420" w:firstLineChars="200"/>
      </w:pPr>
      <w:r>
        <w:rPr>
          <w:rFonts w:hint="eastAsia"/>
        </w:rPr>
        <w:t>3、</w:t>
      </w:r>
      <w:r>
        <w:t>合同履行</w:t>
      </w:r>
      <w:r>
        <w:rPr>
          <w:rFonts w:hint="eastAsia"/>
        </w:rPr>
        <w:t>完毕，</w:t>
      </w:r>
      <w:r>
        <w:t>未经</w:t>
      </w:r>
      <w:r>
        <w:rPr>
          <w:rFonts w:hint="eastAsia"/>
        </w:rPr>
        <w:t>甲</w:t>
      </w:r>
      <w:r>
        <w:t>方的书面同意</w:t>
      </w:r>
      <w:r>
        <w:rPr>
          <w:rFonts w:hint="eastAsia"/>
        </w:rPr>
        <w:t>，</w:t>
      </w:r>
      <w:r>
        <w:rPr>
          <w:rFonts w:hint="eastAsia" w:ascii="宋体" w:hAnsi="宋体"/>
          <w:szCs w:val="21"/>
        </w:rPr>
        <w:t>乙</w:t>
      </w:r>
      <w:r>
        <w:t>方</w:t>
      </w:r>
      <w:r>
        <w:rPr>
          <w:rFonts w:hint="eastAsia"/>
        </w:rPr>
        <w:t>不得保存在</w:t>
      </w:r>
      <w:r>
        <w:t>履行合同过程中所获得或接触到的任何</w:t>
      </w:r>
      <w:r>
        <w:rPr>
          <w:rFonts w:hint="eastAsia" w:ascii="宋体" w:hAnsi="宋体"/>
          <w:szCs w:val="21"/>
        </w:rPr>
        <w:t>内部数据资料。</w:t>
      </w:r>
    </w:p>
    <w:p w14:paraId="7AC0116B">
      <w:pPr>
        <w:ind w:firstLine="422" w:firstLineChars="200"/>
        <w:rPr>
          <w:rFonts w:hint="eastAsia" w:ascii="宋体" w:hAnsi="宋体"/>
          <w:b/>
          <w:bCs/>
          <w:szCs w:val="21"/>
        </w:rPr>
      </w:pPr>
      <w:r>
        <w:rPr>
          <w:rFonts w:hint="eastAsia" w:ascii="宋体" w:hAnsi="宋体"/>
          <w:b/>
          <w:bCs/>
          <w:szCs w:val="21"/>
        </w:rPr>
        <w:t>第五条  甲方的义务</w:t>
      </w:r>
    </w:p>
    <w:p w14:paraId="64EE3DF2">
      <w:pPr>
        <w:ind w:firstLine="420" w:firstLineChars="200"/>
        <w:rPr>
          <w:rFonts w:hint="eastAsia" w:ascii="宋体" w:hAnsi="宋体"/>
          <w:szCs w:val="21"/>
        </w:rPr>
      </w:pPr>
      <w:r>
        <w:rPr>
          <w:rFonts w:hint="eastAsia" w:ascii="宋体" w:hAnsi="宋体"/>
          <w:szCs w:val="21"/>
        </w:rPr>
        <w:t>1、负责与本服务项目有关的第三方的协调，提供开展服务工作的外部条件。</w:t>
      </w:r>
    </w:p>
    <w:p w14:paraId="6AB16800">
      <w:pPr>
        <w:ind w:firstLine="420" w:firstLineChars="200"/>
        <w:rPr>
          <w:rFonts w:hint="eastAsia" w:ascii="宋体" w:hAnsi="宋体"/>
          <w:szCs w:val="21"/>
        </w:rPr>
      </w:pPr>
      <w:r>
        <w:rPr>
          <w:rFonts w:hint="eastAsia" w:ascii="宋体" w:hAnsi="宋体"/>
          <w:szCs w:val="21"/>
        </w:rPr>
        <w:t>2、向乙方提供与本项目服务工作有关的资料。</w:t>
      </w:r>
    </w:p>
    <w:p w14:paraId="4DAE4948">
      <w:pPr>
        <w:ind w:firstLine="420" w:firstLineChars="200"/>
        <w:rPr>
          <w:rFonts w:hint="eastAsia" w:ascii="宋体" w:hAnsi="宋体"/>
          <w:szCs w:val="21"/>
        </w:rPr>
      </w:pPr>
      <w:r>
        <w:rPr>
          <w:rFonts w:hint="eastAsia" w:ascii="宋体" w:hAnsi="宋体"/>
          <w:szCs w:val="21"/>
        </w:rPr>
        <w:t>3、负责组织有关专家对项目试验成果评估报告的评审。</w:t>
      </w:r>
    </w:p>
    <w:p w14:paraId="4592FA25">
      <w:pPr>
        <w:ind w:firstLine="422" w:firstLineChars="200"/>
        <w:rPr>
          <w:rFonts w:hint="eastAsia" w:ascii="宋体" w:hAnsi="宋体"/>
          <w:b/>
          <w:bCs/>
          <w:szCs w:val="21"/>
        </w:rPr>
      </w:pPr>
      <w:r>
        <w:rPr>
          <w:rFonts w:hint="eastAsia" w:ascii="宋体" w:hAnsi="宋体"/>
          <w:b/>
          <w:bCs/>
          <w:szCs w:val="21"/>
        </w:rPr>
        <w:t>第六条　乙方的义务</w:t>
      </w:r>
    </w:p>
    <w:p w14:paraId="312F9500">
      <w:pPr>
        <w:ind w:firstLine="420" w:firstLineChars="200"/>
        <w:rPr>
          <w:rFonts w:hint="eastAsia" w:ascii="宋体" w:hAnsi="宋体"/>
          <w:szCs w:val="21"/>
        </w:rPr>
      </w:pPr>
      <w:r>
        <w:rPr>
          <w:rFonts w:hint="eastAsia" w:ascii="宋体" w:hAnsi="宋体"/>
          <w:szCs w:val="21"/>
        </w:rPr>
        <w:t>１、应按照招标文件、投标文件要求按期完成本项目服务工作。</w:t>
      </w:r>
    </w:p>
    <w:p w14:paraId="30439E2C">
      <w:pPr>
        <w:ind w:firstLine="420" w:firstLineChars="200"/>
        <w:rPr>
          <w:rFonts w:hint="eastAsia" w:ascii="宋体" w:hAnsi="宋体"/>
          <w:szCs w:val="21"/>
        </w:rPr>
      </w:pPr>
      <w:r>
        <w:rPr>
          <w:rFonts w:hint="eastAsia" w:ascii="宋体" w:hAnsi="宋体"/>
          <w:szCs w:val="21"/>
        </w:rPr>
        <w:t>2、负责组织项目的实施，保证工程进度和成桥荷载试验工作质量，并满足交通部交工验收相关标准。</w:t>
      </w:r>
    </w:p>
    <w:p w14:paraId="7E6CE106">
      <w:pPr>
        <w:ind w:firstLine="420" w:firstLineChars="200"/>
        <w:rPr>
          <w:rFonts w:hint="eastAsia" w:ascii="宋体" w:hAnsi="宋体"/>
          <w:szCs w:val="21"/>
        </w:rPr>
      </w:pPr>
      <w:r>
        <w:rPr>
          <w:rFonts w:hint="eastAsia" w:ascii="宋体" w:hAnsi="宋体"/>
          <w:szCs w:val="21"/>
        </w:rPr>
        <w:t>3、</w:t>
      </w:r>
      <w:r>
        <w:rPr>
          <w:rFonts w:hint="eastAsia" w:ascii="宋体" w:hAnsi="宋体"/>
        </w:rPr>
        <w:t>向甲方提交检测资料等各套，一套电子版文件。</w:t>
      </w:r>
    </w:p>
    <w:p w14:paraId="6F5C70DA">
      <w:pPr>
        <w:ind w:firstLine="420" w:firstLineChars="200"/>
        <w:rPr>
          <w:rFonts w:hint="eastAsia" w:ascii="宋体" w:hAnsi="宋体"/>
          <w:szCs w:val="21"/>
        </w:rPr>
      </w:pPr>
      <w:r>
        <w:rPr>
          <w:rFonts w:hint="eastAsia" w:ascii="宋体" w:hAnsi="宋体"/>
          <w:szCs w:val="21"/>
        </w:rPr>
        <w:t>4、在履行合同期间或合同规定期限内，不得泄露与本合同规定业务活动有关的保密资料。</w:t>
      </w:r>
    </w:p>
    <w:p w14:paraId="7FE5E437">
      <w:pPr>
        <w:ind w:firstLine="422" w:firstLineChars="200"/>
        <w:rPr>
          <w:rFonts w:hint="eastAsia" w:ascii="宋体" w:hAnsi="宋体"/>
          <w:b/>
          <w:bCs/>
          <w:szCs w:val="21"/>
        </w:rPr>
      </w:pPr>
      <w:r>
        <w:rPr>
          <w:rFonts w:hint="eastAsia" w:ascii="宋体" w:hAnsi="宋体"/>
          <w:b/>
          <w:bCs/>
          <w:szCs w:val="21"/>
        </w:rPr>
        <w:t>第七条  甲方的权利</w:t>
      </w:r>
    </w:p>
    <w:p w14:paraId="2C8DD6A5">
      <w:pPr>
        <w:ind w:firstLine="420" w:firstLineChars="200"/>
        <w:rPr>
          <w:rFonts w:hint="eastAsia" w:ascii="宋体" w:hAnsi="宋体"/>
          <w:szCs w:val="21"/>
        </w:rPr>
      </w:pPr>
      <w:r>
        <w:rPr>
          <w:rFonts w:ascii="宋体" w:hAnsi="宋体"/>
          <w:szCs w:val="21"/>
        </w:rPr>
        <w:t>1</w:t>
      </w:r>
      <w:r>
        <w:rPr>
          <w:rFonts w:hint="eastAsia" w:ascii="宋体" w:hAnsi="宋体"/>
          <w:szCs w:val="21"/>
        </w:rPr>
        <w:t>、有权向乙方询问工作进展情况及相关的内容。</w:t>
      </w:r>
    </w:p>
    <w:p w14:paraId="60A8FD93">
      <w:pPr>
        <w:ind w:firstLine="420" w:firstLineChars="200"/>
        <w:rPr>
          <w:rFonts w:hint="eastAsia" w:ascii="宋体" w:hAnsi="宋体"/>
          <w:szCs w:val="21"/>
        </w:rPr>
      </w:pPr>
      <w:r>
        <w:rPr>
          <w:rFonts w:ascii="宋体" w:hAnsi="宋体"/>
          <w:szCs w:val="21"/>
        </w:rPr>
        <w:t>2</w:t>
      </w:r>
      <w:r>
        <w:rPr>
          <w:rFonts w:hint="eastAsia" w:ascii="宋体" w:hAnsi="宋体"/>
          <w:szCs w:val="21"/>
        </w:rPr>
        <w:t>、有权阐述对具体问题的意见和建议。</w:t>
      </w:r>
    </w:p>
    <w:p w14:paraId="010E975C">
      <w:pPr>
        <w:ind w:firstLine="420" w:firstLineChars="200"/>
        <w:rPr>
          <w:rFonts w:hint="eastAsia" w:ascii="宋体" w:hAnsi="宋体"/>
          <w:szCs w:val="21"/>
        </w:rPr>
      </w:pPr>
      <w:r>
        <w:rPr>
          <w:rFonts w:ascii="宋体" w:hAnsi="宋体"/>
          <w:szCs w:val="21"/>
        </w:rPr>
        <w:t>3</w:t>
      </w:r>
      <w:r>
        <w:rPr>
          <w:rFonts w:hint="eastAsia" w:ascii="宋体" w:hAnsi="宋体"/>
          <w:szCs w:val="21"/>
        </w:rPr>
        <w:t>、当甲方认定乙方人员不按合同履行其职责，或与第三人串通给甲方造成经济损失的，甲方有权要求更换人员，直至终止合同并要求乙方承担相应的赔偿责任。</w:t>
      </w:r>
    </w:p>
    <w:p w14:paraId="7BAF8938">
      <w:pPr>
        <w:ind w:firstLine="422" w:firstLineChars="200"/>
        <w:rPr>
          <w:rFonts w:hint="eastAsia" w:ascii="宋体" w:hAnsi="宋体"/>
          <w:b/>
          <w:bCs/>
          <w:szCs w:val="21"/>
        </w:rPr>
      </w:pPr>
      <w:r>
        <w:rPr>
          <w:rFonts w:hint="eastAsia" w:ascii="宋体" w:hAnsi="宋体"/>
          <w:b/>
          <w:bCs/>
          <w:szCs w:val="21"/>
        </w:rPr>
        <w:t>第八条  乙方的权利</w:t>
      </w:r>
    </w:p>
    <w:p w14:paraId="0937CEF2">
      <w:pPr>
        <w:ind w:firstLine="420" w:firstLineChars="200"/>
        <w:rPr>
          <w:rFonts w:hint="eastAsia" w:ascii="宋体" w:hAnsi="宋体"/>
          <w:szCs w:val="21"/>
        </w:rPr>
      </w:pPr>
      <w:r>
        <w:rPr>
          <w:rFonts w:ascii="宋体" w:hAnsi="宋体"/>
          <w:szCs w:val="21"/>
        </w:rPr>
        <w:t>1</w:t>
      </w:r>
      <w:r>
        <w:rPr>
          <w:rFonts w:hint="eastAsia" w:ascii="宋体" w:hAnsi="宋体"/>
          <w:szCs w:val="21"/>
        </w:rPr>
        <w:t>、乙方在本项目服务过程中，如甲方提供的资料不明确时可向甲方提出书面报告。</w:t>
      </w:r>
    </w:p>
    <w:p w14:paraId="5FE70B5B">
      <w:pPr>
        <w:ind w:firstLine="420" w:firstLineChars="200"/>
        <w:rPr>
          <w:rFonts w:hint="eastAsia" w:ascii="宋体" w:hAnsi="宋体"/>
          <w:szCs w:val="21"/>
        </w:rPr>
      </w:pPr>
      <w:r>
        <w:rPr>
          <w:rFonts w:ascii="宋体" w:hAnsi="宋体"/>
          <w:szCs w:val="21"/>
        </w:rPr>
        <w:t>2</w:t>
      </w:r>
      <w:r>
        <w:rPr>
          <w:rFonts w:hint="eastAsia" w:ascii="宋体" w:hAnsi="宋体"/>
          <w:szCs w:val="21"/>
        </w:rPr>
        <w:t>、乙方在本项目服务过程中，有权对第三方提出与本服务业务有关的问题进行核对或查问。</w:t>
      </w:r>
    </w:p>
    <w:p w14:paraId="02CE43A3">
      <w:pPr>
        <w:ind w:firstLine="420" w:firstLineChars="200"/>
        <w:rPr>
          <w:rFonts w:hint="eastAsia" w:ascii="宋体" w:hAnsi="宋体"/>
          <w:szCs w:val="21"/>
        </w:rPr>
      </w:pPr>
      <w:r>
        <w:rPr>
          <w:rFonts w:ascii="宋体" w:hAnsi="宋体"/>
          <w:szCs w:val="21"/>
        </w:rPr>
        <w:t>3</w:t>
      </w:r>
      <w:r>
        <w:rPr>
          <w:rFonts w:hint="eastAsia" w:ascii="宋体" w:hAnsi="宋体"/>
          <w:szCs w:val="21"/>
        </w:rPr>
        <w:t>、乙方在本项目服务过程中，有到工程现场勘察的权利。</w:t>
      </w:r>
    </w:p>
    <w:p w14:paraId="67CC15B0">
      <w:pPr>
        <w:ind w:firstLine="422" w:firstLineChars="200"/>
        <w:rPr>
          <w:rFonts w:hint="eastAsia" w:ascii="宋体" w:hAnsi="宋体"/>
          <w:b/>
          <w:bCs/>
          <w:szCs w:val="21"/>
        </w:rPr>
      </w:pPr>
      <w:r>
        <w:rPr>
          <w:rFonts w:hint="eastAsia" w:ascii="宋体" w:hAnsi="宋体"/>
          <w:b/>
          <w:bCs/>
          <w:szCs w:val="21"/>
        </w:rPr>
        <w:t>第九条  甲方的责任</w:t>
      </w:r>
    </w:p>
    <w:p w14:paraId="7AFF169D">
      <w:pPr>
        <w:ind w:firstLine="420" w:firstLineChars="200"/>
        <w:rPr>
          <w:rFonts w:hint="eastAsia" w:ascii="宋体" w:hAnsi="宋体"/>
          <w:szCs w:val="21"/>
        </w:rPr>
      </w:pPr>
      <w:r>
        <w:rPr>
          <w:rFonts w:hint="eastAsia" w:ascii="宋体" w:hAnsi="宋体"/>
          <w:szCs w:val="21"/>
        </w:rPr>
        <w:t>1、应当履行本合同约定的义务，如有违反则应当承担违约责任，赔偿给乙方造成的损失。</w:t>
      </w:r>
    </w:p>
    <w:p w14:paraId="3FFA24F3">
      <w:pPr>
        <w:ind w:firstLine="420" w:firstLineChars="200"/>
        <w:rPr>
          <w:rFonts w:hint="eastAsia" w:ascii="宋体" w:hAnsi="宋体"/>
          <w:szCs w:val="21"/>
        </w:rPr>
      </w:pPr>
      <w:r>
        <w:rPr>
          <w:rFonts w:hint="eastAsia" w:ascii="宋体" w:hAnsi="宋体"/>
          <w:szCs w:val="21"/>
        </w:rPr>
        <w:t>2、甲方向乙方提出赔偿要求不能成立时，则应补偿由于该赔偿或其他要求所导致乙方的各种费用的支出。</w:t>
      </w:r>
    </w:p>
    <w:p w14:paraId="570E9813">
      <w:pPr>
        <w:ind w:firstLine="422" w:firstLineChars="200"/>
        <w:rPr>
          <w:rFonts w:hint="eastAsia" w:ascii="宋体" w:hAnsi="宋体"/>
          <w:b/>
          <w:bCs/>
          <w:szCs w:val="21"/>
        </w:rPr>
      </w:pPr>
      <w:r>
        <w:rPr>
          <w:rFonts w:hint="eastAsia" w:ascii="宋体" w:hAnsi="宋体"/>
          <w:b/>
          <w:bCs/>
          <w:szCs w:val="21"/>
        </w:rPr>
        <w:t>第十条  乙方的责任</w:t>
      </w:r>
    </w:p>
    <w:p w14:paraId="446EE32A">
      <w:pPr>
        <w:ind w:firstLine="420" w:firstLineChars="200"/>
        <w:rPr>
          <w:rFonts w:hint="eastAsia" w:ascii="宋体" w:hAnsi="宋体"/>
          <w:szCs w:val="21"/>
        </w:rPr>
      </w:pPr>
      <w:r>
        <w:rPr>
          <w:rFonts w:hint="eastAsia" w:ascii="宋体" w:hAnsi="宋体"/>
          <w:szCs w:val="21"/>
        </w:rPr>
        <w:t>1、乙方的责任期即本合同有效期。如因非乙方的责任造成进度的推迟或延误而超过约定的日期，双方应进一步约定相应延长合同有效期。</w:t>
      </w:r>
    </w:p>
    <w:p w14:paraId="06E41A7F">
      <w:pPr>
        <w:ind w:firstLine="420" w:firstLineChars="200"/>
        <w:rPr>
          <w:rFonts w:hint="eastAsia" w:ascii="宋体" w:hAnsi="宋体"/>
          <w:szCs w:val="21"/>
        </w:rPr>
      </w:pPr>
      <w:r>
        <w:rPr>
          <w:rFonts w:hint="eastAsia" w:ascii="宋体" w:hAnsi="宋体"/>
          <w:szCs w:val="21"/>
        </w:rPr>
        <w:t>2、乙方的责任期内，应当履行本合同中约定的义务，因乙方的单方过失造成的经济损失，应当向甲方进行赔偿。</w:t>
      </w:r>
    </w:p>
    <w:p w14:paraId="06ED11ED">
      <w:pPr>
        <w:ind w:firstLine="420" w:firstLineChars="200"/>
        <w:rPr>
          <w:rFonts w:hint="eastAsia" w:ascii="宋体" w:hAnsi="宋体"/>
          <w:szCs w:val="21"/>
        </w:rPr>
      </w:pPr>
      <w:r>
        <w:rPr>
          <w:rFonts w:hint="eastAsia" w:ascii="宋体" w:hAnsi="宋体"/>
          <w:szCs w:val="21"/>
        </w:rPr>
        <w:t>3、乙方对甲方或第三方所提出的问题不能及时核对或答复，导致合同不能全部或部分履行，乙方应承担责任。</w:t>
      </w:r>
    </w:p>
    <w:p w14:paraId="23262D6A">
      <w:pPr>
        <w:ind w:firstLine="420" w:firstLineChars="200"/>
        <w:rPr>
          <w:rFonts w:hint="eastAsia" w:ascii="宋体" w:hAnsi="宋体"/>
          <w:szCs w:val="21"/>
        </w:rPr>
      </w:pPr>
      <w:r>
        <w:rPr>
          <w:rFonts w:hint="eastAsia" w:ascii="宋体" w:hAnsi="宋体"/>
          <w:szCs w:val="21"/>
        </w:rPr>
        <w:t>4、乙方向甲方提出赔偿要求不能成立时，则应补偿由于该赔偿或其他要求所导致甲方的各种费用的支出。</w:t>
      </w:r>
    </w:p>
    <w:p w14:paraId="0D3E3B16">
      <w:pPr>
        <w:ind w:firstLine="422" w:firstLineChars="200"/>
        <w:rPr>
          <w:rFonts w:hint="eastAsia" w:ascii="宋体" w:hAnsi="宋体"/>
          <w:b/>
          <w:bCs/>
          <w:szCs w:val="21"/>
        </w:rPr>
      </w:pPr>
      <w:r>
        <w:rPr>
          <w:rFonts w:hint="eastAsia" w:ascii="宋体" w:hAnsi="宋体"/>
          <w:b/>
          <w:bCs/>
          <w:szCs w:val="21"/>
        </w:rPr>
        <w:t>第十一条  人员要求</w:t>
      </w:r>
    </w:p>
    <w:p w14:paraId="3010916B">
      <w:pPr>
        <w:ind w:firstLine="420" w:firstLineChars="200"/>
        <w:rPr>
          <w:rFonts w:hint="eastAsia" w:ascii="宋体" w:hAnsi="宋体"/>
          <w:szCs w:val="21"/>
        </w:rPr>
      </w:pPr>
      <w:r>
        <w:rPr>
          <w:rFonts w:hint="eastAsia" w:ascii="宋体" w:hAnsi="宋体"/>
          <w:szCs w:val="21"/>
        </w:rPr>
        <w:t>1、参加本项目试验的人员必须具有国家和有关部门规定的相应资质。</w:t>
      </w:r>
    </w:p>
    <w:p w14:paraId="6C8994A3">
      <w:pPr>
        <w:ind w:firstLine="420" w:firstLineChars="200"/>
        <w:rPr>
          <w:rFonts w:hint="eastAsia" w:ascii="宋体" w:hAnsi="宋体"/>
          <w:szCs w:val="21"/>
        </w:rPr>
      </w:pPr>
      <w:r>
        <w:rPr>
          <w:rFonts w:hint="eastAsia" w:ascii="宋体" w:hAnsi="宋体"/>
          <w:szCs w:val="21"/>
        </w:rPr>
        <w:t>2、 参加本项目的试验人员的配置必须与投标文件中的服务承诺书和试验服务组织实施方案一致。</w:t>
      </w:r>
    </w:p>
    <w:p w14:paraId="6B881618">
      <w:pPr>
        <w:ind w:firstLine="420" w:firstLineChars="200"/>
        <w:rPr>
          <w:rFonts w:hint="eastAsia" w:ascii="宋体" w:hAnsi="宋体"/>
          <w:szCs w:val="21"/>
        </w:rPr>
      </w:pPr>
      <w:r>
        <w:rPr>
          <w:rFonts w:hint="eastAsia" w:ascii="宋体" w:hAnsi="宋体"/>
          <w:szCs w:val="21"/>
        </w:rPr>
        <w:t>3、必须以直属试验人员参与本项目服务，不得使用挂靠队伍。</w:t>
      </w:r>
    </w:p>
    <w:p w14:paraId="700EAA3D">
      <w:pPr>
        <w:ind w:firstLine="422" w:firstLineChars="200"/>
        <w:rPr>
          <w:rFonts w:hint="eastAsia" w:ascii="宋体" w:hAnsi="宋体"/>
          <w:b/>
          <w:bCs/>
          <w:szCs w:val="21"/>
        </w:rPr>
      </w:pPr>
      <w:r>
        <w:rPr>
          <w:rFonts w:hint="eastAsia" w:ascii="宋体" w:hAnsi="宋体"/>
          <w:b/>
          <w:bCs/>
          <w:szCs w:val="21"/>
        </w:rPr>
        <w:t>第十二条  乙方服务工具要求</w:t>
      </w:r>
    </w:p>
    <w:p w14:paraId="377F9EAB">
      <w:pPr>
        <w:ind w:firstLine="420" w:firstLineChars="200"/>
        <w:rPr>
          <w:rFonts w:hint="eastAsia" w:ascii="宋体" w:hAnsi="宋体"/>
          <w:szCs w:val="21"/>
        </w:rPr>
      </w:pPr>
      <w:r>
        <w:rPr>
          <w:rFonts w:hint="eastAsia" w:ascii="宋体" w:hAnsi="宋体"/>
          <w:szCs w:val="21"/>
        </w:rPr>
        <w:t>1、乙方应配备中标项目所需的足够数量的仪器、仪表以及工具等设备。用户不需向乙方提供施工工具和仪器、仪表。</w:t>
      </w:r>
    </w:p>
    <w:p w14:paraId="353FEF8F">
      <w:pPr>
        <w:ind w:firstLine="420" w:firstLineChars="200"/>
        <w:rPr>
          <w:rFonts w:hint="eastAsia" w:ascii="宋体" w:hAnsi="宋体"/>
          <w:szCs w:val="21"/>
        </w:rPr>
      </w:pPr>
      <w:r>
        <w:rPr>
          <w:rFonts w:hint="eastAsia" w:ascii="宋体" w:hAnsi="宋体"/>
          <w:szCs w:val="21"/>
        </w:rPr>
        <w:t>2、乙方在提供服务过程中应自备车辆。</w:t>
      </w:r>
    </w:p>
    <w:p w14:paraId="32E014AD">
      <w:pPr>
        <w:ind w:firstLine="422" w:firstLineChars="200"/>
        <w:rPr>
          <w:rFonts w:hint="eastAsia" w:ascii="宋体" w:hAnsi="宋体"/>
          <w:b/>
          <w:bCs/>
          <w:szCs w:val="21"/>
        </w:rPr>
      </w:pPr>
      <w:r>
        <w:rPr>
          <w:rFonts w:hint="eastAsia" w:ascii="宋体" w:hAnsi="宋体"/>
          <w:b/>
          <w:bCs/>
          <w:szCs w:val="21"/>
        </w:rPr>
        <w:t>第十三条  保密要求</w:t>
      </w:r>
    </w:p>
    <w:p w14:paraId="1652AAE2">
      <w:pPr>
        <w:ind w:firstLine="420" w:firstLineChars="200"/>
        <w:rPr>
          <w:rFonts w:hint="eastAsia" w:ascii="宋体" w:hAnsi="宋体"/>
          <w:szCs w:val="21"/>
        </w:rPr>
      </w:pPr>
      <w:r>
        <w:rPr>
          <w:rFonts w:hint="eastAsia" w:ascii="宋体" w:hAnsi="宋体"/>
          <w:szCs w:val="21"/>
        </w:rPr>
        <w:t>1、</w:t>
      </w:r>
      <w:r>
        <w:rPr>
          <w:rFonts w:ascii="宋体" w:hAnsi="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653D6155">
      <w:pPr>
        <w:ind w:firstLine="420" w:firstLineChars="200"/>
        <w:rPr>
          <w:rFonts w:hint="eastAsia" w:ascii="宋体" w:hAnsi="宋体"/>
          <w:szCs w:val="21"/>
        </w:rPr>
      </w:pPr>
      <w:r>
        <w:rPr>
          <w:rFonts w:hint="eastAsia" w:ascii="宋体" w:hAnsi="宋体"/>
          <w:szCs w:val="21"/>
        </w:rPr>
        <w:t>2、</w:t>
      </w:r>
      <w:r>
        <w:rPr>
          <w:rFonts w:ascii="宋体" w:hAnsi="宋体"/>
          <w:szCs w:val="21"/>
        </w:rPr>
        <w:t>乙方在履行合同过程中所获得或接触到的任何</w:t>
      </w:r>
      <w:r>
        <w:rPr>
          <w:rFonts w:hint="eastAsia" w:ascii="宋体" w:hAnsi="宋体"/>
          <w:szCs w:val="21"/>
        </w:rPr>
        <w:t>内部数据资料，未经甲方同意，不得向第三方透露。</w:t>
      </w:r>
    </w:p>
    <w:p w14:paraId="19DE8E29">
      <w:pPr>
        <w:ind w:firstLine="420" w:firstLineChars="200"/>
        <w:rPr>
          <w:rFonts w:hint="eastAsia" w:ascii="宋体" w:hAnsi="宋体"/>
          <w:szCs w:val="21"/>
        </w:rPr>
      </w:pPr>
      <w:r>
        <w:rPr>
          <w:rFonts w:hint="eastAsia" w:ascii="宋体" w:hAnsi="宋体"/>
          <w:szCs w:val="21"/>
        </w:rPr>
        <w:t>3、</w:t>
      </w:r>
      <w:r>
        <w:rPr>
          <w:rFonts w:ascii="宋体" w:hAnsi="宋体"/>
          <w:szCs w:val="21"/>
        </w:rPr>
        <w:t>乙方</w:t>
      </w:r>
      <w:r>
        <w:rPr>
          <w:rFonts w:hint="eastAsia" w:ascii="宋体" w:hAnsi="宋体"/>
          <w:szCs w:val="21"/>
        </w:rPr>
        <w:t>实施项目的一切程序都应符合国家安全、保密的有关规定和标准。</w:t>
      </w:r>
    </w:p>
    <w:p w14:paraId="1CE193BE">
      <w:pPr>
        <w:ind w:firstLine="420" w:firstLineChars="200"/>
        <w:rPr>
          <w:rFonts w:hint="eastAsia" w:ascii="宋体" w:hAnsi="宋体"/>
          <w:szCs w:val="21"/>
        </w:rPr>
      </w:pPr>
      <w:r>
        <w:rPr>
          <w:rFonts w:hint="eastAsia" w:ascii="宋体" w:hAnsi="宋体"/>
          <w:szCs w:val="21"/>
        </w:rPr>
        <w:t>4、</w:t>
      </w:r>
      <w:r>
        <w:rPr>
          <w:rFonts w:ascii="宋体" w:hAnsi="宋体"/>
          <w:szCs w:val="21"/>
        </w:rPr>
        <w:t>乙方</w:t>
      </w:r>
      <w:r>
        <w:rPr>
          <w:rFonts w:hint="eastAsia" w:ascii="宋体" w:hAnsi="宋体"/>
          <w:szCs w:val="21"/>
        </w:rPr>
        <w:t>参加项目的有关人员均需同甲方签订保密协议。</w:t>
      </w:r>
    </w:p>
    <w:p w14:paraId="52716D09">
      <w:pPr>
        <w:ind w:firstLine="422" w:firstLineChars="200"/>
        <w:rPr>
          <w:rFonts w:hint="eastAsia" w:ascii="宋体" w:hAnsi="宋体"/>
          <w:b/>
          <w:bCs/>
          <w:szCs w:val="21"/>
        </w:rPr>
      </w:pPr>
      <w:r>
        <w:rPr>
          <w:rFonts w:hint="eastAsia" w:ascii="宋体" w:hAnsi="宋体"/>
          <w:b/>
          <w:bCs/>
          <w:szCs w:val="21"/>
        </w:rPr>
        <w:t xml:space="preserve">第十四条  验收     </w:t>
      </w:r>
    </w:p>
    <w:p w14:paraId="7069861A">
      <w:pPr>
        <w:ind w:firstLine="420" w:firstLineChars="200"/>
        <w:rPr>
          <w:rFonts w:hint="eastAsia" w:ascii="宋体" w:hAnsi="宋体"/>
          <w:szCs w:val="21"/>
        </w:rPr>
      </w:pPr>
      <w:r>
        <w:rPr>
          <w:rFonts w:hint="eastAsia" w:ascii="宋体" w:hAnsi="宋体"/>
          <w:szCs w:val="21"/>
        </w:rPr>
        <w:t>1、下列文件的验收分为</w:t>
      </w:r>
      <w:r>
        <w:rPr>
          <w:rFonts w:hint="eastAsia" w:ascii="宋体" w:hAnsi="宋体"/>
          <w:szCs w:val="21"/>
          <w:u w:val="single"/>
        </w:rPr>
        <w:t xml:space="preserve">          三</w:t>
      </w:r>
      <w:r>
        <w:rPr>
          <w:rFonts w:hint="eastAsia" w:ascii="宋体" w:hAnsi="宋体"/>
          <w:szCs w:val="21"/>
        </w:rPr>
        <w:t>个阶段:</w:t>
      </w:r>
    </w:p>
    <w:p w14:paraId="4199F564">
      <w:pPr>
        <w:ind w:firstLine="420" w:firstLineChars="200"/>
        <w:rPr>
          <w:rFonts w:hint="eastAsia" w:ascii="宋体" w:hAnsi="宋体"/>
          <w:szCs w:val="21"/>
        </w:rPr>
      </w:pPr>
      <w:r>
        <w:rPr>
          <w:rFonts w:hint="eastAsia" w:ascii="宋体" w:hAnsi="宋体"/>
          <w:szCs w:val="21"/>
        </w:rPr>
        <w:t>2、其余文件和工作由用户组织有关技术人员根据国家和行业有关规范、规程、标准和用户需求直接验收。</w:t>
      </w:r>
    </w:p>
    <w:p w14:paraId="60CEF35C">
      <w:pPr>
        <w:ind w:firstLine="420" w:firstLineChars="200"/>
        <w:rPr>
          <w:rFonts w:hint="eastAsia" w:ascii="宋体" w:hAnsi="宋体"/>
          <w:szCs w:val="21"/>
        </w:rPr>
      </w:pPr>
      <w:r>
        <w:rPr>
          <w:rFonts w:hint="eastAsia" w:ascii="宋体" w:hAnsi="宋体"/>
          <w:szCs w:val="21"/>
        </w:rPr>
        <w:t>3、验收依据为招标文件、投标文件，国家和行业有关规范、规程和标准。</w:t>
      </w:r>
    </w:p>
    <w:p w14:paraId="6680D381">
      <w:pPr>
        <w:ind w:firstLine="422" w:firstLineChars="200"/>
        <w:rPr>
          <w:rFonts w:hint="eastAsia" w:ascii="宋体" w:hAnsi="宋体"/>
          <w:b/>
          <w:bCs/>
          <w:szCs w:val="21"/>
        </w:rPr>
      </w:pPr>
      <w:r>
        <w:rPr>
          <w:rFonts w:hint="eastAsia" w:ascii="宋体" w:hAnsi="宋体"/>
          <w:b/>
          <w:bCs/>
          <w:szCs w:val="21"/>
        </w:rPr>
        <w:t>第十五条  付款方式</w:t>
      </w:r>
    </w:p>
    <w:p w14:paraId="54478C14">
      <w:pPr>
        <w:ind w:firstLine="420" w:firstLineChars="200"/>
        <w:rPr>
          <w:rFonts w:hint="eastAsia" w:ascii="宋体" w:hAnsi="宋体"/>
          <w:szCs w:val="21"/>
        </w:rPr>
      </w:pPr>
      <w:r>
        <w:rPr>
          <w:rFonts w:hint="eastAsia" w:ascii="宋体" w:hAnsi="宋体"/>
          <w:szCs w:val="21"/>
        </w:rPr>
        <w:t>1、合同签订后   天内乙方向甲方开具合法有效的发票后，甲方于   天内向乙方支付合同总价%的款项。</w:t>
      </w:r>
    </w:p>
    <w:p w14:paraId="37BEB704">
      <w:pPr>
        <w:ind w:firstLine="420" w:firstLineChars="200"/>
        <w:rPr>
          <w:rFonts w:hint="eastAsia" w:ascii="宋体" w:hAnsi="宋体"/>
          <w:szCs w:val="21"/>
        </w:rPr>
      </w:pPr>
      <w:r>
        <w:rPr>
          <w:rFonts w:hint="eastAsia" w:ascii="宋体" w:hAnsi="宋体"/>
          <w:szCs w:val="21"/>
        </w:rPr>
        <w:t>2、检测完成并提交评估报告后  天内，乙方向甲方开具合法有效发票后 天，甲方向乙方支付合同总价%的款项。</w:t>
      </w:r>
    </w:p>
    <w:p w14:paraId="62E34D49">
      <w:pPr>
        <w:ind w:firstLine="420" w:firstLineChars="200"/>
        <w:rPr>
          <w:rFonts w:hint="eastAsia" w:ascii="宋体" w:hAnsi="宋体"/>
          <w:szCs w:val="21"/>
        </w:rPr>
      </w:pPr>
      <w:r>
        <w:rPr>
          <w:rFonts w:hint="eastAsia" w:ascii="宋体" w:hAnsi="宋体"/>
          <w:szCs w:val="21"/>
        </w:rPr>
        <w:t>3、报告通过专家评审后，甲方向乙方支付合同总价%的款项。</w:t>
      </w:r>
    </w:p>
    <w:p w14:paraId="18F719F6">
      <w:pPr>
        <w:ind w:firstLine="422" w:firstLineChars="200"/>
        <w:rPr>
          <w:rFonts w:hint="eastAsia" w:ascii="宋体" w:hAnsi="宋体"/>
          <w:b/>
          <w:bCs/>
          <w:szCs w:val="21"/>
        </w:rPr>
      </w:pPr>
      <w:r>
        <w:rPr>
          <w:rFonts w:hint="eastAsia" w:ascii="宋体" w:hAnsi="宋体"/>
          <w:b/>
          <w:bCs/>
          <w:szCs w:val="21"/>
        </w:rPr>
        <w:t>第十六条  争议解决办法</w:t>
      </w:r>
    </w:p>
    <w:p w14:paraId="05D3F8F0">
      <w:pPr>
        <w:ind w:firstLine="420" w:firstLineChars="200"/>
        <w:rPr>
          <w:rFonts w:hint="eastAsia" w:ascii="宋体" w:hAnsi="宋体"/>
          <w:szCs w:val="21"/>
        </w:rPr>
      </w:pPr>
      <w:r>
        <w:rPr>
          <w:rFonts w:hint="eastAsia" w:ascii="宋体" w:hAnsi="宋体"/>
          <w:szCs w:val="21"/>
        </w:rPr>
        <w:t>执行本合同发生的争议，由甲乙双方协商解决，如协商不成的，应提交甲方所在地人民法院诉讼解决。</w:t>
      </w:r>
    </w:p>
    <w:p w14:paraId="118A85FE">
      <w:pPr>
        <w:ind w:firstLine="422" w:firstLineChars="200"/>
        <w:rPr>
          <w:rFonts w:hint="eastAsia" w:ascii="宋体" w:hAnsi="宋体"/>
          <w:b/>
          <w:bCs/>
          <w:szCs w:val="21"/>
        </w:rPr>
      </w:pPr>
      <w:r>
        <w:rPr>
          <w:rFonts w:hint="eastAsia" w:ascii="宋体" w:hAnsi="宋体"/>
          <w:b/>
          <w:bCs/>
          <w:szCs w:val="21"/>
        </w:rPr>
        <w:t>第十七条  风险责任</w:t>
      </w:r>
    </w:p>
    <w:p w14:paraId="7DDFF965">
      <w:pPr>
        <w:ind w:firstLine="420" w:firstLineChars="200"/>
        <w:rPr>
          <w:rFonts w:hint="eastAsia" w:ascii="宋体" w:hAnsi="宋体"/>
          <w:szCs w:val="21"/>
        </w:rPr>
      </w:pPr>
      <w:r>
        <w:rPr>
          <w:rFonts w:hint="eastAsia" w:ascii="宋体" w:hAnsi="宋体"/>
          <w:szCs w:val="21"/>
        </w:rPr>
        <w:t>１、乙方应完全地按照招标文件的要求和乙方投标文件的承诺完成本项目，出于自身财务、技术、人力等原因导致项目失败的，应承担全部责任。</w:t>
      </w:r>
    </w:p>
    <w:p w14:paraId="0A407F20">
      <w:pPr>
        <w:ind w:firstLine="420" w:firstLineChars="200"/>
        <w:rPr>
          <w:rFonts w:hint="eastAsia" w:ascii="宋体" w:hAnsi="宋体"/>
          <w:szCs w:val="21"/>
        </w:rPr>
      </w:pPr>
      <w:r>
        <w:rPr>
          <w:rFonts w:hint="eastAsia" w:ascii="宋体" w:hAnsi="宋体"/>
          <w:szCs w:val="21"/>
        </w:rPr>
        <w:t>2、乙方在实施荷载试验过程中应对自身的安全生产负责，若非因甲方原因发生的各种事故甲方不承担任何责任。</w:t>
      </w:r>
    </w:p>
    <w:p w14:paraId="31624C31">
      <w:pPr>
        <w:ind w:firstLine="422" w:firstLineChars="200"/>
        <w:rPr>
          <w:rFonts w:hint="eastAsia" w:ascii="宋体" w:hAnsi="宋体"/>
          <w:b/>
          <w:bCs/>
          <w:szCs w:val="21"/>
        </w:rPr>
      </w:pPr>
      <w:r>
        <w:rPr>
          <w:rFonts w:hint="eastAsia" w:ascii="宋体" w:hAnsi="宋体"/>
          <w:b/>
          <w:bCs/>
          <w:szCs w:val="21"/>
        </w:rPr>
        <w:t>第十八条  违约责任</w:t>
      </w:r>
    </w:p>
    <w:p w14:paraId="59FB6141">
      <w:pPr>
        <w:pStyle w:val="20"/>
        <w:spacing w:line="240" w:lineRule="auto"/>
        <w:rPr>
          <w:rFonts w:hint="eastAsia" w:ascii="宋体" w:hAnsi="宋体"/>
          <w:szCs w:val="21"/>
        </w:rPr>
      </w:pPr>
      <w:r>
        <w:rPr>
          <w:rFonts w:hint="eastAsia" w:ascii="宋体" w:hAnsi="宋体"/>
          <w:szCs w:val="21"/>
        </w:rPr>
        <w:t>１、因乙方原因，未能按规定时间完成有关工作的，每延误一天，甲方可在支付合同余款中扣除合同价款千分之一。</w:t>
      </w:r>
    </w:p>
    <w:p w14:paraId="4F5D3EA0">
      <w:pPr>
        <w:ind w:firstLine="420" w:firstLineChars="200"/>
        <w:rPr>
          <w:rFonts w:hint="eastAsia" w:ascii="宋体" w:hAnsi="宋体"/>
          <w:szCs w:val="21"/>
        </w:rPr>
      </w:pPr>
      <w:r>
        <w:rPr>
          <w:rFonts w:hint="eastAsia" w:ascii="宋体" w:hAnsi="宋体"/>
          <w:szCs w:val="21"/>
        </w:rPr>
        <w:t>2、由于乙方原因造成试验成果质量低劣，不能满足大纲要求时，应继续完善试验工作，其费用由乙方承担。</w:t>
      </w:r>
    </w:p>
    <w:p w14:paraId="022A9741">
      <w:pPr>
        <w:ind w:firstLine="420" w:firstLineChars="200"/>
        <w:rPr>
          <w:rFonts w:hint="eastAsia" w:ascii="宋体" w:hAnsi="宋体"/>
          <w:szCs w:val="21"/>
        </w:rPr>
      </w:pPr>
      <w:r>
        <w:rPr>
          <w:rFonts w:hint="eastAsia" w:ascii="宋体" w:hAnsi="宋体"/>
          <w:szCs w:val="21"/>
        </w:rPr>
        <w:t>3、乙方交付的成果经验收不合格，应于7日内无条件修改，费用由乙方自行承担，在甲方要求整改后再次验收不合格的，甲方有权解除合同、要求乙方返还甲方已支付的合同款项，并有权要求乙方按合同总额   %支付违约金。。</w:t>
      </w:r>
    </w:p>
    <w:p w14:paraId="1E78E474">
      <w:pPr>
        <w:ind w:firstLine="420" w:firstLineChars="200"/>
        <w:rPr>
          <w:rFonts w:hint="eastAsia" w:ascii="宋体" w:hAnsi="宋体"/>
          <w:szCs w:val="21"/>
        </w:rPr>
      </w:pPr>
      <w:r>
        <w:rPr>
          <w:rFonts w:hint="eastAsia" w:ascii="宋体" w:hAnsi="宋体"/>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50B66FBC">
      <w:pPr>
        <w:ind w:firstLine="420" w:firstLineChars="200"/>
        <w:rPr>
          <w:rFonts w:hint="eastAsia" w:ascii="宋体" w:hAnsi="宋体"/>
          <w:szCs w:val="21"/>
        </w:rPr>
      </w:pPr>
      <w:r>
        <w:rPr>
          <w:rFonts w:hint="eastAsia" w:ascii="宋体" w:hAnsi="宋体"/>
          <w:szCs w:val="21"/>
        </w:rPr>
        <w:t>5、乙方或其工作人员违反本合同约定的保密义务，甲方有权要求乙方按合同总额   %支付违约金；造成不良影响或对甲方造成损失的，甲方有权要求乙方消除影响，承担赔偿责任，并有权解除合同。</w:t>
      </w:r>
    </w:p>
    <w:p w14:paraId="62DF673D">
      <w:pPr>
        <w:ind w:firstLine="420" w:firstLineChars="200"/>
        <w:rPr>
          <w:rFonts w:hint="eastAsia" w:ascii="宋体" w:hAnsi="宋体"/>
          <w:szCs w:val="21"/>
        </w:rPr>
      </w:pPr>
      <w:r>
        <w:rPr>
          <w:rFonts w:hint="eastAsia" w:ascii="宋体" w:hAnsi="宋体"/>
          <w:szCs w:val="21"/>
        </w:rPr>
        <w:t>6、因乙方提供的服务成果受到侵权指控或者引发法律纠纷，影响甲方使用服务成果或者导致合同目的不能实现的，甲方有权要求乙方按合同总额   %支付违约金，并有权解除合同。</w:t>
      </w:r>
    </w:p>
    <w:p w14:paraId="047EA794">
      <w:pPr>
        <w:ind w:firstLine="422" w:firstLineChars="200"/>
        <w:rPr>
          <w:rFonts w:hint="eastAsia" w:ascii="宋体" w:hAnsi="宋体"/>
          <w:b/>
          <w:bCs/>
          <w:szCs w:val="21"/>
        </w:rPr>
      </w:pPr>
      <w:r>
        <w:rPr>
          <w:rFonts w:hint="eastAsia" w:ascii="宋体" w:hAnsi="宋体"/>
          <w:b/>
          <w:bCs/>
          <w:szCs w:val="21"/>
        </w:rPr>
        <w:t>第十九条  其他</w:t>
      </w:r>
    </w:p>
    <w:p w14:paraId="235F970B">
      <w:pPr>
        <w:ind w:firstLine="420" w:firstLineChars="200"/>
        <w:rPr>
          <w:rFonts w:hint="eastAsia" w:ascii="宋体" w:hAnsi="宋体"/>
          <w:szCs w:val="21"/>
        </w:rPr>
      </w:pPr>
      <w:r>
        <w:rPr>
          <w:rFonts w:hint="eastAsia" w:ascii="宋体" w:hAnsi="宋体"/>
          <w:szCs w:val="21"/>
        </w:rPr>
        <w:t>1、本协议书与下列文件一起构成合同文件，如下述文件之间有任何抵触、矛盾或歧义，应按以下顺序解释：</w:t>
      </w:r>
    </w:p>
    <w:p w14:paraId="33BEB4A9">
      <w:pPr>
        <w:ind w:firstLine="420" w:firstLineChars="200"/>
        <w:rPr>
          <w:rFonts w:hint="eastAsia" w:ascii="宋体" w:hAnsi="宋体"/>
          <w:szCs w:val="21"/>
        </w:rPr>
      </w:pPr>
      <w:r>
        <w:rPr>
          <w:rFonts w:hint="eastAsia" w:ascii="宋体" w:hAnsi="宋体"/>
          <w:szCs w:val="21"/>
        </w:rPr>
        <w:t>（1）政府采购合同协议书及其变更、补充协议</w:t>
      </w:r>
    </w:p>
    <w:p w14:paraId="3A2D68BA">
      <w:pPr>
        <w:ind w:firstLine="420" w:firstLineChars="200"/>
        <w:rPr>
          <w:rFonts w:hint="eastAsia" w:ascii="宋体" w:hAnsi="宋体"/>
          <w:szCs w:val="21"/>
        </w:rPr>
      </w:pPr>
      <w:r>
        <w:rPr>
          <w:rFonts w:hint="eastAsia" w:ascii="宋体" w:hAnsi="宋体"/>
          <w:szCs w:val="21"/>
        </w:rPr>
        <w:t>（2）政府采购合同专用条款</w:t>
      </w:r>
    </w:p>
    <w:p w14:paraId="1B478BF6">
      <w:pPr>
        <w:ind w:firstLine="420" w:firstLineChars="200"/>
        <w:rPr>
          <w:rFonts w:hint="eastAsia" w:ascii="宋体" w:hAnsi="宋体"/>
          <w:szCs w:val="21"/>
        </w:rPr>
      </w:pPr>
      <w:r>
        <w:rPr>
          <w:rFonts w:hint="eastAsia" w:ascii="宋体" w:hAnsi="宋体"/>
          <w:szCs w:val="21"/>
        </w:rPr>
        <w:t>（3）政府采购合同通用条款</w:t>
      </w:r>
    </w:p>
    <w:p w14:paraId="103C606A">
      <w:pPr>
        <w:ind w:firstLine="420" w:firstLineChars="200"/>
        <w:rPr>
          <w:rFonts w:hint="eastAsia" w:ascii="宋体" w:hAnsi="宋体"/>
          <w:szCs w:val="21"/>
        </w:rPr>
      </w:pPr>
      <w:r>
        <w:rPr>
          <w:rFonts w:hint="eastAsia" w:ascii="宋体" w:hAnsi="宋体"/>
          <w:szCs w:val="21"/>
        </w:rPr>
        <w:t>（4）中标（成交）通知书</w:t>
      </w:r>
    </w:p>
    <w:p w14:paraId="5467F483">
      <w:pPr>
        <w:ind w:firstLine="420" w:firstLineChars="200"/>
        <w:rPr>
          <w:rFonts w:hint="eastAsia" w:ascii="宋体" w:hAnsi="宋体"/>
          <w:szCs w:val="21"/>
        </w:rPr>
      </w:pPr>
      <w:r>
        <w:rPr>
          <w:rFonts w:hint="eastAsia" w:ascii="宋体" w:hAnsi="宋体"/>
          <w:szCs w:val="21"/>
        </w:rPr>
        <w:t>（5）投标（响应）文件</w:t>
      </w:r>
    </w:p>
    <w:p w14:paraId="6D795E12">
      <w:pPr>
        <w:ind w:firstLine="420" w:firstLineChars="200"/>
        <w:rPr>
          <w:rFonts w:hint="eastAsia" w:ascii="宋体" w:hAnsi="宋体"/>
          <w:szCs w:val="21"/>
        </w:rPr>
      </w:pPr>
      <w:r>
        <w:rPr>
          <w:rFonts w:hint="eastAsia" w:ascii="宋体" w:hAnsi="宋体"/>
          <w:szCs w:val="21"/>
        </w:rPr>
        <w:t>（6）采购文件</w:t>
      </w:r>
    </w:p>
    <w:p w14:paraId="49D233DE">
      <w:pPr>
        <w:ind w:firstLine="420" w:firstLineChars="200"/>
        <w:rPr>
          <w:rFonts w:hint="eastAsia" w:ascii="宋体" w:hAnsi="宋体"/>
          <w:szCs w:val="21"/>
        </w:rPr>
      </w:pPr>
      <w:r>
        <w:rPr>
          <w:rFonts w:hint="eastAsia" w:ascii="宋体" w:hAnsi="宋体"/>
          <w:szCs w:val="21"/>
        </w:rPr>
        <w:t>（7）有关技术文件，图纸</w:t>
      </w:r>
    </w:p>
    <w:p w14:paraId="1B00C92E">
      <w:pPr>
        <w:ind w:firstLine="420" w:firstLineChars="200"/>
        <w:rPr>
          <w:rFonts w:hint="eastAsia" w:ascii="宋体" w:hAnsi="宋体"/>
          <w:szCs w:val="21"/>
        </w:rPr>
      </w:pPr>
      <w:r>
        <w:rPr>
          <w:rFonts w:hint="eastAsia" w:ascii="宋体" w:hAnsi="宋体"/>
          <w:szCs w:val="21"/>
        </w:rPr>
        <w:t>（8）国家法律、行政法规和规章制度规定或合同约定的作为合同组成部分的其他文件。</w:t>
      </w:r>
    </w:p>
    <w:p w14:paraId="4F316F45">
      <w:pPr>
        <w:ind w:firstLine="420" w:firstLineChars="200"/>
        <w:rPr>
          <w:rFonts w:hint="eastAsia" w:ascii="宋体" w:hAnsi="宋体"/>
          <w:szCs w:val="21"/>
        </w:rPr>
      </w:pPr>
      <w:r>
        <w:rPr>
          <w:rFonts w:hint="eastAsia" w:ascii="宋体" w:hAnsi="宋体"/>
          <w:szCs w:val="21"/>
        </w:rPr>
        <w:t>2、下列文件均为本合同的组成部分：</w:t>
      </w:r>
    </w:p>
    <w:p w14:paraId="39769381">
      <w:pPr>
        <w:ind w:firstLine="420" w:firstLineChars="200"/>
        <w:rPr>
          <w:rFonts w:hint="eastAsia" w:ascii="宋体" w:hAnsi="宋体"/>
          <w:szCs w:val="21"/>
        </w:rPr>
      </w:pPr>
      <w:r>
        <w:rPr>
          <w:rFonts w:hint="eastAsia" w:ascii="宋体" w:hAnsi="宋体"/>
          <w:szCs w:val="21"/>
        </w:rPr>
        <w:t>（1）号招标文件、答疑及补充通知；</w:t>
      </w:r>
    </w:p>
    <w:p w14:paraId="0831FD23">
      <w:pPr>
        <w:ind w:firstLine="420" w:firstLineChars="200"/>
        <w:rPr>
          <w:rFonts w:hint="eastAsia" w:ascii="宋体" w:hAnsi="宋体"/>
          <w:szCs w:val="21"/>
        </w:rPr>
      </w:pPr>
      <w:r>
        <w:rPr>
          <w:rFonts w:hint="eastAsia" w:ascii="宋体" w:hAnsi="宋体"/>
          <w:szCs w:val="21"/>
        </w:rPr>
        <w:t>（2）投标文件；</w:t>
      </w:r>
    </w:p>
    <w:p w14:paraId="35551CA8">
      <w:pPr>
        <w:ind w:firstLine="420" w:firstLineChars="200"/>
        <w:rPr>
          <w:rFonts w:hint="eastAsia" w:ascii="宋体" w:hAnsi="宋体"/>
          <w:szCs w:val="21"/>
        </w:rPr>
      </w:pPr>
      <w:r>
        <w:rPr>
          <w:rFonts w:hint="eastAsia" w:ascii="宋体" w:hAnsi="宋体"/>
          <w:szCs w:val="21"/>
        </w:rPr>
        <w:t>（3）本合同执行中共同签署的补充与修正文件。</w:t>
      </w:r>
    </w:p>
    <w:p w14:paraId="01E493A6">
      <w:pPr>
        <w:ind w:firstLine="420" w:firstLineChars="200"/>
        <w:rPr>
          <w:rFonts w:hint="eastAsia" w:ascii="宋体" w:hAnsi="宋体"/>
          <w:szCs w:val="21"/>
        </w:rPr>
      </w:pPr>
      <w:r>
        <w:rPr>
          <w:rFonts w:hint="eastAsia" w:ascii="宋体" w:hAnsi="宋体"/>
          <w:szCs w:val="21"/>
        </w:rPr>
        <w:t>本合同一式份，甲、乙方双方各执份，具有同等法律效力。本合同自双方法人代表签字（盖章）认可之日起生效。</w:t>
      </w:r>
    </w:p>
    <w:p w14:paraId="40AE7FE4">
      <w:pPr>
        <w:ind w:firstLine="420" w:firstLineChars="200"/>
        <w:rPr>
          <w:rFonts w:hint="eastAsia" w:ascii="宋体" w:hAnsi="宋体"/>
          <w:szCs w:val="21"/>
        </w:rPr>
      </w:pPr>
      <w:r>
        <w:rPr>
          <w:rFonts w:hint="eastAsia" w:ascii="宋体" w:hAnsi="宋体"/>
          <w:szCs w:val="21"/>
        </w:rPr>
        <w:t>本合同未尽事宜，双方友好协商，达成解决方案，经双方签字后，可作为本合同的有效附件。</w:t>
      </w:r>
    </w:p>
    <w:p w14:paraId="5EA6DACD">
      <w:pPr>
        <w:ind w:firstLine="420" w:firstLineChars="200"/>
        <w:rPr>
          <w:rFonts w:hint="eastAsia" w:ascii="宋体" w:hAnsi="宋体"/>
          <w:szCs w:val="21"/>
        </w:rPr>
      </w:pPr>
    </w:p>
    <w:p w14:paraId="4165F0FD">
      <w:pPr>
        <w:ind w:firstLine="420" w:firstLineChars="200"/>
        <w:rPr>
          <w:rFonts w:hint="eastAsia" w:ascii="宋体" w:hAnsi="宋体"/>
          <w:szCs w:val="21"/>
        </w:rPr>
      </w:pPr>
    </w:p>
    <w:p w14:paraId="24277E4F">
      <w:pPr>
        <w:spacing w:line="360" w:lineRule="auto"/>
        <w:ind w:firstLine="560"/>
        <w:jc w:val="left"/>
        <w:rPr>
          <w:rFonts w:hint="eastAsia" w:ascii="宋体" w:hAnsi="宋体"/>
          <w:szCs w:val="21"/>
        </w:rPr>
      </w:pPr>
      <w:r>
        <w:rPr>
          <w:rFonts w:hint="eastAsia" w:ascii="宋体" w:hAnsi="宋体"/>
          <w:szCs w:val="21"/>
        </w:rPr>
        <w:t>甲方（采购人）：   （盖章）       乙方（供应商）：    （盖章）</w:t>
      </w:r>
    </w:p>
    <w:p w14:paraId="236930CF">
      <w:pPr>
        <w:spacing w:line="360" w:lineRule="auto"/>
        <w:ind w:firstLine="560"/>
        <w:jc w:val="left"/>
        <w:rPr>
          <w:rFonts w:hint="eastAsia" w:ascii="宋体" w:hAnsi="宋体"/>
          <w:szCs w:val="21"/>
        </w:rPr>
      </w:pPr>
      <w:r>
        <w:rPr>
          <w:rFonts w:hint="eastAsia" w:ascii="宋体" w:hAnsi="宋体"/>
          <w:szCs w:val="21"/>
        </w:rPr>
        <w:t xml:space="preserve">法定代表人：                     法定代表人： </w:t>
      </w:r>
    </w:p>
    <w:p w14:paraId="2BE51113">
      <w:pPr>
        <w:spacing w:line="360" w:lineRule="auto"/>
        <w:ind w:firstLine="560"/>
        <w:jc w:val="left"/>
        <w:rPr>
          <w:rFonts w:hint="eastAsia" w:ascii="宋体" w:hAnsi="宋体"/>
          <w:szCs w:val="21"/>
        </w:rPr>
      </w:pPr>
      <w:r>
        <w:rPr>
          <w:rFonts w:hint="eastAsia" w:ascii="宋体" w:hAnsi="宋体"/>
          <w:szCs w:val="21"/>
        </w:rPr>
        <w:t>委托代理人：                     委托代理人：</w:t>
      </w:r>
    </w:p>
    <w:p w14:paraId="54F04C06">
      <w:pPr>
        <w:ind w:firstLine="420" w:firstLineChars="200"/>
        <w:rPr>
          <w:rFonts w:hint="eastAsia" w:ascii="宋体" w:hAnsi="宋体"/>
          <w:szCs w:val="21"/>
        </w:rPr>
      </w:pPr>
      <w:r>
        <w:rPr>
          <w:rFonts w:hint="eastAsia" w:ascii="宋体" w:hAnsi="宋体"/>
          <w:szCs w:val="21"/>
        </w:rPr>
        <w:t>日期：   年     月    日         日期：   年     月    日</w:t>
      </w:r>
    </w:p>
    <w:p w14:paraId="439E1BF5">
      <w:pPr>
        <w:ind w:firstLine="420" w:firstLineChars="200"/>
        <w:rPr>
          <w:rFonts w:hint="eastAsia" w:ascii="宋体" w:hAnsi="宋体"/>
          <w:szCs w:val="21"/>
        </w:rPr>
      </w:pPr>
    </w:p>
    <w:p w14:paraId="69430195">
      <w:pPr>
        <w:ind w:firstLine="420" w:firstLineChars="200"/>
        <w:rPr>
          <w:rFonts w:hint="eastAsia" w:ascii="宋体" w:hAnsi="宋体"/>
          <w:szCs w:val="21"/>
        </w:rPr>
      </w:pPr>
    </w:p>
    <w:p w14:paraId="056ECA6F">
      <w:pPr>
        <w:ind w:firstLine="420" w:firstLineChars="200"/>
        <w:rPr>
          <w:rFonts w:hint="eastAsia" w:ascii="宋体" w:hAnsi="宋体"/>
          <w:szCs w:val="21"/>
        </w:rPr>
      </w:pPr>
    </w:p>
    <w:p w14:paraId="02E81DBA">
      <w:pPr>
        <w:ind w:firstLine="420" w:firstLineChars="200"/>
        <w:rPr>
          <w:rFonts w:hint="eastAsia" w:ascii="宋体" w:hAnsi="宋体"/>
          <w:szCs w:val="21"/>
        </w:rPr>
      </w:pPr>
    </w:p>
    <w:p w14:paraId="36A30532">
      <w:pPr>
        <w:ind w:firstLine="420" w:firstLineChars="200"/>
        <w:rPr>
          <w:rFonts w:hint="eastAsia" w:ascii="宋体" w:hAnsi="宋体"/>
          <w:szCs w:val="21"/>
        </w:rPr>
      </w:pPr>
    </w:p>
    <w:p w14:paraId="3D1D24FB">
      <w:pPr>
        <w:widowControl/>
        <w:jc w:val="left"/>
        <w:rPr>
          <w:rFonts w:hint="eastAsia" w:ascii="宋体" w:hAnsi="宋体"/>
          <w:szCs w:val="21"/>
        </w:rPr>
      </w:pPr>
      <w:r>
        <w:rPr>
          <w:rFonts w:ascii="宋体" w:hAnsi="宋体"/>
          <w:szCs w:val="21"/>
        </w:rPr>
        <w:br w:type="page"/>
      </w:r>
    </w:p>
    <w:p w14:paraId="710BCDE2">
      <w:pPr>
        <w:keepNext/>
        <w:keepLines/>
        <w:adjustRightInd w:val="0"/>
        <w:spacing w:before="120" w:beforeLines="50" w:after="120" w:afterLines="50"/>
        <w:ind w:left="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第二册  通用条款（公开招标）</w:t>
      </w:r>
    </w:p>
    <w:p w14:paraId="2765C451">
      <w:pPr>
        <w:keepNext/>
        <w:keepLines/>
        <w:numPr>
          <w:ilvl w:val="0"/>
          <w:numId w:val="12"/>
        </w:numPr>
        <w:adjustRightInd w:val="0"/>
        <w:spacing w:before="120" w:beforeLines="50" w:after="120" w:afterLines="50"/>
        <w:ind w:left="562" w:hanging="562"/>
        <w:jc w:val="center"/>
        <w:textAlignment w:val="baseline"/>
        <w:outlineLvl w:val="1"/>
        <w:rPr>
          <w:rFonts w:ascii="Times New Roman" w:hAnsi="Times New Roman" w:eastAsia="宋体" w:cs="Times New Roman"/>
          <w:b/>
          <w:bCs/>
          <w:kern w:val="0"/>
          <w:sz w:val="28"/>
          <w:szCs w:val="28"/>
        </w:rPr>
      </w:pPr>
      <w:bookmarkStart w:id="40" w:name="_Hlk72399513"/>
      <w:r>
        <w:rPr>
          <w:rFonts w:ascii="Times New Roman" w:hAnsi="Times New Roman" w:eastAsia="宋体" w:cs="Times New Roman"/>
          <w:b/>
          <w:bCs/>
          <w:kern w:val="0"/>
          <w:sz w:val="28"/>
          <w:szCs w:val="28"/>
        </w:rPr>
        <w:t>总则</w:t>
      </w:r>
    </w:p>
    <w:bookmarkEnd w:id="40"/>
    <w:p w14:paraId="7D3F2A65">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 通用条款说明</w:t>
      </w:r>
    </w:p>
    <w:p w14:paraId="48BB75C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1.1政府集中采购机构发出招标文件通用条款版本，列出深圳市政府采购项目进行招标采购所适用的通用条款内容。</w:t>
      </w:r>
      <w:bookmarkStart w:id="41" w:name="_Hlk72399729"/>
      <w:r>
        <w:rPr>
          <w:rFonts w:ascii="Times New Roman" w:hAnsi="Times New Roman" w:eastAsia="宋体" w:cs="Times New Roman"/>
          <w:szCs w:val="21"/>
        </w:rPr>
        <w:t>如有需要，政府集中采购机构可以对通用条款的内容进行补充。</w:t>
      </w:r>
      <w:bookmarkEnd w:id="41"/>
    </w:p>
    <w:p w14:paraId="31F2F87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1.2招标文件分为第一册“专用条款”和第二册“通用条款”。</w:t>
      </w:r>
    </w:p>
    <w:p w14:paraId="4E6F76BC">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1.3“专用条款”是对本次采购项目的具体要求，包含招标公告、对通用条款的补充内容及其他关键信息、用户需求书、投标文件格式及附件、合同条款及格式等内容。</w:t>
      </w:r>
    </w:p>
    <w:p w14:paraId="3199F45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1.4“通用条款”是适用于政府采购公开招标项目的基础性条款，具有普遍性和通用性。</w:t>
      </w:r>
    </w:p>
    <w:p w14:paraId="438BF2D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1.5 “专用条款”和“通用条款”表述不一致或有冲突时，以“专用条款”为准。</w:t>
      </w:r>
    </w:p>
    <w:p w14:paraId="3113072E">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2．招标说明</w:t>
      </w:r>
    </w:p>
    <w:p w14:paraId="24A0605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本项目按照《深圳经济特区政府采购条例》、《深圳经济特区政府采购条例实施细则》及政府采购其他法律法规，通过公开招标方式确定中标供应商。</w:t>
      </w:r>
    </w:p>
    <w:p w14:paraId="13E06648">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3．定义</w:t>
      </w:r>
    </w:p>
    <w:p w14:paraId="645D13E3">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招标文件中下列术语应解释为：</w:t>
      </w:r>
    </w:p>
    <w:p w14:paraId="1D065F1C">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3.1“采购人”：指利用财政性资金依法进行政府采购的国家机关、事业单位、团体组织；</w:t>
      </w:r>
    </w:p>
    <w:p w14:paraId="5D4AAA6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3.2 “政府集中采购机构”</w:t>
      </w:r>
      <w:r>
        <w:rPr>
          <w:rFonts w:ascii="Times New Roman" w:hAnsi="Times New Roman" w:eastAsia="宋体" w:cs="Times New Roman"/>
          <w:szCs w:val="21"/>
          <w:shd w:val="clear" w:color="auto" w:fill="FFFFFF"/>
        </w:rPr>
        <w:t>是指市政府设立的，组织实施政府采购项目，并对政府采购活动提供服务的专门机构；</w:t>
      </w:r>
      <w:r>
        <w:rPr>
          <w:rFonts w:ascii="Times New Roman" w:hAnsi="Times New Roman" w:eastAsia="宋体" w:cs="Times New Roman"/>
          <w:szCs w:val="21"/>
        </w:rPr>
        <w:t>本文件所述的“政府集中采购机构”指</w:t>
      </w:r>
      <w:r>
        <w:rPr>
          <w:rFonts w:ascii="Times New Roman" w:hAnsi="Times New Roman" w:eastAsia="宋体" w:cs="Times New Roman"/>
          <w:b/>
          <w:bCs/>
          <w:szCs w:val="21"/>
        </w:rPr>
        <w:t>深圳公共资源交易中心</w:t>
      </w:r>
      <w:r>
        <w:rPr>
          <w:rFonts w:ascii="Times New Roman" w:hAnsi="Times New Roman" w:eastAsia="宋体" w:cs="Times New Roman"/>
          <w:szCs w:val="21"/>
        </w:rPr>
        <w:t>；</w:t>
      </w:r>
    </w:p>
    <w:p w14:paraId="5F880AAC">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3.3“投标人”，即供应商，指参加投标竞争并愿意按照招标文件要求向采购人提供货物、工程或者服务的依法成立的法人、其他组织或者自然人；</w:t>
      </w:r>
    </w:p>
    <w:p w14:paraId="30C5B351">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4</w:t>
      </w:r>
      <w:r>
        <w:rPr>
          <w:rFonts w:ascii="Times New Roman" w:hAnsi="Times New Roman" w:eastAsia="宋体" w:cs="Times New Roman"/>
          <w:szCs w:val="21"/>
        </w:rPr>
        <w:t>“评审委员会”是依据《深圳经济特区政府采购条例》、《深圳经济特区政府采购条例实施细则》等有关规定组建的专门负责本次招标其评审工作的临时性机构；</w:t>
      </w:r>
    </w:p>
    <w:p w14:paraId="01065AC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5</w:t>
      </w:r>
      <w:r>
        <w:rPr>
          <w:rFonts w:ascii="Times New Roman" w:hAnsi="Times New Roman" w:eastAsia="宋体" w:cs="Times New Roman"/>
          <w:szCs w:val="21"/>
        </w:rPr>
        <w:t>“日期”指公历日；</w:t>
      </w:r>
    </w:p>
    <w:p w14:paraId="6CA43B3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6</w:t>
      </w:r>
      <w:r>
        <w:rPr>
          <w:rFonts w:ascii="Times New Roman" w:hAnsi="Times New Roman" w:eastAsia="宋体" w:cs="Times New Roman"/>
          <w:szCs w:val="21"/>
        </w:rPr>
        <w:t>“合同”指由本次招标所产生的合同或合约文件；</w:t>
      </w:r>
    </w:p>
    <w:p w14:paraId="70620C52">
      <w:pPr>
        <w:suppressAutoHyphens/>
        <w:wordWrap w:val="0"/>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7</w:t>
      </w:r>
      <w:r>
        <w:rPr>
          <w:rFonts w:ascii="Times New Roman" w:hAnsi="Times New Roman" w:eastAsia="宋体" w:cs="Times New Roman"/>
          <w:szCs w:val="21"/>
        </w:rPr>
        <w:t>“电子投标文件”指利用</w:t>
      </w:r>
      <w:r>
        <w:rPr>
          <w:rFonts w:ascii="Times New Roman" w:hAnsi="Times New Roman" w:eastAsia="宋体" w:cs="Times New Roman"/>
          <w:b/>
          <w:bCs/>
          <w:color w:val="FF0000"/>
          <w:szCs w:val="21"/>
        </w:rPr>
        <w:t>深圳公共资源交易中心（深圳交易集团有限公司</w:t>
      </w:r>
      <w:r>
        <w:rPr>
          <w:rFonts w:hint="eastAsia" w:ascii="Times New Roman" w:hAnsi="Times New Roman" w:eastAsia="宋体" w:cs="Times New Roman"/>
          <w:b/>
          <w:bCs/>
          <w:color w:val="FF0000"/>
          <w:szCs w:val="21"/>
        </w:rPr>
        <w:t>南山</w:t>
      </w:r>
      <w:r>
        <w:rPr>
          <w:rFonts w:ascii="Times New Roman" w:hAnsi="Times New Roman" w:eastAsia="宋体" w:cs="Times New Roman"/>
          <w:b/>
          <w:bCs/>
          <w:color w:val="FF0000"/>
          <w:szCs w:val="21"/>
        </w:rPr>
        <w:t>分公司）</w:t>
      </w:r>
      <w:r>
        <w:rPr>
          <w:rFonts w:ascii="Times New Roman" w:hAnsi="Times New Roman" w:eastAsia="宋体" w:cs="Times New Roman"/>
          <w:szCs w:val="21"/>
        </w:rPr>
        <w:t>网站提供的</w:t>
      </w:r>
      <w:r>
        <w:rPr>
          <w:rFonts w:hint="eastAsia" w:ascii="Times New Roman" w:hAnsi="Times New Roman" w:eastAsia="宋体" w:cs="Times New Roman"/>
          <w:szCs w:val="24"/>
        </w:rPr>
        <w:t>深圳智慧采购平台投标文件制作专用软件（以下简称：投标文件制作软件）制作并加密的投标文件，适用于网上投标；（投标文件制作软件可从“下载地址：</w:t>
      </w:r>
      <w:r>
        <w:rPr>
          <w:rFonts w:hint="eastAsia" w:ascii="宋体" w:hAnsi="宋体"/>
          <w:szCs w:val="21"/>
        </w:rPr>
        <w:t>http://zfcg.szggzy.com:8081/cgxy/013002/20210923/173e0b2c-7a4c-4246-a0c7-e0ea75d84dd6.html深圳智慧采购平台投标文件制作专用软件.zip”下载</w:t>
      </w:r>
      <w:r>
        <w:rPr>
          <w:rFonts w:hint="eastAsia" w:ascii="Times New Roman" w:hAnsi="Times New Roman" w:eastAsia="宋体" w:cs="Times New Roman"/>
          <w:szCs w:val="24"/>
        </w:rPr>
        <w:t>）</w:t>
      </w:r>
      <w:r>
        <w:rPr>
          <w:rFonts w:ascii="Times New Roman" w:hAnsi="Times New Roman" w:eastAsia="宋体" w:cs="Times New Roman"/>
          <w:szCs w:val="21"/>
        </w:rPr>
        <w:t>；</w:t>
      </w:r>
    </w:p>
    <w:p w14:paraId="226C2E8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8</w:t>
      </w:r>
      <w:r>
        <w:rPr>
          <w:rFonts w:ascii="Times New Roman" w:hAnsi="Times New Roman" w:eastAsia="宋体" w:cs="Times New Roman"/>
          <w:szCs w:val="21"/>
        </w:rPr>
        <w:t>“网上投标”指通过</w:t>
      </w:r>
      <w:r>
        <w:rPr>
          <w:rFonts w:ascii="Times New Roman" w:hAnsi="Times New Roman" w:eastAsia="宋体" w:cs="Times New Roman"/>
          <w:b/>
          <w:bCs/>
          <w:color w:val="FF0000"/>
          <w:szCs w:val="21"/>
        </w:rPr>
        <w:t>深圳公共资源交易中心（深圳交易集团有限公司</w:t>
      </w:r>
      <w:r>
        <w:rPr>
          <w:rFonts w:hint="eastAsia" w:ascii="Times New Roman" w:hAnsi="Times New Roman" w:eastAsia="宋体" w:cs="Times New Roman"/>
          <w:b/>
          <w:bCs/>
          <w:color w:val="FF0000"/>
          <w:szCs w:val="21"/>
        </w:rPr>
        <w:t>南山</w:t>
      </w:r>
      <w:r>
        <w:rPr>
          <w:rFonts w:ascii="Times New Roman" w:hAnsi="Times New Roman" w:eastAsia="宋体" w:cs="Times New Roman"/>
          <w:b/>
          <w:bCs/>
          <w:color w:val="FF0000"/>
          <w:szCs w:val="21"/>
        </w:rPr>
        <w:t>分公司）</w:t>
      </w:r>
      <w:r>
        <w:rPr>
          <w:rFonts w:ascii="Times New Roman" w:hAnsi="Times New Roman" w:eastAsia="宋体" w:cs="Times New Roman"/>
          <w:szCs w:val="21"/>
        </w:rPr>
        <w:t>网站上传电子投标文件；</w:t>
      </w:r>
    </w:p>
    <w:p w14:paraId="67BE81D0">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9</w:t>
      </w:r>
      <w:r>
        <w:rPr>
          <w:rFonts w:ascii="Times New Roman" w:hAnsi="Times New Roman" w:eastAsia="宋体" w:cs="Times New Roman"/>
          <w:szCs w:val="21"/>
        </w:rPr>
        <w:t>招标文件中的标题或题名仅起引导作用，而不应视为对招标文件内容的理解和解释。</w:t>
      </w:r>
    </w:p>
    <w:p w14:paraId="3A67959E">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 xml:space="preserve">4. </w:t>
      </w:r>
      <w:bookmarkStart w:id="42" w:name="_Hlk72398643"/>
      <w:r>
        <w:rPr>
          <w:rFonts w:ascii="Times New Roman" w:hAnsi="Times New Roman" w:eastAsia="黑体" w:cs="Times New Roman"/>
          <w:sz w:val="24"/>
          <w:szCs w:val="24"/>
        </w:rPr>
        <w:t>政府采购供应商责任</w:t>
      </w:r>
    </w:p>
    <w:p w14:paraId="2CA61BB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4.1欢迎诚信、有实力和有社会责任心的供应商参与政府采购事业。</w:t>
      </w:r>
    </w:p>
    <w:p w14:paraId="1602780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4.2投标人应当遵循公平竞争的原则，不得恶意串通，不得妨碍其他投标人的竞争行为，不得损害采购人或者其他投标人的合法权益。如违反上述要求，经核实后，供应商的投标无效。</w:t>
      </w:r>
    </w:p>
    <w:p w14:paraId="79AE93F3">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5．投标人参加政府采购的条件</w:t>
      </w:r>
    </w:p>
    <w:p w14:paraId="798AB93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5.1投标人应在投标前到</w:t>
      </w:r>
      <w:r>
        <w:rPr>
          <w:rFonts w:ascii="Times New Roman" w:hAnsi="Times New Roman" w:eastAsia="宋体" w:cs="Times New Roman"/>
          <w:b/>
          <w:bCs/>
          <w:szCs w:val="21"/>
        </w:rPr>
        <w:t>深圳公共资源交易中心（具体在深圳交易集团有限公司政府采购业务分公司进行办理）</w:t>
      </w:r>
      <w:r>
        <w:rPr>
          <w:rFonts w:ascii="Times New Roman" w:hAnsi="Times New Roman" w:eastAsia="宋体" w:cs="Times New Roman"/>
          <w:szCs w:val="21"/>
        </w:rPr>
        <w:t>进行注册并办理电子密钥。</w:t>
      </w:r>
      <w:r>
        <w:rPr>
          <w:rFonts w:hint="eastAsia" w:ascii="Times New Roman" w:hAnsi="Times New Roman" w:eastAsia="宋体" w:cs="Times New Roman"/>
          <w:szCs w:val="21"/>
        </w:rPr>
        <w:t>《供应商注册及信息变更指引》详见www.szggzy.com网站“交易服务指南-政府采购”。</w:t>
      </w:r>
    </w:p>
    <w:p w14:paraId="6BE5DF9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5.2投标人资格要求</w:t>
      </w:r>
    </w:p>
    <w:p w14:paraId="37DA6A10">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参加本项目的投标人应具备的资格条件详见本项目招标公告中 “投标人资格要求”（即申请人的资格要求）的内容。</w:t>
      </w:r>
    </w:p>
    <w:p w14:paraId="6F5C5CE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5.3联合体投标</w:t>
      </w:r>
    </w:p>
    <w:p w14:paraId="744D59F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5.3.1</w:t>
      </w:r>
      <w:r>
        <w:rPr>
          <w:rFonts w:hint="eastAsia" w:ascii="Times New Roman" w:hAnsi="Times New Roman" w:eastAsia="宋体" w:cs="Times New Roman"/>
          <w:szCs w:val="21"/>
        </w:rPr>
        <w:t xml:space="preserve">  </w:t>
      </w:r>
      <w:r>
        <w:rPr>
          <w:rFonts w:ascii="Times New Roman" w:hAnsi="Times New Roman" w:eastAsia="宋体" w:cs="Times New Roman"/>
          <w:szCs w:val="21"/>
        </w:rPr>
        <w:t>以下有关联合体投标的条款仅适用于允许投标人组成联合体投标的项目。</w:t>
      </w:r>
    </w:p>
    <w:p w14:paraId="035BAB4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5.3.2  由两个或两个以上的自然人、法人或者其他组织可以组成一个联合体，以一个供应商的身份共同投标时，应符合以下原则：</w:t>
      </w:r>
    </w:p>
    <w:p w14:paraId="71B5466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（1）投标联合体各方参加政府采购活动应当具备下列条件：</w:t>
      </w:r>
    </w:p>
    <w:p w14:paraId="06D9391A">
      <w:pPr>
        <w:spacing w:line="276" w:lineRule="auto"/>
        <w:ind w:left="420" w:leftChars="200" w:firstLine="411" w:firstLineChars="196"/>
        <w:rPr>
          <w:rFonts w:ascii="Times New Roman" w:hAnsi="Times New Roman" w:eastAsia="宋体" w:cs="Times New Roman"/>
          <w:szCs w:val="24"/>
        </w:rPr>
      </w:pPr>
      <w:r>
        <w:rPr>
          <w:rFonts w:ascii="Times New Roman" w:hAnsi="Times New Roman" w:eastAsia="宋体" w:cs="Times New Roman"/>
          <w:szCs w:val="24"/>
        </w:rPr>
        <w:t>1、具有独立承担民事责任的能力；</w:t>
      </w:r>
    </w:p>
    <w:p w14:paraId="1B3EEBAC">
      <w:pPr>
        <w:spacing w:line="276" w:lineRule="auto"/>
        <w:ind w:left="420" w:firstLine="411" w:firstLineChars="196"/>
        <w:rPr>
          <w:rFonts w:ascii="Times New Roman" w:hAnsi="Times New Roman" w:eastAsia="宋体" w:cs="Times New Roman"/>
          <w:szCs w:val="24"/>
        </w:rPr>
      </w:pPr>
      <w:r>
        <w:rPr>
          <w:rFonts w:ascii="Times New Roman" w:hAnsi="Times New Roman" w:eastAsia="宋体" w:cs="Times New Roman"/>
          <w:szCs w:val="24"/>
        </w:rPr>
        <w:t>2、有良好的商业信誉和健全的财务会计制度；</w:t>
      </w:r>
    </w:p>
    <w:p w14:paraId="52DE3595">
      <w:pPr>
        <w:spacing w:line="276" w:lineRule="auto"/>
        <w:ind w:left="420" w:leftChars="200" w:firstLine="411" w:firstLineChars="196"/>
        <w:rPr>
          <w:rFonts w:ascii="Times New Roman" w:hAnsi="Times New Roman" w:eastAsia="宋体" w:cs="Times New Roman"/>
          <w:szCs w:val="24"/>
        </w:rPr>
      </w:pPr>
      <w:r>
        <w:rPr>
          <w:rFonts w:ascii="Times New Roman" w:hAnsi="Times New Roman" w:eastAsia="宋体" w:cs="Times New Roman"/>
          <w:szCs w:val="24"/>
        </w:rPr>
        <w:t>3、具有履行合同所必需的设备和专业技术能力；</w:t>
      </w:r>
    </w:p>
    <w:p w14:paraId="62BF3E0F">
      <w:pPr>
        <w:spacing w:line="276" w:lineRule="auto"/>
        <w:ind w:left="420" w:leftChars="200" w:firstLine="411" w:firstLineChars="196"/>
        <w:rPr>
          <w:rFonts w:ascii="Times New Roman" w:hAnsi="Times New Roman" w:eastAsia="宋体" w:cs="Times New Roman"/>
          <w:szCs w:val="24"/>
        </w:rPr>
      </w:pPr>
      <w:r>
        <w:rPr>
          <w:rFonts w:ascii="Times New Roman" w:hAnsi="Times New Roman" w:eastAsia="宋体" w:cs="Times New Roman"/>
          <w:szCs w:val="24"/>
        </w:rPr>
        <w:t>4、有依法缴纳税收和社会保障资金的良好记录；</w:t>
      </w:r>
    </w:p>
    <w:p w14:paraId="24C14E28">
      <w:pPr>
        <w:spacing w:line="276" w:lineRule="auto"/>
        <w:ind w:left="420" w:leftChars="200" w:firstLine="411" w:firstLineChars="196"/>
        <w:rPr>
          <w:rFonts w:ascii="Times New Roman" w:hAnsi="Times New Roman" w:eastAsia="宋体" w:cs="Times New Roman"/>
          <w:szCs w:val="24"/>
        </w:rPr>
      </w:pPr>
      <w:r>
        <w:rPr>
          <w:rFonts w:ascii="Times New Roman" w:hAnsi="Times New Roman" w:eastAsia="宋体" w:cs="Times New Roman"/>
          <w:szCs w:val="24"/>
        </w:rPr>
        <w:t>5、参加政府采购活动前三年内，在经营活动中没有重大违法记录；</w:t>
      </w:r>
    </w:p>
    <w:p w14:paraId="7F705B3B">
      <w:pPr>
        <w:spacing w:line="276" w:lineRule="auto"/>
        <w:ind w:left="420" w:leftChars="200" w:firstLine="411" w:firstLineChars="196"/>
        <w:rPr>
          <w:rFonts w:ascii="Times New Roman" w:hAnsi="Times New Roman" w:eastAsia="宋体" w:cs="Times New Roman"/>
          <w:szCs w:val="24"/>
        </w:rPr>
      </w:pPr>
      <w:r>
        <w:rPr>
          <w:rFonts w:ascii="Times New Roman" w:hAnsi="Times New Roman" w:eastAsia="宋体" w:cs="Times New Roman"/>
          <w:szCs w:val="24"/>
        </w:rPr>
        <w:t>6、法律、行政法规规定的其他条件。</w:t>
      </w:r>
    </w:p>
    <w:p w14:paraId="017C0E8D">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（2）在投标截止前，投标联合体各方均应注册成政府集中采购机构供应商；</w:t>
      </w:r>
    </w:p>
    <w:p w14:paraId="412FC32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（3）联合体中有同类资质的供应商按照联合体分工承担相同工作的，应当按照资质等级较低的供应商确定资质等级；</w:t>
      </w:r>
    </w:p>
    <w:p w14:paraId="6AD978E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（4）是否允许联合体参加投标，应当由采购人和采购代理机构根据项目的实际情况和潜在供应商的数量自主决定，如果决定接受联合体投标则应当在招标公告中明示；</w:t>
      </w:r>
    </w:p>
    <w:p w14:paraId="0B1DEB7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（5）投标人的投标文件及中标后签署的合同协议对联合体各方均具法律约束力；</w:t>
      </w:r>
    </w:p>
    <w:p w14:paraId="0A8C0FE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（6）联合体各方应当签订联合体投标协议，明确约定各方拟承担的工作和责任，并将该协议随投标文件一并递交给政府集中采购机构；</w:t>
      </w:r>
    </w:p>
    <w:p w14:paraId="747C414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（7）联合体中标后，联合体各方应当共同与采购人签订合同，就中标项目向采购人承担连带责任；</w:t>
      </w:r>
    </w:p>
    <w:p w14:paraId="47BD922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FD3959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4"/>
        </w:rPr>
        <w:t>（9）本通用条款中“投标人”一词亦指联合体各方，专用条款另有规定或说明的除外。</w:t>
      </w:r>
    </w:p>
    <w:p w14:paraId="36432EB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6．政策导向</w:t>
      </w:r>
    </w:p>
    <w:p w14:paraId="31DA239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6.1政府采购扶持贫困地区、中小企业、监狱企业和残疾人福利性单位发展，支持节能减排、环境保护。</w:t>
      </w:r>
    </w:p>
    <w:p w14:paraId="371C9217">
      <w:pPr>
        <w:spacing w:line="276" w:lineRule="auto"/>
        <w:ind w:firstLine="405"/>
        <w:rPr>
          <w:rFonts w:ascii="Times New Roman" w:hAnsi="Times New Roman" w:eastAsia="宋体" w:cs="Times New Roman"/>
          <w:szCs w:val="24"/>
        </w:rPr>
      </w:pPr>
      <w:r>
        <w:rPr>
          <w:rFonts w:ascii="Times New Roman" w:hAnsi="Times New Roman" w:eastAsia="宋体" w:cs="Times New Roman"/>
          <w:szCs w:val="24"/>
        </w:rPr>
        <w:t>6.2本项目落实深圳市政府采购供应商诚信管理政策要求。</w:t>
      </w:r>
    </w:p>
    <w:p w14:paraId="7198CF68">
      <w:pPr>
        <w:ind w:firstLine="405"/>
      </w:pPr>
      <w:r>
        <w:rPr>
          <w:rFonts w:hint="eastAsia" w:ascii="宋体" w:hAnsi="宋体"/>
        </w:rPr>
        <w:t>6.3  本项目支持投标人性别平等的相关政策。</w:t>
      </w:r>
    </w:p>
    <w:p w14:paraId="542F654B">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7</w:t>
      </w:r>
      <w:r>
        <w:rPr>
          <w:rFonts w:hint="eastAsia" w:ascii="Times New Roman" w:hAnsi="Times New Roman" w:eastAsia="黑体" w:cs="Times New Roman"/>
          <w:sz w:val="24"/>
          <w:szCs w:val="24"/>
        </w:rPr>
        <w:t>．</w:t>
      </w:r>
      <w:r>
        <w:rPr>
          <w:rFonts w:ascii="Times New Roman" w:hAnsi="Times New Roman" w:eastAsia="黑体" w:cs="Times New Roman"/>
          <w:sz w:val="24"/>
          <w:szCs w:val="24"/>
        </w:rPr>
        <w:t>本项目若涉及采购货物，则合格的货物及相应服务应满足以下要求：</w:t>
      </w:r>
    </w:p>
    <w:p w14:paraId="617997FE">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7.1必须是全新、未使用过的原装合格正品（包括零部件），如安装或配置了软件的，须为正版软件。</w:t>
      </w:r>
    </w:p>
    <w:p w14:paraId="46DDF63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7.2国产的货物及其有关服务必须符合中华人民共和国的设计、制造生产标准及行业标准。招标公告有其他要求的，亦应符合其要求。</w:t>
      </w:r>
    </w:p>
    <w:p w14:paraId="025DDB95">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36EA3BC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7.4投标人</w:t>
      </w:r>
      <w:bookmarkStart w:id="43" w:name="_Hlk72152753"/>
      <w:r>
        <w:rPr>
          <w:rFonts w:ascii="Times New Roman" w:hAnsi="Times New Roman" w:eastAsia="宋体" w:cs="Times New Roman"/>
          <w:szCs w:val="24"/>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43"/>
    </w:p>
    <w:p w14:paraId="7B546B7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7.5</w:t>
      </w:r>
      <w:r>
        <w:rPr>
          <w:rFonts w:hint="eastAsia" w:ascii="Times New Roman" w:hAnsi="Times New Roman" w:eastAsia="宋体" w:cs="Times New Roman"/>
          <w:szCs w:val="24"/>
        </w:rPr>
        <w:t>投标</w:t>
      </w:r>
      <w:r>
        <w:rPr>
          <w:rFonts w:ascii="Times New Roman" w:hAnsi="Times New Roman" w:eastAsia="宋体" w:cs="Times New Roman"/>
          <w:szCs w:val="24"/>
        </w:rPr>
        <w:t>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6B4A7406">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7.6工期要求：投标人在投标时对其所投项目应提交交货进度、交货计划等，在合同规定的时间内完成项目实施工作。</w:t>
      </w:r>
    </w:p>
    <w:p w14:paraId="76C25C8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7.7投标人必须承担的设备运输、安装调试、验收检测和提供设备操作说明书、图纸等其他相关及类似的义务。</w:t>
      </w:r>
    </w:p>
    <w:p w14:paraId="4527EF5E">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8．投标费用</w:t>
      </w:r>
    </w:p>
    <w:p w14:paraId="01752BD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不论投标结果如何，投标人应承担其编制投标文件与递交投标文件所涉及的一切费用。</w:t>
      </w:r>
    </w:p>
    <w:p w14:paraId="1D8B05F7">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9．踏勘现场</w:t>
      </w:r>
    </w:p>
    <w:p w14:paraId="6E9CA89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9.1如有需要（详见专用条款），采购人或政府集中采购机构将组织投标人对项目现场及周围环境进行踏勘，以便投标人获取有关编制投标文件和签署合同所需的资料。踏勘现场所发生的费用由投标人自行承担。投标人应按招标文件所约定的时间、地点踏勘现场。</w:t>
      </w:r>
    </w:p>
    <w:p w14:paraId="3A4C5C4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9.2投标人及其人员经过采购人的允许，可以进入采购人的项目现场踏勘。若招标文件要求投标人于统一时间地点踏勘现场的，投标人应当按时前往。</w:t>
      </w:r>
    </w:p>
    <w:p w14:paraId="1AF110D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9.3采购人应当通过政府集中采购机构向投标人提供有关现场的书面资料和数据。</w:t>
      </w:r>
    </w:p>
    <w:p w14:paraId="1B6E69F6">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9.4任何人或任何组织在踏勘现场时向投标人提供的任何书面资料或口头承诺，未经政府集中采购机构在网上发布或书面通知，均作无效处理。</w:t>
      </w:r>
    </w:p>
    <w:p w14:paraId="5F32431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9.5未参与踏勘现场不作为否定投标人资格的理由。</w:t>
      </w:r>
    </w:p>
    <w:p w14:paraId="10545D1E">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10．标前会议</w:t>
      </w:r>
    </w:p>
    <w:p w14:paraId="3F98A0F0">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10.1如采购人或政府集中采购机构认为有必要组织标前会议，投标人应按照招标文件规定的时间或政府集中采购机构另行书面通知（包括政府集中采购机构网站发布方式，如更正公告等）的时间和地点，参与标前会议。</w:t>
      </w:r>
    </w:p>
    <w:p w14:paraId="27C8A63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4"/>
        </w:rPr>
        <w:t>10.2任何人或任何组织在标前会议时向投标人提供的任何书面资料或口头承诺，未经政府集中采购机构在网上发布或书面通知，均作无效处理。</w:t>
      </w:r>
    </w:p>
    <w:p w14:paraId="0524575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10.3未参与标前会议不作为否定投标人资格的理由。</w:t>
      </w:r>
    </w:p>
    <w:bookmarkEnd w:id="42"/>
    <w:p w14:paraId="1ACC35A3">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招标文件</w:t>
      </w:r>
    </w:p>
    <w:p w14:paraId="0CE0171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11．</w:t>
      </w:r>
      <w:bookmarkStart w:id="44" w:name="_Hlk72399819"/>
      <w:r>
        <w:rPr>
          <w:rFonts w:ascii="Times New Roman" w:hAnsi="Times New Roman" w:eastAsia="黑体" w:cs="Times New Roman"/>
          <w:sz w:val="24"/>
          <w:szCs w:val="24"/>
        </w:rPr>
        <w:t>招标文件的编制与组成</w:t>
      </w:r>
    </w:p>
    <w:p w14:paraId="25EB1001">
      <w:pPr>
        <w:snapToGrid w:val="0"/>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11.1招标文件除以下内容外，政府集中采购机构在招标期间发出的澄清或修改等相关公告或通知内容，均是招标文件的组成部分，对投标人起约束作用；</w:t>
      </w:r>
    </w:p>
    <w:p w14:paraId="4F76539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招标文件包括下列内容：</w:t>
      </w:r>
    </w:p>
    <w:p w14:paraId="4288C3B8">
      <w:pPr>
        <w:spacing w:line="276" w:lineRule="auto"/>
        <w:ind w:left="420" w:leftChars="200" w:firstLine="413" w:firstLineChars="196"/>
        <w:rPr>
          <w:rFonts w:ascii="Times New Roman" w:hAnsi="Times New Roman" w:eastAsia="宋体" w:cs="Times New Roman"/>
          <w:b/>
          <w:szCs w:val="21"/>
        </w:rPr>
      </w:pPr>
      <w:r>
        <w:rPr>
          <w:rFonts w:ascii="Times New Roman" w:hAnsi="Times New Roman" w:eastAsia="宋体" w:cs="Times New Roman"/>
          <w:b/>
          <w:szCs w:val="21"/>
        </w:rPr>
        <w:t>第一册  专用条款</w:t>
      </w:r>
    </w:p>
    <w:p w14:paraId="2D823B18">
      <w:pPr>
        <w:spacing w:line="276" w:lineRule="auto"/>
        <w:ind w:left="1079" w:leftChars="514"/>
        <w:rPr>
          <w:rFonts w:ascii="Times New Roman" w:hAnsi="Times New Roman" w:eastAsia="宋体" w:cs="Times New Roman"/>
          <w:b/>
          <w:szCs w:val="21"/>
        </w:rPr>
      </w:pPr>
      <w:r>
        <w:rPr>
          <w:rFonts w:ascii="Times New Roman" w:hAnsi="Times New Roman" w:eastAsia="宋体" w:cs="Times New Roman"/>
          <w:b/>
          <w:szCs w:val="21"/>
        </w:rPr>
        <w:t>关键信息</w:t>
      </w:r>
    </w:p>
    <w:p w14:paraId="115DC9E1">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第一章  招标公告</w:t>
      </w:r>
    </w:p>
    <w:p w14:paraId="6DB78CD7">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第二章  对通用条款的补充内容及其他关键信息</w:t>
      </w:r>
    </w:p>
    <w:p w14:paraId="61A6F342">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第三章  用户需求书</w:t>
      </w:r>
    </w:p>
    <w:p w14:paraId="6039699B">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第四章 投标文件格式及附件</w:t>
      </w:r>
    </w:p>
    <w:p w14:paraId="1A408D38">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第五章  合同条款及格式</w:t>
      </w:r>
    </w:p>
    <w:p w14:paraId="1885976A">
      <w:pPr>
        <w:spacing w:line="276" w:lineRule="auto"/>
        <w:ind w:left="420" w:leftChars="200" w:firstLine="413" w:firstLineChars="196"/>
        <w:rPr>
          <w:rFonts w:ascii="Times New Roman" w:hAnsi="Times New Roman" w:eastAsia="宋体" w:cs="Times New Roman"/>
          <w:b/>
          <w:szCs w:val="21"/>
        </w:rPr>
      </w:pPr>
      <w:r>
        <w:rPr>
          <w:rFonts w:ascii="Times New Roman" w:hAnsi="Times New Roman" w:eastAsia="宋体" w:cs="Times New Roman"/>
          <w:b/>
          <w:szCs w:val="21"/>
        </w:rPr>
        <w:t>第二册  通用条款</w:t>
      </w:r>
    </w:p>
    <w:p w14:paraId="4CF18C93">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第一章  总则</w:t>
      </w:r>
    </w:p>
    <w:p w14:paraId="2EADF400">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第二章  招标文件</w:t>
      </w:r>
    </w:p>
    <w:p w14:paraId="705A7377">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第三章  投标文件的编制</w:t>
      </w:r>
    </w:p>
    <w:p w14:paraId="50D2C48B">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第四章  投标文件的递交</w:t>
      </w:r>
    </w:p>
    <w:p w14:paraId="2E4A5545">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第五章  开标</w:t>
      </w:r>
    </w:p>
    <w:p w14:paraId="3A28195C">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第六章  评审要求</w:t>
      </w:r>
    </w:p>
    <w:p w14:paraId="66EABED2">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第七章  评审程序及评审方法</w:t>
      </w:r>
    </w:p>
    <w:p w14:paraId="3A24EE5D">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第八章  定标及公示</w:t>
      </w:r>
    </w:p>
    <w:p w14:paraId="684178D0">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第九章  公开招标失败的后续处理</w:t>
      </w:r>
    </w:p>
    <w:p w14:paraId="61596B74">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第十章  合同的授予与备案</w:t>
      </w:r>
    </w:p>
    <w:p w14:paraId="5473D9CA">
      <w:pPr>
        <w:spacing w:line="276" w:lineRule="auto"/>
        <w:ind w:firstLine="1050" w:firstLineChars="500"/>
        <w:rPr>
          <w:rFonts w:ascii="Times New Roman" w:hAnsi="Times New Roman" w:eastAsia="宋体" w:cs="Times New Roman"/>
          <w:szCs w:val="24"/>
        </w:rPr>
      </w:pPr>
      <w:r>
        <w:rPr>
          <w:rFonts w:ascii="Times New Roman" w:hAnsi="Times New Roman" w:eastAsia="宋体" w:cs="Times New Roman"/>
          <w:szCs w:val="24"/>
        </w:rPr>
        <w:t>第十一章  质疑处理</w:t>
      </w:r>
    </w:p>
    <w:p w14:paraId="7BC200D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11.2投标人下载招标文件后，应仔细检查招标文件的所有内容，如有疑问应在答疑截止时间之前向政府集中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447D0EB">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11.3</w:t>
      </w:r>
      <w:r>
        <w:rPr>
          <w:rFonts w:ascii="Times New Roman" w:hAnsi="Times New Roman" w:eastAsia="宋体" w:cs="Times New Roman"/>
          <w:szCs w:val="24"/>
        </w:rPr>
        <w:t>任何人或任何组织向投标人提交的任何书面或口头资料，未经政府集中采购机构在网上发布或书面通知，均作无效处理，不得作为招标文件的组成部分。政府集中采购机构对投标人由此而做出的推论、理解和结论概不负责。</w:t>
      </w:r>
    </w:p>
    <w:p w14:paraId="3DF80FE8">
      <w:pPr>
        <w:pStyle w:val="18"/>
        <w:ind w:firstLine="420" w:firstLineChars="200"/>
      </w:pPr>
      <w:r>
        <w:rPr>
          <w:rFonts w:hint="eastAsia" w:ascii="宋体" w:hAnsi="宋体"/>
        </w:rPr>
        <w:t>11.4招标文件所称“原件备查”，是指在项目产生质疑、投诉等阶段，主管部门、采购人、代理机构、评审委员会等可以要求供应商提供原件进行核查。</w:t>
      </w:r>
    </w:p>
    <w:p w14:paraId="19B993AA">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12．招标文件的澄清</w:t>
      </w:r>
    </w:p>
    <w:p w14:paraId="29A4A67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12.1招标文件澄清的目的是澄清、解答投标人在查阅招标文件后或现场踏勘中可能提出的与投标有关的疑问或询问。</w:t>
      </w:r>
    </w:p>
    <w:p w14:paraId="09034AC3">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12.2投标人如对招标文件内容有疑问，应当在招标公告规定的澄清（提问）截止时间前以网上提问的形式通过网上政府采购系统提交政府集中采购机构。</w:t>
      </w:r>
    </w:p>
    <w:p w14:paraId="645325F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12.3不论是政府集中采购机构根据需要主动对招标文件进行必要的澄清或是根据投标人的要求对招标文件做出澄清，政府集中采购机构都将在投标截止日期前以书面形式（包括政府集中采购机构网站发布方式）答复或发送给所有投标人。答复内容是招标文件的组成部分，对投标人起约束作用，其有效性按照本通用条款第13.3、13.4款规定执行。</w:t>
      </w:r>
    </w:p>
    <w:p w14:paraId="447490D2">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13．招标文件的修改</w:t>
      </w:r>
    </w:p>
    <w:p w14:paraId="30F6197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13.1招标文件发出后，在投标截止日期前任何时候，确需要变更招标文件内容的，政府集中采购机构可主动或在解答投标人提出的澄清问题时对招标文件进行修改。</w:t>
      </w:r>
    </w:p>
    <w:p w14:paraId="7E60D28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13.2招标文件的修改以书面形式（包括政府集中采购机构网站发布方式，如更正公告等）发送给所有投标人，招标文件的修改内容作为招标文件的组成部分，并具有约束力。</w:t>
      </w:r>
    </w:p>
    <w:p w14:paraId="5CF27A9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13.3招标文件、招标文件澄清答复内容、招标文件修改补充内容均以书面形式（包括政府集中采购机构网站公开发布方式，如更正公告等）明确的内容为准。当招标文件、修改补充通知、招标文件澄清答复内容相互矛盾时，以最后发出的内容为准。</w:t>
      </w:r>
    </w:p>
    <w:p w14:paraId="6180CD1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13.4政府集中采购机构保证招标文件澄清答复内容和招标文件修改补充内容在投标截止时间前以书面形式（包括政府集中采购机构网站发布方式，如更正公告等）发送给所有投标人。为使投标人在编制投标文件时有充分时间对招标文件的修改部分进行研究，政府集中采购机构可以酌情延长递交投标文件的截止日期。</w:t>
      </w:r>
      <w:bookmarkEnd w:id="44"/>
    </w:p>
    <w:p w14:paraId="0E66CD53">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投标文件的编制</w:t>
      </w:r>
    </w:p>
    <w:p w14:paraId="7627A24F">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14．</w:t>
      </w:r>
      <w:bookmarkStart w:id="45" w:name="_Hlk72400236"/>
      <w:r>
        <w:rPr>
          <w:rFonts w:ascii="Times New Roman" w:hAnsi="Times New Roman" w:eastAsia="黑体" w:cs="Times New Roman"/>
          <w:sz w:val="24"/>
          <w:szCs w:val="24"/>
        </w:rPr>
        <w:t>投标文件的语言及度量单位</w:t>
      </w:r>
    </w:p>
    <w:p w14:paraId="7AA2B693">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14.1投标人与政府集中采购机构之间与投标有关的所有往来通知、函件和投标文件均用中文表述。投标人随投标文件提供的证明文件和资料可以为其它语言，但必须附中文译文。翻译的中文资料与外文资料如果出现差异时，以中文为准。</w:t>
      </w:r>
    </w:p>
    <w:p w14:paraId="0D8068E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14.2除技术规范另有规定外，投标文件使用的度量单位，均采用中华人民共和国法定计量单位。</w:t>
      </w:r>
    </w:p>
    <w:bookmarkEnd w:id="45"/>
    <w:p w14:paraId="6CB751A0">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15．</w:t>
      </w:r>
      <w:bookmarkStart w:id="46" w:name="_Hlk72401567"/>
      <w:r>
        <w:rPr>
          <w:rFonts w:ascii="Times New Roman" w:hAnsi="Times New Roman" w:eastAsia="黑体" w:cs="Times New Roman"/>
          <w:sz w:val="24"/>
          <w:szCs w:val="24"/>
        </w:rPr>
        <w:t>投标文件的组成</w:t>
      </w:r>
    </w:p>
    <w:p w14:paraId="4014B8A1">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具体内容在招标文件专用条款中进行规定。</w:t>
      </w:r>
    </w:p>
    <w:p w14:paraId="4EF36578">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16．投标文件格式</w:t>
      </w:r>
    </w:p>
    <w:p w14:paraId="6F72B38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投标文件包括本通用条款第15条中规定的内容。如招标文件提供了投标文件格式，则</w:t>
      </w:r>
      <w:r>
        <w:rPr>
          <w:rFonts w:ascii="Times New Roman" w:hAnsi="Times New Roman" w:eastAsia="宋体" w:cs="Times New Roman"/>
          <w:b/>
          <w:bCs/>
          <w:szCs w:val="21"/>
        </w:rPr>
        <w:t>投标人提交的投标文件应毫无例外地使用招标文件所提供的相应格式</w:t>
      </w:r>
      <w:r>
        <w:rPr>
          <w:rFonts w:ascii="Times New Roman" w:hAnsi="Times New Roman" w:eastAsia="宋体" w:cs="Times New Roman"/>
          <w:szCs w:val="21"/>
        </w:rPr>
        <w:t>（表格均可按同样格式扩展）。</w:t>
      </w:r>
    </w:p>
    <w:p w14:paraId="4CCFF6AF">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17．投标货币</w:t>
      </w:r>
    </w:p>
    <w:p w14:paraId="02101DE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本项目的投标报价应以人民币计。</w:t>
      </w:r>
    </w:p>
    <w:bookmarkEnd w:id="46"/>
    <w:p w14:paraId="5BA1AB13">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18．</w:t>
      </w:r>
      <w:bookmarkStart w:id="47" w:name="_Hlk72401735"/>
      <w:r>
        <w:rPr>
          <w:rFonts w:ascii="Times New Roman" w:hAnsi="Times New Roman" w:eastAsia="黑体" w:cs="Times New Roman"/>
          <w:sz w:val="24"/>
          <w:szCs w:val="24"/>
        </w:rPr>
        <w:t>证明投标文件投标技术方案的合格性和符合招标文件规定的文件要求</w:t>
      </w:r>
    </w:p>
    <w:p w14:paraId="561481A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18.1投标人应提交证明文件，证明其投标技术方案项下的货物和服务的合格性符合招标文件规定。该投标技术方案及其证明文件均作为投标文件组成部分。</w:t>
      </w:r>
    </w:p>
    <w:p w14:paraId="4C17F99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218C34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18.2.1主要技术指标和性能的详细说明。</w:t>
      </w:r>
    </w:p>
    <w:p w14:paraId="7C09F4A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18.2.2投标产品从采购人开始使用至招标文件中规定的周期内正常、连续地使用所必须的备件和专用工具清单，包括备件和专用工具的货源及现行价格。</w:t>
      </w:r>
    </w:p>
    <w:p w14:paraId="608C8F8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18.2.3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6DE3DD1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ascii="Times New Roman" w:hAnsi="Times New Roman" w:eastAsia="宋体" w:cs="Times New Roman"/>
          <w:szCs w:val="24"/>
        </w:rPr>
        <w:t>清晰度要求能够使用电脑阅读、识别和判断</w:t>
      </w:r>
      <w:r>
        <w:rPr>
          <w:rFonts w:ascii="Times New Roman" w:hAnsi="Times New Roman" w:eastAsia="宋体" w:cs="Times New Roman"/>
          <w:szCs w:val="21"/>
        </w:rPr>
        <w:t>；</w:t>
      </w:r>
    </w:p>
    <w:p w14:paraId="7341EDB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18.2.5我国政府机构出具的产品检验和核准证件应为证件正面、背面和附件标注的全部具体内容；产品检验和核准证件的尺寸和清晰度应该能够在电脑上被阅读、识别和判断，提供原件扫描件。</w:t>
      </w:r>
    </w:p>
    <w:p w14:paraId="3C74D7D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18.3相关资料不符合18.2款要求的，评审委员会有权认定为投标技术方案不合格响应，其相关分数予以扣减或作投标无效处理。</w:t>
      </w:r>
    </w:p>
    <w:p w14:paraId="2587433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ascii="Times New Roman" w:hAnsi="Times New Roman" w:eastAsia="宋体" w:cs="Times New Roman"/>
          <w:szCs w:val="24"/>
        </w:rPr>
        <w:t>满足要求</w:t>
      </w:r>
      <w:r>
        <w:rPr>
          <w:rFonts w:ascii="Times New Roman" w:hAnsi="Times New Roman" w:eastAsia="宋体" w:cs="Times New Roman"/>
          <w:szCs w:val="21"/>
        </w:rPr>
        <w:t>，由评审委员会来评判。</w:t>
      </w:r>
    </w:p>
    <w:p w14:paraId="1313FD6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18.5除非另有规定或说明，投标人对同一项目投标时，不得同时提供两套或两套以上的投标方案。</w:t>
      </w:r>
    </w:p>
    <w:bookmarkEnd w:id="47"/>
    <w:p w14:paraId="60F5BD78">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19．</w:t>
      </w:r>
      <w:bookmarkStart w:id="48" w:name="_Hlk72402034"/>
      <w:r>
        <w:rPr>
          <w:rFonts w:ascii="Times New Roman" w:hAnsi="Times New Roman" w:eastAsia="黑体" w:cs="Times New Roman"/>
          <w:sz w:val="24"/>
          <w:szCs w:val="24"/>
        </w:rPr>
        <w:t>投标文件其他证明文件的要求</w:t>
      </w:r>
    </w:p>
    <w:p w14:paraId="32135E67">
      <w:pPr>
        <w:spacing w:line="276" w:lineRule="auto"/>
        <w:ind w:firstLine="420" w:firstLineChars="200"/>
        <w:rPr>
          <w:rFonts w:ascii="Times New Roman" w:hAnsi="Times New Roman" w:eastAsia="宋体" w:cs="Times New Roman"/>
          <w:color w:val="FF0000"/>
          <w:szCs w:val="21"/>
        </w:rPr>
      </w:pPr>
      <w:r>
        <w:rPr>
          <w:rFonts w:ascii="Times New Roman" w:hAnsi="Times New Roman" w:eastAsia="宋体" w:cs="Times New Roman"/>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w:t>
      </w:r>
      <w:r>
        <w:rPr>
          <w:rFonts w:hint="eastAsia" w:ascii="Times New Roman" w:hAnsi="Times New Roman" w:eastAsia="宋体" w:cs="Times New Roman"/>
          <w:szCs w:val="21"/>
        </w:rPr>
        <w:t>若投标人未按要求提供证明材料或提供的是部分证明材料或提供不清晰的扫描件（或照片）的，采购人、代理机构以及评审委员会依据各自审查范围，有权认定其投标文件未对招标文件有关需求进行响应，涉及资格性审查或符合性审查的予以投标无效处理，涉及《评标信息》打分项的则该项评分予以0分处理。对供应商投标资料是否异常、是否有效问题进行核查和判定，如认为供应商投标资料有异常或无效的，若涉及资格性审查或符合性审查条款的，则应作投标无效处理；若涉及评分的，则作不得分处理</w:t>
      </w:r>
      <w:r>
        <w:rPr>
          <w:rFonts w:ascii="Times New Roman" w:hAnsi="Times New Roman" w:eastAsia="宋体" w:cs="Times New Roman"/>
          <w:szCs w:val="21"/>
        </w:rPr>
        <w:t>。</w:t>
      </w:r>
      <w:bookmarkStart w:id="49" w:name="_Hlk71407299"/>
    </w:p>
    <w:bookmarkEnd w:id="49"/>
    <w:p w14:paraId="074B3BB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2100D53A">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20．投标有效期</w:t>
      </w:r>
    </w:p>
    <w:bookmarkEnd w:id="48"/>
    <w:p w14:paraId="3E328D32">
      <w:pPr>
        <w:spacing w:line="276" w:lineRule="auto"/>
        <w:ind w:firstLine="411" w:firstLineChars="196"/>
        <w:rPr>
          <w:rFonts w:ascii="Times New Roman" w:hAnsi="Times New Roman" w:eastAsia="宋体" w:cs="Times New Roman"/>
          <w:szCs w:val="21"/>
        </w:rPr>
      </w:pPr>
      <w:bookmarkStart w:id="50" w:name="_Hlk72402214"/>
      <w:r>
        <w:rPr>
          <w:rFonts w:ascii="Times New Roman" w:hAnsi="Times New Roman" w:eastAsia="宋体" w:cs="Times New Roman"/>
          <w:szCs w:val="21"/>
        </w:rPr>
        <w:t>20.1投标有效期为从投标截止之日算起的日历天数。在此期限内，所有投标文件均保持有效。</w:t>
      </w:r>
    </w:p>
    <w:p w14:paraId="1A67B63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20.2在特殊情况下，政府集中采购机构在原定的投标有效期满之前，政府集中采购机构可以根据需要以书面形式（包括政府集中采购机构网站公开发布方式）向投标人提出延长投标有效期的要求，对此要求投标人须以书面形式予以答复，投标人可以拒绝政府集中采购机构此项要求，其投标在原投标有效期满后不再有效。同意延长投标有效期的投标人不能要求也不允许修改其投标文件。</w:t>
      </w:r>
    </w:p>
    <w:p w14:paraId="0628F9A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20.3中标供应商的投标文件有效期，截止于完成本招标文件规定的全部项目内容，并通过竣工验收及保修期结束。</w:t>
      </w:r>
    </w:p>
    <w:bookmarkEnd w:id="50"/>
    <w:p w14:paraId="57E04676">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21．</w:t>
      </w:r>
      <w:bookmarkStart w:id="51" w:name="_Hlk72402325"/>
      <w:r>
        <w:rPr>
          <w:rFonts w:ascii="Times New Roman" w:hAnsi="Times New Roman" w:eastAsia="黑体" w:cs="Times New Roman"/>
          <w:sz w:val="24"/>
          <w:szCs w:val="24"/>
        </w:rPr>
        <w:t xml:space="preserve">关于投标保证金 </w:t>
      </w:r>
    </w:p>
    <w:p w14:paraId="5CB7322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21.1</w:t>
      </w:r>
      <w:r>
        <w:rPr>
          <w:rFonts w:hint="eastAsia" w:ascii="Times New Roman" w:hAnsi="Times New Roman" w:eastAsia="宋体" w:cs="Times New Roman"/>
          <w:szCs w:val="24"/>
        </w:rPr>
        <w:t>根据《深圳市财政局关于调整政府采购投标（响应）保证金管理政策的通知》（深财购〔2021〕51号）文的规定，本项目不收取投标保证金。</w:t>
      </w:r>
    </w:p>
    <w:p w14:paraId="07D6F38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22．投标人的替代方案</w:t>
      </w:r>
    </w:p>
    <w:p w14:paraId="540D950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428F9A1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22.2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51"/>
    <w:p w14:paraId="14545FA1">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23．</w:t>
      </w:r>
      <w:bookmarkStart w:id="52" w:name="_Hlk72402860"/>
      <w:r>
        <w:rPr>
          <w:rFonts w:ascii="Times New Roman" w:hAnsi="Times New Roman" w:eastAsia="黑体" w:cs="Times New Roman"/>
          <w:sz w:val="24"/>
          <w:szCs w:val="24"/>
        </w:rPr>
        <w:t>投标文件的制作要求</w:t>
      </w:r>
    </w:p>
    <w:p w14:paraId="5DC203ED">
      <w:pPr>
        <w:wordWrap w:val="0"/>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23.1</w:t>
      </w:r>
      <w:r>
        <w:rPr>
          <w:rFonts w:hint="eastAsia" w:ascii="Times New Roman" w:hAnsi="Times New Roman" w:eastAsia="宋体" w:cs="Times New Roman"/>
          <w:szCs w:val="24"/>
        </w:rPr>
        <w:t>投标人应准备所投项目的电子投标文件一份。此电子投标文件须由投标人根据政府集中采购机构提供的后缀名为.szczf的电子招标文件，下载并使用相应的深圳智慧采购平台投标文件制作专用软件打开招标文件（.szczf格式）【下载地址：</w:t>
      </w:r>
      <w:r>
        <w:rPr>
          <w:rFonts w:ascii="宋体" w:hAnsi="宋体"/>
        </w:rPr>
        <w:t>http://zfcg.szggzy.com:8081/cgxy/013002/list.html</w:t>
      </w:r>
      <w:r>
        <w:rPr>
          <w:rFonts w:hint="eastAsia" w:ascii="宋体" w:hAnsi="宋体"/>
        </w:rPr>
        <w:t>深圳智慧采购平台投标文件制作专用软件.zip】。</w:t>
      </w:r>
    </w:p>
    <w:p w14:paraId="12948485">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23.2投标人在使用《投标</w:t>
      </w:r>
      <w:r>
        <w:rPr>
          <w:rFonts w:hint="eastAsia" w:ascii="Times New Roman" w:hAnsi="Times New Roman" w:eastAsia="宋体" w:cs="Times New Roman"/>
          <w:szCs w:val="24"/>
        </w:rPr>
        <w:t>书编制</w:t>
      </w:r>
      <w:r>
        <w:rPr>
          <w:rFonts w:ascii="Times New Roman" w:hAnsi="Times New Roman" w:eastAsia="宋体" w:cs="Times New Roman"/>
          <w:szCs w:val="24"/>
        </w:rPr>
        <w:t>软件》编制投标书时须注意：</w:t>
      </w:r>
    </w:p>
    <w:p w14:paraId="44220EA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23.2.1导入《投标</w:t>
      </w:r>
      <w:r>
        <w:rPr>
          <w:rFonts w:hint="eastAsia" w:ascii="Times New Roman" w:hAnsi="Times New Roman" w:eastAsia="宋体" w:cs="Times New Roman"/>
          <w:szCs w:val="24"/>
        </w:rPr>
        <w:t>书编制</w:t>
      </w:r>
      <w:r>
        <w:rPr>
          <w:rFonts w:ascii="Times New Roman" w:hAnsi="Times New Roman" w:eastAsia="宋体" w:cs="Times New Roman"/>
          <w:szCs w:val="24"/>
        </w:rPr>
        <w:t>软件》的招标文件项目编号、包号应与以此制作的投标文件项目编号、包号一致。例如，不能将甲项目A包的招标书导入《投标</w:t>
      </w:r>
      <w:r>
        <w:rPr>
          <w:rFonts w:hint="eastAsia" w:ascii="Times New Roman" w:hAnsi="Times New Roman" w:eastAsia="宋体" w:cs="Times New Roman"/>
          <w:szCs w:val="24"/>
        </w:rPr>
        <w:t>书编制</w:t>
      </w:r>
      <w:r>
        <w:rPr>
          <w:rFonts w:ascii="Times New Roman" w:hAnsi="Times New Roman" w:eastAsia="宋体" w:cs="Times New Roman"/>
          <w:szCs w:val="24"/>
        </w:rPr>
        <w:t>软件》，制作乙项目B包的投标书。</w:t>
      </w:r>
    </w:p>
    <w:p w14:paraId="390BA4C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23.2.2不能用非本公司的电子密钥加密本公司的投标文件，或者用其它公司的登录用户上传本公司的投标文件。</w:t>
      </w:r>
    </w:p>
    <w:p w14:paraId="23CAFF9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23.2.3要求用《投标</w:t>
      </w:r>
      <w:r>
        <w:rPr>
          <w:rFonts w:hint="eastAsia" w:ascii="Times New Roman" w:hAnsi="Times New Roman" w:eastAsia="宋体" w:cs="Times New Roman"/>
          <w:szCs w:val="24"/>
        </w:rPr>
        <w:t>书编制</w:t>
      </w:r>
      <w:r>
        <w:rPr>
          <w:rFonts w:ascii="Times New Roman" w:hAnsi="Times New Roman" w:eastAsia="宋体" w:cs="Times New Roman"/>
          <w:szCs w:val="24"/>
        </w:rPr>
        <w:t>软件》编制投标书的包，不能用其它方式编制投标书。编制投标文件时，电脑须连通互联网。</w:t>
      </w:r>
    </w:p>
    <w:p w14:paraId="71AC6B7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23.2.4投标文件不能带病毒。政府集中采购机构将用专业杀毒软件对投标文件进行病毒检测，如果这两种软件均报告发现病毒，则政府集中采购机构认为该投标文件带病毒。</w:t>
      </w:r>
    </w:p>
    <w:p w14:paraId="5AB568D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23.2.5完整填写“投标关键信息”，如下图所示：</w:t>
      </w:r>
    </w:p>
    <w:p w14:paraId="24F02EAB">
      <w:pPr>
        <w:spacing w:line="276" w:lineRule="auto"/>
        <w:rPr>
          <w:rFonts w:ascii="Times New Roman" w:hAnsi="Times New Roman" w:eastAsia="宋体" w:cs="Times New Roman"/>
          <w:szCs w:val="24"/>
        </w:rPr>
      </w:pPr>
      <w:r>
        <w:rPr>
          <w:rFonts w:ascii="Times New Roman" w:hAnsi="Times New Roman" w:eastAsia="宋体" w:cs="Times New Roman"/>
          <w:szCs w:val="24"/>
        </w:rPr>
        <w:drawing>
          <wp:inline distT="0" distB="0" distL="0" distR="0">
            <wp:extent cx="5606415" cy="2890520"/>
            <wp:effectExtent l="0" t="0" r="0" b="5080"/>
            <wp:docPr id="10" name="图片 10"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09008" cy="2891882"/>
                    </a:xfrm>
                    <a:prstGeom prst="rect">
                      <a:avLst/>
                    </a:prstGeom>
                    <a:noFill/>
                    <a:ln>
                      <a:noFill/>
                    </a:ln>
                  </pic:spPr>
                </pic:pic>
              </a:graphicData>
            </a:graphic>
          </wp:inline>
        </w:drawing>
      </w:r>
    </w:p>
    <w:p w14:paraId="7239D021">
      <w:pPr>
        <w:spacing w:line="276" w:lineRule="auto"/>
        <w:ind w:firstLine="413" w:firstLineChars="196"/>
        <w:rPr>
          <w:rFonts w:ascii="Times New Roman" w:hAnsi="Times New Roman" w:eastAsia="宋体" w:cs="Times New Roman"/>
          <w:b/>
          <w:szCs w:val="24"/>
        </w:rPr>
      </w:pPr>
      <w:r>
        <w:rPr>
          <w:rFonts w:ascii="Times New Roman" w:hAnsi="Times New Roman" w:eastAsia="宋体" w:cs="Times New Roman"/>
          <w:b/>
          <w:szCs w:val="24"/>
        </w:rPr>
        <w:t>备注：上述“开标一览表”中的“投标报价”将作为价格分计算依据；其它信息仅是对投标文件相关内容的概括性表述，不作为评审依据。</w:t>
      </w:r>
    </w:p>
    <w:p w14:paraId="73FD3CE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23.2.6投标人在编辑投标文件时，</w:t>
      </w:r>
      <w:r>
        <w:rPr>
          <w:rFonts w:ascii="Times New Roman" w:hAnsi="Times New Roman" w:eastAsia="宋体" w:cs="Times New Roman"/>
          <w:b/>
          <w:szCs w:val="24"/>
        </w:rPr>
        <w:t>在投标文件目录中属于本节点内容的必须在本节点中填写，填写到其他节点或附件，</w:t>
      </w:r>
      <w:r>
        <w:rPr>
          <w:rFonts w:ascii="Times New Roman" w:hAnsi="Times New Roman" w:eastAsia="宋体" w:cs="Times New Roman"/>
          <w:szCs w:val="24"/>
        </w:rPr>
        <w:t>一切后果由供应商自行承担。</w:t>
      </w:r>
    </w:p>
    <w:p w14:paraId="34BEDC0E">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23.2.7投标文件编写完成后，</w:t>
      </w:r>
      <w:r>
        <w:rPr>
          <w:rFonts w:ascii="Times New Roman" w:hAnsi="Times New Roman" w:eastAsia="宋体" w:cs="Times New Roman"/>
          <w:b/>
          <w:szCs w:val="24"/>
        </w:rPr>
        <w:t>必须用属于投标人的电子密钥或电子营业执照进行加密，否则视同未盖公章，将导致投标文件无效。</w:t>
      </w:r>
    </w:p>
    <w:p w14:paraId="1F78DCA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23.2.8政府集中采购机构不接受投标截止时间后递交的纸质、电子、传真等所有形式的投标文件。由于对网上政府采购系统操作不熟悉或自身电脑、网络等原因导致不能在投标截止时间之前上传投标文件，政府集中采购机构概不负责。建议于开标前一个工作日完成投标文件的制作与上传，如上传确有困难，请及时咨询。</w:t>
      </w:r>
    </w:p>
    <w:p w14:paraId="1FFF256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23.2.9如果开标时出现网络故障、技术故障，影响了政府采购活动，政府集中采购机构有权采取措施如延期、接受无法从网上上传的投标书等，以保障政府采购活动的公开、公平和公正。</w:t>
      </w:r>
    </w:p>
    <w:p w14:paraId="7C73C33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23.3电报、电话、传真形式的投标概不接受。</w:t>
      </w:r>
    </w:p>
    <w:p w14:paraId="6B9D74DB">
      <w:pPr>
        <w:spacing w:line="276" w:lineRule="auto"/>
        <w:ind w:firstLine="413" w:firstLineChars="196"/>
        <w:rPr>
          <w:rFonts w:ascii="Times New Roman" w:hAnsi="Times New Roman" w:eastAsia="宋体" w:cs="Times New Roman"/>
          <w:b/>
          <w:szCs w:val="24"/>
        </w:rPr>
      </w:pPr>
      <w:r>
        <w:rPr>
          <w:rFonts w:ascii="Times New Roman" w:hAnsi="Times New Roman" w:eastAsia="宋体" w:cs="Times New Roman"/>
          <w:b/>
          <w:szCs w:val="24"/>
        </w:rPr>
        <w:t>23.4经投标人电子密钥或电子营业执照加密的投标文件无须盖章或签字，</w:t>
      </w:r>
      <w:r>
        <w:rPr>
          <w:rFonts w:ascii="Times New Roman" w:hAnsi="Times New Roman" w:eastAsia="宋体" w:cs="Times New Roman"/>
          <w:szCs w:val="24"/>
        </w:rPr>
        <w:t>专用条款另有要求的除外。</w:t>
      </w:r>
    </w:p>
    <w:p w14:paraId="755D07F9">
      <w:pPr>
        <w:spacing w:line="276" w:lineRule="auto"/>
        <w:ind w:firstLine="413" w:firstLineChars="196"/>
        <w:rPr>
          <w:rFonts w:ascii="Times New Roman" w:hAnsi="Times New Roman" w:eastAsia="宋体" w:cs="Times New Roman"/>
          <w:szCs w:val="24"/>
        </w:rPr>
      </w:pPr>
      <w:r>
        <w:rPr>
          <w:rFonts w:ascii="Times New Roman" w:hAnsi="Times New Roman" w:eastAsia="宋体" w:cs="Times New Roman"/>
          <w:b/>
          <w:szCs w:val="24"/>
        </w:rPr>
        <w:t>23.5</w:t>
      </w:r>
      <w:r>
        <w:rPr>
          <w:rFonts w:ascii="Times New Roman" w:hAnsi="Times New Roman" w:eastAsia="宋体" w:cs="Times New Roman"/>
          <w:szCs w:val="24"/>
        </w:rPr>
        <w:t xml:space="preserve"> 各类资格（资质）文件提供扫描件，专用条款另有要求的除外。</w:t>
      </w:r>
      <w:bookmarkEnd w:id="52"/>
    </w:p>
    <w:p w14:paraId="44C8C999">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投标文件的递交</w:t>
      </w:r>
      <w:bookmarkStart w:id="53" w:name="_Hlk72405459"/>
    </w:p>
    <w:p w14:paraId="0751AFD1">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24．投标</w:t>
      </w:r>
      <w:r>
        <w:rPr>
          <w:rFonts w:hint="eastAsia" w:ascii="Times New Roman" w:hAnsi="Times New Roman" w:eastAsia="黑体" w:cs="Times New Roman"/>
          <w:sz w:val="24"/>
          <w:szCs w:val="24"/>
        </w:rPr>
        <w:t>文件</w:t>
      </w:r>
      <w:r>
        <w:rPr>
          <w:rFonts w:ascii="Times New Roman" w:hAnsi="Times New Roman" w:eastAsia="黑体" w:cs="Times New Roman"/>
          <w:sz w:val="24"/>
          <w:szCs w:val="24"/>
        </w:rPr>
        <w:t>的保密</w:t>
      </w:r>
    </w:p>
    <w:p w14:paraId="0C0A423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24.1在投标文件制作完成后，在投标</w:t>
      </w:r>
      <w:r>
        <w:rPr>
          <w:rFonts w:hint="eastAsia" w:ascii="Times New Roman" w:hAnsi="Times New Roman" w:eastAsia="宋体" w:cs="Times New Roman"/>
          <w:szCs w:val="24"/>
        </w:rPr>
        <w:t>书编制</w:t>
      </w:r>
      <w:r>
        <w:rPr>
          <w:rFonts w:ascii="Times New Roman" w:hAnsi="Times New Roman" w:eastAsia="宋体" w:cs="Times New Roman"/>
          <w:szCs w:val="24"/>
        </w:rPr>
        <w:t>软件</w:t>
      </w:r>
      <w:r>
        <w:rPr>
          <w:rFonts w:hint="eastAsia" w:ascii="Times New Roman" w:hAnsi="Times New Roman" w:eastAsia="宋体" w:cs="Times New Roman"/>
          <w:szCs w:val="24"/>
        </w:rPr>
        <w:t>点击【生成标书】按钮进入【填写开标一览表界面】界面，在该界面填写完开标一览表信息后点击【确定】，进入投标文件生成环节。投标文件制作软件会在投标文件生成过程中，提示用户输入密码，输入密码后对投标文件自动进行加密，</w:t>
      </w:r>
      <w:r>
        <w:rPr>
          <w:rFonts w:ascii="Times New Roman" w:hAnsi="Times New Roman" w:eastAsia="宋体" w:cs="Times New Roman"/>
          <w:szCs w:val="24"/>
        </w:rPr>
        <w:t>此加密程序确保投标文件在到达</w:t>
      </w:r>
      <w:r>
        <w:rPr>
          <w:rFonts w:hint="eastAsia" w:ascii="Times New Roman" w:hAnsi="Times New Roman" w:eastAsia="宋体" w:cs="Times New Roman"/>
          <w:szCs w:val="24"/>
        </w:rPr>
        <w:t>投标截止</w:t>
      </w:r>
      <w:r>
        <w:rPr>
          <w:rFonts w:ascii="Times New Roman" w:hAnsi="Times New Roman" w:eastAsia="宋体" w:cs="Times New Roman"/>
          <w:szCs w:val="24"/>
        </w:rPr>
        <w:t>时间后才能解密查看。在加密过程中，请按照软件提示进行操作。加密界面如下图所示：</w:t>
      </w:r>
    </w:p>
    <w:p w14:paraId="39FD996F">
      <w:pPr>
        <w:spacing w:line="276" w:lineRule="auto"/>
        <w:rPr>
          <w:rFonts w:ascii="Times New Roman" w:hAnsi="Times New Roman" w:eastAsia="宋体" w:cs="Times New Roman"/>
          <w:szCs w:val="24"/>
        </w:rPr>
      </w:pPr>
      <w:r>
        <w:rPr>
          <w:rFonts w:ascii="Times New Roman" w:hAnsi="Times New Roman" w:eastAsia="宋体" w:cs="Times New Roman"/>
          <w:szCs w:val="24"/>
        </w:rPr>
        <w:drawing>
          <wp:inline distT="0" distB="0" distL="0" distR="0">
            <wp:extent cx="5632450" cy="2903855"/>
            <wp:effectExtent l="0" t="0" r="6350" b="0"/>
            <wp:docPr id="11" name="图片 1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40539" cy="2908138"/>
                    </a:xfrm>
                    <a:prstGeom prst="rect">
                      <a:avLst/>
                    </a:prstGeom>
                    <a:noFill/>
                    <a:ln>
                      <a:noFill/>
                    </a:ln>
                  </pic:spPr>
                </pic:pic>
              </a:graphicData>
            </a:graphic>
          </wp:inline>
        </w:drawing>
      </w:r>
    </w:p>
    <w:p w14:paraId="15E7E27B">
      <w:pPr>
        <w:spacing w:line="276" w:lineRule="auto"/>
        <w:rPr>
          <w:rFonts w:ascii="Times New Roman" w:hAnsi="Times New Roman" w:eastAsia="宋体" w:cs="Times New Roman"/>
          <w:szCs w:val="24"/>
        </w:rPr>
      </w:pPr>
      <w:r>
        <w:rPr>
          <w:rFonts w:ascii="Times New Roman" w:hAnsi="Times New Roman" w:eastAsia="宋体" w:cs="Times New Roman"/>
          <w:szCs w:val="24"/>
        </w:rPr>
        <w:drawing>
          <wp:inline distT="0" distB="0" distL="0" distR="0">
            <wp:extent cx="5626735" cy="2912110"/>
            <wp:effectExtent l="0" t="0" r="0" b="2540"/>
            <wp:docPr id="12" name="图片 1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622011" cy="2910083"/>
                    </a:xfrm>
                    <a:prstGeom prst="rect">
                      <a:avLst/>
                    </a:prstGeom>
                    <a:noFill/>
                    <a:ln>
                      <a:noFill/>
                    </a:ln>
                  </pic:spPr>
                </pic:pic>
              </a:graphicData>
            </a:graphic>
          </wp:inline>
        </w:drawing>
      </w:r>
    </w:p>
    <w:p w14:paraId="2CB773F6">
      <w:pPr>
        <w:spacing w:line="276" w:lineRule="auto"/>
        <w:ind w:firstLine="422" w:firstLineChars="200"/>
        <w:rPr>
          <w:rFonts w:ascii="Times New Roman" w:hAnsi="Times New Roman" w:eastAsia="宋体" w:cs="Times New Roman"/>
          <w:b/>
          <w:szCs w:val="24"/>
        </w:rPr>
      </w:pPr>
      <w:r>
        <w:rPr>
          <w:rFonts w:ascii="Times New Roman" w:hAnsi="Times New Roman" w:eastAsia="宋体" w:cs="Times New Roman"/>
          <w:b/>
          <w:szCs w:val="24"/>
        </w:rPr>
        <w:t>24.2若采购项目出现延期情况：</w:t>
      </w:r>
    </w:p>
    <w:p w14:paraId="54EF0679">
      <w:pPr>
        <w:spacing w:line="276" w:lineRule="auto"/>
        <w:ind w:firstLine="422" w:firstLineChars="200"/>
        <w:rPr>
          <w:rFonts w:ascii="Times New Roman" w:hAnsi="Times New Roman" w:eastAsia="黑体" w:cs="Times New Roman"/>
          <w:b/>
          <w:sz w:val="24"/>
          <w:szCs w:val="24"/>
        </w:rPr>
      </w:pPr>
      <w:r>
        <w:rPr>
          <w:rFonts w:ascii="Times New Roman" w:hAnsi="Times New Roman" w:eastAsia="宋体" w:cs="Times New Roman"/>
          <w:b/>
          <w:szCs w:val="24"/>
        </w:rPr>
        <w:t>如果供下载的招标文件（后缀名为.szczf）有更新，投标人必须重新下载招标文件、重新制作投标文件、重新加密投标文件、重新上传投标文件；如果供下载的招标文件（后缀名为.szczf）没有更新，投标人必须重新加密投标文件、重新上传投标文件（是否重新制作投标文件根据项目实际情况定）。否则，投标人自行承担投标文件无法解密导致投标无效的后果。</w:t>
      </w:r>
    </w:p>
    <w:p w14:paraId="2B6C4B71">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25．上传投标文件及投标截止日期</w:t>
      </w:r>
    </w:p>
    <w:p w14:paraId="48FA660D">
      <w:pPr>
        <w:wordWrap w:val="0"/>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25.1实行网上投标，投标人必须在招标文件规定的投标截止时间前用电子密钥登录</w:t>
      </w:r>
      <w:r>
        <w:rPr>
          <w:rFonts w:hint="eastAsia" w:ascii="Times New Roman" w:hAnsi="Times New Roman" w:eastAsia="宋体" w:cs="Times New Roman"/>
          <w:szCs w:val="24"/>
        </w:rPr>
        <w:t>“深圳政府采购智慧平台用户网上办事子系统（http://zfcg.szggzy.com/TPBidder/memberLogin）”，用“【我的项目】→【项目流程】→【递交投标(应答)文件】”</w:t>
      </w:r>
      <w:r>
        <w:rPr>
          <w:rFonts w:ascii="Times New Roman" w:hAnsi="Times New Roman" w:eastAsia="宋体" w:cs="Times New Roman"/>
          <w:szCs w:val="24"/>
        </w:rPr>
        <w:t>功能点上传投标文件。如上传过程中遇到问题</w:t>
      </w:r>
      <w:r>
        <w:rPr>
          <w:rFonts w:hint="eastAsia" w:ascii="Times New Roman" w:hAnsi="Times New Roman" w:eastAsia="宋体" w:cs="Times New Roman"/>
          <w:szCs w:val="24"/>
        </w:rPr>
        <w:t>，可拨打技术支持电话，联系方式：0755-36568999。</w:t>
      </w:r>
    </w:p>
    <w:p w14:paraId="1C0270CD">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25.2政府集中采购机构可以按本通用条款第13条规定，通过修改招标文件自行决定酌情延长投标截止期。在此情况下，政府集中采购机构、采购人和投标人受投标截止期制约的所有权利和义务均应延长至新的截止期。</w:t>
      </w:r>
    </w:p>
    <w:p w14:paraId="19CA5C2D">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25.3投标截止时间以后不得上传投标文件。</w:t>
      </w:r>
    </w:p>
    <w:bookmarkEnd w:id="53"/>
    <w:p w14:paraId="697F3036">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26．样品、</w:t>
      </w:r>
      <w:r>
        <w:rPr>
          <w:rFonts w:hint="eastAsia" w:ascii="Times New Roman" w:hAnsi="Times New Roman" w:eastAsia="黑体" w:cs="Times New Roman"/>
          <w:sz w:val="24"/>
          <w:szCs w:val="24"/>
        </w:rPr>
        <w:t>现场</w:t>
      </w:r>
      <w:r>
        <w:rPr>
          <w:rFonts w:ascii="Times New Roman" w:hAnsi="Times New Roman" w:eastAsia="黑体" w:cs="Times New Roman"/>
          <w:sz w:val="24"/>
          <w:szCs w:val="24"/>
        </w:rPr>
        <w:t>演示、方案讲解</w:t>
      </w:r>
    </w:p>
    <w:p w14:paraId="01D8A73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26.1 样品、</w:t>
      </w:r>
      <w:r>
        <w:rPr>
          <w:rFonts w:hint="eastAsia" w:ascii="Times New Roman" w:hAnsi="Times New Roman" w:eastAsia="宋体" w:cs="Times New Roman"/>
          <w:szCs w:val="21"/>
        </w:rPr>
        <w:t>现场</w:t>
      </w:r>
      <w:r>
        <w:rPr>
          <w:rFonts w:ascii="Times New Roman" w:hAnsi="Times New Roman" w:eastAsia="宋体" w:cs="Times New Roman"/>
          <w:szCs w:val="21"/>
        </w:rPr>
        <w:t>演示、方案讲解等事项在招标文件专用条款中进行规定。</w:t>
      </w:r>
    </w:p>
    <w:p w14:paraId="44B4F021">
      <w:pPr>
        <w:spacing w:line="276" w:lineRule="auto"/>
        <w:rPr>
          <w:rFonts w:ascii="Times New Roman" w:hAnsi="Times New Roman" w:eastAsia="黑体" w:cs="Times New Roman"/>
          <w:sz w:val="24"/>
          <w:szCs w:val="24"/>
        </w:rPr>
      </w:pPr>
      <w:bookmarkStart w:id="54" w:name="_Hlk72428346"/>
      <w:r>
        <w:rPr>
          <w:rFonts w:ascii="Times New Roman" w:hAnsi="Times New Roman" w:eastAsia="黑体" w:cs="Times New Roman"/>
          <w:sz w:val="24"/>
          <w:szCs w:val="24"/>
        </w:rPr>
        <w:t>27．投标文件的修改和撤销</w:t>
      </w:r>
    </w:p>
    <w:p w14:paraId="14050E6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27.1投标方在提交投标文件后可对其投标文件进行修改并重新上传投标文件或在网上进行撤销投标的操作。</w:t>
      </w:r>
    </w:p>
    <w:p w14:paraId="052BFF3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27.2投标截止时间以后不得修改投标文件。</w:t>
      </w:r>
    </w:p>
    <w:p w14:paraId="675AF986">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27.3从投标截止期至投标人在投标文件中确定的投标有效期之间的这段时间内，投标人不得撤回其投标。</w:t>
      </w:r>
    </w:p>
    <w:p w14:paraId="6AE780D1">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27.4政府集中采购机构不退还投标文件，专用条款另有规定的除外。</w:t>
      </w:r>
    </w:p>
    <w:bookmarkEnd w:id="54"/>
    <w:p w14:paraId="44BDD598">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开标</w:t>
      </w:r>
    </w:p>
    <w:p w14:paraId="7FFA92AA">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28．开标</w:t>
      </w:r>
    </w:p>
    <w:p w14:paraId="06FD6819">
      <w:pPr>
        <w:spacing w:line="276" w:lineRule="auto"/>
        <w:ind w:firstLine="420" w:firstLineChars="200"/>
        <w:rPr>
          <w:rFonts w:ascii="Times New Roman" w:hAnsi="Times New Roman" w:eastAsia="宋体" w:cs="Times New Roman"/>
          <w:szCs w:val="24"/>
        </w:rPr>
      </w:pPr>
      <w:r>
        <w:rPr>
          <w:rFonts w:ascii="Times New Roman" w:hAnsi="Times New Roman" w:eastAsia="宋体" w:cs="Times New Roman"/>
          <w:szCs w:val="21"/>
        </w:rPr>
        <w:t>28.1</w:t>
      </w:r>
      <w:r>
        <w:rPr>
          <w:rFonts w:ascii="Times New Roman" w:hAnsi="Times New Roman" w:eastAsia="宋体" w:cs="Times New Roman"/>
          <w:szCs w:val="24"/>
        </w:rPr>
        <w:t>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p w14:paraId="3469653B">
      <w:pPr>
        <w:spacing w:line="276" w:lineRule="auto"/>
        <w:ind w:firstLine="359" w:firstLineChars="171"/>
        <w:rPr>
          <w:rFonts w:ascii="Times New Roman" w:hAnsi="Times New Roman" w:eastAsia="宋体" w:cs="Times New Roman"/>
          <w:szCs w:val="21"/>
        </w:rPr>
      </w:pPr>
      <w:r>
        <w:rPr>
          <w:rFonts w:ascii="Times New Roman" w:hAnsi="Times New Roman" w:eastAsia="宋体" w:cs="Times New Roman"/>
          <w:szCs w:val="21"/>
        </w:rPr>
        <w:t>28.2</w:t>
      </w:r>
      <w:r>
        <w:rPr>
          <w:rFonts w:hint="eastAsia" w:ascii="Times New Roman" w:hAnsi="Times New Roman" w:eastAsia="宋体" w:cs="Times New Roman"/>
          <w:szCs w:val="21"/>
        </w:rPr>
        <w:t>政府集中采购机构将在满足开标条件（①解密时间结束，解密后的投标供应商数量满足开标要求或②解密时间结束前所有投标供应商均完成投标文件解密）后，对投标文件进行开标，并在网上公布开标结果。</w:t>
      </w:r>
    </w:p>
    <w:p w14:paraId="0EE5ED5E">
      <w:pPr>
        <w:pStyle w:val="18"/>
      </w:pPr>
    </w:p>
    <w:p w14:paraId="1B682F46">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评审要求</w:t>
      </w:r>
    </w:p>
    <w:p w14:paraId="267E4131">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29．评审委员会组成</w:t>
      </w:r>
    </w:p>
    <w:p w14:paraId="04ECEE73">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29.1网上开标结束后召开评审会议，</w:t>
      </w:r>
      <w:r>
        <w:rPr>
          <w:rFonts w:ascii="Times New Roman" w:hAnsi="Times New Roman" w:eastAsia="宋体" w:cs="Times New Roman"/>
          <w:szCs w:val="21"/>
        </w:rPr>
        <w:t>评审委员会</w:t>
      </w:r>
      <w:r>
        <w:rPr>
          <w:rFonts w:ascii="Times New Roman" w:hAnsi="Times New Roman" w:eastAsia="宋体" w:cs="Times New Roman"/>
          <w:szCs w:val="24"/>
        </w:rPr>
        <w:t>由政府集中采购机构依法组建，负责评审活动。</w:t>
      </w:r>
    </w:p>
    <w:p w14:paraId="115634A4">
      <w:pPr>
        <w:spacing w:line="276" w:lineRule="auto"/>
        <w:ind w:firstLine="411" w:firstLineChars="196"/>
      </w:pPr>
      <w:bookmarkStart w:id="55" w:name="_Hlk72436580"/>
      <w:r>
        <w:rPr>
          <w:rFonts w:ascii="Times New Roman" w:hAnsi="Times New Roman" w:eastAsia="宋体" w:cs="Times New Roman"/>
          <w:szCs w:val="24"/>
        </w:rPr>
        <w:t>评审委员会由采购人代表和评审专家组成，成员人数应当为5人以上单数（部分条件下为7人以上单数），其中评审专家不得少于成员总数的三分之二。</w:t>
      </w:r>
      <w:bookmarkEnd w:id="55"/>
      <w:r>
        <w:rPr>
          <w:rFonts w:ascii="Times New Roman" w:hAnsi="Times New Roman" w:eastAsia="宋体" w:cs="Times New Roman"/>
          <w:szCs w:val="24"/>
        </w:rPr>
        <w:t>评定分离项目评审专家均由评审专家组成。</w:t>
      </w:r>
      <w:r>
        <w:rPr>
          <w:rFonts w:ascii="Times New Roman" w:hAnsi="Times New Roman" w:eastAsia="宋体" w:cs="Times New Roman"/>
          <w:szCs w:val="21"/>
        </w:rPr>
        <w:t>评审专家一般是</w:t>
      </w:r>
      <w:r>
        <w:rPr>
          <w:rFonts w:ascii="Times New Roman" w:hAnsi="Times New Roman" w:eastAsia="宋体" w:cs="Times New Roman"/>
          <w:szCs w:val="24"/>
        </w:rPr>
        <w:t>从深圳市政府采购评审专家库中随机抽取。采购人代表须持</w:t>
      </w:r>
      <w:r>
        <w:rPr>
          <w:rFonts w:hint="eastAsia" w:ascii="宋体" w:hAnsi="宋体"/>
        </w:rPr>
        <w:t>本单位签发</w:t>
      </w:r>
      <w:r>
        <w:rPr>
          <w:rFonts w:ascii="Times New Roman" w:hAnsi="Times New Roman" w:eastAsia="宋体" w:cs="Times New Roman"/>
          <w:szCs w:val="24"/>
        </w:rPr>
        <w:t>的《评审授权书》参加评审。</w:t>
      </w:r>
    </w:p>
    <w:p w14:paraId="441FFA92">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29.2评审定标应当遵循公平、公正、科学、择优的原则。</w:t>
      </w:r>
    </w:p>
    <w:p w14:paraId="1134E49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29.3评审活动依法进行，任何单位和个人不得非法干预评标过程和结果。</w:t>
      </w:r>
    </w:p>
    <w:p w14:paraId="1960542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29.4评审过程中不允许违背评标程序或采用招标文件未载明的评标方法或评标因素进行评标。</w:t>
      </w:r>
    </w:p>
    <w:p w14:paraId="5D94D701">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29.5 开标后，直到签订合同为止，凡属于对投标文件的审查、澄清、评价和比较的有关资料以及中标候选人的推荐情况、与评审有关的其他任何情况均严格保密（</w:t>
      </w:r>
      <w:r>
        <w:rPr>
          <w:rFonts w:ascii="Times New Roman" w:hAnsi="Times New Roman" w:eastAsia="宋体" w:cs="Times New Roman"/>
          <w:szCs w:val="24"/>
        </w:rPr>
        <w:t>信息公开的内容除外</w:t>
      </w:r>
      <w:r>
        <w:rPr>
          <w:rFonts w:ascii="Times New Roman" w:hAnsi="Times New Roman" w:eastAsia="宋体" w:cs="Times New Roman"/>
          <w:bCs/>
          <w:szCs w:val="24"/>
        </w:rPr>
        <w:t>）。</w:t>
      </w:r>
    </w:p>
    <w:p w14:paraId="35C4D2B0">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30．向评审委员会提供的资料</w:t>
      </w:r>
    </w:p>
    <w:p w14:paraId="35C289D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30.1公开发布的招标文件，包括图纸、服务清单、答疑文件等；</w:t>
      </w:r>
    </w:p>
    <w:p w14:paraId="7F385A0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30.2其他评标必须的资料。</w:t>
      </w:r>
    </w:p>
    <w:p w14:paraId="43AB541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30.3</w:t>
      </w:r>
      <w:r>
        <w:rPr>
          <w:rFonts w:ascii="Times New Roman" w:hAnsi="Times New Roman" w:eastAsia="宋体" w:cs="Times New Roman"/>
          <w:szCs w:val="21"/>
        </w:rPr>
        <w:t>评审委员会</w:t>
      </w:r>
      <w:r>
        <w:rPr>
          <w:rFonts w:ascii="Times New Roman" w:hAnsi="Times New Roman" w:eastAsia="宋体" w:cs="Times New Roman"/>
          <w:szCs w:val="24"/>
        </w:rPr>
        <w:t>应当认真研究招标文件，至少应了解熟悉以下内容：</w:t>
      </w:r>
    </w:p>
    <w:p w14:paraId="4512192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（1）招标的目的；</w:t>
      </w:r>
    </w:p>
    <w:p w14:paraId="1C4ECAC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（2）招标项目需求的范围和性质；</w:t>
      </w:r>
    </w:p>
    <w:p w14:paraId="1E86DDD3">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（3）招标文件规定的投标人的资格、</w:t>
      </w:r>
      <w:r>
        <w:rPr>
          <w:rFonts w:hint="eastAsia" w:ascii="Times New Roman" w:hAnsi="Times New Roman" w:eastAsia="宋体" w:cs="Times New Roman"/>
          <w:szCs w:val="24"/>
        </w:rPr>
        <w:t>财政</w:t>
      </w:r>
      <w:r>
        <w:rPr>
          <w:rFonts w:ascii="Times New Roman" w:hAnsi="Times New Roman" w:eastAsia="宋体" w:cs="Times New Roman"/>
          <w:szCs w:val="24"/>
        </w:rPr>
        <w:t>预算</w:t>
      </w:r>
      <w:r>
        <w:rPr>
          <w:rFonts w:hint="eastAsia" w:ascii="Times New Roman" w:hAnsi="Times New Roman" w:eastAsia="宋体" w:cs="Times New Roman"/>
          <w:szCs w:val="24"/>
        </w:rPr>
        <w:t>限额</w:t>
      </w:r>
      <w:r>
        <w:rPr>
          <w:rFonts w:ascii="Times New Roman" w:hAnsi="Times New Roman" w:eastAsia="宋体" w:cs="Times New Roman"/>
          <w:szCs w:val="24"/>
        </w:rPr>
        <w:t>、商务条款；</w:t>
      </w:r>
    </w:p>
    <w:p w14:paraId="55EC336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（4）招标文件规定的评标程序、评标方法和评标因素；</w:t>
      </w:r>
    </w:p>
    <w:p w14:paraId="180D02F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（5）招标文件所列示的资格性审查表及符合性审查表。</w:t>
      </w:r>
    </w:p>
    <w:p w14:paraId="4121173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31．独立评审</w:t>
      </w:r>
    </w:p>
    <w:p w14:paraId="1DDC179B">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31.1</w:t>
      </w:r>
      <w:r>
        <w:rPr>
          <w:rFonts w:ascii="Times New Roman" w:hAnsi="Times New Roman" w:eastAsia="宋体" w:cs="Times New Roman"/>
          <w:szCs w:val="21"/>
        </w:rPr>
        <w:t>评审委员会</w:t>
      </w:r>
      <w:r>
        <w:rPr>
          <w:rFonts w:ascii="Times New Roman" w:hAnsi="Times New Roman" w:eastAsia="宋体" w:cs="Times New Roman"/>
          <w:bCs/>
          <w:szCs w:val="24"/>
        </w:rPr>
        <w:t>成员的评标活动应当独立进行，并应遵循投标文件初审、澄清有关问题、比较与评价、确定中标供应商、编写评审报告的工作程序。</w:t>
      </w:r>
    </w:p>
    <w:p w14:paraId="0442559E">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评审程序及评审方法</w:t>
      </w:r>
    </w:p>
    <w:p w14:paraId="673EA5E0">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32．投标文件初审</w:t>
      </w:r>
    </w:p>
    <w:p w14:paraId="21304CB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32.1投标文件初审包括资格性审查和符合性审查。</w:t>
      </w:r>
    </w:p>
    <w:p w14:paraId="33E2418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资格性审查：依据法律法规和招标文件的规定，对投标文件中的资格证明等进行审查，以确定投标供应商是否具备投标资格。</w:t>
      </w:r>
    </w:p>
    <w:p w14:paraId="083A8C5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符合性审查：依据招标文件的规定，对投标文件的有效性、完整性和对招标文件的响应程度进行审查，以确定是否满足符合性审查的要求。</w:t>
      </w:r>
    </w:p>
    <w:p w14:paraId="2D6E24A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32.2 投标文件初审内容请详见《资格性审查表》和《符合性审查表》部分。投标人若有一条审查不通过则按投标无效处理。</w:t>
      </w:r>
    </w:p>
    <w:p w14:paraId="6770E742">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32.3 投标文件初审中关于供应商家数的计算:</w:t>
      </w:r>
    </w:p>
    <w:p w14:paraId="7907AFF4">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32.3.1采用</w:t>
      </w:r>
      <w:r>
        <w:rPr>
          <w:rFonts w:hint="eastAsia" w:ascii="Times New Roman" w:hAnsi="Times New Roman" w:eastAsia="宋体" w:cs="Times New Roman"/>
          <w:bCs/>
          <w:szCs w:val="24"/>
        </w:rPr>
        <w:t>最低价</w:t>
      </w:r>
      <w:r>
        <w:rPr>
          <w:rFonts w:ascii="Times New Roman" w:hAnsi="Times New Roman" w:eastAsia="宋体" w:cs="Times New Roman"/>
          <w:bCs/>
          <w:szCs w:val="24"/>
        </w:rPr>
        <w:t>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7AC70A0">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w:t>
      </w:r>
      <w:r>
        <w:rPr>
          <w:rFonts w:ascii="Times New Roman" w:hAnsi="Times New Roman" w:eastAsia="宋体" w:cs="Times New Roman"/>
          <w:bCs/>
          <w:szCs w:val="21"/>
        </w:rPr>
        <w:t>评审委员会</w:t>
      </w:r>
      <w:r>
        <w:rPr>
          <w:rFonts w:ascii="Times New Roman" w:hAnsi="Times New Roman" w:eastAsia="宋体" w:cs="Times New Roman"/>
          <w:bCs/>
          <w:szCs w:val="24"/>
        </w:rPr>
        <w:t>按照招标文件规定的方式确定一个投标人获得中标人推荐资格，招标文件未规定的采取随机抽取方式确定，其他同品牌投标人不作为中标候选人。</w:t>
      </w:r>
    </w:p>
    <w:p w14:paraId="3308E716">
      <w:pPr>
        <w:spacing w:line="276" w:lineRule="auto"/>
        <w:ind w:firstLine="411" w:firstLineChars="196"/>
        <w:rPr>
          <w:rFonts w:ascii="Times New Roman" w:hAnsi="Times New Roman" w:eastAsia="宋体" w:cs="Times New Roman"/>
          <w:bCs/>
          <w:szCs w:val="24"/>
        </w:rPr>
      </w:pPr>
      <w:r>
        <w:rPr>
          <w:rFonts w:ascii="Times New Roman" w:hAnsi="Times New Roman" w:eastAsia="宋体" w:cs="Times New Roman"/>
          <w:bCs/>
          <w:szCs w:val="24"/>
        </w:rPr>
        <w:t>32.3.3非单一产品采购项目，采购人应当根据采购项目技术构成、产品价格比重等合理确定核心产品，并在招标文件中载明。多家投标人提供的核心产品品牌相同的，按前两款规定处理。</w:t>
      </w:r>
    </w:p>
    <w:p w14:paraId="296D2203">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32.4投标人投标文件作无效处理的情形，具体包括但不限于以下：</w:t>
      </w:r>
    </w:p>
    <w:p w14:paraId="6F31A13E">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32.4.1不同投标人的投标文件由同一单位或者同一个人编制，或者由同一个人分阶段参与编制；</w:t>
      </w:r>
    </w:p>
    <w:p w14:paraId="458A57F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32.4.2不同投标人委托同一单位或者个人办理投标事宜；</w:t>
      </w:r>
    </w:p>
    <w:p w14:paraId="359188C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32.4.3不同投标人的投标文件载明的项目管理成员或者联系人员为同一人；</w:t>
      </w:r>
    </w:p>
    <w:p w14:paraId="2C5E89A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32.4.4不同投标人的投标文件异常一致或者投标报价呈规律性差异；</w:t>
      </w:r>
    </w:p>
    <w:p w14:paraId="5FBF3A6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32.4.5不同投标供应商的投标文件或部分投标文件相互混装；</w:t>
      </w:r>
    </w:p>
    <w:p w14:paraId="208540E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32.4.6投标供应商之间相互约定给予未中标的供应商利益补偿；</w:t>
      </w:r>
    </w:p>
    <w:p w14:paraId="2EA9FEE0">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32.4.7不同投标供应商的法定代表人、主要经营负责人、项目投标授权代表人、项目负责人、主要技术人员为同一人、属同一单位或者同一单位缴纳社会保险；</w:t>
      </w:r>
    </w:p>
    <w:p w14:paraId="288C46C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32.4.8不同投标供应商的投标文件内容存在非正常一致；</w:t>
      </w:r>
    </w:p>
    <w:p w14:paraId="64E20F2D">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32.4.9在同一单位工作人员为两家以上（含两家）供应商进行同一项投标活动；</w:t>
      </w:r>
    </w:p>
    <w:p w14:paraId="19B14B7C">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32.4.10主管部门依照法律、法规认定的其他情形。</w:t>
      </w:r>
    </w:p>
    <w:p w14:paraId="59F0A85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32.5对不属于《资格性审查表》和《符合性审查表》所列的其他情形，除专用条款另有规定和32.4条款所列情形外，不得作为投标无效的理由。</w:t>
      </w:r>
    </w:p>
    <w:p w14:paraId="2DE6FD20">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33．澄清有关问题</w:t>
      </w:r>
    </w:p>
    <w:p w14:paraId="5B2937AB">
      <w:pPr>
        <w:spacing w:line="276" w:lineRule="auto"/>
        <w:ind w:firstLine="411" w:firstLineChars="196"/>
        <w:rPr>
          <w:rFonts w:ascii="Times New Roman" w:hAnsi="Times New Roman" w:eastAsia="宋体" w:cs="Times New Roman"/>
          <w:szCs w:val="24"/>
        </w:rPr>
      </w:pPr>
      <w:bookmarkStart w:id="56" w:name="_Hlk71407321"/>
      <w:r>
        <w:rPr>
          <w:rFonts w:ascii="Times New Roman" w:hAnsi="Times New Roman" w:eastAsia="宋体" w:cs="Times New Roman"/>
          <w:szCs w:val="24"/>
        </w:rPr>
        <w:t>33.1对招标文件中描述有歧义或前后不一致的地方（不含</w:t>
      </w:r>
      <w:r>
        <w:rPr>
          <w:rFonts w:ascii="Times New Roman" w:hAnsi="Times New Roman" w:eastAsia="宋体" w:cs="Times New Roman"/>
          <w:szCs w:val="21"/>
        </w:rPr>
        <w:t>招标文件存在歧义、重大缺陷导致评审工作无法进行的情况）</w:t>
      </w:r>
      <w:r>
        <w:rPr>
          <w:rFonts w:ascii="Times New Roman" w:hAnsi="Times New Roman" w:eastAsia="宋体" w:cs="Times New Roman"/>
          <w:szCs w:val="24"/>
        </w:rPr>
        <w:t>，评审委员会有权进行评判，但对同一条款的评判应适用于每个投标人。</w:t>
      </w:r>
      <w:bookmarkEnd w:id="56"/>
    </w:p>
    <w:p w14:paraId="20A1B088">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33.2</w:t>
      </w:r>
      <w:r>
        <w:rPr>
          <w:rFonts w:ascii="Times New Roman" w:hAnsi="Times New Roman" w:eastAsia="宋体" w:cs="Times New Roman"/>
          <w:szCs w:val="21"/>
        </w:rPr>
        <w:t>评审委员会发现招标文件存在歧义、重大缺陷导致评审工作无法进行，或者招标文件内容违反国家有关强制性规定的，应当停止评审工作，与政府集中采购机构沟通并作书面记录。经确认后，项目应当修改招标文件，重新组织采购活动。</w:t>
      </w:r>
    </w:p>
    <w:p w14:paraId="23EE2E4D">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33.3对于投标文件中含义不明确、同类问题表述不一致或者有明显文字和计算错误的内容，评审委员会应当以书面形式要求投标人作出必要的澄清、说明或者补正。</w:t>
      </w:r>
    </w:p>
    <w:p w14:paraId="1CBC9CFB">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2A78E1A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根据本通用条款第34条，凡属于评审委员会在评审中发现的算术错误进行核实的修改不在此列。</w:t>
      </w:r>
    </w:p>
    <w:p w14:paraId="4090A0AC">
      <w:pPr>
        <w:spacing w:line="276" w:lineRule="auto"/>
        <w:rPr>
          <w:rFonts w:ascii="Times New Roman" w:hAnsi="Times New Roman" w:eastAsia="黑体" w:cs="Times New Roman"/>
          <w:sz w:val="24"/>
          <w:szCs w:val="24"/>
        </w:rPr>
      </w:pPr>
      <w:bookmarkStart w:id="57" w:name="_Toc73521581"/>
      <w:bookmarkStart w:id="58" w:name="_Toc73517673"/>
      <w:bookmarkStart w:id="59" w:name="_Toc73518151"/>
      <w:bookmarkStart w:id="60" w:name="_Toc100052400"/>
      <w:bookmarkStart w:id="61" w:name="_Toc73521669"/>
      <w:r>
        <w:rPr>
          <w:rFonts w:ascii="Times New Roman" w:hAnsi="Times New Roman" w:eastAsia="黑体" w:cs="Times New Roman"/>
          <w:sz w:val="24"/>
          <w:szCs w:val="24"/>
        </w:rPr>
        <w:t>34．错误的修正</w:t>
      </w:r>
      <w:bookmarkEnd w:id="57"/>
      <w:bookmarkEnd w:id="58"/>
      <w:bookmarkEnd w:id="59"/>
      <w:bookmarkEnd w:id="60"/>
      <w:bookmarkEnd w:id="61"/>
    </w:p>
    <w:p w14:paraId="064FE73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投标文件报价出现前后不一致的，除专用条款另有规定外，按照下列规定修正：</w:t>
      </w:r>
    </w:p>
    <w:p w14:paraId="5C6B0B23">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34.1投标文件中开标一览表投标报价内容与投标文件中投标报价相应内容不一致的，以开标一览表为准；</w:t>
      </w:r>
    </w:p>
    <w:p w14:paraId="2F33366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34.2大写金额和小写金额不一致的，以大写金额为准；</w:t>
      </w:r>
    </w:p>
    <w:p w14:paraId="797292C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34.3单价金额小数点或者百分比有明显错位，以开标一览表的总价为准，并修改单价；</w:t>
      </w:r>
    </w:p>
    <w:p w14:paraId="1C3370E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34.4总价金额与按单价汇总金额不一致的，以单价金额计算结果为准。</w:t>
      </w:r>
    </w:p>
    <w:p w14:paraId="20910AD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34.5同时出现两种以上不一致的，按照前款规定的顺序修正。修正后的报价按照本通用条款33条的规定，经投标人确认后产生约束力，投标人不确认的，其投标无效。</w:t>
      </w:r>
    </w:p>
    <w:p w14:paraId="0A99AE08">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35．投标文件的比较与评价</w:t>
      </w:r>
    </w:p>
    <w:p w14:paraId="3187E6F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8603DD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评审委员会成员对需要共同认定的事项存在争议的，应当按照少数服从多数的原则作出结论。持不同意见的评审委员会成员应当书面作出说明，否则视为无异议。</w:t>
      </w:r>
    </w:p>
    <w:p w14:paraId="467065EB">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36. 实地考察</w:t>
      </w:r>
    </w:p>
    <w:p w14:paraId="0CFE2DC8">
      <w:pPr>
        <w:ind w:firstLine="411" w:firstLineChars="196"/>
        <w:rPr>
          <w:rFonts w:hint="eastAsia" w:ascii="宋体" w:hAnsi="宋体"/>
          <w:szCs w:val="21"/>
        </w:rPr>
      </w:pPr>
      <w:r>
        <w:rPr>
          <w:rFonts w:hint="eastAsia" w:ascii="宋体" w:hAnsi="宋体"/>
          <w:szCs w:val="21"/>
        </w:rPr>
        <w:t>36.1在评审期间，评审委员会根据招标文件规定（详见“一、对通用条款的补充内容”），有权对本项目的投标人开展实地考察，投标人需时刻做好接收实地考察的准备。</w:t>
      </w:r>
    </w:p>
    <w:p w14:paraId="2F45F8C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37．评审方法</w:t>
      </w:r>
    </w:p>
    <w:p w14:paraId="46285BBE">
      <w:pPr>
        <w:spacing w:line="276" w:lineRule="auto"/>
        <w:ind w:firstLine="413" w:firstLineChars="196"/>
        <w:rPr>
          <w:rFonts w:ascii="Times New Roman" w:hAnsi="Times New Roman" w:eastAsia="宋体" w:cs="Times New Roman"/>
          <w:b/>
          <w:bCs/>
          <w:szCs w:val="21"/>
        </w:rPr>
      </w:pPr>
      <w:r>
        <w:rPr>
          <w:rFonts w:ascii="Times New Roman" w:hAnsi="Times New Roman" w:eastAsia="宋体" w:cs="Times New Roman"/>
          <w:b/>
          <w:bCs/>
          <w:szCs w:val="21"/>
        </w:rPr>
        <w:t>37.1.1最低价法</w:t>
      </w:r>
    </w:p>
    <w:p w14:paraId="478BCDDC">
      <w:pPr>
        <w:spacing w:line="276" w:lineRule="auto"/>
        <w:ind w:firstLine="411" w:firstLineChars="196"/>
        <w:rPr>
          <w:rFonts w:ascii="Times New Roman" w:hAnsi="Times New Roman" w:eastAsia="宋体" w:cs="Times New Roman"/>
          <w:szCs w:val="24"/>
        </w:rPr>
      </w:pPr>
      <w:bookmarkStart w:id="62" w:name="_Hlk72438142"/>
      <w:r>
        <w:rPr>
          <w:rFonts w:ascii="Times New Roman" w:hAnsi="Times New Roman" w:eastAsia="宋体" w:cs="Times New Roman"/>
          <w:szCs w:val="24"/>
        </w:rPr>
        <w:t>最低价法，是指完全满足招标文件实质性要求，按照报价由低到高的顺序，依据招标文件中规定的数量或者比例推荐候选中标供应商。</w:t>
      </w:r>
    </w:p>
    <w:p w14:paraId="6B0A27EC">
      <w:pPr>
        <w:spacing w:line="276" w:lineRule="auto"/>
        <w:ind w:firstLine="413" w:firstLineChars="196"/>
        <w:rPr>
          <w:rFonts w:ascii="Times New Roman" w:hAnsi="Times New Roman" w:eastAsia="宋体" w:cs="Times New Roman"/>
          <w:b/>
          <w:bCs/>
          <w:szCs w:val="21"/>
        </w:rPr>
      </w:pPr>
      <w:r>
        <w:rPr>
          <w:rFonts w:ascii="Times New Roman" w:hAnsi="Times New Roman" w:eastAsia="宋体" w:cs="Times New Roman"/>
          <w:b/>
          <w:bCs/>
          <w:szCs w:val="21"/>
        </w:rPr>
        <w:t>37.1.2综合评分法</w:t>
      </w:r>
    </w:p>
    <w:p w14:paraId="2CD2A831">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综合评分法，是指在满足招标文件全部实质性要求的前提下，按照招标文件中规定的各项因素进行综合评审，评审总得分排名前列的投标人，作为推荐的候选中标供应商。</w:t>
      </w:r>
      <w:bookmarkEnd w:id="62"/>
    </w:p>
    <w:p w14:paraId="180A3E6F">
      <w:pPr>
        <w:spacing w:line="276" w:lineRule="auto"/>
        <w:ind w:firstLine="413" w:firstLineChars="196"/>
        <w:rPr>
          <w:rFonts w:ascii="Times New Roman" w:hAnsi="Times New Roman" w:eastAsia="宋体" w:cs="Times New Roman"/>
          <w:b/>
          <w:bCs/>
          <w:szCs w:val="21"/>
        </w:rPr>
      </w:pPr>
      <w:r>
        <w:rPr>
          <w:rFonts w:ascii="Times New Roman" w:hAnsi="Times New Roman" w:eastAsia="宋体" w:cs="Times New Roman"/>
          <w:b/>
          <w:bCs/>
          <w:szCs w:val="21"/>
        </w:rPr>
        <w:t>37.2 本项目采用的评审方法见本项目招标文件第一册“专用条款”的相关内容。</w:t>
      </w:r>
    </w:p>
    <w:p w14:paraId="1786F63B">
      <w:pPr>
        <w:spacing w:line="276" w:lineRule="auto"/>
        <w:ind w:firstLine="413" w:firstLineChars="196"/>
        <w:rPr>
          <w:rFonts w:ascii="Times New Roman" w:hAnsi="Times New Roman" w:eastAsia="宋体" w:cs="Times New Roman"/>
          <w:b/>
          <w:bCs/>
          <w:szCs w:val="21"/>
        </w:rPr>
      </w:pPr>
      <w:r>
        <w:rPr>
          <w:rFonts w:ascii="Times New Roman" w:hAnsi="Times New Roman" w:eastAsia="宋体" w:cs="Times New Roman"/>
          <w:b/>
          <w:bCs/>
          <w:szCs w:val="21"/>
        </w:rPr>
        <w:t>37.3重新评审的情形</w:t>
      </w:r>
    </w:p>
    <w:p w14:paraId="0124506F">
      <w:pPr>
        <w:spacing w:line="276" w:lineRule="auto"/>
        <w:ind w:firstLine="411" w:firstLineChars="196"/>
        <w:rPr>
          <w:rFonts w:ascii="Times New Roman" w:hAnsi="Times New Roman" w:eastAsia="宋体" w:cs="Times New Roman"/>
          <w:b/>
          <w:bCs/>
          <w:szCs w:val="21"/>
        </w:rPr>
      </w:pPr>
      <w:r>
        <w:rPr>
          <w:rFonts w:ascii="Times New Roman" w:hAnsi="Times New Roman" w:eastAsia="宋体" w:cs="Times New Roman"/>
          <w:kern w:val="0"/>
          <w:szCs w:val="21"/>
        </w:rPr>
        <w:t>评审结果汇总完成后，除下列情形外，任何人不得修改评审结果：</w:t>
      </w:r>
    </w:p>
    <w:p w14:paraId="7F9B211F">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37.3.1分值汇总计算错误的；</w:t>
      </w:r>
    </w:p>
    <w:p w14:paraId="4A2BFA00">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37.3.2分项评分超出评分标准范围的；</w:t>
      </w:r>
    </w:p>
    <w:p w14:paraId="5C906867">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37.3.3评审委员会成员对客观评审因素评分不一致的；</w:t>
      </w:r>
    </w:p>
    <w:p w14:paraId="4F7851C5">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37.3.4经评审委员会认定评分畸高、畸低的。</w:t>
      </w:r>
    </w:p>
    <w:p w14:paraId="281A5B04">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1B20A9E">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投标人对本条第一款情形提出质疑的，采购人或者采购代理机构可以组织原评审委员会进行重新评审，重新评审改变评审结果的，应当书面报告本级财政部门。</w:t>
      </w:r>
    </w:p>
    <w:p w14:paraId="7857AD56">
      <w:pPr>
        <w:spacing w:line="276" w:lineRule="auto"/>
        <w:ind w:firstLine="413" w:firstLineChars="196"/>
        <w:rPr>
          <w:rFonts w:ascii="Times New Roman" w:hAnsi="Times New Roman" w:eastAsia="宋体" w:cs="Times New Roman"/>
          <w:b/>
          <w:bCs/>
          <w:szCs w:val="21"/>
        </w:rPr>
      </w:pPr>
      <w:r>
        <w:rPr>
          <w:rFonts w:ascii="Times New Roman" w:hAnsi="Times New Roman" w:eastAsia="宋体" w:cs="Times New Roman"/>
          <w:b/>
          <w:bCs/>
          <w:szCs w:val="21"/>
        </w:rPr>
        <w:t>37.4重新组建评审委员会的情形</w:t>
      </w:r>
    </w:p>
    <w:p w14:paraId="536F5E25">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评审委员会或者其成员存在下列情形导致评审结果无效的，重新组建评审委员会进行评标，并书面报告本级财政部门：</w:t>
      </w:r>
    </w:p>
    <w:p w14:paraId="3FF46857">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37.4.1评审委员会组成不符合《政府采购货物和服务招标投标管理办法》规定的；</w:t>
      </w:r>
    </w:p>
    <w:p w14:paraId="11404C3A">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37.4.2有《政府采购货物和服务招标投标管理办法》第六十二条第一至五项情形的；</w:t>
      </w:r>
    </w:p>
    <w:p w14:paraId="1CA08BB8">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37.4.3评审委员会及其成员独立评标受到非法干预的；</w:t>
      </w:r>
    </w:p>
    <w:p w14:paraId="1522F938">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37.4.4有政府采购法实施条例第七十五条规定的违法行为的。</w:t>
      </w:r>
    </w:p>
    <w:p w14:paraId="0BEDF18B">
      <w:pPr>
        <w:spacing w:line="276" w:lineRule="auto"/>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有违法违规行为的原评审委员会成员不得参加重新组建的评审委员会。</w:t>
      </w:r>
    </w:p>
    <w:p w14:paraId="401065AD">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定标及公示</w:t>
      </w:r>
    </w:p>
    <w:p w14:paraId="23D48A60">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38．定标方法</w:t>
      </w:r>
    </w:p>
    <w:p w14:paraId="164EEA88">
      <w:pPr>
        <w:spacing w:line="276" w:lineRule="auto"/>
        <w:ind w:firstLine="411" w:firstLineChars="196"/>
        <w:rPr>
          <w:rFonts w:ascii="Times New Roman" w:hAnsi="Times New Roman" w:eastAsia="宋体" w:cs="Times New Roman"/>
          <w:szCs w:val="21"/>
        </w:rPr>
      </w:pPr>
      <w:bookmarkStart w:id="63" w:name="_Hlk73782795"/>
      <w:r>
        <w:rPr>
          <w:rFonts w:ascii="Times New Roman" w:hAnsi="Times New Roman" w:eastAsia="宋体" w:cs="Times New Roman"/>
          <w:szCs w:val="21"/>
        </w:rPr>
        <w:t>38.1非评定分离项目定标方法</w:t>
      </w:r>
    </w:p>
    <w:p w14:paraId="64B554F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38.1.1评审委员会依据本项目招标文件所约定的评审方法进行评审和比较，向政府集中采购机构提交书面评审报告，并根据评审方法比较评价结果从优到劣进行排序，确定候选中标供应商。</w:t>
      </w:r>
    </w:p>
    <w:p w14:paraId="119829CF">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38.1.2</w:t>
      </w:r>
      <w:r>
        <w:rPr>
          <w:rFonts w:ascii="Times New Roman" w:hAnsi="Times New Roman" w:eastAsia="宋体" w:cs="Times New Roman"/>
          <w:szCs w:val="24"/>
        </w:rPr>
        <w:t>采用最低价法的，评审结果按投标报价由低到高顺序排列。投标报价相同的并列。投标文件满足招标文件全部实质性要求且投标报价最低的投标人为</w:t>
      </w:r>
      <w:bookmarkStart w:id="64" w:name="_Hlk73821177"/>
      <w:r>
        <w:rPr>
          <w:rFonts w:ascii="Times New Roman" w:hAnsi="Times New Roman" w:eastAsia="宋体" w:cs="Times New Roman"/>
          <w:szCs w:val="24"/>
        </w:rPr>
        <w:t>中标供应商（排名第二的投标人为第一替补中标候选人、排名第三的投标人为第二替补中标候选人</w:t>
      </w:r>
      <w:bookmarkEnd w:id="64"/>
      <w:r>
        <w:rPr>
          <w:rFonts w:ascii="Times New Roman" w:hAnsi="Times New Roman" w:eastAsia="宋体" w:cs="Times New Roman"/>
          <w:szCs w:val="24"/>
        </w:rPr>
        <w:t>）。</w:t>
      </w:r>
    </w:p>
    <w:p w14:paraId="23122B17">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38.1.3采</w:t>
      </w:r>
      <w:r>
        <w:rPr>
          <w:rFonts w:ascii="Times New Roman" w:hAnsi="Times New Roman" w:eastAsia="宋体" w:cs="Times New Roman"/>
          <w:szCs w:val="24"/>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排名第二的投标人为第一替补中标候选人、排名第三的投标人为第二替补中标候选人）。出现得分且投标报价相同的并列情况时，采取随机抽取的方式确定，具体操作办法及流程由评审委员会确定。</w:t>
      </w:r>
    </w:p>
    <w:p w14:paraId="60004C3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38.2评定分离项目定标方法</w:t>
      </w:r>
    </w:p>
    <w:p w14:paraId="031AA26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5BF3D5DB">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 xml:space="preserve">38.2.2 </w:t>
      </w:r>
      <w:bookmarkStart w:id="65" w:name="_Hlk71469733"/>
      <w:r>
        <w:rPr>
          <w:rFonts w:ascii="Times New Roman" w:hAnsi="Times New Roman" w:eastAsia="宋体" w:cs="Times New Roman"/>
          <w:szCs w:val="24"/>
        </w:rPr>
        <w:t>适用评定分离的政府采购项目，采用综合评分法评审。</w:t>
      </w:r>
      <w:r>
        <w:rPr>
          <w:rFonts w:ascii="Times New Roman" w:hAnsi="Times New Roman" w:eastAsia="宋体" w:cs="Times New Roman"/>
          <w:szCs w:val="21"/>
        </w:rPr>
        <w:t>评审委员会按照评审结果，推荐</w:t>
      </w:r>
      <w:r>
        <w:rPr>
          <w:rFonts w:ascii="Times New Roman" w:hAnsi="Times New Roman" w:eastAsia="宋体" w:cs="Times New Roman"/>
          <w:szCs w:val="24"/>
        </w:rPr>
        <w:t>三个合格的候选中标供应商。</w:t>
      </w:r>
    </w:p>
    <w:p w14:paraId="113EC53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38.2.3</w:t>
      </w:r>
      <w:bookmarkStart w:id="66" w:name="_Hlk71469688"/>
      <w:r>
        <w:rPr>
          <w:rFonts w:ascii="Times New Roman" w:hAnsi="Times New Roman" w:eastAsia="宋体" w:cs="Times New Roman"/>
          <w:szCs w:val="24"/>
        </w:rPr>
        <w:t>适用评定分离的政府采购项目，</w:t>
      </w:r>
      <w:r>
        <w:rPr>
          <w:rFonts w:ascii="Times New Roman" w:hAnsi="Times New Roman" w:eastAsia="宋体" w:cs="Times New Roman"/>
          <w:szCs w:val="21"/>
        </w:rPr>
        <w:t>按照自定法确定中标供应商：自定法是指采购人组织定标委员会，由定标委员会在三家候选中标供应商中确定中标供应商。</w:t>
      </w:r>
      <w:bookmarkEnd w:id="65"/>
      <w:bookmarkEnd w:id="66"/>
    </w:p>
    <w:p w14:paraId="1B2F2F9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38.2.4政府集中采购机构</w:t>
      </w:r>
      <w:r>
        <w:rPr>
          <w:rFonts w:ascii="Times New Roman" w:hAnsi="Times New Roman" w:eastAsia="宋体" w:cs="Times New Roman"/>
          <w:szCs w:val="24"/>
        </w:rPr>
        <w:t>应当自评审结束之日起两个工作日内将候选中标供应商名单及其投标文件、评审报告送交采购人</w:t>
      </w:r>
      <w:r>
        <w:rPr>
          <w:rFonts w:ascii="Times New Roman" w:hAnsi="Times New Roman" w:eastAsia="宋体" w:cs="Times New Roman"/>
          <w:szCs w:val="21"/>
        </w:rPr>
        <w:t>。</w:t>
      </w:r>
      <w:r>
        <w:rPr>
          <w:rFonts w:ascii="Times New Roman" w:hAnsi="Times New Roman" w:eastAsia="宋体" w:cs="Times New Roman"/>
          <w:szCs w:val="24"/>
        </w:rPr>
        <w:t>采购人应当安排专人对定标过程进行书面记录，形成定标报告，作为采购文件的组成部分存档，并及时将定标结果反馈政府集中采购机构。具体定标程序及相关要求以按照《深圳市财政局关于〈深圳市政府采购评标定标分离管理办法〉</w:t>
      </w:r>
      <w:r>
        <w:rPr>
          <w:rFonts w:hint="eastAsia" w:ascii="Times New Roman" w:hAnsi="Times New Roman" w:eastAsia="宋体" w:cs="Times New Roman"/>
          <w:szCs w:val="24"/>
        </w:rPr>
        <w:t>续期</w:t>
      </w:r>
      <w:r>
        <w:rPr>
          <w:rFonts w:ascii="Times New Roman" w:hAnsi="Times New Roman" w:eastAsia="宋体" w:cs="Times New Roman"/>
          <w:szCs w:val="24"/>
        </w:rPr>
        <w:t>的通知》（深财规【202</w:t>
      </w:r>
      <w:r>
        <w:rPr>
          <w:rFonts w:hint="eastAsia" w:ascii="Times New Roman" w:hAnsi="Times New Roman" w:eastAsia="宋体" w:cs="Times New Roman"/>
          <w:szCs w:val="24"/>
        </w:rPr>
        <w:t>3</w:t>
      </w:r>
      <w:r>
        <w:rPr>
          <w:rFonts w:ascii="Times New Roman" w:hAnsi="Times New Roman" w:eastAsia="宋体" w:cs="Times New Roman"/>
          <w:szCs w:val="24"/>
        </w:rPr>
        <w:t>】1号）执行。</w:t>
      </w:r>
    </w:p>
    <w:p w14:paraId="3C0BF59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说明：采购人及投标供应商应按照上述方法提前做好相关准备。</w:t>
      </w:r>
    </w:p>
    <w:p w14:paraId="5E552620">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38.3专用条款另有规定的，按专用条款相关要求定标。</w:t>
      </w:r>
      <w:bookmarkEnd w:id="63"/>
    </w:p>
    <w:p w14:paraId="047BA308">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39．编写评审报告</w:t>
      </w:r>
    </w:p>
    <w:p w14:paraId="4D46AC8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2E5F95DE">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40．中标公告</w:t>
      </w:r>
    </w:p>
    <w:p w14:paraId="2BBE584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40.1</w:t>
      </w:r>
      <w:bookmarkStart w:id="67" w:name="_Hlk72438709"/>
      <w:r>
        <w:rPr>
          <w:rFonts w:ascii="Times New Roman" w:hAnsi="Times New Roman" w:eastAsia="宋体" w:cs="Times New Roman"/>
          <w:szCs w:val="21"/>
        </w:rPr>
        <w:t>为体现“公开、公平、公正”的原则，评审结束后经采购人确认（确定）评审结果，政府集中采购机构将在“</w:t>
      </w:r>
      <w:r>
        <w:rPr>
          <w:rFonts w:hint="eastAsia" w:ascii="宋体" w:hAnsi="宋体"/>
          <w:b/>
          <w:bCs/>
          <w:szCs w:val="21"/>
        </w:rPr>
        <w:t>深圳公共资源交易网（https://szggzy.com/）</w:t>
      </w:r>
      <w:r>
        <w:rPr>
          <w:rFonts w:ascii="Times New Roman" w:hAnsi="Times New Roman" w:eastAsia="宋体" w:cs="Times New Roman"/>
          <w:szCs w:val="21"/>
        </w:rPr>
        <w:t>”上发布中标结果公告。</w:t>
      </w:r>
      <w:bookmarkEnd w:id="67"/>
      <w:bookmarkStart w:id="68" w:name="_Hlk72438751"/>
      <w:r>
        <w:rPr>
          <w:rFonts w:ascii="Times New Roman" w:hAnsi="Times New Roman" w:eastAsia="宋体" w:cs="Times New Roman"/>
          <w:szCs w:val="21"/>
        </w:rPr>
        <w:t>供应商如对评审结果有异议，可在发布公示日期起七个工作日内向政府集中采购机构提出。监督电话：0755-</w:t>
      </w:r>
      <w:r>
        <w:rPr>
          <w:rFonts w:ascii="宋体" w:hAnsi="宋体"/>
          <w:szCs w:val="21"/>
        </w:rPr>
        <w:t>83948143</w:t>
      </w:r>
      <w:r>
        <w:rPr>
          <w:rFonts w:ascii="Times New Roman" w:hAnsi="Times New Roman" w:eastAsia="宋体" w:cs="Times New Roman"/>
          <w:szCs w:val="21"/>
        </w:rPr>
        <w:t>。若在公示期内未提出质疑，则视为认同该评审结果。</w:t>
      </w:r>
    </w:p>
    <w:bookmarkEnd w:id="68"/>
    <w:p w14:paraId="6E2A092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40.2质疑、投诉供应商应保证质疑、投诉内容的真实性和可靠性，并承担相应的法律责任。</w:t>
      </w:r>
    </w:p>
    <w:p w14:paraId="1B6B1EA7">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41．中标通知书</w:t>
      </w:r>
    </w:p>
    <w:p w14:paraId="6845286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41.1</w:t>
      </w:r>
      <w:bookmarkStart w:id="69" w:name="_Hlk72438863"/>
      <w:r>
        <w:rPr>
          <w:rFonts w:ascii="Times New Roman" w:hAnsi="Times New Roman" w:eastAsia="宋体" w:cs="Times New Roman"/>
          <w:szCs w:val="21"/>
        </w:rPr>
        <w:t>中标公告公布以后无异常的情况下,中标供应商和采购人可自行在“深圳政府采购智慧平台（http://zfcg.szggzy.com/）”上打印</w:t>
      </w:r>
      <w:r>
        <w:rPr>
          <w:rFonts w:ascii="Times New Roman" w:hAnsi="Times New Roman" w:eastAsia="宋体" w:cs="Times New Roman"/>
          <w:b/>
          <w:szCs w:val="21"/>
        </w:rPr>
        <w:t>《数字中标通知书》</w:t>
      </w:r>
      <w:r>
        <w:rPr>
          <w:rFonts w:ascii="Times New Roman" w:hAnsi="Times New Roman" w:eastAsia="宋体" w:cs="Times New Roman"/>
          <w:szCs w:val="21"/>
        </w:rPr>
        <w:t>。</w:t>
      </w:r>
      <w:bookmarkEnd w:id="69"/>
    </w:p>
    <w:p w14:paraId="634A218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41.2中标通知书是合同的重要组成部分。</w:t>
      </w:r>
    </w:p>
    <w:p w14:paraId="3FA2DEAD">
      <w:pPr>
        <w:spacing w:line="276" w:lineRule="auto"/>
        <w:ind w:firstLine="411" w:firstLineChars="196"/>
        <w:rPr>
          <w:rFonts w:ascii="Times New Roman" w:hAnsi="Times New Roman" w:eastAsia="宋体" w:cs="Times New Roman"/>
          <w:szCs w:val="21"/>
        </w:rPr>
      </w:pPr>
      <w:bookmarkStart w:id="70" w:name="_Hlk71407340"/>
      <w:r>
        <w:rPr>
          <w:rFonts w:ascii="Times New Roman" w:hAnsi="Times New Roman" w:eastAsia="宋体" w:cs="Times New Roman"/>
          <w:szCs w:val="21"/>
        </w:rPr>
        <w:t>41.3因质疑投诉或其它原因导致项目结果变更或采购终止的，政府集中采购机构有权吊销中标通知书。</w:t>
      </w:r>
    </w:p>
    <w:bookmarkEnd w:id="70"/>
    <w:p w14:paraId="3D38FD25">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公开招标失败的后续处理</w:t>
      </w:r>
    </w:p>
    <w:p w14:paraId="5E75663A">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42．公开招标失败的处理</w:t>
      </w:r>
    </w:p>
    <w:p w14:paraId="40F5316E">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1"/>
        </w:rPr>
        <w:t>42.1本项目公开招标过程中若由于投标截止后</w:t>
      </w:r>
      <w:r>
        <w:rPr>
          <w:rFonts w:ascii="Times New Roman" w:hAnsi="Times New Roman" w:eastAsia="宋体" w:cs="Times New Roman"/>
          <w:szCs w:val="24"/>
        </w:rPr>
        <w:t>实际递交投标文件的供应商数量不足、经</w:t>
      </w:r>
      <w:r>
        <w:rPr>
          <w:rFonts w:ascii="Times New Roman" w:hAnsi="Times New Roman" w:eastAsia="宋体" w:cs="Times New Roman"/>
          <w:szCs w:val="21"/>
        </w:rPr>
        <w:t>评审委员会</w:t>
      </w:r>
      <w:r>
        <w:rPr>
          <w:rFonts w:ascii="Times New Roman" w:hAnsi="Times New Roman" w:eastAsia="宋体" w:cs="Times New Roman"/>
          <w:szCs w:val="24"/>
        </w:rPr>
        <w:t>评审对招标文件作实质响应的供应商不足等原因造成公开招标失败，可由政府集中采购机构重新组织采购。</w:t>
      </w:r>
    </w:p>
    <w:p w14:paraId="0592F5A8">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42.2对公开招标失败的项目，评审委员会在出具该项目招标失败结论的同时，可以提出重新采购组织形式的建议，以及进一步完善招标文件的资格、技术、商务要求的修改建议。</w:t>
      </w:r>
    </w:p>
    <w:p w14:paraId="52A6680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42.3重新组织采购有以下两种组织形式：</w:t>
      </w:r>
    </w:p>
    <w:p w14:paraId="31673FC4">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（1）由政府集中采购机构重新组织公开招标；</w:t>
      </w:r>
    </w:p>
    <w:p w14:paraId="4AADE1BE">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（2）根据实际情况需要向同级财政部门提出非公开招标方式申请，经同级财政部门批准，公开招标失败采购项目可转为竞争性谈判或单一来源谈判方式采购。</w:t>
      </w:r>
    </w:p>
    <w:p w14:paraId="5909E4DA">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42.4公开招标失败的采购项目重新组织公开招标，由政府集中采购机构重新按公开招标流程组织采购活动。</w:t>
      </w:r>
    </w:p>
    <w:p w14:paraId="36D0C6D9">
      <w:pPr>
        <w:spacing w:line="276" w:lineRule="auto"/>
        <w:ind w:firstLine="411" w:firstLineChars="196"/>
        <w:rPr>
          <w:rFonts w:ascii="Times New Roman" w:hAnsi="Times New Roman" w:eastAsia="宋体" w:cs="Times New Roman"/>
          <w:szCs w:val="24"/>
        </w:rPr>
      </w:pPr>
      <w:r>
        <w:rPr>
          <w:rFonts w:ascii="Times New Roman" w:hAnsi="Times New Roman" w:eastAsia="宋体" w:cs="Times New Roman"/>
          <w:szCs w:val="24"/>
        </w:rPr>
        <w:t>42.5公开招标失败的采购项目经同级财政部门批准转为竞争性谈判或单一来源谈判方式采购的，按规定要求组织政府采购工作。</w:t>
      </w:r>
    </w:p>
    <w:p w14:paraId="3ED2C21F">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bookmarkStart w:id="71" w:name="_Hlk72439043"/>
      <w:r>
        <w:rPr>
          <w:rFonts w:ascii="Times New Roman" w:hAnsi="Times New Roman" w:eastAsia="宋体" w:cs="Times New Roman"/>
          <w:b/>
          <w:bCs/>
          <w:kern w:val="0"/>
          <w:sz w:val="28"/>
          <w:szCs w:val="28"/>
        </w:rPr>
        <w:t>合同的授予与备案</w:t>
      </w:r>
      <w:bookmarkEnd w:id="71"/>
    </w:p>
    <w:p w14:paraId="5C1B3406">
      <w:pPr>
        <w:spacing w:line="276" w:lineRule="auto"/>
        <w:rPr>
          <w:rFonts w:ascii="Times New Roman" w:hAnsi="Times New Roman" w:eastAsia="黑体" w:cs="Times New Roman"/>
          <w:sz w:val="24"/>
          <w:szCs w:val="24"/>
        </w:rPr>
      </w:pPr>
      <w:bookmarkStart w:id="72" w:name="_Toc73521674"/>
      <w:bookmarkStart w:id="73" w:name="_Toc73517679"/>
      <w:bookmarkStart w:id="74" w:name="_Toc100052408"/>
      <w:bookmarkStart w:id="75" w:name="_Toc73518157"/>
      <w:bookmarkStart w:id="76" w:name="_Toc73521586"/>
      <w:bookmarkStart w:id="77" w:name="_Hlk72439088"/>
      <w:r>
        <w:rPr>
          <w:rFonts w:ascii="Times New Roman" w:hAnsi="Times New Roman" w:eastAsia="黑体" w:cs="Times New Roman"/>
          <w:sz w:val="24"/>
          <w:szCs w:val="24"/>
        </w:rPr>
        <w:t>43．合同授予标准</w:t>
      </w:r>
      <w:bookmarkEnd w:id="72"/>
      <w:bookmarkEnd w:id="73"/>
      <w:bookmarkEnd w:id="74"/>
      <w:bookmarkEnd w:id="75"/>
      <w:bookmarkEnd w:id="76"/>
    </w:p>
    <w:p w14:paraId="686D4E77">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本项目的合同将授予经本招标文件规定评审确定的中标供应商。</w:t>
      </w:r>
    </w:p>
    <w:p w14:paraId="5D298226">
      <w:pPr>
        <w:spacing w:line="276" w:lineRule="auto"/>
        <w:rPr>
          <w:rFonts w:ascii="Times New Roman" w:hAnsi="Times New Roman" w:eastAsia="黑体" w:cs="Times New Roman"/>
          <w:sz w:val="24"/>
          <w:szCs w:val="24"/>
        </w:rPr>
      </w:pPr>
      <w:bookmarkStart w:id="78" w:name="_Toc73521675"/>
      <w:bookmarkStart w:id="79" w:name="_Toc73517680"/>
      <w:bookmarkStart w:id="80" w:name="_Toc73521587"/>
      <w:bookmarkStart w:id="81" w:name="_Toc73518158"/>
      <w:bookmarkStart w:id="82" w:name="_Toc100052409"/>
      <w:r>
        <w:rPr>
          <w:rFonts w:ascii="Times New Roman" w:hAnsi="Times New Roman" w:eastAsia="黑体" w:cs="Times New Roman"/>
          <w:sz w:val="24"/>
          <w:szCs w:val="24"/>
        </w:rPr>
        <w:t>44．</w:t>
      </w:r>
      <w:bookmarkEnd w:id="78"/>
      <w:bookmarkEnd w:id="79"/>
      <w:bookmarkEnd w:id="80"/>
      <w:bookmarkEnd w:id="81"/>
      <w:bookmarkEnd w:id="82"/>
      <w:r>
        <w:rPr>
          <w:rFonts w:ascii="Times New Roman" w:hAnsi="Times New Roman" w:eastAsia="黑体" w:cs="Times New Roman"/>
          <w:sz w:val="24"/>
          <w:szCs w:val="24"/>
        </w:rPr>
        <w:t>接受和拒绝任何或所有投标的权力</w:t>
      </w:r>
    </w:p>
    <w:p w14:paraId="0538649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政府集中采购机构和采购人保留在投标之前任何时候接受或拒绝任何投标或所有投标，以及宣布招标无效的权力，对受影响的投标人不承担任何责任，也无义务向受影响的投标人解释采取这一行动的理由。</w:t>
      </w:r>
    </w:p>
    <w:p w14:paraId="10757DBF">
      <w:pPr>
        <w:spacing w:line="276" w:lineRule="auto"/>
        <w:rPr>
          <w:rFonts w:ascii="Times New Roman" w:hAnsi="Times New Roman" w:eastAsia="黑体" w:cs="Times New Roman"/>
          <w:sz w:val="24"/>
          <w:szCs w:val="24"/>
        </w:rPr>
      </w:pPr>
      <w:bookmarkStart w:id="83" w:name="_Toc73521677"/>
      <w:bookmarkStart w:id="84" w:name="_Toc73517682"/>
      <w:bookmarkStart w:id="85" w:name="_Toc73518160"/>
      <w:bookmarkStart w:id="86" w:name="_Toc73521589"/>
      <w:bookmarkStart w:id="87" w:name="_Toc100052410"/>
      <w:r>
        <w:rPr>
          <w:rFonts w:ascii="Times New Roman" w:hAnsi="Times New Roman" w:eastAsia="黑体" w:cs="Times New Roman"/>
          <w:sz w:val="24"/>
          <w:szCs w:val="24"/>
        </w:rPr>
        <w:t>45．合同的签订</w:t>
      </w:r>
      <w:bookmarkEnd w:id="83"/>
      <w:bookmarkEnd w:id="84"/>
      <w:bookmarkEnd w:id="85"/>
      <w:bookmarkEnd w:id="86"/>
      <w:bookmarkEnd w:id="87"/>
    </w:p>
    <w:p w14:paraId="4A996809">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45.1中标人将于中标通知书发出之日起十个工作日内，按照采购文件（招标文件和投标文件等）内容与采购人签订政府采购合同；合同的实质性内容应当符合招标文件的规定；</w:t>
      </w:r>
    </w:p>
    <w:p w14:paraId="36CFCB8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45.2中标人如不按本通用条款第45.1款的规定与采购人签订合同，</w:t>
      </w:r>
      <w:r>
        <w:rPr>
          <w:rFonts w:ascii="Times New Roman" w:hAnsi="Times New Roman" w:eastAsia="宋体" w:cs="Times New Roman"/>
          <w:kern w:val="0"/>
          <w:szCs w:val="21"/>
        </w:rPr>
        <w:t>情节严重的，由同级财政部门记入供应商诚信档案，予以通报</w:t>
      </w:r>
      <w:r>
        <w:rPr>
          <w:rFonts w:ascii="Times New Roman" w:hAnsi="Times New Roman" w:eastAsia="宋体" w:cs="Times New Roman"/>
          <w:szCs w:val="21"/>
        </w:rPr>
        <w:t>；</w:t>
      </w:r>
    </w:p>
    <w:p w14:paraId="5C9FB9B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45.3中标人应当按照合同约定履行义务，完成中标项目，不得将中标项目转让（转包）给他人。</w:t>
      </w:r>
    </w:p>
    <w:p w14:paraId="1EC050EC">
      <w:pPr>
        <w:spacing w:line="276" w:lineRule="auto"/>
        <w:rPr>
          <w:rFonts w:ascii="Times New Roman" w:hAnsi="Times New Roman" w:eastAsia="黑体" w:cs="Times New Roman"/>
          <w:sz w:val="24"/>
          <w:szCs w:val="24"/>
        </w:rPr>
      </w:pPr>
      <w:bookmarkStart w:id="88" w:name="_Toc73521590"/>
      <w:bookmarkStart w:id="89" w:name="_Toc73521678"/>
      <w:bookmarkStart w:id="90" w:name="_Toc73517683"/>
      <w:bookmarkStart w:id="91" w:name="_Toc73518161"/>
      <w:bookmarkStart w:id="92" w:name="_Toc100052411"/>
      <w:r>
        <w:rPr>
          <w:rFonts w:ascii="Times New Roman" w:hAnsi="Times New Roman" w:eastAsia="黑体" w:cs="Times New Roman"/>
          <w:sz w:val="24"/>
          <w:szCs w:val="24"/>
        </w:rPr>
        <w:t>46．履约担保</w:t>
      </w:r>
      <w:bookmarkEnd w:id="88"/>
      <w:bookmarkEnd w:id="89"/>
      <w:bookmarkEnd w:id="90"/>
      <w:bookmarkEnd w:id="91"/>
      <w:bookmarkEnd w:id="92"/>
    </w:p>
    <w:p w14:paraId="6A6AE2D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46.1在签订项目合同的同时，中标人应按“对通用条款的补充内容”中规定的金额向采购人提交履约担保；</w:t>
      </w:r>
    </w:p>
    <w:p w14:paraId="014A493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46.2，允许供应商自主选择以支票、汇票、本票、保函等非现金方式提交履约担保；</w:t>
      </w:r>
      <w:r>
        <w:rPr>
          <w:rFonts w:ascii="Times New Roman" w:hAnsi="Times New Roman" w:eastAsia="宋体" w:cs="Times New Roman"/>
          <w:szCs w:val="24"/>
        </w:rPr>
        <w:t>中标人提交履约担保不是合同签订的前提条件，不要求中标人提供除法律、法规明确规定外的其他担保。</w:t>
      </w:r>
    </w:p>
    <w:p w14:paraId="76ADE6A4">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47. 合同备案</w:t>
      </w:r>
    </w:p>
    <w:p w14:paraId="68A35783">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采购人</w:t>
      </w:r>
      <w:r>
        <w:rPr>
          <w:rFonts w:hint="eastAsia" w:ascii="Times New Roman" w:hAnsi="Times New Roman" w:eastAsia="宋体" w:cs="Times New Roman"/>
          <w:szCs w:val="21"/>
        </w:rPr>
        <w:t>与中标供应商自中标通知书发出之日起10个工作日内签订政府采购合同，并按财政部门规定提交备案。</w:t>
      </w:r>
    </w:p>
    <w:p w14:paraId="3011611B">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48. 合同变更</w:t>
      </w:r>
    </w:p>
    <w:p w14:paraId="1F36A95D">
      <w:pPr>
        <w:spacing w:line="276" w:lineRule="auto"/>
        <w:ind w:firstLine="411" w:firstLineChars="196"/>
        <w:rPr>
          <w:rFonts w:ascii="Times New Roman" w:hAnsi="Times New Roman" w:eastAsia="宋体" w:cs="Times New Roman"/>
          <w:szCs w:val="21"/>
        </w:rPr>
      </w:pPr>
      <w:r>
        <w:rPr>
          <w:rFonts w:hint="eastAsia" w:ascii="Times New Roman" w:hAnsi="Times New Roman" w:eastAsia="宋体" w:cs="Times New Roman"/>
          <w:szCs w:val="21"/>
        </w:rPr>
        <w:t>合同变更事宜按《深圳市财政局关于优化政府采购合同备案的通知》（深财发保〔2022〕2号）相关规定执行</w:t>
      </w:r>
      <w:r>
        <w:rPr>
          <w:rFonts w:ascii="Times New Roman" w:hAnsi="Times New Roman" w:eastAsia="宋体" w:cs="Times New Roman"/>
          <w:szCs w:val="21"/>
        </w:rPr>
        <w:t>。</w:t>
      </w:r>
    </w:p>
    <w:p w14:paraId="23EF23CC">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49. 项目验收</w:t>
      </w:r>
    </w:p>
    <w:p w14:paraId="67A21528">
      <w:pPr>
        <w:widowControl/>
        <w:spacing w:line="276" w:lineRule="auto"/>
        <w:ind w:right="176" w:firstLine="420"/>
        <w:jc w:val="left"/>
        <w:rPr>
          <w:rFonts w:ascii="Times New Roman" w:hAnsi="Times New Roman" w:eastAsia="宋体" w:cs="Times New Roman"/>
          <w:szCs w:val="24"/>
        </w:rPr>
      </w:pPr>
      <w:r>
        <w:rPr>
          <w:rFonts w:ascii="Times New Roman" w:hAnsi="Times New Roman" w:eastAsia="宋体" w:cs="Times New Roman"/>
          <w:szCs w:val="24"/>
        </w:rPr>
        <w:t>49.1采购人应当按照招标文件和合同规定的标准和方法，及时组织验收。</w:t>
      </w:r>
    </w:p>
    <w:p w14:paraId="2A70E701">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50. 宣传</w:t>
      </w:r>
    </w:p>
    <w:p w14:paraId="1C2750E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凡与政府采购活动有关的宣传或广告，若当中提及政府采购，必须事先将具体对外宣传方案报同级财政部门和政府集中采购机构，并征得其同意。对外市场宣传包括但不限于以下形式：</w:t>
      </w:r>
    </w:p>
    <w:p w14:paraId="01F8392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a.名片、宣传册、广告标语等；</w:t>
      </w:r>
    </w:p>
    <w:p w14:paraId="570F2BB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b.案例介绍、推广等；</w:t>
      </w:r>
    </w:p>
    <w:p w14:paraId="0169717B">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c.工作人员向其他消费群体宣传。</w:t>
      </w:r>
    </w:p>
    <w:p w14:paraId="44069863">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51. 供应商违法责任</w:t>
      </w:r>
    </w:p>
    <w:p w14:paraId="33669F4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51.1《深圳经济特区政府采购条例》第五十七条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F60BE93">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（1）在采购活动中应当回避而未回避的；</w:t>
      </w:r>
    </w:p>
    <w:p w14:paraId="4BAF0B8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（2）未按本条例规定签订、履行采购合同，造成严重后果的；</w:t>
      </w:r>
    </w:p>
    <w:p w14:paraId="2BACAEAC">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（3）隐瞒真实情况，提供虚假资料的；</w:t>
      </w:r>
    </w:p>
    <w:p w14:paraId="18E6370A">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（4）以非法手段排斥其他供应商参与竞争的；</w:t>
      </w:r>
    </w:p>
    <w:p w14:paraId="17038FD5">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（5）与其他采购参加人串通投标的；</w:t>
      </w:r>
    </w:p>
    <w:p w14:paraId="6935FFC4">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（6）恶意投诉的；</w:t>
      </w:r>
    </w:p>
    <w:p w14:paraId="286914B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（7）向采购项目相关人行贿或者提供其他不当利益的；</w:t>
      </w:r>
    </w:p>
    <w:p w14:paraId="7F15ADFE">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（8）阻碍、抗拒主管部门监督检查的；</w:t>
      </w:r>
    </w:p>
    <w:p w14:paraId="0FEF6232">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（9）其他违反本条例规定的行为。</w:t>
      </w:r>
    </w:p>
    <w:p w14:paraId="1E69FDD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51.2</w:t>
      </w:r>
      <w:r>
        <w:rPr>
          <w:rFonts w:hint="eastAsia" w:ascii="Times New Roman" w:hAnsi="Times New Roman" w:eastAsia="宋体" w:cs="Times New Roman"/>
          <w:szCs w:val="21"/>
        </w:rPr>
        <w:t>根据《深圳市财政局关于调整政府采购投标（响应）保证金管理政策的通知 》（深财购〔2021〕51号）的要求，供应商在政府采购活动中出现《深圳经济特区政府采购条例实施细则》第八十条所列情形的，政府集中采购机构或采购人不予退还其交纳的谈判保证金，情节严重的，并由主管部门记入供应商诚信档案，予以通报</w:t>
      </w:r>
      <w:r>
        <w:rPr>
          <w:rFonts w:ascii="Times New Roman" w:hAnsi="Times New Roman" w:eastAsia="宋体" w:cs="Times New Roman"/>
          <w:szCs w:val="21"/>
        </w:rPr>
        <w:t>：</w:t>
      </w:r>
    </w:p>
    <w:p w14:paraId="5EA97D5D">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（1）投标截止后，撤销投标的；</w:t>
      </w:r>
    </w:p>
    <w:p w14:paraId="1642FEA6">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（2）中标后无正当理由未在规定期限内签订合同的；</w:t>
      </w:r>
    </w:p>
    <w:p w14:paraId="291F400F">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（3）将中标项目转让给他人、或者在投标文件中未说明且未经采购人、采购招标机构同意，将中标项目分包给他人的；</w:t>
      </w:r>
    </w:p>
    <w:p w14:paraId="717653F1">
      <w:pPr>
        <w:spacing w:line="276" w:lineRule="auto"/>
        <w:ind w:firstLine="411" w:firstLineChars="196"/>
        <w:rPr>
          <w:rFonts w:ascii="Times New Roman" w:hAnsi="Times New Roman" w:eastAsia="宋体" w:cs="Times New Roman"/>
          <w:szCs w:val="21"/>
        </w:rPr>
      </w:pPr>
      <w:r>
        <w:rPr>
          <w:rFonts w:ascii="Times New Roman" w:hAnsi="Times New Roman" w:eastAsia="宋体" w:cs="Times New Roman"/>
          <w:szCs w:val="21"/>
        </w:rPr>
        <w:t>（4）拒绝履行合同义务的。</w:t>
      </w:r>
    </w:p>
    <w:bookmarkEnd w:id="77"/>
    <w:p w14:paraId="64307432">
      <w:pPr>
        <w:keepNext/>
        <w:keepLines/>
        <w:numPr>
          <w:ilvl w:val="0"/>
          <w:numId w:val="12"/>
        </w:numPr>
        <w:adjustRightInd w:val="0"/>
        <w:spacing w:before="120" w:beforeLines="50" w:after="120" w:afterLines="50" w:line="276" w:lineRule="auto"/>
        <w:ind w:left="562" w:hanging="562"/>
        <w:jc w:val="center"/>
        <w:textAlignment w:val="baseline"/>
        <w:outlineLvl w:val="1"/>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质疑处理</w:t>
      </w:r>
    </w:p>
    <w:p w14:paraId="374099F4">
      <w:pPr>
        <w:spacing w:line="276" w:lineRule="auto"/>
        <w:rPr>
          <w:rFonts w:ascii="Times New Roman" w:hAnsi="Times New Roman" w:eastAsia="黑体" w:cs="Times New Roman"/>
          <w:sz w:val="24"/>
          <w:szCs w:val="24"/>
        </w:rPr>
      </w:pPr>
      <w:bookmarkStart w:id="93" w:name="_Hlk72439706"/>
      <w:r>
        <w:rPr>
          <w:rFonts w:ascii="Times New Roman" w:hAnsi="Times New Roman" w:eastAsia="黑体" w:cs="Times New Roman"/>
          <w:sz w:val="24"/>
          <w:szCs w:val="24"/>
        </w:rPr>
        <w:t>52.质疑提出与答复</w:t>
      </w:r>
    </w:p>
    <w:p w14:paraId="34C81EE8">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52.1提出质疑</w:t>
      </w:r>
    </w:p>
    <w:p w14:paraId="2D4BCD6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参与政府采购活动的供应商认为自己的权益在采购活动中受到损害的，应当自知道或者应当知道其权益受到损害之日起七个工作日内向采购人、政府集中采购机构以书面形式提出质疑。</w:t>
      </w:r>
    </w:p>
    <w:p w14:paraId="18B91F8D">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52.2法律依据</w:t>
      </w:r>
    </w:p>
    <w:p w14:paraId="7A9242F9">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1D1B1368">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52.3质疑条件</w:t>
      </w:r>
    </w:p>
    <w:p w14:paraId="5E4FD85D">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52.3.1提出质疑的供应商应当是参与所质疑项目采购活动的供应商；</w:t>
      </w:r>
      <w:bookmarkStart w:id="94" w:name="_Hlk75374941"/>
      <w:r>
        <w:rPr>
          <w:rFonts w:ascii="Times New Roman" w:hAnsi="Times New Roman" w:eastAsia="宋体" w:cs="Times New Roman"/>
          <w:szCs w:val="21"/>
        </w:rPr>
        <w:t>以联合体形式参与的，质疑应当由组成联合体的所有成员共同提出</w:t>
      </w:r>
      <w:bookmarkEnd w:id="94"/>
      <w:r>
        <w:rPr>
          <w:rFonts w:ascii="Times New Roman" w:hAnsi="Times New Roman" w:eastAsia="宋体" w:cs="Times New Roman"/>
          <w:szCs w:val="21"/>
        </w:rPr>
        <w:t>；</w:t>
      </w:r>
    </w:p>
    <w:p w14:paraId="6118D65F">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52.3.2应当在法定质疑期内一次性提出针对同一采购程序环节的质疑，法定质疑期为自知道或应当知道权益受到损害之日起7个工作日内。应当知道其权益受到损害之日是指：对</w:t>
      </w:r>
      <w:r>
        <w:rPr>
          <w:rFonts w:hint="eastAsia" w:ascii="Times New Roman" w:hAnsi="Times New Roman" w:eastAsia="宋体" w:cs="Times New Roman"/>
          <w:szCs w:val="21"/>
        </w:rPr>
        <w:t>采购</w:t>
      </w:r>
      <w:r>
        <w:rPr>
          <w:rFonts w:ascii="Times New Roman" w:hAnsi="Times New Roman" w:eastAsia="宋体" w:cs="Times New Roman"/>
          <w:szCs w:val="21"/>
        </w:rPr>
        <w:t>文件的质疑，为</w:t>
      </w:r>
      <w:r>
        <w:rPr>
          <w:rFonts w:hint="eastAsia" w:ascii="Times New Roman" w:hAnsi="Times New Roman" w:eastAsia="宋体" w:cs="Times New Roman"/>
          <w:szCs w:val="21"/>
        </w:rPr>
        <w:t>采购</w:t>
      </w:r>
      <w:r>
        <w:rPr>
          <w:rFonts w:ascii="Times New Roman" w:hAnsi="Times New Roman" w:eastAsia="宋体" w:cs="Times New Roman"/>
          <w:szCs w:val="21"/>
        </w:rPr>
        <w:t>文件公布之日；对采购过程的质疑，为各采购程序环节结束之日；对中标</w:t>
      </w:r>
      <w:r>
        <w:rPr>
          <w:rFonts w:hint="eastAsia" w:ascii="Times New Roman" w:hAnsi="Times New Roman" w:eastAsia="宋体" w:cs="Times New Roman"/>
          <w:szCs w:val="21"/>
        </w:rPr>
        <w:t>（成交）</w:t>
      </w:r>
      <w:r>
        <w:rPr>
          <w:rFonts w:ascii="Times New Roman" w:hAnsi="Times New Roman" w:eastAsia="宋体" w:cs="Times New Roman"/>
          <w:szCs w:val="21"/>
        </w:rPr>
        <w:t>结果以及评审委员会组成人员的质疑，为中标</w:t>
      </w:r>
      <w:r>
        <w:rPr>
          <w:rFonts w:hint="eastAsia" w:ascii="Times New Roman" w:hAnsi="Times New Roman" w:eastAsia="宋体" w:cs="Times New Roman"/>
          <w:szCs w:val="21"/>
        </w:rPr>
        <w:t>（成交）</w:t>
      </w:r>
      <w:r>
        <w:rPr>
          <w:rFonts w:ascii="Times New Roman" w:hAnsi="Times New Roman" w:eastAsia="宋体" w:cs="Times New Roman"/>
          <w:szCs w:val="21"/>
        </w:rPr>
        <w:t>结果公示之日；</w:t>
      </w:r>
    </w:p>
    <w:p w14:paraId="0A5B62C4">
      <w:pPr>
        <w:spacing w:line="276" w:lineRule="auto"/>
        <w:ind w:firstLine="420"/>
        <w:rPr>
          <w:rFonts w:ascii="Times New Roman" w:hAnsi="Times New Roman" w:eastAsia="宋体" w:cs="Times New Roman"/>
          <w:szCs w:val="21"/>
        </w:rPr>
      </w:pPr>
      <w:r>
        <w:rPr>
          <w:rFonts w:ascii="Times New Roman" w:hAnsi="Times New Roman" w:eastAsia="宋体" w:cs="Times New Roman"/>
          <w:szCs w:val="21"/>
        </w:rPr>
        <w:t>52.3.3应提交书面质疑函，质疑函应当包括以下内容：</w:t>
      </w:r>
    </w:p>
    <w:p w14:paraId="72862F6E">
      <w:pPr>
        <w:spacing w:line="276" w:lineRule="auto"/>
        <w:ind w:firstLine="420"/>
        <w:rPr>
          <w:rFonts w:ascii="Times New Roman" w:hAnsi="Times New Roman" w:eastAsia="宋体" w:cs="Times New Roman"/>
          <w:szCs w:val="21"/>
        </w:rPr>
      </w:pPr>
      <w:r>
        <w:rPr>
          <w:rFonts w:ascii="Times New Roman" w:hAnsi="Times New Roman" w:eastAsia="宋体" w:cs="Times New Roman"/>
          <w:szCs w:val="21"/>
        </w:rPr>
        <w:t>（1）供应商的名称（或者姓名）、地址、邮编、邮箱、联系人及联系电话；</w:t>
      </w:r>
    </w:p>
    <w:p w14:paraId="13C78749">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（2）质疑项目的名称、编号；</w:t>
      </w:r>
    </w:p>
    <w:p w14:paraId="024507DE">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（3）具体、明确的质疑对象、质疑事项和质疑请求；</w:t>
      </w:r>
    </w:p>
    <w:p w14:paraId="0242EFC9">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（4）因质疑事项而受损害的权益；</w:t>
      </w:r>
    </w:p>
    <w:p w14:paraId="66921A1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（5）事实依据；</w:t>
      </w:r>
    </w:p>
    <w:p w14:paraId="585DBB00">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（6）必要的法律依据；</w:t>
      </w:r>
    </w:p>
    <w:p w14:paraId="4827B877">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（7）提出质疑的日期。</w:t>
      </w:r>
    </w:p>
    <w:p w14:paraId="2EC7D70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供应商为自然人的，应当由本人签字；供应商为法人或者其他组织的，应当由法定代表人（负责人），或者其授权代理人签字或者盖章，并加盖公章。</w:t>
      </w:r>
    </w:p>
    <w:p w14:paraId="7C2B8177">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52.4提交材料</w:t>
      </w:r>
    </w:p>
    <w:p w14:paraId="09B08C54">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13AA8AA0">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8EE9423">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52.5</w:t>
      </w:r>
      <w:r>
        <w:rPr>
          <w:rFonts w:hint="eastAsia" w:ascii="Times New Roman" w:hAnsi="Times New Roman" w:eastAsia="宋体" w:cs="Times New Roman"/>
          <w:szCs w:val="21"/>
        </w:rPr>
        <w:t>收文地点</w:t>
      </w:r>
    </w:p>
    <w:p w14:paraId="568043EB">
      <w:pPr>
        <w:spacing w:line="276" w:lineRule="auto"/>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地址：深圳市南山区沙河西路3185号南山智谷A座（深圳交易集团总部大楼）27楼，质疑咨询电话：</w:t>
      </w:r>
      <w:r>
        <w:rPr>
          <w:rFonts w:hint="eastAsia" w:ascii="Times New Roman" w:hAnsi="Times New Roman" w:eastAsia="宋体" w:cs="Times New Roman"/>
          <w:b/>
          <w:bCs/>
          <w:szCs w:val="21"/>
        </w:rPr>
        <w:t>0755-86500054、0755-86500050</w:t>
      </w:r>
      <w:r>
        <w:rPr>
          <w:rFonts w:ascii="Times New Roman" w:hAnsi="Times New Roman" w:eastAsia="宋体" w:cs="Times New Roman"/>
          <w:b/>
          <w:bCs/>
          <w:szCs w:val="21"/>
        </w:rPr>
        <w:t>。</w:t>
      </w:r>
    </w:p>
    <w:p w14:paraId="3E819EA2">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52.6收文办理程序</w:t>
      </w:r>
    </w:p>
    <w:p w14:paraId="6038DD5B">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52.6.1供应商提交的质疑符合受理条件的，政府集中采购机构自收到质疑材料之日起即为受理，应当向供应商出具质疑函收文回执并可以要求其递交质疑的法定代表人（负责人）或者授权代理人签署质疑文书送达地址确认书。</w:t>
      </w:r>
    </w:p>
    <w:p w14:paraId="03981F10">
      <w:pPr>
        <w:spacing w:line="276" w:lineRule="auto"/>
        <w:ind w:firstLine="420" w:firstLineChars="200"/>
        <w:rPr>
          <w:rFonts w:ascii="Times New Roman" w:hAnsi="Times New Roman" w:eastAsia="仿宋" w:cs="Times New Roman"/>
          <w:sz w:val="28"/>
          <w:szCs w:val="28"/>
        </w:rPr>
      </w:pPr>
      <w:r>
        <w:rPr>
          <w:rFonts w:ascii="Times New Roman" w:hAnsi="Times New Roman" w:eastAsia="宋体" w:cs="Times New Roman"/>
          <w:szCs w:val="21"/>
        </w:rPr>
        <w:t>52.6.2供应商提交的质疑材料不符合质疑条件的，视情况处理：</w:t>
      </w:r>
    </w:p>
    <w:p w14:paraId="098E1383">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供应商提交的质疑材料不全或者未按要求签字或者盖章的，政府集中采购机构应当一次性告知供应商需补正的内容和补正期限。</w:t>
      </w:r>
    </w:p>
    <w:p w14:paraId="1015F7D8">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供应商提交的质疑存在下列情形之一的，不予受理：</w:t>
      </w:r>
    </w:p>
    <w:p w14:paraId="76D44875">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（1）质疑主体不满足要求的；</w:t>
      </w:r>
    </w:p>
    <w:p w14:paraId="40C50E32">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（2）供应商自身权益未受到损害的；</w:t>
      </w:r>
    </w:p>
    <w:p w14:paraId="16C34C65">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（3）供应商未在法定质疑期限内提出质疑的；</w:t>
      </w:r>
    </w:p>
    <w:p w14:paraId="6A3CF8DB">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（4）质疑材料不全或者未按要求签字或者盖章的情况下，要求补正后，逾期未补正或者补正后仍不符合规定的；</w:t>
      </w:r>
    </w:p>
    <w:p w14:paraId="511D8C4C">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（5）其他不符合受理条件情形的。</w:t>
      </w:r>
    </w:p>
    <w:p w14:paraId="72A645E7">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质疑事项不予受理的，政府集中采购机构应当向供应商出具不符合质疑条件告知书。</w:t>
      </w:r>
    </w:p>
    <w:p w14:paraId="59C52365">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52.7质疑答复时限</w:t>
      </w:r>
    </w:p>
    <w:p w14:paraId="5040313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自收文之日起七个工作日内。</w:t>
      </w:r>
    </w:p>
    <w:p w14:paraId="40276398">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52.8投诉</w:t>
      </w:r>
    </w:p>
    <w:p w14:paraId="09EC8196">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对质疑答复不满意或者未在规定时间内答复的，提出质疑的供应商可以在答复期满后15个工作日内向同级财政部门投诉。</w:t>
      </w:r>
    </w:p>
    <w:p w14:paraId="133BF4D5">
      <w:pPr>
        <w:spacing w:line="276" w:lineRule="auto"/>
        <w:rPr>
          <w:rFonts w:ascii="Times New Roman" w:hAnsi="Times New Roman" w:eastAsia="黑体" w:cs="Times New Roman"/>
          <w:sz w:val="24"/>
          <w:szCs w:val="24"/>
        </w:rPr>
      </w:pPr>
      <w:r>
        <w:rPr>
          <w:rFonts w:ascii="Times New Roman" w:hAnsi="Times New Roman" w:eastAsia="黑体" w:cs="Times New Roman"/>
          <w:sz w:val="24"/>
          <w:szCs w:val="24"/>
        </w:rPr>
        <w:t>53. 质疑后续处理</w:t>
      </w:r>
    </w:p>
    <w:p w14:paraId="17122757">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53.1供应商质疑不成立，或者成立但未对中标、成交结果构成影响的，继续开展采购活动。</w:t>
      </w:r>
    </w:p>
    <w:p w14:paraId="0CE46C27">
      <w:pPr>
        <w:spacing w:line="276"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w:t>
      </w:r>
      <w:r>
        <w:rPr>
          <w:rFonts w:hint="eastAsia" w:ascii="Times New Roman" w:hAnsi="Times New Roman" w:eastAsia="宋体" w:cs="Times New Roman"/>
          <w:szCs w:val="21"/>
        </w:rPr>
        <w:t>合格供应商符合法定数量时，可以从合格的中标或者成交候选人中另行确定中标、成交供应商的，应当依法另行确定中标、成交供应商；否则应当重新开展采购活动。</w:t>
      </w:r>
      <w:r>
        <w:rPr>
          <w:rFonts w:ascii="Times New Roman" w:hAnsi="Times New Roman" w:eastAsia="宋体" w:cs="Times New Roman"/>
          <w:szCs w:val="21"/>
        </w:rPr>
        <w:t>（3）被质疑供应商应配合提供质疑答辩意见，并提供相关证据材料，逾期不作书面答辩的，视同放弃答辩权利，依法承担由此可能产生的不利法律后果。</w:t>
      </w:r>
    </w:p>
    <w:p w14:paraId="54A6C218">
      <w:pPr>
        <w:jc w:val="center"/>
        <w:rPr>
          <w:rFonts w:ascii="Times New Roman" w:hAnsi="Times New Roman" w:eastAsia="宋体" w:cs="Times New Roman"/>
          <w:szCs w:val="24"/>
        </w:rPr>
      </w:pPr>
    </w:p>
    <w:p w14:paraId="72429B60">
      <w:pPr>
        <w:jc w:val="center"/>
        <w:rPr>
          <w:rFonts w:ascii="Times New Roman" w:hAnsi="Times New Roman" w:eastAsia="宋体" w:cs="Times New Roman"/>
          <w:szCs w:val="24"/>
        </w:rPr>
      </w:pPr>
      <w:r>
        <w:rPr>
          <w:rFonts w:ascii="Times New Roman" w:hAnsi="Times New Roman" w:eastAsia="宋体" w:cs="Times New Roman"/>
          <w:szCs w:val="24"/>
        </w:rPr>
        <w:t>---- END ----</w:t>
      </w:r>
      <w:bookmarkEnd w:id="93"/>
    </w:p>
    <w:p w14:paraId="443308DA">
      <w:pPr>
        <w:jc w:val="center"/>
        <w:rPr>
          <w:rFonts w:hint="eastAsia" w:ascii="宋体" w:hAnsi="宋体" w:eastAsia="宋体" w:cs="Times New Roman"/>
          <w:szCs w:val="21"/>
        </w:rPr>
      </w:pPr>
    </w:p>
    <w:p w14:paraId="5CB8F55C"/>
    <w:p w14:paraId="45CA4DA1"/>
    <w:sectPr>
      <w:footerReference r:id="rId6" w:type="default"/>
      <w:footerReference r:id="rId7" w:type="even"/>
      <w:pgSz w:w="11907" w:h="16840"/>
      <w:pgMar w:top="1440" w:right="1531" w:bottom="1440" w:left="1514"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舒体">
    <w:panose1 w:val="02010601030101010101"/>
    <w:charset w:val="86"/>
    <w:family w:val="auto"/>
    <w:pitch w:val="default"/>
    <w:sig w:usb0="00000003"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EE23A">
    <w:pPr>
      <w:pStyle w:val="28"/>
      <w:framePr w:wrap="around" w:vAnchor="text" w:hAnchor="margin" w:xAlign="center" w:y="1"/>
      <w:rPr>
        <w:rStyle w:val="46"/>
      </w:rPr>
    </w:pPr>
    <w:r>
      <w:t xml:space="preserve">- </w:t>
    </w:r>
    <w:r>
      <w:fldChar w:fldCharType="begin"/>
    </w:r>
    <w:r>
      <w:instrText xml:space="preserve"> PAGE </w:instrText>
    </w:r>
    <w:r>
      <w:fldChar w:fldCharType="separate"/>
    </w:r>
    <w:r>
      <w:t>2</w:t>
    </w:r>
    <w:r>
      <w:fldChar w:fldCharType="end"/>
    </w:r>
    <w:r>
      <w:t xml:space="preserve"> -</w:t>
    </w:r>
  </w:p>
  <w:p w14:paraId="31A1A738">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2EFCC">
    <w:pPr>
      <w:pStyle w:val="28"/>
      <w:framePr w:wrap="around" w:vAnchor="text" w:hAnchor="margin" w:xAlign="center" w:y="1"/>
      <w:rPr>
        <w:rStyle w:val="46"/>
      </w:rPr>
    </w:pPr>
    <w:r>
      <w:rPr>
        <w:rStyle w:val="46"/>
      </w:rPr>
      <w:fldChar w:fldCharType="begin"/>
    </w:r>
    <w:r>
      <w:rPr>
        <w:rStyle w:val="46"/>
      </w:rPr>
      <w:instrText xml:space="preserve">PAGE  </w:instrText>
    </w:r>
    <w:r>
      <w:rPr>
        <w:rStyle w:val="46"/>
      </w:rPr>
      <w:fldChar w:fldCharType="end"/>
    </w:r>
  </w:p>
  <w:p w14:paraId="6805447A">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9D5E6">
    <w:pPr>
      <w:pStyle w:val="28"/>
      <w:framePr w:wrap="around" w:vAnchor="text" w:hAnchor="margin" w:xAlign="center" w:y="1"/>
      <w:rPr>
        <w:rStyle w:val="46"/>
      </w:rPr>
    </w:pPr>
    <w:r>
      <w:t>-</w:t>
    </w:r>
    <w:r>
      <w:rPr>
        <w:rFonts w:hint="eastAsia" w:ascii="宋体" w:hAnsi="宋体" w:cs="宋体"/>
      </w:rPr>
      <w:t xml:space="preserve"> </w:t>
    </w:r>
    <w:r>
      <w:rPr>
        <w:rFonts w:hint="eastAsia" w:ascii="宋体" w:hAnsi="宋体" w:cs="宋体"/>
      </w:rPr>
      <w:fldChar w:fldCharType="begin"/>
    </w:r>
    <w:r>
      <w:rPr>
        <w:rFonts w:hint="eastAsia" w:ascii="宋体" w:hAnsi="宋体" w:cs="宋体"/>
      </w:rPr>
      <w:instrText xml:space="preserve"> PAGE </w:instrText>
    </w:r>
    <w:r>
      <w:rPr>
        <w:rFonts w:hint="eastAsia" w:ascii="宋体" w:hAnsi="宋体" w:cs="宋体"/>
      </w:rPr>
      <w:fldChar w:fldCharType="separate"/>
    </w:r>
    <w:r>
      <w:rPr>
        <w:rFonts w:ascii="宋体" w:hAnsi="宋体" w:cs="宋体"/>
      </w:rPr>
      <w:t>53</w:t>
    </w:r>
    <w:r>
      <w:rPr>
        <w:rFonts w:hint="eastAsia" w:ascii="宋体" w:hAnsi="宋体" w:cs="宋体"/>
      </w:rPr>
      <w:fldChar w:fldCharType="end"/>
    </w:r>
    <w:r>
      <w:t xml:space="preserve"> -</w:t>
    </w:r>
  </w:p>
  <w:p w14:paraId="50EC7330">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DC190">
    <w:pPr>
      <w:pStyle w:val="28"/>
      <w:framePr w:wrap="around" w:vAnchor="text" w:hAnchor="margin" w:xAlign="center" w:y="1"/>
      <w:rPr>
        <w:rStyle w:val="46"/>
      </w:rPr>
    </w:pPr>
    <w:r>
      <w:rPr>
        <w:rStyle w:val="46"/>
      </w:rPr>
      <w:fldChar w:fldCharType="begin"/>
    </w:r>
    <w:r>
      <w:rPr>
        <w:rStyle w:val="46"/>
      </w:rPr>
      <w:instrText xml:space="preserve">PAGE  </w:instrText>
    </w:r>
    <w:r>
      <w:rPr>
        <w:rStyle w:val="46"/>
      </w:rPr>
      <w:fldChar w:fldCharType="separate"/>
    </w:r>
    <w:r>
      <w:rPr>
        <w:rStyle w:val="46"/>
      </w:rPr>
      <w:t>2</w:t>
    </w:r>
    <w:r>
      <w:rPr>
        <w:rStyle w:val="46"/>
      </w:rPr>
      <w:fldChar w:fldCharType="end"/>
    </w:r>
  </w:p>
  <w:p w14:paraId="264F6197">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5756D">
    <w:pPr>
      <w:pStyle w:val="2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BF41D"/>
    <w:multiLevelType w:val="multilevel"/>
    <w:tmpl w:val="A7BBF41D"/>
    <w:lvl w:ilvl="0" w:tentative="0">
      <w:start w:val="2"/>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B4F30691"/>
    <w:multiLevelType w:val="singleLevel"/>
    <w:tmpl w:val="B4F30691"/>
    <w:lvl w:ilvl="0" w:tentative="0">
      <w:start w:val="3"/>
      <w:numFmt w:val="decimal"/>
      <w:suff w:val="nothing"/>
      <w:lvlText w:val="（%1）"/>
      <w:lvlJc w:val="left"/>
    </w:lvl>
  </w:abstractNum>
  <w:abstractNum w:abstractNumId="2">
    <w:nsid w:val="F5FE8AF1"/>
    <w:multiLevelType w:val="singleLevel"/>
    <w:tmpl w:val="F5FE8AF1"/>
    <w:lvl w:ilvl="0" w:tentative="0">
      <w:start w:val="2"/>
      <w:numFmt w:val="chineseCounting"/>
      <w:suff w:val="nothing"/>
      <w:lvlText w:val="（%1）"/>
      <w:lvlJc w:val="left"/>
      <w:rPr>
        <w:rFonts w:hint="eastAsia"/>
      </w:rPr>
    </w:lvl>
  </w:abstractNum>
  <w:abstractNum w:abstractNumId="3">
    <w:nsid w:val="FFFFFF7C"/>
    <w:multiLevelType w:val="singleLevel"/>
    <w:tmpl w:val="FFFFFF7C"/>
    <w:lvl w:ilvl="0" w:tentative="0">
      <w:start w:val="1"/>
      <w:numFmt w:val="decimal"/>
      <w:pStyle w:val="81"/>
      <w:lvlText w:val="%1."/>
      <w:lvlJc w:val="left"/>
      <w:pPr>
        <w:tabs>
          <w:tab w:val="left" w:pos="2040"/>
        </w:tabs>
        <w:ind w:left="2040" w:leftChars="800" w:hanging="360" w:hangingChars="200"/>
      </w:pPr>
    </w:lvl>
  </w:abstractNum>
  <w:abstractNum w:abstractNumId="4">
    <w:nsid w:val="FFFFFF89"/>
    <w:multiLevelType w:val="singleLevel"/>
    <w:tmpl w:val="FFFFFF89"/>
    <w:lvl w:ilvl="0" w:tentative="0">
      <w:start w:val="1"/>
      <w:numFmt w:val="bullet"/>
      <w:pStyle w:val="14"/>
      <w:lvlText w:val=""/>
      <w:lvlJc w:val="left"/>
      <w:pPr>
        <w:tabs>
          <w:tab w:val="left" w:pos="360"/>
        </w:tabs>
        <w:ind w:left="360" w:hanging="360" w:hangingChars="200"/>
      </w:pPr>
      <w:rPr>
        <w:rFonts w:hint="default" w:ascii="Wingdings" w:hAnsi="Wingdings"/>
      </w:rPr>
    </w:lvl>
  </w:abstractNum>
  <w:abstractNum w:abstractNumId="5">
    <w:nsid w:val="0094E29C"/>
    <w:multiLevelType w:val="singleLevel"/>
    <w:tmpl w:val="0094E29C"/>
    <w:lvl w:ilvl="0" w:tentative="0">
      <w:start w:val="10"/>
      <w:numFmt w:val="decimal"/>
      <w:suff w:val="nothing"/>
      <w:lvlText w:val="%1、"/>
      <w:lvlJc w:val="left"/>
    </w:lvl>
  </w:abstractNum>
  <w:abstractNum w:abstractNumId="6">
    <w:nsid w:val="09F81FD3"/>
    <w:multiLevelType w:val="multilevel"/>
    <w:tmpl w:val="09F81FD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2503483"/>
    <w:multiLevelType w:val="multilevel"/>
    <w:tmpl w:val="12503483"/>
    <w:lvl w:ilvl="0" w:tentative="0">
      <w:start w:val="1"/>
      <w:numFmt w:val="bullet"/>
      <w:pStyle w:val="110"/>
      <w:lvlText w:val=""/>
      <w:lvlJc w:val="left"/>
      <w:pPr>
        <w:tabs>
          <w:tab w:val="left" w:pos="420"/>
        </w:tabs>
        <w:ind w:left="420" w:hanging="420"/>
      </w:pPr>
      <w:rPr>
        <w:rFonts w:hint="default" w:ascii="Wingdings" w:hAnsi="Wingdings"/>
      </w:rPr>
    </w:lvl>
    <w:lvl w:ilvl="1" w:tentative="0">
      <w:start w:val="1"/>
      <w:numFmt w:val="bullet"/>
      <w:pStyle w:val="10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160D20D0"/>
    <w:multiLevelType w:val="multilevel"/>
    <w:tmpl w:val="160D20D0"/>
    <w:lvl w:ilvl="0" w:tentative="0">
      <w:start w:val="1"/>
      <w:numFmt w:val="bullet"/>
      <w:pStyle w:val="96"/>
      <w:lvlText w:val=""/>
      <w:lvlJc w:val="left"/>
      <w:pPr>
        <w:tabs>
          <w:tab w:val="left" w:pos="840"/>
        </w:tabs>
        <w:ind w:left="840" w:hanging="420"/>
      </w:pPr>
      <w:rPr>
        <w:rFonts w:hint="default" w:ascii="Wingdings" w:hAnsi="Wingdings"/>
      </w:rPr>
    </w:lvl>
    <w:lvl w:ilvl="1" w:tentative="0">
      <w:start w:val="1"/>
      <w:numFmt w:val="bullet"/>
      <w:pStyle w:val="97"/>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2F395B7B"/>
    <w:multiLevelType w:val="multilevel"/>
    <w:tmpl w:val="2F395B7B"/>
    <w:lvl w:ilvl="0" w:tentative="0">
      <w:start w:val="1"/>
      <w:numFmt w:val="bullet"/>
      <w:pStyle w:val="169"/>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7AEF7716"/>
    <w:multiLevelType w:val="multilevel"/>
    <w:tmpl w:val="7AEF7716"/>
    <w:lvl w:ilvl="0" w:tentative="0">
      <w:start w:val="1"/>
      <w:numFmt w:val="chineseCountingThousand"/>
      <w:pStyle w:val="123"/>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F540BA1"/>
    <w:multiLevelType w:val="multilevel"/>
    <w:tmpl w:val="7F540BA1"/>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3"/>
  </w:num>
  <w:num w:numId="3">
    <w:abstractNumId w:val="8"/>
  </w:num>
  <w:num w:numId="4">
    <w:abstractNumId w:val="7"/>
  </w:num>
  <w:num w:numId="5">
    <w:abstractNumId w:val="10"/>
  </w:num>
  <w:num w:numId="6">
    <w:abstractNumId w:val="9"/>
  </w:num>
  <w:num w:numId="7">
    <w:abstractNumId w:val="2"/>
  </w:num>
  <w:num w:numId="8">
    <w:abstractNumId w:val="1"/>
  </w:num>
  <w:num w:numId="9">
    <w:abstractNumId w:val="5"/>
  </w:num>
  <w:num w:numId="10">
    <w:abstractNumId w:val="1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ThlYWQxNWZjMDAxNmMyOGU5NTY4ZWIwN2EwZDIifQ=="/>
  </w:docVars>
  <w:rsids>
    <w:rsidRoot w:val="007B416C"/>
    <w:rsid w:val="001223B1"/>
    <w:rsid w:val="00186AC8"/>
    <w:rsid w:val="001E3351"/>
    <w:rsid w:val="001F4B5B"/>
    <w:rsid w:val="002500DD"/>
    <w:rsid w:val="00274EE3"/>
    <w:rsid w:val="00295A81"/>
    <w:rsid w:val="002974FD"/>
    <w:rsid w:val="002A5A97"/>
    <w:rsid w:val="002D4776"/>
    <w:rsid w:val="00305E53"/>
    <w:rsid w:val="00331805"/>
    <w:rsid w:val="004218D0"/>
    <w:rsid w:val="00421DB4"/>
    <w:rsid w:val="00456E20"/>
    <w:rsid w:val="004D386E"/>
    <w:rsid w:val="00525FCB"/>
    <w:rsid w:val="00560279"/>
    <w:rsid w:val="005A09BB"/>
    <w:rsid w:val="005D0877"/>
    <w:rsid w:val="005E5C2A"/>
    <w:rsid w:val="005E60D3"/>
    <w:rsid w:val="00615DCA"/>
    <w:rsid w:val="00621003"/>
    <w:rsid w:val="00651B73"/>
    <w:rsid w:val="006A3CEB"/>
    <w:rsid w:val="006A789F"/>
    <w:rsid w:val="006B7371"/>
    <w:rsid w:val="006C2976"/>
    <w:rsid w:val="00763A44"/>
    <w:rsid w:val="00774534"/>
    <w:rsid w:val="007870E4"/>
    <w:rsid w:val="007B416C"/>
    <w:rsid w:val="00825A32"/>
    <w:rsid w:val="0082676D"/>
    <w:rsid w:val="00843153"/>
    <w:rsid w:val="00894DC1"/>
    <w:rsid w:val="008D4FA5"/>
    <w:rsid w:val="009203C6"/>
    <w:rsid w:val="00935764"/>
    <w:rsid w:val="009678D2"/>
    <w:rsid w:val="00980CE4"/>
    <w:rsid w:val="00996339"/>
    <w:rsid w:val="009E668F"/>
    <w:rsid w:val="009F4042"/>
    <w:rsid w:val="009F5E12"/>
    <w:rsid w:val="00A15531"/>
    <w:rsid w:val="00A51F21"/>
    <w:rsid w:val="00A61014"/>
    <w:rsid w:val="00A712BE"/>
    <w:rsid w:val="00A8519B"/>
    <w:rsid w:val="00B453BC"/>
    <w:rsid w:val="00BB0F7F"/>
    <w:rsid w:val="00BB278F"/>
    <w:rsid w:val="00BD5057"/>
    <w:rsid w:val="00C761B1"/>
    <w:rsid w:val="00D20656"/>
    <w:rsid w:val="00D81FEB"/>
    <w:rsid w:val="00DB71FD"/>
    <w:rsid w:val="00E15F72"/>
    <w:rsid w:val="00E415DD"/>
    <w:rsid w:val="00E42CB8"/>
    <w:rsid w:val="00E67065"/>
    <w:rsid w:val="00E7266F"/>
    <w:rsid w:val="00E91910"/>
    <w:rsid w:val="00EA14BD"/>
    <w:rsid w:val="00EA1E9E"/>
    <w:rsid w:val="04A23049"/>
    <w:rsid w:val="057A76CE"/>
    <w:rsid w:val="06400A9C"/>
    <w:rsid w:val="07A743C0"/>
    <w:rsid w:val="0BC077CB"/>
    <w:rsid w:val="0BC539E1"/>
    <w:rsid w:val="0BC80217"/>
    <w:rsid w:val="0C055171"/>
    <w:rsid w:val="0DCC2CF9"/>
    <w:rsid w:val="0E2E6824"/>
    <w:rsid w:val="0E9B2553"/>
    <w:rsid w:val="0F5E399A"/>
    <w:rsid w:val="113B78F0"/>
    <w:rsid w:val="11516B2F"/>
    <w:rsid w:val="129D533C"/>
    <w:rsid w:val="12BD7776"/>
    <w:rsid w:val="135039FE"/>
    <w:rsid w:val="141E63EA"/>
    <w:rsid w:val="14244EE3"/>
    <w:rsid w:val="14D068EA"/>
    <w:rsid w:val="16723662"/>
    <w:rsid w:val="16783241"/>
    <w:rsid w:val="16B811DF"/>
    <w:rsid w:val="16E11692"/>
    <w:rsid w:val="17AB4829"/>
    <w:rsid w:val="17DF6B30"/>
    <w:rsid w:val="184973A1"/>
    <w:rsid w:val="19AA6BCD"/>
    <w:rsid w:val="1C295C4C"/>
    <w:rsid w:val="1CB66FCC"/>
    <w:rsid w:val="1D4121A4"/>
    <w:rsid w:val="1D41324B"/>
    <w:rsid w:val="1D5374FB"/>
    <w:rsid w:val="1EB07586"/>
    <w:rsid w:val="1F392404"/>
    <w:rsid w:val="1FE114F2"/>
    <w:rsid w:val="20FD720C"/>
    <w:rsid w:val="21886632"/>
    <w:rsid w:val="223D0694"/>
    <w:rsid w:val="25321A6A"/>
    <w:rsid w:val="270E25AD"/>
    <w:rsid w:val="27107AC2"/>
    <w:rsid w:val="27957E37"/>
    <w:rsid w:val="284B1FE7"/>
    <w:rsid w:val="28CE62CA"/>
    <w:rsid w:val="2AE731B0"/>
    <w:rsid w:val="2B1B62B3"/>
    <w:rsid w:val="2BF47B18"/>
    <w:rsid w:val="2C29362E"/>
    <w:rsid w:val="2D277BB7"/>
    <w:rsid w:val="2E653045"/>
    <w:rsid w:val="308C2216"/>
    <w:rsid w:val="30A159DE"/>
    <w:rsid w:val="311D2E29"/>
    <w:rsid w:val="31CD2ED4"/>
    <w:rsid w:val="334C43A3"/>
    <w:rsid w:val="336C5C96"/>
    <w:rsid w:val="339D045C"/>
    <w:rsid w:val="35CF6FF8"/>
    <w:rsid w:val="36504FE3"/>
    <w:rsid w:val="36DE736F"/>
    <w:rsid w:val="37A64838"/>
    <w:rsid w:val="38D834D0"/>
    <w:rsid w:val="39BC3B6C"/>
    <w:rsid w:val="3A55759B"/>
    <w:rsid w:val="3B21070C"/>
    <w:rsid w:val="3CAE3903"/>
    <w:rsid w:val="3D493A8A"/>
    <w:rsid w:val="41B370D6"/>
    <w:rsid w:val="41ED1DE7"/>
    <w:rsid w:val="423A392A"/>
    <w:rsid w:val="425F5109"/>
    <w:rsid w:val="48144EBA"/>
    <w:rsid w:val="4A3A08E7"/>
    <w:rsid w:val="4AE24102"/>
    <w:rsid w:val="4C1A1123"/>
    <w:rsid w:val="50111814"/>
    <w:rsid w:val="502B16F2"/>
    <w:rsid w:val="51376E5B"/>
    <w:rsid w:val="51DA6BB0"/>
    <w:rsid w:val="527B1AB2"/>
    <w:rsid w:val="52C62FEC"/>
    <w:rsid w:val="53164007"/>
    <w:rsid w:val="55860BCB"/>
    <w:rsid w:val="55CA2F3C"/>
    <w:rsid w:val="58B9341B"/>
    <w:rsid w:val="5A1D6ADC"/>
    <w:rsid w:val="5B372F4A"/>
    <w:rsid w:val="5B6B6D49"/>
    <w:rsid w:val="5DBE2E94"/>
    <w:rsid w:val="615D0DF6"/>
    <w:rsid w:val="62CE7FED"/>
    <w:rsid w:val="636B232C"/>
    <w:rsid w:val="65232CE0"/>
    <w:rsid w:val="68302E58"/>
    <w:rsid w:val="6859237F"/>
    <w:rsid w:val="69251F81"/>
    <w:rsid w:val="69DE697E"/>
    <w:rsid w:val="6A3D3A5E"/>
    <w:rsid w:val="6A7622C4"/>
    <w:rsid w:val="6C106B14"/>
    <w:rsid w:val="6C783C6D"/>
    <w:rsid w:val="6C84067C"/>
    <w:rsid w:val="6DFA04BD"/>
    <w:rsid w:val="6EE50C5C"/>
    <w:rsid w:val="6F93259B"/>
    <w:rsid w:val="70EC2CF2"/>
    <w:rsid w:val="72895D11"/>
    <w:rsid w:val="72DA595B"/>
    <w:rsid w:val="74530C34"/>
    <w:rsid w:val="745D3555"/>
    <w:rsid w:val="747B55FA"/>
    <w:rsid w:val="760A7DBC"/>
    <w:rsid w:val="77EF4119"/>
    <w:rsid w:val="7834041F"/>
    <w:rsid w:val="792C11C9"/>
    <w:rsid w:val="79BE2E80"/>
    <w:rsid w:val="7B7D1F57"/>
    <w:rsid w:val="7D7C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1"/>
    <w:link w:val="54"/>
    <w:qFormat/>
    <w:uiPriority w:val="0"/>
    <w:pPr>
      <w:spacing w:before="340" w:after="330" w:line="360" w:lineRule="auto"/>
      <w:jc w:val="center"/>
      <w:outlineLvl w:val="0"/>
    </w:pPr>
    <w:rPr>
      <w:rFonts w:eastAsia="黑体"/>
      <w:kern w:val="44"/>
      <w:szCs w:val="44"/>
    </w:rPr>
  </w:style>
  <w:style w:type="paragraph" w:styleId="5">
    <w:name w:val="heading 2"/>
    <w:basedOn w:val="3"/>
    <w:next w:val="4"/>
    <w:link w:val="55"/>
    <w:qFormat/>
    <w:uiPriority w:val="0"/>
    <w:pPr>
      <w:adjustRightInd w:val="0"/>
      <w:jc w:val="center"/>
      <w:textAlignment w:val="baseline"/>
      <w:outlineLvl w:val="1"/>
    </w:pPr>
    <w:rPr>
      <w:kern w:val="0"/>
      <w:sz w:val="24"/>
      <w:szCs w:val="20"/>
    </w:rPr>
  </w:style>
  <w:style w:type="paragraph" w:styleId="3">
    <w:name w:val="heading 3"/>
    <w:basedOn w:val="4"/>
    <w:next w:val="1"/>
    <w:link w:val="79"/>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9"/>
    <w:pPr>
      <w:keepNext/>
      <w:keepLines/>
      <w:spacing w:before="280" w:after="290" w:line="376" w:lineRule="auto"/>
      <w:outlineLvl w:val="3"/>
    </w:pPr>
    <w:rPr>
      <w:rFonts w:ascii="Arial" w:hAnsi="Arial" w:eastAsia="黑体" w:cs="Times New Roman"/>
      <w:b/>
      <w:bCs/>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eastAsia="宋体" w:cs="Times New Roman"/>
      <w:b/>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cs="Times New Roman"/>
      <w:b/>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eastAsia="宋体" w:cs="Times New Roman"/>
      <w:b/>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cs="Times New Roman"/>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cs="Times New Roman"/>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80"/>
    <w:qFormat/>
    <w:uiPriority w:val="0"/>
    <w:pPr>
      <w:ind w:firstLine="420"/>
    </w:pPr>
    <w:rPr>
      <w:rFonts w:ascii="Times New Roman" w:hAnsi="Times New Roman" w:eastAsia="宋体" w:cs="Times New Roman"/>
      <w:szCs w:val="20"/>
    </w:rPr>
  </w:style>
  <w:style w:type="paragraph" w:styleId="12">
    <w:name w:val="toc 7"/>
    <w:basedOn w:val="1"/>
    <w:next w:val="1"/>
    <w:semiHidden/>
    <w:qFormat/>
    <w:uiPriority w:val="0"/>
    <w:pPr>
      <w:ind w:left="1260"/>
      <w:jc w:val="left"/>
    </w:pPr>
    <w:rPr>
      <w:rFonts w:ascii="Times New Roman" w:hAnsi="Times New Roman" w:eastAsia="宋体" w:cs="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eastAsia="宋体" w:cs="Times New Roman"/>
      <w:b/>
      <w:bCs/>
      <w:kern w:val="0"/>
      <w:sz w:val="20"/>
      <w:szCs w:val="20"/>
    </w:rPr>
  </w:style>
  <w:style w:type="paragraph" w:styleId="14">
    <w:name w:val="List Bullet"/>
    <w:basedOn w:val="1"/>
    <w:qFormat/>
    <w:uiPriority w:val="0"/>
    <w:pPr>
      <w:numPr>
        <w:ilvl w:val="0"/>
        <w:numId w:val="1"/>
      </w:numPr>
    </w:pPr>
    <w:rPr>
      <w:rFonts w:ascii="Times New Roman" w:hAnsi="Times New Roman" w:eastAsia="宋体" w:cs="Times New Roman"/>
      <w:szCs w:val="20"/>
    </w:rPr>
  </w:style>
  <w:style w:type="paragraph" w:styleId="15">
    <w:name w:val="Document Map"/>
    <w:basedOn w:val="1"/>
    <w:link w:val="65"/>
    <w:semiHidden/>
    <w:qFormat/>
    <w:uiPriority w:val="0"/>
    <w:pPr>
      <w:shd w:val="clear" w:color="auto" w:fill="000080"/>
    </w:pPr>
    <w:rPr>
      <w:rFonts w:ascii="Times New Roman" w:hAnsi="Times New Roman" w:eastAsia="宋体" w:cs="Times New Roman"/>
      <w:szCs w:val="24"/>
    </w:rPr>
  </w:style>
  <w:style w:type="paragraph" w:styleId="16">
    <w:name w:val="annotation text"/>
    <w:basedOn w:val="1"/>
    <w:link w:val="66"/>
    <w:qFormat/>
    <w:uiPriority w:val="0"/>
    <w:pPr>
      <w:autoSpaceDE w:val="0"/>
      <w:autoSpaceDN w:val="0"/>
      <w:adjustRightInd w:val="0"/>
      <w:jc w:val="left"/>
      <w:textAlignment w:val="baseline"/>
    </w:pPr>
    <w:rPr>
      <w:rFonts w:ascii="宋体" w:hAnsi="Times New Roman" w:eastAsia="宋体" w:cs="Times New Roman"/>
      <w:kern w:val="0"/>
      <w:sz w:val="34"/>
      <w:szCs w:val="20"/>
    </w:rPr>
  </w:style>
  <w:style w:type="paragraph" w:styleId="17">
    <w:name w:val="Body Text 3"/>
    <w:basedOn w:val="1"/>
    <w:link w:val="67"/>
    <w:qFormat/>
    <w:uiPriority w:val="0"/>
    <w:pPr>
      <w:spacing w:after="120"/>
    </w:pPr>
    <w:rPr>
      <w:rFonts w:ascii="Times New Roman" w:hAnsi="Times New Roman" w:eastAsia="宋体" w:cs="Times New Roman"/>
      <w:sz w:val="16"/>
      <w:szCs w:val="16"/>
    </w:rPr>
  </w:style>
  <w:style w:type="paragraph" w:styleId="18">
    <w:name w:val="Body Text"/>
    <w:basedOn w:val="1"/>
    <w:next w:val="19"/>
    <w:link w:val="63"/>
    <w:unhideWhenUsed/>
    <w:qFormat/>
    <w:uiPriority w:val="0"/>
    <w:pPr>
      <w:spacing w:after="120"/>
    </w:pPr>
    <w:rPr>
      <w:rFonts w:ascii="Times New Roman" w:hAnsi="Times New Roman" w:eastAsia="宋体" w:cs="Times New Roman"/>
      <w:szCs w:val="24"/>
    </w:rPr>
  </w:style>
  <w:style w:type="paragraph" w:styleId="19">
    <w:name w:val="Body Text 2"/>
    <w:basedOn w:val="1"/>
    <w:link w:val="64"/>
    <w:qFormat/>
    <w:uiPriority w:val="0"/>
    <w:pPr>
      <w:spacing w:line="360" w:lineRule="auto"/>
    </w:pPr>
    <w:rPr>
      <w:rFonts w:ascii="Times New Roman" w:hAnsi="Times New Roman" w:eastAsia="宋体" w:cs="Times New Roman"/>
      <w:sz w:val="24"/>
      <w:szCs w:val="24"/>
    </w:rPr>
  </w:style>
  <w:style w:type="paragraph" w:styleId="20">
    <w:name w:val="Body Text Indent"/>
    <w:basedOn w:val="1"/>
    <w:link w:val="68"/>
    <w:qFormat/>
    <w:uiPriority w:val="0"/>
    <w:pPr>
      <w:spacing w:line="360" w:lineRule="auto"/>
      <w:ind w:firstLine="420" w:firstLineChars="200"/>
    </w:pPr>
    <w:rPr>
      <w:rFonts w:ascii="Times New Roman" w:hAnsi="Times New Roman" w:eastAsia="宋体" w:cs="Times New Roman"/>
      <w:szCs w:val="24"/>
    </w:rPr>
  </w:style>
  <w:style w:type="paragraph" w:styleId="21">
    <w:name w:val="toc 5"/>
    <w:basedOn w:val="1"/>
    <w:next w:val="1"/>
    <w:semiHidden/>
    <w:qFormat/>
    <w:uiPriority w:val="0"/>
    <w:pPr>
      <w:ind w:left="840"/>
      <w:jc w:val="left"/>
    </w:pPr>
    <w:rPr>
      <w:rFonts w:ascii="Times New Roman" w:hAnsi="Times New Roman" w:eastAsia="宋体" w:cs="Times New Roman"/>
      <w:szCs w:val="21"/>
    </w:rPr>
  </w:style>
  <w:style w:type="paragraph" w:styleId="22">
    <w:name w:val="toc 3"/>
    <w:basedOn w:val="1"/>
    <w:next w:val="1"/>
    <w:semiHidden/>
    <w:qFormat/>
    <w:uiPriority w:val="0"/>
    <w:pPr>
      <w:ind w:left="420"/>
      <w:jc w:val="left"/>
    </w:pPr>
    <w:rPr>
      <w:rFonts w:ascii="Times New Roman" w:hAnsi="Times New Roman" w:eastAsia="宋体" w:cs="Times New Roman"/>
      <w:i/>
      <w:iCs/>
      <w:szCs w:val="24"/>
    </w:rPr>
  </w:style>
  <w:style w:type="paragraph" w:styleId="23">
    <w:name w:val="Plain Text"/>
    <w:basedOn w:val="1"/>
    <w:link w:val="69"/>
    <w:qFormat/>
    <w:uiPriority w:val="0"/>
    <w:rPr>
      <w:rFonts w:ascii="宋体" w:hAnsi="Courier New" w:eastAsia="宋体" w:cs="Times New Roman"/>
      <w:szCs w:val="20"/>
    </w:rPr>
  </w:style>
  <w:style w:type="paragraph" w:styleId="24">
    <w:name w:val="toc 8"/>
    <w:basedOn w:val="1"/>
    <w:next w:val="1"/>
    <w:semiHidden/>
    <w:qFormat/>
    <w:uiPriority w:val="0"/>
    <w:pPr>
      <w:ind w:left="1470"/>
      <w:jc w:val="left"/>
    </w:pPr>
    <w:rPr>
      <w:rFonts w:ascii="Times New Roman" w:hAnsi="Times New Roman" w:eastAsia="宋体" w:cs="Times New Roman"/>
      <w:szCs w:val="21"/>
    </w:rPr>
  </w:style>
  <w:style w:type="paragraph" w:styleId="25">
    <w:name w:val="Date"/>
    <w:basedOn w:val="1"/>
    <w:next w:val="1"/>
    <w:link w:val="70"/>
    <w:qFormat/>
    <w:uiPriority w:val="0"/>
    <w:rPr>
      <w:rFonts w:ascii="宋体" w:hAnsi="Courier New" w:eastAsia="宋体" w:cs="Times New Roman"/>
      <w:sz w:val="32"/>
      <w:szCs w:val="20"/>
    </w:rPr>
  </w:style>
  <w:style w:type="paragraph" w:styleId="26">
    <w:name w:val="Body Text Indent 2"/>
    <w:basedOn w:val="1"/>
    <w:link w:val="71"/>
    <w:qFormat/>
    <w:uiPriority w:val="0"/>
    <w:pPr>
      <w:spacing w:beforeLines="50" w:afterLines="50" w:line="120" w:lineRule="auto"/>
      <w:ind w:firstLine="840" w:firstLineChars="400"/>
      <w:jc w:val="left"/>
    </w:pPr>
    <w:rPr>
      <w:rFonts w:ascii="宋体" w:hAnsi="宋体" w:eastAsia="宋体" w:cs="Times New Roman"/>
      <w:szCs w:val="24"/>
    </w:rPr>
  </w:style>
  <w:style w:type="paragraph" w:styleId="27">
    <w:name w:val="Balloon Text"/>
    <w:basedOn w:val="1"/>
    <w:link w:val="72"/>
    <w:semiHidden/>
    <w:qFormat/>
    <w:uiPriority w:val="99"/>
    <w:rPr>
      <w:rFonts w:ascii="Times New Roman" w:hAnsi="Times New Roman" w:eastAsia="宋体" w:cs="Times New Roman"/>
      <w:sz w:val="18"/>
      <w:szCs w:val="18"/>
    </w:rPr>
  </w:style>
  <w:style w:type="paragraph" w:styleId="28">
    <w:name w:val="footer"/>
    <w:basedOn w:val="1"/>
    <w:link w:val="53"/>
    <w:unhideWhenUsed/>
    <w:qFormat/>
    <w:uiPriority w:val="0"/>
    <w:pPr>
      <w:tabs>
        <w:tab w:val="center" w:pos="4153"/>
        <w:tab w:val="right" w:pos="8306"/>
      </w:tabs>
      <w:snapToGrid w:val="0"/>
      <w:jc w:val="left"/>
    </w:pPr>
    <w:rPr>
      <w:sz w:val="18"/>
      <w:szCs w:val="18"/>
    </w:rPr>
  </w:style>
  <w:style w:type="paragraph" w:styleId="29">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semiHidden/>
    <w:qFormat/>
    <w:uiPriority w:val="0"/>
    <w:pPr>
      <w:spacing w:before="120" w:after="120"/>
      <w:jc w:val="left"/>
    </w:pPr>
    <w:rPr>
      <w:rFonts w:ascii="Times New Roman" w:hAnsi="Times New Roman" w:eastAsia="宋体" w:cs="Times New Roman"/>
      <w:b/>
      <w:bCs/>
      <w:caps/>
      <w:szCs w:val="24"/>
    </w:rPr>
  </w:style>
  <w:style w:type="paragraph" w:styleId="31">
    <w:name w:val="toc 4"/>
    <w:basedOn w:val="1"/>
    <w:next w:val="1"/>
    <w:semiHidden/>
    <w:qFormat/>
    <w:uiPriority w:val="0"/>
    <w:pPr>
      <w:ind w:left="630"/>
      <w:jc w:val="left"/>
    </w:pPr>
    <w:rPr>
      <w:rFonts w:ascii="Times New Roman" w:hAnsi="Times New Roman" w:eastAsia="宋体" w:cs="Times New Roman"/>
      <w:szCs w:val="21"/>
    </w:rPr>
  </w:style>
  <w:style w:type="paragraph" w:styleId="32">
    <w:name w:val="toc 6"/>
    <w:basedOn w:val="1"/>
    <w:next w:val="1"/>
    <w:semiHidden/>
    <w:qFormat/>
    <w:uiPriority w:val="0"/>
    <w:pPr>
      <w:ind w:left="1050"/>
      <w:jc w:val="left"/>
    </w:pPr>
    <w:rPr>
      <w:rFonts w:ascii="Times New Roman" w:hAnsi="Times New Roman" w:eastAsia="宋体" w:cs="Times New Roman"/>
      <w:szCs w:val="21"/>
    </w:rPr>
  </w:style>
  <w:style w:type="paragraph" w:styleId="33">
    <w:name w:val="Body Text Indent 3"/>
    <w:basedOn w:val="1"/>
    <w:link w:val="73"/>
    <w:qFormat/>
    <w:uiPriority w:val="0"/>
    <w:pPr>
      <w:spacing w:line="360" w:lineRule="auto"/>
      <w:ind w:firstLine="482" w:firstLineChars="200"/>
    </w:pPr>
    <w:rPr>
      <w:rFonts w:ascii="宋体" w:hAnsi="Times New Roman" w:eastAsia="宋体" w:cs="Times New Roman"/>
      <w:b/>
      <w:bCs/>
      <w:sz w:val="24"/>
      <w:szCs w:val="24"/>
    </w:rPr>
  </w:style>
  <w:style w:type="paragraph" w:styleId="34">
    <w:name w:val="toc 2"/>
    <w:basedOn w:val="1"/>
    <w:next w:val="1"/>
    <w:semiHidden/>
    <w:qFormat/>
    <w:uiPriority w:val="0"/>
    <w:pPr>
      <w:tabs>
        <w:tab w:val="right" w:leader="dot" w:pos="8296"/>
      </w:tabs>
      <w:ind w:left="210"/>
      <w:jc w:val="left"/>
    </w:pPr>
    <w:rPr>
      <w:rFonts w:ascii="Times New Roman" w:hAnsi="Times New Roman" w:eastAsia="宋体" w:cs="Times New Roman"/>
      <w:smallCaps/>
      <w:szCs w:val="24"/>
    </w:rPr>
  </w:style>
  <w:style w:type="paragraph" w:styleId="35">
    <w:name w:val="toc 9"/>
    <w:basedOn w:val="1"/>
    <w:next w:val="1"/>
    <w:semiHidden/>
    <w:qFormat/>
    <w:uiPriority w:val="0"/>
    <w:pPr>
      <w:ind w:left="1680"/>
      <w:jc w:val="left"/>
    </w:pPr>
    <w:rPr>
      <w:rFonts w:ascii="Times New Roman" w:hAnsi="Times New Roman" w:eastAsia="宋体" w:cs="Times New Roman"/>
      <w:szCs w:val="21"/>
    </w:rPr>
  </w:style>
  <w:style w:type="paragraph" w:styleId="36">
    <w:name w:val="HTML Preformatted"/>
    <w:basedOn w:val="1"/>
    <w:link w:val="7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kern w:val="0"/>
      <w:sz w:val="20"/>
      <w:szCs w:val="20"/>
    </w:rPr>
  </w:style>
  <w:style w:type="paragraph" w:styleId="37">
    <w:name w:val="Normal (Web)"/>
    <w:basedOn w:val="1"/>
    <w:link w:val="190"/>
    <w:qFormat/>
    <w:uiPriority w:val="99"/>
    <w:rPr>
      <w:rFonts w:ascii="Times New Roman" w:hAnsi="Times New Roman" w:eastAsia="宋体" w:cs="Times New Roman"/>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eastAsia="宋体" w:cs="Times New Roman"/>
      <w:sz w:val="24"/>
      <w:szCs w:val="24"/>
    </w:rPr>
  </w:style>
  <w:style w:type="paragraph" w:styleId="39">
    <w:name w:val="Title"/>
    <w:basedOn w:val="1"/>
    <w:link w:val="75"/>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link w:val="76"/>
    <w:qFormat/>
    <w:uiPriority w:val="99"/>
    <w:pPr>
      <w:autoSpaceDE/>
      <w:autoSpaceDN/>
      <w:adjustRightInd/>
      <w:textAlignment w:val="auto"/>
    </w:pPr>
    <w:rPr>
      <w:rFonts w:ascii="Times New Roman"/>
      <w:b/>
      <w:bCs/>
      <w:kern w:val="2"/>
      <w:sz w:val="21"/>
      <w:szCs w:val="24"/>
    </w:rPr>
  </w:style>
  <w:style w:type="paragraph" w:styleId="41">
    <w:name w:val="Body Text First Indent"/>
    <w:basedOn w:val="18"/>
    <w:link w:val="77"/>
    <w:qFormat/>
    <w:uiPriority w:val="0"/>
    <w:pPr>
      <w:ind w:firstLine="420" w:firstLineChars="100"/>
    </w:pPr>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Emphasis"/>
    <w:basedOn w:val="44"/>
    <w:qFormat/>
    <w:uiPriority w:val="20"/>
    <w:rPr>
      <w:i/>
    </w:rPr>
  </w:style>
  <w:style w:type="character" w:styleId="49">
    <w:name w:val="Hyperlink"/>
    <w:qFormat/>
    <w:uiPriority w:val="0"/>
    <w:rPr>
      <w:color w:val="0000FF"/>
      <w:u w:val="single"/>
    </w:rPr>
  </w:style>
  <w:style w:type="character" w:styleId="50">
    <w:name w:val="annotation reference"/>
    <w:basedOn w:val="44"/>
    <w:qFormat/>
    <w:uiPriority w:val="99"/>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字符"/>
    <w:basedOn w:val="44"/>
    <w:link w:val="29"/>
    <w:qFormat/>
    <w:uiPriority w:val="99"/>
    <w:rPr>
      <w:sz w:val="18"/>
      <w:szCs w:val="18"/>
    </w:rPr>
  </w:style>
  <w:style w:type="character" w:customStyle="1" w:styleId="53">
    <w:name w:val="页脚 字符"/>
    <w:basedOn w:val="44"/>
    <w:link w:val="28"/>
    <w:qFormat/>
    <w:uiPriority w:val="0"/>
    <w:rPr>
      <w:sz w:val="18"/>
      <w:szCs w:val="18"/>
    </w:rPr>
  </w:style>
  <w:style w:type="character" w:customStyle="1" w:styleId="54">
    <w:name w:val="标题 1 字符"/>
    <w:basedOn w:val="44"/>
    <w:link w:val="2"/>
    <w:qFormat/>
    <w:uiPriority w:val="0"/>
    <w:rPr>
      <w:rFonts w:ascii="宋体" w:hAnsi="宋体" w:eastAsia="黑体" w:cs="Times New Roman"/>
      <w:b/>
      <w:bCs/>
      <w:kern w:val="44"/>
      <w:sz w:val="28"/>
      <w:szCs w:val="44"/>
    </w:rPr>
  </w:style>
  <w:style w:type="character" w:customStyle="1" w:styleId="55">
    <w:name w:val="标题 2 字符"/>
    <w:basedOn w:val="44"/>
    <w:link w:val="5"/>
    <w:qFormat/>
    <w:uiPriority w:val="0"/>
    <w:rPr>
      <w:rFonts w:ascii="宋体" w:hAnsi="宋体" w:eastAsia="宋体" w:cs="Times New Roman"/>
      <w:b/>
      <w:bCs/>
      <w:kern w:val="0"/>
      <w:sz w:val="24"/>
      <w:szCs w:val="20"/>
    </w:rPr>
  </w:style>
  <w:style w:type="character" w:customStyle="1" w:styleId="56">
    <w:name w:val="标题 3 Char"/>
    <w:basedOn w:val="44"/>
    <w:qFormat/>
    <w:uiPriority w:val="0"/>
    <w:rPr>
      <w:b/>
      <w:bCs/>
      <w:sz w:val="32"/>
      <w:szCs w:val="32"/>
    </w:rPr>
  </w:style>
  <w:style w:type="character" w:customStyle="1" w:styleId="57">
    <w:name w:val="标题 4 字符"/>
    <w:basedOn w:val="44"/>
    <w:link w:val="4"/>
    <w:qFormat/>
    <w:uiPriority w:val="9"/>
    <w:rPr>
      <w:rFonts w:ascii="Arial" w:hAnsi="Arial" w:eastAsia="黑体" w:cs="Times New Roman"/>
      <w:b/>
      <w:bCs/>
      <w:sz w:val="28"/>
      <w:szCs w:val="28"/>
    </w:rPr>
  </w:style>
  <w:style w:type="character" w:customStyle="1" w:styleId="58">
    <w:name w:val="标题 5 字符"/>
    <w:basedOn w:val="44"/>
    <w:link w:val="6"/>
    <w:qFormat/>
    <w:uiPriority w:val="0"/>
    <w:rPr>
      <w:rFonts w:ascii="Times New Roman" w:hAnsi="Times New Roman" w:eastAsia="宋体" w:cs="Times New Roman"/>
      <w:b/>
      <w:sz w:val="28"/>
      <w:szCs w:val="20"/>
    </w:rPr>
  </w:style>
  <w:style w:type="character" w:customStyle="1" w:styleId="59">
    <w:name w:val="标题 6 字符"/>
    <w:basedOn w:val="44"/>
    <w:link w:val="8"/>
    <w:qFormat/>
    <w:uiPriority w:val="0"/>
    <w:rPr>
      <w:rFonts w:ascii="Arial" w:hAnsi="Arial" w:eastAsia="黑体" w:cs="Times New Roman"/>
      <w:b/>
      <w:sz w:val="24"/>
      <w:szCs w:val="20"/>
    </w:rPr>
  </w:style>
  <w:style w:type="character" w:customStyle="1" w:styleId="60">
    <w:name w:val="标题 7 字符"/>
    <w:basedOn w:val="44"/>
    <w:link w:val="9"/>
    <w:qFormat/>
    <w:uiPriority w:val="0"/>
    <w:rPr>
      <w:rFonts w:ascii="Times New Roman" w:hAnsi="Times New Roman" w:eastAsia="宋体" w:cs="Times New Roman"/>
      <w:b/>
      <w:sz w:val="24"/>
      <w:szCs w:val="20"/>
    </w:rPr>
  </w:style>
  <w:style w:type="character" w:customStyle="1" w:styleId="61">
    <w:name w:val="标题 8 字符"/>
    <w:basedOn w:val="44"/>
    <w:link w:val="10"/>
    <w:qFormat/>
    <w:uiPriority w:val="0"/>
    <w:rPr>
      <w:rFonts w:ascii="Arial" w:hAnsi="Arial" w:eastAsia="黑体" w:cs="Times New Roman"/>
      <w:sz w:val="24"/>
      <w:szCs w:val="20"/>
    </w:rPr>
  </w:style>
  <w:style w:type="character" w:customStyle="1" w:styleId="62">
    <w:name w:val="标题 9 字符"/>
    <w:basedOn w:val="44"/>
    <w:link w:val="11"/>
    <w:qFormat/>
    <w:uiPriority w:val="0"/>
    <w:rPr>
      <w:rFonts w:ascii="Arial" w:hAnsi="Arial" w:eastAsia="黑体" w:cs="Times New Roman"/>
      <w:szCs w:val="20"/>
    </w:rPr>
  </w:style>
  <w:style w:type="character" w:customStyle="1" w:styleId="63">
    <w:name w:val="正文文本 字符"/>
    <w:basedOn w:val="44"/>
    <w:link w:val="18"/>
    <w:qFormat/>
    <w:uiPriority w:val="0"/>
    <w:rPr>
      <w:rFonts w:ascii="Times New Roman" w:hAnsi="Times New Roman" w:eastAsia="宋体" w:cs="Times New Roman"/>
      <w:szCs w:val="24"/>
    </w:rPr>
  </w:style>
  <w:style w:type="character" w:customStyle="1" w:styleId="64">
    <w:name w:val="正文文本 2 字符"/>
    <w:basedOn w:val="44"/>
    <w:link w:val="19"/>
    <w:qFormat/>
    <w:uiPriority w:val="0"/>
    <w:rPr>
      <w:rFonts w:ascii="Times New Roman" w:hAnsi="Times New Roman" w:eastAsia="宋体" w:cs="Times New Roman"/>
      <w:sz w:val="24"/>
      <w:szCs w:val="24"/>
    </w:rPr>
  </w:style>
  <w:style w:type="character" w:customStyle="1" w:styleId="65">
    <w:name w:val="文档结构图 字符"/>
    <w:basedOn w:val="44"/>
    <w:link w:val="15"/>
    <w:semiHidden/>
    <w:qFormat/>
    <w:uiPriority w:val="0"/>
    <w:rPr>
      <w:rFonts w:ascii="Times New Roman" w:hAnsi="Times New Roman" w:eastAsia="宋体" w:cs="Times New Roman"/>
      <w:szCs w:val="24"/>
      <w:shd w:val="clear" w:color="auto" w:fill="000080"/>
    </w:rPr>
  </w:style>
  <w:style w:type="character" w:customStyle="1" w:styleId="66">
    <w:name w:val="批注文字 字符"/>
    <w:basedOn w:val="44"/>
    <w:link w:val="16"/>
    <w:qFormat/>
    <w:uiPriority w:val="0"/>
    <w:rPr>
      <w:rFonts w:ascii="宋体" w:hAnsi="Times New Roman" w:eastAsia="宋体" w:cs="Times New Roman"/>
      <w:kern w:val="0"/>
      <w:sz w:val="34"/>
      <w:szCs w:val="20"/>
    </w:rPr>
  </w:style>
  <w:style w:type="character" w:customStyle="1" w:styleId="67">
    <w:name w:val="正文文本 3 字符"/>
    <w:basedOn w:val="44"/>
    <w:link w:val="17"/>
    <w:qFormat/>
    <w:uiPriority w:val="0"/>
    <w:rPr>
      <w:rFonts w:ascii="Times New Roman" w:hAnsi="Times New Roman" w:eastAsia="宋体" w:cs="Times New Roman"/>
      <w:sz w:val="16"/>
      <w:szCs w:val="16"/>
    </w:rPr>
  </w:style>
  <w:style w:type="character" w:customStyle="1" w:styleId="68">
    <w:name w:val="正文文本缩进 字符"/>
    <w:basedOn w:val="44"/>
    <w:link w:val="20"/>
    <w:qFormat/>
    <w:uiPriority w:val="0"/>
    <w:rPr>
      <w:rFonts w:ascii="Times New Roman" w:hAnsi="Times New Roman" w:eastAsia="宋体" w:cs="Times New Roman"/>
      <w:szCs w:val="24"/>
    </w:rPr>
  </w:style>
  <w:style w:type="character" w:customStyle="1" w:styleId="69">
    <w:name w:val="纯文本 字符"/>
    <w:basedOn w:val="44"/>
    <w:link w:val="23"/>
    <w:qFormat/>
    <w:uiPriority w:val="0"/>
    <w:rPr>
      <w:rFonts w:ascii="宋体" w:hAnsi="Courier New" w:eastAsia="宋体" w:cs="Times New Roman"/>
      <w:szCs w:val="20"/>
    </w:rPr>
  </w:style>
  <w:style w:type="character" w:customStyle="1" w:styleId="70">
    <w:name w:val="日期 字符"/>
    <w:basedOn w:val="44"/>
    <w:link w:val="25"/>
    <w:qFormat/>
    <w:uiPriority w:val="0"/>
    <w:rPr>
      <w:rFonts w:ascii="宋体" w:hAnsi="Courier New" w:eastAsia="宋体" w:cs="Times New Roman"/>
      <w:sz w:val="32"/>
      <w:szCs w:val="20"/>
    </w:rPr>
  </w:style>
  <w:style w:type="character" w:customStyle="1" w:styleId="71">
    <w:name w:val="正文文本缩进 2 字符"/>
    <w:basedOn w:val="44"/>
    <w:link w:val="26"/>
    <w:qFormat/>
    <w:uiPriority w:val="0"/>
    <w:rPr>
      <w:rFonts w:ascii="宋体" w:hAnsi="宋体" w:eastAsia="宋体" w:cs="Times New Roman"/>
      <w:szCs w:val="24"/>
    </w:rPr>
  </w:style>
  <w:style w:type="character" w:customStyle="1" w:styleId="72">
    <w:name w:val="批注框文本 字符"/>
    <w:basedOn w:val="44"/>
    <w:link w:val="27"/>
    <w:semiHidden/>
    <w:qFormat/>
    <w:uiPriority w:val="99"/>
    <w:rPr>
      <w:rFonts w:ascii="Times New Roman" w:hAnsi="Times New Roman" w:eastAsia="宋体" w:cs="Times New Roman"/>
      <w:sz w:val="18"/>
      <w:szCs w:val="18"/>
    </w:rPr>
  </w:style>
  <w:style w:type="character" w:customStyle="1" w:styleId="73">
    <w:name w:val="正文文本缩进 3 字符"/>
    <w:basedOn w:val="44"/>
    <w:link w:val="33"/>
    <w:qFormat/>
    <w:uiPriority w:val="0"/>
    <w:rPr>
      <w:rFonts w:ascii="宋体" w:hAnsi="Times New Roman" w:eastAsia="宋体" w:cs="Times New Roman"/>
      <w:b/>
      <w:bCs/>
      <w:sz w:val="24"/>
      <w:szCs w:val="24"/>
    </w:rPr>
  </w:style>
  <w:style w:type="character" w:customStyle="1" w:styleId="74">
    <w:name w:val="HTML 预设格式 字符"/>
    <w:basedOn w:val="44"/>
    <w:link w:val="36"/>
    <w:qFormat/>
    <w:uiPriority w:val="0"/>
    <w:rPr>
      <w:rFonts w:ascii="Arial Unicode MS" w:hAnsi="Arial Unicode MS" w:eastAsia="Arial Unicode MS" w:cs="Times New Roman"/>
      <w:color w:val="000000"/>
      <w:kern w:val="0"/>
      <w:sz w:val="20"/>
      <w:szCs w:val="20"/>
    </w:rPr>
  </w:style>
  <w:style w:type="character" w:customStyle="1" w:styleId="75">
    <w:name w:val="标题 字符"/>
    <w:basedOn w:val="44"/>
    <w:link w:val="39"/>
    <w:qFormat/>
    <w:uiPriority w:val="0"/>
    <w:rPr>
      <w:rFonts w:ascii="Arial" w:hAnsi="Arial" w:eastAsia="隶书" w:cs="Arial"/>
      <w:b/>
      <w:bCs/>
      <w:sz w:val="32"/>
      <w:szCs w:val="32"/>
    </w:rPr>
  </w:style>
  <w:style w:type="character" w:customStyle="1" w:styleId="76">
    <w:name w:val="批注主题 字符"/>
    <w:basedOn w:val="66"/>
    <w:link w:val="40"/>
    <w:qFormat/>
    <w:uiPriority w:val="99"/>
    <w:rPr>
      <w:rFonts w:ascii="Times New Roman" w:hAnsi="Times New Roman" w:eastAsia="宋体" w:cs="Times New Roman"/>
      <w:b/>
      <w:bCs/>
      <w:kern w:val="0"/>
      <w:sz w:val="34"/>
      <w:szCs w:val="24"/>
    </w:rPr>
  </w:style>
  <w:style w:type="character" w:customStyle="1" w:styleId="77">
    <w:name w:val="正文文本首行缩进 字符"/>
    <w:basedOn w:val="63"/>
    <w:link w:val="41"/>
    <w:qFormat/>
    <w:uiPriority w:val="0"/>
    <w:rPr>
      <w:rFonts w:ascii="Times New Roman" w:hAnsi="Times New Roman" w:eastAsia="宋体" w:cs="Times New Roman"/>
      <w:b/>
      <w:bCs/>
      <w:szCs w:val="24"/>
    </w:rPr>
  </w:style>
  <w:style w:type="paragraph" w:customStyle="1" w:styleId="78">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79">
    <w:name w:val="标题 3 字符"/>
    <w:link w:val="3"/>
    <w:qFormat/>
    <w:uiPriority w:val="9"/>
    <w:rPr>
      <w:rFonts w:ascii="宋体" w:hAnsi="宋体" w:eastAsia="宋体" w:cs="Times New Roman"/>
      <w:b/>
      <w:bCs/>
      <w:sz w:val="28"/>
      <w:szCs w:val="32"/>
    </w:rPr>
  </w:style>
  <w:style w:type="character" w:customStyle="1" w:styleId="80">
    <w:name w:val="正文缩进 字符"/>
    <w:link w:val="7"/>
    <w:qFormat/>
    <w:uiPriority w:val="0"/>
    <w:rPr>
      <w:rFonts w:ascii="Times New Roman" w:hAnsi="Times New Roman" w:eastAsia="宋体" w:cs="Times New Roman"/>
      <w:szCs w:val="20"/>
    </w:rPr>
  </w:style>
  <w:style w:type="paragraph" w:customStyle="1" w:styleId="81">
    <w:name w:val="样式41"/>
    <w:basedOn w:val="1"/>
    <w:qFormat/>
    <w:uiPriority w:val="0"/>
    <w:pPr>
      <w:numPr>
        <w:ilvl w:val="0"/>
        <w:numId w:val="2"/>
      </w:numPr>
      <w:tabs>
        <w:tab w:val="left" w:pos="945"/>
      </w:tabs>
      <w:spacing w:line="360" w:lineRule="auto"/>
    </w:pPr>
    <w:rPr>
      <w:rFonts w:ascii="Times New Roman" w:hAnsi="Times New Roman" w:eastAsia="宋体" w:cs="Times New Roman"/>
      <w:b/>
      <w:color w:val="000000"/>
      <w:sz w:val="24"/>
      <w:szCs w:val="20"/>
    </w:rPr>
  </w:style>
  <w:style w:type="paragraph" w:customStyle="1" w:styleId="82">
    <w:name w:val="图"/>
    <w:basedOn w:val="1"/>
    <w:qFormat/>
    <w:uiPriority w:val="0"/>
    <w:pPr>
      <w:keepNext/>
      <w:adjustRightInd w:val="0"/>
      <w:snapToGrid w:val="0"/>
      <w:spacing w:before="60" w:after="60" w:line="300" w:lineRule="auto"/>
      <w:jc w:val="center"/>
    </w:pPr>
    <w:rPr>
      <w:rFonts w:ascii="Times New Roman" w:hAnsi="Times New Roman" w:eastAsia="宋体" w:cs="Times New Roman"/>
      <w:spacing w:val="20"/>
      <w:kern w:val="0"/>
      <w:sz w:val="24"/>
      <w:szCs w:val="20"/>
    </w:rPr>
  </w:style>
  <w:style w:type="paragraph" w:customStyle="1" w:styleId="83">
    <w:name w:val="文档正文"/>
    <w:basedOn w:val="1"/>
    <w:qFormat/>
    <w:uiPriority w:val="0"/>
    <w:pPr>
      <w:adjustRightInd w:val="0"/>
      <w:spacing w:line="480" w:lineRule="atLeast"/>
      <w:ind w:firstLine="567" w:firstLineChars="200"/>
      <w:textAlignment w:val="baseline"/>
    </w:pPr>
    <w:rPr>
      <w:rFonts w:ascii="长城仿宋" w:hAnsi="Times New Roman" w:eastAsia="宋体" w:cs="Times New Roman"/>
      <w:kern w:val="0"/>
      <w:szCs w:val="20"/>
    </w:rPr>
  </w:style>
  <w:style w:type="paragraph" w:customStyle="1" w:styleId="84">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85">
    <w:name w:val="Char1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86">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87">
    <w:name w:val="Table Contents"/>
    <w:basedOn w:val="1"/>
    <w:qFormat/>
    <w:uiPriority w:val="0"/>
    <w:pPr>
      <w:suppressAutoHyphens/>
      <w:autoSpaceDE w:val="0"/>
      <w:spacing w:after="120"/>
      <w:jc w:val="left"/>
    </w:pPr>
    <w:rPr>
      <w:rFonts w:ascii="Helvetica" w:hAnsi="Helvetica" w:eastAsia="宋体" w:cs="Times New Roman"/>
      <w:kern w:val="1"/>
      <w:sz w:val="20"/>
      <w:szCs w:val="20"/>
    </w:rPr>
  </w:style>
  <w:style w:type="paragraph" w:customStyle="1" w:styleId="88">
    <w:name w:val="自定义正文"/>
    <w:basedOn w:val="1"/>
    <w:qFormat/>
    <w:uiPriority w:val="0"/>
    <w:pPr>
      <w:spacing w:afterLines="50"/>
      <w:ind w:left="600" w:leftChars="600"/>
    </w:pPr>
    <w:rPr>
      <w:rFonts w:ascii="Times New Roman" w:hAnsi="Times New Roman" w:eastAsia="宋体" w:cs="Times New Roman"/>
      <w:szCs w:val="24"/>
    </w:rPr>
  </w:style>
  <w:style w:type="paragraph" w:customStyle="1" w:styleId="89">
    <w:name w:val="Char Char Char Char Char"/>
    <w:basedOn w:val="1"/>
    <w:qFormat/>
    <w:uiPriority w:val="0"/>
    <w:rPr>
      <w:rFonts w:ascii="Tahoma" w:hAnsi="Tahoma" w:eastAsia="宋体" w:cs="Times New Roman"/>
      <w:sz w:val="24"/>
      <w:szCs w:val="20"/>
    </w:rPr>
  </w:style>
  <w:style w:type="paragraph" w:customStyle="1" w:styleId="90">
    <w:name w:val="小标题 1"/>
    <w:basedOn w:val="1"/>
    <w:qFormat/>
    <w:uiPriority w:val="0"/>
    <w:pPr>
      <w:autoSpaceDE w:val="0"/>
      <w:autoSpaceDN w:val="0"/>
      <w:adjustRightInd w:val="0"/>
      <w:spacing w:line="360" w:lineRule="atLeast"/>
    </w:pPr>
    <w:rPr>
      <w:rFonts w:ascii="文鼎粗黑" w:hAnsi="Times New Roman" w:eastAsia="文鼎粗黑" w:cs="Times New Roman"/>
      <w:kern w:val="0"/>
      <w:sz w:val="22"/>
      <w:szCs w:val="20"/>
    </w:rPr>
  </w:style>
  <w:style w:type="paragraph" w:customStyle="1" w:styleId="91">
    <w:name w:val="Char Char"/>
    <w:basedOn w:val="1"/>
    <w:qFormat/>
    <w:uiPriority w:val="0"/>
    <w:rPr>
      <w:rFonts w:ascii="Tahoma" w:hAnsi="Tahoma" w:eastAsia="宋体" w:cs="Times New Roman"/>
      <w:sz w:val="24"/>
      <w:szCs w:val="20"/>
    </w:rPr>
  </w:style>
  <w:style w:type="paragraph" w:customStyle="1" w:styleId="92">
    <w:name w:val="È±Ê¡ÎÄ±¾"/>
    <w:basedOn w:val="1"/>
    <w:qFormat/>
    <w:uiPriority w:val="0"/>
    <w:pPr>
      <w:widowControl/>
      <w:overflowPunct w:val="0"/>
      <w:autoSpaceDE w:val="0"/>
      <w:autoSpaceDN w:val="0"/>
      <w:adjustRightInd w:val="0"/>
      <w:jc w:val="left"/>
      <w:textAlignment w:val="baseline"/>
    </w:pPr>
    <w:rPr>
      <w:rFonts w:ascii="Times New Roman" w:hAnsi="Times New Roman" w:eastAsia="宋体" w:cs="Times New Roman"/>
      <w:kern w:val="0"/>
      <w:sz w:val="24"/>
      <w:szCs w:val="20"/>
    </w:rPr>
  </w:style>
  <w:style w:type="paragraph" w:customStyle="1" w:styleId="93">
    <w:name w:val="Char Char Char Char Char Char1 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styleId="94">
    <w:name w:val="List Paragraph"/>
    <w:basedOn w:val="1"/>
    <w:qFormat/>
    <w:uiPriority w:val="34"/>
    <w:pPr>
      <w:ind w:firstLine="420" w:firstLineChars="200"/>
    </w:pPr>
    <w:rPr>
      <w:rFonts w:ascii="Calibri" w:hAnsi="Calibri" w:eastAsia="宋体" w:cs="Times New Roman"/>
    </w:rPr>
  </w:style>
  <w:style w:type="paragraph" w:customStyle="1" w:styleId="95">
    <w:name w:val="USE 1"/>
    <w:basedOn w:val="1"/>
    <w:qFormat/>
    <w:uiPriority w:val="0"/>
    <w:pPr>
      <w:spacing w:line="200" w:lineRule="atLeast"/>
      <w:jc w:val="left"/>
    </w:pPr>
    <w:rPr>
      <w:rFonts w:ascii="宋体" w:hAnsi="宋体" w:eastAsia="宋体" w:cs="Times New Roman"/>
      <w:b/>
      <w:sz w:val="24"/>
      <w:szCs w:val="28"/>
    </w:rPr>
  </w:style>
  <w:style w:type="paragraph" w:customStyle="1" w:styleId="96">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eastAsia="宋体" w:cs="Times New Roman"/>
      <w:bCs/>
      <w:kern w:val="0"/>
      <w:sz w:val="24"/>
      <w:szCs w:val="24"/>
      <w:lang w:val="en-GB"/>
    </w:rPr>
  </w:style>
  <w:style w:type="paragraph" w:customStyle="1" w:styleId="97">
    <w:name w:val="正文文字缩进项目"/>
    <w:basedOn w:val="20"/>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98">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99">
    <w:name w:val="H4 Char2"/>
    <w:qFormat/>
    <w:uiPriority w:val="0"/>
    <w:rPr>
      <w:rFonts w:ascii="Arial" w:hAnsi="Arial" w:eastAsia="黑体"/>
      <w:b/>
      <w:bCs/>
      <w:kern w:val="2"/>
      <w:sz w:val="28"/>
      <w:szCs w:val="28"/>
      <w:lang w:val="en-US" w:eastAsia="zh-CN" w:bidi="ar-SA"/>
    </w:rPr>
  </w:style>
  <w:style w:type="character" w:customStyle="1" w:styleId="100">
    <w:name w:val="第*章 Char"/>
    <w:qFormat/>
    <w:uiPriority w:val="0"/>
    <w:rPr>
      <w:rFonts w:ascii="Arial" w:hAnsi="Arial" w:eastAsia="黑体"/>
      <w:b/>
      <w:bCs/>
      <w:kern w:val="2"/>
      <w:sz w:val="32"/>
      <w:szCs w:val="32"/>
    </w:rPr>
  </w:style>
  <w:style w:type="character" w:customStyle="1" w:styleId="101">
    <w:name w:val="章标题1 Char"/>
    <w:qFormat/>
    <w:uiPriority w:val="0"/>
    <w:rPr>
      <w:rFonts w:eastAsia="宋体"/>
      <w:b/>
      <w:bCs/>
      <w:kern w:val="2"/>
      <w:sz w:val="32"/>
      <w:szCs w:val="32"/>
      <w:lang w:val="en-US" w:eastAsia="zh-CN" w:bidi="ar-SA"/>
    </w:rPr>
  </w:style>
  <w:style w:type="character" w:customStyle="1" w:styleId="102">
    <w:name w:val="正文文字首行缩进 Char"/>
    <w:qFormat/>
    <w:uiPriority w:val="0"/>
    <w:rPr>
      <w:kern w:val="2"/>
      <w:sz w:val="21"/>
      <w:szCs w:val="24"/>
    </w:rPr>
  </w:style>
  <w:style w:type="paragraph" w:customStyle="1" w:styleId="103">
    <w:name w:val="样式1"/>
    <w:basedOn w:val="39"/>
    <w:qFormat/>
    <w:uiPriority w:val="0"/>
    <w:pPr>
      <w:spacing w:before="120" w:after="120"/>
    </w:pPr>
    <w:rPr>
      <w:rFonts w:eastAsia="黑体"/>
      <w:b w:val="0"/>
      <w:sz w:val="30"/>
      <w:szCs w:val="21"/>
    </w:rPr>
  </w:style>
  <w:style w:type="paragraph" w:customStyle="1" w:styleId="104">
    <w:name w:val="样式2"/>
    <w:basedOn w:val="39"/>
    <w:next w:val="103"/>
    <w:qFormat/>
    <w:uiPriority w:val="0"/>
    <w:pPr>
      <w:spacing w:before="120" w:after="120"/>
    </w:pPr>
    <w:rPr>
      <w:rFonts w:eastAsia="黑体"/>
      <w:b w:val="0"/>
      <w:sz w:val="30"/>
      <w:szCs w:val="30"/>
    </w:rPr>
  </w:style>
  <w:style w:type="character" w:customStyle="1" w:styleId="105">
    <w:name w:val="标题 3 Char Char"/>
    <w:qFormat/>
    <w:uiPriority w:val="0"/>
    <w:rPr>
      <w:rFonts w:eastAsia="宋体"/>
      <w:b/>
      <w:bCs/>
      <w:kern w:val="2"/>
      <w:sz w:val="32"/>
      <w:szCs w:val="32"/>
      <w:lang w:val="en-US" w:eastAsia="zh-CN" w:bidi="ar-SA"/>
    </w:rPr>
  </w:style>
  <w:style w:type="paragraph" w:customStyle="1" w:styleId="106">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07">
    <w:name w:val="cont"/>
    <w:basedOn w:val="1"/>
    <w:qFormat/>
    <w:uiPriority w:val="0"/>
    <w:pPr>
      <w:adjustRightInd w:val="0"/>
      <w:spacing w:before="100" w:after="100" w:line="360" w:lineRule="auto"/>
      <w:ind w:firstLine="200" w:firstLineChars="200"/>
      <w:jc w:val="left"/>
      <w:textAlignment w:val="baseline"/>
    </w:pPr>
    <w:rPr>
      <w:rFonts w:ascii="Arial" w:hAnsi="Arial" w:eastAsia="宋体" w:cs="Times New Roman"/>
      <w:kern w:val="0"/>
      <w:sz w:val="24"/>
      <w:szCs w:val="20"/>
    </w:rPr>
  </w:style>
  <w:style w:type="paragraph" w:customStyle="1" w:styleId="108">
    <w:name w:val="--规划正文"/>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109">
    <w:name w:val="设计依据"/>
    <w:basedOn w:val="18"/>
    <w:qFormat/>
    <w:uiPriority w:val="0"/>
    <w:pPr>
      <w:numPr>
        <w:ilvl w:val="1"/>
        <w:numId w:val="4"/>
      </w:numPr>
      <w:tabs>
        <w:tab w:val="left" w:pos="1440"/>
        <w:tab w:val="clear" w:pos="840"/>
      </w:tabs>
      <w:adjustRightInd w:val="0"/>
      <w:spacing w:after="0" w:line="360" w:lineRule="auto"/>
      <w:ind w:left="1440"/>
      <w:textAlignment w:val="baseline"/>
    </w:pPr>
    <w:rPr>
      <w:rFonts w:ascii="宋体" w:hAnsi="宋体"/>
      <w:bCs/>
      <w:kern w:val="0"/>
      <w:sz w:val="28"/>
      <w:szCs w:val="18"/>
    </w:rPr>
  </w:style>
  <w:style w:type="paragraph" w:customStyle="1" w:styleId="110">
    <w:name w:val="方案要点"/>
    <w:basedOn w:val="1"/>
    <w:qFormat/>
    <w:uiPriority w:val="0"/>
    <w:pPr>
      <w:numPr>
        <w:ilvl w:val="0"/>
        <w:numId w:val="4"/>
      </w:numPr>
      <w:spacing w:line="360" w:lineRule="auto"/>
    </w:pPr>
    <w:rPr>
      <w:rFonts w:ascii="仿宋_GB2312" w:hAnsi="宋体" w:eastAsia="仿宋_GB2312" w:cs="Times New Roman"/>
      <w:color w:val="000000"/>
      <w:sz w:val="28"/>
      <w:szCs w:val="28"/>
    </w:rPr>
  </w:style>
  <w:style w:type="paragraph" w:customStyle="1" w:styleId="111">
    <w:name w:val="样式4"/>
    <w:basedOn w:val="1"/>
    <w:qFormat/>
    <w:uiPriority w:val="0"/>
    <w:pPr>
      <w:tabs>
        <w:tab w:val="left" w:pos="842"/>
      </w:tabs>
      <w:spacing w:line="360" w:lineRule="auto"/>
      <w:ind w:left="842" w:hanging="420"/>
    </w:pPr>
    <w:rPr>
      <w:rFonts w:ascii="Times New Roman" w:hAnsi="Times New Roman" w:eastAsia="宋体" w:cs="Times New Roman"/>
      <w:sz w:val="24"/>
      <w:szCs w:val="24"/>
    </w:rPr>
  </w:style>
  <w:style w:type="paragraph" w:customStyle="1" w:styleId="112">
    <w:name w:val="文字"/>
    <w:basedOn w:val="1"/>
    <w:qFormat/>
    <w:uiPriority w:val="0"/>
    <w:pPr>
      <w:tabs>
        <w:tab w:val="left" w:pos="8520"/>
      </w:tabs>
      <w:spacing w:line="312" w:lineRule="auto"/>
      <w:ind w:right="-210" w:firstLine="556"/>
    </w:pPr>
    <w:rPr>
      <w:rFonts w:ascii="宋体" w:hAnsi="Times New Roman" w:eastAsia="宋体" w:cs="Times New Roman"/>
      <w:sz w:val="28"/>
      <w:szCs w:val="20"/>
    </w:rPr>
  </w:style>
  <w:style w:type="paragraph" w:customStyle="1" w:styleId="113">
    <w:name w:val="--规划-表格-居左"/>
    <w:basedOn w:val="108"/>
    <w:qFormat/>
    <w:uiPriority w:val="0"/>
    <w:pPr>
      <w:spacing w:line="240" w:lineRule="auto"/>
      <w:ind w:firstLine="0" w:firstLineChars="0"/>
    </w:pPr>
    <w:rPr>
      <w:sz w:val="20"/>
    </w:rPr>
  </w:style>
  <w:style w:type="paragraph" w:customStyle="1" w:styleId="114">
    <w:name w:val="--规划-表格-居中"/>
    <w:basedOn w:val="108"/>
    <w:qFormat/>
    <w:uiPriority w:val="0"/>
    <w:pPr>
      <w:spacing w:line="240" w:lineRule="auto"/>
      <w:ind w:firstLine="0" w:firstLineChars="0"/>
      <w:jc w:val="center"/>
    </w:pPr>
    <w:rPr>
      <w:sz w:val="20"/>
    </w:rPr>
  </w:style>
  <w:style w:type="paragraph" w:customStyle="1" w:styleId="115">
    <w:name w:val="--编号内缩进"/>
    <w:basedOn w:val="1"/>
    <w:qFormat/>
    <w:uiPriority w:val="0"/>
    <w:pPr>
      <w:spacing w:line="360" w:lineRule="auto"/>
      <w:ind w:left="420" w:firstLine="200" w:firstLineChars="200"/>
    </w:pPr>
    <w:rPr>
      <w:rFonts w:ascii="Times New Roman" w:hAnsi="Times New Roman" w:eastAsia="宋体" w:cs="Times New Roman"/>
      <w:szCs w:val="21"/>
    </w:rPr>
  </w:style>
  <w:style w:type="paragraph" w:customStyle="1" w:styleId="116">
    <w:name w:val="--规划-题注"/>
    <w:basedOn w:val="1"/>
    <w:next w:val="108"/>
    <w:qFormat/>
    <w:uiPriority w:val="0"/>
    <w:pPr>
      <w:spacing w:line="360" w:lineRule="auto"/>
      <w:jc w:val="center"/>
    </w:pPr>
    <w:rPr>
      <w:rFonts w:ascii="Times New Roman" w:hAnsi="Times New Roman" w:eastAsia="黑体" w:cs="Times New Roman"/>
      <w:szCs w:val="24"/>
    </w:rPr>
  </w:style>
  <w:style w:type="paragraph" w:customStyle="1" w:styleId="117">
    <w:name w:val="--规划-图和表"/>
    <w:next w:val="108"/>
    <w:qFormat/>
    <w:uiPriority w:val="0"/>
    <w:pPr>
      <w:jc w:val="center"/>
    </w:pPr>
    <w:rPr>
      <w:rFonts w:ascii="Times New Roman" w:hAnsi="Times New Roman" w:eastAsia="宋体" w:cs="Times New Roman"/>
      <w:kern w:val="2"/>
      <w:sz w:val="21"/>
      <w:lang w:val="en-US" w:eastAsia="zh-CN" w:bidi="ar-SA"/>
    </w:rPr>
  </w:style>
  <w:style w:type="paragraph" w:customStyle="1" w:styleId="118">
    <w:name w:val="--规划-小标题"/>
    <w:basedOn w:val="1"/>
    <w:next w:val="108"/>
    <w:qFormat/>
    <w:uiPriority w:val="0"/>
    <w:pPr>
      <w:keepNext/>
      <w:keepLines/>
      <w:spacing w:line="360" w:lineRule="auto"/>
      <w:outlineLvl w:val="4"/>
    </w:pPr>
    <w:rPr>
      <w:rFonts w:ascii="Times New Roman" w:hAnsi="Times New Roman" w:eastAsia="黑体" w:cs="Times New Roman"/>
      <w:szCs w:val="24"/>
    </w:rPr>
  </w:style>
  <w:style w:type="paragraph" w:customStyle="1" w:styleId="119">
    <w:name w:val="--规划正文 Char"/>
    <w:basedOn w:val="1"/>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20">
    <w:name w:val="缺省文本"/>
    <w:basedOn w:val="1"/>
    <w:qFormat/>
    <w:uiPriority w:val="0"/>
    <w:pPr>
      <w:autoSpaceDE w:val="0"/>
      <w:autoSpaceDN w:val="0"/>
      <w:adjustRightInd w:val="0"/>
      <w:jc w:val="left"/>
    </w:pPr>
    <w:rPr>
      <w:rFonts w:ascii="Times New Roman" w:hAnsi="Times New Roman" w:eastAsia="宋体" w:cs="Times New Roman"/>
      <w:kern w:val="0"/>
      <w:szCs w:val="24"/>
    </w:rPr>
  </w:style>
  <w:style w:type="paragraph" w:customStyle="1" w:styleId="121">
    <w:name w:val="封面文档标题"/>
    <w:basedOn w:val="1"/>
    <w:qFormat/>
    <w:uiPriority w:val="0"/>
    <w:pPr>
      <w:autoSpaceDE w:val="0"/>
      <w:autoSpaceDN w:val="0"/>
      <w:adjustRightInd w:val="0"/>
      <w:spacing w:line="360" w:lineRule="auto"/>
      <w:jc w:val="center"/>
    </w:pPr>
    <w:rPr>
      <w:rFonts w:ascii="Arial" w:hAnsi="Arial" w:eastAsia="宋体" w:cs="Times New Roman"/>
      <w:b/>
      <w:kern w:val="0"/>
      <w:sz w:val="56"/>
      <w:szCs w:val="24"/>
    </w:rPr>
  </w:style>
  <w:style w:type="character" w:customStyle="1" w:styleId="122">
    <w:name w:val="--规划正文 Char Char"/>
    <w:qFormat/>
    <w:uiPriority w:val="0"/>
    <w:rPr>
      <w:rFonts w:eastAsia="宋体"/>
      <w:kern w:val="2"/>
      <w:sz w:val="24"/>
      <w:szCs w:val="24"/>
      <w:lang w:val="en-US" w:eastAsia="zh-CN" w:bidi="ar-SA"/>
    </w:rPr>
  </w:style>
  <w:style w:type="paragraph" w:customStyle="1" w:styleId="123">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24">
    <w:name w:val="--规划正文 Char1"/>
    <w:qFormat/>
    <w:uiPriority w:val="0"/>
    <w:rPr>
      <w:rFonts w:eastAsia="宋体"/>
      <w:kern w:val="2"/>
      <w:sz w:val="21"/>
      <w:lang w:val="en-US" w:eastAsia="zh-CN" w:bidi="ar-SA"/>
    </w:rPr>
  </w:style>
  <w:style w:type="paragraph" w:customStyle="1" w:styleId="125">
    <w:name w:val="word"/>
    <w:basedOn w:val="1"/>
    <w:qFormat/>
    <w:uiPriority w:val="0"/>
    <w:pPr>
      <w:widowControl/>
      <w:spacing w:before="100" w:beforeAutospacing="1" w:after="100" w:afterAutospacing="1" w:line="301" w:lineRule="atLeast"/>
      <w:jc w:val="left"/>
    </w:pPr>
    <w:rPr>
      <w:rFonts w:ascii="ˎ̥" w:hAnsi="ˎ̥" w:eastAsia="宋体" w:cs="Times New Roman"/>
      <w:color w:val="000000"/>
      <w:kern w:val="0"/>
      <w:sz w:val="20"/>
      <w:szCs w:val="20"/>
    </w:rPr>
  </w:style>
  <w:style w:type="paragraph" w:customStyle="1" w:styleId="126">
    <w:name w:val="列表项目"/>
    <w:basedOn w:val="1"/>
    <w:qFormat/>
    <w:uiPriority w:val="0"/>
    <w:pPr>
      <w:tabs>
        <w:tab w:val="left" w:pos="420"/>
        <w:tab w:val="left" w:pos="1080"/>
      </w:tabs>
      <w:spacing w:line="288" w:lineRule="auto"/>
      <w:ind w:left="1080" w:hanging="360"/>
    </w:pPr>
    <w:rPr>
      <w:rFonts w:ascii="Times New Roman" w:hAnsi="Times New Roman" w:eastAsia="宋体" w:cs="Times New Roman"/>
      <w:sz w:val="24"/>
      <w:szCs w:val="20"/>
    </w:rPr>
  </w:style>
  <w:style w:type="character" w:customStyle="1" w:styleId="127">
    <w:name w:val="content1"/>
    <w:qFormat/>
    <w:uiPriority w:val="0"/>
    <w:rPr>
      <w:rFonts w:hint="default" w:ascii="??" w:hAnsi="??"/>
      <w:sz w:val="16"/>
      <w:szCs w:val="16"/>
      <w:u w:val="none"/>
    </w:rPr>
  </w:style>
  <w:style w:type="character" w:customStyle="1" w:styleId="128">
    <w:name w:val="unnamed4"/>
    <w:basedOn w:val="44"/>
    <w:qFormat/>
    <w:uiPriority w:val="0"/>
  </w:style>
  <w:style w:type="character" w:customStyle="1" w:styleId="129">
    <w:name w:val="font2"/>
    <w:basedOn w:val="44"/>
    <w:qFormat/>
    <w:uiPriority w:val="0"/>
  </w:style>
  <w:style w:type="character" w:customStyle="1" w:styleId="130">
    <w:name w:val="font41"/>
    <w:qFormat/>
    <w:uiPriority w:val="0"/>
    <w:rPr>
      <w:color w:val="000000"/>
      <w:spacing w:val="260"/>
      <w:sz w:val="18"/>
      <w:szCs w:val="18"/>
      <w:u w:val="none"/>
    </w:rPr>
  </w:style>
  <w:style w:type="paragraph" w:customStyle="1" w:styleId="131">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32">
    <w:name w:val="xl72"/>
    <w:basedOn w:val="1"/>
    <w:qFormat/>
    <w:uiPriority w:val="0"/>
    <w:pPr>
      <w:widowControl/>
      <w:spacing w:before="100" w:beforeAutospacing="1" w:after="100" w:afterAutospacing="1"/>
      <w:jc w:val="left"/>
    </w:pPr>
    <w:rPr>
      <w:rFonts w:ascii="宋体" w:hAnsi="宋体" w:eastAsia="宋体" w:cs="Times New Roman"/>
      <w:b/>
      <w:bCs/>
      <w:kern w:val="0"/>
      <w:sz w:val="28"/>
      <w:szCs w:val="28"/>
    </w:rPr>
  </w:style>
  <w:style w:type="paragraph" w:customStyle="1" w:styleId="133">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4">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5">
    <w:name w:val="汉仪细等线简9BOLD"/>
    <w:basedOn w:val="1"/>
    <w:qFormat/>
    <w:uiPriority w:val="0"/>
    <w:pPr>
      <w:autoSpaceDE w:val="0"/>
      <w:autoSpaceDN w:val="0"/>
      <w:adjustRightInd w:val="0"/>
      <w:spacing w:line="240" w:lineRule="atLeast"/>
    </w:pPr>
    <w:rPr>
      <w:rFonts w:ascii="汉仪细等线简" w:hAnsi="Times New Roman" w:eastAsia="汉仪细等线简" w:cs="Times New Roman"/>
      <w:b/>
      <w:bCs/>
      <w:kern w:val="0"/>
      <w:sz w:val="18"/>
      <w:szCs w:val="18"/>
    </w:rPr>
  </w:style>
  <w:style w:type="character" w:customStyle="1" w:styleId="136">
    <w:name w:val="mode"/>
    <w:basedOn w:val="44"/>
    <w:qFormat/>
    <w:uiPriority w:val="0"/>
  </w:style>
  <w:style w:type="paragraph" w:customStyle="1" w:styleId="137">
    <w:name w:val="9"/>
    <w:basedOn w:val="1"/>
    <w:next w:val="7"/>
    <w:qFormat/>
    <w:uiPriority w:val="0"/>
    <w:pPr>
      <w:autoSpaceDE w:val="0"/>
      <w:autoSpaceDN w:val="0"/>
      <w:adjustRightInd w:val="0"/>
      <w:ind w:firstLine="420"/>
      <w:jc w:val="left"/>
      <w:textAlignment w:val="baseline"/>
    </w:pPr>
    <w:rPr>
      <w:rFonts w:ascii="宋体" w:hAnsi="Times New Roman" w:eastAsia="宋体" w:cs="Times New Roman"/>
      <w:kern w:val="0"/>
      <w:sz w:val="34"/>
      <w:szCs w:val="20"/>
    </w:rPr>
  </w:style>
  <w:style w:type="character" w:customStyle="1" w:styleId="138">
    <w:name w:val="unnamed3"/>
    <w:basedOn w:val="44"/>
    <w:qFormat/>
    <w:uiPriority w:val="0"/>
  </w:style>
  <w:style w:type="paragraph" w:customStyle="1" w:styleId="139">
    <w:name w:val="8"/>
    <w:basedOn w:val="1"/>
    <w:next w:val="20"/>
    <w:qFormat/>
    <w:uiPriority w:val="0"/>
    <w:pPr>
      <w:spacing w:after="120"/>
      <w:ind w:left="420" w:leftChars="200"/>
    </w:pPr>
    <w:rPr>
      <w:rFonts w:ascii="Times New Roman" w:hAnsi="Times New Roman" w:eastAsia="宋体" w:cs="Times New Roman"/>
      <w:szCs w:val="24"/>
    </w:rPr>
  </w:style>
  <w:style w:type="paragraph" w:customStyle="1" w:styleId="140">
    <w:name w:val="7"/>
    <w:basedOn w:val="1"/>
    <w:qFormat/>
    <w:uiPriority w:val="0"/>
    <w:pPr>
      <w:autoSpaceDE w:val="0"/>
      <w:autoSpaceDN w:val="0"/>
      <w:adjustRightInd w:val="0"/>
      <w:spacing w:line="270" w:lineRule="atLeast"/>
      <w:jc w:val="left"/>
    </w:pPr>
    <w:rPr>
      <w:rFonts w:ascii="宋体" w:hAnsi="Times New Roman" w:eastAsia="宋体" w:cs="Times New Roman"/>
      <w:kern w:val="0"/>
      <w:sz w:val="18"/>
      <w:szCs w:val="18"/>
    </w:rPr>
  </w:style>
  <w:style w:type="paragraph" w:customStyle="1" w:styleId="141">
    <w:name w:val="00"/>
    <w:basedOn w:val="1"/>
    <w:qFormat/>
    <w:uiPriority w:val="0"/>
    <w:pPr>
      <w:autoSpaceDE w:val="0"/>
      <w:autoSpaceDN w:val="0"/>
      <w:adjustRightInd w:val="0"/>
      <w:jc w:val="left"/>
    </w:pPr>
    <w:rPr>
      <w:rFonts w:ascii="黑体" w:hAnsi="Times New Roman" w:eastAsia="黑体" w:cs="Times New Roman"/>
      <w:b/>
      <w:bCs/>
      <w:kern w:val="0"/>
      <w:sz w:val="20"/>
      <w:szCs w:val="20"/>
    </w:rPr>
  </w:style>
  <w:style w:type="paragraph" w:customStyle="1" w:styleId="142">
    <w:name w:val="5"/>
    <w:basedOn w:val="1"/>
    <w:qFormat/>
    <w:uiPriority w:val="0"/>
    <w:pPr>
      <w:autoSpaceDE w:val="0"/>
      <w:autoSpaceDN w:val="0"/>
      <w:adjustRightInd w:val="0"/>
      <w:jc w:val="left"/>
    </w:pPr>
    <w:rPr>
      <w:rFonts w:ascii="宋体" w:hAnsi="Times New Roman" w:eastAsia="宋体" w:cs="Times New Roman"/>
      <w:b/>
      <w:bCs/>
      <w:kern w:val="0"/>
      <w:sz w:val="18"/>
      <w:szCs w:val="18"/>
    </w:rPr>
  </w:style>
  <w:style w:type="paragraph" w:customStyle="1" w:styleId="143">
    <w:name w:val="6"/>
    <w:basedOn w:val="142"/>
    <w:qFormat/>
    <w:uiPriority w:val="0"/>
    <w:pPr>
      <w:spacing w:line="270" w:lineRule="atLeast"/>
      <w:jc w:val="both"/>
    </w:pPr>
    <w:rPr>
      <w:b w:val="0"/>
      <w:bCs w:val="0"/>
    </w:rPr>
  </w:style>
  <w:style w:type="paragraph" w:customStyle="1" w:styleId="144">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5">
    <w:name w:val="姜文清定义的正文"/>
    <w:basedOn w:val="1"/>
    <w:qFormat/>
    <w:uiPriority w:val="0"/>
    <w:pPr>
      <w:spacing w:line="240" w:lineRule="atLeast"/>
      <w:ind w:firstLine="567"/>
    </w:pPr>
    <w:rPr>
      <w:rFonts w:ascii="Times New Roman" w:hAnsi="Times New Roman" w:eastAsia="宋体" w:cs="Times New Roman"/>
      <w:szCs w:val="20"/>
    </w:rPr>
  </w:style>
  <w:style w:type="paragraph" w:customStyle="1" w:styleId="146">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7">
    <w:name w:val="CM2"/>
    <w:basedOn w:val="146"/>
    <w:next w:val="146"/>
    <w:qFormat/>
    <w:uiPriority w:val="0"/>
    <w:pPr>
      <w:spacing w:line="200" w:lineRule="atLeast"/>
    </w:pPr>
    <w:rPr>
      <w:rFonts w:ascii="Arial" w:hAnsi="Arial" w:eastAsia="宋体" w:cs="Times New Roman"/>
      <w:color w:val="auto"/>
    </w:rPr>
  </w:style>
  <w:style w:type="paragraph" w:customStyle="1" w:styleId="148">
    <w:name w:val="Normal Paragraph"/>
    <w:basedOn w:val="1"/>
    <w:qFormat/>
    <w:uiPriority w:val="0"/>
    <w:pPr>
      <w:widowControl/>
      <w:spacing w:before="120" w:line="360" w:lineRule="auto"/>
      <w:ind w:firstLine="425"/>
    </w:pPr>
    <w:rPr>
      <w:rFonts w:ascii="Times New Roman" w:hAnsi="Times New Roman" w:eastAsia="宋体" w:cs="Times New Roman"/>
      <w:kern w:val="0"/>
      <w:sz w:val="24"/>
      <w:szCs w:val="24"/>
    </w:rPr>
  </w:style>
  <w:style w:type="character" w:customStyle="1" w:styleId="149">
    <w:name w:val="blue"/>
    <w:basedOn w:val="44"/>
    <w:qFormat/>
    <w:uiPriority w:val="0"/>
  </w:style>
  <w:style w:type="paragraph" w:customStyle="1" w:styleId="150">
    <w:name w:val="blue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1">
    <w:name w:val="font"/>
    <w:basedOn w:val="44"/>
    <w:qFormat/>
    <w:uiPriority w:val="0"/>
  </w:style>
  <w:style w:type="character" w:customStyle="1" w:styleId="152">
    <w:name w:val="font11"/>
    <w:qFormat/>
    <w:uiPriority w:val="0"/>
    <w:rPr>
      <w:rFonts w:hint="default" w:ascii="ˎ̥" w:hAnsi="ˎ̥"/>
    </w:rPr>
  </w:style>
  <w:style w:type="paragraph" w:customStyle="1" w:styleId="153">
    <w:name w:val="a14"/>
    <w:basedOn w:val="1"/>
    <w:qFormat/>
    <w:uiPriority w:val="0"/>
    <w:pPr>
      <w:widowControl/>
      <w:spacing w:before="100" w:beforeAutospacing="1" w:after="100" w:afterAutospacing="1" w:line="300" w:lineRule="atLeast"/>
      <w:ind w:firstLine="375"/>
      <w:jc w:val="left"/>
    </w:pPr>
    <w:rPr>
      <w:rFonts w:ascii="宋体" w:hAnsi="宋体" w:eastAsia="宋体" w:cs="宋体"/>
      <w:kern w:val="0"/>
      <w:szCs w:val="21"/>
    </w:rPr>
  </w:style>
  <w:style w:type="character" w:customStyle="1" w:styleId="154">
    <w:name w:val="proddescription"/>
    <w:basedOn w:val="44"/>
    <w:qFormat/>
    <w:uiPriority w:val="0"/>
  </w:style>
  <w:style w:type="character" w:customStyle="1" w:styleId="155">
    <w:name w:val="prodheadlines"/>
    <w:basedOn w:val="44"/>
    <w:qFormat/>
    <w:uiPriority w:val="0"/>
  </w:style>
  <w:style w:type="character" w:customStyle="1" w:styleId="156">
    <w:name w:val="text"/>
    <w:basedOn w:val="44"/>
    <w:qFormat/>
    <w:uiPriority w:val="0"/>
  </w:style>
  <w:style w:type="paragraph" w:customStyle="1" w:styleId="157">
    <w:name w:val="tex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8">
    <w:name w:val="z-窗体顶端1"/>
    <w:basedOn w:val="1"/>
    <w:next w:val="1"/>
    <w:hidden/>
    <w:qFormat/>
    <w:uiPriority w:val="0"/>
    <w:pPr>
      <w:widowControl/>
      <w:pBdr>
        <w:bottom w:val="single" w:color="auto" w:sz="6" w:space="1"/>
      </w:pBdr>
      <w:jc w:val="center"/>
    </w:pPr>
    <w:rPr>
      <w:rFonts w:ascii="Arial" w:hAnsi="Arial" w:eastAsia="宋体" w:cs="Arial"/>
      <w:vanish/>
      <w:kern w:val="0"/>
      <w:sz w:val="16"/>
      <w:szCs w:val="16"/>
    </w:rPr>
  </w:style>
  <w:style w:type="paragraph" w:customStyle="1" w:styleId="159">
    <w:name w:val="z-窗体底端1"/>
    <w:basedOn w:val="1"/>
    <w:next w:val="1"/>
    <w:hidden/>
    <w:qFormat/>
    <w:uiPriority w:val="0"/>
    <w:pPr>
      <w:widowControl/>
      <w:pBdr>
        <w:top w:val="single" w:color="auto" w:sz="6" w:space="1"/>
      </w:pBdr>
      <w:jc w:val="center"/>
    </w:pPr>
    <w:rPr>
      <w:rFonts w:ascii="Arial" w:hAnsi="Arial" w:eastAsia="宋体" w:cs="Arial"/>
      <w:vanish/>
      <w:kern w:val="0"/>
      <w:sz w:val="16"/>
      <w:szCs w:val="16"/>
    </w:rPr>
  </w:style>
  <w:style w:type="paragraph" w:customStyle="1" w:styleId="160">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cs="Times New Roman"/>
      <w:kern w:val="0"/>
      <w:sz w:val="28"/>
      <w:szCs w:val="20"/>
    </w:rPr>
  </w:style>
  <w:style w:type="paragraph" w:customStyle="1" w:styleId="161">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eastAsia="宋体" w:cs="Times New Roman"/>
      <w:kern w:val="0"/>
      <w:sz w:val="24"/>
      <w:szCs w:val="24"/>
    </w:rPr>
  </w:style>
  <w:style w:type="paragraph" w:customStyle="1" w:styleId="162">
    <w:name w:val="段落正文"/>
    <w:basedOn w:val="23"/>
    <w:qFormat/>
    <w:uiPriority w:val="0"/>
    <w:pPr>
      <w:ind w:firstLine="560" w:firstLineChars="200"/>
    </w:pPr>
    <w:rPr>
      <w:sz w:val="28"/>
    </w:rPr>
  </w:style>
  <w:style w:type="character" w:customStyle="1" w:styleId="163">
    <w:name w:val="gray6"/>
    <w:basedOn w:val="44"/>
    <w:qFormat/>
    <w:uiPriority w:val="0"/>
  </w:style>
  <w:style w:type="character" w:customStyle="1" w:styleId="164">
    <w:name w:val="style9"/>
    <w:basedOn w:val="44"/>
    <w:qFormat/>
    <w:uiPriority w:val="0"/>
  </w:style>
  <w:style w:type="paragraph" w:customStyle="1" w:styleId="165">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character" w:customStyle="1" w:styleId="166">
    <w:name w:val="grame"/>
    <w:basedOn w:val="44"/>
    <w:qFormat/>
    <w:uiPriority w:val="0"/>
  </w:style>
  <w:style w:type="paragraph" w:customStyle="1" w:styleId="167">
    <w:name w:val="style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8">
    <w:name w:val="Char1"/>
    <w:basedOn w:val="1"/>
    <w:qFormat/>
    <w:uiPriority w:val="0"/>
    <w:pPr>
      <w:jc w:val="left"/>
    </w:pPr>
    <w:rPr>
      <w:rFonts w:ascii="Tahoma" w:hAnsi="Tahoma" w:eastAsia="宋体" w:cs="Times New Roman"/>
      <w:sz w:val="24"/>
      <w:szCs w:val="20"/>
    </w:rPr>
  </w:style>
  <w:style w:type="paragraph" w:customStyle="1" w:styleId="169">
    <w:name w:val="编号1"/>
    <w:basedOn w:val="1"/>
    <w:qFormat/>
    <w:uiPriority w:val="0"/>
    <w:pPr>
      <w:numPr>
        <w:ilvl w:val="0"/>
        <w:numId w:val="6"/>
      </w:numPr>
      <w:adjustRightInd w:val="0"/>
      <w:spacing w:line="300" w:lineRule="auto"/>
      <w:ind w:right="210"/>
      <w:textAlignment w:val="center"/>
    </w:pPr>
    <w:rPr>
      <w:rFonts w:ascii="宋体" w:hAnsi="宋体" w:eastAsia="宋体" w:cs="Times New Roman"/>
      <w:snapToGrid w:val="0"/>
      <w:spacing w:val="10"/>
      <w:kern w:val="24"/>
      <w:szCs w:val="24"/>
    </w:rPr>
  </w:style>
  <w:style w:type="paragraph" w:customStyle="1" w:styleId="170">
    <w:name w:val="Char Char Char Char Char Char Char Char Char Char Char Char Char Char Char Char Char Char Char Char Char Char"/>
    <w:basedOn w:val="1"/>
    <w:qFormat/>
    <w:uiPriority w:val="0"/>
    <w:pPr>
      <w:widowControl/>
      <w:spacing w:line="400" w:lineRule="exact"/>
      <w:jc w:val="center"/>
    </w:pPr>
    <w:rPr>
      <w:rFonts w:ascii="Verdana" w:hAnsi="Verdana" w:eastAsia="宋体" w:cs="Times New Roman"/>
      <w:kern w:val="0"/>
      <w:szCs w:val="20"/>
      <w:lang w:eastAsia="en-US"/>
    </w:rPr>
  </w:style>
  <w:style w:type="paragraph" w:customStyle="1" w:styleId="171">
    <w:name w:val="font0"/>
    <w:basedOn w:val="1"/>
    <w:qFormat/>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customStyle="1" w:styleId="172">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173">
    <w:name w:val="font6"/>
    <w:basedOn w:val="1"/>
    <w:qFormat/>
    <w:uiPriority w:val="0"/>
    <w:pPr>
      <w:widowControl/>
      <w:spacing w:before="100" w:beforeAutospacing="1" w:after="100" w:afterAutospacing="1"/>
      <w:jc w:val="left"/>
    </w:pPr>
    <w:rPr>
      <w:rFonts w:ascii="Times New Roman" w:hAnsi="Times New Roman" w:eastAsia="宋体" w:cs="Times New Roman"/>
      <w:kern w:val="0"/>
      <w:sz w:val="24"/>
      <w:szCs w:val="24"/>
    </w:rPr>
  </w:style>
  <w:style w:type="paragraph" w:customStyle="1" w:styleId="174">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Times New Roman"/>
      <w:kern w:val="0"/>
      <w:sz w:val="24"/>
      <w:szCs w:val="24"/>
    </w:rPr>
  </w:style>
  <w:style w:type="paragraph" w:customStyle="1" w:styleId="17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24"/>
      <w:szCs w:val="24"/>
    </w:rPr>
  </w:style>
  <w:style w:type="paragraph" w:customStyle="1" w:styleId="176">
    <w:name w:val="表格字"/>
    <w:basedOn w:val="1"/>
    <w:qFormat/>
    <w:uiPriority w:val="0"/>
    <w:pPr>
      <w:adjustRightInd w:val="0"/>
      <w:jc w:val="center"/>
    </w:pPr>
    <w:rPr>
      <w:rFonts w:ascii="宋体" w:hAnsi="Times New Roman" w:eastAsia="宋体" w:cs="Times New Roman"/>
      <w:sz w:val="24"/>
      <w:szCs w:val="20"/>
    </w:rPr>
  </w:style>
  <w:style w:type="character" w:customStyle="1" w:styleId="177">
    <w:name w:val="样式 小三 加粗"/>
    <w:qFormat/>
    <w:uiPriority w:val="0"/>
    <w:rPr>
      <w:rFonts w:eastAsia="宋体"/>
      <w:b/>
      <w:bCs/>
      <w:sz w:val="32"/>
    </w:rPr>
  </w:style>
  <w:style w:type="paragraph" w:customStyle="1" w:styleId="17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79">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80">
    <w:name w:val="Char Char Char"/>
    <w:basedOn w:val="1"/>
    <w:qFormat/>
    <w:uiPriority w:val="0"/>
    <w:rPr>
      <w:rFonts w:ascii="Tahoma" w:hAnsi="Tahoma" w:eastAsia="宋体" w:cs="Times New Roman"/>
      <w:sz w:val="24"/>
      <w:szCs w:val="20"/>
    </w:rPr>
  </w:style>
  <w:style w:type="paragraph" w:customStyle="1" w:styleId="18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182">
    <w:name w:val="info4"/>
    <w:basedOn w:val="44"/>
    <w:qFormat/>
    <w:uiPriority w:val="0"/>
  </w:style>
  <w:style w:type="paragraph" w:customStyle="1" w:styleId="183">
    <w:name w:val="缩进正文"/>
    <w:basedOn w:val="1"/>
    <w:link w:val="184"/>
    <w:qFormat/>
    <w:uiPriority w:val="0"/>
    <w:pPr>
      <w:ind w:firstLine="560" w:firstLineChars="200"/>
    </w:pPr>
    <w:rPr>
      <w:rFonts w:ascii="Times New Roman" w:hAnsi="Times New Roman" w:eastAsia="仿宋_GB2312" w:cs="宋体"/>
      <w:sz w:val="28"/>
      <w:szCs w:val="20"/>
    </w:rPr>
  </w:style>
  <w:style w:type="character" w:customStyle="1" w:styleId="184">
    <w:name w:val="缩进正文 Char"/>
    <w:link w:val="183"/>
    <w:qFormat/>
    <w:uiPriority w:val="0"/>
    <w:rPr>
      <w:rFonts w:ascii="Times New Roman" w:hAnsi="Times New Roman" w:eastAsia="仿宋_GB2312" w:cs="宋体"/>
      <w:sz w:val="28"/>
      <w:szCs w:val="20"/>
    </w:rPr>
  </w:style>
  <w:style w:type="paragraph" w:customStyle="1" w:styleId="185">
    <w:name w:val="列出段落1"/>
    <w:basedOn w:val="1"/>
    <w:qFormat/>
    <w:uiPriority w:val="0"/>
    <w:pPr>
      <w:ind w:firstLine="420" w:firstLineChars="200"/>
    </w:pPr>
    <w:rPr>
      <w:rFonts w:ascii="Calibri" w:hAnsi="Calibri" w:eastAsia="宋体" w:cs="Calibri"/>
      <w:szCs w:val="21"/>
    </w:rPr>
  </w:style>
  <w:style w:type="paragraph" w:customStyle="1" w:styleId="186">
    <w:name w:val="评价"/>
    <w:basedOn w:val="1"/>
    <w:qFormat/>
    <w:uiPriority w:val="0"/>
    <w:pPr>
      <w:spacing w:afterLines="20"/>
      <w:ind w:firstLine="1446" w:firstLineChars="200"/>
    </w:pPr>
    <w:rPr>
      <w:rFonts w:ascii="Calibri" w:hAnsi="Calibri" w:eastAsia="宋体" w:cs="Times New Roman"/>
      <w:sz w:val="24"/>
      <w:szCs w:val="24"/>
    </w:rPr>
  </w:style>
  <w:style w:type="paragraph" w:customStyle="1" w:styleId="18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8">
    <w:name w:val="alt-edited1"/>
    <w:qFormat/>
    <w:uiPriority w:val="0"/>
    <w:rPr>
      <w:color w:val="4D90F0"/>
    </w:rPr>
  </w:style>
  <w:style w:type="character" w:customStyle="1" w:styleId="189">
    <w:name w:val="body text Char1"/>
    <w:qFormat/>
    <w:uiPriority w:val="0"/>
    <w:rPr>
      <w:rFonts w:eastAsia="宋体"/>
      <w:kern w:val="2"/>
      <w:sz w:val="21"/>
      <w:lang w:val="en-US" w:eastAsia="zh-CN" w:bidi="ar-SA"/>
    </w:rPr>
  </w:style>
  <w:style w:type="character" w:customStyle="1" w:styleId="190">
    <w:name w:val="普通(网站) 字符"/>
    <w:link w:val="37"/>
    <w:qFormat/>
    <w:uiPriority w:val="99"/>
    <w:rPr>
      <w:rFonts w:ascii="Times New Roman" w:hAnsi="Times New Roman" w:eastAsia="宋体" w:cs="Times New Roman"/>
      <w:sz w:val="24"/>
      <w:szCs w:val="24"/>
    </w:rPr>
  </w:style>
  <w:style w:type="character" w:customStyle="1" w:styleId="191">
    <w:name w:val="批注文字 Char1"/>
    <w:qFormat/>
    <w:uiPriority w:val="99"/>
    <w:rPr>
      <w:rFonts w:ascii="宋体"/>
      <w:sz w:val="34"/>
    </w:rPr>
  </w:style>
  <w:style w:type="character" w:customStyle="1" w:styleId="192">
    <w:name w:val="正文缩进 Char1"/>
    <w:qFormat/>
    <w:uiPriority w:val="0"/>
    <w:rPr>
      <w:rFonts w:eastAsia="宋体"/>
      <w:kern w:val="2"/>
      <w:sz w:val="21"/>
      <w:lang w:val="en-US" w:eastAsia="zh-CN" w:bidi="ar-SA"/>
    </w:rPr>
  </w:style>
  <w:style w:type="paragraph" w:customStyle="1" w:styleId="193">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94">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195">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78</Pages>
  <Words>3128</Words>
  <Characters>3174</Characters>
  <Lines>1629</Lines>
  <Paragraphs>1682</Paragraphs>
  <TotalTime>9</TotalTime>
  <ScaleCrop>false</ScaleCrop>
  <LinksUpToDate>false</LinksUpToDate>
  <CharactersWithSpaces>3184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2024-01-31T03:20:00Z</dcterms:created>
  <dc:creator>zds</dc:creator>
  <cp:lastModifiedBy>封雨轩</cp:lastModifiedBy>
  <dcterms:modified xsi:type="dcterms:W3CDTF">2025-10-11T09:40:39Z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EE5D25BF19EB41FE9DBB5DA20A3E2B51_13</vt:lpwstr>
  </property>
  <property fmtid="{D5CDD505-2E9C-101B-9397-08002B2CF9AE}" pid="4" name="KSOTemplateDocerSaveRecord">
    <vt:lpwstr>eyJoZGlkIjoiMTgxODY4MDgzZGY0ODNiNTk1YjZhMjNlZTdhYmE3N2EiLCJ1c2VySWQiOiIxNjA2MzAwMzU3In0=</vt:lpwstr>
  </property>
</Properties>
</file>