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32"/>
        <w:pBdr>
          <w:top w:val="none" w:color="auto" w:sz="0" w:space="1"/>
          <w:left w:val="none" w:color="auto" w:sz="0" w:space="4"/>
          <w:bottom w:val="none" w:color="auto" w:sz="0" w:space="1"/>
          <w:right w:val="none" w:color="auto" w:sz="0" w:space="4"/>
        </w:pBdr>
        <w:rPr>
          <w:bCs/>
          <w:color w:val="FF0000"/>
          <w:sz w:val="20"/>
          <w:szCs w:val="20"/>
        </w:rPr>
      </w:pPr>
    </w:p>
    <w:p>
      <w:pPr>
        <w:pStyle w:val="19"/>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22"/>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3141"/>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深圳市龙华区卫生健康局智慧医疗“114工程”智能化项目2025年度等保测评服务和信息安全服务项目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服务</w:t>
            </w:r>
            <w:r>
              <w:rPr>
                <w:rFonts w:ascii="宋体" w:hAnsi="宋体" w:eastAsia="宋体" w:cs="Times New Roman"/>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pPr>
        <w:tabs>
          <w:tab w:val="left" w:pos="2790"/>
        </w:tabs>
        <w:snapToGrid w:val="0"/>
        <w:spacing w:line="440" w:lineRule="exact"/>
        <w:jc w:val="left"/>
        <w:rPr>
          <w:rFonts w:hint="eastAsia" w:asciiTheme="minorEastAsia" w:hAnsiTheme="minorEastAsia"/>
          <w:sz w:val="30"/>
          <w:szCs w:val="3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tabs>
          <w:tab w:val="left" w:pos="2790"/>
        </w:tabs>
        <w:snapToGrid w:val="0"/>
        <w:jc w:val="center"/>
        <w:rPr>
          <w:rFonts w:hint="eastAsia" w:ascii="黑体" w:hAnsi="黑体" w:eastAsia="黑体" w:cs="Times New Roman"/>
          <w:sz w:val="40"/>
          <w:szCs w:val="4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2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rPr>
                <w:szCs w:val="21"/>
              </w:rPr>
            </w:pPr>
            <w:r>
              <w:rPr>
                <w:rFonts w:hint="eastAsia"/>
              </w:rPr>
              <w:t>法律、法规、规章、规范性文件规定的其他情形。</w:t>
            </w:r>
          </w:p>
        </w:tc>
      </w:tr>
    </w:tbl>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pStyle w:val="19"/>
        <w:jc w:val="center"/>
        <w:outlineLvl w:val="0"/>
        <w:rPr>
          <w:rFonts w:hint="eastAsia" w:ascii="黑体" w:eastAsia="黑体"/>
          <w:sz w:val="40"/>
          <w:szCs w:val="40"/>
        </w:rPr>
      </w:pPr>
      <w:r>
        <w:rPr>
          <w:rFonts w:hint="eastAsia" w:ascii="黑体" w:hAnsi="黑体" w:eastAsia="黑体"/>
          <w:sz w:val="40"/>
          <w:szCs w:val="40"/>
        </w:rPr>
        <w:t>评标信息</w:t>
      </w:r>
    </w:p>
    <w:tbl>
      <w:tblPr>
        <w:tblStyle w:val="22"/>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pPr>
              <w:ind w:firstLine="420"/>
            </w:pPr>
          </w:p>
          <w:p>
            <w:pPr>
              <w:ind w:firstLine="420"/>
              <w:rPr>
                <w:szCs w:val="21"/>
              </w:rPr>
            </w:pPr>
            <w:r>
              <w:rPr>
                <w:szCs w:val="21"/>
              </w:rPr>
              <w:t>价格分计算方法：</w:t>
            </w:r>
          </w:p>
          <w:p>
            <w:pPr>
              <w:pStyle w:val="19"/>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19"/>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tbl>
      <w:tblPr>
        <w:tblStyle w:val="22"/>
        <w:tblpPr w:leftFromText="180" w:rightFromText="180" w:vertAnchor="text" w:horzAnchor="page" w:tblpX="1315" w:tblpY="892"/>
        <w:tblOverlap w:val="never"/>
        <w:tblW w:w="5028" w:type="pct"/>
        <w:tblCellSpacing w:w="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27"/>
        <w:gridCol w:w="727"/>
        <w:gridCol w:w="3028"/>
        <w:gridCol w:w="728"/>
        <w:gridCol w:w="41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wAfter w:w="0" w:type="auto"/>
          <w:tblCellSpacing w:w="0" w:type="dxa"/>
        </w:trPr>
        <w:tc>
          <w:tcPr>
            <w:tcW w:w="727"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b/>
                <w:bCs/>
                <w:kern w:val="2"/>
                <w:sz w:val="24"/>
              </w:rPr>
            </w:pPr>
            <w:r>
              <w:rPr>
                <w:b/>
                <w:bCs/>
                <w:kern w:val="2"/>
              </w:rPr>
              <w:t>序号</w:t>
            </w:r>
          </w:p>
        </w:tc>
        <w:tc>
          <w:tcPr>
            <w:tcW w:w="4483"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b/>
                <w:bCs/>
                <w:kern w:val="2"/>
                <w:sz w:val="24"/>
              </w:rPr>
            </w:pPr>
            <w:r>
              <w:rPr>
                <w:b/>
                <w:bCs/>
                <w:kern w:val="2"/>
              </w:rPr>
              <w:t>评分项</w:t>
            </w:r>
          </w:p>
        </w:tc>
        <w:tc>
          <w:tcPr>
            <w:tcW w:w="4171"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b/>
                <w:bCs/>
                <w:kern w:val="2"/>
                <w:sz w:val="24"/>
              </w:rPr>
            </w:pPr>
            <w:r>
              <w:rPr>
                <w:b/>
                <w:bCs/>
                <w:kern w:val="2"/>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wAfter w:w="0" w:type="auto"/>
          <w:tblCellSpacing w:w="0" w:type="dxa"/>
        </w:trPr>
        <w:tc>
          <w:tcPr>
            <w:tcW w:w="727" w:type="dxa"/>
            <w:vMerge w:val="restart"/>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b/>
                <w:bCs/>
                <w:color w:val="0000FF"/>
                <w:kern w:val="2"/>
              </w:rPr>
              <w:t>1</w:t>
            </w:r>
          </w:p>
        </w:tc>
        <w:tc>
          <w:tcPr>
            <w:tcW w:w="4483" w:type="dxa"/>
            <w:gridSpan w:val="3"/>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b/>
                <w:bCs/>
                <w:color w:val="0000FF"/>
                <w:kern w:val="2"/>
              </w:rPr>
              <w:t>价格</w:t>
            </w:r>
          </w:p>
        </w:tc>
        <w:tc>
          <w:tcPr>
            <w:tcW w:w="4171"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rFonts w:hint="eastAsia"/>
                <w:b/>
                <w:bCs/>
                <w:color w:val="0000FF"/>
                <w:kern w:val="2"/>
              </w:rPr>
              <w:t>1</w:t>
            </w:r>
            <w:r>
              <w:rPr>
                <w:b/>
                <w:bCs/>
                <w:color w:val="0000FF"/>
                <w:kern w:val="2"/>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wAfter w:w="0" w:type="auto"/>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8654" w:type="dxa"/>
            <w:gridSpan w:val="4"/>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rFonts w:ascii="宋体" w:hAnsi="宋体" w:cs="宋体"/>
                <w:kern w:val="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wAfter w:w="0" w:type="auto"/>
          <w:tblCellSpacing w:w="0" w:type="dxa"/>
        </w:trPr>
        <w:tc>
          <w:tcPr>
            <w:tcW w:w="727" w:type="dxa"/>
            <w:vMerge w:val="restart"/>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b/>
                <w:bCs/>
                <w:color w:val="0000FF"/>
                <w:kern w:val="2"/>
              </w:rPr>
              <w:t>2</w:t>
            </w:r>
          </w:p>
        </w:tc>
        <w:tc>
          <w:tcPr>
            <w:tcW w:w="4483" w:type="dxa"/>
            <w:gridSpan w:val="3"/>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rFonts w:hint="eastAsia"/>
                <w:b/>
                <w:bCs/>
                <w:color w:val="0000FF"/>
                <w:kern w:val="2"/>
              </w:rPr>
              <w:t>技术部分</w:t>
            </w:r>
          </w:p>
        </w:tc>
        <w:tc>
          <w:tcPr>
            <w:tcW w:w="4171"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rFonts w:hint="eastAsia" w:ascii="宋体" w:hAnsi="宋体" w:cs="宋体"/>
                <w:b/>
                <w:bCs/>
                <w:color w:val="0000FF"/>
                <w:kern w:val="2"/>
                <w:szCs w:val="21"/>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wAfter w:w="0" w:type="auto"/>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8654" w:type="dxa"/>
            <w:gridSpan w:val="4"/>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rFonts w:ascii="宋体" w:hAnsi="宋体" w:cs="宋体"/>
                <w:kern w:val="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wAfter w:w="0" w:type="auto"/>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序号</w:t>
            </w:r>
          </w:p>
        </w:tc>
        <w:tc>
          <w:tcPr>
            <w:tcW w:w="3028"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评分因素</w:t>
            </w:r>
          </w:p>
        </w:tc>
        <w:tc>
          <w:tcPr>
            <w:tcW w:w="728"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权重(%)</w:t>
            </w:r>
          </w:p>
        </w:tc>
        <w:tc>
          <w:tcPr>
            <w:tcW w:w="417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1</w:t>
            </w:r>
          </w:p>
        </w:tc>
        <w:tc>
          <w:tcPr>
            <w:tcW w:w="30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整体实施方案</w:t>
            </w:r>
          </w:p>
        </w:tc>
        <w:tc>
          <w:tcPr>
            <w:tcW w:w="7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10</w:t>
            </w:r>
          </w:p>
        </w:tc>
        <w:tc>
          <w:tcPr>
            <w:tcW w:w="4171"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pPr>
            <w:r>
              <w:rPr>
                <w:rFonts w:hint="eastAsia"/>
              </w:rPr>
              <w:t>（一）评分内容：</w:t>
            </w:r>
          </w:p>
          <w:p>
            <w:pPr>
              <w:keepNext w:val="0"/>
              <w:keepLines w:val="0"/>
              <w:widowControl/>
              <w:suppressLineNumbers w:val="0"/>
              <w:spacing w:before="0" w:beforeAutospacing="0" w:after="0" w:afterAutospacing="0"/>
              <w:ind w:left="0" w:right="0"/>
            </w:pPr>
            <w:r>
              <w:rPr>
                <w:rFonts w:hint="eastAsia"/>
              </w:rPr>
              <w:t>投标人须针对本项目需求提供实施方案，包括下述内容：</w:t>
            </w:r>
          </w:p>
          <w:p>
            <w:pPr>
              <w:keepNext w:val="0"/>
              <w:keepLines w:val="0"/>
              <w:widowControl/>
              <w:suppressLineNumbers w:val="0"/>
              <w:spacing w:before="0" w:beforeAutospacing="0" w:after="0" w:afterAutospacing="0"/>
              <w:ind w:left="0" w:right="0"/>
            </w:pPr>
            <w:r>
              <w:t>1</w:t>
            </w:r>
            <w:r>
              <w:rPr>
                <w:rFonts w:hint="eastAsia"/>
              </w:rPr>
              <w:t>、服务需求；</w:t>
            </w:r>
          </w:p>
          <w:p>
            <w:pPr>
              <w:keepNext w:val="0"/>
              <w:keepLines w:val="0"/>
              <w:widowControl/>
              <w:suppressLineNumbers w:val="0"/>
              <w:spacing w:before="0" w:beforeAutospacing="0" w:after="0" w:afterAutospacing="0"/>
              <w:ind w:left="0" w:right="0"/>
            </w:pPr>
            <w:r>
              <w:t>2</w:t>
            </w:r>
            <w:r>
              <w:rPr>
                <w:rFonts w:hint="eastAsia"/>
              </w:rPr>
              <w:t>、服务内容；</w:t>
            </w:r>
          </w:p>
          <w:p>
            <w:pPr>
              <w:keepNext w:val="0"/>
              <w:keepLines w:val="0"/>
              <w:widowControl/>
              <w:suppressLineNumbers w:val="0"/>
              <w:spacing w:before="0" w:beforeAutospacing="0" w:after="0" w:afterAutospacing="0"/>
              <w:ind w:left="0" w:right="0"/>
            </w:pPr>
            <w:r>
              <w:t>3</w:t>
            </w:r>
            <w:r>
              <w:rPr>
                <w:rFonts w:hint="eastAsia"/>
              </w:rPr>
              <w:t>、实施管理；</w:t>
            </w:r>
          </w:p>
          <w:p>
            <w:pPr>
              <w:keepNext w:val="0"/>
              <w:keepLines w:val="0"/>
              <w:widowControl/>
              <w:suppressLineNumbers w:val="0"/>
              <w:spacing w:before="0" w:beforeAutospacing="0" w:after="0" w:afterAutospacing="0"/>
              <w:ind w:left="0" w:right="0"/>
            </w:pPr>
            <w:r>
              <w:t>4</w:t>
            </w:r>
            <w:r>
              <w:rPr>
                <w:rFonts w:hint="eastAsia"/>
              </w:rPr>
              <w:t>、实施时间及进度；</w:t>
            </w:r>
          </w:p>
          <w:p>
            <w:pPr>
              <w:pStyle w:val="60"/>
              <w:keepNext w:val="0"/>
              <w:keepLines w:val="0"/>
              <w:widowControl/>
              <w:suppressLineNumbers w:val="0"/>
              <w:spacing w:beforeAutospacing="0" w:afterAutospacing="0"/>
              <w:ind w:left="0" w:right="0"/>
            </w:pPr>
            <w:r>
              <w:rPr>
                <w:rFonts w:hint="eastAsia"/>
              </w:rPr>
              <w:t>5、项目验收</w:t>
            </w:r>
          </w:p>
          <w:p>
            <w:pPr>
              <w:keepNext w:val="0"/>
              <w:keepLines w:val="0"/>
              <w:widowControl/>
              <w:suppressLineNumbers w:val="0"/>
              <w:spacing w:before="0" w:beforeAutospacing="0" w:after="0" w:afterAutospacing="0"/>
              <w:ind w:left="0" w:right="0"/>
            </w:pPr>
            <w:r>
              <w:rPr>
                <w:rFonts w:hint="eastAsia"/>
              </w:rPr>
              <w:t>（二）评分标准：</w:t>
            </w:r>
          </w:p>
          <w:p>
            <w:pPr>
              <w:keepNext w:val="0"/>
              <w:keepLines w:val="0"/>
              <w:widowControl/>
              <w:suppressLineNumbers w:val="0"/>
              <w:spacing w:before="0" w:beforeAutospacing="0" w:after="0" w:afterAutospacing="0"/>
              <w:ind w:left="0" w:right="0"/>
            </w:pPr>
            <w:r>
              <w:rPr>
                <w:rFonts w:hint="eastAsia"/>
              </w:rPr>
              <w:t>内容包含以上五项要求的，得 50 分</w:t>
            </w:r>
            <w:r>
              <w:rPr>
                <w:rFonts w:hint="eastAsia"/>
                <w:lang w:eastAsia="zh-CN"/>
              </w:rPr>
              <w:t>，</w:t>
            </w:r>
            <w:r>
              <w:rPr>
                <w:rFonts w:hint="eastAsia"/>
                <w:lang w:val="en-US" w:eastAsia="zh-CN"/>
              </w:rPr>
              <w:t>不满足一项扣10分，扣完为止；在此基础上</w:t>
            </w:r>
            <w:r>
              <w:rPr>
                <w:rFonts w:hint="eastAsia"/>
              </w:rPr>
              <w:t>：</w:t>
            </w:r>
          </w:p>
          <w:p>
            <w:pPr>
              <w:keepNext w:val="0"/>
              <w:keepLines w:val="0"/>
              <w:widowControl/>
              <w:suppressLineNumbers w:val="0"/>
              <w:spacing w:before="0" w:beforeAutospacing="0" w:after="0" w:afterAutospacing="0"/>
              <w:ind w:left="0" w:right="0"/>
            </w:pPr>
            <w:r>
              <w:rPr>
                <w:rFonts w:hint="eastAsia"/>
              </w:rPr>
              <w:t xml:space="preserve">优评分标准：实施方案内容具体、科学合理，针对性强， 可操作性强得 50 分。 </w:t>
            </w:r>
          </w:p>
          <w:p>
            <w:pPr>
              <w:keepNext w:val="0"/>
              <w:keepLines w:val="0"/>
              <w:widowControl/>
              <w:suppressLineNumbers w:val="0"/>
              <w:spacing w:before="0" w:beforeAutospacing="0" w:after="0" w:afterAutospacing="0"/>
              <w:ind w:left="0" w:right="0"/>
            </w:pPr>
            <w:r>
              <w:rPr>
                <w:rFonts w:hint="eastAsia"/>
              </w:rPr>
              <w:t xml:space="preserve">良评分标准：实施方案内容较具体、合理，针对性较强， 可操作性较强得 30 分。 </w:t>
            </w:r>
          </w:p>
          <w:p>
            <w:pPr>
              <w:keepNext w:val="0"/>
              <w:keepLines w:val="0"/>
              <w:widowControl/>
              <w:suppressLineNumbers w:val="0"/>
              <w:spacing w:before="0" w:beforeAutospacing="0" w:after="0" w:afterAutospacing="0"/>
              <w:ind w:left="0" w:right="0"/>
            </w:pPr>
            <w:r>
              <w:rPr>
                <w:rFonts w:hint="eastAsia"/>
              </w:rPr>
              <w:t xml:space="preserve">中评分标准：实施方案内容基本完整，有针对性，有可操 作性得 10 分。 </w:t>
            </w:r>
          </w:p>
          <w:p>
            <w:pPr>
              <w:keepNext w:val="0"/>
              <w:keepLines w:val="0"/>
              <w:widowControl/>
              <w:suppressLineNumbers w:val="0"/>
              <w:spacing w:before="0" w:beforeAutospacing="0" w:after="0" w:afterAutospacing="0"/>
              <w:ind w:left="0" w:right="0"/>
              <w:rPr>
                <w:rFonts w:hint="eastAsia"/>
              </w:rPr>
            </w:pPr>
            <w:r>
              <w:rPr>
                <w:rFonts w:hint="eastAsia"/>
              </w:rPr>
              <w:t>差评分标准：上述情况之外的，评差，</w:t>
            </w:r>
            <w:r>
              <w:rPr>
                <w:rFonts w:hint="eastAsia"/>
                <w:lang w:val="en-US" w:eastAsia="zh-CN"/>
              </w:rPr>
              <w:t>不加</w:t>
            </w:r>
            <w:r>
              <w:rPr>
                <w:rFonts w:hint="eastAsia"/>
              </w:rPr>
              <w:t>分。</w:t>
            </w:r>
          </w:p>
          <w:p>
            <w:pPr>
              <w:pStyle w:val="2"/>
              <w:rPr>
                <w:rFonts w:hint="default" w:eastAsiaTheme="minorEastAsia"/>
                <w:lang w:val="en-US" w:eastAsia="zh-CN"/>
              </w:rPr>
            </w:pPr>
            <w:r>
              <w:rPr>
                <w:rFonts w:hint="eastAsia" w:cstheme="minorBidi"/>
                <w:b w:val="0"/>
                <w:bCs w:val="0"/>
                <w:kern w:val="2"/>
                <w:sz w:val="21"/>
                <w:szCs w:val="22"/>
                <w:lang w:val="en-US" w:eastAsia="zh-CN" w:bidi="ar-SA"/>
              </w:rPr>
              <w:t>没</w:t>
            </w:r>
            <w:r>
              <w:rPr>
                <w:rFonts w:hint="eastAsia" w:asciiTheme="minorHAnsi" w:hAnsiTheme="minorHAnsi" w:eastAsiaTheme="minorEastAsia" w:cstheme="minorBidi"/>
                <w:b w:val="0"/>
                <w:bCs w:val="0"/>
                <w:kern w:val="2"/>
                <w:sz w:val="21"/>
                <w:szCs w:val="22"/>
                <w:lang w:val="en-US" w:eastAsia="zh-CN" w:bidi="ar-SA"/>
              </w:rPr>
              <w:t>提供方案不得分。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2</w:t>
            </w:r>
          </w:p>
        </w:tc>
        <w:tc>
          <w:tcPr>
            <w:tcW w:w="30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2"/>
                <w:szCs w:val="21"/>
              </w:rPr>
            </w:pPr>
            <w:r>
              <w:rPr>
                <w:rFonts w:hint="eastAsia" w:ascii="宋体" w:hAnsi="宋体" w:cs="宋体"/>
                <w:kern w:val="2"/>
                <w:szCs w:val="21"/>
              </w:rPr>
              <w:t>项目重点难点分析、应对措施及相关的合理化建议</w:t>
            </w:r>
          </w:p>
        </w:tc>
        <w:tc>
          <w:tcPr>
            <w:tcW w:w="7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8</w:t>
            </w:r>
          </w:p>
        </w:tc>
        <w:tc>
          <w:tcPr>
            <w:tcW w:w="4171" w:type="dxa"/>
            <w:tcBorders>
              <w:top w:val="single" w:color="000000" w:sz="8" w:space="0"/>
              <w:left w:val="single" w:color="000000" w:sz="8" w:space="0"/>
              <w:bottom w:val="single" w:color="000000" w:sz="8" w:space="0"/>
              <w:right w:val="single" w:color="000000" w:sz="8" w:space="0"/>
            </w:tcBorders>
          </w:tcPr>
          <w:p>
            <w:pPr>
              <w:pStyle w:val="8"/>
              <w:keepNext w:val="0"/>
              <w:keepLines w:val="0"/>
              <w:numPr>
                <w:ilvl w:val="0"/>
                <w:numId w:val="1"/>
              </w:numPr>
              <w:suppressLineNumbers w:val="0"/>
              <w:spacing w:before="0" w:beforeAutospacing="0" w:after="0" w:afterAutospacing="0"/>
              <w:ind w:left="0" w:right="0"/>
              <w:jc w:val="left"/>
            </w:pPr>
            <w:r>
              <w:rPr>
                <w:rFonts w:hint="eastAsia"/>
              </w:rPr>
              <w:t>评分内容：</w:t>
            </w:r>
          </w:p>
          <w:p>
            <w:pPr>
              <w:pStyle w:val="8"/>
              <w:keepNext w:val="0"/>
              <w:keepLines w:val="0"/>
              <w:suppressLineNumbers w:val="0"/>
              <w:spacing w:before="0" w:beforeAutospacing="0" w:after="0" w:afterAutospacing="0"/>
              <w:ind w:left="0" w:leftChars="0" w:right="0" w:firstLine="0" w:firstLineChars="0"/>
            </w:pPr>
            <w:r>
              <w:rPr>
                <w:rFonts w:hint="eastAsia"/>
              </w:rPr>
              <w:t>针对投标人提供的项目重点难点分析、应对措施及相关的合理化建议，内容应包含：</w:t>
            </w:r>
          </w:p>
          <w:p>
            <w:pPr>
              <w:keepNext w:val="0"/>
              <w:keepLines w:val="0"/>
              <w:widowControl/>
              <w:suppressLineNumbers w:val="0"/>
              <w:spacing w:before="0" w:beforeAutospacing="0" w:after="0" w:afterAutospacing="0"/>
              <w:ind w:left="0" w:right="0"/>
            </w:pPr>
            <w:r>
              <w:rPr>
                <w:rFonts w:hint="eastAsia"/>
              </w:rPr>
              <w:t>1、</w:t>
            </w:r>
            <w:r>
              <w:t xml:space="preserve">对重点难点的理解及解决方案、合理化建议的把握与分析； </w:t>
            </w:r>
          </w:p>
          <w:p>
            <w:pPr>
              <w:keepNext w:val="0"/>
              <w:keepLines w:val="0"/>
              <w:widowControl/>
              <w:suppressLineNumbers w:val="0"/>
              <w:spacing w:before="0" w:beforeAutospacing="0" w:after="0" w:afterAutospacing="0"/>
              <w:ind w:left="0" w:right="0"/>
            </w:pPr>
            <w:r>
              <w:rPr>
                <w:rFonts w:hint="eastAsia"/>
              </w:rPr>
              <w:t>2、</w:t>
            </w:r>
            <w:r>
              <w:t>对项目服务提供方式；</w:t>
            </w:r>
          </w:p>
          <w:p>
            <w:pPr>
              <w:keepNext w:val="0"/>
              <w:keepLines w:val="0"/>
              <w:widowControl/>
              <w:suppressLineNumbers w:val="0"/>
              <w:spacing w:before="0" w:beforeAutospacing="0" w:after="0" w:afterAutospacing="0"/>
              <w:ind w:left="0" w:right="0"/>
            </w:pPr>
            <w:r>
              <w:rPr>
                <w:rFonts w:hint="eastAsia"/>
              </w:rPr>
              <w:t>3、</w:t>
            </w:r>
            <w:r>
              <w:t>实施难度及解决方案等方面有应对措施。</w:t>
            </w:r>
          </w:p>
          <w:p>
            <w:pPr>
              <w:pStyle w:val="8"/>
              <w:keepNext w:val="0"/>
              <w:keepLines w:val="0"/>
              <w:numPr>
                <w:ilvl w:val="0"/>
                <w:numId w:val="1"/>
              </w:numPr>
              <w:suppressLineNumbers w:val="0"/>
              <w:spacing w:before="0" w:beforeAutospacing="0" w:after="0" w:afterAutospacing="0"/>
              <w:ind w:left="0" w:right="0"/>
            </w:pPr>
            <w:r>
              <w:rPr>
                <w:rFonts w:hint="eastAsia"/>
              </w:rPr>
              <w:t>评分标准：</w:t>
            </w:r>
          </w:p>
          <w:p>
            <w:pPr>
              <w:keepNext w:val="0"/>
              <w:keepLines w:val="0"/>
              <w:widowControl/>
              <w:suppressLineNumbers w:val="0"/>
              <w:spacing w:before="0" w:beforeAutospacing="0" w:after="0" w:afterAutospacing="0"/>
              <w:ind w:left="0" w:right="0"/>
            </w:pPr>
            <w:r>
              <w:rPr>
                <w:rFonts w:hint="eastAsia"/>
              </w:rPr>
              <w:t>内容包含以上三项要求的，得</w:t>
            </w:r>
            <w:r>
              <w:rPr>
                <w:rFonts w:hint="eastAsia"/>
                <w:lang w:val="en-US" w:eastAsia="zh-CN"/>
              </w:rPr>
              <w:t>50</w:t>
            </w:r>
            <w:r>
              <w:rPr>
                <w:rFonts w:hint="eastAsia"/>
              </w:rPr>
              <w:t>分</w:t>
            </w:r>
            <w:r>
              <w:rPr>
                <w:rFonts w:hint="eastAsia"/>
                <w:lang w:eastAsia="zh-CN"/>
              </w:rPr>
              <w:t>，</w:t>
            </w:r>
            <w:r>
              <w:rPr>
                <w:rFonts w:hint="eastAsia"/>
                <w:lang w:val="en-US" w:eastAsia="zh-CN"/>
              </w:rPr>
              <w:t>不满足一项扣20分，扣完为止；在此基础上</w:t>
            </w:r>
            <w:r>
              <w:rPr>
                <w:rFonts w:hint="eastAsia"/>
              </w:rPr>
              <w:t>：</w:t>
            </w:r>
          </w:p>
          <w:p>
            <w:pPr>
              <w:pStyle w:val="8"/>
              <w:keepNext w:val="0"/>
              <w:keepLines w:val="0"/>
              <w:suppressLineNumbers w:val="0"/>
              <w:spacing w:before="0" w:beforeAutospacing="0" w:after="0" w:afterAutospacing="0"/>
              <w:ind w:left="0" w:right="0"/>
            </w:pPr>
            <w:r>
              <w:rPr>
                <w:rFonts w:hint="eastAsia"/>
              </w:rPr>
              <w:t xml:space="preserve">优评分标准：方案内容具体、科学合理，针对性强， 可操作性强得 </w:t>
            </w:r>
            <w:r>
              <w:rPr>
                <w:rFonts w:hint="eastAsia"/>
                <w:lang w:val="en-US" w:eastAsia="zh-CN"/>
              </w:rPr>
              <w:t>50</w:t>
            </w:r>
            <w:r>
              <w:rPr>
                <w:rFonts w:hint="eastAsia"/>
              </w:rPr>
              <w:t xml:space="preserve">分。 </w:t>
            </w:r>
          </w:p>
          <w:p>
            <w:pPr>
              <w:pStyle w:val="8"/>
              <w:keepNext w:val="0"/>
              <w:keepLines w:val="0"/>
              <w:suppressLineNumbers w:val="0"/>
              <w:spacing w:before="0" w:beforeAutospacing="0" w:after="0" w:afterAutospacing="0"/>
              <w:ind w:left="0" w:right="0"/>
              <w:rPr>
                <w:rFonts w:hint="eastAsia"/>
              </w:rPr>
            </w:pPr>
            <w:r>
              <w:rPr>
                <w:rFonts w:hint="eastAsia"/>
              </w:rPr>
              <w:t>良评分标准：方案内容较具体、合理，针对性较强， 可操作性较强得</w:t>
            </w:r>
            <w:r>
              <w:rPr>
                <w:rFonts w:hint="eastAsia"/>
                <w:lang w:val="en-US" w:eastAsia="zh-CN"/>
              </w:rPr>
              <w:t>30</w:t>
            </w:r>
            <w:r>
              <w:rPr>
                <w:rFonts w:hint="eastAsia"/>
              </w:rPr>
              <w:t>分。</w:t>
            </w:r>
          </w:p>
          <w:p>
            <w:pPr>
              <w:keepNext w:val="0"/>
              <w:keepLines w:val="0"/>
              <w:widowControl/>
              <w:suppressLineNumbers w:val="0"/>
              <w:spacing w:before="0" w:beforeAutospacing="0" w:after="0" w:afterAutospacing="0"/>
              <w:ind w:left="0" w:right="0" w:firstLine="420" w:firstLineChars="200"/>
            </w:pPr>
            <w:r>
              <w:rPr>
                <w:rFonts w:hint="eastAsia"/>
              </w:rPr>
              <w:t xml:space="preserve">中评分标准：方案内容基本完整，有针对性，有可操 作性得 10 分。 </w:t>
            </w:r>
          </w:p>
          <w:p>
            <w:pPr>
              <w:keepNext w:val="0"/>
              <w:keepLines w:val="0"/>
              <w:widowControl/>
              <w:suppressLineNumbers w:val="0"/>
              <w:spacing w:before="0" w:beforeAutospacing="0" w:after="0" w:afterAutospacing="0"/>
              <w:ind w:left="0" w:right="0" w:firstLine="420" w:firstLineChars="200"/>
              <w:jc w:val="left"/>
              <w:rPr>
                <w:rFonts w:hint="eastAsia"/>
              </w:rPr>
            </w:pPr>
            <w:r>
              <w:rPr>
                <w:rFonts w:hint="eastAsia"/>
              </w:rPr>
              <w:t>差评分标准：上述情况之外的，评差，</w:t>
            </w:r>
            <w:r>
              <w:rPr>
                <w:rFonts w:hint="eastAsia"/>
                <w:lang w:val="en-US" w:eastAsia="zh-CN"/>
              </w:rPr>
              <w:t>不加</w:t>
            </w:r>
            <w:r>
              <w:rPr>
                <w:rFonts w:hint="eastAsia"/>
              </w:rPr>
              <w:t>分。</w:t>
            </w:r>
          </w:p>
          <w:p>
            <w:pPr>
              <w:pStyle w:val="2"/>
              <w:ind w:firstLine="210" w:firstLineChars="100"/>
            </w:pPr>
            <w:r>
              <w:rPr>
                <w:rFonts w:hint="eastAsia" w:cstheme="minorBidi"/>
                <w:b w:val="0"/>
                <w:bCs w:val="0"/>
                <w:kern w:val="2"/>
                <w:sz w:val="21"/>
                <w:szCs w:val="22"/>
                <w:lang w:val="en-US" w:eastAsia="zh-CN" w:bidi="ar-SA"/>
              </w:rPr>
              <w:t>没</w:t>
            </w:r>
            <w:r>
              <w:rPr>
                <w:rFonts w:hint="eastAsia" w:asciiTheme="minorHAnsi" w:hAnsiTheme="minorHAnsi" w:eastAsiaTheme="minorEastAsia" w:cstheme="minorBidi"/>
                <w:b w:val="0"/>
                <w:bCs w:val="0"/>
                <w:kern w:val="2"/>
                <w:sz w:val="21"/>
                <w:szCs w:val="22"/>
                <w:lang w:val="en-US" w:eastAsia="zh-CN" w:bidi="ar-SA"/>
              </w:rPr>
              <w:t>提供方案不得分。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11" w:hRule="atLeast"/>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single" w:color="000000" w:sz="8" w:space="0"/>
              <w:left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3</w:t>
            </w:r>
          </w:p>
        </w:tc>
        <w:tc>
          <w:tcPr>
            <w:tcW w:w="3028" w:type="dxa"/>
            <w:tcBorders>
              <w:top w:val="single" w:color="000000" w:sz="8" w:space="0"/>
              <w:left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eastAsia" w:ascii="宋体" w:hAnsi="Courier New"/>
                <w:kern w:val="2"/>
                <w:szCs w:val="20"/>
              </w:rPr>
            </w:pPr>
            <w:r>
              <w:rPr>
                <w:rFonts w:hint="eastAsia" w:ascii="宋体" w:hAnsi="Courier New"/>
                <w:kern w:val="2"/>
                <w:szCs w:val="20"/>
              </w:rPr>
              <w:t>技术条款响应情况</w:t>
            </w:r>
          </w:p>
          <w:p>
            <w:pPr>
              <w:keepNext w:val="0"/>
              <w:keepLines w:val="0"/>
              <w:widowControl/>
              <w:suppressLineNumbers w:val="0"/>
              <w:spacing w:before="0" w:beforeAutospacing="0" w:after="0" w:afterAutospacing="0"/>
              <w:ind w:left="0" w:right="0"/>
              <w:jc w:val="center"/>
              <w:rPr>
                <w:rFonts w:hint="default" w:ascii="宋体" w:hAnsi="宋体" w:eastAsia="宋体" w:cs="宋体"/>
                <w:kern w:val="2"/>
                <w:szCs w:val="21"/>
                <w:lang w:val="en-US" w:eastAsia="zh-CN"/>
              </w:rPr>
            </w:pPr>
          </w:p>
        </w:tc>
        <w:tc>
          <w:tcPr>
            <w:tcW w:w="728" w:type="dxa"/>
            <w:tcBorders>
              <w:top w:val="single" w:color="000000" w:sz="8" w:space="0"/>
              <w:left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2"/>
                <w:szCs w:val="21"/>
                <w:lang w:val="en-US" w:eastAsia="zh-CN"/>
              </w:rPr>
            </w:pPr>
            <w:r>
              <w:rPr>
                <w:rFonts w:hint="eastAsia" w:ascii="宋体" w:hAnsi="宋体" w:eastAsia="宋体" w:cs="宋体"/>
                <w:kern w:val="2"/>
                <w:szCs w:val="21"/>
                <w:lang w:val="en-US" w:eastAsia="zh-CN"/>
              </w:rPr>
              <w:t>35</w:t>
            </w:r>
          </w:p>
        </w:tc>
        <w:tc>
          <w:tcPr>
            <w:tcW w:w="4171" w:type="dxa"/>
            <w:tcBorders>
              <w:top w:val="single" w:color="000000" w:sz="8" w:space="0"/>
              <w:left w:val="single" w:color="000000" w:sz="8" w:space="0"/>
              <w:right w:val="single" w:color="000000" w:sz="8" w:space="0"/>
            </w:tcBorders>
          </w:tcPr>
          <w:p>
            <w:pPr>
              <w:pStyle w:val="8"/>
              <w:keepNext w:val="0"/>
              <w:keepLines w:val="0"/>
              <w:suppressLineNumbers w:val="0"/>
              <w:spacing w:before="0" w:beforeAutospacing="0" w:after="0" w:afterAutospacing="0"/>
              <w:ind w:left="0" w:leftChars="0" w:right="0" w:firstLine="0" w:firstLineChars="0"/>
              <w:rPr>
                <w:rFonts w:hint="eastAsia" w:ascii="Times New Roman" w:hAnsi="Times New Roman" w:cs="Times New Roman"/>
                <w:b w:val="0"/>
                <w:sz w:val="21"/>
              </w:rPr>
            </w:pPr>
            <w:r>
              <w:rPr>
                <w:rFonts w:hint="eastAsia" w:ascii="Times New Roman" w:hAnsi="Times New Roman" w:cs="Times New Roman"/>
                <w:b w:val="0"/>
                <w:sz w:val="21"/>
              </w:rPr>
              <w:t>（一）评分内容：</w:t>
            </w:r>
          </w:p>
          <w:p>
            <w:pPr>
              <w:pStyle w:val="8"/>
              <w:keepNext w:val="0"/>
              <w:keepLines w:val="0"/>
              <w:suppressLineNumbers w:val="0"/>
              <w:spacing w:before="0" w:beforeAutospacing="0" w:after="0" w:afterAutospacing="0"/>
              <w:ind w:left="0" w:right="0"/>
              <w:rPr>
                <w:rFonts w:hint="default" w:ascii="Times New Roman" w:hAnsi="Times New Roman" w:cs="Times New Roman"/>
                <w:b w:val="0"/>
                <w:sz w:val="21"/>
              </w:rPr>
            </w:pPr>
            <w:r>
              <w:rPr>
                <w:rFonts w:hint="eastAsia" w:ascii="Times New Roman" w:hAnsi="Times New Roman" w:cs="Times New Roman"/>
                <w:b w:val="0"/>
                <w:sz w:val="21"/>
              </w:rPr>
              <w:t>1</w:t>
            </w:r>
            <w:r>
              <w:rPr>
                <w:rFonts w:hint="default" w:ascii="Times New Roman" w:hAnsi="Times New Roman" w:cs="Times New Roman"/>
                <w:b w:val="0"/>
                <w:sz w:val="21"/>
              </w:rPr>
              <w:t>、</w:t>
            </w:r>
            <w:r>
              <w:rPr>
                <w:rFonts w:hint="default" w:ascii="Times New Roman" w:hAnsi="Times New Roman" w:cs="Times New Roman"/>
                <w:b w:val="0"/>
                <w:sz w:val="21"/>
                <w:lang w:eastAsia="zh-CN"/>
              </w:rPr>
              <w:t>根据</w:t>
            </w:r>
            <w:r>
              <w:rPr>
                <w:rFonts w:hint="default" w:ascii="Times New Roman" w:hAnsi="Times New Roman" w:cs="Times New Roman"/>
                <w:b w:val="0"/>
                <w:sz w:val="21"/>
              </w:rPr>
              <w:t>测评工具</w:t>
            </w:r>
            <w:r>
              <w:rPr>
                <w:rFonts w:hint="default" w:ascii="Times New Roman" w:hAnsi="Times New Roman" w:cs="Times New Roman"/>
                <w:b w:val="0"/>
                <w:sz w:val="21"/>
                <w:lang w:eastAsia="zh-CN"/>
              </w:rPr>
              <w:t>（</w:t>
            </w:r>
            <w:r>
              <w:rPr>
                <w:rFonts w:hint="eastAsia" w:ascii="Times New Roman" w:hAnsi="Times New Roman" w:cs="Times New Roman"/>
                <w:b w:val="0"/>
                <w:sz w:val="21"/>
                <w:lang w:eastAsia="zh-CN"/>
              </w:rPr>
              <w:t>第三章</w:t>
            </w:r>
            <w:r>
              <w:rPr>
                <w:rFonts w:hint="eastAsia" w:ascii="Times New Roman" w:hAnsi="Times New Roman" w:cs="Times New Roman"/>
                <w:b w:val="0"/>
                <w:sz w:val="21"/>
                <w:lang w:val="en-US" w:eastAsia="zh-CN"/>
              </w:rPr>
              <w:t xml:space="preserve">用户需求书 </w:t>
            </w:r>
            <w:r>
              <w:rPr>
                <w:rFonts w:hint="default" w:ascii="Times New Roman" w:hAnsi="Times New Roman" w:cs="Times New Roman"/>
                <w:b w:val="0"/>
                <w:sz w:val="21"/>
              </w:rPr>
              <w:t>三、等保测评和信息安全服务技术要求</w:t>
            </w:r>
            <w:r>
              <w:rPr>
                <w:rFonts w:hint="default" w:ascii="Times New Roman" w:hAnsi="Times New Roman" w:cs="Times New Roman"/>
                <w:b w:val="0"/>
                <w:sz w:val="21"/>
                <w:lang w:eastAsia="zh-CN"/>
              </w:rPr>
              <w:t>）</w:t>
            </w:r>
            <w:r>
              <w:rPr>
                <w:rFonts w:hint="default" w:ascii="Times New Roman" w:hAnsi="Times New Roman" w:cs="Times New Roman"/>
                <w:b w:val="0"/>
                <w:sz w:val="21"/>
              </w:rPr>
              <w:t>技术要求，</w:t>
            </w:r>
            <w:r>
              <w:rPr>
                <w:rFonts w:hint="eastAsia" w:ascii="Times New Roman" w:hAnsi="Times New Roman" w:cs="Times New Roman"/>
                <w:b w:val="0"/>
                <w:sz w:val="21"/>
                <w:lang w:val="en-US" w:eastAsia="zh-CN"/>
              </w:rPr>
              <w:t>全部满足的得100分，一般参数负偏离一项扣3分，重点技术参数▲项负偏离一项扣10分，扣完为止。</w:t>
            </w:r>
          </w:p>
          <w:p>
            <w:pPr>
              <w:pStyle w:val="8"/>
              <w:keepNext w:val="0"/>
              <w:keepLines w:val="0"/>
              <w:suppressLineNumbers w:val="0"/>
              <w:spacing w:before="0" w:beforeAutospacing="0" w:after="0" w:afterAutospacing="0"/>
              <w:ind w:left="0" w:leftChars="0" w:right="0" w:firstLine="0" w:firstLineChars="0"/>
              <w:rPr>
                <w:rFonts w:hint="eastAsia" w:ascii="Times New Roman" w:hAnsi="Times New Roman" w:cs="Times New Roman"/>
                <w:b w:val="0"/>
                <w:sz w:val="21"/>
              </w:rPr>
            </w:pPr>
            <w:r>
              <w:rPr>
                <w:rFonts w:hint="eastAsia" w:ascii="Times New Roman" w:hAnsi="Times New Roman" w:cs="Times New Roman"/>
                <w:b w:val="0"/>
                <w:sz w:val="21"/>
              </w:rPr>
              <w:t>（二）评分依据：</w:t>
            </w:r>
          </w:p>
          <w:p>
            <w:pPr>
              <w:pStyle w:val="8"/>
              <w:keepNext w:val="0"/>
              <w:keepLines w:val="0"/>
              <w:suppressLineNumbers w:val="0"/>
              <w:spacing w:before="0" w:beforeAutospacing="0" w:after="0" w:afterAutospacing="0"/>
              <w:ind w:left="0" w:right="0"/>
              <w:rPr>
                <w:rFonts w:ascii="宋体" w:hAnsi="宋体" w:cs="宋体"/>
                <w:szCs w:val="21"/>
              </w:rPr>
            </w:pPr>
            <w:r>
              <w:rPr>
                <w:rFonts w:hint="eastAsia" w:ascii="Times New Roman" w:hAnsi="Times New Roman" w:cs="Times New Roman"/>
                <w:b w:val="0"/>
                <w:sz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512" w:hRule="atLeast"/>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single" w:color="000000" w:sz="8" w:space="0"/>
              <w:left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4</w:t>
            </w:r>
          </w:p>
        </w:tc>
        <w:tc>
          <w:tcPr>
            <w:tcW w:w="3028" w:type="dxa"/>
            <w:tcBorders>
              <w:top w:val="single" w:color="000000" w:sz="8" w:space="0"/>
              <w:left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2"/>
                <w:szCs w:val="21"/>
              </w:rPr>
            </w:pPr>
            <w:r>
              <w:rPr>
                <w:rFonts w:hint="eastAsia" w:ascii="宋体" w:hAnsi="宋体" w:cs="宋体"/>
                <w:kern w:val="2"/>
                <w:szCs w:val="21"/>
              </w:rPr>
              <w:t>拟安排项目负责人情况（仅限</w:t>
            </w:r>
            <w:r>
              <w:rPr>
                <w:kern w:val="2"/>
              </w:rPr>
              <w:t>一</w:t>
            </w:r>
            <w:r>
              <w:rPr>
                <w:rFonts w:hint="eastAsia" w:ascii="宋体" w:hAnsi="宋体" w:cs="宋体"/>
                <w:kern w:val="2"/>
                <w:szCs w:val="21"/>
              </w:rPr>
              <w:t>人）</w:t>
            </w:r>
          </w:p>
        </w:tc>
        <w:tc>
          <w:tcPr>
            <w:tcW w:w="728" w:type="dxa"/>
            <w:tcBorders>
              <w:top w:val="single" w:color="000000" w:sz="8" w:space="0"/>
              <w:left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3</w:t>
            </w:r>
          </w:p>
        </w:tc>
        <w:tc>
          <w:tcPr>
            <w:tcW w:w="4171"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b/>
                <w:bCs/>
                <w:kern w:val="2"/>
              </w:rPr>
            </w:pPr>
            <w:r>
              <w:rPr>
                <w:rFonts w:hint="eastAsia"/>
                <w:b/>
                <w:bCs/>
                <w:kern w:val="2"/>
              </w:rPr>
              <w:t>（一）评分内容：</w:t>
            </w:r>
          </w:p>
          <w:p>
            <w:pPr>
              <w:keepNext w:val="0"/>
              <w:keepLines w:val="0"/>
              <w:widowControl/>
              <w:suppressLineNumbers w:val="0"/>
              <w:spacing w:before="0" w:beforeAutospacing="0" w:after="0" w:afterAutospacing="0"/>
              <w:ind w:left="0" w:right="0"/>
              <w:rPr>
                <w:kern w:val="2"/>
              </w:rPr>
            </w:pPr>
            <w:r>
              <w:rPr>
                <w:rFonts w:hint="eastAsia" w:ascii="宋体" w:hAnsi="宋体" w:cs="宋体"/>
                <w:kern w:val="2"/>
                <w:szCs w:val="21"/>
              </w:rPr>
              <w:t>拟派拟安排项目负责人为投标人自有员工（提供证明依据）</w:t>
            </w:r>
            <w:r>
              <w:rPr>
                <w:rFonts w:hint="eastAsia"/>
                <w:kern w:val="2"/>
              </w:rPr>
              <w:t>：</w:t>
            </w:r>
          </w:p>
          <w:p>
            <w:pPr>
              <w:keepNext w:val="0"/>
              <w:keepLines w:val="0"/>
              <w:widowControl/>
              <w:suppressLineNumbers w:val="0"/>
              <w:spacing w:before="0" w:beforeAutospacing="0" w:after="0" w:afterAutospacing="0"/>
              <w:ind w:left="0" w:right="0"/>
              <w:rPr>
                <w:kern w:val="2"/>
              </w:rPr>
            </w:pPr>
            <w:r>
              <w:rPr>
                <w:kern w:val="2"/>
              </w:rPr>
              <w:t>1</w:t>
            </w:r>
            <w:r>
              <w:rPr>
                <w:rFonts w:hint="eastAsia"/>
                <w:kern w:val="2"/>
              </w:rPr>
              <w:t>、具有计算机相关专业本科或以上学历的，得</w:t>
            </w:r>
            <w:r>
              <w:rPr>
                <w:kern w:val="2"/>
              </w:rPr>
              <w:t>30</w:t>
            </w:r>
            <w:r>
              <w:rPr>
                <w:rFonts w:hint="eastAsia"/>
                <w:kern w:val="2"/>
              </w:rPr>
              <w:t>分；</w:t>
            </w:r>
          </w:p>
          <w:p>
            <w:pPr>
              <w:keepNext w:val="0"/>
              <w:keepLines w:val="0"/>
              <w:widowControl/>
              <w:suppressLineNumbers w:val="0"/>
              <w:spacing w:before="0" w:beforeAutospacing="0" w:after="0" w:afterAutospacing="0"/>
              <w:ind w:left="0" w:right="0"/>
              <w:rPr>
                <w:kern w:val="2"/>
              </w:rPr>
            </w:pPr>
            <w:r>
              <w:rPr>
                <w:kern w:val="2"/>
              </w:rPr>
              <w:t>2</w:t>
            </w:r>
            <w:r>
              <w:rPr>
                <w:rFonts w:hint="eastAsia"/>
                <w:kern w:val="2"/>
              </w:rPr>
              <w:t>、具</w:t>
            </w:r>
            <w:r>
              <w:rPr>
                <w:rFonts w:hint="eastAsia" w:eastAsia="宋体"/>
                <w:kern w:val="2"/>
                <w:lang w:eastAsia="zh-CN"/>
              </w:rPr>
              <w:t>有中国信息安全测评中心颁发的（</w:t>
            </w:r>
            <w:r>
              <w:rPr>
                <w:rFonts w:hint="eastAsia"/>
                <w:kern w:val="2"/>
              </w:rPr>
              <w:t>注册信息安全专业人员</w:t>
            </w:r>
            <w:r>
              <w:rPr>
                <w:rFonts w:hint="eastAsia" w:eastAsia="宋体"/>
                <w:kern w:val="2"/>
                <w:lang w:eastAsia="zh-CN"/>
              </w:rPr>
              <w:t>（</w:t>
            </w:r>
            <w:r>
              <w:rPr>
                <w:rFonts w:hint="eastAsia" w:eastAsia="宋体"/>
                <w:kern w:val="2"/>
                <w:lang w:val="en-US" w:eastAsia="zh-CN"/>
              </w:rPr>
              <w:t>CISP</w:t>
            </w:r>
            <w:r>
              <w:rPr>
                <w:rFonts w:hint="eastAsia" w:eastAsia="宋体"/>
                <w:kern w:val="2"/>
                <w:lang w:eastAsia="zh-CN"/>
              </w:rPr>
              <w:t>）</w:t>
            </w:r>
            <w:r>
              <w:rPr>
                <w:rFonts w:hint="eastAsia"/>
                <w:kern w:val="2"/>
              </w:rPr>
              <w:t>）认证证书的，得</w:t>
            </w:r>
            <w:r>
              <w:rPr>
                <w:kern w:val="2"/>
              </w:rPr>
              <w:t>30</w:t>
            </w:r>
            <w:r>
              <w:rPr>
                <w:rFonts w:hint="eastAsia"/>
                <w:kern w:val="2"/>
              </w:rPr>
              <w:t>分；</w:t>
            </w:r>
          </w:p>
          <w:p>
            <w:pPr>
              <w:keepNext w:val="0"/>
              <w:keepLines w:val="0"/>
              <w:widowControl/>
              <w:suppressLineNumbers w:val="0"/>
              <w:spacing w:before="0" w:beforeAutospacing="0" w:after="0" w:afterAutospacing="0"/>
              <w:ind w:left="0" w:right="0"/>
              <w:rPr>
                <w:kern w:val="2"/>
              </w:rPr>
            </w:pPr>
            <w:r>
              <w:rPr>
                <w:bCs/>
                <w:kern w:val="2"/>
              </w:rPr>
              <w:t>3</w:t>
            </w:r>
            <w:r>
              <w:rPr>
                <w:rFonts w:hint="eastAsia"/>
                <w:bCs/>
                <w:kern w:val="2"/>
              </w:rPr>
              <w:t>）</w:t>
            </w:r>
            <w:r>
              <w:rPr>
                <w:rFonts w:hint="eastAsia"/>
                <w:kern w:val="2"/>
              </w:rPr>
              <w:t>具有等保测评及等保测评顾问咨询服务</w:t>
            </w:r>
            <w:r>
              <w:rPr>
                <w:rFonts w:hint="eastAsia"/>
                <w:kern w:val="2"/>
                <w:lang w:val="en-US" w:eastAsia="zh-CN"/>
              </w:rPr>
              <w:t>相关</w:t>
            </w:r>
            <w:r>
              <w:rPr>
                <w:rFonts w:hint="eastAsia"/>
                <w:kern w:val="2"/>
              </w:rPr>
              <w:t>工作经验，得</w:t>
            </w:r>
            <w:r>
              <w:rPr>
                <w:kern w:val="2"/>
              </w:rPr>
              <w:t>40</w:t>
            </w:r>
            <w:r>
              <w:rPr>
                <w:rFonts w:hint="eastAsia"/>
                <w:kern w:val="2"/>
              </w:rPr>
              <w:t>分。</w:t>
            </w:r>
          </w:p>
          <w:p>
            <w:pPr>
              <w:keepNext w:val="0"/>
              <w:keepLines w:val="0"/>
              <w:widowControl/>
              <w:suppressLineNumbers w:val="0"/>
              <w:spacing w:before="0" w:beforeAutospacing="0" w:after="0" w:afterAutospacing="0"/>
              <w:ind w:left="0" w:right="0"/>
              <w:rPr>
                <w:kern w:val="2"/>
              </w:rPr>
            </w:pPr>
            <w:r>
              <w:rPr>
                <w:rFonts w:hint="eastAsia"/>
                <w:kern w:val="2"/>
              </w:rPr>
              <w:t>以上三项累计得分，最高得</w:t>
            </w:r>
            <w:r>
              <w:rPr>
                <w:kern w:val="2"/>
              </w:rPr>
              <w:t>100</w:t>
            </w:r>
            <w:r>
              <w:rPr>
                <w:rFonts w:hint="eastAsia"/>
                <w:kern w:val="2"/>
              </w:rPr>
              <w:t>分。</w:t>
            </w:r>
          </w:p>
          <w:p>
            <w:pPr>
              <w:keepNext w:val="0"/>
              <w:keepLines w:val="0"/>
              <w:widowControl/>
              <w:suppressLineNumbers w:val="0"/>
              <w:spacing w:before="0" w:beforeAutospacing="0" w:after="0" w:afterAutospacing="0"/>
              <w:ind w:left="0" w:right="0"/>
              <w:rPr>
                <w:b/>
                <w:bCs/>
                <w:kern w:val="2"/>
              </w:rPr>
            </w:pPr>
            <w:r>
              <w:rPr>
                <w:rFonts w:hint="eastAsia"/>
                <w:b/>
                <w:bCs/>
                <w:kern w:val="2"/>
              </w:rPr>
              <w:t>（二）评分标准：</w:t>
            </w:r>
          </w:p>
          <w:p>
            <w:pPr>
              <w:keepNext w:val="0"/>
              <w:keepLines w:val="0"/>
              <w:widowControl/>
              <w:numPr>
                <w:ilvl w:val="255"/>
                <w:numId w:val="0"/>
              </w:numPr>
              <w:suppressLineNumbers w:val="0"/>
              <w:spacing w:before="0" w:beforeAutospacing="0" w:after="0" w:afterAutospacing="0" w:line="200" w:lineRule="atLeast"/>
              <w:ind w:left="0" w:right="0"/>
              <w:rPr>
                <w:rFonts w:ascii="宋体" w:hAnsi="宋体" w:cs="宋体"/>
                <w:spacing w:val="-2"/>
                <w:kern w:val="2"/>
                <w:szCs w:val="21"/>
              </w:rPr>
            </w:pPr>
            <w:r>
              <w:rPr>
                <w:rFonts w:hint="eastAsia" w:ascii="宋体" w:hAnsi="宋体" w:cs="宋体"/>
                <w:spacing w:val="-2"/>
                <w:kern w:val="2"/>
                <w:szCs w:val="21"/>
              </w:rPr>
              <w:t>1.提供开标日前由投标人为拟投入本项目的负责人缴交的载有政府部门公章（或专用章）的2025年</w:t>
            </w:r>
            <w:r>
              <w:rPr>
                <w:rFonts w:hint="eastAsia" w:ascii="宋体" w:hAnsi="宋体" w:cs="宋体"/>
                <w:spacing w:val="-2"/>
                <w:kern w:val="2"/>
                <w:szCs w:val="21"/>
                <w:lang w:val="en-US" w:eastAsia="zh-CN"/>
              </w:rPr>
              <w:t>5</w:t>
            </w:r>
            <w:r>
              <w:rPr>
                <w:rFonts w:hint="eastAsia" w:ascii="宋体" w:hAnsi="宋体" w:cs="宋体"/>
                <w:spacing w:val="-2"/>
                <w:kern w:val="2"/>
                <w:szCs w:val="21"/>
              </w:rPr>
              <w:t>月-</w:t>
            </w:r>
            <w:r>
              <w:rPr>
                <w:rFonts w:hint="eastAsia" w:ascii="宋体" w:hAnsi="宋体" w:cs="宋体"/>
                <w:spacing w:val="-2"/>
                <w:kern w:val="2"/>
                <w:szCs w:val="21"/>
                <w:lang w:val="en-US" w:eastAsia="zh-CN"/>
              </w:rPr>
              <w:t>7</w:t>
            </w:r>
            <w:r>
              <w:rPr>
                <w:rFonts w:hint="eastAsia" w:ascii="宋体" w:hAnsi="宋体" w:cs="宋体"/>
                <w:spacing w:val="-2"/>
                <w:kern w:val="2"/>
                <w:szCs w:val="21"/>
              </w:rPr>
              <w:t>月的社保缴交证明材料（已退休返聘人员需提供聘用合同），如开标日上一个月的社保材料因政府部门原因暂时无法取得，则可以往前顺延一个月；社保资料至少显示缴交养老保险信息，未显示该信息的该社保资料则不符合要求，原件备查。如供应商为新成立企业且成立时间不足3个月的，可提供加盖公章的情况说明或其他相关证明材料，原件备查。</w:t>
            </w:r>
          </w:p>
          <w:p>
            <w:pPr>
              <w:keepNext w:val="0"/>
              <w:keepLines w:val="0"/>
              <w:widowControl/>
              <w:suppressLineNumbers w:val="0"/>
              <w:wordWrap w:val="0"/>
              <w:spacing w:before="0" w:beforeAutospacing="0" w:after="0" w:afterAutospacing="0" w:line="200" w:lineRule="atLeast"/>
              <w:ind w:left="0" w:right="0"/>
              <w:jc w:val="left"/>
              <w:rPr>
                <w:rFonts w:ascii="宋体" w:hAnsi="宋体" w:cs="宋体"/>
                <w:spacing w:val="-2"/>
                <w:kern w:val="2"/>
                <w:szCs w:val="21"/>
              </w:rPr>
            </w:pPr>
            <w:r>
              <w:rPr>
                <w:rFonts w:hint="eastAsia" w:ascii="宋体" w:hAnsi="宋体" w:cs="宋体"/>
                <w:spacing w:val="-2"/>
                <w:kern w:val="2"/>
                <w:szCs w:val="21"/>
              </w:rPr>
              <w:t>2、提供毕业证书扫描件及相应证书在中国高等教育学生信息网（学信网）（https://www.chsi.com.cn/）官网查询截图或学历认证报告，对于较早颁发的学历证书学信网无法查询的，除要求提供毕业证书扫描件外，还应要求提供毕业院校或者人社部门出具的证明扫描件，国外学历证书提供教育部留学服务中心出具的国外学历认证书以及相应证书在教育部留学服务中心官网查询截图（查询网址：http://zwfw.cscse.edu.cn/）否则应作不得分处理；</w:t>
            </w:r>
          </w:p>
          <w:p>
            <w:pPr>
              <w:keepNext w:val="0"/>
              <w:keepLines w:val="0"/>
              <w:widowControl/>
              <w:suppressLineNumbers w:val="0"/>
              <w:wordWrap w:val="0"/>
              <w:spacing w:before="0" w:beforeAutospacing="0" w:after="0" w:afterAutospacing="0" w:line="200" w:lineRule="atLeast"/>
              <w:ind w:left="0" w:right="0"/>
              <w:jc w:val="left"/>
              <w:rPr>
                <w:rFonts w:hint="eastAsia" w:ascii="宋体" w:hAnsi="宋体" w:cs="宋体"/>
                <w:spacing w:val="-2"/>
                <w:kern w:val="2"/>
              </w:rPr>
            </w:pPr>
            <w:r>
              <w:rPr>
                <w:rFonts w:hint="eastAsia" w:ascii="宋体" w:hAnsi="宋体" w:cs="宋体"/>
                <w:spacing w:val="-2"/>
                <w:kern w:val="2"/>
              </w:rPr>
              <w:t>3.</w:t>
            </w:r>
            <w:r>
              <w:rPr>
                <w:rFonts w:hint="eastAsia" w:ascii="宋体" w:hAnsi="宋体" w:cs="宋体"/>
                <w:spacing w:val="-2"/>
                <w:kern w:val="2"/>
                <w:lang w:val="en-US" w:eastAsia="zh-CN"/>
              </w:rPr>
              <w:t>需</w:t>
            </w:r>
            <w:r>
              <w:rPr>
                <w:rFonts w:hint="eastAsia" w:ascii="宋体" w:hAnsi="宋体" w:cs="宋体"/>
                <w:spacing w:val="-2"/>
                <w:kern w:val="2"/>
              </w:rPr>
              <w:t>提供相关证书扫描件。</w:t>
            </w:r>
          </w:p>
          <w:p>
            <w:pPr>
              <w:keepNext w:val="0"/>
              <w:keepLines w:val="0"/>
              <w:widowControl/>
              <w:suppressLineNumbers w:val="0"/>
              <w:spacing w:before="0" w:beforeAutospacing="0" w:after="0" w:afterAutospacing="0"/>
              <w:ind w:left="0" w:right="0"/>
              <w:textAlignment w:val="center"/>
              <w:rPr>
                <w:rFonts w:hint="default" w:ascii="宋体" w:hAnsi="宋体" w:cs="宋体"/>
                <w:spacing w:val="-2"/>
                <w:kern w:val="2"/>
                <w:lang w:val="en-US" w:eastAsia="zh-CN"/>
              </w:rPr>
            </w:pPr>
            <w:r>
              <w:rPr>
                <w:rFonts w:hint="eastAsia" w:ascii="宋体" w:hAnsi="宋体" w:cs="宋体"/>
                <w:spacing w:val="-2"/>
                <w:kern w:val="2"/>
                <w:lang w:val="en-US" w:eastAsia="zh-CN"/>
              </w:rPr>
              <w:t>4.工作经验提供合同关键页扫描件，需体现人员名单，若无法体现还需提供加盖甲方公章或业务章的证明文件扫描件。</w:t>
            </w:r>
          </w:p>
          <w:p>
            <w:pPr>
              <w:keepNext w:val="0"/>
              <w:keepLines w:val="0"/>
              <w:widowControl/>
              <w:suppressLineNumbers w:val="0"/>
              <w:spacing w:before="0" w:beforeAutospacing="0" w:after="0" w:afterAutospacing="0"/>
              <w:ind w:left="0" w:right="0"/>
              <w:textAlignment w:val="center"/>
              <w:rPr>
                <w:rFonts w:ascii="宋体" w:hAnsi="宋体" w:cs="宋体"/>
                <w:color w:val="000000"/>
                <w:kern w:val="0"/>
                <w:szCs w:val="21"/>
              </w:rPr>
            </w:pPr>
            <w:r>
              <w:rPr>
                <w:rFonts w:hint="eastAsia" w:ascii="宋体" w:hAnsi="宋体" w:cs="宋体"/>
                <w:spacing w:val="-2"/>
                <w:kern w:val="2"/>
                <w:lang w:val="en-US" w:eastAsia="zh-CN"/>
              </w:rPr>
              <w:t>5</w:t>
            </w:r>
            <w:r>
              <w:rPr>
                <w:rFonts w:hint="eastAsia" w:ascii="宋体" w:hAnsi="宋体" w:cs="宋体"/>
                <w:spacing w:val="-2"/>
                <w:kern w:val="2"/>
              </w:rPr>
              <w:t>.未按要求提供或提供不清晰导致评委无法判断的不得分。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5</w:t>
            </w:r>
          </w:p>
        </w:tc>
        <w:tc>
          <w:tcPr>
            <w:tcW w:w="30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2"/>
                <w:szCs w:val="21"/>
              </w:rPr>
            </w:pPr>
            <w:r>
              <w:rPr>
                <w:rFonts w:hint="eastAsia" w:ascii="宋体" w:hAnsi="宋体" w:cs="宋体"/>
                <w:kern w:val="2"/>
                <w:szCs w:val="21"/>
              </w:rPr>
              <w:t>拟安排的项目团队成员（项目负责人除外）情况</w:t>
            </w:r>
          </w:p>
        </w:tc>
        <w:tc>
          <w:tcPr>
            <w:tcW w:w="7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4</w:t>
            </w:r>
          </w:p>
        </w:tc>
        <w:tc>
          <w:tcPr>
            <w:tcW w:w="4171"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b/>
                <w:bCs/>
                <w:kern w:val="2"/>
              </w:rPr>
            </w:pPr>
            <w:r>
              <w:rPr>
                <w:rFonts w:hint="eastAsia"/>
                <w:b/>
                <w:bCs/>
                <w:kern w:val="2"/>
              </w:rPr>
              <w:t>（一）评分内容：</w:t>
            </w:r>
          </w:p>
          <w:p>
            <w:pPr>
              <w:keepNext w:val="0"/>
              <w:keepLines w:val="0"/>
              <w:widowControl/>
              <w:suppressLineNumbers w:val="0"/>
              <w:spacing w:before="0" w:beforeAutospacing="0" w:after="0" w:afterAutospacing="0"/>
              <w:ind w:left="0" w:right="0"/>
              <w:rPr>
                <w:kern w:val="2"/>
              </w:rPr>
            </w:pPr>
            <w:r>
              <w:rPr>
                <w:rFonts w:hint="eastAsia"/>
                <w:kern w:val="2"/>
              </w:rPr>
              <w:t>团队成员总人数要求至少</w:t>
            </w:r>
            <w:r>
              <w:rPr>
                <w:kern w:val="2"/>
              </w:rPr>
              <w:t>3人，未达到人数要求的，本项不得分，在满足以上基础上进行打分:</w:t>
            </w:r>
          </w:p>
          <w:p>
            <w:pPr>
              <w:keepNext w:val="0"/>
              <w:keepLines w:val="0"/>
              <w:widowControl/>
              <w:suppressLineNumbers w:val="0"/>
              <w:spacing w:before="0" w:beforeAutospacing="0" w:after="0" w:afterAutospacing="0"/>
              <w:ind w:left="0" w:right="0"/>
              <w:rPr>
                <w:rFonts w:hint="default" w:eastAsiaTheme="minorEastAsia"/>
                <w:kern w:val="2"/>
                <w:lang w:val="en-US" w:eastAsia="zh-CN"/>
              </w:rPr>
            </w:pPr>
            <w:r>
              <w:rPr>
                <w:kern w:val="2"/>
              </w:rPr>
              <w:t>1</w:t>
            </w:r>
            <w:r>
              <w:rPr>
                <w:rFonts w:hint="eastAsia"/>
                <w:kern w:val="2"/>
              </w:rPr>
              <w:t>、</w:t>
            </w:r>
            <w:r>
              <w:rPr>
                <w:kern w:val="2"/>
              </w:rPr>
              <w:t>拟安排的项目团队成员</w:t>
            </w:r>
            <w:r>
              <w:rPr>
                <w:rFonts w:hint="eastAsia"/>
                <w:kern w:val="2"/>
                <w:lang w:val="en-US" w:eastAsia="zh-CN"/>
              </w:rPr>
              <w:t>每提供</w:t>
            </w:r>
            <w:r>
              <w:rPr>
                <w:rFonts w:hint="eastAsia"/>
                <w:kern w:val="2"/>
              </w:rPr>
              <w:t>中国信息安全测评中心</w:t>
            </w:r>
            <w:r>
              <w:rPr>
                <w:rFonts w:hint="eastAsia"/>
                <w:kern w:val="2"/>
                <w:lang w:eastAsia="zh-CN"/>
              </w:rPr>
              <w:t>颁</w:t>
            </w:r>
            <w:r>
              <w:rPr>
                <w:rFonts w:hint="eastAsia" w:eastAsia="宋体"/>
                <w:kern w:val="2"/>
                <w:lang w:eastAsia="zh-CN"/>
              </w:rPr>
              <w:t>发的（</w:t>
            </w:r>
            <w:r>
              <w:rPr>
                <w:rFonts w:hint="eastAsia"/>
                <w:kern w:val="2"/>
              </w:rPr>
              <w:t>注册信息安全专业人员</w:t>
            </w:r>
            <w:r>
              <w:rPr>
                <w:rFonts w:hint="eastAsia" w:eastAsia="宋体"/>
                <w:kern w:val="2"/>
                <w:lang w:eastAsia="zh-CN"/>
              </w:rPr>
              <w:t>（</w:t>
            </w:r>
            <w:r>
              <w:rPr>
                <w:rFonts w:hint="eastAsia" w:eastAsia="宋体"/>
                <w:kern w:val="2"/>
                <w:lang w:val="en-US" w:eastAsia="zh-CN"/>
              </w:rPr>
              <w:t>CISP</w:t>
            </w:r>
            <w:r>
              <w:rPr>
                <w:rFonts w:hint="eastAsia" w:eastAsia="宋体"/>
                <w:kern w:val="2"/>
                <w:lang w:eastAsia="zh-CN"/>
              </w:rPr>
              <w:t>）</w:t>
            </w:r>
            <w:r>
              <w:rPr>
                <w:rFonts w:hint="eastAsia"/>
                <w:kern w:val="2"/>
              </w:rPr>
              <w:t>）认证证书的，得</w:t>
            </w:r>
            <w:r>
              <w:rPr>
                <w:rFonts w:hint="eastAsia"/>
                <w:kern w:val="2"/>
                <w:lang w:val="en-US" w:eastAsia="zh-CN"/>
              </w:rPr>
              <w:t>10</w:t>
            </w:r>
            <w:r>
              <w:rPr>
                <w:rFonts w:hint="eastAsia"/>
                <w:kern w:val="2"/>
              </w:rPr>
              <w:t>分</w:t>
            </w:r>
            <w:r>
              <w:rPr>
                <w:rFonts w:hint="eastAsia"/>
                <w:kern w:val="2"/>
                <w:lang w:eastAsia="zh-CN"/>
              </w:rPr>
              <w:t>，</w:t>
            </w:r>
            <w:r>
              <w:rPr>
                <w:rFonts w:hint="eastAsia"/>
                <w:kern w:val="2"/>
                <w:lang w:val="en-US" w:eastAsia="zh-CN"/>
              </w:rPr>
              <w:t>本小项最高得30分；</w:t>
            </w:r>
          </w:p>
          <w:p>
            <w:pPr>
              <w:keepNext w:val="0"/>
              <w:keepLines w:val="0"/>
              <w:widowControl/>
              <w:suppressLineNumbers w:val="0"/>
              <w:spacing w:before="0" w:beforeAutospacing="0" w:after="0" w:afterAutospacing="0"/>
              <w:ind w:left="0" w:right="0"/>
              <w:rPr>
                <w:kern w:val="2"/>
              </w:rPr>
            </w:pPr>
            <w:r>
              <w:rPr>
                <w:kern w:val="2"/>
              </w:rPr>
              <w:t>2</w:t>
            </w:r>
            <w:r>
              <w:rPr>
                <w:rFonts w:hint="eastAsia"/>
                <w:kern w:val="2"/>
              </w:rPr>
              <w:t>、</w:t>
            </w:r>
            <w:r>
              <w:rPr>
                <w:kern w:val="2"/>
              </w:rPr>
              <w:t>拟安排的项目团队成员</w:t>
            </w:r>
            <w:r>
              <w:rPr>
                <w:rFonts w:hint="eastAsia"/>
                <w:kern w:val="2"/>
                <w:lang w:val="en-US" w:eastAsia="zh-CN"/>
              </w:rPr>
              <w:t>每提供</w:t>
            </w:r>
            <w:r>
              <w:rPr>
                <w:kern w:val="2"/>
              </w:rPr>
              <w:t>大专（或以上）学历且为计算机专业（或通信电子专业）</w:t>
            </w:r>
            <w:r>
              <w:rPr>
                <w:rFonts w:hint="eastAsia"/>
                <w:kern w:val="2"/>
              </w:rPr>
              <w:t>的，得</w:t>
            </w:r>
            <w:r>
              <w:rPr>
                <w:rFonts w:hint="eastAsia"/>
                <w:kern w:val="2"/>
                <w:lang w:val="en-US" w:eastAsia="zh-CN"/>
              </w:rPr>
              <w:t>10</w:t>
            </w:r>
            <w:r>
              <w:rPr>
                <w:rFonts w:hint="eastAsia"/>
                <w:kern w:val="2"/>
              </w:rPr>
              <w:t>分</w:t>
            </w:r>
            <w:r>
              <w:rPr>
                <w:rFonts w:hint="eastAsia"/>
                <w:kern w:val="2"/>
                <w:lang w:eastAsia="zh-CN"/>
              </w:rPr>
              <w:t>，</w:t>
            </w:r>
            <w:r>
              <w:rPr>
                <w:rFonts w:hint="eastAsia"/>
                <w:kern w:val="2"/>
                <w:lang w:val="en-US" w:eastAsia="zh-CN"/>
              </w:rPr>
              <w:t>本小项最高得30分；</w:t>
            </w:r>
          </w:p>
          <w:p>
            <w:pPr>
              <w:keepNext w:val="0"/>
              <w:keepLines w:val="0"/>
              <w:widowControl/>
              <w:suppressLineNumbers w:val="0"/>
              <w:spacing w:before="0" w:beforeAutospacing="0" w:after="0" w:afterAutospacing="0"/>
              <w:ind w:left="0" w:right="0"/>
              <w:rPr>
                <w:rFonts w:hint="default" w:eastAsiaTheme="minorEastAsia"/>
                <w:kern w:val="2"/>
                <w:lang w:val="en-US" w:eastAsia="zh-CN"/>
              </w:rPr>
            </w:pPr>
            <w:r>
              <w:rPr>
                <w:rFonts w:hint="eastAsia"/>
                <w:kern w:val="2"/>
              </w:rPr>
              <w:t>3、</w:t>
            </w:r>
            <w:r>
              <w:rPr>
                <w:kern w:val="2"/>
              </w:rPr>
              <w:t>拟安排的项目团队成员</w:t>
            </w:r>
            <w:r>
              <w:rPr>
                <w:rFonts w:hint="eastAsia"/>
                <w:kern w:val="2"/>
                <w:lang w:val="en-US" w:eastAsia="zh-CN"/>
              </w:rPr>
              <w:t>每提供</w:t>
            </w:r>
            <w:r>
              <w:rPr>
                <w:rFonts w:hint="eastAsia"/>
                <w:kern w:val="2"/>
              </w:rPr>
              <w:t>等保测评及等保测评顾问咨询服务</w:t>
            </w:r>
            <w:r>
              <w:rPr>
                <w:rFonts w:hint="eastAsia"/>
                <w:kern w:val="2"/>
                <w:lang w:val="en-US" w:eastAsia="zh-CN"/>
              </w:rPr>
              <w:t>相关</w:t>
            </w:r>
            <w:r>
              <w:rPr>
                <w:rFonts w:hint="eastAsia"/>
                <w:kern w:val="2"/>
              </w:rPr>
              <w:t>工作经验，得</w:t>
            </w:r>
            <w:r>
              <w:rPr>
                <w:rFonts w:hint="eastAsia"/>
                <w:kern w:val="2"/>
                <w:lang w:val="en-US" w:eastAsia="zh-CN"/>
              </w:rPr>
              <w:t>20</w:t>
            </w:r>
            <w:r>
              <w:rPr>
                <w:rFonts w:hint="eastAsia"/>
                <w:kern w:val="2"/>
              </w:rPr>
              <w:t>分</w:t>
            </w:r>
            <w:r>
              <w:rPr>
                <w:rFonts w:hint="eastAsia"/>
                <w:kern w:val="2"/>
                <w:lang w:eastAsia="zh-CN"/>
              </w:rPr>
              <w:t>，</w:t>
            </w:r>
            <w:r>
              <w:rPr>
                <w:rFonts w:hint="eastAsia"/>
                <w:kern w:val="2"/>
                <w:lang w:val="en-US" w:eastAsia="zh-CN"/>
              </w:rPr>
              <w:t>本小项最高得40分；</w:t>
            </w:r>
          </w:p>
          <w:p>
            <w:pPr>
              <w:keepNext w:val="0"/>
              <w:keepLines w:val="0"/>
              <w:widowControl/>
              <w:suppressLineNumbers w:val="0"/>
              <w:spacing w:before="0" w:beforeAutospacing="0" w:after="0" w:afterAutospacing="0"/>
              <w:ind w:left="0" w:right="0"/>
              <w:rPr>
                <w:kern w:val="2"/>
              </w:rPr>
            </w:pPr>
            <w:r>
              <w:rPr>
                <w:rFonts w:hint="eastAsia"/>
                <w:kern w:val="2"/>
              </w:rPr>
              <w:t>以上三项累计得分，最高得</w:t>
            </w:r>
            <w:r>
              <w:rPr>
                <w:kern w:val="2"/>
              </w:rPr>
              <w:t>100</w:t>
            </w:r>
            <w:r>
              <w:rPr>
                <w:rFonts w:hint="eastAsia"/>
                <w:kern w:val="2"/>
              </w:rPr>
              <w:t>分。</w:t>
            </w:r>
          </w:p>
          <w:p>
            <w:pPr>
              <w:keepNext w:val="0"/>
              <w:keepLines w:val="0"/>
              <w:widowControl/>
              <w:numPr>
                <w:ilvl w:val="255"/>
                <w:numId w:val="0"/>
              </w:numPr>
              <w:suppressLineNumbers w:val="0"/>
              <w:wordWrap w:val="0"/>
              <w:spacing w:before="0" w:beforeAutospacing="0" w:after="0" w:afterAutospacing="0" w:line="200" w:lineRule="atLeast"/>
              <w:ind w:left="0" w:right="0"/>
              <w:jc w:val="left"/>
              <w:rPr>
                <w:rFonts w:ascii="宋体" w:hAnsi="宋体" w:cs="宋体"/>
                <w:spacing w:val="-2"/>
                <w:kern w:val="2"/>
              </w:rPr>
            </w:pPr>
            <w:r>
              <w:rPr>
                <w:rFonts w:hint="eastAsia" w:ascii="宋体" w:hAnsi="宋体" w:cs="宋体"/>
                <w:spacing w:val="-2"/>
                <w:kern w:val="2"/>
              </w:rPr>
              <w:t>（二）评分标准：</w:t>
            </w:r>
          </w:p>
          <w:p>
            <w:pPr>
              <w:keepNext w:val="0"/>
              <w:keepLines w:val="0"/>
              <w:widowControl/>
              <w:numPr>
                <w:ilvl w:val="255"/>
                <w:numId w:val="0"/>
              </w:numPr>
              <w:suppressLineNumbers w:val="0"/>
              <w:wordWrap w:val="0"/>
              <w:spacing w:before="0" w:beforeAutospacing="0" w:after="0" w:afterAutospacing="0" w:line="200" w:lineRule="atLeast"/>
              <w:ind w:left="0" w:right="0"/>
              <w:jc w:val="left"/>
              <w:rPr>
                <w:rFonts w:ascii="宋体" w:hAnsi="宋体" w:cs="宋体"/>
                <w:spacing w:val="-2"/>
                <w:kern w:val="2"/>
              </w:rPr>
            </w:pPr>
            <w:r>
              <w:rPr>
                <w:rFonts w:hint="eastAsia" w:ascii="宋体" w:hAnsi="宋体" w:cs="宋体"/>
                <w:spacing w:val="-2"/>
                <w:kern w:val="2"/>
              </w:rPr>
              <w:t>1.提供开标日前由投标人为拟投入本项目的</w:t>
            </w:r>
            <w:r>
              <w:rPr>
                <w:rFonts w:hint="eastAsia" w:ascii="宋体" w:hAnsi="宋体" w:cs="宋体"/>
                <w:spacing w:val="-2"/>
                <w:kern w:val="2"/>
                <w:lang w:val="en-US" w:eastAsia="zh-CN"/>
              </w:rPr>
              <w:t>团队</w:t>
            </w:r>
            <w:r>
              <w:rPr>
                <w:rFonts w:hint="eastAsia" w:ascii="宋体" w:hAnsi="宋体" w:cs="宋体"/>
                <w:spacing w:val="-2"/>
                <w:kern w:val="2"/>
              </w:rPr>
              <w:t>缴交的载有政府部门公章（或专用章）的2025年</w:t>
            </w:r>
            <w:r>
              <w:rPr>
                <w:rFonts w:hint="eastAsia" w:ascii="宋体" w:hAnsi="宋体" w:cs="宋体"/>
                <w:spacing w:val="-2"/>
                <w:kern w:val="2"/>
                <w:lang w:val="en-US" w:eastAsia="zh-CN"/>
              </w:rPr>
              <w:t>5</w:t>
            </w:r>
            <w:r>
              <w:rPr>
                <w:rFonts w:hint="eastAsia" w:ascii="宋体" w:hAnsi="宋体" w:cs="宋体"/>
                <w:spacing w:val="-2"/>
                <w:kern w:val="2"/>
              </w:rPr>
              <w:t>月-</w:t>
            </w:r>
            <w:r>
              <w:rPr>
                <w:rFonts w:hint="eastAsia" w:ascii="宋体" w:hAnsi="宋体" w:cs="宋体"/>
                <w:spacing w:val="-2"/>
                <w:kern w:val="2"/>
                <w:lang w:val="en-US" w:eastAsia="zh-CN"/>
              </w:rPr>
              <w:t>7</w:t>
            </w:r>
            <w:r>
              <w:rPr>
                <w:rFonts w:hint="eastAsia" w:ascii="宋体" w:hAnsi="宋体" w:cs="宋体"/>
                <w:spacing w:val="-2"/>
                <w:kern w:val="2"/>
              </w:rPr>
              <w:t>月的社保缴交证明材料（已退休返聘人员需提供聘用合同），如开标日上一个月的社保材料因政府部门原因暂时无法取得，则可以往前顺延一个月；社保资料至少显示缴交养老保险信息，</w:t>
            </w:r>
            <w:bookmarkStart w:id="92" w:name="_GoBack"/>
            <w:bookmarkEnd w:id="92"/>
            <w:r>
              <w:rPr>
                <w:rFonts w:hint="eastAsia" w:ascii="宋体" w:hAnsi="宋体" w:cs="宋体"/>
                <w:spacing w:val="-2"/>
                <w:kern w:val="2"/>
              </w:rPr>
              <w:t>未显示该信息的该社保资料则不符合要求，原件备查。如供应商为新成立企业且成立时间不足3个月的，可提供加盖公章的情况说明或其他相关证明材料，原件备查。</w:t>
            </w:r>
          </w:p>
          <w:p>
            <w:pPr>
              <w:keepNext w:val="0"/>
              <w:keepLines w:val="0"/>
              <w:widowControl/>
              <w:suppressLineNumbers w:val="0"/>
              <w:wordWrap w:val="0"/>
              <w:spacing w:before="0" w:beforeAutospacing="0" w:after="0" w:afterAutospacing="0" w:line="200" w:lineRule="atLeast"/>
              <w:ind w:left="0" w:right="0"/>
              <w:jc w:val="left"/>
              <w:rPr>
                <w:rFonts w:ascii="宋体" w:hAnsi="宋体" w:cs="宋体"/>
                <w:spacing w:val="-2"/>
                <w:kern w:val="2"/>
              </w:rPr>
            </w:pPr>
            <w:r>
              <w:rPr>
                <w:rFonts w:hint="eastAsia" w:ascii="宋体" w:hAnsi="宋体" w:cs="宋体"/>
                <w:spacing w:val="-2"/>
                <w:kern w:val="2"/>
              </w:rPr>
              <w:t>2、提供毕业证书扫描件及相应证书在中国高等教育学生信息网（学信网）（https://www.chsi.com.cn/）官网查询截图或学历认证报告，对于较早颁发的学历证书学信网无法查询的，除要求提供毕业证书扫描件外，还应要求提供毕业院校或者人社部门出具的证明扫描件，国外学历证书提供教育部留学服务中心出具的国外学历认证书以及相应证书在教育部留学服务中心官网查询截图（查询网址：http://zwfw.cscse.edu.cn/）否则应作不得分处理；</w:t>
            </w:r>
          </w:p>
          <w:p>
            <w:pPr>
              <w:keepNext w:val="0"/>
              <w:keepLines w:val="0"/>
              <w:widowControl/>
              <w:suppressLineNumbers w:val="0"/>
              <w:wordWrap w:val="0"/>
              <w:spacing w:before="0" w:beforeAutospacing="0" w:after="0" w:afterAutospacing="0" w:line="200" w:lineRule="atLeast"/>
              <w:ind w:left="0" w:right="0"/>
              <w:jc w:val="left"/>
              <w:rPr>
                <w:rFonts w:hint="eastAsia" w:ascii="宋体" w:hAnsi="宋体" w:cs="宋体"/>
                <w:spacing w:val="-2"/>
                <w:kern w:val="2"/>
              </w:rPr>
            </w:pPr>
            <w:r>
              <w:rPr>
                <w:rFonts w:hint="eastAsia" w:ascii="宋体" w:hAnsi="宋体" w:cs="宋体"/>
                <w:spacing w:val="-2"/>
                <w:kern w:val="2"/>
              </w:rPr>
              <w:t>3.</w:t>
            </w:r>
            <w:r>
              <w:rPr>
                <w:rFonts w:hint="eastAsia" w:ascii="宋体" w:hAnsi="宋体" w:cs="宋体"/>
                <w:spacing w:val="-2"/>
                <w:kern w:val="2"/>
                <w:lang w:val="en-US" w:eastAsia="zh-CN"/>
              </w:rPr>
              <w:t>需</w:t>
            </w:r>
            <w:r>
              <w:rPr>
                <w:rFonts w:hint="eastAsia" w:ascii="宋体" w:hAnsi="宋体" w:cs="宋体"/>
                <w:spacing w:val="-2"/>
                <w:kern w:val="2"/>
              </w:rPr>
              <w:t>提供相关证书扫描件。</w:t>
            </w:r>
          </w:p>
          <w:p>
            <w:pPr>
              <w:keepNext w:val="0"/>
              <w:keepLines w:val="0"/>
              <w:widowControl/>
              <w:suppressLineNumbers w:val="0"/>
              <w:spacing w:before="0" w:beforeAutospacing="0" w:after="0" w:afterAutospacing="0"/>
              <w:ind w:left="0" w:right="0"/>
              <w:textAlignment w:val="center"/>
              <w:rPr>
                <w:rFonts w:hint="default" w:ascii="宋体" w:hAnsi="宋体" w:cs="宋体"/>
                <w:spacing w:val="-2"/>
                <w:kern w:val="2"/>
                <w:lang w:val="en-US" w:eastAsia="zh-CN"/>
              </w:rPr>
            </w:pPr>
            <w:r>
              <w:rPr>
                <w:rFonts w:hint="eastAsia" w:ascii="宋体" w:hAnsi="宋体" w:cs="宋体"/>
                <w:spacing w:val="-2"/>
                <w:kern w:val="2"/>
                <w:lang w:val="en-US" w:eastAsia="zh-CN"/>
              </w:rPr>
              <w:t>4.工作经验提供合同关键页扫描件，需体现人员名单，若无法体现还需提供加盖甲方公章或业务章的证明文件扫描件。</w:t>
            </w:r>
          </w:p>
          <w:p>
            <w:pPr>
              <w:keepNext w:val="0"/>
              <w:keepLines w:val="0"/>
              <w:widowControl/>
              <w:suppressLineNumbers w:val="0"/>
              <w:wordWrap w:val="0"/>
              <w:spacing w:before="0" w:beforeAutospacing="0" w:after="0" w:afterAutospacing="0" w:line="200" w:lineRule="atLeast"/>
              <w:ind w:left="0" w:right="0"/>
              <w:jc w:val="left"/>
              <w:rPr>
                <w:rFonts w:ascii="宋体" w:hAnsi="宋体" w:cs="宋体"/>
                <w:spacing w:val="-2"/>
                <w:kern w:val="2"/>
              </w:rPr>
            </w:pPr>
            <w:r>
              <w:rPr>
                <w:rFonts w:hint="eastAsia" w:ascii="宋体" w:hAnsi="宋体" w:cs="宋体"/>
                <w:spacing w:val="-2"/>
                <w:kern w:val="2"/>
                <w:lang w:val="en-US" w:eastAsia="zh-CN"/>
              </w:rPr>
              <w:t>5</w:t>
            </w:r>
            <w:r>
              <w:rPr>
                <w:rFonts w:hint="eastAsia" w:ascii="宋体" w:hAnsi="宋体" w:cs="宋体"/>
                <w:spacing w:val="-2"/>
                <w:kern w:val="2"/>
              </w:rPr>
              <w:t>.未按要求提供或提供不清晰导致评委无法判断的不得分。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restart"/>
            <w:tcBorders>
              <w:top w:val="single" w:color="000000" w:sz="8" w:space="0"/>
              <w:left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b/>
                <w:bCs/>
                <w:color w:val="0000FF"/>
                <w:kern w:val="2"/>
              </w:rPr>
              <w:t>3</w:t>
            </w:r>
          </w:p>
        </w:tc>
        <w:tc>
          <w:tcPr>
            <w:tcW w:w="4483" w:type="dxa"/>
            <w:gridSpan w:val="3"/>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rFonts w:hint="eastAsia" w:ascii="宋体" w:hAnsi="宋体" w:cs="宋体"/>
                <w:b/>
                <w:bCs/>
                <w:color w:val="0000FF"/>
                <w:kern w:val="2"/>
                <w:sz w:val="24"/>
              </w:rPr>
              <w:t>商务部分</w:t>
            </w:r>
          </w:p>
        </w:tc>
        <w:tc>
          <w:tcPr>
            <w:tcW w:w="4171"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rFonts w:hint="eastAsia" w:ascii="宋体" w:hAnsi="宋体" w:cs="宋体"/>
                <w:b/>
                <w:bCs/>
                <w:color w:val="0000FF"/>
                <w:kern w:val="2"/>
                <w:sz w:val="24"/>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continue"/>
            <w:tcBorders>
              <w:left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8654" w:type="dxa"/>
            <w:gridSpan w:val="4"/>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rFonts w:ascii="宋体" w:hAnsi="宋体" w:cs="宋体"/>
                <w:kern w:val="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continue"/>
            <w:tcBorders>
              <w:left w:val="single" w:color="000000" w:sz="8" w:space="0"/>
              <w:right w:val="single" w:color="000000" w:sz="8" w:space="0"/>
            </w:tcBorders>
            <w:shd w:val="clear" w:color="auto" w:fill="E6EFFA"/>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序号</w:t>
            </w:r>
          </w:p>
        </w:tc>
        <w:tc>
          <w:tcPr>
            <w:tcW w:w="3028"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评分因素</w:t>
            </w:r>
          </w:p>
        </w:tc>
        <w:tc>
          <w:tcPr>
            <w:tcW w:w="728"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权重(%)</w:t>
            </w:r>
          </w:p>
        </w:tc>
        <w:tc>
          <w:tcPr>
            <w:tcW w:w="417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continue"/>
            <w:tcBorders>
              <w:left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rFonts w:hint="eastAsia" w:ascii="宋体" w:hAnsi="宋体" w:eastAsia="宋体" w:cs="宋体"/>
                <w:kern w:val="2"/>
                <w:szCs w:val="21"/>
                <w:lang w:eastAsia="zh-CN"/>
              </w:rPr>
            </w:pPr>
            <w:r>
              <w:rPr>
                <w:rFonts w:hint="eastAsia" w:ascii="宋体" w:hAnsi="宋体" w:eastAsia="宋体" w:cs="宋体"/>
                <w:kern w:val="2"/>
                <w:szCs w:val="21"/>
                <w:lang w:val="en-US" w:eastAsia="zh-CN"/>
              </w:rPr>
              <w:t>1</w:t>
            </w:r>
          </w:p>
        </w:tc>
        <w:tc>
          <w:tcPr>
            <w:tcW w:w="30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同类项目业绩</w:t>
            </w:r>
          </w:p>
        </w:tc>
        <w:tc>
          <w:tcPr>
            <w:tcW w:w="7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cs="宋体"/>
                <w:kern w:val="2"/>
                <w:szCs w:val="21"/>
              </w:rPr>
              <w:t>5</w:t>
            </w:r>
          </w:p>
        </w:tc>
        <w:tc>
          <w:tcPr>
            <w:tcW w:w="417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b/>
                <w:bCs/>
                <w:kern w:val="2"/>
              </w:rPr>
            </w:pPr>
            <w:r>
              <w:rPr>
                <w:rFonts w:hint="eastAsia"/>
                <w:b/>
                <w:bCs/>
                <w:kern w:val="2"/>
              </w:rPr>
              <w:t>（一）评分内容：</w:t>
            </w:r>
          </w:p>
          <w:p>
            <w:pPr>
              <w:keepNext w:val="0"/>
              <w:keepLines w:val="0"/>
              <w:widowControl/>
              <w:suppressLineNumbers w:val="0"/>
              <w:spacing w:before="0" w:beforeAutospacing="0" w:after="0" w:afterAutospacing="0"/>
              <w:ind w:left="0" w:right="0"/>
              <w:rPr>
                <w:kern w:val="2"/>
              </w:rPr>
            </w:pPr>
            <w:r>
              <w:rPr>
                <w:rFonts w:hint="eastAsia"/>
                <w:kern w:val="2"/>
              </w:rPr>
              <w:t>投标人</w:t>
            </w:r>
            <w:r>
              <w:rPr>
                <w:kern w:val="2"/>
              </w:rPr>
              <w:t>2021</w:t>
            </w:r>
            <w:r>
              <w:rPr>
                <w:rFonts w:hint="eastAsia"/>
                <w:kern w:val="2"/>
              </w:rPr>
              <w:t>年</w:t>
            </w:r>
            <w:r>
              <w:rPr>
                <w:kern w:val="2"/>
              </w:rPr>
              <w:t>1</w:t>
            </w:r>
            <w:r>
              <w:rPr>
                <w:rFonts w:hint="eastAsia"/>
                <w:kern w:val="2"/>
              </w:rPr>
              <w:t>月</w:t>
            </w:r>
            <w:r>
              <w:rPr>
                <w:kern w:val="2"/>
              </w:rPr>
              <w:t>1</w:t>
            </w:r>
            <w:r>
              <w:rPr>
                <w:rFonts w:hint="eastAsia"/>
                <w:kern w:val="2"/>
              </w:rPr>
              <w:t>日至本项目投标截止日前（以合同签订日期为准）具有等级保护测评项目同类案例，每提供一个案例得25分，最高得</w:t>
            </w:r>
            <w:r>
              <w:rPr>
                <w:kern w:val="2"/>
              </w:rPr>
              <w:t>100</w:t>
            </w:r>
            <w:r>
              <w:rPr>
                <w:rFonts w:hint="eastAsia"/>
                <w:kern w:val="2"/>
              </w:rPr>
              <w:t>分。</w:t>
            </w:r>
          </w:p>
          <w:p>
            <w:pPr>
              <w:keepNext w:val="0"/>
              <w:keepLines w:val="0"/>
              <w:widowControl/>
              <w:suppressLineNumbers w:val="0"/>
              <w:spacing w:before="0" w:beforeAutospacing="0" w:after="0" w:afterAutospacing="0"/>
              <w:ind w:left="0" w:right="0"/>
              <w:rPr>
                <w:b/>
                <w:bCs/>
                <w:kern w:val="2"/>
              </w:rPr>
            </w:pPr>
            <w:r>
              <w:rPr>
                <w:rFonts w:hint="eastAsia"/>
                <w:b/>
                <w:bCs/>
                <w:kern w:val="2"/>
              </w:rPr>
              <w:t>（二）评分依据：</w:t>
            </w:r>
          </w:p>
          <w:p>
            <w:pPr>
              <w:keepNext w:val="0"/>
              <w:keepLines w:val="0"/>
              <w:widowControl/>
              <w:suppressLineNumbers w:val="0"/>
              <w:spacing w:before="0" w:beforeAutospacing="0" w:after="0" w:afterAutospacing="0"/>
              <w:ind w:left="0" w:right="0"/>
              <w:rPr>
                <w:rFonts w:ascii="宋体" w:hAnsi="Courier New"/>
                <w:kern w:val="2"/>
                <w:szCs w:val="20"/>
              </w:rPr>
            </w:pPr>
            <w:r>
              <w:rPr>
                <w:rFonts w:hint="eastAsia" w:ascii="宋体" w:hAnsi="Courier New"/>
                <w:kern w:val="2"/>
                <w:szCs w:val="20"/>
              </w:rPr>
              <w:t>提供合同关键页【包括但不限于项目（合同）名称、服务内容、签订日期、合同双方签字盖章页】；</w:t>
            </w:r>
          </w:p>
          <w:p>
            <w:pPr>
              <w:keepNext w:val="0"/>
              <w:keepLines w:val="0"/>
              <w:widowControl/>
              <w:suppressLineNumbers w:val="0"/>
              <w:snapToGrid w:val="0"/>
              <w:spacing w:before="0" w:beforeAutospacing="0" w:after="0" w:afterAutospacing="0"/>
              <w:ind w:left="0" w:right="0"/>
              <w:jc w:val="left"/>
              <w:rPr>
                <w:rFonts w:ascii="宋体" w:hAnsi="宋体" w:cs="宋体"/>
                <w:kern w:val="2"/>
                <w:szCs w:val="21"/>
              </w:rPr>
            </w:pPr>
            <w:r>
              <w:rPr>
                <w:rFonts w:hint="eastAsia" w:ascii="宋体" w:hAnsi="Courier New"/>
                <w:kern w:val="2"/>
                <w:szCs w:val="20"/>
              </w:rPr>
              <w:t>以上资料原件备查。评分中出现无证明资料或专家无法凭所提供资料判断是否得分的情况，一律作不得分处理。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tcBorders>
              <w:left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rFonts w:hint="eastAsia" w:ascii="宋体" w:hAnsi="宋体" w:eastAsia="宋体" w:cs="宋体"/>
                <w:kern w:val="2"/>
                <w:szCs w:val="21"/>
                <w:lang w:eastAsia="zh-CN"/>
              </w:rPr>
            </w:pPr>
            <w:r>
              <w:rPr>
                <w:rFonts w:hint="eastAsia" w:ascii="宋体" w:hAnsi="宋体" w:eastAsia="宋体" w:cs="宋体"/>
                <w:kern w:val="2"/>
                <w:szCs w:val="21"/>
                <w:lang w:val="en-US" w:eastAsia="zh-CN"/>
              </w:rPr>
              <w:t>2</w:t>
            </w:r>
          </w:p>
        </w:tc>
        <w:tc>
          <w:tcPr>
            <w:tcW w:w="30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rFonts w:hint="eastAsia" w:ascii="宋体" w:hAnsi="宋体"/>
                <w:kern w:val="2"/>
                <w:szCs w:val="21"/>
              </w:rPr>
              <w:t>供应商自主知识产权产品（创新、设计）情况</w:t>
            </w:r>
          </w:p>
        </w:tc>
        <w:tc>
          <w:tcPr>
            <w:tcW w:w="72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2"/>
                <w:szCs w:val="21"/>
                <w:lang w:val="en-US" w:eastAsia="zh-CN"/>
              </w:rPr>
            </w:pPr>
            <w:r>
              <w:rPr>
                <w:rFonts w:hint="eastAsia" w:ascii="宋体" w:hAnsi="宋体" w:eastAsia="宋体" w:cs="宋体"/>
                <w:kern w:val="2"/>
                <w:szCs w:val="21"/>
                <w:lang w:val="en-US" w:eastAsia="zh-CN"/>
              </w:rPr>
              <w:t>20</w:t>
            </w:r>
          </w:p>
        </w:tc>
        <w:tc>
          <w:tcPr>
            <w:tcW w:w="417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b/>
                <w:bCs/>
                <w:kern w:val="2"/>
              </w:rPr>
            </w:pPr>
            <w:r>
              <w:rPr>
                <w:rFonts w:hint="eastAsia"/>
                <w:b/>
                <w:bCs/>
                <w:kern w:val="2"/>
              </w:rPr>
              <w:t>（一）评分内容：</w:t>
            </w:r>
          </w:p>
          <w:p>
            <w:pPr>
              <w:keepNext w:val="0"/>
              <w:keepLines w:val="0"/>
              <w:widowControl/>
              <w:suppressLineNumbers w:val="0"/>
              <w:spacing w:before="0" w:beforeAutospacing="0" w:after="0" w:afterAutospacing="0"/>
              <w:ind w:left="0" w:right="0"/>
              <w:rPr>
                <w:kern w:val="2"/>
              </w:rPr>
            </w:pPr>
            <w:r>
              <w:rPr>
                <w:kern w:val="2"/>
              </w:rPr>
              <w:t>1)</w:t>
            </w:r>
            <w:r>
              <w:rPr>
                <w:rFonts w:hint="eastAsia"/>
                <w:kern w:val="2"/>
              </w:rPr>
              <w:t>投标人具有信息安全等级保护安全配置核查系统类别的计算机软件著作权登记证书；</w:t>
            </w:r>
          </w:p>
          <w:p>
            <w:pPr>
              <w:keepNext w:val="0"/>
              <w:keepLines w:val="0"/>
              <w:widowControl/>
              <w:suppressLineNumbers w:val="0"/>
              <w:spacing w:before="0" w:beforeAutospacing="0" w:after="0" w:afterAutospacing="0"/>
              <w:ind w:left="0" w:right="0"/>
              <w:rPr>
                <w:kern w:val="2"/>
              </w:rPr>
            </w:pPr>
            <w:r>
              <w:rPr>
                <w:kern w:val="2"/>
              </w:rPr>
              <w:t>2</w:t>
            </w:r>
            <w:r>
              <w:rPr>
                <w:rFonts w:hint="eastAsia"/>
                <w:kern w:val="2"/>
              </w:rPr>
              <w:t>）投标人具有信息系统安全等级保护测评系统类别的计算机软件著作权登记证书；</w:t>
            </w:r>
          </w:p>
          <w:p>
            <w:pPr>
              <w:keepNext w:val="0"/>
              <w:keepLines w:val="0"/>
              <w:widowControl/>
              <w:suppressLineNumbers w:val="0"/>
              <w:spacing w:before="0" w:beforeAutospacing="0" w:after="0" w:afterAutospacing="0"/>
              <w:ind w:left="0" w:right="0"/>
              <w:rPr>
                <w:kern w:val="2"/>
              </w:rPr>
            </w:pPr>
            <w:r>
              <w:rPr>
                <w:kern w:val="2"/>
              </w:rPr>
              <w:t>3</w:t>
            </w:r>
            <w:r>
              <w:rPr>
                <w:rFonts w:hint="eastAsia"/>
                <w:kern w:val="2"/>
              </w:rPr>
              <w:t>）投标人具有网络系统安全性检测风险分析系统类别的计算机软件著作权登记证书；</w:t>
            </w:r>
          </w:p>
          <w:p>
            <w:pPr>
              <w:keepNext w:val="0"/>
              <w:keepLines w:val="0"/>
              <w:widowControl/>
              <w:suppressLineNumbers w:val="0"/>
              <w:spacing w:before="0" w:beforeAutospacing="0" w:after="0" w:afterAutospacing="0"/>
              <w:ind w:left="0" w:right="0"/>
              <w:rPr>
                <w:kern w:val="2"/>
              </w:rPr>
            </w:pPr>
            <w:r>
              <w:rPr>
                <w:kern w:val="2"/>
              </w:rPr>
              <w:t>4</w:t>
            </w:r>
            <w:r>
              <w:rPr>
                <w:rFonts w:hint="eastAsia"/>
                <w:kern w:val="2"/>
              </w:rPr>
              <w:t>）投标人具有网络信息安全漏洞检测配置管理系统类别的计算机软件著作权登记证书；</w:t>
            </w:r>
          </w:p>
          <w:p>
            <w:pPr>
              <w:keepNext w:val="0"/>
              <w:keepLines w:val="0"/>
              <w:widowControl/>
              <w:suppressLineNumbers w:val="0"/>
              <w:spacing w:before="0" w:beforeAutospacing="0" w:after="0" w:afterAutospacing="0"/>
              <w:ind w:left="0" w:right="0"/>
              <w:rPr>
                <w:rFonts w:ascii="宋体" w:hAnsi="宋体"/>
                <w:color w:val="000000"/>
                <w:kern w:val="2"/>
                <w:szCs w:val="21"/>
              </w:rPr>
            </w:pPr>
            <w:r>
              <w:rPr>
                <w:rFonts w:hint="eastAsia"/>
                <w:kern w:val="2"/>
              </w:rPr>
              <w:t>5）</w:t>
            </w:r>
            <w:r>
              <w:rPr>
                <w:rFonts w:hint="eastAsia" w:ascii="宋体" w:hAnsi="宋体"/>
                <w:color w:val="000000"/>
                <w:kern w:val="2"/>
                <w:szCs w:val="21"/>
              </w:rPr>
              <w:t xml:space="preserve">投标人具有网络设备安全检测系统类别的计算机软件著作权登记证书； </w:t>
            </w:r>
          </w:p>
          <w:p>
            <w:pPr>
              <w:keepNext w:val="0"/>
              <w:keepLines w:val="0"/>
              <w:widowControl/>
              <w:suppressLineNumbers w:val="0"/>
              <w:spacing w:before="0" w:beforeAutospacing="0" w:after="0" w:afterAutospacing="0"/>
              <w:ind w:left="0" w:right="0"/>
              <w:rPr>
                <w:rFonts w:ascii="宋体" w:hAnsi="宋体"/>
                <w:color w:val="000000"/>
                <w:kern w:val="2"/>
                <w:szCs w:val="21"/>
              </w:rPr>
            </w:pPr>
            <w:r>
              <w:rPr>
                <w:rFonts w:hint="eastAsia"/>
                <w:kern w:val="2"/>
              </w:rPr>
              <w:t>6）</w:t>
            </w:r>
            <w:r>
              <w:rPr>
                <w:rFonts w:hint="eastAsia" w:ascii="宋体" w:hAnsi="宋体"/>
                <w:color w:val="000000"/>
                <w:kern w:val="2"/>
                <w:szCs w:val="21"/>
              </w:rPr>
              <w:t>投标人具有网络故障诊断系统类别的计算机软件著作权登记证书；</w:t>
            </w:r>
          </w:p>
          <w:p>
            <w:pPr>
              <w:keepNext w:val="0"/>
              <w:keepLines w:val="0"/>
              <w:widowControl/>
              <w:suppressLineNumbers w:val="0"/>
              <w:spacing w:before="0" w:beforeAutospacing="0" w:after="0" w:afterAutospacing="0"/>
              <w:ind w:left="0" w:right="0"/>
              <w:rPr>
                <w:rFonts w:ascii="宋体" w:hAnsi="宋体"/>
                <w:color w:val="000000"/>
                <w:kern w:val="2"/>
                <w:szCs w:val="21"/>
              </w:rPr>
            </w:pPr>
            <w:r>
              <w:rPr>
                <w:rFonts w:hint="eastAsia"/>
                <w:kern w:val="2"/>
              </w:rPr>
              <w:t>7）</w:t>
            </w:r>
            <w:r>
              <w:rPr>
                <w:rFonts w:hint="eastAsia" w:ascii="宋体" w:hAnsi="宋体"/>
                <w:color w:val="000000"/>
                <w:kern w:val="2"/>
                <w:szCs w:val="21"/>
              </w:rPr>
              <w:t>投标人具有移动终端网络信息安全检测系统类别的计算机软件著作权登记证书；</w:t>
            </w:r>
          </w:p>
          <w:p>
            <w:pPr>
              <w:keepNext w:val="0"/>
              <w:keepLines w:val="0"/>
              <w:widowControl/>
              <w:suppressLineNumbers w:val="0"/>
              <w:spacing w:before="0" w:beforeAutospacing="0" w:after="0" w:afterAutospacing="0"/>
              <w:ind w:left="0" w:right="0"/>
              <w:rPr>
                <w:kern w:val="2"/>
              </w:rPr>
            </w:pPr>
            <w:r>
              <w:rPr>
                <w:rFonts w:hint="eastAsia"/>
                <w:kern w:val="2"/>
              </w:rPr>
              <w:t>8）</w:t>
            </w:r>
            <w:r>
              <w:rPr>
                <w:rFonts w:hint="eastAsia" w:ascii="宋体" w:hAnsi="宋体"/>
                <w:color w:val="000000"/>
                <w:kern w:val="2"/>
                <w:szCs w:val="21"/>
              </w:rPr>
              <w:t>投标人具有利用路由加密的数据防泄漏相关的发明专利证书；</w:t>
            </w:r>
          </w:p>
          <w:p>
            <w:pPr>
              <w:keepNext w:val="0"/>
              <w:keepLines w:val="0"/>
              <w:widowControl/>
              <w:suppressLineNumbers w:val="0"/>
              <w:spacing w:before="0" w:beforeAutospacing="0" w:after="0" w:afterAutospacing="0"/>
              <w:ind w:left="0" w:right="0"/>
              <w:rPr>
                <w:kern w:val="2"/>
              </w:rPr>
            </w:pPr>
            <w:r>
              <w:rPr>
                <w:rFonts w:hint="eastAsia"/>
                <w:kern w:val="2"/>
              </w:rPr>
              <w:t>投标人每满足以上一项要求的，得</w:t>
            </w:r>
            <w:r>
              <w:rPr>
                <w:kern w:val="2"/>
              </w:rPr>
              <w:t>12.5</w:t>
            </w:r>
            <w:r>
              <w:rPr>
                <w:rFonts w:hint="eastAsia"/>
                <w:kern w:val="2"/>
              </w:rPr>
              <w:t>分，最多得</w:t>
            </w:r>
            <w:r>
              <w:rPr>
                <w:kern w:val="2"/>
              </w:rPr>
              <w:t>100</w:t>
            </w:r>
            <w:r>
              <w:rPr>
                <w:rFonts w:hint="eastAsia"/>
                <w:kern w:val="2"/>
              </w:rPr>
              <w:t>分。</w:t>
            </w:r>
          </w:p>
          <w:p>
            <w:pPr>
              <w:keepNext w:val="0"/>
              <w:keepLines w:val="0"/>
              <w:widowControl/>
              <w:suppressLineNumbers w:val="0"/>
              <w:spacing w:before="0" w:beforeAutospacing="0" w:after="0" w:afterAutospacing="0"/>
              <w:ind w:left="0" w:right="0"/>
              <w:rPr>
                <w:b/>
                <w:bCs/>
                <w:kern w:val="2"/>
              </w:rPr>
            </w:pPr>
            <w:r>
              <w:rPr>
                <w:rFonts w:hint="eastAsia"/>
                <w:b/>
                <w:bCs/>
                <w:kern w:val="2"/>
              </w:rPr>
              <w:t>（二）评分依据：</w:t>
            </w:r>
          </w:p>
          <w:p>
            <w:pPr>
              <w:keepNext w:val="0"/>
              <w:keepLines w:val="0"/>
              <w:widowControl/>
              <w:suppressLineNumbers w:val="0"/>
              <w:spacing w:before="0" w:beforeAutospacing="0" w:after="0" w:afterAutospacing="0"/>
              <w:ind w:left="0" w:right="0"/>
              <w:textAlignment w:val="center"/>
              <w:rPr>
                <w:rFonts w:ascii="宋体" w:hAnsi="宋体" w:cs="宋体"/>
                <w:color w:val="000000"/>
                <w:kern w:val="0"/>
                <w:szCs w:val="21"/>
              </w:rPr>
            </w:pPr>
            <w:r>
              <w:rPr>
                <w:rFonts w:hint="eastAsia" w:ascii="宋体" w:hAnsi="宋体" w:cs="宋体"/>
                <w:color w:val="000000"/>
                <w:kern w:val="2"/>
                <w:szCs w:val="21"/>
              </w:rPr>
              <w:t>1、自主开发的证书（著作权人或专利权人为投标人），原件备查；</w:t>
            </w:r>
          </w:p>
          <w:p>
            <w:pPr>
              <w:keepNext w:val="0"/>
              <w:keepLines w:val="0"/>
              <w:widowControl/>
              <w:suppressLineNumbers w:val="0"/>
              <w:spacing w:before="0" w:beforeAutospacing="0" w:after="0" w:afterAutospacing="0"/>
              <w:ind w:left="0" w:right="0"/>
              <w:textAlignment w:val="center"/>
              <w:rPr>
                <w:rFonts w:ascii="宋体" w:hAnsi="宋体" w:cs="宋体"/>
                <w:color w:val="000000"/>
                <w:kern w:val="2"/>
                <w:szCs w:val="21"/>
              </w:rPr>
            </w:pPr>
            <w:r>
              <w:rPr>
                <w:rFonts w:hint="eastAsia" w:ascii="宋体" w:hAnsi="宋体" w:cs="宋体"/>
                <w:color w:val="000000"/>
                <w:kern w:val="2"/>
                <w:szCs w:val="21"/>
              </w:rPr>
              <w:t>2、购买或租赁的提供证书（著作权人或专利权人为出售/出租方）和购买合同（或租赁合同）。</w:t>
            </w:r>
          </w:p>
          <w:p>
            <w:pPr>
              <w:keepNext w:val="0"/>
              <w:keepLines w:val="0"/>
              <w:widowControl/>
              <w:suppressLineNumbers w:val="0"/>
              <w:snapToGrid w:val="0"/>
              <w:spacing w:before="0" w:beforeAutospacing="0" w:after="0" w:afterAutospacing="0"/>
              <w:ind w:left="0" w:right="0"/>
              <w:jc w:val="left"/>
              <w:rPr>
                <w:rFonts w:ascii="宋体" w:hAnsi="宋体" w:cs="宋体"/>
                <w:kern w:val="2"/>
                <w:szCs w:val="21"/>
              </w:rPr>
            </w:pPr>
            <w:r>
              <w:rPr>
                <w:rFonts w:hint="eastAsia" w:ascii="宋体" w:hAnsi="宋体" w:cs="宋体"/>
                <w:color w:val="000000"/>
                <w:kern w:val="2"/>
                <w:szCs w:val="21"/>
              </w:rPr>
              <w:t>提供以上证书扫描件，原件备查。评分中出现无证明资料或专家无法凭所提供资料判断是否得分的情况，一律作不得分处理。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restart"/>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b/>
                <w:bCs/>
                <w:color w:val="0000FF"/>
                <w:kern w:val="2"/>
              </w:rPr>
              <w:t>4</w:t>
            </w:r>
          </w:p>
        </w:tc>
        <w:tc>
          <w:tcPr>
            <w:tcW w:w="4483" w:type="dxa"/>
            <w:gridSpan w:val="3"/>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b/>
                <w:bCs/>
                <w:color w:val="0000FF"/>
                <w:kern w:val="2"/>
              </w:rPr>
              <w:t>诚信情况</w:t>
            </w:r>
          </w:p>
        </w:tc>
        <w:tc>
          <w:tcPr>
            <w:tcW w:w="4171"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b/>
                <w:bCs/>
                <w:color w:val="0000FF"/>
                <w:kern w:val="2"/>
                <w:sz w:val="24"/>
              </w:rPr>
            </w:pPr>
            <w:r>
              <w:rPr>
                <w:b/>
                <w:bCs/>
                <w:color w:val="0000FF"/>
                <w:kern w:val="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8654" w:type="dxa"/>
            <w:gridSpan w:val="4"/>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rFonts w:ascii="宋体" w:hAnsi="宋体" w:cs="宋体"/>
                <w:kern w:val="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序号</w:t>
            </w:r>
          </w:p>
        </w:tc>
        <w:tc>
          <w:tcPr>
            <w:tcW w:w="3028"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评分因素</w:t>
            </w:r>
          </w:p>
        </w:tc>
        <w:tc>
          <w:tcPr>
            <w:tcW w:w="728"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权重(%)</w:t>
            </w:r>
          </w:p>
        </w:tc>
        <w:tc>
          <w:tcPr>
            <w:tcW w:w="417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727"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1</w:t>
            </w:r>
          </w:p>
        </w:tc>
        <w:tc>
          <w:tcPr>
            <w:tcW w:w="3028"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rFonts w:ascii="宋体" w:hAnsi="宋体" w:cs="宋体"/>
                <w:kern w:val="2"/>
                <w:szCs w:val="21"/>
              </w:rPr>
            </w:pPr>
            <w:r>
              <w:rPr>
                <w:kern w:val="2"/>
                <w:szCs w:val="21"/>
              </w:rPr>
              <w:t>诚信情况</w:t>
            </w:r>
          </w:p>
        </w:tc>
        <w:tc>
          <w:tcPr>
            <w:tcW w:w="728"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rPr>
                <w:rFonts w:ascii="宋体" w:hAnsi="宋体" w:cs="宋体"/>
                <w:kern w:val="2"/>
                <w:szCs w:val="21"/>
              </w:rPr>
            </w:pPr>
            <w:r>
              <w:rPr>
                <w:kern w:val="2"/>
                <w:szCs w:val="21"/>
              </w:rPr>
              <w:t>5</w:t>
            </w:r>
          </w:p>
        </w:tc>
        <w:tc>
          <w:tcPr>
            <w:tcW w:w="4171"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b/>
                <w:bCs/>
                <w:kern w:val="2"/>
              </w:rPr>
            </w:pPr>
            <w:r>
              <w:rPr>
                <w:rFonts w:hint="eastAsia"/>
                <w:b/>
                <w:bCs/>
                <w:kern w:val="2"/>
              </w:rPr>
              <w:t>考察内容：</w:t>
            </w:r>
          </w:p>
          <w:p>
            <w:pPr>
              <w:keepNext w:val="0"/>
              <w:keepLines w:val="0"/>
              <w:pageBreakBefore w:val="0"/>
              <w:widowControl w:val="0"/>
              <w:numPr>
                <w:ilvl w:val="0"/>
                <w:numId w:val="0"/>
              </w:numPr>
              <w:suppressLineNumbers w:val="0"/>
              <w:tabs>
                <w:tab w:val="left" w:pos="312"/>
              </w:tabs>
              <w:kinsoku/>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keepNext w:val="0"/>
              <w:keepLines w:val="0"/>
              <w:widowControl/>
              <w:suppressLineNumbers w:val="0"/>
              <w:spacing w:before="0" w:beforeAutospacing="0" w:after="0" w:afterAutospacing="0"/>
              <w:ind w:left="0" w:right="0"/>
              <w:rPr>
                <w:rFonts w:ascii="宋体" w:hAnsi="宋体" w:cs="宋体"/>
                <w:kern w:val="2"/>
                <w:szCs w:val="21"/>
              </w:rPr>
            </w:pPr>
            <w:r>
              <w:rPr>
                <w:rFonts w:hint="eastAsia" w:asciiTheme="minorEastAsia" w:hAnsiTheme="minorEastAsia" w:eastAsiaTheme="minorEastAsia" w:cstheme="minor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rPr>
                <w:rFonts w:ascii="宋体" w:hAnsi="宋体" w:cs="宋体"/>
                <w:b/>
                <w:bCs/>
                <w:color w:val="0000FF"/>
                <w:kern w:val="2"/>
                <w:sz w:val="24"/>
              </w:rPr>
            </w:pPr>
          </w:p>
        </w:tc>
        <w:tc>
          <w:tcPr>
            <w:tcW w:w="8654" w:type="dxa"/>
            <w:gridSpan w:val="4"/>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rPr>
                <w:rFonts w:ascii="宋体" w:hAnsi="宋体" w:cs="宋体"/>
                <w:kern w:val="2"/>
                <w:szCs w:val="21"/>
              </w:rPr>
            </w:pPr>
          </w:p>
        </w:tc>
      </w:tr>
    </w:tbl>
    <w:p>
      <w:pPr>
        <w:pStyle w:val="17"/>
        <w:rPr>
          <w:sz w:val="120"/>
          <w:szCs w:val="120"/>
        </w:rPr>
      </w:pPr>
    </w:p>
    <w:p>
      <w:pPr>
        <w:pStyle w:val="17"/>
        <w:rPr>
          <w:sz w:val="120"/>
          <w:szCs w:val="120"/>
        </w:rPr>
      </w:pPr>
    </w:p>
    <w:p>
      <w:pPr>
        <w:pStyle w:val="17"/>
        <w:rPr>
          <w:rFonts w:hint="eastAsia"/>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hint="eastAsia"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4"/>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rPr>
        <w:t>，</w:t>
      </w:r>
      <w:bookmarkStart w:id="2" w:name="OLE_LINK7"/>
      <w:r>
        <w:rPr>
          <w:rFonts w:hint="eastAsia" w:ascii="宋体" w:hAnsi="宋体" w:cs="宋体"/>
          <w:color w:val="FF0000"/>
          <w:kern w:val="0"/>
          <w:szCs w:val="21"/>
        </w:rPr>
        <w:t>不接受投标人选用进口产品参与投标，详见招标文件“第三章 用户需求书”</w:t>
      </w:r>
      <w:bookmarkEnd w:id="2"/>
      <w:r>
        <w:rPr>
          <w:rFonts w:hint="eastAsia" w:ascii="宋体" w:hAnsi="宋体" w:cs="宋体"/>
          <w:color w:val="FF0000"/>
          <w:kern w:val="0"/>
          <w:szCs w:val="21"/>
        </w:rPr>
        <w:t>；</w:t>
      </w:r>
      <w:bookmarkEnd w:id="0"/>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pPr>
        <w:ind w:firstLine="630" w:firstLineChars="300"/>
        <w:rPr>
          <w:rFonts w:hint="eastAsia" w:ascii="宋体" w:hAnsi="宋体" w:eastAsia="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pPr>
        <w:ind w:firstLine="630" w:firstLineChars="300"/>
        <w:rPr>
          <w:rFonts w:hint="eastAsia" w:ascii="宋体" w:hAnsi="宋体" w:cs="宋体"/>
          <w:kern w:val="0"/>
          <w:szCs w:val="21"/>
          <w:highlight w:val="yellow"/>
        </w:rPr>
      </w:pPr>
      <w:r>
        <w:rPr>
          <w:rFonts w:hint="eastAsia" w:ascii="宋体" w:hAnsi="宋体" w:cs="宋体"/>
          <w:kern w:val="0"/>
          <w:szCs w:val="21"/>
          <w:highlight w:val="yellow"/>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9.本项目是（否）专门面向中小企业采购：否。</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w:t>
      </w:r>
      <w:r>
        <w:rPr>
          <w:rFonts w:hint="default" w:ascii="Arial" w:hAnsi="Arial" w:eastAsia="宋体" w:cs="Times New Roman"/>
          <w:kern w:val="2"/>
          <w:sz w:val="24"/>
          <w:szCs w:val="24"/>
        </w:rPr>
        <w:t>重</w:t>
      </w:r>
      <w:r>
        <w:rPr>
          <w:rFonts w:hint="eastAsia" w:ascii="宋体" w:hAnsi="宋体" w:cs="宋体"/>
          <w:kern w:val="0"/>
          <w:szCs w:val="21"/>
        </w:rPr>
        <w:t>违法失信行为记录名单”，以及“深圳市政府采购监管网”（http://zfcg.sz.gov.cn）为供应商信用信息的查询渠道，相关信息以开标当日的查询结果为准；</w:t>
      </w:r>
    </w:p>
    <w:p>
      <w:pPr>
        <w:ind w:firstLine="420" w:firstLineChars="200"/>
        <w:rPr>
          <w:rFonts w:hint="default" w:eastAsiaTheme="minorEastAsia"/>
          <w:lang w:val="en-US" w:eastAsia="zh-CN"/>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pStyle w:val="2"/>
        <w:rPr>
          <w:rFonts w:hint="default" w:asciiTheme="minorHAnsi" w:hAnsiTheme="minorHAnsi" w:eastAsiaTheme="minorEastAsia" w:cstheme="minorBidi"/>
          <w:sz w:val="24"/>
          <w:szCs w:val="22"/>
          <w:lang w:val="en-US" w:eastAsia="zh-CN"/>
        </w:rPr>
      </w:pPr>
    </w:p>
    <w:p>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spacing w:after="78" w:afterLines="25"/>
        <w:rPr>
          <w:rFonts w:ascii="Arial" w:hAnsi="Arial" w:eastAsia="宋体" w:cs="Times New Roman"/>
          <w:b/>
          <w:color w:val="FF0000"/>
          <w:sz w:val="30"/>
          <w:szCs w:val="30"/>
        </w:rPr>
      </w:pPr>
    </w:p>
    <w:p>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60560625"/>
      <w:bookmarkStart w:id="5" w:name="_Toc101074876"/>
      <w:bookmarkStart w:id="6" w:name="_Toc100052364"/>
      <w:bookmarkStart w:id="7" w:name="_Toc73517639"/>
      <w:bookmarkStart w:id="8" w:name="_Toc73518117"/>
      <w:bookmarkStart w:id="9" w:name="_Toc73521635"/>
      <w:bookmarkStart w:id="10" w:name="_Toc73521547"/>
      <w:bookmarkStart w:id="11" w:name="_Toc60631620"/>
      <w:r>
        <w:rPr>
          <w:rFonts w:hint="eastAsia" w:ascii="宋体" w:hAnsi="宋体" w:eastAsia="宋体" w:cs="Times New Roman"/>
          <w:b/>
          <w:bCs/>
          <w:kern w:val="0"/>
          <w:sz w:val="24"/>
          <w:szCs w:val="24"/>
        </w:rPr>
        <w:t>一、对通用条款的补充内容</w:t>
      </w:r>
    </w:p>
    <w:tbl>
      <w:tblPr>
        <w:tblStyle w:val="22"/>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b/>
                <w:bCs/>
              </w:rPr>
            </w:pPr>
            <w:r>
              <w:rPr>
                <w:rFonts w:hint="eastAsia" w:ascii="宋体" w:hAnsi="宋体"/>
                <w:b/>
                <w:bCs/>
              </w:rPr>
              <w:t>通用条款序号</w:t>
            </w:r>
          </w:p>
        </w:tc>
        <w:tc>
          <w:tcPr>
            <w:tcW w:w="1755" w:type="dxa"/>
            <w:vAlign w:val="center"/>
          </w:tcPr>
          <w:p>
            <w:pPr>
              <w:jc w:val="center"/>
              <w:rPr>
                <w:rFonts w:hint="eastAsia" w:ascii="宋体" w:hAnsi="宋体"/>
                <w:b/>
                <w:bCs/>
              </w:rPr>
            </w:pPr>
            <w:r>
              <w:rPr>
                <w:rFonts w:hint="eastAsia" w:ascii="宋体" w:hAnsi="宋体"/>
                <w:b/>
                <w:bCs/>
              </w:rPr>
              <w:t>涉及事项</w:t>
            </w:r>
          </w:p>
        </w:tc>
        <w:tc>
          <w:tcPr>
            <w:tcW w:w="6795"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1755" w:type="dxa"/>
            <w:vAlign w:val="center"/>
          </w:tcPr>
          <w:p>
            <w:pPr>
              <w:jc w:val="center"/>
            </w:pPr>
            <w:r>
              <w:rPr>
                <w:rFonts w:hint="eastAsia"/>
              </w:rPr>
              <w:t>采购人</w:t>
            </w:r>
          </w:p>
        </w:tc>
        <w:tc>
          <w:tcPr>
            <w:tcW w:w="6795" w:type="dxa"/>
            <w:vAlign w:val="center"/>
          </w:tcPr>
          <w:p>
            <w:pPr>
              <w:jc w:val="left"/>
              <w:rPr>
                <w:rFonts w:hint="eastAsia" w:ascii="宋体" w:hAnsi="宋体"/>
              </w:rPr>
            </w:pPr>
            <w:r>
              <w:rPr>
                <w:rFonts w:hint="eastAsia" w:ascii="宋体" w:hAnsi="宋体"/>
                <w:kern w:val="2"/>
              </w:rPr>
              <w:t>深圳市龙华区卫生健康局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1755" w:type="dxa"/>
            <w:vAlign w:val="center"/>
          </w:tcPr>
          <w:p>
            <w:pPr>
              <w:jc w:val="center"/>
              <w:rPr>
                <w:rFonts w:hint="eastAsia" w:ascii="宋体" w:hAnsi="宋体"/>
              </w:rPr>
            </w:pPr>
            <w:r>
              <w:rPr>
                <w:rFonts w:hint="eastAsia" w:ascii="宋体" w:hAnsi="宋体"/>
              </w:rPr>
              <w:t>政府集中采购机构</w:t>
            </w:r>
          </w:p>
        </w:tc>
        <w:tc>
          <w:tcPr>
            <w:tcW w:w="6795" w:type="dxa"/>
            <w:vAlign w:val="center"/>
          </w:tcPr>
          <w:p>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1755" w:type="dxa"/>
            <w:vAlign w:val="center"/>
          </w:tcPr>
          <w:p>
            <w:pPr>
              <w:jc w:val="center"/>
              <w:rPr>
                <w:rFonts w:hint="eastAsia" w:ascii="宋体" w:hAnsi="宋体"/>
                <w:b/>
                <w:bCs/>
                <w:highlight w:val="yellow"/>
              </w:rPr>
            </w:pPr>
            <w:r>
              <w:rPr>
                <w:rFonts w:hint="eastAsia" w:ascii="宋体" w:hAnsi="宋体"/>
              </w:rPr>
              <w:t>踏勘现场</w:t>
            </w:r>
          </w:p>
        </w:tc>
        <w:tc>
          <w:tcPr>
            <w:tcW w:w="6795" w:type="dxa"/>
            <w:vAlign w:val="center"/>
          </w:tcPr>
          <w:p>
            <w:pPr>
              <w:jc w:val="left"/>
              <w:rPr>
                <w:rFonts w:ascii="Arial" w:hAnsi="Arial" w:cs="Times New Roman"/>
                <w:szCs w:val="24"/>
              </w:rPr>
            </w:pPr>
            <w:r>
              <w:rPr>
                <w:rFonts w:hint="eastAsia" w:ascii="Arial" w:hAnsi="Arial" w:eastAsia="宋体" w:cs="Times New Roman"/>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1755" w:type="dxa"/>
            <w:vAlign w:val="center"/>
          </w:tcPr>
          <w:p>
            <w:pPr>
              <w:jc w:val="center"/>
              <w:rPr>
                <w:rFonts w:hint="eastAsia" w:ascii="宋体" w:hAnsi="宋体"/>
              </w:rPr>
            </w:pPr>
            <w:r>
              <w:rPr>
                <w:rFonts w:hint="eastAsia" w:ascii="宋体" w:hAnsi="宋体"/>
              </w:rPr>
              <w:t>标前会议</w:t>
            </w:r>
          </w:p>
        </w:tc>
        <w:tc>
          <w:tcPr>
            <w:tcW w:w="6795" w:type="dxa"/>
            <w:vAlign w:val="center"/>
          </w:tcPr>
          <w:p>
            <w:pPr>
              <w:jc w:val="left"/>
              <w:rPr>
                <w:rFonts w:ascii="Arial" w:hAnsi="Arial" w:eastAsia="宋体" w:cs="Times New Roman"/>
                <w:szCs w:val="24"/>
              </w:rPr>
            </w:pPr>
            <w:r>
              <w:rPr>
                <w:rFonts w:hint="eastAsia" w:ascii="Arial" w:hAnsi="Arial" w:eastAsia="宋体" w:cs="Times New Roman"/>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hint="eastAsia" w:ascii="宋体" w:hAnsi="宋体"/>
              </w:rPr>
            </w:pPr>
            <w:r>
              <w:rPr>
                <w:rFonts w:hint="eastAsia" w:ascii="宋体" w:hAnsi="宋体"/>
              </w:rPr>
              <w:t>招标文件的澄清和修改</w:t>
            </w:r>
          </w:p>
        </w:tc>
        <w:tc>
          <w:tcPr>
            <w:tcW w:w="6795" w:type="dxa"/>
            <w:vAlign w:val="center"/>
          </w:tcPr>
          <w:p>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1755" w:type="dxa"/>
            <w:vAlign w:val="center"/>
          </w:tcPr>
          <w:p>
            <w:pPr>
              <w:jc w:val="center"/>
              <w:rPr>
                <w:rFonts w:hint="eastAsia" w:ascii="宋体" w:hAnsi="宋体"/>
              </w:rPr>
            </w:pPr>
            <w:r>
              <w:rPr>
                <w:rFonts w:hint="eastAsia" w:ascii="宋体" w:hAnsi="宋体"/>
              </w:rPr>
              <w:t>投标有效期</w:t>
            </w:r>
          </w:p>
        </w:tc>
        <w:tc>
          <w:tcPr>
            <w:tcW w:w="6795" w:type="dxa"/>
            <w:vAlign w:val="center"/>
          </w:tcPr>
          <w:p>
            <w:pPr>
              <w:jc w:val="left"/>
              <w:rPr>
                <w:rFonts w:hint="eastAsia" w:ascii="宋体" w:hAnsi="宋体"/>
              </w:rPr>
            </w:pPr>
            <w:r>
              <w:rPr>
                <w:rFonts w:hint="eastAsia" w:ascii="宋体" w:hAnsi="宋体"/>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1755" w:type="dxa"/>
            <w:vAlign w:val="center"/>
          </w:tcPr>
          <w:p>
            <w:pPr>
              <w:jc w:val="center"/>
              <w:rPr>
                <w:rFonts w:hint="eastAsia" w:ascii="宋体" w:hAnsi="宋体"/>
              </w:rPr>
            </w:pPr>
            <w:r>
              <w:rPr>
                <w:rFonts w:hint="eastAsia" w:ascii="宋体" w:hAnsi="宋体"/>
              </w:rPr>
              <w:t>投标人的替代方案</w:t>
            </w:r>
          </w:p>
        </w:tc>
        <w:tc>
          <w:tcPr>
            <w:tcW w:w="6795" w:type="dxa"/>
            <w:vAlign w:val="center"/>
          </w:tcPr>
          <w:p>
            <w:pPr>
              <w:jc w:val="left"/>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1755" w:type="dxa"/>
            <w:vAlign w:val="center"/>
          </w:tcPr>
          <w:p>
            <w:pPr>
              <w:jc w:val="center"/>
              <w:rPr>
                <w:rFonts w:hint="eastAsia" w:ascii="宋体" w:hAnsi="宋体"/>
              </w:rPr>
            </w:pPr>
            <w:r>
              <w:rPr>
                <w:rFonts w:hint="eastAsia" w:ascii="宋体" w:hAnsi="宋体"/>
              </w:rPr>
              <w:t>投标文件的大小</w:t>
            </w:r>
          </w:p>
        </w:tc>
        <w:tc>
          <w:tcPr>
            <w:tcW w:w="6795" w:type="dxa"/>
            <w:vAlign w:val="center"/>
          </w:tcPr>
          <w:p>
            <w:pPr>
              <w:jc w:val="left"/>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1755" w:type="dxa"/>
            <w:vAlign w:val="center"/>
          </w:tcPr>
          <w:p>
            <w:pPr>
              <w:jc w:val="center"/>
              <w:rPr>
                <w:rFonts w:hint="eastAsia" w:ascii="宋体" w:hAnsi="宋体"/>
              </w:rPr>
            </w:pPr>
            <w:r>
              <w:rPr>
                <w:rFonts w:hint="eastAsia" w:ascii="宋体" w:hAnsi="宋体"/>
              </w:rPr>
              <w:t>样品、现场演示、方案讲解</w:t>
            </w:r>
          </w:p>
        </w:tc>
        <w:tc>
          <w:tcPr>
            <w:tcW w:w="6795" w:type="dxa"/>
            <w:vAlign w:val="center"/>
          </w:tcPr>
          <w:p>
            <w:pPr>
              <w:jc w:val="left"/>
              <w:rPr>
                <w:rFonts w:hint="eastAsia"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1755" w:type="dxa"/>
            <w:vAlign w:val="center"/>
          </w:tcPr>
          <w:p>
            <w:pPr>
              <w:jc w:val="center"/>
              <w:rPr>
                <w:rFonts w:hint="eastAsia" w:ascii="宋体" w:hAnsi="宋体"/>
              </w:rPr>
            </w:pPr>
            <w:r>
              <w:rPr>
                <w:rFonts w:hint="eastAsia" w:ascii="宋体" w:hAnsi="宋体"/>
              </w:rPr>
              <w:t>评审方法</w:t>
            </w:r>
          </w:p>
        </w:tc>
        <w:tc>
          <w:tcPr>
            <w:tcW w:w="6795" w:type="dxa"/>
            <w:vAlign w:val="center"/>
          </w:tcPr>
          <w:p>
            <w:pPr>
              <w:jc w:val="left"/>
              <w:rPr>
                <w:rFonts w:hint="eastAsia"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1755" w:type="dxa"/>
            <w:vAlign w:val="center"/>
          </w:tcPr>
          <w:p>
            <w:pPr>
              <w:jc w:val="center"/>
              <w:rPr>
                <w:rFonts w:hint="eastAsia"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1755" w:type="dxa"/>
            <w:vAlign w:val="center"/>
          </w:tcPr>
          <w:p>
            <w:pPr>
              <w:jc w:val="center"/>
              <w:rPr>
                <w:rFonts w:hint="eastAsia" w:ascii="宋体" w:hAnsi="宋体"/>
              </w:rPr>
            </w:pPr>
            <w:r>
              <w:rPr>
                <w:rFonts w:hint="eastAsia" w:ascii="宋体" w:hAnsi="宋体"/>
              </w:rPr>
              <w:t>履约担保</w:t>
            </w:r>
          </w:p>
        </w:tc>
        <w:tc>
          <w:tcPr>
            <w:tcW w:w="6795" w:type="dxa"/>
            <w:vAlign w:val="center"/>
          </w:tcPr>
          <w:p>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hint="eastAsia" w:ascii="黑体" w:hAnsi="宋体" w:eastAsia="黑体"/>
          <w:bCs/>
          <w:sz w:val="24"/>
        </w:rPr>
      </w:pPr>
      <w:r>
        <w:rPr>
          <w:rFonts w:hint="eastAsia" w:ascii="黑体" w:hAnsi="宋体" w:eastAsia="黑体"/>
          <w:bCs/>
          <w:sz w:val="24"/>
        </w:rPr>
        <w:t>1、评标定标信息</w:t>
      </w:r>
    </w:p>
    <w:p>
      <w:pPr>
        <w:jc w:val="center"/>
      </w:pPr>
      <w:r>
        <w:rPr>
          <w:rFonts w:hint="eastAsia"/>
          <w:b/>
        </w:rPr>
        <w:t>非评定分离项目</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eastAsia="宋体"/>
              </w:rPr>
            </w:pPr>
            <w:r>
              <w:rPr>
                <w:rFonts w:hint="eastAsia"/>
              </w:rPr>
              <w:sym w:font="Wingdings" w:char="00FE"/>
            </w:r>
            <w:r>
              <w:rPr>
                <w:rFonts w:hint="eastAsia"/>
              </w:rPr>
              <w:t>综合评分法</w:t>
            </w:r>
          </w:p>
        </w:tc>
        <w:tc>
          <w:tcPr>
            <w:tcW w:w="2450" w:type="dxa"/>
          </w:tcPr>
          <w:p>
            <w:pPr>
              <w:jc w:val="center"/>
            </w:pPr>
            <w:r>
              <w:rPr>
                <w:rFonts w:hint="eastAsia" w:ascii="Times New Roman" w:eastAsia="宋体"/>
              </w:rPr>
              <w:sym w:font="Wingdings" w:char="00A8"/>
            </w:r>
            <w:r>
              <w:rPr>
                <w:rFonts w:hint="eastAsia" w:ascii="Times New Roman" w:eastAsia="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eastAsia="宋体"/>
              </w:rPr>
            </w:pPr>
            <w:r>
              <w:rPr>
                <w:rFonts w:hint="eastAsia" w:eastAsia="宋体"/>
              </w:rPr>
              <w:t>3</w:t>
            </w:r>
          </w:p>
        </w:tc>
        <w:tc>
          <w:tcPr>
            <w:tcW w:w="245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pPr>
            <w:r>
              <w:rPr>
                <w:rFonts w:hint="eastAsia"/>
              </w:rPr>
              <w:t>1</w:t>
            </w:r>
          </w:p>
        </w:tc>
        <w:tc>
          <w:tcPr>
            <w:tcW w:w="2450" w:type="dxa"/>
          </w:tcPr>
          <w:p>
            <w:pPr>
              <w:jc w:val="center"/>
            </w:pPr>
            <w:r>
              <w:rPr>
                <w:rFonts w:hint="eastAsia"/>
              </w:rPr>
              <w:t>1</w:t>
            </w:r>
          </w:p>
        </w:tc>
      </w:tr>
    </w:tbl>
    <w:p>
      <w:pPr>
        <w:tabs>
          <w:tab w:val="left" w:pos="720"/>
        </w:tabs>
        <w:rPr>
          <w:rFonts w:hint="eastAsia" w:ascii="黑体" w:hAnsi="宋体" w:eastAsia="黑体"/>
          <w:sz w:val="24"/>
        </w:rPr>
      </w:pPr>
      <w:r>
        <w:rPr>
          <w:rFonts w:hint="eastAsia" w:ascii="黑体" w:hAnsi="宋体" w:eastAsia="黑体"/>
          <w:sz w:val="24"/>
        </w:rPr>
        <w:t>（二）其他事项</w:t>
      </w:r>
    </w:p>
    <w:p>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（1）专门面向中小企业采购的项目，不再执行价格扣除比例。</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（2）非专门面向中小企业采购的项目，应执行价格扣除比例：供应商提供的服务全部由优惠主体承接，则对其投标总价给予</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highlight w:val="yellow"/>
          <w:u w:val="single"/>
        </w:rPr>
        <w:t>10%</w:t>
      </w:r>
      <w:r>
        <w:rPr>
          <w:rFonts w:hint="eastAsia" w:asciiTheme="minorEastAsia" w:hAnsiTheme="minorEastAsia" w:cstheme="minorEastAsia"/>
          <w:szCs w:val="21"/>
        </w:rPr>
        <w:t>的扣除，用扣除后的价格参与评审。满足多项优惠政策的企业，不重复享受多项价格扣除政策。</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Theme="minorEastAsia" w:hAnsiTheme="minorEastAsia" w:cstheme="minorEastAsia"/>
          <w:color w:val="FF0000"/>
          <w:szCs w:val="21"/>
        </w:rPr>
        <w:t>《中小企业声明函》中相关企业（服务承接商）所属行业应当与采购标的所属行业相一致，标的所属行业以招标文件第一册第三章用户需求书“服务需求明细”的“标的所属行业”一栏为准</w:t>
      </w:r>
      <w:r>
        <w:rPr>
          <w:rFonts w:hint="eastAsia" w:asciiTheme="minorEastAsia" w:hAnsiTheme="minorEastAsia" w:cstheme="minorEastAsia"/>
          <w:szCs w:val="21"/>
        </w:rPr>
        <w:t>。</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pPr>
        <w:tabs>
          <w:tab w:val="left" w:pos="720"/>
        </w:tabs>
        <w:ind w:firstLine="480" w:firstLineChars="200"/>
        <w:rPr>
          <w:rFonts w:hint="eastAsia" w:ascii="黑体" w:hAnsi="宋体" w:eastAsia="黑体"/>
          <w:sz w:val="24"/>
        </w:rPr>
      </w:pPr>
    </w:p>
    <w:p>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pPr>
        <w:ind w:firstLine="420" w:firstLineChars="200"/>
      </w:pP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供应商在领取《中标</w:t>
      </w:r>
      <w:r>
        <w:rPr>
          <w:rFonts w:hint="eastAsia" w:eastAsia="宋体"/>
        </w:rPr>
        <w:t>（</w:t>
      </w:r>
      <w:r>
        <w:rPr>
          <w:rFonts w:hint="eastAsia" w:ascii="Times New Roman" w:eastAsia="宋体"/>
        </w:rPr>
        <w:t>成交</w:t>
      </w:r>
      <w:r>
        <w:rPr>
          <w:rFonts w:hint="eastAsia" w:eastAsia="宋体"/>
        </w:rPr>
        <w:t>）</w:t>
      </w:r>
      <w:r>
        <w:rPr>
          <w:rFonts w:hint="eastAsia"/>
        </w:rPr>
        <w:t>通知书》之前须向深圳公共资源交易中心（深圳交易集团有限公司龙华分公司）交纳代理服务费。若因中标</w:t>
      </w:r>
      <w:r>
        <w:rPr>
          <w:rFonts w:hint="eastAsia" w:eastAsia="宋体"/>
        </w:rPr>
        <w:t>（</w:t>
      </w:r>
      <w:r>
        <w:rPr>
          <w:rFonts w:hint="eastAsia" w:ascii="Times New Roman" w:eastAsia="宋体"/>
        </w:rPr>
        <w:t>成交</w:t>
      </w:r>
      <w:r>
        <w:rPr>
          <w:rFonts w:hint="eastAsia" w:eastAsia="宋体"/>
        </w:rPr>
        <w:t>）</w:t>
      </w:r>
      <w:r>
        <w:rPr>
          <w:rFonts w:hint="eastAsia"/>
        </w:rPr>
        <w:t>供应商交纳代理服务费所产生的时间影响到合同签订的，由中标</w:t>
      </w:r>
      <w:r>
        <w:rPr>
          <w:rFonts w:hint="eastAsia" w:eastAsia="宋体"/>
        </w:rPr>
        <w:t>（</w:t>
      </w:r>
      <w:r>
        <w:rPr>
          <w:rFonts w:hint="eastAsia" w:ascii="Times New Roman" w:eastAsia="宋体"/>
        </w:rPr>
        <w:t>成交</w:t>
      </w:r>
      <w:r>
        <w:rPr>
          <w:rFonts w:hint="eastAsia" w:eastAsia="宋体"/>
        </w:rPr>
        <w:t>）</w:t>
      </w:r>
      <w:r>
        <w:rPr>
          <w:rFonts w:hint="eastAsia"/>
        </w:rPr>
        <w:t>供应商自行承担责任。代理服务费标准参照</w:t>
      </w:r>
      <w:r>
        <w:rPr>
          <w:rFonts w:hint="eastAsia" w:ascii="Times New Roman" w:eastAsia="宋体"/>
        </w:rPr>
        <w:t>下列</w:t>
      </w:r>
      <w:r>
        <w:rPr>
          <w:rFonts w:hint="eastAsia"/>
        </w:rPr>
        <w:t>标准收取。</w:t>
      </w:r>
      <w:r>
        <w:rPr>
          <w:rFonts w:hint="eastAsia"/>
          <w:b/>
          <w:color w:val="FF0000"/>
        </w:rPr>
        <w:t>本项目类型为服务采购：</w:t>
      </w:r>
    </w:p>
    <w:p>
      <w:pPr>
        <w:ind w:firstLine="420" w:firstLineChars="200"/>
      </w:pPr>
      <w:r>
        <w:rPr>
          <w:rFonts w:hint="eastAsia"/>
        </w:rPr>
        <w:t>（</w:t>
      </w:r>
      <w:r>
        <w:rPr>
          <w:rFonts w:hint="eastAsia" w:ascii="Times New Roman" w:eastAsia="宋体"/>
        </w:rPr>
        <w:t>1</w:t>
      </w:r>
      <w:r>
        <w:rPr>
          <w:rFonts w:hint="eastAsia"/>
        </w:rPr>
        <w:t>）代理服务费以《中标</w:t>
      </w:r>
      <w:r>
        <w:rPr>
          <w:rFonts w:hint="eastAsia" w:eastAsia="宋体"/>
        </w:rPr>
        <w:t>（</w:t>
      </w:r>
      <w:r>
        <w:rPr>
          <w:rFonts w:hint="eastAsia" w:ascii="Times New Roman" w:eastAsia="宋体"/>
        </w:rPr>
        <w:t>成交</w:t>
      </w:r>
      <w:r>
        <w:rPr>
          <w:rFonts w:hint="eastAsia" w:eastAsia="宋体"/>
        </w:rPr>
        <w:t>）</w:t>
      </w:r>
      <w:r>
        <w:rPr>
          <w:rFonts w:hint="eastAsia"/>
        </w:rPr>
        <w:t>通知书》确定的</w:t>
      </w:r>
      <w:r>
        <w:rPr>
          <w:rFonts w:hint="eastAsia" w:ascii="Times New Roman" w:eastAsia="宋体"/>
        </w:rPr>
        <w:t>中标（</w:t>
      </w:r>
      <w:r>
        <w:rPr>
          <w:rFonts w:hint="eastAsia"/>
        </w:rPr>
        <w:t>成交</w:t>
      </w:r>
      <w:r>
        <w:rPr>
          <w:rFonts w:hint="eastAsia" w:eastAsia="宋体"/>
        </w:rPr>
        <w:t>）</w:t>
      </w:r>
      <w:r>
        <w:rPr>
          <w:rFonts w:hint="eastAsia"/>
        </w:rPr>
        <w:t>金额作为计算基数，按差额定率累进法计算。</w:t>
      </w:r>
    </w:p>
    <w:p>
      <w:pPr>
        <w:widowControl/>
        <w:ind w:firstLine="420"/>
        <w:jc w:val="left"/>
        <w:rPr>
          <w:rFonts w:hint="eastAsia" w:ascii="宋体" w:hAnsi="宋体"/>
          <w:color w:val="FF0000"/>
          <w:szCs w:val="21"/>
        </w:rPr>
      </w:pPr>
      <w:r>
        <w:rPr>
          <w:rFonts w:hint="eastAsia"/>
        </w:rPr>
        <w:t>（</w:t>
      </w:r>
      <w:r>
        <w:rPr>
          <w:rFonts w:hint="eastAsia" w:ascii="Times New Roman" w:eastAsia="宋体"/>
        </w:rPr>
        <w:t>2</w:t>
      </w: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金额的各部分费率如下表</w:t>
      </w:r>
      <w:r>
        <w:rPr>
          <w:rFonts w:hint="eastAsia" w:ascii="宋体" w:hAnsi="宋体"/>
          <w:color w:val="FF0000"/>
          <w:szCs w:val="21"/>
        </w:rPr>
        <w:t>：</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rFonts w:hint="eastAsia" w:ascii="宋体" w:hAnsi="宋体"/>
                <w:color w:val="FF0000"/>
                <w:szCs w:val="21"/>
              </w:rPr>
            </w:pPr>
            <w:r>
              <w:rPr>
                <w:rFonts w:hint="eastAsia" w:ascii="Times New Roman" w:eastAsia="宋体"/>
              </w:rPr>
              <w:t>中标</w:t>
            </w:r>
            <w:r>
              <w:rPr>
                <w:rFonts w:hint="eastAsia" w:eastAsia="宋体"/>
              </w:rPr>
              <w:t>（</w:t>
            </w:r>
            <w:r>
              <w:rPr>
                <w:rFonts w:hint="eastAsia" w:ascii="Times New Roman" w:eastAsia="宋体"/>
              </w:rPr>
              <w:t>成交</w:t>
            </w:r>
            <w:r>
              <w:rPr>
                <w:rFonts w:hint="eastAsia" w:eastAsia="宋体"/>
              </w:rPr>
              <w:t>）</w:t>
            </w:r>
            <w:r>
              <w:rPr>
                <w:rFonts w:hint="eastAsia"/>
              </w:rPr>
              <w:t>金额</w:t>
            </w:r>
          </w:p>
        </w:tc>
        <w:tc>
          <w:tcPr>
            <w:tcW w:w="1799" w:type="dxa"/>
            <w:vAlign w:val="center"/>
          </w:tcPr>
          <w:p>
            <w:pPr>
              <w:widowControl/>
              <w:spacing w:line="360" w:lineRule="auto"/>
              <w:jc w:val="center"/>
              <w:rPr>
                <w:rFonts w:hint="eastAsia" w:ascii="宋体" w:hAnsi="宋体"/>
                <w:color w:val="FF0000"/>
                <w:szCs w:val="21"/>
              </w:rPr>
            </w:pPr>
            <w:r>
              <w:rPr>
                <w:rFonts w:hint="eastAsia"/>
              </w:rPr>
              <w:t>货物采购</w:t>
            </w:r>
          </w:p>
        </w:tc>
        <w:tc>
          <w:tcPr>
            <w:tcW w:w="1799" w:type="dxa"/>
            <w:vAlign w:val="center"/>
          </w:tcPr>
          <w:p>
            <w:pPr>
              <w:widowControl/>
              <w:spacing w:line="360" w:lineRule="auto"/>
              <w:jc w:val="center"/>
              <w:rPr>
                <w:rFonts w:hint="eastAsia" w:ascii="宋体" w:hAnsi="宋体"/>
                <w:color w:val="FF0000"/>
                <w:szCs w:val="21"/>
              </w:rPr>
            </w:pPr>
            <w:r>
              <w:rPr>
                <w:rFonts w:hint="eastAsia"/>
              </w:rPr>
              <w:t>服务采购</w:t>
            </w:r>
          </w:p>
        </w:tc>
        <w:tc>
          <w:tcPr>
            <w:tcW w:w="1799" w:type="dxa"/>
            <w:vAlign w:val="center"/>
          </w:tcPr>
          <w:p>
            <w:pPr>
              <w:widowControl/>
              <w:spacing w:line="360" w:lineRule="auto"/>
              <w:jc w:val="center"/>
              <w:rPr>
                <w:rFonts w:hint="eastAsia" w:ascii="宋体" w:hAnsi="宋体"/>
                <w:color w:val="FF0000"/>
                <w:szCs w:val="21"/>
              </w:rP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100万元以下</w:t>
            </w:r>
          </w:p>
        </w:tc>
        <w:tc>
          <w:tcPr>
            <w:tcW w:w="1799" w:type="dxa"/>
            <w:vAlign w:val="center"/>
          </w:tcPr>
          <w:p>
            <w:pPr>
              <w:widowControl/>
              <w:spacing w:line="360" w:lineRule="auto"/>
              <w:jc w:val="center"/>
              <w:rPr>
                <w:rFonts w:hint="eastAsia" w:ascii="宋体" w:hAnsi="宋体"/>
                <w:color w:val="FF0000"/>
                <w:szCs w:val="21"/>
              </w:rPr>
            </w:pPr>
            <w:r>
              <w:rPr>
                <w:rFonts w:hint="eastAsia"/>
              </w:rPr>
              <w:t>1.5%</w:t>
            </w:r>
          </w:p>
        </w:tc>
        <w:tc>
          <w:tcPr>
            <w:tcW w:w="1799" w:type="dxa"/>
            <w:vAlign w:val="center"/>
          </w:tcPr>
          <w:p>
            <w:pPr>
              <w:widowControl/>
              <w:spacing w:line="360" w:lineRule="auto"/>
              <w:jc w:val="center"/>
              <w:rPr>
                <w:rFonts w:hint="eastAsia" w:ascii="宋体" w:hAnsi="宋体"/>
                <w:color w:val="FF0000"/>
                <w:szCs w:val="21"/>
              </w:rPr>
            </w:pPr>
            <w:r>
              <w:rPr>
                <w:rFonts w:hint="eastAsia"/>
              </w:rPr>
              <w:t>1.5%</w:t>
            </w:r>
          </w:p>
        </w:tc>
        <w:tc>
          <w:tcPr>
            <w:tcW w:w="1799" w:type="dxa"/>
            <w:vAlign w:val="center"/>
          </w:tcPr>
          <w:p>
            <w:pPr>
              <w:widowControl/>
              <w:spacing w:line="360" w:lineRule="auto"/>
              <w:jc w:val="center"/>
              <w:rPr>
                <w:rFonts w:hint="eastAsia" w:ascii="宋体" w:hAnsi="宋体"/>
                <w:color w:val="FF0000"/>
                <w:szCs w:val="21"/>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100万元（含）-500万元</w:t>
            </w:r>
          </w:p>
        </w:tc>
        <w:tc>
          <w:tcPr>
            <w:tcW w:w="1799" w:type="dxa"/>
            <w:vAlign w:val="center"/>
          </w:tcPr>
          <w:p>
            <w:pPr>
              <w:widowControl/>
              <w:spacing w:line="360" w:lineRule="auto"/>
              <w:jc w:val="center"/>
              <w:rPr>
                <w:rFonts w:hint="eastAsia" w:ascii="宋体" w:hAnsi="宋体"/>
                <w:color w:val="FF0000"/>
                <w:szCs w:val="21"/>
              </w:rPr>
            </w:pPr>
            <w:r>
              <w:rPr>
                <w:rFonts w:hint="eastAsia"/>
              </w:rPr>
              <w:t>1.1%</w:t>
            </w:r>
          </w:p>
        </w:tc>
        <w:tc>
          <w:tcPr>
            <w:tcW w:w="1799" w:type="dxa"/>
            <w:vAlign w:val="center"/>
          </w:tcPr>
          <w:p>
            <w:pPr>
              <w:widowControl/>
              <w:spacing w:line="360" w:lineRule="auto"/>
              <w:jc w:val="center"/>
              <w:rPr>
                <w:rFonts w:hint="eastAsia" w:ascii="宋体" w:hAnsi="宋体"/>
                <w:color w:val="FF0000"/>
                <w:szCs w:val="21"/>
              </w:rPr>
            </w:pPr>
            <w:r>
              <w:rPr>
                <w:rFonts w:hint="eastAsia"/>
              </w:rPr>
              <w:t>0.8%</w:t>
            </w:r>
          </w:p>
        </w:tc>
        <w:tc>
          <w:tcPr>
            <w:tcW w:w="1799" w:type="dxa"/>
            <w:vAlign w:val="center"/>
          </w:tcPr>
          <w:p>
            <w:pPr>
              <w:widowControl/>
              <w:spacing w:line="360" w:lineRule="auto"/>
              <w:jc w:val="center"/>
              <w:rPr>
                <w:rFonts w:hint="eastAsia" w:ascii="宋体" w:hAnsi="宋体"/>
                <w:color w:val="FF0000"/>
                <w:szCs w:val="21"/>
              </w:rP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500万元（含）-1000万元</w:t>
            </w:r>
          </w:p>
        </w:tc>
        <w:tc>
          <w:tcPr>
            <w:tcW w:w="1799" w:type="dxa"/>
            <w:vAlign w:val="center"/>
          </w:tcPr>
          <w:p>
            <w:pPr>
              <w:widowControl/>
              <w:spacing w:line="360" w:lineRule="auto"/>
              <w:jc w:val="center"/>
              <w:rPr>
                <w:rFonts w:hint="eastAsia" w:ascii="宋体" w:hAnsi="宋体"/>
                <w:color w:val="FF0000"/>
                <w:szCs w:val="21"/>
              </w:rPr>
            </w:pPr>
            <w:r>
              <w:rPr>
                <w:rFonts w:hint="eastAsia"/>
              </w:rPr>
              <w:t>0.8%</w:t>
            </w:r>
          </w:p>
        </w:tc>
        <w:tc>
          <w:tcPr>
            <w:tcW w:w="1799" w:type="dxa"/>
            <w:vAlign w:val="center"/>
          </w:tcPr>
          <w:p>
            <w:pPr>
              <w:widowControl/>
              <w:spacing w:line="360" w:lineRule="auto"/>
              <w:jc w:val="center"/>
              <w:rPr>
                <w:rFonts w:hint="eastAsia" w:ascii="宋体" w:hAnsi="宋体"/>
                <w:color w:val="FF0000"/>
                <w:szCs w:val="21"/>
              </w:rPr>
            </w:pPr>
            <w:r>
              <w:rPr>
                <w:rFonts w:hint="eastAsia"/>
              </w:rPr>
              <w:t>0.45%</w:t>
            </w:r>
          </w:p>
        </w:tc>
        <w:tc>
          <w:tcPr>
            <w:tcW w:w="1799" w:type="dxa"/>
            <w:vAlign w:val="center"/>
          </w:tcPr>
          <w:p>
            <w:pPr>
              <w:widowControl/>
              <w:spacing w:line="360" w:lineRule="auto"/>
              <w:jc w:val="center"/>
              <w:rPr>
                <w:rFonts w:hint="eastAsia" w:ascii="宋体" w:hAnsi="宋体"/>
                <w:color w:val="FF0000"/>
                <w:szCs w:val="21"/>
              </w:rP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1000万元（含）-5000万元</w:t>
            </w:r>
          </w:p>
        </w:tc>
        <w:tc>
          <w:tcPr>
            <w:tcW w:w="1799" w:type="dxa"/>
            <w:vAlign w:val="center"/>
          </w:tcPr>
          <w:p>
            <w:pPr>
              <w:widowControl/>
              <w:spacing w:line="360" w:lineRule="auto"/>
              <w:jc w:val="center"/>
              <w:rPr>
                <w:rFonts w:hint="eastAsia" w:ascii="宋体" w:hAnsi="宋体"/>
                <w:color w:val="FF0000"/>
                <w:szCs w:val="21"/>
              </w:rPr>
            </w:pPr>
            <w:r>
              <w:rPr>
                <w:rFonts w:hint="eastAsia"/>
              </w:rPr>
              <w:t>0.5%</w:t>
            </w:r>
          </w:p>
        </w:tc>
        <w:tc>
          <w:tcPr>
            <w:tcW w:w="1799" w:type="dxa"/>
            <w:vAlign w:val="center"/>
          </w:tcPr>
          <w:p>
            <w:pPr>
              <w:widowControl/>
              <w:spacing w:line="360" w:lineRule="auto"/>
              <w:jc w:val="center"/>
              <w:rPr>
                <w:rFonts w:hint="eastAsia" w:ascii="宋体" w:hAnsi="宋体"/>
                <w:color w:val="FF0000"/>
                <w:szCs w:val="21"/>
              </w:rPr>
            </w:pPr>
            <w:r>
              <w:rPr>
                <w:rFonts w:hint="eastAsia"/>
              </w:rPr>
              <w:t>0.25%</w:t>
            </w:r>
          </w:p>
        </w:tc>
        <w:tc>
          <w:tcPr>
            <w:tcW w:w="1799" w:type="dxa"/>
            <w:vAlign w:val="center"/>
          </w:tcPr>
          <w:p>
            <w:pPr>
              <w:widowControl/>
              <w:spacing w:line="360" w:lineRule="auto"/>
              <w:jc w:val="center"/>
              <w:rPr>
                <w:rFonts w:hint="eastAsia" w:ascii="宋体" w:hAnsi="宋体"/>
                <w:color w:val="FF0000"/>
                <w:szCs w:val="21"/>
              </w:rP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5000万元（含）-1亿元</w:t>
            </w:r>
          </w:p>
        </w:tc>
        <w:tc>
          <w:tcPr>
            <w:tcW w:w="1799" w:type="dxa"/>
            <w:vAlign w:val="center"/>
          </w:tcPr>
          <w:p>
            <w:pPr>
              <w:widowControl/>
              <w:spacing w:line="360" w:lineRule="auto"/>
              <w:jc w:val="center"/>
              <w:rPr>
                <w:rFonts w:hint="eastAsia" w:ascii="宋体" w:hAnsi="宋体"/>
                <w:color w:val="FF0000"/>
                <w:szCs w:val="21"/>
              </w:rPr>
            </w:pPr>
            <w:r>
              <w:rPr>
                <w:rFonts w:hint="eastAsia"/>
              </w:rPr>
              <w:t>0.25%</w:t>
            </w:r>
          </w:p>
        </w:tc>
        <w:tc>
          <w:tcPr>
            <w:tcW w:w="1799" w:type="dxa"/>
            <w:vAlign w:val="center"/>
          </w:tcPr>
          <w:p>
            <w:pPr>
              <w:widowControl/>
              <w:spacing w:line="360" w:lineRule="auto"/>
              <w:jc w:val="center"/>
              <w:rPr>
                <w:rFonts w:hint="eastAsia" w:ascii="宋体" w:hAnsi="宋体"/>
                <w:color w:val="FF0000"/>
                <w:szCs w:val="21"/>
              </w:rPr>
            </w:pPr>
            <w:r>
              <w:rPr>
                <w:rFonts w:hint="eastAsia"/>
              </w:rPr>
              <w:t>0.1%</w:t>
            </w:r>
          </w:p>
        </w:tc>
        <w:tc>
          <w:tcPr>
            <w:tcW w:w="1799" w:type="dxa"/>
            <w:vAlign w:val="center"/>
          </w:tcPr>
          <w:p>
            <w:pPr>
              <w:widowControl/>
              <w:spacing w:line="360" w:lineRule="auto"/>
              <w:jc w:val="center"/>
              <w:rPr>
                <w:rFonts w:hint="eastAsia" w:ascii="宋体" w:hAnsi="宋体"/>
                <w:color w:val="FF0000"/>
                <w:szCs w:val="21"/>
              </w:rP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1亿元（含）-5亿元</w:t>
            </w:r>
          </w:p>
        </w:tc>
        <w:tc>
          <w:tcPr>
            <w:tcW w:w="1799" w:type="dxa"/>
            <w:vAlign w:val="center"/>
          </w:tcPr>
          <w:p>
            <w:pPr>
              <w:widowControl/>
              <w:spacing w:line="360" w:lineRule="auto"/>
              <w:jc w:val="center"/>
              <w:rPr>
                <w:rFonts w:hint="eastAsia" w:ascii="宋体" w:hAnsi="宋体"/>
                <w:color w:val="FF0000"/>
                <w:szCs w:val="21"/>
              </w:rPr>
            </w:pPr>
            <w:r>
              <w:rPr>
                <w:rFonts w:hint="eastAsia"/>
              </w:rPr>
              <w:t>0.05%</w:t>
            </w:r>
          </w:p>
        </w:tc>
        <w:tc>
          <w:tcPr>
            <w:tcW w:w="1799" w:type="dxa"/>
            <w:vAlign w:val="center"/>
          </w:tcPr>
          <w:p>
            <w:pPr>
              <w:widowControl/>
              <w:spacing w:line="360" w:lineRule="auto"/>
              <w:jc w:val="center"/>
              <w:rPr>
                <w:rFonts w:hint="eastAsia" w:ascii="宋体" w:hAnsi="宋体"/>
                <w:color w:val="FF0000"/>
                <w:szCs w:val="21"/>
              </w:rPr>
            </w:pPr>
            <w:r>
              <w:rPr>
                <w:rFonts w:hint="eastAsia"/>
              </w:rPr>
              <w:t>0.05%</w:t>
            </w:r>
          </w:p>
        </w:tc>
        <w:tc>
          <w:tcPr>
            <w:tcW w:w="1799" w:type="dxa"/>
            <w:vAlign w:val="center"/>
          </w:tcPr>
          <w:p>
            <w:pPr>
              <w:widowControl/>
              <w:spacing w:line="360" w:lineRule="auto"/>
              <w:jc w:val="center"/>
              <w:rPr>
                <w:rFonts w:hint="eastAsia" w:ascii="宋体" w:hAnsi="宋体"/>
                <w:color w:val="FF0000"/>
                <w:szCs w:val="21"/>
              </w:rP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5亿元（含）-10亿元</w:t>
            </w:r>
          </w:p>
        </w:tc>
        <w:tc>
          <w:tcPr>
            <w:tcW w:w="1799" w:type="dxa"/>
            <w:vAlign w:val="center"/>
          </w:tcPr>
          <w:p>
            <w:pPr>
              <w:widowControl/>
              <w:spacing w:line="360" w:lineRule="auto"/>
              <w:jc w:val="center"/>
              <w:rPr>
                <w:rFonts w:hint="eastAsia" w:ascii="宋体" w:hAnsi="宋体"/>
                <w:color w:val="FF0000"/>
                <w:szCs w:val="21"/>
              </w:rPr>
            </w:pPr>
            <w:r>
              <w:rPr>
                <w:rFonts w:hint="eastAsia"/>
              </w:rPr>
              <w:t>0.035%</w:t>
            </w:r>
          </w:p>
        </w:tc>
        <w:tc>
          <w:tcPr>
            <w:tcW w:w="1799" w:type="dxa"/>
            <w:vAlign w:val="center"/>
          </w:tcPr>
          <w:p>
            <w:pPr>
              <w:widowControl/>
              <w:spacing w:line="360" w:lineRule="auto"/>
              <w:jc w:val="center"/>
              <w:rPr>
                <w:rFonts w:hint="eastAsia" w:ascii="宋体" w:hAnsi="宋体"/>
                <w:color w:val="FF0000"/>
                <w:szCs w:val="21"/>
              </w:rPr>
            </w:pPr>
            <w:r>
              <w:rPr>
                <w:rFonts w:hint="eastAsia"/>
              </w:rPr>
              <w:t>0.035%</w:t>
            </w:r>
          </w:p>
        </w:tc>
        <w:tc>
          <w:tcPr>
            <w:tcW w:w="1799" w:type="dxa"/>
            <w:vAlign w:val="center"/>
          </w:tcPr>
          <w:p>
            <w:pPr>
              <w:widowControl/>
              <w:spacing w:line="360" w:lineRule="auto"/>
              <w:jc w:val="center"/>
              <w:rPr>
                <w:rFonts w:hint="eastAsia" w:ascii="宋体" w:hAnsi="宋体"/>
                <w:color w:val="FF0000"/>
                <w:szCs w:val="21"/>
              </w:rP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10亿元（含）-50亿元</w:t>
            </w:r>
          </w:p>
        </w:tc>
        <w:tc>
          <w:tcPr>
            <w:tcW w:w="1799" w:type="dxa"/>
            <w:vAlign w:val="center"/>
          </w:tcPr>
          <w:p>
            <w:pPr>
              <w:widowControl/>
              <w:spacing w:line="360" w:lineRule="auto"/>
              <w:jc w:val="center"/>
              <w:rPr>
                <w:rFonts w:hint="eastAsia" w:ascii="宋体" w:hAnsi="宋体"/>
                <w:color w:val="FF0000"/>
                <w:szCs w:val="21"/>
              </w:rPr>
            </w:pPr>
            <w:r>
              <w:rPr>
                <w:rFonts w:hint="eastAsia"/>
              </w:rPr>
              <w:t>0.008%</w:t>
            </w:r>
          </w:p>
        </w:tc>
        <w:tc>
          <w:tcPr>
            <w:tcW w:w="1799" w:type="dxa"/>
            <w:vAlign w:val="center"/>
          </w:tcPr>
          <w:p>
            <w:pPr>
              <w:widowControl/>
              <w:spacing w:line="360" w:lineRule="auto"/>
              <w:jc w:val="center"/>
              <w:rPr>
                <w:rFonts w:hint="eastAsia" w:ascii="宋体" w:hAnsi="宋体"/>
                <w:color w:val="FF0000"/>
                <w:szCs w:val="21"/>
              </w:rPr>
            </w:pPr>
            <w:r>
              <w:rPr>
                <w:rFonts w:hint="eastAsia"/>
              </w:rPr>
              <w:t>0.008%</w:t>
            </w:r>
          </w:p>
        </w:tc>
        <w:tc>
          <w:tcPr>
            <w:tcW w:w="1799" w:type="dxa"/>
            <w:vAlign w:val="center"/>
          </w:tcPr>
          <w:p>
            <w:pPr>
              <w:widowControl/>
              <w:spacing w:line="360" w:lineRule="auto"/>
              <w:jc w:val="center"/>
              <w:rPr>
                <w:rFonts w:hint="eastAsia" w:ascii="宋体" w:hAnsi="宋体"/>
                <w:color w:val="FF0000"/>
                <w:szCs w:val="21"/>
              </w:rP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50亿元（含）-100亿元</w:t>
            </w:r>
          </w:p>
        </w:tc>
        <w:tc>
          <w:tcPr>
            <w:tcW w:w="1799" w:type="dxa"/>
            <w:vAlign w:val="center"/>
          </w:tcPr>
          <w:p>
            <w:pPr>
              <w:widowControl/>
              <w:spacing w:line="360" w:lineRule="auto"/>
              <w:jc w:val="center"/>
              <w:rPr>
                <w:rFonts w:hint="eastAsia" w:ascii="宋体" w:hAnsi="宋体"/>
                <w:color w:val="FF0000"/>
                <w:szCs w:val="21"/>
              </w:rPr>
            </w:pPr>
            <w:r>
              <w:rPr>
                <w:rFonts w:hint="eastAsia"/>
              </w:rPr>
              <w:t>0.006%</w:t>
            </w:r>
          </w:p>
        </w:tc>
        <w:tc>
          <w:tcPr>
            <w:tcW w:w="1799" w:type="dxa"/>
            <w:vAlign w:val="center"/>
          </w:tcPr>
          <w:p>
            <w:pPr>
              <w:widowControl/>
              <w:spacing w:line="360" w:lineRule="auto"/>
              <w:jc w:val="center"/>
              <w:rPr>
                <w:rFonts w:hint="eastAsia" w:ascii="宋体" w:hAnsi="宋体"/>
                <w:color w:val="FF0000"/>
                <w:szCs w:val="21"/>
              </w:rPr>
            </w:pPr>
            <w:r>
              <w:rPr>
                <w:rFonts w:hint="eastAsia"/>
              </w:rPr>
              <w:t>0.006%</w:t>
            </w:r>
          </w:p>
        </w:tc>
        <w:tc>
          <w:tcPr>
            <w:tcW w:w="1799" w:type="dxa"/>
            <w:vAlign w:val="center"/>
          </w:tcPr>
          <w:p>
            <w:pPr>
              <w:widowControl/>
              <w:spacing w:line="360" w:lineRule="auto"/>
              <w:jc w:val="center"/>
              <w:rPr>
                <w:rFonts w:hint="eastAsia" w:ascii="宋体" w:hAnsi="宋体"/>
                <w:color w:val="FF0000"/>
                <w:szCs w:val="21"/>
              </w:rP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hint="eastAsia" w:ascii="宋体" w:hAnsi="宋体"/>
                <w:color w:val="FF0000"/>
                <w:szCs w:val="21"/>
              </w:rPr>
            </w:pPr>
            <w:r>
              <w:rPr>
                <w:rFonts w:hint="eastAsia"/>
              </w:rPr>
              <w:t>100亿元（含）以上</w:t>
            </w:r>
          </w:p>
        </w:tc>
        <w:tc>
          <w:tcPr>
            <w:tcW w:w="1799" w:type="dxa"/>
            <w:vAlign w:val="center"/>
          </w:tcPr>
          <w:p>
            <w:pPr>
              <w:widowControl/>
              <w:spacing w:line="360" w:lineRule="auto"/>
              <w:jc w:val="center"/>
              <w:rPr>
                <w:rFonts w:hint="eastAsia" w:ascii="宋体" w:hAnsi="宋体"/>
                <w:color w:val="FF0000"/>
                <w:szCs w:val="21"/>
              </w:rPr>
            </w:pPr>
            <w:r>
              <w:rPr>
                <w:rFonts w:hint="eastAsia"/>
              </w:rPr>
              <w:t>0.004%</w:t>
            </w:r>
          </w:p>
        </w:tc>
        <w:tc>
          <w:tcPr>
            <w:tcW w:w="1799" w:type="dxa"/>
            <w:vAlign w:val="center"/>
          </w:tcPr>
          <w:p>
            <w:pPr>
              <w:widowControl/>
              <w:spacing w:line="360" w:lineRule="auto"/>
              <w:jc w:val="center"/>
              <w:rPr>
                <w:rFonts w:hint="eastAsia" w:ascii="宋体" w:hAnsi="宋体"/>
                <w:color w:val="FF0000"/>
                <w:szCs w:val="21"/>
              </w:rPr>
            </w:pPr>
            <w:r>
              <w:rPr>
                <w:rFonts w:hint="eastAsia"/>
              </w:rPr>
              <w:t>0.004%</w:t>
            </w:r>
          </w:p>
        </w:tc>
        <w:tc>
          <w:tcPr>
            <w:tcW w:w="1799" w:type="dxa"/>
            <w:vAlign w:val="center"/>
          </w:tcPr>
          <w:p>
            <w:pPr>
              <w:widowControl/>
              <w:spacing w:line="360" w:lineRule="auto"/>
              <w:jc w:val="center"/>
              <w:rPr>
                <w:rFonts w:hint="eastAsia" w:ascii="宋体" w:hAnsi="宋体"/>
                <w:color w:val="FF0000"/>
                <w:szCs w:val="21"/>
              </w:rPr>
            </w:pPr>
            <w:r>
              <w:rPr>
                <w:rFonts w:hint="eastAsia"/>
              </w:rPr>
              <w:t>0.004%</w:t>
            </w:r>
          </w:p>
        </w:tc>
      </w:tr>
    </w:tbl>
    <w:p>
      <w:pPr>
        <w:ind w:firstLine="420" w:firstLineChars="200"/>
      </w:pPr>
      <w:r>
        <w:rPr>
          <w:rFonts w:hint="eastAsia"/>
        </w:rPr>
        <w:t xml:space="preserve">备注：1.每宗交易代理服务费不低于 </w:t>
      </w:r>
      <w:r>
        <w:rPr>
          <w:rFonts w:hint="eastAsia" w:ascii="Times New Roman" w:eastAsia="宋体"/>
        </w:rPr>
        <w:t>5</w:t>
      </w:r>
      <w:r>
        <w:rPr>
          <w:rFonts w:hint="eastAsia"/>
        </w:rPr>
        <w:t>000 元；</w:t>
      </w:r>
    </w:p>
    <w:p>
      <w:pPr>
        <w:ind w:firstLine="420" w:firstLineChars="200"/>
        <w:rPr>
          <w:rFonts w:eastAsia="宋体"/>
        </w:rPr>
      </w:pPr>
      <w:r>
        <w:rPr>
          <w:rFonts w:hint="eastAsia"/>
        </w:rPr>
        <w:t>2.对于报总价的采购类项目，中标</w:t>
      </w:r>
      <w:r>
        <w:rPr>
          <w:rFonts w:hint="eastAsia" w:eastAsia="宋体"/>
        </w:rPr>
        <w:t>（</w:t>
      </w:r>
      <w:r>
        <w:rPr>
          <w:rFonts w:hint="eastAsia" w:ascii="Times New Roman" w:eastAsia="宋体"/>
        </w:rPr>
        <w:t>成交</w:t>
      </w:r>
      <w:r>
        <w:rPr>
          <w:rFonts w:hint="eastAsia" w:eastAsia="宋体"/>
        </w:rPr>
        <w:t>）</w:t>
      </w:r>
      <w:r>
        <w:rPr>
          <w:rFonts w:hint="eastAsia"/>
        </w:rPr>
        <w:t>价为中标（成交）金额；对于报单价、折扣或费率的采购类项目，中标</w:t>
      </w:r>
      <w:r>
        <w:rPr>
          <w:rFonts w:hint="eastAsia" w:eastAsia="宋体"/>
        </w:rPr>
        <w:t>（</w:t>
      </w:r>
      <w:r>
        <w:rPr>
          <w:rFonts w:hint="eastAsia" w:ascii="Times New Roman" w:eastAsia="宋体"/>
        </w:rPr>
        <w:t>成交</w:t>
      </w:r>
      <w:r>
        <w:rPr>
          <w:rFonts w:hint="eastAsia" w:eastAsia="宋体"/>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cs="Times New Roman"/>
          <w:bCs/>
          <w:kern w:val="44"/>
          <w:szCs w:val="21"/>
        </w:rPr>
      </w:pPr>
      <w:r>
        <w:rPr>
          <w:rFonts w:hint="eastAsia"/>
        </w:rPr>
        <w:t>（</w:t>
      </w:r>
      <w:r>
        <w:rPr>
          <w:rFonts w:hint="eastAsia" w:ascii="Times New Roman" w:eastAsia="宋体"/>
        </w:rPr>
        <w:t>3</w:t>
      </w:r>
      <w:r>
        <w:rPr>
          <w:rFonts w:hint="eastAsia"/>
        </w:rPr>
        <w:t>）中标（成交）供应商中标（成交）后，必须按规定采用银行对公转账方式向深圳交易集团有限公司直接交纳代理服务费，交纳信息及要求按照缴款</w:t>
      </w:r>
      <w:r>
        <w:rPr>
          <w:rFonts w:hint="eastAsia" w:eastAsia="宋体"/>
        </w:rPr>
        <w:t>（</w:t>
      </w:r>
      <w:r>
        <w:rPr>
          <w:rFonts w:hint="eastAsia" w:ascii="Times New Roman" w:eastAsia="宋体"/>
        </w:rPr>
        <w:t>付款</w:t>
      </w:r>
      <w:r>
        <w:rPr>
          <w:rFonts w:hint="eastAsia" w:eastAsia="宋体"/>
        </w:rPr>
        <w:t>）</w:t>
      </w:r>
      <w:r>
        <w:rPr>
          <w:rFonts w:hint="eastAsia"/>
        </w:rPr>
        <w:t>通知书执行。</w:t>
      </w:r>
    </w:p>
    <w:p>
      <w:pPr>
        <w:widowControl/>
        <w:ind w:firstLine="420"/>
        <w:jc w:val="left"/>
        <w:rPr>
          <w:rFonts w:hint="eastAsia" w:ascii="宋体" w:hAnsi="宋体"/>
          <w:color w:val="FF0000"/>
          <w:szCs w:val="21"/>
        </w:rPr>
      </w:pPr>
    </w:p>
    <w:p>
      <w:pPr>
        <w:widowControl/>
        <w:ind w:firstLine="420"/>
        <w:jc w:val="left"/>
        <w:rPr>
          <w:rFonts w:hint="eastAsia" w:ascii="宋体" w:hAnsi="宋体" w:eastAsia="黑体" w:cs="Times New Roman"/>
          <w:bCs/>
          <w:kern w:val="44"/>
          <w:szCs w:val="21"/>
        </w:rPr>
      </w:pPr>
    </w:p>
    <w:p>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2"/>
        <w:tblW w:w="9602" w:type="dxa"/>
        <w:jc w:val="center"/>
        <w:tblLayout w:type="fixed"/>
        <w:tblCellMar>
          <w:top w:w="15" w:type="dxa"/>
          <w:left w:w="15" w:type="dxa"/>
          <w:bottom w:w="15" w:type="dxa"/>
          <w:right w:w="15" w:type="dxa"/>
        </w:tblCellMar>
      </w:tblPr>
      <w:tblGrid>
        <w:gridCol w:w="710"/>
        <w:gridCol w:w="2323"/>
        <w:gridCol w:w="4119"/>
        <w:gridCol w:w="1318"/>
        <w:gridCol w:w="113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pPr>
            <w:r>
              <w:rPr>
                <w:rFonts w:hint="eastAsia"/>
              </w:rPr>
              <w:t>序号</w:t>
            </w:r>
          </w:p>
        </w:tc>
        <w:tc>
          <w:tcPr>
            <w:tcW w:w="232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pPr>
            <w:r>
              <w:rPr>
                <w:rFonts w:hint="eastAsia"/>
              </w:rPr>
              <w:t>项目编号</w:t>
            </w:r>
          </w:p>
        </w:tc>
        <w:tc>
          <w:tcPr>
            <w:tcW w:w="411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rPr>
              <w:t>采购项目名称</w:t>
            </w:r>
          </w:p>
        </w:tc>
        <w:tc>
          <w:tcPr>
            <w:tcW w:w="1318"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asciiTheme="minorEastAsia" w:hAnsiTheme="minorEastAsia"/>
                <w:sz w:val="24"/>
                <w:szCs w:val="24"/>
              </w:rPr>
              <w:t>财政预算限额（元）</w:t>
            </w:r>
          </w:p>
        </w:tc>
        <w:tc>
          <w:tcPr>
            <w:tcW w:w="113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1</w:t>
            </w:r>
          </w:p>
        </w:tc>
        <w:tc>
          <w:tcPr>
            <w:tcW w:w="2323"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LHAZXCG-2025-00079</w:t>
            </w:r>
          </w:p>
        </w:tc>
        <w:tc>
          <w:tcPr>
            <w:tcW w:w="4119" w:type="dxa"/>
            <w:tcBorders>
              <w:top w:val="single" w:color="000000" w:sz="4" w:space="0"/>
              <w:left w:val="single" w:color="000000" w:sz="4" w:space="0"/>
              <w:right w:val="single" w:color="000000" w:sz="4" w:space="0"/>
            </w:tcBorders>
            <w:vAlign w:val="center"/>
          </w:tcPr>
          <w:p>
            <w:pPr>
              <w:jc w:val="center"/>
              <w:rPr>
                <w:rFonts w:eastAsia="宋体"/>
              </w:rPr>
            </w:pPr>
            <w:r>
              <w:rPr>
                <w:rFonts w:hint="eastAsia"/>
                <w:kern w:val="2"/>
                <w:szCs w:val="21"/>
              </w:rPr>
              <w:t>深圳市龙华区卫生健康局智慧医疗“114工程”智能化项目2025年度等保测评服务和信息安全服务项目</w:t>
            </w:r>
          </w:p>
        </w:tc>
        <w:tc>
          <w:tcPr>
            <w:tcW w:w="1318" w:type="dxa"/>
            <w:vMerge w:val="restart"/>
            <w:tcBorders>
              <w:top w:val="single" w:color="000000" w:sz="4" w:space="0"/>
              <w:left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eastAsia"/>
                <w:b/>
                <w:color w:val="000000" w:themeColor="text1"/>
                <w:kern w:val="2"/>
                <w:szCs w:val="21"/>
                <w14:textFill>
                  <w14:solidFill>
                    <w14:schemeClr w14:val="tx1"/>
                  </w14:solidFill>
                </w14:textFill>
              </w:rPr>
              <w:t>270000.00</w:t>
            </w:r>
          </w:p>
        </w:tc>
        <w:tc>
          <w:tcPr>
            <w:tcW w:w="1132" w:type="dxa"/>
            <w:vMerge w:val="restart"/>
            <w:tcBorders>
              <w:top w:val="single" w:color="000000" w:sz="4" w:space="0"/>
              <w:left w:val="single" w:color="000000" w:sz="4" w:space="0"/>
              <w:right w:val="single" w:color="000000" w:sz="4" w:space="0"/>
            </w:tcBorders>
            <w:vAlign w:val="center"/>
          </w:tcPr>
          <w:p>
            <w:pPr>
              <w:jc w:val="center"/>
              <w:rPr>
                <w:rFonts w:hint="eastAsia"/>
                <w:b/>
                <w:color w:val="000000" w:themeColor="text1"/>
                <w:kern w:val="2"/>
                <w:szCs w:val="21"/>
                <w14:textFill>
                  <w14:solidFill>
                    <w14:schemeClr w14:val="tx1"/>
                  </w14:solidFill>
                </w14:textFill>
              </w:rPr>
            </w:pPr>
            <w:r>
              <w:rPr>
                <w:rFonts w:hint="eastAsia" w:asciiTheme="minorEastAsia" w:hAnsiTheme="minorEastAsia" w:cstheme="minorEastAsia"/>
                <w:color w:val="FF0000"/>
                <w:szCs w:val="21"/>
                <w:u w:val="single"/>
              </w:rPr>
              <w:t>软件和信息技术服务业</w:t>
            </w:r>
          </w:p>
        </w:tc>
      </w:tr>
      <w:tr>
        <w:tblPrEx>
          <w:tblCellMar>
            <w:top w:w="15" w:type="dxa"/>
            <w:left w:w="15" w:type="dxa"/>
            <w:bottom w:w="15" w:type="dxa"/>
            <w:right w:w="15" w:type="dxa"/>
          </w:tblCellMar>
        </w:tblPrEx>
        <w:trPr>
          <w:trHeight w:val="172" w:hRule="atLeast"/>
          <w:jc w:val="center"/>
        </w:trPr>
        <w:tc>
          <w:tcPr>
            <w:tcW w:w="7152" w:type="dxa"/>
            <w:gridSpan w:val="3"/>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合计（元）</w:t>
            </w:r>
          </w:p>
        </w:tc>
        <w:tc>
          <w:tcPr>
            <w:tcW w:w="1318" w:type="dxa"/>
            <w:vMerge w:val="continue"/>
            <w:tcBorders>
              <w:left w:val="single" w:color="000000" w:sz="4" w:space="0"/>
              <w:bottom w:val="single" w:color="auto" w:sz="4" w:space="0"/>
              <w:right w:val="single" w:color="000000" w:sz="4" w:space="0"/>
            </w:tcBorders>
            <w:vAlign w:val="center"/>
          </w:tcPr>
          <w:p>
            <w:pPr>
              <w:jc w:val="center"/>
              <w:rPr>
                <w:rFonts w:hint="eastAsia" w:asciiTheme="minorEastAsia" w:hAnsiTheme="minorEastAsia"/>
                <w:sz w:val="24"/>
                <w:szCs w:val="24"/>
              </w:rPr>
            </w:pPr>
          </w:p>
        </w:tc>
        <w:tc>
          <w:tcPr>
            <w:tcW w:w="1132" w:type="dxa"/>
            <w:vMerge w:val="continue"/>
            <w:tcBorders>
              <w:left w:val="single" w:color="000000" w:sz="4" w:space="0"/>
              <w:bottom w:val="single" w:color="auto" w:sz="4" w:space="0"/>
              <w:right w:val="single" w:color="000000" w:sz="4" w:space="0"/>
            </w:tcBorders>
            <w:vAlign w:val="center"/>
          </w:tcPr>
          <w:p>
            <w:pPr>
              <w:jc w:val="center"/>
              <w:rPr>
                <w:rFonts w:hint="eastAsia" w:asciiTheme="minorEastAsia" w:hAnsiTheme="minorEastAsia"/>
                <w:sz w:val="24"/>
                <w:szCs w:val="24"/>
              </w:rPr>
            </w:pPr>
          </w:p>
        </w:tc>
      </w:tr>
    </w:tbl>
    <w:p>
      <w:pPr>
        <w:rPr>
          <w:sz w:val="24"/>
          <w:szCs w:val="24"/>
        </w:rPr>
      </w:pPr>
      <w:r>
        <w:rPr>
          <w:rFonts w:hint="eastAsia" w:ascii="Arial" w:hAnsi="Arial" w:eastAsia="宋体" w:cs="Times New Roman"/>
          <w:b/>
          <w:color w:val="FF0000"/>
          <w:sz w:val="24"/>
          <w:szCs w:val="24"/>
        </w:rPr>
        <w:t>本项目控制金额为人民币270000.00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lang w:eastAsia="zh-CN"/>
        </w:rPr>
        <w:t>服务内容</w:t>
      </w:r>
    </w:p>
    <w:p>
      <w:pPr>
        <w:pStyle w:val="7"/>
        <w:jc w:val="both"/>
        <w:rPr>
          <w:b/>
          <w:sz w:val="28"/>
          <w:szCs w:val="28"/>
        </w:rPr>
      </w:pPr>
      <w:r>
        <w:rPr>
          <w:rFonts w:hint="eastAsia"/>
          <w:b/>
        </w:rPr>
        <w:t>2.1</w:t>
      </w:r>
      <w:r>
        <w:rPr>
          <w:rFonts w:hint="eastAsia"/>
          <w:b/>
          <w:sz w:val="28"/>
          <w:szCs w:val="28"/>
        </w:rPr>
        <w:t>项目背景</w:t>
      </w:r>
    </w:p>
    <w:p>
      <w:pPr>
        <w:spacing w:line="360" w:lineRule="auto"/>
        <w:ind w:firstLine="480" w:firstLineChars="200"/>
        <w:rPr>
          <w:rFonts w:ascii="仿宋" w:hAnsi="仿宋"/>
          <w:sz w:val="24"/>
        </w:rPr>
      </w:pPr>
      <w:r>
        <w:rPr>
          <w:rFonts w:hint="eastAsia" w:ascii="仿宋" w:hAnsi="仿宋" w:cs="宋体"/>
          <w:kern w:val="0"/>
          <w:sz w:val="24"/>
        </w:rPr>
        <w:t>深圳市龙华区卫生健康局</w:t>
      </w:r>
      <w:r>
        <w:rPr>
          <w:rFonts w:hint="eastAsia" w:ascii="仿宋" w:hAnsi="仿宋"/>
          <w:sz w:val="24"/>
        </w:rPr>
        <w:t>依据《中华人民共和国网络安全法》、《中华人民共和国数据安全法》，按照广</w:t>
      </w:r>
      <w:r>
        <w:rPr>
          <w:rFonts w:ascii="仿宋" w:hAnsi="仿宋"/>
          <w:sz w:val="24"/>
        </w:rPr>
        <w:t>东</w:t>
      </w:r>
      <w:r>
        <w:rPr>
          <w:rFonts w:hint="eastAsia" w:ascii="仿宋" w:hAnsi="仿宋"/>
          <w:sz w:val="24"/>
        </w:rPr>
        <w:t>省</w:t>
      </w:r>
      <w:r>
        <w:rPr>
          <w:rFonts w:ascii="仿宋" w:hAnsi="仿宋"/>
          <w:sz w:val="24"/>
        </w:rPr>
        <w:t>和</w:t>
      </w:r>
      <w:r>
        <w:rPr>
          <w:rFonts w:hint="eastAsia" w:ascii="仿宋" w:hAnsi="仿宋"/>
          <w:sz w:val="24"/>
        </w:rPr>
        <w:t>深圳市公安网监部门工作部署要求，针对</w:t>
      </w:r>
      <w:r>
        <w:rPr>
          <w:rFonts w:hint="eastAsia" w:ascii="仿宋" w:hAnsi="仿宋" w:cs="宋体"/>
          <w:kern w:val="0"/>
          <w:sz w:val="24"/>
        </w:rPr>
        <w:t>深圳市龙华区卫生健康局</w:t>
      </w:r>
      <w:r>
        <w:rPr>
          <w:rFonts w:hint="eastAsia" w:ascii="仿宋" w:hAnsi="仿宋"/>
          <w:sz w:val="24"/>
        </w:rPr>
        <w:t>正在运行使用的3</w:t>
      </w:r>
      <w:r>
        <w:rPr>
          <w:rFonts w:ascii="仿宋" w:hAnsi="仿宋"/>
          <w:sz w:val="24"/>
        </w:rPr>
        <w:t>个</w:t>
      </w:r>
      <w:r>
        <w:rPr>
          <w:rFonts w:hint="eastAsia" w:ascii="仿宋" w:hAnsi="仿宋"/>
          <w:sz w:val="24"/>
        </w:rPr>
        <w:t>三级</w:t>
      </w:r>
      <w:r>
        <w:rPr>
          <w:rFonts w:ascii="仿宋" w:hAnsi="仿宋"/>
          <w:sz w:val="24"/>
        </w:rPr>
        <w:t>信息系统(</w:t>
      </w:r>
      <w:r>
        <w:rPr>
          <w:rFonts w:hint="eastAsia" w:ascii="仿宋" w:hAnsi="仿宋"/>
          <w:sz w:val="24"/>
        </w:rPr>
        <w:t>麻醉药品安全管理系统、护理交互系统和智慧病房系统、健康导引系统</w:t>
      </w:r>
      <w:r>
        <w:rPr>
          <w:rFonts w:ascii="仿宋" w:hAnsi="仿宋"/>
          <w:sz w:val="24"/>
        </w:rPr>
        <w:t>)，落实开展网络安全等级保护测评工作。按照</w:t>
      </w:r>
      <w:r>
        <w:rPr>
          <w:rFonts w:hint="eastAsia" w:ascii="仿宋" w:hAnsi="仿宋"/>
          <w:sz w:val="24"/>
        </w:rPr>
        <w:t>最</w:t>
      </w:r>
      <w:r>
        <w:rPr>
          <w:rFonts w:ascii="仿宋" w:hAnsi="仿宋"/>
          <w:sz w:val="24"/>
        </w:rPr>
        <w:t>新等级保护</w:t>
      </w:r>
      <w:r>
        <w:rPr>
          <w:rFonts w:hint="eastAsia" w:ascii="仿宋" w:hAnsi="仿宋"/>
          <w:sz w:val="24"/>
        </w:rPr>
        <w:t>2.0</w:t>
      </w:r>
      <w:r>
        <w:rPr>
          <w:rFonts w:ascii="仿宋" w:hAnsi="仿宋"/>
          <w:sz w:val="24"/>
        </w:rPr>
        <w:t>国家标准规范进行评测，找出存在的差距和不足，提出整改修复意见</w:t>
      </w:r>
      <w:r>
        <w:rPr>
          <w:rFonts w:hint="eastAsia" w:ascii="仿宋" w:hAnsi="仿宋"/>
          <w:sz w:val="24"/>
        </w:rPr>
        <w:t>及协助执行修复措施</w:t>
      </w:r>
      <w:r>
        <w:rPr>
          <w:rFonts w:ascii="仿宋" w:hAnsi="仿宋"/>
          <w:sz w:val="24"/>
        </w:rPr>
        <w:t>。</w:t>
      </w:r>
    </w:p>
    <w:p>
      <w:pPr>
        <w:spacing w:line="360" w:lineRule="auto"/>
        <w:ind w:firstLine="480" w:firstLineChars="200"/>
        <w:rPr>
          <w:rFonts w:ascii="仿宋" w:hAnsi="仿宋" w:cs="宋体"/>
          <w:color w:val="000000"/>
          <w:sz w:val="24"/>
        </w:rPr>
      </w:pPr>
      <w:r>
        <w:rPr>
          <w:rFonts w:hint="eastAsia" w:ascii="仿宋" w:hAnsi="仿宋" w:cs="宋体"/>
          <w:color w:val="000000"/>
          <w:sz w:val="24"/>
        </w:rPr>
        <w:t>由于近年来信息安全事件越来越多是针对业务应用的入侵和拒绝服务攻击，为此，信息系统的安全性、可用性及业务连续性是</w:t>
      </w:r>
      <w:r>
        <w:rPr>
          <w:rFonts w:hint="eastAsia" w:ascii="仿宋" w:hAnsi="仿宋" w:cs="宋体"/>
          <w:kern w:val="0"/>
          <w:sz w:val="24"/>
        </w:rPr>
        <w:t>深圳市龙华区卫生健康局</w:t>
      </w:r>
      <w:r>
        <w:rPr>
          <w:rFonts w:hint="eastAsia" w:ascii="仿宋" w:hAnsi="仿宋" w:cs="宋体"/>
          <w:color w:val="000000"/>
          <w:sz w:val="24"/>
        </w:rPr>
        <w:t>所面临的主要问题。面对这种问题，单位有必要对信息系统及网站开展信息安全检测工作，通过网络安全核查、准入检测、风险评估、漏洞扫描、渗透测评等手段对提前发现系统潜在的安全风险，及时修补漏洞，以规避安全事件的发生，通过此项工作能预警、减免大量日常信息安全管理和运维中产生的安全风险，确保系统安全、可靠运行。</w:t>
      </w:r>
    </w:p>
    <w:p>
      <w:pPr>
        <w:pStyle w:val="7"/>
        <w:jc w:val="both"/>
        <w:rPr>
          <w:b/>
          <w:sz w:val="28"/>
          <w:szCs w:val="28"/>
        </w:rPr>
      </w:pPr>
      <w:r>
        <w:rPr>
          <w:rFonts w:hint="eastAsia"/>
          <w:b/>
          <w:sz w:val="28"/>
          <w:szCs w:val="28"/>
        </w:rPr>
        <w:t>2.2遵循技术</w:t>
      </w:r>
      <w:r>
        <w:rPr>
          <w:b/>
          <w:sz w:val="28"/>
          <w:szCs w:val="28"/>
        </w:rPr>
        <w:t>标准</w:t>
      </w:r>
      <w:r>
        <w:rPr>
          <w:rFonts w:hint="eastAsia"/>
          <w:b/>
          <w:sz w:val="28"/>
          <w:szCs w:val="28"/>
        </w:rPr>
        <w:t>规范</w:t>
      </w:r>
    </w:p>
    <w:p>
      <w:pPr>
        <w:spacing w:line="360" w:lineRule="auto"/>
        <w:ind w:firstLine="480" w:firstLineChars="200"/>
        <w:rPr>
          <w:rFonts w:ascii="仿宋" w:hAnsi="仿宋"/>
          <w:sz w:val="24"/>
        </w:rPr>
      </w:pPr>
      <w:r>
        <w:rPr>
          <w:rFonts w:hint="eastAsia" w:ascii="仿宋" w:hAnsi="仿宋"/>
          <w:sz w:val="24"/>
        </w:rPr>
        <w:t>本项目信息系统测评规范必须强制性遵循国家相关文件和标准，严格根据国</w:t>
      </w:r>
      <w:r>
        <w:rPr>
          <w:rFonts w:ascii="仿宋" w:hAnsi="仿宋"/>
          <w:sz w:val="24"/>
        </w:rPr>
        <w:t>家</w:t>
      </w:r>
      <w:r>
        <w:rPr>
          <w:rFonts w:hint="eastAsia" w:ascii="仿宋" w:hAnsi="仿宋"/>
          <w:sz w:val="24"/>
        </w:rPr>
        <w:t>法律法规</w:t>
      </w:r>
      <w:r>
        <w:rPr>
          <w:rFonts w:ascii="仿宋" w:hAnsi="仿宋"/>
          <w:sz w:val="24"/>
        </w:rPr>
        <w:t>与测评</w:t>
      </w:r>
      <w:r>
        <w:rPr>
          <w:rFonts w:hint="eastAsia" w:ascii="仿宋" w:hAnsi="仿宋"/>
          <w:sz w:val="24"/>
        </w:rPr>
        <w:t>标准及规范进行测评、</w:t>
      </w:r>
      <w:r>
        <w:rPr>
          <w:rFonts w:ascii="仿宋" w:hAnsi="仿宋"/>
          <w:sz w:val="24"/>
        </w:rPr>
        <w:t>整改、</w:t>
      </w:r>
      <w:r>
        <w:rPr>
          <w:rFonts w:hint="eastAsia" w:ascii="仿宋" w:hAnsi="仿宋"/>
          <w:sz w:val="24"/>
        </w:rPr>
        <w:t>持续保护等</w:t>
      </w:r>
      <w:r>
        <w:rPr>
          <w:rFonts w:ascii="仿宋" w:hAnsi="仿宋"/>
          <w:sz w:val="24"/>
        </w:rPr>
        <w:t>措施</w:t>
      </w:r>
      <w:r>
        <w:rPr>
          <w:rFonts w:hint="eastAsia" w:ascii="仿宋" w:hAnsi="仿宋"/>
          <w:sz w:val="24"/>
        </w:rPr>
        <w:t>，包括但不限于：</w:t>
      </w:r>
    </w:p>
    <w:p>
      <w:pPr>
        <w:spacing w:line="360" w:lineRule="auto"/>
        <w:ind w:firstLine="480" w:firstLineChars="200"/>
        <w:rPr>
          <w:rFonts w:ascii="仿宋" w:hAnsi="仿宋"/>
          <w:sz w:val="24"/>
        </w:rPr>
      </w:pPr>
      <w:r>
        <w:rPr>
          <w:rFonts w:hint="eastAsia" w:ascii="仿宋" w:hAnsi="仿宋"/>
          <w:sz w:val="24"/>
        </w:rPr>
        <w:t>《关于信息安全等级保护工作的实施意见》（公通字</w:t>
      </w:r>
      <w:r>
        <w:rPr>
          <w:rFonts w:ascii="仿宋" w:hAnsi="仿宋"/>
          <w:sz w:val="24"/>
        </w:rPr>
        <w:t>[2004]66号）</w:t>
      </w:r>
    </w:p>
    <w:p>
      <w:pPr>
        <w:spacing w:line="360" w:lineRule="auto"/>
        <w:ind w:firstLine="480" w:firstLineChars="200"/>
        <w:rPr>
          <w:rFonts w:ascii="仿宋" w:hAnsi="仿宋"/>
          <w:sz w:val="24"/>
        </w:rPr>
      </w:pPr>
      <w:r>
        <w:rPr>
          <w:rFonts w:hint="eastAsia" w:ascii="仿宋" w:hAnsi="仿宋"/>
          <w:sz w:val="24"/>
        </w:rPr>
        <w:t>《信息安全等级保护备案实施细则》</w:t>
      </w:r>
      <w:r>
        <w:rPr>
          <w:rFonts w:ascii="仿宋" w:hAnsi="仿宋"/>
          <w:sz w:val="24"/>
        </w:rPr>
        <w:t>(公信安[2007]1360号)</w:t>
      </w:r>
    </w:p>
    <w:p>
      <w:pPr>
        <w:spacing w:line="360" w:lineRule="auto"/>
        <w:ind w:firstLine="480" w:firstLineChars="200"/>
        <w:rPr>
          <w:rFonts w:ascii="仿宋" w:hAnsi="仿宋"/>
          <w:sz w:val="24"/>
        </w:rPr>
      </w:pPr>
      <w:r>
        <w:rPr>
          <w:rFonts w:ascii="仿宋" w:hAnsi="仿宋"/>
          <w:sz w:val="24"/>
        </w:rPr>
        <w:t>GB/T22240-2020</w:t>
      </w:r>
      <w:r>
        <w:rPr>
          <w:rFonts w:hint="eastAsia" w:ascii="仿宋" w:hAnsi="仿宋"/>
          <w:sz w:val="24"/>
        </w:rPr>
        <w:t>《</w:t>
      </w:r>
      <w:r>
        <w:rPr>
          <w:rFonts w:ascii="仿宋" w:hAnsi="仿宋"/>
          <w:sz w:val="24"/>
        </w:rPr>
        <w:t>信息安全技术 网络安全等级保护定级指南</w:t>
      </w:r>
      <w:r>
        <w:rPr>
          <w:rFonts w:hint="eastAsia" w:ascii="仿宋" w:hAnsi="仿宋"/>
          <w:sz w:val="24"/>
        </w:rPr>
        <w:t>》</w:t>
      </w:r>
    </w:p>
    <w:p>
      <w:pPr>
        <w:spacing w:line="360" w:lineRule="auto"/>
        <w:ind w:firstLine="480" w:firstLineChars="200"/>
        <w:rPr>
          <w:rFonts w:ascii="仿宋" w:hAnsi="仿宋"/>
          <w:sz w:val="24"/>
        </w:rPr>
      </w:pPr>
      <w:r>
        <w:rPr>
          <w:rFonts w:ascii="仿宋" w:hAnsi="仿宋"/>
          <w:sz w:val="24"/>
        </w:rPr>
        <w:t>GB/T25058-2019</w:t>
      </w:r>
      <w:r>
        <w:rPr>
          <w:rFonts w:hint="eastAsia" w:ascii="仿宋" w:hAnsi="仿宋"/>
          <w:sz w:val="24"/>
        </w:rPr>
        <w:t>《</w:t>
      </w:r>
      <w:r>
        <w:rPr>
          <w:rFonts w:ascii="仿宋" w:hAnsi="仿宋"/>
          <w:sz w:val="24"/>
        </w:rPr>
        <w:t>信息安全技术网络安全等级保护实施指南</w:t>
      </w:r>
      <w:r>
        <w:rPr>
          <w:rFonts w:hint="eastAsia" w:ascii="仿宋" w:hAnsi="仿宋"/>
          <w:sz w:val="24"/>
        </w:rPr>
        <w:t>》</w:t>
      </w:r>
    </w:p>
    <w:p>
      <w:pPr>
        <w:spacing w:line="360" w:lineRule="auto"/>
        <w:ind w:firstLine="480" w:firstLineChars="200"/>
        <w:rPr>
          <w:rFonts w:ascii="仿宋" w:hAnsi="仿宋"/>
          <w:sz w:val="24"/>
        </w:rPr>
      </w:pPr>
      <w:r>
        <w:rPr>
          <w:rFonts w:ascii="仿宋" w:hAnsi="仿宋"/>
          <w:sz w:val="24"/>
        </w:rPr>
        <w:t>GB/T28448-2019</w:t>
      </w:r>
      <w:r>
        <w:rPr>
          <w:rFonts w:hint="eastAsia" w:ascii="仿宋" w:hAnsi="仿宋"/>
          <w:sz w:val="24"/>
        </w:rPr>
        <w:t>《</w:t>
      </w:r>
      <w:r>
        <w:rPr>
          <w:rFonts w:ascii="仿宋" w:hAnsi="仿宋"/>
          <w:sz w:val="24"/>
        </w:rPr>
        <w:t>信息安全技术网络安全等级保护测评要求</w:t>
      </w:r>
      <w:r>
        <w:rPr>
          <w:rFonts w:hint="eastAsia" w:ascii="仿宋" w:hAnsi="仿宋"/>
          <w:sz w:val="24"/>
        </w:rPr>
        <w:t>》</w:t>
      </w:r>
    </w:p>
    <w:p>
      <w:pPr>
        <w:spacing w:line="360" w:lineRule="auto"/>
        <w:ind w:firstLine="480" w:firstLineChars="200"/>
        <w:rPr>
          <w:rFonts w:ascii="仿宋" w:hAnsi="仿宋"/>
          <w:sz w:val="24"/>
        </w:rPr>
      </w:pPr>
      <w:r>
        <w:rPr>
          <w:rFonts w:ascii="仿宋" w:hAnsi="仿宋"/>
          <w:sz w:val="24"/>
        </w:rPr>
        <w:t>GB/T22239-2019</w:t>
      </w:r>
      <w:r>
        <w:rPr>
          <w:rFonts w:hint="eastAsia" w:ascii="仿宋" w:hAnsi="仿宋"/>
          <w:sz w:val="24"/>
        </w:rPr>
        <w:t>《</w:t>
      </w:r>
      <w:r>
        <w:rPr>
          <w:rFonts w:ascii="仿宋" w:hAnsi="仿宋"/>
          <w:sz w:val="24"/>
        </w:rPr>
        <w:t>信息安全技术网络安全等级保护基本要求</w:t>
      </w:r>
      <w:r>
        <w:rPr>
          <w:rFonts w:hint="eastAsia" w:ascii="仿宋" w:hAnsi="仿宋"/>
          <w:sz w:val="24"/>
        </w:rPr>
        <w:t>》</w:t>
      </w:r>
    </w:p>
    <w:p>
      <w:pPr>
        <w:spacing w:line="360" w:lineRule="auto"/>
        <w:ind w:firstLine="480" w:firstLineChars="200"/>
        <w:rPr>
          <w:rFonts w:ascii="仿宋" w:hAnsi="仿宋"/>
          <w:sz w:val="24"/>
        </w:rPr>
      </w:pPr>
      <w:r>
        <w:rPr>
          <w:rFonts w:ascii="仿宋" w:hAnsi="仿宋"/>
          <w:sz w:val="24"/>
        </w:rPr>
        <w:t>GB/T25070-2019《信息安全技术 网络安全等级保护安全设计技术要求</w:t>
      </w:r>
      <w:r>
        <w:rPr>
          <w:rFonts w:hint="eastAsia" w:ascii="仿宋" w:hAnsi="仿宋"/>
          <w:sz w:val="24"/>
        </w:rPr>
        <w:t>》</w:t>
      </w:r>
    </w:p>
    <w:p>
      <w:pPr>
        <w:spacing w:line="360" w:lineRule="auto"/>
        <w:ind w:firstLine="480" w:firstLineChars="200"/>
        <w:rPr>
          <w:rFonts w:ascii="仿宋" w:hAnsi="仿宋"/>
          <w:sz w:val="24"/>
        </w:rPr>
      </w:pPr>
      <w:r>
        <w:rPr>
          <w:rFonts w:ascii="仿宋" w:hAnsi="仿宋"/>
          <w:sz w:val="24"/>
        </w:rPr>
        <w:t>GB</w:t>
      </w:r>
      <w:r>
        <w:rPr>
          <w:rFonts w:hint="eastAsia" w:ascii="仿宋" w:hAnsi="仿宋"/>
          <w:sz w:val="24"/>
        </w:rPr>
        <w:t>/</w:t>
      </w:r>
      <w:r>
        <w:rPr>
          <w:rFonts w:ascii="仿宋" w:hAnsi="仿宋"/>
          <w:sz w:val="24"/>
        </w:rPr>
        <w:t>T28449-2018</w:t>
      </w:r>
      <w:r>
        <w:rPr>
          <w:rFonts w:hint="eastAsia" w:ascii="仿宋" w:hAnsi="仿宋"/>
          <w:sz w:val="24"/>
        </w:rPr>
        <w:t>《</w:t>
      </w:r>
      <w:r>
        <w:rPr>
          <w:rFonts w:ascii="仿宋" w:hAnsi="仿宋"/>
          <w:sz w:val="24"/>
        </w:rPr>
        <w:t>信息安全技术网络安全等级保护测评过程指南标准文件</w:t>
      </w:r>
      <w:r>
        <w:rPr>
          <w:rFonts w:hint="eastAsia" w:ascii="仿宋" w:hAnsi="仿宋"/>
          <w:sz w:val="24"/>
        </w:rPr>
        <w:t>》</w:t>
      </w:r>
    </w:p>
    <w:p>
      <w:pPr>
        <w:spacing w:line="360" w:lineRule="auto"/>
        <w:ind w:firstLine="480" w:firstLineChars="200"/>
        <w:rPr>
          <w:rFonts w:ascii="仿宋" w:hAnsi="仿宋"/>
          <w:sz w:val="24"/>
        </w:rPr>
      </w:pPr>
      <w:r>
        <w:rPr>
          <w:rFonts w:ascii="仿宋" w:hAnsi="仿宋"/>
          <w:sz w:val="24"/>
        </w:rPr>
        <w:t>GB/T36627-2018</w:t>
      </w:r>
      <w:r>
        <w:rPr>
          <w:rFonts w:hint="eastAsia" w:ascii="仿宋" w:hAnsi="仿宋"/>
          <w:sz w:val="24"/>
        </w:rPr>
        <w:t>《</w:t>
      </w:r>
      <w:r>
        <w:rPr>
          <w:rFonts w:ascii="仿宋" w:hAnsi="仿宋"/>
          <w:sz w:val="24"/>
        </w:rPr>
        <w:t>网络安全等级保护测试评估技术指南</w:t>
      </w:r>
      <w:r>
        <w:rPr>
          <w:rFonts w:hint="eastAsia" w:ascii="仿宋" w:hAnsi="仿宋"/>
          <w:sz w:val="24"/>
        </w:rPr>
        <w:t>》</w:t>
      </w:r>
    </w:p>
    <w:p>
      <w:pPr>
        <w:spacing w:line="360" w:lineRule="auto"/>
        <w:ind w:firstLine="480" w:firstLineChars="200"/>
        <w:rPr>
          <w:rFonts w:ascii="仿宋" w:hAnsi="仿宋"/>
          <w:sz w:val="24"/>
        </w:rPr>
      </w:pPr>
      <w:r>
        <w:rPr>
          <w:rFonts w:ascii="仿宋" w:hAnsi="仿宋"/>
          <w:sz w:val="24"/>
        </w:rPr>
        <w:t>GB17859-1999</w:t>
      </w:r>
      <w:r>
        <w:rPr>
          <w:rFonts w:hint="eastAsia" w:ascii="仿宋" w:hAnsi="仿宋"/>
          <w:sz w:val="24"/>
        </w:rPr>
        <w:t>《</w:t>
      </w:r>
      <w:r>
        <w:rPr>
          <w:rFonts w:ascii="仿宋" w:hAnsi="仿宋"/>
          <w:sz w:val="24"/>
        </w:rPr>
        <w:t>计算机信息系统安全等级保护划分准则</w:t>
      </w:r>
      <w:r>
        <w:rPr>
          <w:rFonts w:hint="eastAsia" w:ascii="仿宋" w:hAnsi="仿宋"/>
          <w:sz w:val="24"/>
        </w:rPr>
        <w:t>》</w:t>
      </w:r>
    </w:p>
    <w:p>
      <w:pPr>
        <w:spacing w:line="360" w:lineRule="auto"/>
        <w:ind w:firstLine="480" w:firstLineChars="200"/>
        <w:rPr>
          <w:rFonts w:ascii="仿宋" w:hAnsi="仿宋"/>
          <w:sz w:val="24"/>
        </w:rPr>
      </w:pPr>
      <w:r>
        <w:rPr>
          <w:rFonts w:ascii="仿宋" w:hAnsi="仿宋"/>
          <w:sz w:val="24"/>
        </w:rPr>
        <w:t>GB/T30276-2020</w:t>
      </w:r>
      <w:r>
        <w:rPr>
          <w:rFonts w:hint="eastAsia" w:ascii="仿宋" w:hAnsi="仿宋"/>
          <w:sz w:val="24"/>
        </w:rPr>
        <w:t>《</w:t>
      </w:r>
      <w:r>
        <w:rPr>
          <w:rFonts w:ascii="仿宋" w:hAnsi="仿宋"/>
          <w:sz w:val="24"/>
        </w:rPr>
        <w:t>信息安全技术 网络安全漏洞管理规范</w:t>
      </w:r>
      <w:r>
        <w:rPr>
          <w:rFonts w:hint="eastAsia" w:ascii="仿宋" w:hAnsi="仿宋"/>
          <w:sz w:val="24"/>
        </w:rPr>
        <w:t>》</w:t>
      </w:r>
    </w:p>
    <w:p>
      <w:pPr>
        <w:pStyle w:val="7"/>
        <w:jc w:val="left"/>
        <w:rPr>
          <w:b/>
          <w:sz w:val="28"/>
        </w:rPr>
      </w:pPr>
      <w:r>
        <w:rPr>
          <w:rFonts w:hint="eastAsia"/>
          <w:b/>
          <w:sz w:val="28"/>
        </w:rPr>
        <w:t>2.3项目服务目标</w:t>
      </w:r>
    </w:p>
    <w:p>
      <w:pPr>
        <w:spacing w:line="360" w:lineRule="auto"/>
        <w:ind w:firstLine="480" w:firstLineChars="200"/>
        <w:rPr>
          <w:rFonts w:ascii="仿宋" w:hAnsi="仿宋"/>
          <w:sz w:val="24"/>
        </w:rPr>
      </w:pPr>
      <w:r>
        <w:rPr>
          <w:rFonts w:ascii="仿宋" w:hAnsi="仿宋"/>
          <w:sz w:val="24"/>
        </w:rPr>
        <w:t>为贯彻落实国家信息安全等级保护制度，规范和指导全国卫生行业信息安全等级保护工作，按照《信息安全等级保护管理办法》公通字〔2007〕43号及《卫生行业信息安全等级保护工作的指导意见》卫办发〔2011〕85号，针对单位信息系统开展年度性的网络安全等级保护测评工作，并通过漏洞扫描、风险检测、配置核查等手段提高网络安全防御。</w:t>
      </w:r>
    </w:p>
    <w:p>
      <w:pPr>
        <w:spacing w:line="360" w:lineRule="auto"/>
        <w:jc w:val="left"/>
        <w:rPr>
          <w:b/>
          <w:kern w:val="0"/>
          <w:sz w:val="28"/>
          <w:szCs w:val="20"/>
        </w:rPr>
      </w:pPr>
      <w:r>
        <w:rPr>
          <w:rFonts w:hint="eastAsia"/>
          <w:b/>
          <w:kern w:val="0"/>
          <w:sz w:val="28"/>
          <w:szCs w:val="20"/>
        </w:rPr>
        <w:t>2.4项目服务范围</w:t>
      </w:r>
    </w:p>
    <w:p>
      <w:pPr>
        <w:spacing w:line="360" w:lineRule="auto"/>
        <w:ind w:firstLine="480" w:firstLineChars="200"/>
        <w:rPr>
          <w:rFonts w:ascii="仿宋" w:hAnsi="仿宋"/>
          <w:sz w:val="24"/>
        </w:rPr>
      </w:pPr>
      <w:r>
        <w:rPr>
          <w:rFonts w:hint="eastAsia" w:ascii="仿宋" w:hAnsi="仿宋"/>
          <w:sz w:val="24"/>
        </w:rPr>
        <w:t>依据《信息安全等级保护管理办法》（公通字〔</w:t>
      </w:r>
      <w:r>
        <w:rPr>
          <w:rFonts w:ascii="仿宋" w:hAnsi="仿宋"/>
          <w:sz w:val="24"/>
        </w:rPr>
        <w:t>2007〕43号）、《</w:t>
      </w:r>
      <w:r>
        <w:rPr>
          <w:rFonts w:hint="eastAsia" w:ascii="仿宋" w:hAnsi="仿宋"/>
          <w:sz w:val="24"/>
        </w:rPr>
        <w:t>网络安全等级保护定级指南</w:t>
      </w:r>
      <w:r>
        <w:rPr>
          <w:rFonts w:ascii="仿宋" w:hAnsi="仿宋"/>
          <w:sz w:val="24"/>
        </w:rPr>
        <w:t>》、《</w:t>
      </w:r>
      <w:r>
        <w:rPr>
          <w:rFonts w:hint="eastAsia" w:ascii="仿宋" w:hAnsi="仿宋"/>
          <w:sz w:val="24"/>
        </w:rPr>
        <w:t>信息安全技术网络安全等级保护测评过程指南标准文件</w:t>
      </w:r>
      <w:r>
        <w:rPr>
          <w:rFonts w:ascii="仿宋" w:hAnsi="仿宋"/>
          <w:sz w:val="24"/>
        </w:rPr>
        <w:t>》和《</w:t>
      </w:r>
      <w:r>
        <w:rPr>
          <w:rFonts w:hint="eastAsia" w:ascii="仿宋" w:hAnsi="仿宋"/>
          <w:sz w:val="24"/>
        </w:rPr>
        <w:t>信息安全技术网络安全等级保护测评要求</w:t>
      </w:r>
      <w:r>
        <w:rPr>
          <w:rFonts w:ascii="仿宋" w:hAnsi="仿宋"/>
          <w:sz w:val="24"/>
        </w:rPr>
        <w:t>》，对</w:t>
      </w:r>
      <w:r>
        <w:rPr>
          <w:rFonts w:hint="eastAsia" w:ascii="仿宋" w:hAnsi="仿宋"/>
          <w:sz w:val="24"/>
        </w:rPr>
        <w:t>深圳市龙华区卫生健康局3个三级</w:t>
      </w:r>
      <w:r>
        <w:rPr>
          <w:rFonts w:ascii="仿宋" w:hAnsi="仿宋"/>
          <w:sz w:val="24"/>
        </w:rPr>
        <w:t>信息系统进行</w:t>
      </w:r>
      <w:r>
        <w:rPr>
          <w:rFonts w:hint="eastAsia" w:ascii="仿宋" w:hAnsi="仿宋"/>
          <w:sz w:val="24"/>
        </w:rPr>
        <w:t>整体</w:t>
      </w:r>
      <w:r>
        <w:rPr>
          <w:rFonts w:ascii="仿宋" w:hAnsi="仿宋"/>
          <w:sz w:val="24"/>
        </w:rPr>
        <w:t>测评工作，编写等</w:t>
      </w:r>
      <w:r>
        <w:rPr>
          <w:rFonts w:hint="eastAsia" w:ascii="仿宋" w:hAnsi="仿宋"/>
          <w:sz w:val="24"/>
        </w:rPr>
        <w:t>级保护</w:t>
      </w:r>
      <w:r>
        <w:rPr>
          <w:rFonts w:ascii="仿宋" w:hAnsi="仿宋"/>
          <w:sz w:val="24"/>
        </w:rPr>
        <w:t>测评报告</w:t>
      </w:r>
      <w:r>
        <w:rPr>
          <w:rFonts w:hint="eastAsia" w:ascii="仿宋" w:hAnsi="仿宋"/>
          <w:sz w:val="24"/>
        </w:rPr>
        <w:t>、</w:t>
      </w:r>
      <w:r>
        <w:rPr>
          <w:rFonts w:ascii="仿宋" w:hAnsi="仿宋"/>
          <w:sz w:val="24"/>
        </w:rPr>
        <w:t>整改</w:t>
      </w:r>
      <w:r>
        <w:rPr>
          <w:rFonts w:hint="eastAsia" w:ascii="仿宋" w:hAnsi="仿宋"/>
          <w:sz w:val="24"/>
        </w:rPr>
        <w:t>建议、处置</w:t>
      </w:r>
      <w:r>
        <w:rPr>
          <w:rFonts w:ascii="仿宋" w:hAnsi="仿宋"/>
          <w:sz w:val="24"/>
        </w:rPr>
        <w:t>措施</w:t>
      </w:r>
      <w:r>
        <w:rPr>
          <w:rFonts w:hint="eastAsia" w:ascii="仿宋" w:hAnsi="仿宋"/>
          <w:sz w:val="24"/>
        </w:rPr>
        <w:t>以及提供网络信息安全服务。</w:t>
      </w:r>
    </w:p>
    <w:p>
      <w:pPr>
        <w:pStyle w:val="39"/>
      </w:pPr>
      <w:r>
        <w:rPr>
          <w:rFonts w:hint="eastAsia"/>
        </w:rPr>
        <w:t>(1)、服务清单</w:t>
      </w:r>
    </w:p>
    <w:tbl>
      <w:tblPr>
        <w:tblStyle w:val="22"/>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402"/>
        <w:gridCol w:w="1984"/>
        <w:gridCol w:w="155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2" w:type="dxa"/>
            <w:vAlign w:val="center"/>
          </w:tcPr>
          <w:p>
            <w:pPr>
              <w:keepNext w:val="0"/>
              <w:keepLines w:val="0"/>
              <w:widowControl/>
              <w:suppressLineNumbers w:val="0"/>
              <w:spacing w:before="0" w:beforeAutospacing="0" w:after="0" w:afterAutospacing="0"/>
              <w:ind w:left="0" w:right="0"/>
              <w:jc w:val="center"/>
              <w:rPr>
                <w:rFonts w:ascii="仿宋" w:hAnsi="仿宋"/>
                <w:b/>
                <w:bCs/>
                <w:kern w:val="2"/>
                <w:sz w:val="24"/>
              </w:rPr>
            </w:pPr>
            <w:r>
              <w:rPr>
                <w:rFonts w:hint="eastAsia" w:ascii="仿宋" w:hAnsi="仿宋"/>
                <w:b/>
                <w:bCs/>
                <w:kern w:val="2"/>
                <w:sz w:val="24"/>
              </w:rPr>
              <w:t>序号</w:t>
            </w:r>
          </w:p>
        </w:tc>
        <w:tc>
          <w:tcPr>
            <w:tcW w:w="3402" w:type="dxa"/>
            <w:vAlign w:val="center"/>
          </w:tcPr>
          <w:p>
            <w:pPr>
              <w:keepNext w:val="0"/>
              <w:keepLines w:val="0"/>
              <w:widowControl/>
              <w:suppressLineNumbers w:val="0"/>
              <w:spacing w:before="0" w:beforeAutospacing="0" w:after="0" w:afterAutospacing="0"/>
              <w:ind w:left="0" w:right="0"/>
              <w:jc w:val="center"/>
              <w:rPr>
                <w:rFonts w:ascii="仿宋" w:hAnsi="仿宋"/>
                <w:b/>
                <w:bCs/>
                <w:kern w:val="2"/>
                <w:sz w:val="24"/>
              </w:rPr>
            </w:pPr>
            <w:r>
              <w:rPr>
                <w:rFonts w:hint="eastAsia" w:ascii="仿宋" w:hAnsi="仿宋"/>
                <w:b/>
                <w:bCs/>
                <w:kern w:val="2"/>
                <w:sz w:val="24"/>
              </w:rPr>
              <w:t>名称</w:t>
            </w:r>
          </w:p>
        </w:tc>
        <w:tc>
          <w:tcPr>
            <w:tcW w:w="1984" w:type="dxa"/>
            <w:vAlign w:val="center"/>
          </w:tcPr>
          <w:p>
            <w:pPr>
              <w:keepNext w:val="0"/>
              <w:keepLines w:val="0"/>
              <w:widowControl/>
              <w:suppressLineNumbers w:val="0"/>
              <w:spacing w:before="0" w:beforeAutospacing="0" w:after="0" w:afterAutospacing="0"/>
              <w:ind w:left="0" w:right="0"/>
              <w:jc w:val="center"/>
              <w:rPr>
                <w:rFonts w:ascii="仿宋" w:hAnsi="仿宋"/>
                <w:b/>
                <w:bCs/>
                <w:kern w:val="2"/>
                <w:sz w:val="24"/>
              </w:rPr>
            </w:pPr>
            <w:r>
              <w:rPr>
                <w:rFonts w:hint="eastAsia" w:ascii="仿宋" w:hAnsi="仿宋"/>
                <w:b/>
                <w:bCs/>
                <w:kern w:val="2"/>
                <w:sz w:val="24"/>
              </w:rPr>
              <w:t>拟定等级</w:t>
            </w:r>
          </w:p>
        </w:tc>
        <w:tc>
          <w:tcPr>
            <w:tcW w:w="1559" w:type="dxa"/>
          </w:tcPr>
          <w:p>
            <w:pPr>
              <w:keepNext w:val="0"/>
              <w:keepLines w:val="0"/>
              <w:widowControl/>
              <w:suppressLineNumbers w:val="0"/>
              <w:spacing w:before="0" w:beforeAutospacing="0" w:after="0" w:afterAutospacing="0"/>
              <w:ind w:left="0" w:right="0"/>
              <w:jc w:val="center"/>
              <w:rPr>
                <w:rFonts w:ascii="仿宋" w:hAnsi="仿宋"/>
                <w:b/>
                <w:bCs/>
                <w:kern w:val="2"/>
                <w:sz w:val="24"/>
              </w:rPr>
            </w:pPr>
            <w:r>
              <w:rPr>
                <w:rFonts w:hint="eastAsia" w:ascii="仿宋" w:hAnsi="仿宋"/>
                <w:b/>
                <w:bCs/>
                <w:kern w:val="2"/>
                <w:sz w:val="24"/>
              </w:rPr>
              <w:t>数量</w:t>
            </w:r>
          </w:p>
        </w:tc>
        <w:tc>
          <w:tcPr>
            <w:tcW w:w="2127" w:type="dxa"/>
            <w:vAlign w:val="center"/>
          </w:tcPr>
          <w:p>
            <w:pPr>
              <w:keepNext w:val="0"/>
              <w:keepLines w:val="0"/>
              <w:widowControl/>
              <w:suppressLineNumbers w:val="0"/>
              <w:spacing w:before="0" w:beforeAutospacing="0" w:after="0" w:afterAutospacing="0"/>
              <w:ind w:left="0" w:right="0"/>
              <w:jc w:val="center"/>
              <w:rPr>
                <w:rFonts w:ascii="仿宋" w:hAnsi="仿宋"/>
                <w:b/>
                <w:bCs/>
                <w:kern w:val="2"/>
                <w:sz w:val="24"/>
              </w:rPr>
            </w:pPr>
            <w:r>
              <w:rPr>
                <w:rFonts w:hint="eastAsia" w:ascii="仿宋" w:hAnsi="仿宋"/>
                <w:b/>
                <w:bCs/>
                <w:kern w:val="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924" w:type="dxa"/>
            <w:gridSpan w:val="5"/>
            <w:vAlign w:val="center"/>
          </w:tcPr>
          <w:p>
            <w:pPr>
              <w:keepNext w:val="0"/>
              <w:keepLines w:val="0"/>
              <w:widowControl/>
              <w:suppressLineNumbers w:val="0"/>
              <w:spacing w:before="0" w:beforeAutospacing="0" w:after="0" w:afterAutospacing="0"/>
              <w:ind w:left="0" w:right="0"/>
              <w:jc w:val="center"/>
              <w:rPr>
                <w:rFonts w:ascii="仿宋" w:hAnsi="仿宋"/>
                <w:b/>
                <w:kern w:val="2"/>
                <w:sz w:val="24"/>
              </w:rPr>
            </w:pPr>
            <w:r>
              <w:rPr>
                <w:rFonts w:hint="eastAsia" w:ascii="仿宋" w:hAnsi="仿宋"/>
                <w:b/>
                <w:kern w:val="2"/>
                <w:sz w:val="24"/>
              </w:rPr>
              <w:t>第一部分 等级保护测评服务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2" w:type="dxa"/>
            <w:vAlign w:val="center"/>
          </w:tcPr>
          <w:p>
            <w:pPr>
              <w:keepNext w:val="0"/>
              <w:keepLines w:val="0"/>
              <w:widowControl/>
              <w:suppressLineNumbers w:val="0"/>
              <w:spacing w:before="0" w:beforeAutospacing="0" w:after="0" w:afterAutospacing="0"/>
              <w:ind w:left="0" w:right="0" w:firstLine="240" w:firstLineChars="100"/>
              <w:rPr>
                <w:kern w:val="2"/>
                <w:sz w:val="24"/>
              </w:rPr>
            </w:pPr>
            <w:r>
              <w:rPr>
                <w:rFonts w:hint="eastAsia"/>
                <w:kern w:val="2"/>
                <w:sz w:val="24"/>
              </w:rPr>
              <w:t>1</w:t>
            </w:r>
          </w:p>
        </w:tc>
        <w:tc>
          <w:tcPr>
            <w:tcW w:w="3402" w:type="dxa"/>
            <w:vAlign w:val="center"/>
          </w:tcPr>
          <w:p>
            <w:pPr>
              <w:keepNext w:val="0"/>
              <w:keepLines w:val="0"/>
              <w:widowControl/>
              <w:suppressLineNumbers w:val="0"/>
              <w:spacing w:before="0" w:beforeAutospacing="0" w:after="0" w:afterAutospacing="0"/>
              <w:ind w:left="0" w:right="0"/>
              <w:jc w:val="center"/>
              <w:rPr>
                <w:rFonts w:ascii="仿宋" w:hAnsi="仿宋"/>
                <w:kern w:val="2"/>
                <w:sz w:val="24"/>
              </w:rPr>
            </w:pPr>
            <w:r>
              <w:rPr>
                <w:rFonts w:hint="eastAsia" w:ascii="仿宋" w:hAnsi="仿宋"/>
                <w:kern w:val="2"/>
                <w:sz w:val="24"/>
              </w:rPr>
              <w:t>麻醉药品安全管理系统</w:t>
            </w:r>
          </w:p>
        </w:tc>
        <w:tc>
          <w:tcPr>
            <w:tcW w:w="1984" w:type="dxa"/>
            <w:vAlign w:val="center"/>
          </w:tcPr>
          <w:p>
            <w:pPr>
              <w:keepNext w:val="0"/>
              <w:keepLines w:val="0"/>
              <w:widowControl/>
              <w:suppressLineNumbers w:val="0"/>
              <w:spacing w:before="0" w:beforeAutospacing="0" w:after="0" w:afterAutospacing="0"/>
              <w:ind w:left="0" w:right="0"/>
              <w:jc w:val="center"/>
              <w:rPr>
                <w:rFonts w:ascii="仿宋" w:hAnsi="仿宋"/>
                <w:kern w:val="2"/>
                <w:sz w:val="24"/>
              </w:rPr>
            </w:pPr>
            <w:r>
              <w:rPr>
                <w:rFonts w:hint="eastAsia" w:ascii="仿宋" w:hAnsi="仿宋"/>
                <w:kern w:val="2"/>
                <w:sz w:val="24"/>
              </w:rPr>
              <w:t>三级</w:t>
            </w:r>
          </w:p>
        </w:tc>
        <w:tc>
          <w:tcPr>
            <w:tcW w:w="1559" w:type="dxa"/>
          </w:tcPr>
          <w:p>
            <w:pPr>
              <w:keepNext w:val="0"/>
              <w:keepLines w:val="0"/>
              <w:widowControl/>
              <w:suppressLineNumbers w:val="0"/>
              <w:spacing w:before="0" w:beforeAutospacing="0" w:after="0" w:afterAutospacing="0"/>
              <w:ind w:left="0" w:right="0"/>
              <w:jc w:val="center"/>
              <w:rPr>
                <w:rFonts w:ascii="仿宋" w:hAnsi="仿宋"/>
                <w:kern w:val="2"/>
                <w:sz w:val="24"/>
              </w:rPr>
            </w:pPr>
            <w:r>
              <w:rPr>
                <w:rFonts w:hint="eastAsia" w:ascii="仿宋" w:hAnsi="仿宋"/>
                <w:kern w:val="2"/>
                <w:sz w:val="24"/>
              </w:rPr>
              <w:t>1</w:t>
            </w:r>
          </w:p>
        </w:tc>
        <w:tc>
          <w:tcPr>
            <w:tcW w:w="2127" w:type="dxa"/>
            <w:vAlign w:val="center"/>
          </w:tcPr>
          <w:p>
            <w:pPr>
              <w:keepNext w:val="0"/>
              <w:keepLines w:val="0"/>
              <w:widowControl/>
              <w:suppressLineNumbers w:val="0"/>
              <w:spacing w:before="0" w:beforeAutospacing="0" w:after="0" w:afterAutospacing="0"/>
              <w:ind w:left="0" w:right="0"/>
              <w:jc w:val="center"/>
              <w:rPr>
                <w:rFonts w:ascii="仿宋" w:hAnsi="仿宋"/>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2" w:type="dxa"/>
            <w:vAlign w:val="center"/>
          </w:tcPr>
          <w:p>
            <w:pPr>
              <w:keepNext w:val="0"/>
              <w:keepLines w:val="0"/>
              <w:widowControl/>
              <w:suppressLineNumbers w:val="0"/>
              <w:spacing w:before="0" w:beforeAutospacing="0" w:after="0" w:afterAutospacing="0"/>
              <w:ind w:left="0" w:right="0" w:firstLine="240" w:firstLineChars="100"/>
              <w:rPr>
                <w:kern w:val="2"/>
                <w:sz w:val="24"/>
              </w:rPr>
            </w:pPr>
            <w:r>
              <w:rPr>
                <w:rFonts w:hint="eastAsia"/>
                <w:kern w:val="2"/>
                <w:sz w:val="24"/>
              </w:rPr>
              <w:t>2</w:t>
            </w:r>
          </w:p>
        </w:tc>
        <w:tc>
          <w:tcPr>
            <w:tcW w:w="3402" w:type="dxa"/>
            <w:vAlign w:val="center"/>
          </w:tcPr>
          <w:p>
            <w:pPr>
              <w:pStyle w:val="11"/>
              <w:keepNext w:val="0"/>
              <w:keepLines w:val="0"/>
              <w:widowControl/>
              <w:suppressLineNumbers w:val="0"/>
              <w:adjustRightInd w:val="0"/>
              <w:snapToGrid w:val="0"/>
              <w:spacing w:before="0" w:beforeAutospacing="0" w:after="0" w:afterAutospacing="0" w:line="140" w:lineRule="atLeast"/>
              <w:ind w:left="0" w:right="0"/>
              <w:jc w:val="center"/>
              <w:rPr>
                <w:rFonts w:ascii="仿宋" w:hAnsi="仿宋"/>
                <w:kern w:val="2"/>
                <w:sz w:val="24"/>
                <w:szCs w:val="24"/>
              </w:rPr>
            </w:pPr>
            <w:r>
              <w:rPr>
                <w:rFonts w:hint="eastAsia" w:ascii="仿宋" w:hAnsi="仿宋"/>
                <w:kern w:val="2"/>
                <w:sz w:val="24"/>
                <w:szCs w:val="24"/>
              </w:rPr>
              <w:t>护理交互系统和智慧病房系统</w:t>
            </w:r>
          </w:p>
        </w:tc>
        <w:tc>
          <w:tcPr>
            <w:tcW w:w="1984" w:type="dxa"/>
            <w:vAlign w:val="center"/>
          </w:tcPr>
          <w:p>
            <w:pPr>
              <w:keepNext w:val="0"/>
              <w:keepLines w:val="0"/>
              <w:widowControl/>
              <w:suppressLineNumbers w:val="0"/>
              <w:spacing w:before="0" w:beforeAutospacing="0" w:after="0" w:afterAutospacing="0"/>
              <w:ind w:left="0" w:right="0"/>
              <w:jc w:val="center"/>
              <w:rPr>
                <w:rFonts w:ascii="仿宋" w:hAnsi="仿宋"/>
                <w:kern w:val="2"/>
                <w:sz w:val="24"/>
              </w:rPr>
            </w:pPr>
            <w:r>
              <w:rPr>
                <w:rFonts w:hint="eastAsia" w:ascii="仿宋" w:hAnsi="仿宋"/>
                <w:kern w:val="2"/>
                <w:sz w:val="24"/>
              </w:rPr>
              <w:t>三级</w:t>
            </w:r>
          </w:p>
        </w:tc>
        <w:tc>
          <w:tcPr>
            <w:tcW w:w="1559" w:type="dxa"/>
          </w:tcPr>
          <w:p>
            <w:pPr>
              <w:keepNext w:val="0"/>
              <w:keepLines w:val="0"/>
              <w:widowControl/>
              <w:suppressLineNumbers w:val="0"/>
              <w:spacing w:before="0" w:beforeAutospacing="0" w:after="0" w:afterAutospacing="0"/>
              <w:ind w:left="0" w:right="0"/>
              <w:jc w:val="center"/>
              <w:rPr>
                <w:rFonts w:ascii="仿宋" w:hAnsi="仿宋"/>
                <w:kern w:val="2"/>
                <w:sz w:val="24"/>
              </w:rPr>
            </w:pPr>
            <w:r>
              <w:rPr>
                <w:rFonts w:hint="eastAsia" w:ascii="仿宋" w:hAnsi="仿宋"/>
                <w:kern w:val="2"/>
                <w:sz w:val="24"/>
              </w:rPr>
              <w:t>1</w:t>
            </w:r>
          </w:p>
        </w:tc>
        <w:tc>
          <w:tcPr>
            <w:tcW w:w="2127" w:type="dxa"/>
            <w:vAlign w:val="center"/>
          </w:tcPr>
          <w:p>
            <w:pPr>
              <w:keepNext w:val="0"/>
              <w:keepLines w:val="0"/>
              <w:widowControl/>
              <w:suppressLineNumbers w:val="0"/>
              <w:spacing w:before="0" w:beforeAutospacing="0" w:after="0" w:afterAutospacing="0"/>
              <w:ind w:left="0" w:right="0"/>
              <w:jc w:val="center"/>
              <w:rPr>
                <w:rFonts w:ascii="仿宋" w:hAnsi="仿宋"/>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2" w:type="dxa"/>
            <w:vAlign w:val="center"/>
          </w:tcPr>
          <w:p>
            <w:pPr>
              <w:keepNext w:val="0"/>
              <w:keepLines w:val="0"/>
              <w:widowControl/>
              <w:suppressLineNumbers w:val="0"/>
              <w:spacing w:before="0" w:beforeAutospacing="0" w:after="0" w:afterAutospacing="0"/>
              <w:ind w:left="0" w:right="0" w:firstLine="240" w:firstLineChars="100"/>
              <w:rPr>
                <w:kern w:val="2"/>
                <w:sz w:val="24"/>
              </w:rPr>
            </w:pPr>
            <w:r>
              <w:rPr>
                <w:rFonts w:hint="eastAsia"/>
                <w:kern w:val="2"/>
                <w:sz w:val="24"/>
              </w:rPr>
              <w:t>3</w:t>
            </w:r>
          </w:p>
        </w:tc>
        <w:tc>
          <w:tcPr>
            <w:tcW w:w="3402" w:type="dxa"/>
            <w:vAlign w:val="center"/>
          </w:tcPr>
          <w:p>
            <w:pPr>
              <w:pStyle w:val="11"/>
              <w:keepNext w:val="0"/>
              <w:keepLines w:val="0"/>
              <w:widowControl/>
              <w:suppressLineNumbers w:val="0"/>
              <w:adjustRightInd w:val="0"/>
              <w:snapToGrid w:val="0"/>
              <w:spacing w:before="0" w:beforeAutospacing="0" w:after="0" w:afterAutospacing="0" w:line="140" w:lineRule="atLeast"/>
              <w:ind w:left="0" w:right="0"/>
              <w:jc w:val="center"/>
              <w:rPr>
                <w:rFonts w:ascii="仿宋" w:hAnsi="仿宋"/>
                <w:kern w:val="2"/>
                <w:sz w:val="24"/>
                <w:szCs w:val="24"/>
              </w:rPr>
            </w:pPr>
            <w:r>
              <w:rPr>
                <w:rFonts w:hint="eastAsia" w:ascii="仿宋" w:hAnsi="仿宋"/>
                <w:kern w:val="2"/>
                <w:sz w:val="24"/>
                <w:szCs w:val="24"/>
              </w:rPr>
              <w:t>健康导引系统</w:t>
            </w:r>
          </w:p>
        </w:tc>
        <w:tc>
          <w:tcPr>
            <w:tcW w:w="1984" w:type="dxa"/>
            <w:vAlign w:val="center"/>
          </w:tcPr>
          <w:p>
            <w:pPr>
              <w:keepNext w:val="0"/>
              <w:keepLines w:val="0"/>
              <w:widowControl/>
              <w:suppressLineNumbers w:val="0"/>
              <w:spacing w:before="0" w:beforeAutospacing="0" w:after="0" w:afterAutospacing="0"/>
              <w:ind w:left="0" w:right="0"/>
              <w:jc w:val="center"/>
              <w:rPr>
                <w:rFonts w:ascii="仿宋" w:hAnsi="仿宋"/>
                <w:kern w:val="2"/>
                <w:sz w:val="24"/>
              </w:rPr>
            </w:pPr>
            <w:r>
              <w:rPr>
                <w:rFonts w:hint="eastAsia" w:ascii="仿宋" w:hAnsi="仿宋"/>
                <w:kern w:val="2"/>
                <w:sz w:val="24"/>
              </w:rPr>
              <w:t>三级</w:t>
            </w:r>
          </w:p>
        </w:tc>
        <w:tc>
          <w:tcPr>
            <w:tcW w:w="1559" w:type="dxa"/>
          </w:tcPr>
          <w:p>
            <w:pPr>
              <w:keepNext w:val="0"/>
              <w:keepLines w:val="0"/>
              <w:widowControl/>
              <w:suppressLineNumbers w:val="0"/>
              <w:spacing w:before="0" w:beforeAutospacing="0" w:after="0" w:afterAutospacing="0"/>
              <w:ind w:left="0" w:right="0"/>
              <w:jc w:val="center"/>
              <w:rPr>
                <w:rFonts w:ascii="仿宋" w:hAnsi="仿宋"/>
                <w:kern w:val="2"/>
                <w:sz w:val="24"/>
              </w:rPr>
            </w:pPr>
            <w:r>
              <w:rPr>
                <w:rFonts w:hint="eastAsia" w:ascii="仿宋" w:hAnsi="仿宋"/>
                <w:kern w:val="2"/>
                <w:sz w:val="24"/>
              </w:rPr>
              <w:t>1</w:t>
            </w:r>
          </w:p>
        </w:tc>
        <w:tc>
          <w:tcPr>
            <w:tcW w:w="2127" w:type="dxa"/>
            <w:vAlign w:val="center"/>
          </w:tcPr>
          <w:p>
            <w:pPr>
              <w:keepNext w:val="0"/>
              <w:keepLines w:val="0"/>
              <w:widowControl/>
              <w:suppressLineNumbers w:val="0"/>
              <w:spacing w:before="0" w:beforeAutospacing="0" w:after="0" w:afterAutospacing="0"/>
              <w:ind w:left="0" w:right="0"/>
              <w:jc w:val="center"/>
              <w:rPr>
                <w:rFonts w:ascii="仿宋" w:hAnsi="仿宋"/>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keepNext w:val="0"/>
              <w:keepLines w:val="0"/>
              <w:widowControl/>
              <w:suppressLineNumbers w:val="0"/>
              <w:spacing w:before="0" w:beforeAutospacing="0" w:after="0" w:afterAutospacing="0"/>
              <w:ind w:left="0" w:right="0" w:firstLine="240" w:firstLineChars="100"/>
              <w:rPr>
                <w:kern w:val="2"/>
                <w:sz w:val="24"/>
              </w:rPr>
            </w:pPr>
            <w:r>
              <w:rPr>
                <w:rFonts w:hint="eastAsia"/>
                <w:kern w:val="2"/>
                <w:sz w:val="24"/>
              </w:rPr>
              <w:t>4</w:t>
            </w:r>
          </w:p>
        </w:tc>
        <w:tc>
          <w:tcPr>
            <w:tcW w:w="3402" w:type="dxa"/>
            <w:vAlign w:val="center"/>
          </w:tcPr>
          <w:p>
            <w:pPr>
              <w:pStyle w:val="11"/>
              <w:keepNext w:val="0"/>
              <w:keepLines w:val="0"/>
              <w:widowControl/>
              <w:suppressLineNumbers w:val="0"/>
              <w:adjustRightInd w:val="0"/>
              <w:snapToGrid w:val="0"/>
              <w:spacing w:before="0" w:beforeAutospacing="0" w:after="0" w:afterAutospacing="0" w:line="140" w:lineRule="atLeast"/>
              <w:ind w:left="0" w:right="0"/>
              <w:jc w:val="center"/>
              <w:rPr>
                <w:rFonts w:ascii="仿宋" w:hAnsi="仿宋"/>
                <w:kern w:val="2"/>
                <w:sz w:val="24"/>
                <w:szCs w:val="24"/>
              </w:rPr>
            </w:pPr>
            <w:r>
              <w:rPr>
                <w:rFonts w:hint="eastAsia" w:ascii="仿宋" w:hAnsi="仿宋"/>
                <w:kern w:val="2"/>
                <w:sz w:val="24"/>
                <w:szCs w:val="24"/>
              </w:rPr>
              <w:t>等保顾问咨询服务</w:t>
            </w:r>
          </w:p>
        </w:tc>
        <w:tc>
          <w:tcPr>
            <w:tcW w:w="5670" w:type="dxa"/>
            <w:gridSpan w:val="3"/>
            <w:vAlign w:val="center"/>
          </w:tcPr>
          <w:p>
            <w:pPr>
              <w:keepNext w:val="0"/>
              <w:keepLines w:val="0"/>
              <w:widowControl/>
              <w:suppressLineNumbers w:val="0"/>
              <w:spacing w:before="0" w:beforeAutospacing="0" w:after="0" w:afterAutospacing="0"/>
              <w:ind w:left="0" w:right="0"/>
              <w:jc w:val="left"/>
              <w:rPr>
                <w:rFonts w:ascii="仿宋" w:hAnsi="仿宋"/>
                <w:kern w:val="2"/>
                <w:sz w:val="24"/>
              </w:rPr>
            </w:pPr>
            <w:r>
              <w:rPr>
                <w:rFonts w:hint="eastAsia" w:ascii="仿宋" w:hAnsi="仿宋"/>
                <w:kern w:val="2"/>
                <w:sz w:val="24"/>
              </w:rPr>
              <w:t>（内容包含：定级备案、等保整改、安全制度梳理、安全规划服务、安全设计与实施服务、协助整改及安全加固服务、等级保护测评现场技术支持等服务）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24" w:type="dxa"/>
            <w:gridSpan w:val="5"/>
            <w:vAlign w:val="center"/>
          </w:tcPr>
          <w:p>
            <w:pPr>
              <w:keepNext w:val="0"/>
              <w:keepLines w:val="0"/>
              <w:widowControl/>
              <w:suppressLineNumbers w:val="0"/>
              <w:spacing w:before="0" w:beforeAutospacing="0" w:after="0" w:afterAutospacing="0"/>
              <w:ind w:left="0" w:right="0"/>
              <w:jc w:val="center"/>
              <w:rPr>
                <w:rFonts w:ascii="仿宋" w:hAnsi="仿宋"/>
                <w:b/>
                <w:kern w:val="2"/>
                <w:sz w:val="24"/>
              </w:rPr>
            </w:pPr>
            <w:r>
              <w:rPr>
                <w:rFonts w:hint="eastAsia" w:ascii="仿宋" w:hAnsi="仿宋"/>
                <w:b/>
                <w:kern w:val="2"/>
                <w:sz w:val="24"/>
              </w:rPr>
              <w:t>第二部分 信息安全服务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52" w:type="dxa"/>
            <w:vAlign w:val="center"/>
          </w:tcPr>
          <w:p>
            <w:pPr>
              <w:keepNext w:val="0"/>
              <w:keepLines w:val="0"/>
              <w:widowControl/>
              <w:suppressLineNumbers w:val="0"/>
              <w:spacing w:before="0" w:beforeAutospacing="0" w:after="0" w:afterAutospacing="0"/>
              <w:ind w:left="0" w:right="0"/>
              <w:jc w:val="center"/>
              <w:rPr>
                <w:rFonts w:ascii="仿宋" w:hAnsi="仿宋"/>
                <w:b/>
                <w:bCs/>
                <w:kern w:val="2"/>
                <w:sz w:val="24"/>
              </w:rPr>
            </w:pPr>
            <w:r>
              <w:rPr>
                <w:rFonts w:hint="eastAsia" w:ascii="仿宋" w:hAnsi="仿宋"/>
                <w:b/>
                <w:bCs/>
                <w:kern w:val="2"/>
                <w:sz w:val="24"/>
              </w:rPr>
              <w:t>序号</w:t>
            </w:r>
          </w:p>
        </w:tc>
        <w:tc>
          <w:tcPr>
            <w:tcW w:w="3402" w:type="dxa"/>
            <w:vAlign w:val="center"/>
          </w:tcPr>
          <w:p>
            <w:pPr>
              <w:keepNext w:val="0"/>
              <w:keepLines w:val="0"/>
              <w:widowControl/>
              <w:suppressLineNumbers w:val="0"/>
              <w:spacing w:before="0" w:beforeAutospacing="0" w:after="0" w:afterAutospacing="0"/>
              <w:ind w:left="0" w:right="0"/>
              <w:jc w:val="center"/>
              <w:rPr>
                <w:rFonts w:ascii="仿宋" w:hAnsi="仿宋"/>
                <w:b/>
                <w:bCs/>
                <w:kern w:val="2"/>
                <w:sz w:val="24"/>
              </w:rPr>
            </w:pPr>
            <w:r>
              <w:rPr>
                <w:rFonts w:hint="eastAsia" w:ascii="仿宋" w:hAnsi="仿宋" w:eastAsia="宋体"/>
                <w:b/>
                <w:bCs/>
                <w:kern w:val="2"/>
                <w:sz w:val="24"/>
                <w:lang w:val="en-US" w:eastAsia="zh-CN"/>
              </w:rPr>
              <w:t>分项</w:t>
            </w:r>
            <w:r>
              <w:rPr>
                <w:rFonts w:hint="eastAsia" w:ascii="仿宋" w:hAnsi="仿宋"/>
                <w:b/>
                <w:bCs/>
                <w:kern w:val="2"/>
                <w:sz w:val="24"/>
              </w:rPr>
              <w:t>名称</w:t>
            </w:r>
          </w:p>
        </w:tc>
        <w:tc>
          <w:tcPr>
            <w:tcW w:w="5670" w:type="dxa"/>
            <w:gridSpan w:val="3"/>
            <w:vAlign w:val="center"/>
          </w:tcPr>
          <w:p>
            <w:pPr>
              <w:keepNext w:val="0"/>
              <w:keepLines w:val="0"/>
              <w:widowControl/>
              <w:suppressLineNumbers w:val="0"/>
              <w:spacing w:before="0" w:beforeAutospacing="0" w:after="0" w:afterAutospacing="0"/>
              <w:ind w:left="0" w:right="0"/>
              <w:jc w:val="center"/>
              <w:rPr>
                <w:rFonts w:ascii="仿宋" w:hAnsi="仿宋"/>
                <w:b/>
                <w:bCs/>
                <w:kern w:val="2"/>
                <w:sz w:val="24"/>
              </w:rPr>
            </w:pPr>
            <w:r>
              <w:rPr>
                <w:rFonts w:hint="eastAsia" w:ascii="仿宋" w:hAnsi="仿宋"/>
                <w:b/>
                <w:bCs/>
                <w:kern w:val="2"/>
                <w:sz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52" w:type="dxa"/>
            <w:vAlign w:val="center"/>
          </w:tcPr>
          <w:p>
            <w:pPr>
              <w:pStyle w:val="39"/>
              <w:keepNext w:val="0"/>
              <w:keepLines w:val="0"/>
              <w:suppressLineNumbers w:val="0"/>
              <w:spacing w:before="0" w:beforeAutospacing="0" w:after="0" w:afterAutospacing="0"/>
              <w:ind w:left="0" w:right="0"/>
            </w:pPr>
            <w:r>
              <w:rPr>
                <w:rFonts w:hint="eastAsia"/>
              </w:rPr>
              <w:t>1</w:t>
            </w:r>
          </w:p>
        </w:tc>
        <w:tc>
          <w:tcPr>
            <w:tcW w:w="3402" w:type="dxa"/>
            <w:vAlign w:val="center"/>
          </w:tcPr>
          <w:p>
            <w:pPr>
              <w:pStyle w:val="11"/>
              <w:keepNext w:val="0"/>
              <w:keepLines w:val="0"/>
              <w:widowControl/>
              <w:suppressLineNumbers w:val="0"/>
              <w:adjustRightInd w:val="0"/>
              <w:snapToGrid w:val="0"/>
              <w:spacing w:before="0" w:beforeAutospacing="0" w:after="0" w:afterAutospacing="0" w:line="140" w:lineRule="atLeast"/>
              <w:ind w:left="0" w:right="0"/>
              <w:jc w:val="center"/>
              <w:rPr>
                <w:rFonts w:ascii="仿宋" w:hAnsi="仿宋" w:eastAsia="仿宋"/>
                <w:kern w:val="2"/>
                <w:sz w:val="24"/>
                <w:szCs w:val="24"/>
              </w:rPr>
            </w:pPr>
            <w:r>
              <w:rPr>
                <w:rFonts w:hint="eastAsia" w:ascii="仿宋" w:hAnsi="仿宋"/>
                <w:kern w:val="2"/>
                <w:sz w:val="24"/>
                <w:szCs w:val="24"/>
              </w:rPr>
              <w:t>信息安全服务</w:t>
            </w:r>
          </w:p>
        </w:tc>
        <w:tc>
          <w:tcPr>
            <w:tcW w:w="5670" w:type="dxa"/>
            <w:gridSpan w:val="3"/>
            <w:vAlign w:val="center"/>
          </w:tcPr>
          <w:p>
            <w:pPr>
              <w:keepNext w:val="0"/>
              <w:keepLines w:val="0"/>
              <w:widowControl/>
              <w:suppressLineNumbers w:val="0"/>
              <w:spacing w:before="0" w:beforeAutospacing="0" w:after="0" w:afterAutospacing="0"/>
              <w:ind w:left="0" w:right="0"/>
              <w:jc w:val="left"/>
              <w:rPr>
                <w:rFonts w:ascii="仿宋" w:hAnsi="仿宋"/>
                <w:kern w:val="2"/>
                <w:sz w:val="24"/>
              </w:rPr>
            </w:pPr>
            <w:r>
              <w:rPr>
                <w:rFonts w:hint="eastAsia" w:ascii="仿宋" w:hAnsi="仿宋"/>
                <w:kern w:val="2"/>
                <w:sz w:val="24"/>
              </w:rPr>
              <w:t>内容包括：针对3个三级信息系统（麻醉药品安全管理系统、护理交互系统和智慧病房系统、健康导引系统）及主机进行安全巡检、漏洞排查、漏洞加固等工作。</w:t>
            </w:r>
          </w:p>
        </w:tc>
      </w:tr>
    </w:tbl>
    <w:p>
      <w:pPr>
        <w:rPr>
          <w:rFonts w:ascii="仿宋" w:hAnsi="仿宋"/>
          <w:b/>
          <w:sz w:val="24"/>
        </w:rPr>
      </w:pPr>
      <w:r>
        <w:rPr>
          <w:rFonts w:hint="eastAsia" w:ascii="仿宋" w:hAnsi="仿宋"/>
          <w:b/>
          <w:sz w:val="24"/>
        </w:rPr>
        <w:t>（2）、测评需</w:t>
      </w:r>
      <w:r>
        <w:rPr>
          <w:rFonts w:ascii="仿宋" w:hAnsi="仿宋"/>
          <w:b/>
          <w:sz w:val="24"/>
        </w:rPr>
        <w:t>求说明</w:t>
      </w:r>
    </w:p>
    <w:p>
      <w:pPr>
        <w:spacing w:line="360" w:lineRule="auto"/>
        <w:ind w:firstLine="480" w:firstLineChars="200"/>
        <w:rPr>
          <w:sz w:val="24"/>
        </w:rPr>
      </w:pPr>
      <w:bookmarkStart w:id="12" w:name="_Hlk18328566"/>
      <w:r>
        <w:rPr>
          <w:sz w:val="24"/>
        </w:rPr>
        <w:t>依据《网络安全等级保护测评要求》</w:t>
      </w:r>
      <w:bookmarkEnd w:id="12"/>
      <w:r>
        <w:rPr>
          <w:sz w:val="24"/>
        </w:rPr>
        <w:t>等技术标准与测评规范，编写测评实施方案，对</w:t>
      </w:r>
      <w:r>
        <w:rPr>
          <w:rFonts w:hint="eastAsia"/>
          <w:sz w:val="24"/>
        </w:rPr>
        <w:t>深圳市龙华区卫生健康局</w:t>
      </w:r>
      <w:r>
        <w:rPr>
          <w:sz w:val="24"/>
        </w:rPr>
        <w:t>已经定级备案的信息系统及新增信息系统制定网络安全等级保护评测具体内容，开展评测工作。通过等级保护测评，验证</w:t>
      </w:r>
      <w:r>
        <w:rPr>
          <w:rFonts w:hint="eastAsia"/>
          <w:sz w:val="24"/>
        </w:rPr>
        <w:t>深圳市龙华区卫生健康局</w:t>
      </w:r>
      <w:r>
        <w:rPr>
          <w:sz w:val="24"/>
        </w:rPr>
        <w:t>信息系统的安全性，并对信息系统的安全防护能力提出建议和意见，为进一步完善信息系统的安全防护措施提供依据。通过本次等保测评及整改，有效控制安全风险，完善网络安全体系，修补安全漏洞，提升</w:t>
      </w:r>
      <w:r>
        <w:rPr>
          <w:rFonts w:hint="eastAsia"/>
          <w:sz w:val="24"/>
        </w:rPr>
        <w:t>深圳市龙华区卫生健康局</w:t>
      </w:r>
      <w:r>
        <w:rPr>
          <w:sz w:val="24"/>
        </w:rPr>
        <w:t>运营网络安全建设和风险抵御能力，确保</w:t>
      </w:r>
      <w:r>
        <w:rPr>
          <w:rFonts w:hint="eastAsia"/>
          <w:sz w:val="24"/>
        </w:rPr>
        <w:t>深圳市龙华区卫生健康局</w:t>
      </w:r>
      <w:r>
        <w:rPr>
          <w:sz w:val="24"/>
        </w:rPr>
        <w:t>运营的系统达到网络安全等级保护的要求。</w:t>
      </w:r>
    </w:p>
    <w:p>
      <w:pPr>
        <w:pStyle w:val="7"/>
        <w:jc w:val="left"/>
        <w:rPr>
          <w:rFonts w:ascii="仿宋" w:hAnsi="仿宋"/>
          <w:b/>
          <w:kern w:val="2"/>
          <w:szCs w:val="24"/>
        </w:rPr>
      </w:pPr>
      <w:r>
        <w:rPr>
          <w:rFonts w:ascii="仿宋" w:hAnsi="仿宋"/>
          <w:b/>
          <w:kern w:val="2"/>
          <w:szCs w:val="24"/>
        </w:rPr>
        <w:t>（3）、测评内容需求</w:t>
      </w:r>
    </w:p>
    <w:p>
      <w:pPr>
        <w:spacing w:line="360" w:lineRule="auto"/>
        <w:ind w:firstLine="480" w:firstLineChars="200"/>
        <w:rPr>
          <w:sz w:val="24"/>
        </w:rPr>
      </w:pPr>
      <w:r>
        <w:rPr>
          <w:rFonts w:hint="eastAsia"/>
          <w:sz w:val="24"/>
        </w:rPr>
        <w:t>依</w:t>
      </w:r>
      <w:r>
        <w:rPr>
          <w:sz w:val="24"/>
        </w:rPr>
        <w:t>据网络安全等级</w:t>
      </w:r>
      <w:r>
        <w:rPr>
          <w:rFonts w:hint="eastAsia"/>
          <w:sz w:val="24"/>
        </w:rPr>
        <w:t>保护测试</w:t>
      </w:r>
      <w:r>
        <w:rPr>
          <w:sz w:val="24"/>
        </w:rPr>
        <w:t>要求的内容</w:t>
      </w:r>
      <w:r>
        <w:rPr>
          <w:rFonts w:hint="eastAsia"/>
          <w:sz w:val="24"/>
        </w:rPr>
        <w:t>进</w:t>
      </w:r>
      <w:r>
        <w:rPr>
          <w:sz w:val="24"/>
        </w:rPr>
        <w:t>行</w:t>
      </w:r>
      <w:r>
        <w:rPr>
          <w:rFonts w:hint="eastAsia"/>
          <w:sz w:val="24"/>
        </w:rPr>
        <w:t>测评，内</w:t>
      </w:r>
      <w:r>
        <w:rPr>
          <w:sz w:val="24"/>
        </w:rPr>
        <w:t>容</w:t>
      </w:r>
      <w:r>
        <w:rPr>
          <w:rFonts w:hint="eastAsia"/>
          <w:sz w:val="24"/>
        </w:rPr>
        <w:t>包括</w:t>
      </w:r>
      <w:r>
        <w:rPr>
          <w:sz w:val="24"/>
        </w:rPr>
        <w:t>但不限于以下内容：</w:t>
      </w:r>
    </w:p>
    <w:p>
      <w:pPr>
        <w:spacing w:line="360" w:lineRule="auto"/>
        <w:ind w:firstLine="482" w:firstLineChars="200"/>
        <w:rPr>
          <w:sz w:val="24"/>
        </w:rPr>
      </w:pPr>
      <w:r>
        <w:rPr>
          <w:rFonts w:hint="eastAsia"/>
          <w:b/>
          <w:sz w:val="24"/>
        </w:rPr>
        <w:t>安全</w:t>
      </w:r>
      <w:r>
        <w:rPr>
          <w:b/>
          <w:sz w:val="24"/>
        </w:rPr>
        <w:t>技术测评：</w:t>
      </w:r>
      <w:r>
        <w:rPr>
          <w:rFonts w:hint="eastAsia"/>
          <w:sz w:val="24"/>
        </w:rPr>
        <w:t>安全物</w:t>
      </w:r>
      <w:r>
        <w:rPr>
          <w:sz w:val="24"/>
        </w:rPr>
        <w:t>理</w:t>
      </w:r>
      <w:r>
        <w:rPr>
          <w:rFonts w:hint="eastAsia"/>
          <w:sz w:val="24"/>
        </w:rPr>
        <w:t>环</w:t>
      </w:r>
      <w:r>
        <w:rPr>
          <w:sz w:val="24"/>
        </w:rPr>
        <w:t>境测评</w:t>
      </w:r>
      <w:r>
        <w:rPr>
          <w:rFonts w:hint="eastAsia"/>
          <w:sz w:val="24"/>
        </w:rPr>
        <w:t>、</w:t>
      </w:r>
      <w:r>
        <w:rPr>
          <w:sz w:val="24"/>
        </w:rPr>
        <w:t>安全</w:t>
      </w:r>
      <w:r>
        <w:rPr>
          <w:rFonts w:hint="eastAsia"/>
          <w:sz w:val="24"/>
        </w:rPr>
        <w:t>通</w:t>
      </w:r>
      <w:r>
        <w:rPr>
          <w:sz w:val="24"/>
        </w:rPr>
        <w:t>信</w:t>
      </w:r>
      <w:r>
        <w:rPr>
          <w:rFonts w:hint="eastAsia"/>
          <w:sz w:val="24"/>
        </w:rPr>
        <w:t>网</w:t>
      </w:r>
      <w:r>
        <w:rPr>
          <w:sz w:val="24"/>
        </w:rPr>
        <w:t>络测评、安全区域</w:t>
      </w:r>
      <w:r>
        <w:rPr>
          <w:rFonts w:hint="eastAsia"/>
          <w:sz w:val="24"/>
        </w:rPr>
        <w:t>边</w:t>
      </w:r>
      <w:r>
        <w:rPr>
          <w:sz w:val="24"/>
        </w:rPr>
        <w:t>界测评、</w:t>
      </w:r>
      <w:r>
        <w:rPr>
          <w:rFonts w:hint="eastAsia"/>
          <w:sz w:val="24"/>
        </w:rPr>
        <w:t>安全</w:t>
      </w:r>
      <w:r>
        <w:rPr>
          <w:sz w:val="24"/>
        </w:rPr>
        <w:t>计算</w:t>
      </w:r>
      <w:r>
        <w:rPr>
          <w:rFonts w:hint="eastAsia"/>
          <w:sz w:val="24"/>
        </w:rPr>
        <w:t>环</w:t>
      </w:r>
      <w:r>
        <w:rPr>
          <w:sz w:val="24"/>
        </w:rPr>
        <w:t>境测评</w:t>
      </w:r>
      <w:r>
        <w:rPr>
          <w:rFonts w:hint="eastAsia"/>
          <w:sz w:val="24"/>
        </w:rPr>
        <w:t>和安全</w:t>
      </w:r>
      <w:r>
        <w:rPr>
          <w:sz w:val="24"/>
        </w:rPr>
        <w:t>管</w:t>
      </w:r>
      <w:r>
        <w:rPr>
          <w:rFonts w:hint="eastAsia"/>
          <w:sz w:val="24"/>
        </w:rPr>
        <w:t>理</w:t>
      </w:r>
      <w:r>
        <w:rPr>
          <w:sz w:val="24"/>
        </w:rPr>
        <w:t>中心</w:t>
      </w:r>
      <w:r>
        <w:rPr>
          <w:rFonts w:hint="eastAsia"/>
          <w:sz w:val="24"/>
        </w:rPr>
        <w:t>测评</w:t>
      </w:r>
      <w:r>
        <w:rPr>
          <w:sz w:val="24"/>
        </w:rPr>
        <w:t>五个方面</w:t>
      </w:r>
      <w:r>
        <w:rPr>
          <w:rFonts w:hint="eastAsia"/>
          <w:sz w:val="24"/>
        </w:rPr>
        <w:t>测评要</w:t>
      </w:r>
      <w:r>
        <w:rPr>
          <w:sz w:val="24"/>
        </w:rPr>
        <w:t>求。</w:t>
      </w:r>
    </w:p>
    <w:p>
      <w:pPr>
        <w:spacing w:line="360" w:lineRule="auto"/>
        <w:ind w:firstLine="482" w:firstLineChars="200"/>
        <w:rPr>
          <w:sz w:val="24"/>
        </w:rPr>
      </w:pPr>
      <w:r>
        <w:rPr>
          <w:rFonts w:hint="eastAsia"/>
          <w:b/>
          <w:sz w:val="24"/>
        </w:rPr>
        <w:t>安全</w:t>
      </w:r>
      <w:r>
        <w:rPr>
          <w:b/>
          <w:sz w:val="24"/>
        </w:rPr>
        <w:t>管理测评：</w:t>
      </w:r>
      <w:r>
        <w:rPr>
          <w:rFonts w:hint="eastAsia"/>
          <w:sz w:val="24"/>
        </w:rPr>
        <w:t>安全</w:t>
      </w:r>
      <w:r>
        <w:rPr>
          <w:sz w:val="24"/>
        </w:rPr>
        <w:t>管理制度、</w:t>
      </w:r>
      <w:r>
        <w:rPr>
          <w:rFonts w:hint="eastAsia"/>
          <w:sz w:val="24"/>
        </w:rPr>
        <w:t>安全</w:t>
      </w:r>
      <w:r>
        <w:rPr>
          <w:sz w:val="24"/>
        </w:rPr>
        <w:t>管理</w:t>
      </w:r>
      <w:r>
        <w:rPr>
          <w:rFonts w:hint="eastAsia"/>
          <w:sz w:val="24"/>
        </w:rPr>
        <w:t>机</w:t>
      </w:r>
      <w:r>
        <w:rPr>
          <w:sz w:val="24"/>
        </w:rPr>
        <w:t>构、</w:t>
      </w:r>
      <w:r>
        <w:rPr>
          <w:rFonts w:hint="eastAsia"/>
          <w:sz w:val="24"/>
        </w:rPr>
        <w:t>安全</w:t>
      </w:r>
      <w:r>
        <w:rPr>
          <w:sz w:val="24"/>
        </w:rPr>
        <w:t>管理人员、</w:t>
      </w:r>
      <w:r>
        <w:rPr>
          <w:rFonts w:hint="eastAsia"/>
          <w:sz w:val="24"/>
        </w:rPr>
        <w:t>安全</w:t>
      </w:r>
      <w:r>
        <w:rPr>
          <w:sz w:val="24"/>
        </w:rPr>
        <w:t>建设管理</w:t>
      </w:r>
      <w:r>
        <w:rPr>
          <w:rFonts w:hint="eastAsia"/>
          <w:sz w:val="24"/>
        </w:rPr>
        <w:t>和</w:t>
      </w:r>
      <w:r>
        <w:rPr>
          <w:sz w:val="24"/>
        </w:rPr>
        <w:t>安全运维管理</w:t>
      </w:r>
      <w:r>
        <w:rPr>
          <w:rFonts w:hint="eastAsia"/>
          <w:sz w:val="24"/>
        </w:rPr>
        <w:t>五</w:t>
      </w:r>
      <w:r>
        <w:rPr>
          <w:sz w:val="24"/>
        </w:rPr>
        <w:t>个方</w:t>
      </w:r>
      <w:r>
        <w:rPr>
          <w:rFonts w:hint="eastAsia"/>
          <w:sz w:val="24"/>
        </w:rPr>
        <w:t>面</w:t>
      </w:r>
      <w:r>
        <w:rPr>
          <w:sz w:val="24"/>
        </w:rPr>
        <w:t>的测评要求。</w:t>
      </w:r>
    </w:p>
    <w:p>
      <w:pPr>
        <w:spacing w:line="360" w:lineRule="auto"/>
        <w:ind w:firstLine="482" w:firstLineChars="200"/>
        <w:rPr>
          <w:b/>
          <w:sz w:val="24"/>
        </w:rPr>
      </w:pPr>
      <w:r>
        <w:rPr>
          <w:rFonts w:hint="eastAsia"/>
          <w:b/>
          <w:sz w:val="24"/>
        </w:rPr>
        <w:t>测评</w:t>
      </w:r>
      <w:r>
        <w:rPr>
          <w:b/>
          <w:sz w:val="24"/>
        </w:rPr>
        <w:t>服务</w:t>
      </w:r>
      <w:r>
        <w:rPr>
          <w:rFonts w:hint="eastAsia"/>
          <w:b/>
          <w:sz w:val="24"/>
        </w:rPr>
        <w:t>内</w:t>
      </w:r>
      <w:r>
        <w:rPr>
          <w:b/>
          <w:sz w:val="24"/>
        </w:rPr>
        <w:t>容：</w:t>
      </w:r>
    </w:p>
    <w:p>
      <w:pPr>
        <w:spacing w:line="360" w:lineRule="auto"/>
        <w:rPr>
          <w:rFonts w:ascii="仿宋" w:hAnsi="仿宋" w:cs="宋体"/>
          <w:color w:val="000000"/>
          <w:kern w:val="0"/>
          <w:sz w:val="24"/>
        </w:rPr>
      </w:pPr>
      <w:bookmarkStart w:id="13" w:name="_Toc17419"/>
      <w:r>
        <w:rPr>
          <w:rFonts w:hint="eastAsia" w:ascii="仿宋" w:hAnsi="仿宋" w:cs="宋体"/>
          <w:color w:val="000000"/>
          <w:kern w:val="0"/>
          <w:sz w:val="24"/>
        </w:rPr>
        <w:t>（1）、网络安全等级保护测评服务内容</w:t>
      </w:r>
      <w:bookmarkEnd w:id="13"/>
    </w:p>
    <w:tbl>
      <w:tblPr>
        <w:tblStyle w:val="22"/>
        <w:tblW w:w="55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007"/>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411" w:type="pct"/>
            <w:vMerge w:val="restart"/>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网络安全等级保护测评服务内容</w:t>
            </w:r>
          </w:p>
        </w:tc>
        <w:tc>
          <w:tcPr>
            <w:tcW w:w="977" w:type="pct"/>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差距测评服务</w:t>
            </w:r>
          </w:p>
        </w:tc>
        <w:tc>
          <w:tcPr>
            <w:tcW w:w="3611" w:type="pct"/>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r>
              <w:rPr>
                <w:rFonts w:hint="eastAsia" w:ascii="仿宋" w:hAnsi="仿宋" w:cs="宋体"/>
                <w:color w:val="000000"/>
                <w:kern w:val="0"/>
                <w:sz w:val="24"/>
              </w:rPr>
              <w:t>根据用户系统安全等级保护定级情况，制定信息系统安全等级保护测评方案，对信息系统涉及的机房、网络/安全设备、主机设备、应用系统、安全管理体系等进行等级保护差距测评，并提交不符合项表和整改建议（现场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11" w:type="pct"/>
            <w:vMerge w:val="continue"/>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p>
        </w:tc>
        <w:tc>
          <w:tcPr>
            <w:tcW w:w="977" w:type="pct"/>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漏洞扫描服务</w:t>
            </w:r>
          </w:p>
        </w:tc>
        <w:tc>
          <w:tcPr>
            <w:tcW w:w="3611" w:type="pct"/>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r>
              <w:rPr>
                <w:rFonts w:hint="eastAsia" w:ascii="仿宋" w:hAnsi="仿宋" w:cs="宋体"/>
                <w:color w:val="000000"/>
                <w:kern w:val="0"/>
                <w:sz w:val="24"/>
              </w:rPr>
              <w:t>对被测信息系统服务器、应用系统进行漏洞扫描，列出被测信息系统中存在的主要问题以及可能造成的后果，并提出整改建议（现场扫描+远程扫描）。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11" w:type="pct"/>
            <w:vMerge w:val="continue"/>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p>
        </w:tc>
        <w:tc>
          <w:tcPr>
            <w:tcW w:w="977" w:type="pct"/>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渗透测试服务</w:t>
            </w:r>
          </w:p>
        </w:tc>
        <w:tc>
          <w:tcPr>
            <w:tcW w:w="3611" w:type="pct"/>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r>
              <w:rPr>
                <w:rFonts w:hint="eastAsia" w:ascii="仿宋" w:hAnsi="仿宋" w:cs="宋体"/>
                <w:color w:val="000000"/>
                <w:kern w:val="0"/>
                <w:sz w:val="24"/>
              </w:rPr>
              <w:t>根据扫描结果进行漏洞分析及说明，对系统开展渗透测试，进行弱口令测试及其他手工测试，并提交修复建议（互联网渗透+现场渗透）。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11" w:type="pct"/>
            <w:vMerge w:val="continue"/>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p>
        </w:tc>
        <w:tc>
          <w:tcPr>
            <w:tcW w:w="977" w:type="pct"/>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验收测评服务</w:t>
            </w:r>
          </w:p>
        </w:tc>
        <w:tc>
          <w:tcPr>
            <w:tcW w:w="3611" w:type="pct"/>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r>
              <w:rPr>
                <w:rFonts w:hint="eastAsia" w:ascii="仿宋" w:hAnsi="仿宋" w:cs="宋体"/>
                <w:color w:val="000000"/>
                <w:kern w:val="0"/>
                <w:sz w:val="24"/>
              </w:rPr>
              <w:t>用户完成整改工作后，依据《GBT28448-2019信息安全技术网络安全等级保护测评要求》及相关等保2.0标准和要求，对信息系统进行验收性测评，并输出测评报告（现场测评）。</w:t>
            </w:r>
          </w:p>
        </w:tc>
      </w:tr>
    </w:tbl>
    <w:p>
      <w:pPr>
        <w:rPr>
          <w:rFonts w:ascii="仿宋" w:hAnsi="仿宋" w:cs="宋体"/>
          <w:color w:val="000000"/>
          <w:kern w:val="0"/>
          <w:sz w:val="24"/>
        </w:rPr>
      </w:pPr>
      <w:bookmarkStart w:id="14" w:name="_Toc3882"/>
      <w:r>
        <w:rPr>
          <w:rFonts w:hint="eastAsia" w:ascii="仿宋" w:hAnsi="仿宋" w:cs="宋体"/>
          <w:color w:val="000000"/>
          <w:kern w:val="0"/>
          <w:sz w:val="24"/>
        </w:rPr>
        <w:t>（2）、网络安全等级保护顾问咨询服务（等保整改服务）</w:t>
      </w:r>
      <w:bookmarkEnd w:id="14"/>
    </w:p>
    <w:tbl>
      <w:tblPr>
        <w:tblStyle w:val="22"/>
        <w:tblW w:w="55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2992"/>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15"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网络安全等级保护顾问咨询服务内容</w:t>
            </w:r>
          </w:p>
        </w:tc>
        <w:tc>
          <w:tcPr>
            <w:tcW w:w="1439" w:type="pct"/>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定级备案服务</w:t>
            </w:r>
          </w:p>
        </w:tc>
        <w:tc>
          <w:tcPr>
            <w:tcW w:w="2945" w:type="pct"/>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r>
              <w:rPr>
                <w:rFonts w:hint="eastAsia" w:ascii="仿宋" w:hAnsi="仿宋" w:cs="宋体"/>
                <w:color w:val="000000"/>
                <w:kern w:val="0"/>
                <w:sz w:val="24"/>
              </w:rPr>
              <w:t>按照《信息系统安全等级保护定级指南》以及《信息安全等级保护管理办法》等文件的要求，协助用户完成信息系统安全等级保护定级工作。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15" w:type="pct"/>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p>
        </w:tc>
        <w:tc>
          <w:tcPr>
            <w:tcW w:w="1439" w:type="pct"/>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安管理制度梳理服务</w:t>
            </w:r>
          </w:p>
        </w:tc>
        <w:tc>
          <w:tcPr>
            <w:tcW w:w="2945" w:type="pct"/>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r>
              <w:rPr>
                <w:rFonts w:hint="eastAsia" w:ascii="仿宋" w:hAnsi="仿宋" w:cs="宋体"/>
                <w:color w:val="000000"/>
                <w:kern w:val="0"/>
                <w:sz w:val="24"/>
              </w:rPr>
              <w:t>参考等级保护要求，结合用户现状，对用户安全管理制度进行梳理，补充和完善各项管理制度，并提供制度落实安全建议。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15" w:type="pct"/>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p>
        </w:tc>
        <w:tc>
          <w:tcPr>
            <w:tcW w:w="1439" w:type="pct"/>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安全规划服务</w:t>
            </w:r>
          </w:p>
        </w:tc>
        <w:tc>
          <w:tcPr>
            <w:tcW w:w="2945" w:type="pct"/>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r>
              <w:rPr>
                <w:rFonts w:hint="eastAsia" w:ascii="仿宋" w:hAnsi="仿宋" w:cs="宋体"/>
                <w:color w:val="000000"/>
                <w:kern w:val="0"/>
                <w:sz w:val="24"/>
              </w:rPr>
              <w:t xml:space="preserve">根据用户信息系统的划分情况、定级情况和承载业务情况，分析明确信息系统安全需求，设计合理的、满足等级保护要求的总体安全方案，制定安全实施计划，用以指导信息系统安全建设工程实施。用户的信息系统均已投入运行，服务公司采取包括现场观察、询问人员、查询资料、检查记录、检查配置、技术测试、漏洞扫描、渗透攻击等有效措施和必要工具，对可能存在的信息安全风险进行识别分析，对信息系统的安全保护现状与等级保护要求之间的差距进行评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pct"/>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p>
        </w:tc>
        <w:tc>
          <w:tcPr>
            <w:tcW w:w="1439" w:type="pct"/>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安全设计与</w:t>
            </w:r>
          </w:p>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实施服务</w:t>
            </w:r>
          </w:p>
        </w:tc>
        <w:tc>
          <w:tcPr>
            <w:tcW w:w="2945" w:type="pct"/>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r>
              <w:rPr>
                <w:rFonts w:hint="eastAsia" w:ascii="仿宋" w:hAnsi="仿宋" w:cs="宋体"/>
                <w:color w:val="000000"/>
                <w:kern w:val="0"/>
                <w:sz w:val="24"/>
              </w:rPr>
              <w:t>协助用户按照信息系统安全总体方案的要求，结合信息系统安全建设项目计划，进行安全方案详细设计（包括技术措施和管理措施），开展整改加固，落实安全措施。指导信息安全产品采购工程实施，监督信息安全产品供应商或系统集成商工作，进行质量、进度、文档、变更、交付和验收等方面的监督管理，确保信息安全产品工程实施符合等级保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615" w:type="pct"/>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p>
        </w:tc>
        <w:tc>
          <w:tcPr>
            <w:tcW w:w="1439" w:type="pct"/>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p>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r>
              <w:rPr>
                <w:rFonts w:hint="eastAsia" w:ascii="仿宋" w:hAnsi="仿宋" w:cs="宋体"/>
                <w:color w:val="000000"/>
                <w:kern w:val="0"/>
                <w:sz w:val="24"/>
              </w:rPr>
              <w:t>协助整改及加固服务</w:t>
            </w:r>
          </w:p>
          <w:p>
            <w:pPr>
              <w:keepNext w:val="0"/>
              <w:keepLines w:val="0"/>
              <w:widowControl/>
              <w:suppressLineNumbers w:val="0"/>
              <w:spacing w:before="0" w:beforeAutospacing="0" w:after="0" w:afterAutospacing="0"/>
              <w:ind w:left="0" w:right="0"/>
              <w:jc w:val="center"/>
              <w:rPr>
                <w:rFonts w:ascii="仿宋" w:hAnsi="仿宋" w:cs="宋体"/>
                <w:color w:val="000000"/>
                <w:kern w:val="0"/>
                <w:sz w:val="24"/>
              </w:rPr>
            </w:pPr>
          </w:p>
        </w:tc>
        <w:tc>
          <w:tcPr>
            <w:tcW w:w="2945" w:type="pct"/>
            <w:vAlign w:val="center"/>
          </w:tcPr>
          <w:p>
            <w:pPr>
              <w:keepNext w:val="0"/>
              <w:keepLines w:val="0"/>
              <w:widowControl/>
              <w:suppressLineNumbers w:val="0"/>
              <w:spacing w:before="0" w:beforeAutospacing="0" w:after="0" w:afterAutospacing="0"/>
              <w:ind w:left="0" w:right="0"/>
              <w:rPr>
                <w:rFonts w:ascii="仿宋" w:hAnsi="仿宋" w:cs="宋体"/>
                <w:color w:val="000000"/>
                <w:kern w:val="0"/>
                <w:sz w:val="24"/>
              </w:rPr>
            </w:pPr>
            <w:r>
              <w:rPr>
                <w:rFonts w:hint="eastAsia" w:ascii="仿宋" w:hAnsi="仿宋" w:cs="宋体"/>
                <w:color w:val="000000"/>
                <w:kern w:val="0"/>
                <w:sz w:val="24"/>
              </w:rPr>
              <w:t>根据整改设计方案，进行技术整改（安全集成、安全加固）以及管理整改，对加固过程中出现的问题提供解决方案，从而满足等级保护要求。在完成加固后，安排工程师对加固状态进行复查，并通过测试手段对安全技术和安全管理上各个层面的安全控制进行整体性合规验证。</w:t>
            </w:r>
          </w:p>
        </w:tc>
      </w:tr>
    </w:tbl>
    <w:p>
      <w:pPr>
        <w:pStyle w:val="5"/>
        <w:rPr>
          <w:color w:val="000000"/>
        </w:rPr>
      </w:pPr>
      <w:r>
        <w:rPr>
          <w:rFonts w:hint="eastAsia"/>
          <w:color w:val="000000"/>
        </w:rPr>
        <w:t>三、等保测评和信息安全服务技术要求</w:t>
      </w:r>
    </w:p>
    <w:p>
      <w:pPr>
        <w:spacing w:before="0" w:after="0" w:line="360" w:lineRule="auto"/>
        <w:ind w:left="0" w:firstLine="0"/>
        <w:rPr>
          <w:rFonts w:ascii="宋体" w:hAnsi="宋体" w:cs="宋体"/>
          <w:b/>
          <w:color w:val="FF0000"/>
        </w:rPr>
      </w:pPr>
      <w:r>
        <w:rPr>
          <w:rFonts w:hint="eastAsia" w:ascii="仿宋" w:hAnsi="仿宋" w:cs="宋体"/>
          <w:color w:val="000000"/>
          <w:kern w:val="0"/>
          <w:sz w:val="24"/>
        </w:rPr>
        <w:t>由于在等保测评和信息安全服务的过程中需要使用到专业的测评工具，为确保等保测评和信息安全服务的服务质量、专业性及合规性，特要求提供本项目服务的供应商自备测评工具，并要求在开展信息安全服务和等保测评服务的过程中使用的主机层漏洞扫描工具和应用层漏洞扫描工具等测评工具应具备如下技术功能和特性：</w:t>
      </w:r>
      <w:r>
        <w:rPr>
          <w:rFonts w:hint="eastAsia" w:ascii="宋体" w:hAnsi="宋体" w:cs="宋体"/>
          <w:b/>
          <w:color w:val="FF0000"/>
          <w:szCs w:val="21"/>
        </w:rPr>
        <w:t xml:space="preserve">说明： </w:t>
      </w:r>
      <w:r>
        <w:rPr>
          <w:rFonts w:hint="eastAsia" w:ascii="宋体" w:hAnsi="宋体" w:cs="宋体"/>
          <w:b/>
          <w:color w:val="FF0000"/>
        </w:rPr>
        <w:t>1、评分时，如对一项招标技术要求（以划分框为准）中的内容存在两处（或以上）负偏离的，在评分时只作一项负偏离扣分。</w:t>
      </w:r>
    </w:p>
    <w:p>
      <w:pPr>
        <w:spacing w:before="0" w:after="0" w:line="360" w:lineRule="auto"/>
        <w:ind w:left="0" w:firstLine="0"/>
        <w:rPr>
          <w:rFonts w:ascii="宋体" w:hAnsi="宋体" w:cs="宋体"/>
          <w:b/>
          <w:color w:val="FF0000"/>
          <w:szCs w:val="21"/>
        </w:rPr>
      </w:pPr>
      <w:r>
        <w:rPr>
          <w:rFonts w:hint="eastAsia" w:ascii="宋体" w:hAnsi="宋体" w:cs="宋体"/>
          <w:b/>
          <w:color w:val="FF0000"/>
          <w:szCs w:val="21"/>
        </w:rPr>
        <w:t>2、带“</w:t>
      </w:r>
      <w:r>
        <w:rPr>
          <w:rFonts w:hint="eastAsia" w:ascii="宋体" w:hAnsi="宋体" w:cs="宋体"/>
          <w:color w:val="FF0000"/>
        </w:rPr>
        <w:t>▲</w:t>
      </w:r>
      <w:r>
        <w:rPr>
          <w:rFonts w:hint="eastAsia" w:ascii="宋体" w:hAnsi="宋体" w:cs="宋体"/>
          <w:b/>
          <w:color w:val="FF0000"/>
          <w:szCs w:val="21"/>
        </w:rPr>
        <w:t>”指标项为重要参数条款，负偏离时依相关评分准则内容作重点扣分处理。</w:t>
      </w:r>
    </w:p>
    <w:p>
      <w:pPr>
        <w:spacing w:before="0" w:after="0" w:line="360" w:lineRule="auto"/>
        <w:ind w:left="0" w:firstLine="0"/>
        <w:rPr>
          <w:rFonts w:ascii="宋体" w:hAnsi="宋体" w:cs="宋体"/>
          <w:b/>
          <w:color w:val="FF0000"/>
          <w:szCs w:val="21"/>
        </w:rPr>
      </w:pPr>
      <w:r>
        <w:rPr>
          <w:rFonts w:hint="eastAsia" w:ascii="宋体" w:hAnsi="宋体" w:cs="宋体"/>
          <w:b/>
          <w:color w:val="FF0000"/>
          <w:szCs w:val="21"/>
        </w:rPr>
        <w:t>3、招标技术要求中，要求提供证明资料需提供相关证明资料。</w:t>
      </w:r>
    </w:p>
    <w:p>
      <w:pPr>
        <w:ind w:firstLine="480" w:firstLineChars="200"/>
        <w:jc w:val="left"/>
        <w:rPr>
          <w:rFonts w:ascii="仿宋" w:hAnsi="仿宋"/>
          <w:b w:val="0"/>
          <w:bCs w:val="0"/>
          <w:sz w:val="24"/>
        </w:rPr>
      </w:pPr>
    </w:p>
    <w:tbl>
      <w:tblPr>
        <w:tblStyle w:val="22"/>
        <w:tblW w:w="9439"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63"/>
        <w:gridCol w:w="818"/>
        <w:gridCol w:w="185"/>
        <w:gridCol w:w="7786"/>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53" w:hRule="atLeast"/>
        </w:trPr>
        <w:tc>
          <w:tcPr>
            <w:tcW w:w="608" w:type="dxa"/>
            <w:gridSpan w:val="2"/>
            <w:vAlign w:val="center"/>
          </w:tcPr>
          <w:p>
            <w:pPr>
              <w:keepNext w:val="0"/>
              <w:keepLines w:val="0"/>
              <w:widowControl/>
              <w:suppressLineNumbers w:val="0"/>
              <w:spacing w:before="0" w:beforeAutospacing="0" w:after="0" w:afterAutospacing="0"/>
              <w:ind w:left="0" w:right="0"/>
              <w:jc w:val="left"/>
              <w:rPr>
                <w:rFonts w:hint="eastAsia" w:ascii="仿宋" w:hAnsi="仿宋"/>
                <w:b/>
                <w:bCs/>
                <w:kern w:val="2"/>
                <w:sz w:val="24"/>
              </w:rPr>
            </w:pPr>
            <w:r>
              <w:rPr>
                <w:rFonts w:hint="eastAsia" w:ascii="仿宋" w:hAnsi="仿宋"/>
                <w:b/>
                <w:bCs/>
                <w:kern w:val="2"/>
                <w:sz w:val="24"/>
              </w:rPr>
              <w:t>序号</w:t>
            </w:r>
          </w:p>
        </w:tc>
        <w:tc>
          <w:tcPr>
            <w:tcW w:w="1003" w:type="dxa"/>
            <w:gridSpan w:val="2"/>
            <w:vAlign w:val="center"/>
          </w:tcPr>
          <w:p>
            <w:pPr>
              <w:keepNext w:val="0"/>
              <w:keepLines w:val="0"/>
              <w:widowControl/>
              <w:suppressLineNumbers w:val="0"/>
              <w:spacing w:before="0" w:beforeAutospacing="0" w:after="0" w:afterAutospacing="0"/>
              <w:ind w:left="0" w:right="0"/>
              <w:jc w:val="left"/>
              <w:rPr>
                <w:rFonts w:hint="eastAsia" w:ascii="仿宋" w:hAnsi="仿宋"/>
                <w:b/>
                <w:bCs/>
                <w:kern w:val="2"/>
                <w:sz w:val="24"/>
              </w:rPr>
            </w:pPr>
            <w:r>
              <w:rPr>
                <w:rFonts w:hint="eastAsia" w:ascii="仿宋" w:hAnsi="仿宋"/>
                <w:b/>
                <w:bCs/>
                <w:kern w:val="2"/>
                <w:sz w:val="24"/>
              </w:rPr>
              <w:t>功能项</w:t>
            </w:r>
          </w:p>
        </w:tc>
        <w:tc>
          <w:tcPr>
            <w:tcW w:w="7798" w:type="dxa"/>
            <w:vAlign w:val="center"/>
          </w:tcPr>
          <w:p>
            <w:pPr>
              <w:keepNext w:val="0"/>
              <w:keepLines w:val="0"/>
              <w:widowControl/>
              <w:suppressLineNumbers w:val="0"/>
              <w:spacing w:before="0" w:beforeAutospacing="0" w:after="0" w:afterAutospacing="0"/>
              <w:ind w:left="0" w:right="0"/>
              <w:jc w:val="left"/>
              <w:rPr>
                <w:rFonts w:hint="eastAsia" w:ascii="仿宋" w:hAnsi="仿宋"/>
                <w:b/>
                <w:bCs/>
                <w:kern w:val="2"/>
                <w:sz w:val="24"/>
              </w:rPr>
            </w:pPr>
            <w:r>
              <w:rPr>
                <w:rFonts w:hint="eastAsia" w:ascii="仿宋" w:hAnsi="仿宋"/>
                <w:b/>
                <w:bCs/>
                <w:kern w:val="2"/>
                <w:sz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13" w:hRule="atLeast"/>
        </w:trPr>
        <w:tc>
          <w:tcPr>
            <w:tcW w:w="9409" w:type="dxa"/>
            <w:gridSpan w:val="5"/>
            <w:vAlign w:val="center"/>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r>
              <w:rPr>
                <w:rFonts w:hint="eastAsia" w:ascii="仿宋" w:hAnsi="仿宋" w:eastAsia="宋体"/>
                <w:b/>
                <w:bCs/>
                <w:kern w:val="2"/>
                <w:sz w:val="24"/>
                <w:lang w:eastAsia="zh-CN"/>
              </w:rPr>
              <w:t>一</w:t>
            </w:r>
            <w:r>
              <w:rPr>
                <w:rFonts w:hint="eastAsia" w:ascii="仿宋" w:hAnsi="仿宋"/>
                <w:b/>
                <w:bCs/>
                <w:kern w:val="2"/>
                <w:sz w:val="24"/>
              </w:rPr>
              <w:t>、主机层漏洞扫描测评工具应具备以下功能和特性：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13" w:hRule="atLeast"/>
        </w:trPr>
        <w:tc>
          <w:tcPr>
            <w:tcW w:w="608" w:type="dxa"/>
            <w:gridSpan w:val="2"/>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1</w:t>
            </w:r>
          </w:p>
        </w:tc>
        <w:tc>
          <w:tcPr>
            <w:tcW w:w="1003" w:type="dxa"/>
            <w:gridSpan w:val="2"/>
            <w:vMerge w:val="restart"/>
            <w:vAlign w:val="center"/>
          </w:tcPr>
          <w:p>
            <w:pPr>
              <w:keepNext w:val="0"/>
              <w:keepLines w:val="0"/>
              <w:widowControl/>
              <w:suppressLineNumbers w:val="0"/>
              <w:spacing w:before="0" w:beforeAutospacing="0" w:after="0" w:afterAutospacing="0" w:line="400" w:lineRule="exact"/>
              <w:ind w:left="0" w:right="0"/>
              <w:jc w:val="center"/>
              <w:rPr>
                <w:rFonts w:ascii="仿宋" w:hAnsi="仿宋" w:cs="宋体"/>
                <w:b/>
                <w:color w:val="auto"/>
                <w:kern w:val="2"/>
                <w:sz w:val="24"/>
              </w:rPr>
            </w:pPr>
            <w:r>
              <w:rPr>
                <w:rFonts w:hint="eastAsia" w:ascii="仿宋" w:hAnsi="仿宋" w:cs="宋体"/>
                <w:b/>
                <w:color w:val="auto"/>
                <w:kern w:val="2"/>
                <w:sz w:val="24"/>
              </w:rPr>
              <w:t>漏洞扫描能力要求</w:t>
            </w:r>
          </w:p>
          <w:p>
            <w:pPr>
              <w:pStyle w:val="17"/>
              <w:keepNext w:val="0"/>
              <w:keepLines w:val="0"/>
              <w:suppressLineNumbers w:val="0"/>
              <w:spacing w:before="0" w:beforeAutospacing="0" w:after="0" w:afterAutospacing="0"/>
              <w:ind w:left="0" w:right="0"/>
              <w:rPr>
                <w:color w:val="auto"/>
              </w:rPr>
            </w:pPr>
          </w:p>
        </w:tc>
        <w:tc>
          <w:tcPr>
            <w:tcW w:w="7798" w:type="dxa"/>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1.1支持多种协议口令猜测，包括SMB、Snmp、Telnet、Pop3、SSH、Ftp、RDP、DB2、MySQL、Oracle、PostgreSQL、HighGo、MongoDB、UXDB、STDB、kingbase、RTSP、ActiveMQ、WebLogic、WebCAM、REDIS、SMTP等;；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38" w:hRule="atLeast"/>
        </w:trPr>
        <w:tc>
          <w:tcPr>
            <w:tcW w:w="608" w:type="dxa"/>
            <w:gridSpan w:val="2"/>
            <w:vMerge w:val="continue"/>
            <w:vAlign w:val="center"/>
          </w:tcPr>
          <w:p>
            <w:pPr>
              <w:pStyle w:val="17"/>
              <w:keepNext w:val="0"/>
              <w:keepLines w:val="0"/>
              <w:suppressLineNumbers w:val="0"/>
              <w:spacing w:before="0" w:beforeAutospacing="0" w:after="0" w:afterAutospacing="0"/>
              <w:ind w:left="0" w:right="0"/>
              <w:rPr>
                <w:color w:val="FF0000"/>
              </w:rPr>
            </w:pPr>
          </w:p>
        </w:tc>
        <w:tc>
          <w:tcPr>
            <w:tcW w:w="1003" w:type="dxa"/>
            <w:gridSpan w:val="2"/>
            <w:vMerge w:val="continue"/>
            <w:vAlign w:val="center"/>
          </w:tcPr>
          <w:p>
            <w:pPr>
              <w:pStyle w:val="17"/>
              <w:keepNext w:val="0"/>
              <w:keepLines w:val="0"/>
              <w:suppressLineNumbers w:val="0"/>
              <w:spacing w:before="0" w:beforeAutospacing="0" w:after="0" w:afterAutospacing="0"/>
              <w:ind w:left="0" w:right="0"/>
              <w:rPr>
                <w:color w:val="FF0000"/>
              </w:rPr>
            </w:pPr>
          </w:p>
        </w:tc>
        <w:tc>
          <w:tcPr>
            <w:tcW w:w="7798"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1.2▲支持资产速查功能，支持以资产类型、资产编号、资产名称、资产IP、所属部门、管理员等进行查询,支持基于对等网络主动识别技术能力；（提供产品功能截图证明）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54" w:hRule="atLeast"/>
        </w:trPr>
        <w:tc>
          <w:tcPr>
            <w:tcW w:w="608" w:type="dxa"/>
            <w:gridSpan w:val="2"/>
            <w:vMerge w:val="continue"/>
            <w:vAlign w:val="center"/>
          </w:tcPr>
          <w:p>
            <w:pPr>
              <w:pStyle w:val="17"/>
              <w:keepNext w:val="0"/>
              <w:keepLines w:val="0"/>
              <w:suppressLineNumbers w:val="0"/>
              <w:spacing w:before="0" w:beforeAutospacing="0" w:after="0" w:afterAutospacing="0"/>
              <w:ind w:left="0" w:right="0"/>
              <w:rPr>
                <w:color w:val="FF0000"/>
              </w:rPr>
            </w:pPr>
          </w:p>
        </w:tc>
        <w:tc>
          <w:tcPr>
            <w:tcW w:w="1003" w:type="dxa"/>
            <w:gridSpan w:val="2"/>
            <w:vMerge w:val="continue"/>
            <w:vAlign w:val="center"/>
          </w:tcPr>
          <w:p>
            <w:pPr>
              <w:pStyle w:val="17"/>
              <w:keepNext w:val="0"/>
              <w:keepLines w:val="0"/>
              <w:suppressLineNumbers w:val="0"/>
              <w:spacing w:before="0" w:beforeAutospacing="0" w:after="0" w:afterAutospacing="0"/>
              <w:ind w:left="0" w:right="0"/>
              <w:rPr>
                <w:color w:val="FF0000"/>
              </w:rPr>
            </w:pPr>
          </w:p>
        </w:tc>
        <w:tc>
          <w:tcPr>
            <w:tcW w:w="7798"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1.3▲支持Windows域扫描技术，利用域管理员权限使扫描更深入、更准确，支持实现设备统一控制的能力；（提供产品功能截图证明）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00" w:hRule="atLeast"/>
        </w:trPr>
        <w:tc>
          <w:tcPr>
            <w:tcW w:w="608" w:type="dxa"/>
            <w:gridSpan w:val="2"/>
            <w:vMerge w:val="continue"/>
            <w:vAlign w:val="center"/>
          </w:tcPr>
          <w:p>
            <w:pPr>
              <w:pStyle w:val="17"/>
              <w:keepNext w:val="0"/>
              <w:keepLines w:val="0"/>
              <w:suppressLineNumbers w:val="0"/>
              <w:spacing w:before="0" w:beforeAutospacing="0" w:after="0" w:afterAutospacing="0"/>
              <w:ind w:left="0" w:right="0"/>
              <w:rPr>
                <w:color w:val="FF0000"/>
              </w:rPr>
            </w:pPr>
          </w:p>
        </w:tc>
        <w:tc>
          <w:tcPr>
            <w:tcW w:w="1003" w:type="dxa"/>
            <w:gridSpan w:val="2"/>
            <w:vMerge w:val="continue"/>
            <w:vAlign w:val="center"/>
          </w:tcPr>
          <w:p>
            <w:pPr>
              <w:pStyle w:val="17"/>
              <w:keepNext w:val="0"/>
              <w:keepLines w:val="0"/>
              <w:suppressLineNumbers w:val="0"/>
              <w:spacing w:before="0" w:beforeAutospacing="0" w:after="0" w:afterAutospacing="0"/>
              <w:ind w:left="0" w:right="0"/>
              <w:rPr>
                <w:color w:val="FF0000"/>
              </w:rPr>
            </w:pPr>
          </w:p>
        </w:tc>
        <w:tc>
          <w:tcPr>
            <w:tcW w:w="7798" w:type="dxa"/>
          </w:tcPr>
          <w:p>
            <w:pPr>
              <w:pStyle w:val="17"/>
              <w:keepNext w:val="0"/>
              <w:keepLines w:val="0"/>
              <w:suppressLineNumbers w:val="0"/>
              <w:spacing w:before="0" w:beforeAutospacing="0" w:after="0" w:afterAutospacing="0"/>
              <w:ind w:left="0" w:right="0"/>
              <w:rPr>
                <w:color w:val="FF0000"/>
              </w:rPr>
            </w:pPr>
            <w:r>
              <w:rPr>
                <w:rFonts w:hint="eastAsia"/>
                <w:color w:val="auto"/>
              </w:rPr>
              <w:t>1.4请提供自主发现的CNNVD安全漏洞列表及证书，要求数量不少于10个；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735" w:hRule="atLeast"/>
        </w:trPr>
        <w:tc>
          <w:tcPr>
            <w:tcW w:w="608" w:type="dxa"/>
            <w:gridSpan w:val="2"/>
            <w:vMerge w:val="continue"/>
            <w:vAlign w:val="center"/>
          </w:tcPr>
          <w:p>
            <w:pPr>
              <w:pStyle w:val="17"/>
              <w:keepNext w:val="0"/>
              <w:keepLines w:val="0"/>
              <w:suppressLineNumbers w:val="0"/>
              <w:spacing w:before="0" w:beforeAutospacing="0" w:after="0" w:afterAutospacing="0"/>
              <w:ind w:left="0" w:right="0"/>
              <w:rPr>
                <w:color w:val="FF0000"/>
              </w:rPr>
            </w:pPr>
          </w:p>
        </w:tc>
        <w:tc>
          <w:tcPr>
            <w:tcW w:w="1003" w:type="dxa"/>
            <w:gridSpan w:val="2"/>
            <w:vMerge w:val="continue"/>
            <w:vAlign w:val="center"/>
          </w:tcPr>
          <w:p>
            <w:pPr>
              <w:pStyle w:val="17"/>
              <w:keepNext w:val="0"/>
              <w:keepLines w:val="0"/>
              <w:suppressLineNumbers w:val="0"/>
              <w:spacing w:before="0" w:beforeAutospacing="0" w:after="0" w:afterAutospacing="0"/>
              <w:ind w:left="0" w:right="0"/>
              <w:rPr>
                <w:color w:val="FF0000"/>
              </w:rPr>
            </w:pPr>
          </w:p>
        </w:tc>
        <w:tc>
          <w:tcPr>
            <w:tcW w:w="7798"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1.5</w:t>
            </w:r>
            <w:r>
              <w:rPr>
                <w:rFonts w:hint="eastAsia" w:ascii="仿宋" w:hAnsi="仿宋" w:cs="宋体"/>
                <w:color w:val="FF0000"/>
                <w:kern w:val="2"/>
                <w:sz w:val="24"/>
              </w:rPr>
              <w:t>▲支持云平台扫描，漏洞覆盖OpenStack 、KVM、Vmware、Xen等主流的云计算平台</w:t>
            </w:r>
            <w:r>
              <w:rPr>
                <w:rFonts w:hint="eastAsia" w:ascii="仿宋" w:hAnsi="仿宋" w:cs="宋体"/>
                <w:bCs/>
                <w:color w:val="FF0000"/>
                <w:kern w:val="2"/>
                <w:sz w:val="24"/>
              </w:rPr>
              <w:t>（</w:t>
            </w:r>
            <w:r>
              <w:rPr>
                <w:rFonts w:hint="eastAsia" w:ascii="仿宋" w:hAnsi="仿宋" w:cs="宋体"/>
                <w:color w:val="FF0000"/>
                <w:kern w:val="2"/>
                <w:sz w:val="24"/>
              </w:rPr>
              <w:t>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32" w:hRule="atLeast"/>
        </w:trPr>
        <w:tc>
          <w:tcPr>
            <w:tcW w:w="608" w:type="dxa"/>
            <w:gridSpan w:val="2"/>
            <w:vMerge w:val="restart"/>
            <w:vAlign w:val="center"/>
          </w:tcPr>
          <w:p>
            <w:pPr>
              <w:pStyle w:val="17"/>
              <w:keepNext w:val="0"/>
              <w:keepLines w:val="0"/>
              <w:suppressLineNumbers w:val="0"/>
              <w:spacing w:before="0" w:beforeAutospacing="0" w:after="0" w:afterAutospacing="0"/>
              <w:ind w:left="0" w:right="0" w:firstLine="120" w:firstLineChars="50"/>
              <w:rPr>
                <w:color w:val="FF0000"/>
              </w:rPr>
            </w:pPr>
            <w:r>
              <w:rPr>
                <w:rFonts w:hint="eastAsia"/>
                <w:color w:val="FF0000"/>
              </w:rPr>
              <w:t>2</w:t>
            </w:r>
          </w:p>
        </w:tc>
        <w:tc>
          <w:tcPr>
            <w:tcW w:w="1003" w:type="dxa"/>
            <w:gridSpan w:val="2"/>
            <w:vMerge w:val="restart"/>
            <w:vAlign w:val="center"/>
          </w:tcPr>
          <w:p>
            <w:pPr>
              <w:keepNext w:val="0"/>
              <w:keepLines w:val="0"/>
              <w:widowControl/>
              <w:suppressLineNumbers w:val="0"/>
              <w:spacing w:before="0" w:beforeAutospacing="0" w:after="0" w:afterAutospacing="0"/>
              <w:ind w:left="0" w:right="0"/>
              <w:jc w:val="center"/>
              <w:rPr>
                <w:b/>
                <w:color w:val="FF0000"/>
                <w:kern w:val="2"/>
                <w:sz w:val="24"/>
              </w:rPr>
            </w:pPr>
          </w:p>
          <w:p>
            <w:pPr>
              <w:keepNext w:val="0"/>
              <w:keepLines w:val="0"/>
              <w:widowControl/>
              <w:suppressLineNumbers w:val="0"/>
              <w:spacing w:before="0" w:beforeAutospacing="0" w:after="0" w:afterAutospacing="0"/>
              <w:ind w:left="0" w:right="0"/>
              <w:jc w:val="center"/>
              <w:rPr>
                <w:b/>
                <w:color w:val="FF0000"/>
                <w:kern w:val="2"/>
                <w:sz w:val="24"/>
              </w:rPr>
            </w:pPr>
          </w:p>
          <w:p>
            <w:pPr>
              <w:keepNext w:val="0"/>
              <w:keepLines w:val="0"/>
              <w:widowControl/>
              <w:suppressLineNumbers w:val="0"/>
              <w:spacing w:before="0" w:beforeAutospacing="0" w:after="0" w:afterAutospacing="0"/>
              <w:ind w:left="0" w:right="0"/>
              <w:jc w:val="center"/>
              <w:rPr>
                <w:b/>
                <w:color w:val="FF0000"/>
                <w:kern w:val="2"/>
                <w:sz w:val="24"/>
              </w:rPr>
            </w:pPr>
          </w:p>
          <w:p>
            <w:pPr>
              <w:keepNext w:val="0"/>
              <w:keepLines w:val="0"/>
              <w:widowControl/>
              <w:suppressLineNumbers w:val="0"/>
              <w:spacing w:before="0" w:beforeAutospacing="0" w:after="0" w:afterAutospacing="0" w:line="400" w:lineRule="exact"/>
              <w:ind w:left="0" w:right="0"/>
              <w:jc w:val="center"/>
              <w:rPr>
                <w:rFonts w:ascii="仿宋" w:hAnsi="仿宋"/>
                <w:b/>
                <w:color w:val="FF0000"/>
                <w:kern w:val="2"/>
                <w:sz w:val="24"/>
              </w:rPr>
            </w:pPr>
            <w:r>
              <w:rPr>
                <w:rFonts w:ascii="仿宋" w:hAnsi="仿宋"/>
                <w:b/>
                <w:color w:val="FF0000"/>
                <w:kern w:val="2"/>
                <w:sz w:val="24"/>
              </w:rPr>
              <w:t>WEB</w:t>
            </w:r>
            <w:r>
              <w:rPr>
                <w:rFonts w:hint="eastAsia" w:ascii="仿宋" w:hAnsi="仿宋"/>
                <w:b/>
                <w:color w:val="FF0000"/>
                <w:kern w:val="2"/>
                <w:sz w:val="24"/>
              </w:rPr>
              <w:t>应用评估要求</w:t>
            </w:r>
          </w:p>
          <w:p>
            <w:pPr>
              <w:pStyle w:val="17"/>
              <w:keepNext w:val="0"/>
              <w:keepLines w:val="0"/>
              <w:suppressLineNumbers w:val="0"/>
              <w:spacing w:before="0" w:beforeAutospacing="0" w:after="0" w:afterAutospacing="0"/>
              <w:ind w:left="0" w:right="0"/>
              <w:rPr>
                <w:color w:val="FF0000"/>
              </w:rPr>
            </w:pPr>
          </w:p>
        </w:tc>
        <w:tc>
          <w:tcPr>
            <w:tcW w:w="7798" w:type="dxa"/>
          </w:tcPr>
          <w:p>
            <w:pPr>
              <w:keepNext w:val="0"/>
              <w:keepLines w:val="0"/>
              <w:widowControl/>
              <w:suppressLineNumbers w:val="0"/>
              <w:spacing w:before="0" w:beforeAutospacing="0" w:after="0" w:afterAutospacing="0"/>
              <w:ind w:left="0" w:right="0"/>
              <w:jc w:val="left"/>
              <w:rPr>
                <w:rFonts w:ascii="宋体" w:hAnsi="宋体"/>
                <w:b/>
                <w:bCs/>
                <w:color w:val="FF0000"/>
                <w:kern w:val="2"/>
                <w:szCs w:val="21"/>
              </w:rPr>
            </w:pPr>
            <w:r>
              <w:rPr>
                <w:rFonts w:hint="eastAsia" w:ascii="仿宋" w:hAnsi="仿宋"/>
                <w:color w:val="FF0000"/>
                <w:kern w:val="2"/>
                <w:sz w:val="24"/>
              </w:rPr>
              <w:t>2.1▲支持漏洞验证功能，在扫描结束后，能够对结果中的重要漏洞进行现场验证，展示漏洞利用过程和风险。</w:t>
            </w:r>
            <w:r>
              <w:rPr>
                <w:rFonts w:hint="eastAsia" w:ascii="仿宋" w:hAnsi="仿宋" w:cs="宋体"/>
                <w:color w:val="FF0000"/>
                <w:kern w:val="2"/>
                <w:sz w:val="24"/>
              </w:rPr>
              <w:t xml:space="preserve">（提供产品功能截图证明）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75" w:hRule="atLeast"/>
        </w:trPr>
        <w:tc>
          <w:tcPr>
            <w:tcW w:w="608" w:type="dxa"/>
            <w:gridSpan w:val="2"/>
            <w:vMerge w:val="continue"/>
          </w:tcPr>
          <w:p>
            <w:pPr>
              <w:pStyle w:val="17"/>
              <w:keepNext w:val="0"/>
              <w:keepLines w:val="0"/>
              <w:suppressLineNumbers w:val="0"/>
              <w:spacing w:before="0" w:beforeAutospacing="0" w:after="0" w:afterAutospacing="0"/>
              <w:ind w:left="0" w:right="0"/>
              <w:rPr>
                <w:color w:val="FF0000"/>
              </w:rPr>
            </w:pPr>
          </w:p>
        </w:tc>
        <w:tc>
          <w:tcPr>
            <w:tcW w:w="1003" w:type="dxa"/>
            <w:gridSpan w:val="2"/>
            <w:vMerge w:val="continue"/>
          </w:tcPr>
          <w:p>
            <w:pPr>
              <w:pStyle w:val="17"/>
              <w:keepNext w:val="0"/>
              <w:keepLines w:val="0"/>
              <w:suppressLineNumbers w:val="0"/>
              <w:spacing w:before="0" w:beforeAutospacing="0" w:after="0" w:afterAutospacing="0"/>
              <w:ind w:left="0" w:right="0"/>
              <w:rPr>
                <w:color w:val="FF0000"/>
              </w:rPr>
            </w:pPr>
          </w:p>
        </w:tc>
        <w:tc>
          <w:tcPr>
            <w:tcW w:w="7798"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2.2▲支持对主流Web漏洞的识别与扫描，包括：SQL注入漏洞、命令注入漏洞、CRLF注入漏洞、LDAP注入漏洞、XSS跨站脚本漏洞、路径遍历漏洞、信息泄漏漏洞、URL跳转漏洞、文件包含漏洞、应用程序漏洞、文件上传漏洞等，能够扫描的Web漏洞扫描方法不小于3000种（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439" w:type="dxa"/>
            <w:gridSpan w:val="6"/>
            <w:vAlign w:val="bottom"/>
          </w:tcPr>
          <w:p>
            <w:pPr>
              <w:pStyle w:val="17"/>
              <w:keepNext w:val="0"/>
              <w:keepLines w:val="0"/>
              <w:suppressLineNumbers w:val="0"/>
              <w:spacing w:before="0" w:beforeAutospacing="0" w:after="0" w:afterAutospacing="0"/>
              <w:ind w:left="0" w:right="0"/>
              <w:jc w:val="both"/>
              <w:rPr>
                <w:rFonts w:hint="eastAsia"/>
                <w:b/>
                <w:color w:val="auto"/>
              </w:rPr>
            </w:pPr>
            <w:r>
              <w:rPr>
                <w:rFonts w:hint="eastAsia"/>
                <w:b/>
                <w:bCs/>
                <w:color w:val="auto"/>
                <w:lang w:val="en-US" w:eastAsia="zh-CN"/>
              </w:rPr>
              <w:t>二、</w:t>
            </w:r>
            <w:r>
              <w:rPr>
                <w:rFonts w:hint="eastAsia"/>
                <w:b/>
                <w:bCs/>
                <w:color w:val="auto"/>
              </w:rPr>
              <w:t>应用层漏洞扫描测评工具应具备以下功能和特性：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44" w:type="dxa"/>
            <w:vAlign w:val="bottom"/>
          </w:tcPr>
          <w:p>
            <w:pPr>
              <w:pStyle w:val="17"/>
              <w:keepNext w:val="0"/>
              <w:keepLines w:val="0"/>
              <w:suppressLineNumbers w:val="0"/>
              <w:spacing w:before="0" w:beforeAutospacing="0" w:after="0" w:afterAutospacing="0"/>
              <w:ind w:left="0" w:right="0"/>
              <w:jc w:val="center"/>
              <w:rPr>
                <w:b/>
                <w:color w:val="auto"/>
              </w:rPr>
            </w:pPr>
            <w:r>
              <w:rPr>
                <w:rFonts w:hint="eastAsia"/>
                <w:b/>
                <w:color w:val="auto"/>
              </w:rPr>
              <w:t>序号</w:t>
            </w:r>
          </w:p>
        </w:tc>
        <w:tc>
          <w:tcPr>
            <w:tcW w:w="982" w:type="dxa"/>
            <w:gridSpan w:val="2"/>
            <w:vAlign w:val="bottom"/>
          </w:tcPr>
          <w:p>
            <w:pPr>
              <w:pStyle w:val="17"/>
              <w:keepNext w:val="0"/>
              <w:keepLines w:val="0"/>
              <w:suppressLineNumbers w:val="0"/>
              <w:spacing w:before="0" w:beforeAutospacing="0" w:after="0" w:afterAutospacing="0"/>
              <w:ind w:left="0" w:right="0"/>
              <w:jc w:val="center"/>
              <w:rPr>
                <w:b/>
                <w:color w:val="auto"/>
              </w:rPr>
            </w:pPr>
            <w:r>
              <w:rPr>
                <w:rFonts w:hint="eastAsia"/>
                <w:b/>
                <w:color w:val="auto"/>
              </w:rPr>
              <w:t>功能项</w:t>
            </w:r>
          </w:p>
        </w:tc>
        <w:tc>
          <w:tcPr>
            <w:tcW w:w="8013" w:type="dxa"/>
            <w:gridSpan w:val="3"/>
            <w:vAlign w:val="bottom"/>
          </w:tcPr>
          <w:p>
            <w:pPr>
              <w:pStyle w:val="17"/>
              <w:keepNext w:val="0"/>
              <w:keepLines w:val="0"/>
              <w:suppressLineNumbers w:val="0"/>
              <w:spacing w:before="0" w:beforeAutospacing="0" w:after="0" w:afterAutospacing="0"/>
              <w:ind w:left="0" w:right="0"/>
              <w:jc w:val="center"/>
              <w:rPr>
                <w:b/>
                <w:color w:val="auto"/>
              </w:rPr>
            </w:pPr>
            <w:r>
              <w:rPr>
                <w:rFonts w:hint="eastAsia"/>
                <w:b/>
                <w:color w:val="auto"/>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4"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1</w:t>
            </w:r>
          </w:p>
        </w:tc>
        <w:tc>
          <w:tcPr>
            <w:tcW w:w="982" w:type="dxa"/>
            <w:gridSpan w:val="2"/>
            <w:vMerge w:val="restart"/>
            <w:vAlign w:val="center"/>
          </w:tcPr>
          <w:p>
            <w:pPr>
              <w:keepNext w:val="0"/>
              <w:keepLines w:val="0"/>
              <w:widowControl/>
              <w:suppressLineNumbers w:val="0"/>
              <w:spacing w:before="0" w:beforeAutospacing="0" w:after="0" w:afterAutospacing="0"/>
              <w:ind w:left="0" w:right="0"/>
              <w:jc w:val="center"/>
              <w:rPr>
                <w:rFonts w:ascii="仿宋" w:hAnsi="仿宋"/>
                <w:b/>
                <w:bCs/>
                <w:color w:val="auto"/>
                <w:kern w:val="2"/>
                <w:szCs w:val="21"/>
              </w:rPr>
            </w:pPr>
            <w:r>
              <w:rPr>
                <w:rFonts w:hint="eastAsia" w:ascii="仿宋" w:hAnsi="仿宋"/>
                <w:b/>
                <w:color w:val="auto"/>
                <w:kern w:val="2"/>
                <w:szCs w:val="21"/>
              </w:rPr>
              <w:t>系统扫描能力要求</w:t>
            </w: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1.1支持60000条以上系统漏洞库，并按照漏洞类别及漏洞威胁程度进行分类；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982" w:type="dxa"/>
            <w:gridSpan w:val="2"/>
            <w:vMerge w:val="continue"/>
            <w:vAlign w:val="center"/>
          </w:tcPr>
          <w:p>
            <w:pPr>
              <w:pStyle w:val="17"/>
              <w:keepNext w:val="0"/>
              <w:keepLines w:val="0"/>
              <w:suppressLineNumbers w:val="0"/>
              <w:spacing w:before="0" w:beforeAutospacing="0" w:after="0" w:afterAutospacing="0"/>
              <w:ind w:left="0" w:right="0"/>
              <w:rPr>
                <w:color w:val="FF0000"/>
              </w:rPr>
            </w:pP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1.2▲支持漏洞库涵盖标准包含CVE、CVSS、CNVID、CNNVD、CNCVE、Bugtraq编号6种；</w:t>
            </w:r>
            <w:r>
              <w:rPr>
                <w:rFonts w:hint="eastAsia" w:ascii="仿宋" w:hAnsi="仿宋"/>
                <w:b/>
                <w:bCs/>
                <w:color w:val="FF0000"/>
                <w:kern w:val="2"/>
                <w:sz w:val="24"/>
              </w:rPr>
              <w:t>（提供产品功能截图证明）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44"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2</w:t>
            </w:r>
          </w:p>
        </w:tc>
        <w:tc>
          <w:tcPr>
            <w:tcW w:w="982" w:type="dxa"/>
            <w:gridSpan w:val="2"/>
            <w:vMerge w:val="restart"/>
            <w:vAlign w:val="center"/>
          </w:tcPr>
          <w:p>
            <w:pPr>
              <w:keepNext w:val="0"/>
              <w:keepLines w:val="0"/>
              <w:widowControl/>
              <w:suppressLineNumbers w:val="0"/>
              <w:spacing w:before="0" w:beforeAutospacing="0" w:after="0" w:afterAutospacing="0"/>
              <w:ind w:left="0" w:right="0"/>
              <w:jc w:val="center"/>
              <w:rPr>
                <w:color w:val="auto"/>
                <w:kern w:val="2"/>
                <w:sz w:val="24"/>
              </w:rPr>
            </w:pPr>
          </w:p>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W</w:t>
            </w:r>
            <w:r>
              <w:rPr>
                <w:rFonts w:ascii="仿宋" w:hAnsi="仿宋"/>
                <w:b/>
                <w:color w:val="auto"/>
                <w:kern w:val="2"/>
                <w:sz w:val="24"/>
              </w:rPr>
              <w:t>EB</w:t>
            </w:r>
            <w:r>
              <w:rPr>
                <w:rFonts w:hint="eastAsia" w:ascii="仿宋" w:hAnsi="仿宋"/>
                <w:b/>
                <w:color w:val="auto"/>
                <w:kern w:val="2"/>
                <w:sz w:val="24"/>
              </w:rPr>
              <w:t>漏扫功能要求</w:t>
            </w: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2.1▲支持Web登陆扫描，支持Cookie认证、Form认证、Basic认证、NTLM认证、Session认证、Digest认证、SSL；（提供产品功能截图）；支持自动探测网段的未知站点，并可转为WEB扫描资产；（提供产品功能截图证明）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44" w:type="dxa"/>
            <w:vMerge w:val="continue"/>
            <w:vAlign w:val="center"/>
          </w:tcPr>
          <w:p>
            <w:pPr>
              <w:pStyle w:val="17"/>
              <w:keepNext w:val="0"/>
              <w:keepLines w:val="0"/>
              <w:suppressLineNumbers w:val="0"/>
              <w:spacing w:before="0" w:beforeAutospacing="0" w:after="0" w:afterAutospacing="0"/>
              <w:ind w:left="0" w:right="0"/>
              <w:rPr>
                <w:color w:val="auto"/>
              </w:rPr>
            </w:pPr>
          </w:p>
        </w:tc>
        <w:tc>
          <w:tcPr>
            <w:tcW w:w="982" w:type="dxa"/>
            <w:gridSpan w:val="2"/>
            <w:vMerge w:val="continue"/>
          </w:tcPr>
          <w:p>
            <w:pPr>
              <w:pStyle w:val="17"/>
              <w:keepNext w:val="0"/>
              <w:keepLines w:val="0"/>
              <w:suppressLineNumbers w:val="0"/>
              <w:spacing w:before="0" w:beforeAutospacing="0" w:after="0" w:afterAutospacing="0"/>
              <w:ind w:left="0" w:right="0"/>
              <w:rPr>
                <w:color w:val="auto"/>
              </w:rPr>
            </w:pP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2.2▲支持Web漏洞扫描检测基于OWASP Top10标准进行规则定义；（提供产品功能截图证明）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44"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3</w:t>
            </w:r>
          </w:p>
        </w:tc>
        <w:tc>
          <w:tcPr>
            <w:tcW w:w="982" w:type="dxa"/>
            <w:gridSpan w:val="2"/>
            <w:vMerge w:val="restart"/>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安全基线检测功能要求</w:t>
            </w: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3.1▲支持对主机设备操作系统的安全配置核查，包括：Windows系列、Linux系列、HP-UX、AIX、Solaris；支持对主流数据库的安全配置检查，支持对主流网络设备的安全配置核查；支持对主流防火墙的安全配置核查；支持对主流中间件和应用的安全配置核查；（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44" w:type="dxa"/>
            <w:vMerge w:val="continue"/>
            <w:vAlign w:val="center"/>
          </w:tcPr>
          <w:p>
            <w:pPr>
              <w:pStyle w:val="17"/>
              <w:keepNext w:val="0"/>
              <w:keepLines w:val="0"/>
              <w:suppressLineNumbers w:val="0"/>
              <w:spacing w:before="0" w:beforeAutospacing="0" w:after="0" w:afterAutospacing="0"/>
              <w:ind w:left="0" w:right="0"/>
              <w:rPr>
                <w:color w:val="auto"/>
              </w:rPr>
            </w:pPr>
          </w:p>
        </w:tc>
        <w:tc>
          <w:tcPr>
            <w:tcW w:w="982" w:type="dxa"/>
            <w:gridSpan w:val="2"/>
            <w:vMerge w:val="continue"/>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auto"/>
                <w:kern w:val="2"/>
                <w:sz w:val="24"/>
              </w:rPr>
              <w:t>3.2支持对目标对象的账号管理、口令策略、认证授权、日志审计、网络通信等进行安全基线核查；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44"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4</w:t>
            </w:r>
          </w:p>
        </w:tc>
        <w:tc>
          <w:tcPr>
            <w:tcW w:w="982" w:type="dxa"/>
            <w:gridSpan w:val="2"/>
            <w:vMerge w:val="restart"/>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数据库扫描功能</w:t>
            </w:r>
          </w:p>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要求</w:t>
            </w: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4.1支持主流数据库漏洞的检测，应包括但不限于：Oralce、Sybase、SQLServer、DB2、MySQL、Postgres、Informix等；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44" w:type="dxa"/>
            <w:vMerge w:val="continue"/>
            <w:vAlign w:val="center"/>
          </w:tcPr>
          <w:p>
            <w:pPr>
              <w:pStyle w:val="17"/>
              <w:keepNext w:val="0"/>
              <w:keepLines w:val="0"/>
              <w:suppressLineNumbers w:val="0"/>
              <w:spacing w:before="0" w:beforeAutospacing="0" w:after="0" w:afterAutospacing="0"/>
              <w:ind w:left="0" w:right="0"/>
              <w:rPr>
                <w:color w:val="auto"/>
              </w:rPr>
            </w:pPr>
          </w:p>
        </w:tc>
        <w:tc>
          <w:tcPr>
            <w:tcW w:w="982" w:type="dxa"/>
            <w:gridSpan w:val="2"/>
            <w:vMerge w:val="continue"/>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4.2支持数据库登录扫描，至少应包括数据库账号，密码，SYSDBA、SYSOPER、NORMAL认证，SID、数据库名称、实例名称及实例号等登录选项的设置；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44"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5</w:t>
            </w:r>
          </w:p>
        </w:tc>
        <w:tc>
          <w:tcPr>
            <w:tcW w:w="982" w:type="dxa"/>
            <w:gridSpan w:val="2"/>
            <w:vMerge w:val="restart"/>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弱口令扫描功能</w:t>
            </w:r>
          </w:p>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要求</w:t>
            </w: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5.1支持目前主流协议和数据库弱口令检测，包括：TELNET、FTP、SSH、POP3、SMB、SNMP、RDP、SMTP、REDIS、Oracle、MySQL、PostgreSQL、MsSQL、DB2、MongoDB；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4" w:type="dxa"/>
            <w:vMerge w:val="continue"/>
          </w:tcPr>
          <w:p>
            <w:pPr>
              <w:pStyle w:val="17"/>
              <w:keepNext w:val="0"/>
              <w:keepLines w:val="0"/>
              <w:suppressLineNumbers w:val="0"/>
              <w:spacing w:before="0" w:beforeAutospacing="0" w:after="0" w:afterAutospacing="0"/>
              <w:ind w:left="0" w:right="0"/>
              <w:rPr>
                <w:color w:val="FF0000"/>
              </w:rPr>
            </w:pPr>
          </w:p>
        </w:tc>
        <w:tc>
          <w:tcPr>
            <w:tcW w:w="982" w:type="dxa"/>
            <w:gridSpan w:val="2"/>
            <w:vMerge w:val="continue"/>
          </w:tcPr>
          <w:p>
            <w:pPr>
              <w:keepNext w:val="0"/>
              <w:keepLines w:val="0"/>
              <w:widowControl/>
              <w:suppressLineNumbers w:val="0"/>
              <w:spacing w:before="0" w:beforeAutospacing="0" w:after="0" w:afterAutospacing="0"/>
              <w:ind w:left="0" w:right="0"/>
              <w:jc w:val="left"/>
              <w:rPr>
                <w:rFonts w:ascii="仿宋" w:hAnsi="仿宋"/>
                <w:b/>
                <w:color w:val="FF0000"/>
                <w:kern w:val="2"/>
                <w:sz w:val="24"/>
              </w:rPr>
            </w:pPr>
          </w:p>
        </w:tc>
        <w:tc>
          <w:tcPr>
            <w:tcW w:w="8013" w:type="dxa"/>
            <w:gridSpan w:val="3"/>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5.2支持用户自定义用户名密码列表导入检测。</w:t>
            </w:r>
          </w:p>
        </w:tc>
      </w:tr>
    </w:tbl>
    <w:p>
      <w:pPr>
        <w:keepNext/>
        <w:keepLines/>
        <w:widowControl w:val="0"/>
        <w:tabs>
          <w:tab w:val="left" w:pos="1680"/>
        </w:tabs>
        <w:kinsoku/>
        <w:overflowPunct/>
        <w:topLinePunct w:val="0"/>
        <w:bidi w:val="0"/>
        <w:spacing w:beforeAutospacing="0" w:afterAutospacing="0" w:line="360" w:lineRule="auto"/>
        <w:ind w:left="0" w:leftChars="0" w:right="0" w:firstLine="0" w:firstLineChars="0"/>
        <w:jc w:val="center"/>
        <w:outlineLvl w:val="2"/>
        <w:rPr>
          <w:rFonts w:hint="eastAsia" w:ascii="宋体" w:hAnsi="宋体" w:eastAsia="宋体" w:cs="宋体"/>
          <w:b/>
          <w:kern w:val="2"/>
          <w:sz w:val="32"/>
          <w:szCs w:val="32"/>
          <w:lang w:eastAsia="zh-CN"/>
        </w:rPr>
      </w:pPr>
      <w:r>
        <w:rPr>
          <w:rFonts w:hint="eastAsia" w:ascii="宋体" w:hAnsi="宋体" w:eastAsia="宋体" w:cs="宋体"/>
          <w:b/>
          <w:kern w:val="2"/>
          <w:sz w:val="32"/>
          <w:szCs w:val="32"/>
          <w:lang w:val="en-US" w:eastAsia="zh-CN"/>
        </w:rPr>
        <w:t>三、</w:t>
      </w:r>
      <w:r>
        <w:rPr>
          <w:rFonts w:hint="eastAsia" w:ascii="宋体" w:hAnsi="宋体" w:eastAsia="宋体" w:cs="宋体"/>
          <w:b/>
          <w:kern w:val="2"/>
          <w:sz w:val="32"/>
          <w:szCs w:val="32"/>
          <w:lang w:eastAsia="zh-CN"/>
        </w:rPr>
        <w:t>商务要求</w:t>
      </w:r>
    </w:p>
    <w:p>
      <w:pPr>
        <w:pStyle w:val="4"/>
        <w:numPr>
          <w:ilvl w:val="0"/>
          <w:numId w:val="0"/>
        </w:numPr>
        <w:jc w:val="both"/>
        <w:rPr>
          <w:rFonts w:ascii="仿宋" w:hAnsi="仿宋"/>
          <w:b/>
          <w:sz w:val="24"/>
        </w:rPr>
      </w:pPr>
      <w:r>
        <w:rPr>
          <w:rFonts w:hint="eastAsia" w:ascii="仿宋" w:hAnsi="仿宋"/>
          <w:b/>
          <w:sz w:val="24"/>
        </w:rPr>
        <w:t>服务期限及付款方式：</w:t>
      </w:r>
    </w:p>
    <w:p>
      <w:pPr>
        <w:spacing w:line="360" w:lineRule="auto"/>
        <w:rPr>
          <w:rFonts w:ascii="仿宋" w:hAnsi="仿宋"/>
          <w:b/>
          <w:sz w:val="24"/>
        </w:rPr>
      </w:pPr>
      <w:r>
        <w:rPr>
          <w:rFonts w:hint="eastAsia" w:ascii="仿宋" w:hAnsi="仿宋"/>
          <w:b/>
          <w:sz w:val="24"/>
        </w:rPr>
        <w:t>(一)、服务期限：</w:t>
      </w:r>
    </w:p>
    <w:p>
      <w:pPr>
        <w:pStyle w:val="39"/>
      </w:pPr>
      <w:r>
        <w:rPr>
          <w:rFonts w:hint="eastAsia"/>
        </w:rPr>
        <w:t>自签订合同之日起到收到测评机构提交的《网络安全等级保护测评报告》和深圳市网监分局颁发的《测评结果通知书》为一个服务周期。</w:t>
      </w:r>
    </w:p>
    <w:p>
      <w:pPr>
        <w:spacing w:line="360" w:lineRule="auto"/>
        <w:rPr>
          <w:rFonts w:ascii="仿宋" w:hAnsi="仿宋"/>
          <w:b/>
          <w:sz w:val="24"/>
        </w:rPr>
      </w:pPr>
      <w:r>
        <w:rPr>
          <w:rFonts w:hint="eastAsia" w:ascii="仿宋" w:hAnsi="仿宋"/>
          <w:b/>
          <w:sz w:val="24"/>
        </w:rPr>
        <w:t>（二）、付款方式：</w:t>
      </w:r>
    </w:p>
    <w:p>
      <w:pPr>
        <w:widowControl/>
        <w:spacing w:line="360" w:lineRule="auto"/>
        <w:ind w:left="361" w:firstLine="120" w:firstLineChars="50"/>
        <w:rPr>
          <w:rFonts w:ascii="仿宋" w:hAnsi="仿宋"/>
          <w:kern w:val="0"/>
          <w:sz w:val="24"/>
        </w:rPr>
      </w:pPr>
      <w:r>
        <w:rPr>
          <w:rFonts w:hint="eastAsia" w:ascii="仿宋" w:hAnsi="仿宋"/>
          <w:kern w:val="0"/>
          <w:sz w:val="24"/>
        </w:rPr>
        <w:t>1.自签订合同之日起</w:t>
      </w:r>
      <w:r>
        <w:rPr>
          <w:rFonts w:hint="eastAsia" w:ascii="仿宋" w:hAnsi="仿宋"/>
          <w:b/>
          <w:kern w:val="0"/>
          <w:sz w:val="24"/>
          <w:u w:val="single"/>
        </w:rPr>
        <w:t>十</w:t>
      </w:r>
      <w:r>
        <w:rPr>
          <w:rFonts w:hint="eastAsia" w:ascii="仿宋" w:hAnsi="仿宋"/>
          <w:kern w:val="0"/>
          <w:sz w:val="24"/>
        </w:rPr>
        <w:t>个工作日内，甲方向乙方支付本合同总价格的</w:t>
      </w:r>
      <w:r>
        <w:rPr>
          <w:rFonts w:hint="eastAsia" w:ascii="仿宋" w:hAnsi="仿宋"/>
          <w:kern w:val="0"/>
          <w:sz w:val="24"/>
          <w:u w:val="single"/>
        </w:rPr>
        <w:t>60%</w:t>
      </w:r>
      <w:r>
        <w:rPr>
          <w:rFonts w:hint="eastAsia" w:ascii="仿宋" w:hAnsi="仿宋"/>
          <w:kern w:val="0"/>
          <w:sz w:val="24"/>
        </w:rPr>
        <w:t>，</w:t>
      </w:r>
    </w:p>
    <w:p>
      <w:pPr>
        <w:spacing w:line="360" w:lineRule="auto"/>
        <w:ind w:firstLine="480" w:firstLineChars="200"/>
        <w:rPr>
          <w:rFonts w:ascii="仿宋" w:hAnsi="仿宋"/>
          <w:sz w:val="24"/>
        </w:rPr>
      </w:pPr>
      <w:r>
        <w:rPr>
          <w:rFonts w:hint="eastAsia" w:ascii="仿宋" w:hAnsi="仿宋"/>
          <w:sz w:val="24"/>
        </w:rPr>
        <w:t>2.项目完成后，并收到</w:t>
      </w:r>
      <w:bookmarkStart w:id="15" w:name="OLE_LINK1"/>
      <w:bookmarkStart w:id="16" w:name="OLE_LINK2"/>
      <w:r>
        <w:rPr>
          <w:rFonts w:hint="eastAsia" w:ascii="仿宋" w:hAnsi="仿宋"/>
          <w:sz w:val="24"/>
          <w:szCs w:val="21"/>
        </w:rPr>
        <w:t>测评机构提交的《网络安全等级保护测评报告》和深圳市网监颁发的《测评结果通知书》</w:t>
      </w:r>
      <w:bookmarkEnd w:id="15"/>
      <w:bookmarkEnd w:id="16"/>
      <w:r>
        <w:rPr>
          <w:rFonts w:hint="eastAsia" w:ascii="仿宋" w:hAnsi="仿宋"/>
          <w:sz w:val="24"/>
        </w:rPr>
        <w:t>的 15个工作日内支付全款的</w:t>
      </w:r>
      <w:r>
        <w:rPr>
          <w:rFonts w:hint="eastAsia" w:ascii="仿宋" w:hAnsi="仿宋"/>
          <w:sz w:val="24"/>
          <w:u w:val="single"/>
        </w:rPr>
        <w:t>40%</w:t>
      </w:r>
      <w:r>
        <w:rPr>
          <w:rFonts w:hint="eastAsia" w:ascii="仿宋" w:hAnsi="仿宋"/>
          <w:sz w:val="24"/>
        </w:rPr>
        <w:t>。</w:t>
      </w:r>
    </w:p>
    <w:p>
      <w:pPr>
        <w:spacing w:line="360" w:lineRule="auto"/>
        <w:ind w:firstLine="480" w:firstLineChars="200"/>
        <w:rPr>
          <w:rFonts w:ascii="仿宋" w:hAnsi="仿宋"/>
          <w:sz w:val="24"/>
        </w:rPr>
      </w:pPr>
      <w:r>
        <w:rPr>
          <w:rFonts w:hint="eastAsia" w:ascii="仿宋" w:hAnsi="仿宋"/>
          <w:sz w:val="24"/>
        </w:rPr>
        <w:t>3.乙方须提供本项目的有效增值税发票。乙方提供发票迟延的，甲方有权延迟支付款项。</w:t>
      </w:r>
    </w:p>
    <w:p>
      <w:pPr>
        <w:keepNext/>
        <w:keepLines/>
        <w:widowControl w:val="0"/>
        <w:tabs>
          <w:tab w:val="left" w:pos="1680"/>
        </w:tabs>
        <w:kinsoku/>
        <w:overflowPunct/>
        <w:topLinePunct w:val="0"/>
        <w:bidi w:val="0"/>
        <w:spacing w:beforeAutospacing="0" w:afterAutospacing="0" w:line="360" w:lineRule="auto"/>
        <w:ind w:left="0" w:leftChars="0" w:right="0" w:firstLine="0" w:firstLineChars="0"/>
        <w:jc w:val="center"/>
        <w:outlineLvl w:val="2"/>
        <w:rPr>
          <w:rFonts w:hint="eastAsia" w:ascii="宋体" w:hAnsi="宋体" w:eastAsia="宋体" w:cs="宋体"/>
          <w:b/>
          <w:kern w:val="2"/>
          <w:sz w:val="32"/>
          <w:szCs w:val="32"/>
          <w:lang w:eastAsia="zh-CN"/>
        </w:rPr>
      </w:pPr>
      <w:r>
        <w:rPr>
          <w:rFonts w:hint="eastAsia" w:ascii="宋体" w:hAnsi="宋体" w:eastAsia="宋体" w:cs="宋体"/>
          <w:b/>
          <w:kern w:val="2"/>
          <w:sz w:val="32"/>
          <w:szCs w:val="32"/>
          <w:lang w:val="en-US" w:eastAsia="zh-CN"/>
        </w:rPr>
        <w:t>四</w:t>
      </w:r>
      <w:r>
        <w:rPr>
          <w:rFonts w:hint="eastAsia" w:ascii="宋体" w:hAnsi="宋体" w:eastAsia="宋体" w:cs="宋体"/>
          <w:b/>
          <w:kern w:val="2"/>
          <w:sz w:val="32"/>
          <w:szCs w:val="32"/>
          <w:lang w:eastAsia="zh-CN"/>
        </w:rPr>
        <w:t>、服务需求明细</w:t>
      </w:r>
    </w:p>
    <w:tbl>
      <w:tblPr>
        <w:tblStyle w:val="22"/>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663"/>
        <w:gridCol w:w="807"/>
        <w:gridCol w:w="719"/>
        <w:gridCol w:w="111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序号</w:t>
            </w:r>
          </w:p>
        </w:tc>
        <w:tc>
          <w:tcPr>
            <w:tcW w:w="46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服务需求名称（标的名称）</w:t>
            </w:r>
          </w:p>
        </w:tc>
        <w:tc>
          <w:tcPr>
            <w:tcW w:w="8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数量</w:t>
            </w:r>
          </w:p>
        </w:tc>
        <w:tc>
          <w:tcPr>
            <w:tcW w:w="7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单位</w:t>
            </w:r>
          </w:p>
        </w:tc>
        <w:tc>
          <w:tcPr>
            <w:tcW w:w="11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
                <w:bCs w:val="0"/>
                <w:color w:val="FF0000"/>
                <w:kern w:val="2"/>
                <w:sz w:val="21"/>
                <w:szCs w:val="21"/>
                <w:lang w:val="en-US" w:eastAsia="zh-CN"/>
              </w:rPr>
            </w:pPr>
            <w:r>
              <w:rPr>
                <w:rFonts w:hint="eastAsia" w:ascii="宋体" w:hAnsi="宋体" w:eastAsia="宋体" w:cs="宋体"/>
                <w:b/>
                <w:bCs w:val="0"/>
                <w:color w:val="FF0000"/>
                <w:kern w:val="2"/>
                <w:sz w:val="21"/>
                <w:szCs w:val="21"/>
                <w:lang w:val="en-US" w:eastAsia="zh-CN"/>
              </w:rPr>
              <w:t>是否专门面向中小企业</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
                <w:bCs w:val="0"/>
                <w:color w:val="FF0000"/>
                <w:kern w:val="2"/>
                <w:sz w:val="21"/>
                <w:szCs w:val="21"/>
                <w:lang w:val="en-US" w:eastAsia="zh-CN"/>
              </w:rPr>
            </w:pPr>
            <w:r>
              <w:rPr>
                <w:rFonts w:hint="eastAsia" w:ascii="宋体" w:hAnsi="宋体" w:eastAsia="宋体" w:cs="宋体"/>
                <w:b/>
                <w:bCs w:val="0"/>
                <w:color w:val="FF0000"/>
                <w:kern w:val="2"/>
                <w:sz w:val="21"/>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38" w:type="dxa"/>
            <w:vAlign w:val="center"/>
          </w:tcPr>
          <w:p>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46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kern w:val="2"/>
                <w:sz w:val="21"/>
                <w:szCs w:val="21"/>
                <w:lang w:eastAsia="zh-CN"/>
              </w:rPr>
            </w:pPr>
            <w:r>
              <w:rPr>
                <w:rFonts w:hint="eastAsia"/>
                <w:kern w:val="2"/>
                <w:szCs w:val="21"/>
              </w:rPr>
              <w:t>深圳市龙华区卫生健康局智慧医疗“114工程”智能化项目2025年度等保测评服务和信息安全服务项目</w:t>
            </w:r>
          </w:p>
        </w:tc>
        <w:tc>
          <w:tcPr>
            <w:tcW w:w="8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20" w:type="dxa"/>
            <w:vAlign w:val="center"/>
          </w:tcPr>
          <w:p>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1110" w:type="dxa"/>
            <w:vAlign w:val="center"/>
          </w:tcPr>
          <w:p>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default" w:ascii="宋体" w:hAnsi="宋体" w:eastAsia="宋体" w:cs="宋体"/>
                <w:b/>
                <w:bCs w:val="0"/>
                <w:color w:val="FF0000"/>
                <w:kern w:val="2"/>
                <w:sz w:val="21"/>
                <w:szCs w:val="21"/>
                <w:lang w:val="en-US" w:eastAsia="zh-CN"/>
              </w:rPr>
            </w:pPr>
            <w:r>
              <w:rPr>
                <w:rFonts w:hint="eastAsia" w:ascii="宋体" w:hAnsi="宋体" w:eastAsia="宋体" w:cs="宋体"/>
                <w:b/>
                <w:bCs w:val="0"/>
                <w:color w:val="FF0000"/>
                <w:kern w:val="2"/>
                <w:sz w:val="21"/>
                <w:szCs w:val="21"/>
                <w:lang w:val="en-US" w:eastAsia="zh-CN"/>
              </w:rPr>
              <w:t>否</w:t>
            </w:r>
          </w:p>
        </w:tc>
        <w:tc>
          <w:tcPr>
            <w:tcW w:w="1079" w:type="dxa"/>
            <w:vAlign w:val="center"/>
          </w:tcPr>
          <w:p>
            <w:pPr>
              <w:keepNext w:val="0"/>
              <w:keepLines w:val="0"/>
              <w:pageBreakBefore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default" w:ascii="宋体" w:hAnsi="宋体" w:eastAsia="宋体" w:cs="宋体"/>
                <w:b/>
                <w:bCs w:val="0"/>
                <w:color w:val="FF0000"/>
                <w:kern w:val="2"/>
                <w:sz w:val="21"/>
                <w:szCs w:val="21"/>
                <w:lang w:val="en-US" w:eastAsia="zh-CN"/>
              </w:rPr>
            </w:pPr>
            <w:r>
              <w:rPr>
                <w:rFonts w:hint="eastAsia" w:ascii="宋体" w:hAnsi="宋体" w:cs="宋体"/>
                <w:color w:val="FF0000"/>
                <w:kern w:val="2"/>
                <w:u w:val="single"/>
              </w:rPr>
              <w:t>软件和信息技术服务业</w:t>
            </w:r>
          </w:p>
        </w:tc>
      </w:tr>
    </w:tbl>
    <w:p>
      <w:pPr>
        <w:keepNext/>
        <w:keepLines/>
        <w:widowControl w:val="0"/>
        <w:tabs>
          <w:tab w:val="left" w:pos="1680"/>
        </w:tabs>
        <w:kinsoku/>
        <w:overflowPunct/>
        <w:topLinePunct w:val="0"/>
        <w:bidi w:val="0"/>
        <w:spacing w:beforeAutospacing="0" w:afterAutospacing="0" w:line="360" w:lineRule="auto"/>
        <w:ind w:left="0" w:leftChars="0" w:right="0" w:firstLine="0" w:firstLineChars="0"/>
        <w:jc w:val="center"/>
        <w:outlineLvl w:val="2"/>
        <w:rPr>
          <w:rFonts w:hint="eastAsia" w:ascii="宋体" w:hAnsi="宋体" w:eastAsia="宋体" w:cs="宋体"/>
          <w:b/>
          <w:kern w:val="2"/>
          <w:sz w:val="32"/>
          <w:szCs w:val="32"/>
          <w:lang w:eastAsia="zh-CN"/>
        </w:rPr>
      </w:pPr>
      <w:bookmarkStart w:id="17" w:name="_Toc128884461"/>
      <w:r>
        <w:rPr>
          <w:rFonts w:hint="eastAsia" w:ascii="宋体" w:hAnsi="宋体" w:eastAsia="宋体" w:cs="宋体"/>
          <w:b/>
          <w:kern w:val="2"/>
          <w:sz w:val="32"/>
          <w:szCs w:val="32"/>
          <w:lang w:val="en-US" w:eastAsia="zh-CN"/>
        </w:rPr>
        <w:t>五</w:t>
      </w:r>
      <w:r>
        <w:rPr>
          <w:rFonts w:hint="eastAsia" w:ascii="宋体" w:hAnsi="宋体" w:eastAsia="宋体" w:cs="宋体"/>
          <w:b/>
          <w:kern w:val="2"/>
          <w:sz w:val="32"/>
          <w:szCs w:val="32"/>
          <w:lang w:eastAsia="zh-CN"/>
        </w:rPr>
        <w:t>、实质性条款</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9"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序号</w:t>
            </w:r>
          </w:p>
        </w:tc>
        <w:tc>
          <w:tcPr>
            <w:tcW w:w="7483"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1</w:t>
            </w:r>
          </w:p>
        </w:tc>
        <w:tc>
          <w:tcPr>
            <w:tcW w:w="7483" w:type="dxa"/>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本项目第三章用户需求书全部内容（</w:t>
            </w:r>
            <w:r>
              <w:rPr>
                <w:rFonts w:hint="eastAsia" w:ascii="宋体" w:hAnsi="宋体" w:eastAsia="宋体" w:cs="宋体"/>
                <w:kern w:val="2"/>
                <w:sz w:val="21"/>
                <w:szCs w:val="22"/>
                <w:lang w:val="en-US" w:eastAsia="zh-CN"/>
              </w:rPr>
              <w:t>技术要求除外</w:t>
            </w:r>
            <w:r>
              <w:rPr>
                <w:rFonts w:hint="eastAsia" w:ascii="宋体" w:hAnsi="宋体" w:eastAsia="宋体" w:cs="宋体"/>
                <w:kern w:val="2"/>
                <w:sz w:val="21"/>
                <w:szCs w:val="22"/>
                <w:lang w:eastAsia="zh-CN"/>
              </w:rPr>
              <w:t>）</w:t>
            </w:r>
          </w:p>
        </w:tc>
      </w:tr>
      <w:bookmarkEnd w:id="17"/>
    </w:tbl>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color w:val="FF0000"/>
          <w:kern w:val="2"/>
          <w:sz w:val="21"/>
          <w:szCs w:val="22"/>
          <w:lang w:eastAsia="zh-CN"/>
        </w:rPr>
      </w:pPr>
      <w:r>
        <w:rPr>
          <w:rFonts w:hint="eastAsia" w:ascii="宋体" w:hAnsi="宋体" w:eastAsia="宋体" w:cs="宋体"/>
          <w:b/>
          <w:color w:val="FF0000"/>
          <w:kern w:val="2"/>
          <w:sz w:val="21"/>
          <w:szCs w:val="22"/>
          <w:lang w:eastAsia="zh-CN"/>
        </w:rPr>
        <w:t>注</w:t>
      </w:r>
      <w:r>
        <w:rPr>
          <w:rFonts w:hint="eastAsia" w:ascii="宋体" w:hAnsi="宋体" w:eastAsia="宋体" w:cs="宋体"/>
          <w:kern w:val="2"/>
          <w:sz w:val="21"/>
          <w:szCs w:val="22"/>
          <w:lang w:eastAsia="zh-CN"/>
        </w:rPr>
        <w:t>：</w:t>
      </w:r>
      <w:r>
        <w:rPr>
          <w:rFonts w:hint="eastAsia" w:ascii="宋体" w:hAnsi="宋体" w:eastAsia="宋体" w:cs="宋体"/>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ind w:firstLine="420"/>
        <w:jc w:val="left"/>
        <w:rPr>
          <w:rFonts w:hint="eastAsia" w:ascii="宋体" w:hAnsi="宋体"/>
          <w:szCs w:val="21"/>
        </w:rPr>
      </w:pPr>
    </w:p>
    <w:p>
      <w:pPr>
        <w:pStyle w:val="11"/>
      </w:pPr>
    </w:p>
    <w:p>
      <w:pPr>
        <w:pStyle w:val="5"/>
        <w:spacing w:before="156" w:beforeLines="50" w:after="156" w:afterLines="50" w:line="416" w:lineRule="auto"/>
        <w:jc w:val="center"/>
        <w:rPr>
          <w:rFonts w:hint="eastAsia"/>
          <w:szCs w:val="28"/>
        </w:rPr>
      </w:pPr>
      <w:r>
        <w:rPr>
          <w:rFonts w:hint="eastAsia"/>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2"/>
      </w:pPr>
      <w:bookmarkStart w:id="18" w:name="_Hlk72257167"/>
    </w:p>
    <w:bookmarkEnd w:id="18"/>
    <w:p>
      <w:pPr>
        <w:widowControl/>
        <w:kinsoku/>
        <w:overflowPunct/>
        <w:topLinePunct w:val="0"/>
        <w:bidi w:val="0"/>
        <w:spacing w:beforeAutospacing="0" w:afterAutospacing="0" w:line="360" w:lineRule="auto"/>
        <w:ind w:left="0" w:leftChars="0" w:right="0" w:firstLine="0" w:firstLineChars="0"/>
        <w:jc w:val="left"/>
        <w:outlineLvl w:val="2"/>
        <w:rPr>
          <w:rFonts w:hint="eastAsia" w:ascii="宋体" w:hAnsi="宋体" w:eastAsia="宋体" w:cs="宋体"/>
          <w:bCs/>
          <w:kern w:val="44"/>
          <w:lang w:eastAsia="zh-CN"/>
        </w:rPr>
      </w:pPr>
      <w:bookmarkStart w:id="19" w:name="_Hlk72257771"/>
      <w:r>
        <w:rPr>
          <w:rFonts w:hint="eastAsia" w:ascii="宋体" w:hAnsi="宋体" w:eastAsia="宋体" w:cs="宋体"/>
          <w:bCs/>
          <w:kern w:val="44"/>
          <w:lang w:eastAsia="zh-CN"/>
        </w:rPr>
        <w:t>投标文件组成：</w:t>
      </w:r>
    </w:p>
    <w:p>
      <w:pPr>
        <w:widowControl w:val="0"/>
        <w:kinsoku/>
        <w:overflowPunct/>
        <w:topLinePunct w:val="0"/>
        <w:bidi w:val="0"/>
        <w:spacing w:beforeAutospacing="0" w:afterAutospacing="0" w:line="360" w:lineRule="auto"/>
        <w:ind w:left="0" w:leftChars="0" w:right="0" w:firstLine="0" w:firstLineChars="0"/>
        <w:jc w:val="both"/>
        <w:outlineLvl w:val="0"/>
        <w:rPr>
          <w:rFonts w:hint="eastAsia" w:ascii="宋体" w:hAnsi="宋体" w:eastAsia="宋体" w:cs="宋体"/>
          <w:kern w:val="2"/>
          <w:szCs w:val="22"/>
          <w:lang w:eastAsia="zh-CN"/>
        </w:rPr>
      </w:pPr>
      <w:r>
        <w:rPr>
          <w:rFonts w:hint="eastAsia" w:ascii="宋体" w:hAnsi="宋体" w:eastAsia="宋体" w:cs="宋体"/>
          <w:kern w:val="2"/>
          <w:szCs w:val="22"/>
          <w:lang w:eastAsia="zh-CN"/>
        </w:rPr>
        <w:t>1.投标文件正文，主要包括以下内容：</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（1）投标函</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（2）政府采购投标及履约承诺函</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（3）投标人情况及资格证明文件</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（4）项目详细报价</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（5）供应商基本情况表</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（6）法定代表人（负责人）证明书</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（7）投标文件签署授权委托书</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（8）实质性条款响应情况表</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w:t>
      </w:r>
      <w:r>
        <w:rPr>
          <w:rFonts w:hint="eastAsia" w:ascii="宋体" w:hAnsi="宋体" w:cs="宋体"/>
          <w:kern w:val="2"/>
          <w:szCs w:val="21"/>
        </w:rPr>
        <w:t>整体实施方案</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r>
        <w:rPr>
          <w:rFonts w:hint="eastAsia" w:ascii="宋体" w:hAnsi="宋体" w:cs="宋体"/>
          <w:kern w:val="2"/>
          <w:szCs w:val="21"/>
        </w:rPr>
        <w:t>项目重点难点分析、应对措施及相关的合理化建议</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（11）技术条款响应情况</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w:t>
      </w:r>
      <w:r>
        <w:rPr>
          <w:rFonts w:hint="eastAsia" w:ascii="宋体" w:hAnsi="宋体" w:cs="宋体"/>
          <w:kern w:val="2"/>
          <w:szCs w:val="21"/>
        </w:rPr>
        <w:t>拟安排项目负责人情况（仅限</w:t>
      </w:r>
      <w:r>
        <w:rPr>
          <w:kern w:val="2"/>
        </w:rPr>
        <w:t>一</w:t>
      </w:r>
      <w:r>
        <w:rPr>
          <w:rFonts w:hint="eastAsia" w:ascii="宋体" w:hAnsi="宋体" w:cs="宋体"/>
          <w:kern w:val="2"/>
          <w:szCs w:val="21"/>
        </w:rPr>
        <w:t>人）</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w:t>
      </w:r>
      <w:r>
        <w:rPr>
          <w:rFonts w:hint="eastAsia" w:ascii="宋体" w:hAnsi="宋体" w:cs="宋体"/>
          <w:kern w:val="2"/>
          <w:szCs w:val="21"/>
        </w:rPr>
        <w:t>拟安排的项目团队成员（项目负责人除外）情况</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（14）</w:t>
      </w:r>
      <w:r>
        <w:rPr>
          <w:rFonts w:hint="eastAsia" w:ascii="宋体" w:hAnsi="宋体" w:cs="宋体"/>
          <w:kern w:val="2"/>
          <w:szCs w:val="21"/>
        </w:rPr>
        <w:t>同类项目业绩</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w:t>
      </w:r>
      <w:r>
        <w:rPr>
          <w:rFonts w:hint="eastAsia" w:ascii="宋体" w:hAnsi="宋体"/>
          <w:kern w:val="2"/>
          <w:szCs w:val="21"/>
        </w:rPr>
        <w:t>供应商自主知识产权产品（创新、设计）情况</w:t>
      </w:r>
    </w:p>
    <w:p>
      <w:pPr>
        <w:widowControl w:val="0"/>
        <w:kinsoku/>
        <w:overflowPunct/>
        <w:topLinePunct w:val="0"/>
        <w:bidi w:val="0"/>
        <w:spacing w:beforeAutospacing="0" w:afterAutospacing="0" w:line="360" w:lineRule="auto"/>
        <w:ind w:left="0" w:leftChars="0" w:right="0" w:firstLine="0" w:firstLineChars="0"/>
        <w:jc w:val="both"/>
        <w:rPr>
          <w:rFonts w:ascii="Calibri" w:hAnsi="Calibri" w:eastAsia="宋体"/>
          <w:kern w:val="2"/>
          <w:sz w:val="21"/>
          <w:szCs w:val="22"/>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16</w:t>
      </w:r>
      <w:r>
        <w:rPr>
          <w:rFonts w:hint="eastAsia" w:ascii="宋体" w:hAnsi="宋体" w:eastAsia="宋体" w:cs="宋体"/>
          <w:kern w:val="2"/>
          <w:sz w:val="21"/>
          <w:szCs w:val="21"/>
          <w:lang w:eastAsia="zh-CN"/>
        </w:rPr>
        <w:t>）投标人认为需要加以说明的其他内容</w:t>
      </w:r>
    </w:p>
    <w:p>
      <w:pPr>
        <w:spacing w:line="320" w:lineRule="atLeast"/>
        <w:rPr>
          <w:rFonts w:hint="eastAsia" w:ascii="宋体" w:hAnsi="宋体"/>
          <w:b/>
          <w:sz w:val="24"/>
          <w:szCs w:val="24"/>
        </w:rPr>
      </w:pPr>
      <w:r>
        <w:rPr>
          <w:rFonts w:hint="eastAsia" w:ascii="宋体" w:hAnsi="宋体"/>
          <w:b/>
          <w:sz w:val="24"/>
          <w:szCs w:val="24"/>
        </w:rPr>
        <w:t>备注：</w:t>
      </w:r>
    </w:p>
    <w:p>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9"/>
      <w:bookmarkEnd w:id="20"/>
      <w:r>
        <w:rPr>
          <w:rFonts w:ascii="宋体" w:hAnsi="宋体" w:eastAsia="黑体" w:cs="Times New Roman"/>
          <w:bCs/>
          <w:kern w:val="44"/>
          <w:sz w:val="32"/>
          <w:szCs w:val="32"/>
        </w:rPr>
        <w:br w:type="page"/>
      </w:r>
    </w:p>
    <w:p>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5"/>
        <w:jc w:val="center"/>
        <w:rPr>
          <w:rFonts w:hint="eastAsia" w:ascii="黑体" w:eastAsia="黑体"/>
          <w:b w:val="0"/>
          <w:sz w:val="24"/>
        </w:rPr>
      </w:pPr>
      <w:r>
        <w:rPr>
          <w:rFonts w:hint="eastAsia" w:ascii="黑体" w:eastAsia="黑体"/>
          <w:b w:val="0"/>
          <w:sz w:val="24"/>
        </w:rPr>
        <w:t>一、投标函</w:t>
      </w:r>
    </w:p>
    <w:p>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bookmarkEnd w:id="21"/>
    <w:p>
      <w:pPr>
        <w:pStyle w:val="5"/>
        <w:jc w:val="center"/>
        <w:rPr>
          <w:rFonts w:hint="eastAsia" w:ascii="黑体" w:eastAsia="黑体"/>
          <w:b w:val="0"/>
          <w:sz w:val="24"/>
        </w:rPr>
      </w:pPr>
      <w:r>
        <w:rPr>
          <w:rFonts w:hint="eastAsia" w:ascii="黑体" w:eastAsia="黑体"/>
          <w:b w:val="0"/>
          <w:sz w:val="24"/>
        </w:rPr>
        <w:t>二、政府采购投标及履约承诺函</w:t>
      </w:r>
    </w:p>
    <w:p>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hint="eastAsia" w:ascii="宋体" w:hAnsi="宋体"/>
          <w:bCs/>
        </w:rPr>
      </w:pPr>
      <w:r>
        <w:rPr>
          <w:rFonts w:hint="eastAsia" w:ascii="宋体" w:hAnsi="宋体"/>
          <w:bCs/>
        </w:rPr>
        <w:t>13.</w:t>
      </w:r>
      <w:bookmarkStart w:id="26" w:name="OLE_LINK12"/>
      <w:bookmarkStart w:id="27"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6"/>
      <w:r>
        <w:rPr>
          <w:rFonts w:hint="eastAsia" w:ascii="宋体" w:hAnsi="宋体"/>
          <w:bCs/>
        </w:rPr>
        <w:t>。</w:t>
      </w:r>
      <w:bookmarkEnd w:id="27"/>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hint="eastAsia" w:ascii="宋体" w:hAnsi="宋体"/>
          <w:b/>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ind w:firstLine="645"/>
        <w:rPr>
          <w:rFonts w:hint="eastAsia" w:ascii="宋体" w:hAnsi="宋体"/>
          <w:szCs w:val="21"/>
        </w:rPr>
      </w:pPr>
    </w:p>
    <w:p>
      <w:pPr>
        <w:rPr>
          <w:rFonts w:ascii="宋体"/>
          <w:b/>
          <w:szCs w:val="21"/>
        </w:rPr>
      </w:pPr>
    </w:p>
    <w:p>
      <w:pPr>
        <w:ind w:firstLine="482" w:firstLineChars="200"/>
        <w:jc w:val="center"/>
        <w:rPr>
          <w:rFonts w:hint="eastAsia" w:hAnsi="宋体"/>
          <w:b/>
          <w:bCs/>
          <w:sz w:val="24"/>
        </w:rPr>
      </w:pPr>
    </w:p>
    <w:p>
      <w:pPr>
        <w:pStyle w:val="5"/>
        <w:jc w:val="center"/>
        <w:rPr>
          <w:rFonts w:hint="eastAsia"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pPr>
        <w:rPr>
          <w:b/>
          <w:bCs/>
          <w:sz w:val="24"/>
        </w:rPr>
      </w:pPr>
    </w:p>
    <w:p>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pPr>
        <w:jc w:val="left"/>
        <w:outlineLvl w:val="3"/>
        <w:rPr>
          <w:rFonts w:hint="eastAsia" w:ascii="黑体" w:hAnsi="宋体" w:eastAsia="黑体"/>
          <w:bCs/>
          <w:kern w:val="0"/>
          <w:sz w:val="24"/>
          <w:szCs w:val="32"/>
        </w:rPr>
      </w:pP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0"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0"/>
      <w:r>
        <w:rPr>
          <w:rFonts w:hint="eastAsia" w:ascii="黑体" w:hAnsi="黑体" w:eastAsia="黑体"/>
          <w:color w:val="FF0000"/>
          <w:szCs w:val="21"/>
        </w:rPr>
        <w:t>）</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pStyle w:val="32"/>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bookmarkEnd w:id="29"/>
    <w:p>
      <w:pPr>
        <w:numPr>
          <w:ilvl w:val="0"/>
          <w:numId w:val="2"/>
        </w:numPr>
        <w:jc w:val="center"/>
        <w:outlineLvl w:val="3"/>
      </w:pPr>
      <w:bookmarkStart w:id="31" w:name="OLE_LINK4"/>
      <w:r>
        <w:rPr>
          <w:b/>
          <w:sz w:val="24"/>
        </w:rPr>
        <w:t>中小企业声明函（</w:t>
      </w:r>
      <w:r>
        <w:rPr>
          <w:rFonts w:hint="eastAsia"/>
          <w:b/>
          <w:sz w:val="24"/>
        </w:rPr>
        <w:t>服务</w:t>
      </w:r>
      <w:r>
        <w:rPr>
          <w:b/>
          <w:sz w:val="24"/>
        </w:rPr>
        <w:t>）</w:t>
      </w: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本公司郑重声明，根据《政府采购促进中小企业发展管理办法》（财库﹝2020﹞46号）的规定，本公司参加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w:t>
      </w: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本企业对上述声明内容的真实性负责。如有虚假，将依法承担相应责任。</w:t>
      </w:r>
    </w:p>
    <w:p>
      <w:pPr>
        <w:spacing w:line="360" w:lineRule="auto"/>
        <w:ind w:firstLine="420" w:firstLineChars="200"/>
        <w:outlineLvl w:val="3"/>
        <w:rPr>
          <w:rFonts w:hint="eastAsia" w:asciiTheme="minorEastAsia" w:hAnsiTheme="minorEastAsia" w:cstheme="minorEastAsia"/>
          <w:szCs w:val="21"/>
        </w:rPr>
      </w:pPr>
      <w:bookmarkStart w:id="32" w:name="_Hlk73562275"/>
      <w:r>
        <w:rPr>
          <w:rFonts w:hint="eastAsia" w:asciiTheme="minorEastAsia" w:hAnsi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2"/>
    </w:p>
    <w:p>
      <w:pPr>
        <w:ind w:firstLine="420" w:firstLineChars="200"/>
      </w:pPr>
    </w:p>
    <w:p>
      <w:pPr>
        <w:jc w:val="center"/>
        <w:outlineLvl w:val="3"/>
        <w:rPr>
          <w:b/>
          <w:sz w:val="24"/>
        </w:rPr>
      </w:pPr>
      <w:r>
        <w:rPr>
          <w:rFonts w:hint="eastAsia"/>
          <w:b/>
          <w:sz w:val="24"/>
        </w:rPr>
        <w:t>2、残疾人福利性单位声明函（服务类）</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项目采购活动由本单位提供服务。</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pPr>
        <w:spacing w:line="360" w:lineRule="auto"/>
        <w:ind w:firstLine="420" w:firstLineChars="200"/>
        <w:rPr>
          <w:rFonts w:hint="eastAsia" w:ascii="宋体" w:hAnsi="宋体"/>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outlineLvl w:val="3"/>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bookmarkEnd w:id="31"/>
    <w:p>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pPr>
        <w:tabs>
          <w:tab w:val="left" w:pos="720"/>
        </w:tabs>
        <w:ind w:firstLine="3132" w:firstLineChars="1300"/>
        <w:rPr>
          <w:b/>
          <w:sz w:val="24"/>
        </w:rPr>
      </w:pPr>
      <w:r>
        <w:rPr>
          <w:rFonts w:hint="eastAsia"/>
          <w:b/>
          <w:sz w:val="24"/>
        </w:rPr>
        <w:t>（一）分项报价表</w:t>
      </w:r>
    </w:p>
    <w:tbl>
      <w:tblPr>
        <w:tblStyle w:val="23"/>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3073"/>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3073" w:type="dxa"/>
            <w:vAlign w:val="center"/>
          </w:tcPr>
          <w:p>
            <w:pPr>
              <w:jc w:val="center"/>
              <w:rPr>
                <w:rFonts w:hint="default" w:eastAsiaTheme="minorEastAsia"/>
                <w:lang w:val="en-US" w:eastAsia="zh-CN"/>
              </w:rPr>
            </w:pPr>
            <w:bookmarkStart w:id="33" w:name="OLE_LINK11"/>
            <w:r>
              <w:rPr>
                <w:rFonts w:hint="eastAsia"/>
                <w:lang w:val="en-US" w:eastAsia="zh-CN"/>
              </w:rPr>
              <w:t>项目名称</w:t>
            </w:r>
          </w:p>
        </w:tc>
        <w:tc>
          <w:tcPr>
            <w:tcW w:w="3073" w:type="dxa"/>
          </w:tcPr>
          <w:p>
            <w:pPr>
              <w:pStyle w:val="2"/>
              <w:jc w:val="both"/>
            </w:pPr>
          </w:p>
          <w:p>
            <w:pPr>
              <w:pStyle w:val="17"/>
              <w:jc w:val="center"/>
              <w:rPr>
                <w:rFonts w:hint="default" w:eastAsiaTheme="minorEastAsia"/>
                <w:lang w:val="en-US" w:eastAsia="zh-CN"/>
              </w:rPr>
            </w:pPr>
            <w:r>
              <w:rPr>
                <w:rFonts w:hint="eastAsia"/>
                <w:lang w:val="en-US" w:eastAsia="zh-CN"/>
              </w:rPr>
              <w:t>投标报价（元）</w:t>
            </w:r>
          </w:p>
        </w:tc>
        <w:tc>
          <w:tcPr>
            <w:tcW w:w="3073" w:type="dxa"/>
            <w:vAlign w:val="center"/>
          </w:tcPr>
          <w:p>
            <w:pPr>
              <w:pStyle w:val="17"/>
              <w:jc w:val="center"/>
              <w:rPr>
                <w:rFonts w:hint="default" w:eastAsiaTheme="minorEastAsia"/>
                <w:lang w:val="en-US" w:eastAsia="zh-CN"/>
              </w:rPr>
            </w:pPr>
            <w:r>
              <w:rPr>
                <w:rFonts w:hint="eastAsia"/>
                <w:lang w:val="en-US"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073" w:type="dxa"/>
          </w:tcPr>
          <w:p>
            <w:pPr>
              <w:pStyle w:val="17"/>
              <w:jc w:val="center"/>
            </w:pPr>
            <w:r>
              <w:rPr>
                <w:rFonts w:hint="eastAsia"/>
              </w:rPr>
              <w:t>深圳市龙华区卫生健康局智慧医疗“114工程”智能化项目2025年度等保测评服务和信息安全服务项目</w:t>
            </w:r>
          </w:p>
        </w:tc>
        <w:tc>
          <w:tcPr>
            <w:tcW w:w="3073" w:type="dxa"/>
          </w:tcPr>
          <w:p>
            <w:pPr>
              <w:pStyle w:val="17"/>
              <w:jc w:val="center"/>
            </w:pPr>
          </w:p>
        </w:tc>
        <w:tc>
          <w:tcPr>
            <w:tcW w:w="3073" w:type="dxa"/>
          </w:tcPr>
          <w:p>
            <w:pPr>
              <w:pStyle w:val="17"/>
              <w:jc w:val="center"/>
            </w:pPr>
            <w:r>
              <w:rPr>
                <w:rFonts w:hint="eastAsia"/>
              </w:rPr>
              <w:t>270000.00</w:t>
            </w:r>
          </w:p>
        </w:tc>
      </w:tr>
    </w:tbl>
    <w:p>
      <w:pPr>
        <w:rPr>
          <w:rFonts w:hint="eastAsia" w:hAnsi="宋体"/>
          <w:b/>
          <w:bCs/>
          <w:color w:val="FF0000"/>
          <w:sz w:val="24"/>
        </w:rPr>
      </w:pPr>
      <w:bookmarkStart w:id="34" w:name="OLE_LINK10"/>
    </w:p>
    <w:bookmarkEnd w:id="33"/>
    <w:bookmarkEnd w:id="34"/>
    <w:p>
      <w:pPr>
        <w:ind w:firstLine="422" w:firstLineChars="200"/>
        <w:rPr>
          <w:rFonts w:hint="eastAsia" w:hAnsi="宋体"/>
          <w:b/>
          <w:bCs/>
          <w:szCs w:val="21"/>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（二）供应商认为需要涉及的其他内容报价清单</w:t>
      </w:r>
    </w:p>
    <w:p>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pPr>
        <w:rPr>
          <w:b/>
          <w:bCs/>
          <w:color w:val="FF0000"/>
          <w:sz w:val="24"/>
        </w:rPr>
      </w:pPr>
    </w:p>
    <w:p>
      <w:pPr>
        <w:jc w:val="center"/>
        <w:rPr>
          <w:rFonts w:hint="eastAsia" w:ascii="宋体" w:hAnsi="宋体"/>
        </w:rPr>
      </w:pPr>
      <w:r>
        <w:rPr>
          <w:rFonts w:hint="eastAsia" w:ascii="黑体" w:eastAsia="黑体"/>
          <w:sz w:val="24"/>
          <w:szCs w:val="24"/>
        </w:rPr>
        <w:t>五、供应商基本情况表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02"/>
        <w:gridCol w:w="1666"/>
        <w:gridCol w:w="984"/>
        <w:gridCol w:w="819"/>
        <w:gridCol w:w="1248"/>
        <w:gridCol w:w="155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劳动合同</w:t>
            </w:r>
          </w:p>
          <w:p>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缴纳社会</w:t>
            </w:r>
          </w:p>
          <w:p>
            <w:pPr>
              <w:snapToGrid w:val="0"/>
              <w:jc w:val="center"/>
              <w:rPr>
                <w:rFonts w:hint="eastAsia" w:ascii="宋体" w:hAnsi="宋体" w:eastAsia="宋体" w:cs="宋体"/>
                <w:szCs w:val="21"/>
              </w:rPr>
            </w:pPr>
            <w:r>
              <w:rPr>
                <w:rFonts w:hint="eastAsia" w:ascii="宋体" w:hAnsi="宋体" w:eastAsia="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pPr>
        <w:autoSpaceDE w:val="0"/>
        <w:autoSpaceDN w:val="0"/>
        <w:adjustRightInd w:val="0"/>
        <w:snapToGrid w:val="0"/>
        <w:jc w:val="left"/>
        <w:rPr>
          <w:rFonts w:ascii="Arial" w:hAnsi="Arial" w:eastAsia="宋体" w:cs="Times New Roman"/>
          <w:b/>
          <w:sz w:val="24"/>
          <w:szCs w:val="24"/>
        </w:rPr>
      </w:pPr>
    </w:p>
    <w:p>
      <w:pPr>
        <w:widowControl/>
        <w:jc w:val="center"/>
        <w:rPr>
          <w:rFonts w:ascii="Arial" w:hAnsi="Arial" w:eastAsia="宋体" w:cs="Times New Roman"/>
          <w:b/>
          <w:sz w:val="24"/>
          <w:szCs w:val="24"/>
        </w:rPr>
      </w:pPr>
    </w:p>
    <w:p>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5"/>
        <w:jc w:val="center"/>
        <w:rPr>
          <w:rFonts w:hint="eastAsia" w:ascii="黑体" w:eastAsia="黑体"/>
          <w:b w:val="0"/>
          <w:sz w:val="24"/>
        </w:rPr>
      </w:pPr>
      <w:r>
        <w:rPr>
          <w:rFonts w:hint="eastAsia" w:ascii="黑体" w:eastAsia="黑体"/>
          <w:b w:val="0"/>
          <w:sz w:val="24"/>
        </w:rPr>
        <w:t>一、</w:t>
      </w:r>
      <w:bookmarkStart w:id="35" w:name="_Hlk72092499"/>
      <w:r>
        <w:rPr>
          <w:rFonts w:hint="eastAsia" w:ascii="黑体" w:eastAsia="黑体"/>
          <w:b w:val="0"/>
          <w:sz w:val="24"/>
        </w:rPr>
        <w:t>法定代表人（负责人）证明书</w:t>
      </w:r>
      <w:bookmarkEnd w:id="35"/>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3"/>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3"/>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jc w:val="center"/>
            </w:pPr>
          </w:p>
          <w:p>
            <w:pPr>
              <w:pStyle w:val="17"/>
              <w:jc w:val="center"/>
            </w:pPr>
          </w:p>
        </w:tc>
        <w:tc>
          <w:tcPr>
            <w:tcW w:w="4265" w:type="dxa"/>
          </w:tcPr>
          <w:p>
            <w:pPr>
              <w:jc w:val="center"/>
            </w:pPr>
            <w:r>
              <w:rPr>
                <w:rFonts w:hint="eastAsia"/>
              </w:rPr>
              <w:t>证件扫描件反面</w:t>
            </w:r>
          </w:p>
          <w:p>
            <w:pPr>
              <w:pStyle w:val="2"/>
              <w:jc w:val="center"/>
            </w:pPr>
          </w:p>
          <w:p>
            <w:pPr>
              <w:pStyle w:val="17"/>
              <w:jc w:val="center"/>
            </w:pPr>
          </w:p>
        </w:tc>
      </w:tr>
    </w:tbl>
    <w:p>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rPr>
          <w:b/>
          <w:bCs/>
          <w:color w:val="FF0000"/>
          <w:szCs w:val="21"/>
        </w:rPr>
      </w:pPr>
    </w:p>
    <w:p>
      <w:pPr>
        <w:pStyle w:val="5"/>
        <w:spacing w:before="120" w:after="120"/>
        <w:jc w:val="center"/>
        <w:rPr>
          <w:rFonts w:hint="eastAsia" w:ascii="黑体" w:eastAsia="黑体"/>
          <w:b w:val="0"/>
          <w:sz w:val="24"/>
        </w:rPr>
      </w:pPr>
      <w:r>
        <w:rPr>
          <w:rFonts w:hint="eastAsia" w:ascii="黑体" w:eastAsia="黑体"/>
          <w:b w:val="0"/>
          <w:sz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2"/>
              <w:jc w:val="center"/>
            </w:pPr>
          </w:p>
          <w:p>
            <w:pPr>
              <w:pStyle w:val="17"/>
              <w:jc w:val="center"/>
            </w:pPr>
          </w:p>
        </w:tc>
        <w:tc>
          <w:tcPr>
            <w:tcW w:w="4265" w:type="dxa"/>
          </w:tcPr>
          <w:p>
            <w:pPr>
              <w:jc w:val="center"/>
            </w:pPr>
            <w:r>
              <w:rPr>
                <w:rFonts w:hint="eastAsia" w:ascii="Times New Roman" w:eastAsia="宋体"/>
              </w:rPr>
              <w:t>证件扫描件反面</w:t>
            </w:r>
          </w:p>
          <w:p>
            <w:pPr>
              <w:pStyle w:val="2"/>
              <w:jc w:val="center"/>
            </w:pPr>
          </w:p>
          <w:p>
            <w:pPr>
              <w:pStyle w:val="17"/>
              <w:jc w:val="center"/>
            </w:pPr>
          </w:p>
        </w:tc>
      </w:tr>
    </w:tbl>
    <w:p>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6" w:name="_Hlk72092634"/>
      <w:r>
        <w:rPr>
          <w:rFonts w:hint="eastAsia" w:ascii="黑体" w:eastAsia="黑体"/>
          <w:kern w:val="0"/>
          <w:sz w:val="24"/>
          <w:szCs w:val="24"/>
        </w:rPr>
        <w:t>实质性条款响应情况表</w:t>
      </w:r>
      <w:bookmarkEnd w:id="36"/>
    </w:p>
    <w:p>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pPr>
        <w:snapToGrid w:val="0"/>
        <w:rPr>
          <w:rFonts w:hint="eastAsia" w:cs="Times New Roman" w:asciiTheme="minorEastAsia" w:hAnsiTheme="minorEastAsia"/>
          <w:b/>
          <w:sz w:val="24"/>
          <w:szCs w:val="24"/>
        </w:rPr>
      </w:pPr>
    </w:p>
    <w:tbl>
      <w:tblPr>
        <w:tblStyle w:val="22"/>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97"/>
        <w:gridCol w:w="3851"/>
        <w:gridCol w:w="2149"/>
        <w:gridCol w:w="1711"/>
        <w:gridCol w:w="981"/>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序号</w:t>
            </w:r>
          </w:p>
        </w:tc>
        <w:tc>
          <w:tcPr>
            <w:tcW w:w="3901"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实质性条款具体内容</w:t>
            </w:r>
          </w:p>
        </w:tc>
        <w:tc>
          <w:tcPr>
            <w:tcW w:w="2176"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投标文件响应</w:t>
            </w:r>
          </w:p>
        </w:tc>
        <w:tc>
          <w:tcPr>
            <w:tcW w:w="1732"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偏离情况</w:t>
            </w:r>
          </w:p>
        </w:tc>
        <w:tc>
          <w:tcPr>
            <w:tcW w:w="992"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1</w:t>
            </w:r>
          </w:p>
        </w:tc>
        <w:tc>
          <w:tcPr>
            <w:tcW w:w="3901"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本项目第三章用户需求书全部内容（</w:t>
            </w:r>
            <w:r>
              <w:rPr>
                <w:rFonts w:hint="eastAsia" w:ascii="宋体" w:hAnsi="宋体" w:eastAsia="宋体" w:cs="宋体"/>
                <w:b/>
                <w:color w:val="FF0000"/>
                <w:kern w:val="2"/>
                <w:sz w:val="21"/>
                <w:szCs w:val="21"/>
                <w:lang w:val="en-US" w:eastAsia="zh-CN"/>
              </w:rPr>
              <w:t>技术要求除外</w:t>
            </w:r>
            <w:r>
              <w:rPr>
                <w:rFonts w:hint="eastAsia" w:ascii="宋体" w:hAnsi="宋体" w:eastAsia="宋体" w:cs="宋体"/>
                <w:b/>
                <w:color w:val="FF0000"/>
                <w:kern w:val="2"/>
                <w:sz w:val="21"/>
                <w:szCs w:val="21"/>
                <w:lang w:eastAsia="zh-CN"/>
              </w:rPr>
              <w:t>）</w:t>
            </w:r>
          </w:p>
        </w:tc>
        <w:tc>
          <w:tcPr>
            <w:tcW w:w="2176"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完全响应</w:t>
            </w:r>
          </w:p>
        </w:tc>
        <w:tc>
          <w:tcPr>
            <w:tcW w:w="1732"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无偏离</w:t>
            </w:r>
          </w:p>
        </w:tc>
        <w:tc>
          <w:tcPr>
            <w:tcW w:w="992" w:type="dxa"/>
            <w:vAlign w:val="center"/>
          </w:tcPr>
          <w:p>
            <w:pPr>
              <w:keepNext w:val="0"/>
              <w:keepLines w:val="0"/>
              <w:widowControl w:val="0"/>
              <w:suppressLineNumbers w:val="0"/>
              <w:kinsoku/>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b/>
                <w:color w:val="FF0000"/>
                <w:kern w:val="2"/>
                <w:sz w:val="21"/>
                <w:szCs w:val="21"/>
                <w:lang w:eastAsia="zh-CN"/>
              </w:rPr>
            </w:pPr>
          </w:p>
        </w:tc>
      </w:tr>
    </w:tbl>
    <w:p>
      <w:pPr>
        <w:snapToGrid w:val="0"/>
        <w:rPr>
          <w:rFonts w:hint="eastAsia" w:ascii="宋体" w:hAnsi="宋体" w:eastAsia="宋体" w:cs="Times New Roman"/>
          <w:b/>
          <w:sz w:val="24"/>
          <w:szCs w:val="24"/>
        </w:rPr>
      </w:pPr>
    </w:p>
    <w:p>
      <w:pPr>
        <w:snapToGrid w:val="0"/>
        <w:rPr>
          <w:rFonts w:hint="eastAsia" w:ascii="宋体" w:hAnsi="宋体" w:eastAsia="宋体" w:cs="Times New Roman"/>
          <w:b/>
          <w:sz w:val="24"/>
          <w:szCs w:val="24"/>
        </w:rPr>
      </w:pPr>
    </w:p>
    <w:p>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w:t>
      </w:r>
      <w:r>
        <w:rPr>
          <w:rFonts w:hint="eastAsia" w:ascii="宋体" w:hAnsi="宋体" w:cs="宋体"/>
          <w:b/>
          <w:bCs/>
          <w:sz w:val="24"/>
          <w:szCs w:val="24"/>
        </w:rPr>
        <w:t>如完全满足实质性条款具体内容可填写“完全响应”，除招标文件另有注明外，不强制要求逐条列出响应。</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pPr>
        <w:widowControl w:val="0"/>
        <w:numPr>
          <w:ilvl w:val="0"/>
          <w:numId w:val="4"/>
        </w:numPr>
        <w:kinsoku/>
        <w:overflowPunct/>
        <w:topLinePunct w:val="0"/>
        <w:bidi w:val="0"/>
        <w:spacing w:beforeAutospacing="0" w:afterAutospacing="0" w:line="360" w:lineRule="auto"/>
        <w:ind w:left="0" w:leftChars="0" w:right="0" w:firstLine="0" w:firstLineChars="0"/>
        <w:jc w:val="both"/>
        <w:rPr>
          <w:rFonts w:hint="eastAsia" w:ascii="宋体" w:hAnsi="宋体" w:cs="宋体"/>
          <w:kern w:val="2"/>
          <w:szCs w:val="21"/>
        </w:rPr>
      </w:pPr>
      <w:r>
        <w:rPr>
          <w:rFonts w:hint="eastAsia" w:ascii="宋体" w:hAnsi="宋体" w:cs="宋体"/>
          <w:kern w:val="2"/>
          <w:szCs w:val="21"/>
        </w:rPr>
        <w:t>整体实施方案</w:t>
      </w:r>
    </w:p>
    <w:p>
      <w:pPr>
        <w:pStyle w:val="2"/>
        <w:numPr>
          <w:ilvl w:val="0"/>
          <w:numId w:val="0"/>
        </w:numPr>
        <w:rPr>
          <w:rFonts w:hint="eastAsia"/>
          <w:b w:val="0"/>
          <w:bCs w:val="0"/>
          <w:lang w:eastAsia="zh-CN"/>
        </w:rPr>
      </w:pPr>
      <w:r>
        <w:rPr>
          <w:rFonts w:hint="eastAsia"/>
          <w:b w:val="0"/>
          <w:bCs w:val="0"/>
          <w:lang w:eastAsia="zh-CN"/>
        </w:rPr>
        <w:t>（</w:t>
      </w:r>
      <w:r>
        <w:rPr>
          <w:rFonts w:hint="eastAsia"/>
          <w:b w:val="0"/>
          <w:bCs w:val="0"/>
          <w:lang w:val="en-US" w:eastAsia="zh-CN"/>
        </w:rPr>
        <w:t>格式自拟</w:t>
      </w:r>
      <w:r>
        <w:rPr>
          <w:rFonts w:hint="eastAsia"/>
          <w:b w:val="0"/>
          <w:bCs w:val="0"/>
          <w:lang w:eastAsia="zh-CN"/>
        </w:rPr>
        <w:t>）</w:t>
      </w:r>
    </w:p>
    <w:p>
      <w:pPr>
        <w:widowControl w:val="0"/>
        <w:numPr>
          <w:ilvl w:val="0"/>
          <w:numId w:val="4"/>
        </w:numPr>
        <w:kinsoku/>
        <w:overflowPunct/>
        <w:topLinePunct w:val="0"/>
        <w:bidi w:val="0"/>
        <w:spacing w:beforeAutospacing="0" w:afterAutospacing="0" w:line="360" w:lineRule="auto"/>
        <w:ind w:left="0" w:leftChars="0" w:right="0" w:firstLine="0" w:firstLineChars="0"/>
        <w:jc w:val="both"/>
        <w:rPr>
          <w:rFonts w:hint="eastAsia" w:ascii="宋体" w:hAnsi="宋体" w:cs="宋体"/>
          <w:kern w:val="2"/>
          <w:szCs w:val="21"/>
        </w:rPr>
      </w:pPr>
      <w:r>
        <w:rPr>
          <w:rFonts w:hint="eastAsia" w:ascii="宋体" w:hAnsi="宋体" w:cs="宋体"/>
          <w:kern w:val="2"/>
          <w:szCs w:val="21"/>
        </w:rPr>
        <w:t>项目重点难点分析、应对措施及相关的合理化建议</w:t>
      </w:r>
    </w:p>
    <w:p>
      <w:pPr>
        <w:pStyle w:val="2"/>
        <w:numPr>
          <w:ilvl w:val="0"/>
          <w:numId w:val="0"/>
        </w:numPr>
        <w:rPr>
          <w:rFonts w:hint="eastAsia"/>
          <w:b w:val="0"/>
          <w:bCs w:val="0"/>
          <w:lang w:eastAsia="zh-CN"/>
        </w:rPr>
      </w:pPr>
      <w:r>
        <w:rPr>
          <w:rFonts w:hint="eastAsia"/>
          <w:b w:val="0"/>
          <w:bCs w:val="0"/>
          <w:lang w:eastAsia="zh-CN"/>
        </w:rPr>
        <w:t>（</w:t>
      </w:r>
      <w:r>
        <w:rPr>
          <w:rFonts w:hint="eastAsia"/>
          <w:b w:val="0"/>
          <w:bCs w:val="0"/>
          <w:lang w:val="en-US" w:eastAsia="zh-CN"/>
        </w:rPr>
        <w:t>格式自拟</w:t>
      </w:r>
      <w:r>
        <w:rPr>
          <w:rFonts w:hint="eastAsia"/>
          <w:b w:val="0"/>
          <w:bCs w:val="0"/>
          <w:lang w:eastAsia="zh-CN"/>
        </w:rPr>
        <w:t>）</w:t>
      </w:r>
    </w:p>
    <w:p>
      <w:pPr>
        <w:pStyle w:val="2"/>
        <w:numPr>
          <w:ilvl w:val="0"/>
          <w:numId w:val="0"/>
        </w:numPr>
        <w:ind w:leftChars="0"/>
        <w:rPr>
          <w:rFonts w:hint="eastAsia"/>
          <w:lang w:eastAsia="zh-CN"/>
        </w:rPr>
      </w:pPr>
    </w:p>
    <w:p>
      <w:pPr>
        <w:widowControl w:val="0"/>
        <w:numPr>
          <w:ilvl w:val="0"/>
          <w:numId w:val="4"/>
        </w:numPr>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技术条款响应情况</w:t>
      </w:r>
    </w:p>
    <w:tbl>
      <w:tblPr>
        <w:tblStyle w:val="22"/>
        <w:tblW w:w="9415"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90"/>
        <w:gridCol w:w="3715"/>
        <w:gridCol w:w="1576"/>
        <w:gridCol w:w="1603"/>
        <w:gridCol w:w="33"/>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9" w:type="dxa"/>
            <w:vAlign w:val="center"/>
          </w:tcPr>
          <w:p>
            <w:pPr>
              <w:keepNext w:val="0"/>
              <w:keepLines w:val="0"/>
              <w:widowControl/>
              <w:suppressLineNumbers w:val="0"/>
              <w:spacing w:before="0" w:beforeAutospacing="0" w:after="0" w:afterAutospacing="0"/>
              <w:ind w:left="0" w:right="0"/>
              <w:jc w:val="left"/>
              <w:rPr>
                <w:rFonts w:hint="eastAsia" w:ascii="仿宋" w:hAnsi="仿宋"/>
                <w:b/>
                <w:bCs/>
                <w:kern w:val="2"/>
                <w:sz w:val="24"/>
              </w:rPr>
            </w:pPr>
            <w:r>
              <w:rPr>
                <w:rFonts w:hint="eastAsia" w:ascii="仿宋" w:hAnsi="仿宋"/>
                <w:b/>
                <w:bCs/>
                <w:kern w:val="2"/>
                <w:sz w:val="24"/>
              </w:rPr>
              <w:t>序号</w:t>
            </w:r>
          </w:p>
        </w:tc>
        <w:tc>
          <w:tcPr>
            <w:tcW w:w="790" w:type="dxa"/>
            <w:vAlign w:val="center"/>
          </w:tcPr>
          <w:p>
            <w:pPr>
              <w:keepNext w:val="0"/>
              <w:keepLines w:val="0"/>
              <w:widowControl/>
              <w:suppressLineNumbers w:val="0"/>
              <w:spacing w:before="0" w:beforeAutospacing="0" w:after="0" w:afterAutospacing="0"/>
              <w:ind w:left="0" w:right="0"/>
              <w:jc w:val="left"/>
              <w:rPr>
                <w:rFonts w:hint="eastAsia" w:ascii="仿宋" w:hAnsi="仿宋"/>
                <w:b/>
                <w:bCs/>
                <w:kern w:val="2"/>
                <w:sz w:val="24"/>
              </w:rPr>
            </w:pPr>
            <w:r>
              <w:rPr>
                <w:rFonts w:hint="eastAsia" w:ascii="仿宋" w:hAnsi="仿宋"/>
                <w:b/>
                <w:bCs/>
                <w:kern w:val="2"/>
                <w:sz w:val="24"/>
              </w:rPr>
              <w:t>功能项</w:t>
            </w:r>
          </w:p>
        </w:tc>
        <w:tc>
          <w:tcPr>
            <w:tcW w:w="3715" w:type="dxa"/>
            <w:vAlign w:val="center"/>
          </w:tcPr>
          <w:p>
            <w:pPr>
              <w:keepNext w:val="0"/>
              <w:keepLines w:val="0"/>
              <w:widowControl/>
              <w:suppressLineNumbers w:val="0"/>
              <w:spacing w:before="0" w:beforeAutospacing="0" w:after="0" w:afterAutospacing="0"/>
              <w:ind w:left="0" w:right="0"/>
              <w:jc w:val="left"/>
              <w:rPr>
                <w:rFonts w:hint="eastAsia" w:ascii="仿宋" w:hAnsi="仿宋"/>
                <w:b/>
                <w:bCs/>
                <w:kern w:val="2"/>
                <w:sz w:val="24"/>
              </w:rPr>
            </w:pPr>
            <w:r>
              <w:rPr>
                <w:rFonts w:hint="eastAsia" w:ascii="仿宋" w:hAnsi="仿宋"/>
                <w:b/>
                <w:bCs/>
                <w:kern w:val="2"/>
                <w:sz w:val="24"/>
              </w:rPr>
              <w:t>功能要求</w:t>
            </w:r>
          </w:p>
        </w:tc>
        <w:tc>
          <w:tcPr>
            <w:tcW w:w="1576" w:type="dxa"/>
            <w:vAlign w:val="center"/>
          </w:tcPr>
          <w:p>
            <w:pPr>
              <w:keepNext w:val="0"/>
              <w:keepLines w:val="0"/>
              <w:widowControl/>
              <w:suppressLineNumbers w:val="0"/>
              <w:spacing w:before="0" w:beforeAutospacing="0" w:after="0" w:afterAutospacing="0"/>
              <w:ind w:left="0" w:right="0"/>
              <w:jc w:val="left"/>
              <w:rPr>
                <w:rFonts w:hint="default" w:ascii="仿宋" w:hAnsi="仿宋" w:eastAsiaTheme="minorEastAsia"/>
                <w:b/>
                <w:bCs/>
                <w:kern w:val="2"/>
                <w:sz w:val="24"/>
                <w:lang w:val="en-US" w:eastAsia="zh-CN"/>
              </w:rPr>
            </w:pPr>
            <w:r>
              <w:rPr>
                <w:rFonts w:hint="eastAsia" w:ascii="仿宋" w:hAnsi="仿宋"/>
                <w:b/>
                <w:bCs/>
                <w:kern w:val="2"/>
                <w:sz w:val="24"/>
                <w:lang w:val="en-US" w:eastAsia="zh-CN"/>
              </w:rPr>
              <w:t>投标响应情况</w:t>
            </w:r>
          </w:p>
        </w:tc>
        <w:tc>
          <w:tcPr>
            <w:tcW w:w="1636" w:type="dxa"/>
            <w:gridSpan w:val="2"/>
            <w:vAlign w:val="center"/>
          </w:tcPr>
          <w:p>
            <w:pPr>
              <w:keepNext w:val="0"/>
              <w:keepLines w:val="0"/>
              <w:widowControl/>
              <w:suppressLineNumbers w:val="0"/>
              <w:spacing w:before="0" w:beforeAutospacing="0" w:after="0" w:afterAutospacing="0"/>
              <w:ind w:left="0" w:right="0"/>
              <w:jc w:val="left"/>
              <w:rPr>
                <w:rFonts w:hint="default" w:ascii="仿宋" w:hAnsi="仿宋" w:eastAsiaTheme="minorEastAsia"/>
                <w:b/>
                <w:bCs/>
                <w:kern w:val="2"/>
                <w:sz w:val="24"/>
                <w:lang w:val="en-US" w:eastAsia="zh-CN"/>
              </w:rPr>
            </w:pPr>
            <w:r>
              <w:rPr>
                <w:rFonts w:hint="eastAsia" w:ascii="仿宋" w:hAnsi="仿宋"/>
                <w:b/>
                <w:bCs/>
                <w:kern w:val="2"/>
                <w:sz w:val="24"/>
                <w:lang w:val="en-US" w:eastAsia="zh-CN"/>
              </w:rPr>
              <w:t>偏离情况</w:t>
            </w:r>
          </w:p>
        </w:tc>
        <w:tc>
          <w:tcPr>
            <w:tcW w:w="1159" w:type="dxa"/>
            <w:vAlign w:val="center"/>
          </w:tcPr>
          <w:p>
            <w:pPr>
              <w:keepNext w:val="0"/>
              <w:keepLines w:val="0"/>
              <w:widowControl/>
              <w:suppressLineNumbers w:val="0"/>
              <w:spacing w:before="0" w:beforeAutospacing="0" w:after="0" w:afterAutospacing="0"/>
              <w:ind w:left="0" w:right="0"/>
              <w:jc w:val="left"/>
              <w:rPr>
                <w:rFonts w:hint="eastAsia" w:ascii="仿宋" w:hAnsi="仿宋" w:eastAsiaTheme="minorEastAsia"/>
                <w:b/>
                <w:bCs/>
                <w:kern w:val="2"/>
                <w:sz w:val="24"/>
                <w:lang w:val="en-US" w:eastAsia="zh-CN"/>
              </w:rPr>
            </w:pPr>
            <w:r>
              <w:rPr>
                <w:rFonts w:hint="eastAsia" w:ascii="仿宋" w:hAnsi="仿宋"/>
                <w:b/>
                <w:bCs/>
                <w:kern w:val="2"/>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415" w:type="dxa"/>
            <w:gridSpan w:val="7"/>
            <w:vAlign w:val="center"/>
          </w:tcPr>
          <w:p>
            <w:pPr>
              <w:keepNext w:val="0"/>
              <w:keepLines w:val="0"/>
              <w:widowControl/>
              <w:suppressLineNumbers w:val="0"/>
              <w:spacing w:before="0" w:beforeAutospacing="0" w:after="0" w:afterAutospacing="0"/>
              <w:ind w:left="0" w:right="0"/>
              <w:jc w:val="left"/>
              <w:rPr>
                <w:rFonts w:hint="eastAsia" w:ascii="仿宋" w:hAnsi="仿宋" w:eastAsia="宋体"/>
                <w:b/>
                <w:bCs/>
                <w:kern w:val="2"/>
                <w:sz w:val="24"/>
                <w:lang w:eastAsia="zh-CN"/>
              </w:rPr>
            </w:pPr>
            <w:r>
              <w:rPr>
                <w:rFonts w:hint="eastAsia" w:ascii="仿宋" w:hAnsi="仿宋" w:eastAsia="宋体"/>
                <w:b/>
                <w:bCs/>
                <w:kern w:val="2"/>
                <w:sz w:val="24"/>
                <w:lang w:eastAsia="zh-CN"/>
              </w:rPr>
              <w:t>一</w:t>
            </w:r>
            <w:r>
              <w:rPr>
                <w:rFonts w:hint="eastAsia" w:ascii="仿宋" w:hAnsi="仿宋"/>
                <w:b/>
                <w:bCs/>
                <w:kern w:val="2"/>
                <w:sz w:val="24"/>
              </w:rPr>
              <w:t>、主机层漏洞扫描测评工具应具备以下功能和特性：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39"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1</w:t>
            </w:r>
          </w:p>
        </w:tc>
        <w:tc>
          <w:tcPr>
            <w:tcW w:w="790" w:type="dxa"/>
            <w:vMerge w:val="restart"/>
            <w:vAlign w:val="center"/>
          </w:tcPr>
          <w:p>
            <w:pPr>
              <w:keepNext w:val="0"/>
              <w:keepLines w:val="0"/>
              <w:widowControl/>
              <w:suppressLineNumbers w:val="0"/>
              <w:spacing w:before="0" w:beforeAutospacing="0" w:after="0" w:afterAutospacing="0" w:line="400" w:lineRule="exact"/>
              <w:ind w:left="0" w:right="0"/>
              <w:jc w:val="center"/>
              <w:rPr>
                <w:rFonts w:ascii="仿宋" w:hAnsi="仿宋" w:cs="宋体"/>
                <w:b/>
                <w:color w:val="auto"/>
                <w:kern w:val="2"/>
                <w:sz w:val="24"/>
              </w:rPr>
            </w:pPr>
            <w:r>
              <w:rPr>
                <w:rFonts w:hint="eastAsia" w:ascii="仿宋" w:hAnsi="仿宋" w:cs="宋体"/>
                <w:b/>
                <w:color w:val="auto"/>
                <w:kern w:val="2"/>
                <w:sz w:val="24"/>
              </w:rPr>
              <w:t>漏洞扫描能力要求</w:t>
            </w:r>
          </w:p>
          <w:p>
            <w:pPr>
              <w:pStyle w:val="17"/>
              <w:keepNext w:val="0"/>
              <w:keepLines w:val="0"/>
              <w:suppressLineNumbers w:val="0"/>
              <w:spacing w:before="0" w:beforeAutospacing="0" w:after="0" w:afterAutospacing="0"/>
              <w:ind w:left="0" w:right="0"/>
              <w:rPr>
                <w:color w:val="auto"/>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1.1支持多种协议口令猜测，包括SMB、Snmp、Telnet、Pop3、SSH、Ftp、RDP、DB2、MySQL、Oracle、PostgreSQL、HighGo、MongoDB、UXDB、STDB、kingbase、RTSP、ActiveMQ、WebLogic、WebCAM、REDIS、SMTP等;；</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39"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790"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1.2▲支持资产速查功能，支持以资产类型、资产编号、资产名称、资产IP、所属部门、管理员等进行查询,支持基于对等网络主动识别技术能力；（提供产品功能截图证明）</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39"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790"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1.3▲支持Windows域扫描技术，利用域管理员权限使扫描更深入、更准确，支持实现设备统一控制的能力；（提供产品功能截图证明）</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39"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790"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3715" w:type="dxa"/>
          </w:tcPr>
          <w:p>
            <w:pPr>
              <w:pStyle w:val="17"/>
              <w:keepNext w:val="0"/>
              <w:keepLines w:val="0"/>
              <w:suppressLineNumbers w:val="0"/>
              <w:spacing w:before="0" w:beforeAutospacing="0" w:after="0" w:afterAutospacing="0"/>
              <w:ind w:left="0" w:right="0"/>
              <w:rPr>
                <w:color w:val="FF0000"/>
              </w:rPr>
            </w:pPr>
            <w:r>
              <w:rPr>
                <w:rFonts w:hint="eastAsia"/>
                <w:color w:val="auto"/>
              </w:rPr>
              <w:t>1.4请提供自主发现的CNNVD安全漏洞列表及证书，要求数量不少于10个；</w:t>
            </w:r>
          </w:p>
        </w:tc>
        <w:tc>
          <w:tcPr>
            <w:tcW w:w="1576" w:type="dxa"/>
          </w:tcPr>
          <w:p>
            <w:pPr>
              <w:pStyle w:val="17"/>
              <w:keepNext w:val="0"/>
              <w:keepLines w:val="0"/>
              <w:suppressLineNumbers w:val="0"/>
              <w:spacing w:before="0" w:beforeAutospacing="0" w:after="0" w:afterAutospacing="0"/>
              <w:ind w:left="0" w:right="0"/>
              <w:rPr>
                <w:rFonts w:hint="eastAsia"/>
                <w:color w:val="auto"/>
              </w:rPr>
            </w:pPr>
          </w:p>
        </w:tc>
        <w:tc>
          <w:tcPr>
            <w:tcW w:w="1636" w:type="dxa"/>
            <w:gridSpan w:val="2"/>
          </w:tcPr>
          <w:p>
            <w:pPr>
              <w:pStyle w:val="17"/>
              <w:keepNext w:val="0"/>
              <w:keepLines w:val="0"/>
              <w:suppressLineNumbers w:val="0"/>
              <w:spacing w:before="0" w:beforeAutospacing="0" w:after="0" w:afterAutospacing="0"/>
              <w:ind w:left="0" w:right="0"/>
              <w:rPr>
                <w:rFonts w:hint="eastAsia"/>
                <w:color w:val="auto"/>
              </w:rPr>
            </w:pPr>
          </w:p>
        </w:tc>
        <w:tc>
          <w:tcPr>
            <w:tcW w:w="1159" w:type="dxa"/>
          </w:tcPr>
          <w:p>
            <w:pPr>
              <w:pStyle w:val="17"/>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39"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790"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1.5</w:t>
            </w:r>
            <w:r>
              <w:rPr>
                <w:rFonts w:hint="eastAsia" w:ascii="仿宋" w:hAnsi="仿宋" w:cs="宋体"/>
                <w:color w:val="FF0000"/>
                <w:kern w:val="2"/>
                <w:sz w:val="24"/>
              </w:rPr>
              <w:t>▲支持云平台扫描，漏洞覆盖OpenStack 、KVM、Vmware、Xen等主流的云计算平台</w:t>
            </w:r>
            <w:r>
              <w:rPr>
                <w:rFonts w:hint="eastAsia" w:ascii="仿宋" w:hAnsi="仿宋" w:cs="宋体"/>
                <w:bCs/>
                <w:color w:val="FF0000"/>
                <w:kern w:val="2"/>
                <w:sz w:val="24"/>
              </w:rPr>
              <w:t>（</w:t>
            </w:r>
            <w:r>
              <w:rPr>
                <w:rFonts w:hint="eastAsia" w:ascii="仿宋" w:hAnsi="仿宋" w:cs="宋体"/>
                <w:color w:val="FF0000"/>
                <w:kern w:val="2"/>
                <w:sz w:val="24"/>
              </w:rPr>
              <w:t>提供产品功能截图证明）。</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39" w:type="dxa"/>
            <w:vMerge w:val="restart"/>
            <w:vAlign w:val="center"/>
          </w:tcPr>
          <w:p>
            <w:pPr>
              <w:pStyle w:val="17"/>
              <w:keepNext w:val="0"/>
              <w:keepLines w:val="0"/>
              <w:suppressLineNumbers w:val="0"/>
              <w:spacing w:before="0" w:beforeAutospacing="0" w:after="0" w:afterAutospacing="0"/>
              <w:ind w:left="0" w:right="0" w:firstLine="120" w:firstLineChars="50"/>
              <w:rPr>
                <w:color w:val="FF0000"/>
              </w:rPr>
            </w:pPr>
            <w:r>
              <w:rPr>
                <w:rFonts w:hint="eastAsia"/>
                <w:color w:val="FF0000"/>
              </w:rPr>
              <w:t>2</w:t>
            </w:r>
          </w:p>
        </w:tc>
        <w:tc>
          <w:tcPr>
            <w:tcW w:w="790" w:type="dxa"/>
            <w:vMerge w:val="restart"/>
            <w:vAlign w:val="center"/>
          </w:tcPr>
          <w:p>
            <w:pPr>
              <w:keepNext w:val="0"/>
              <w:keepLines w:val="0"/>
              <w:widowControl/>
              <w:suppressLineNumbers w:val="0"/>
              <w:spacing w:before="0" w:beforeAutospacing="0" w:after="0" w:afterAutospacing="0"/>
              <w:ind w:left="0" w:right="0"/>
              <w:jc w:val="center"/>
              <w:rPr>
                <w:b/>
                <w:color w:val="FF0000"/>
                <w:kern w:val="2"/>
                <w:sz w:val="24"/>
              </w:rPr>
            </w:pPr>
          </w:p>
          <w:p>
            <w:pPr>
              <w:keepNext w:val="0"/>
              <w:keepLines w:val="0"/>
              <w:widowControl/>
              <w:suppressLineNumbers w:val="0"/>
              <w:spacing w:before="0" w:beforeAutospacing="0" w:after="0" w:afterAutospacing="0"/>
              <w:ind w:left="0" w:right="0"/>
              <w:jc w:val="center"/>
              <w:rPr>
                <w:b/>
                <w:color w:val="FF0000"/>
                <w:kern w:val="2"/>
                <w:sz w:val="24"/>
              </w:rPr>
            </w:pPr>
          </w:p>
          <w:p>
            <w:pPr>
              <w:keepNext w:val="0"/>
              <w:keepLines w:val="0"/>
              <w:widowControl/>
              <w:suppressLineNumbers w:val="0"/>
              <w:spacing w:before="0" w:beforeAutospacing="0" w:after="0" w:afterAutospacing="0"/>
              <w:ind w:left="0" w:right="0"/>
              <w:jc w:val="center"/>
              <w:rPr>
                <w:b/>
                <w:color w:val="FF0000"/>
                <w:kern w:val="2"/>
                <w:sz w:val="24"/>
              </w:rPr>
            </w:pPr>
          </w:p>
          <w:p>
            <w:pPr>
              <w:keepNext w:val="0"/>
              <w:keepLines w:val="0"/>
              <w:widowControl/>
              <w:suppressLineNumbers w:val="0"/>
              <w:spacing w:before="0" w:beforeAutospacing="0" w:after="0" w:afterAutospacing="0" w:line="400" w:lineRule="exact"/>
              <w:ind w:left="0" w:right="0"/>
              <w:jc w:val="center"/>
              <w:rPr>
                <w:rFonts w:ascii="仿宋" w:hAnsi="仿宋"/>
                <w:b/>
                <w:color w:val="FF0000"/>
                <w:kern w:val="2"/>
                <w:sz w:val="24"/>
              </w:rPr>
            </w:pPr>
            <w:r>
              <w:rPr>
                <w:rFonts w:ascii="仿宋" w:hAnsi="仿宋"/>
                <w:b/>
                <w:color w:val="FF0000"/>
                <w:kern w:val="2"/>
                <w:sz w:val="24"/>
              </w:rPr>
              <w:t>WEB</w:t>
            </w:r>
            <w:r>
              <w:rPr>
                <w:rFonts w:hint="eastAsia" w:ascii="仿宋" w:hAnsi="仿宋"/>
                <w:b/>
                <w:color w:val="FF0000"/>
                <w:kern w:val="2"/>
                <w:sz w:val="24"/>
              </w:rPr>
              <w:t>应用评估要求</w:t>
            </w:r>
          </w:p>
          <w:p>
            <w:pPr>
              <w:pStyle w:val="17"/>
              <w:keepNext w:val="0"/>
              <w:keepLines w:val="0"/>
              <w:suppressLineNumbers w:val="0"/>
              <w:spacing w:before="0" w:beforeAutospacing="0" w:after="0" w:afterAutospacing="0"/>
              <w:ind w:left="0" w:right="0"/>
              <w:rPr>
                <w:color w:val="FF0000"/>
              </w:rPr>
            </w:pPr>
          </w:p>
        </w:tc>
        <w:tc>
          <w:tcPr>
            <w:tcW w:w="3715" w:type="dxa"/>
          </w:tcPr>
          <w:p>
            <w:pPr>
              <w:keepNext w:val="0"/>
              <w:keepLines w:val="0"/>
              <w:widowControl/>
              <w:suppressLineNumbers w:val="0"/>
              <w:spacing w:before="0" w:beforeAutospacing="0" w:after="0" w:afterAutospacing="0"/>
              <w:ind w:left="0" w:right="0"/>
              <w:jc w:val="left"/>
              <w:rPr>
                <w:rFonts w:ascii="宋体" w:hAnsi="宋体"/>
                <w:b/>
                <w:bCs/>
                <w:color w:val="FF0000"/>
                <w:kern w:val="2"/>
                <w:szCs w:val="21"/>
              </w:rPr>
            </w:pPr>
            <w:r>
              <w:rPr>
                <w:rFonts w:hint="eastAsia" w:ascii="仿宋" w:hAnsi="仿宋"/>
                <w:color w:val="FF0000"/>
                <w:kern w:val="2"/>
                <w:sz w:val="24"/>
              </w:rPr>
              <w:t>2.1▲支持漏洞验证功能，在扫描结束后，能够对结果中的重要漏洞进行现场验证，展示漏洞利用过程和风险。</w:t>
            </w:r>
            <w:r>
              <w:rPr>
                <w:rFonts w:hint="eastAsia" w:ascii="仿宋" w:hAnsi="仿宋" w:cs="宋体"/>
                <w:color w:val="FF0000"/>
                <w:kern w:val="2"/>
                <w:sz w:val="24"/>
              </w:rPr>
              <w:t xml:space="preserve">（提供产品功能截图证明） </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9" w:type="dxa"/>
            <w:vMerge w:val="continue"/>
          </w:tcPr>
          <w:p>
            <w:pPr>
              <w:pStyle w:val="17"/>
              <w:keepNext w:val="0"/>
              <w:keepLines w:val="0"/>
              <w:suppressLineNumbers w:val="0"/>
              <w:spacing w:before="0" w:beforeAutospacing="0" w:after="0" w:afterAutospacing="0"/>
              <w:ind w:left="0" w:right="0"/>
              <w:rPr>
                <w:color w:val="FF0000"/>
              </w:rPr>
            </w:pPr>
          </w:p>
        </w:tc>
        <w:tc>
          <w:tcPr>
            <w:tcW w:w="790" w:type="dxa"/>
            <w:vMerge w:val="continue"/>
          </w:tcPr>
          <w:p>
            <w:pPr>
              <w:pStyle w:val="17"/>
              <w:keepNext w:val="0"/>
              <w:keepLines w:val="0"/>
              <w:suppressLineNumbers w:val="0"/>
              <w:spacing w:before="0" w:beforeAutospacing="0" w:after="0" w:afterAutospacing="0"/>
              <w:ind w:left="0" w:right="0"/>
              <w:rPr>
                <w:color w:val="FF0000"/>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2.2▲支持对主流Web漏洞的识别与扫描，包括：SQL注入漏洞、命令注入漏洞、CRLF注入漏洞、LDAP注入漏洞、XSS跨站脚本漏洞、路径遍历漏洞、信息泄漏漏洞、URL跳转漏洞、文件包含漏洞、应用程序漏洞、文件上传漏洞等，能够扫描的Web漏洞扫描方法不小于3000种（提供产品功能截图证明）</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415" w:type="dxa"/>
            <w:gridSpan w:val="7"/>
            <w:vAlign w:val="bottom"/>
          </w:tcPr>
          <w:p>
            <w:pPr>
              <w:pStyle w:val="17"/>
              <w:keepNext w:val="0"/>
              <w:keepLines w:val="0"/>
              <w:suppressLineNumbers w:val="0"/>
              <w:spacing w:before="0" w:beforeAutospacing="0" w:after="0" w:afterAutospacing="0"/>
              <w:ind w:left="0" w:right="0"/>
              <w:jc w:val="both"/>
              <w:rPr>
                <w:rFonts w:hint="eastAsia"/>
                <w:b/>
                <w:bCs/>
                <w:color w:val="auto"/>
                <w:lang w:val="en-US" w:eastAsia="zh-CN"/>
              </w:rPr>
            </w:pPr>
            <w:r>
              <w:rPr>
                <w:rFonts w:hint="eastAsia"/>
                <w:b/>
                <w:bCs/>
                <w:color w:val="auto"/>
                <w:lang w:val="en-US" w:eastAsia="zh-CN"/>
              </w:rPr>
              <w:t>二、</w:t>
            </w:r>
            <w:r>
              <w:rPr>
                <w:rFonts w:hint="eastAsia"/>
                <w:b/>
                <w:bCs/>
                <w:color w:val="auto"/>
              </w:rPr>
              <w:t>应用层漏洞扫描测评工具应具备以下功能和特性：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9" w:type="dxa"/>
            <w:vAlign w:val="bottom"/>
          </w:tcPr>
          <w:p>
            <w:pPr>
              <w:pStyle w:val="17"/>
              <w:keepNext w:val="0"/>
              <w:keepLines w:val="0"/>
              <w:suppressLineNumbers w:val="0"/>
              <w:spacing w:before="0" w:beforeAutospacing="0" w:after="0" w:afterAutospacing="0"/>
              <w:ind w:left="0" w:right="0"/>
              <w:jc w:val="center"/>
              <w:rPr>
                <w:b/>
                <w:color w:val="auto"/>
              </w:rPr>
            </w:pPr>
            <w:r>
              <w:rPr>
                <w:rFonts w:hint="eastAsia"/>
                <w:b/>
                <w:color w:val="auto"/>
              </w:rPr>
              <w:t>序号</w:t>
            </w:r>
          </w:p>
        </w:tc>
        <w:tc>
          <w:tcPr>
            <w:tcW w:w="790" w:type="dxa"/>
            <w:vAlign w:val="bottom"/>
          </w:tcPr>
          <w:p>
            <w:pPr>
              <w:pStyle w:val="17"/>
              <w:keepNext w:val="0"/>
              <w:keepLines w:val="0"/>
              <w:suppressLineNumbers w:val="0"/>
              <w:spacing w:before="0" w:beforeAutospacing="0" w:after="0" w:afterAutospacing="0"/>
              <w:ind w:left="0" w:right="0"/>
              <w:jc w:val="center"/>
              <w:rPr>
                <w:b/>
                <w:color w:val="auto"/>
              </w:rPr>
            </w:pPr>
            <w:r>
              <w:rPr>
                <w:rFonts w:hint="eastAsia"/>
                <w:b/>
                <w:color w:val="auto"/>
              </w:rPr>
              <w:t>功能项</w:t>
            </w:r>
          </w:p>
        </w:tc>
        <w:tc>
          <w:tcPr>
            <w:tcW w:w="3715" w:type="dxa"/>
            <w:vAlign w:val="bottom"/>
          </w:tcPr>
          <w:p>
            <w:pPr>
              <w:pStyle w:val="17"/>
              <w:keepNext w:val="0"/>
              <w:keepLines w:val="0"/>
              <w:suppressLineNumbers w:val="0"/>
              <w:spacing w:before="0" w:beforeAutospacing="0" w:after="0" w:afterAutospacing="0"/>
              <w:ind w:left="0" w:right="0"/>
              <w:jc w:val="center"/>
              <w:rPr>
                <w:b/>
                <w:color w:val="auto"/>
              </w:rPr>
            </w:pPr>
            <w:r>
              <w:rPr>
                <w:rFonts w:hint="eastAsia"/>
                <w:b/>
                <w:color w:val="auto"/>
              </w:rPr>
              <w:t>功能要求</w:t>
            </w:r>
          </w:p>
        </w:tc>
        <w:tc>
          <w:tcPr>
            <w:tcW w:w="1576" w:type="dxa"/>
            <w:vAlign w:val="bottom"/>
          </w:tcPr>
          <w:p>
            <w:pPr>
              <w:pStyle w:val="17"/>
              <w:keepNext w:val="0"/>
              <w:keepLines w:val="0"/>
              <w:suppressLineNumbers w:val="0"/>
              <w:spacing w:before="0" w:beforeAutospacing="0" w:after="0" w:afterAutospacing="0"/>
              <w:ind w:left="0" w:right="0"/>
              <w:jc w:val="center"/>
              <w:rPr>
                <w:rFonts w:hint="eastAsia"/>
                <w:b/>
                <w:color w:val="auto"/>
              </w:rPr>
            </w:pPr>
          </w:p>
        </w:tc>
        <w:tc>
          <w:tcPr>
            <w:tcW w:w="1603" w:type="dxa"/>
            <w:vAlign w:val="bottom"/>
          </w:tcPr>
          <w:p>
            <w:pPr>
              <w:pStyle w:val="17"/>
              <w:keepNext w:val="0"/>
              <w:keepLines w:val="0"/>
              <w:suppressLineNumbers w:val="0"/>
              <w:spacing w:before="0" w:beforeAutospacing="0" w:after="0" w:afterAutospacing="0"/>
              <w:ind w:left="0" w:right="0"/>
              <w:jc w:val="center"/>
              <w:rPr>
                <w:rFonts w:hint="eastAsia"/>
                <w:b/>
                <w:color w:val="auto"/>
              </w:rPr>
            </w:pPr>
          </w:p>
        </w:tc>
        <w:tc>
          <w:tcPr>
            <w:tcW w:w="1192" w:type="dxa"/>
            <w:gridSpan w:val="2"/>
            <w:vAlign w:val="bottom"/>
          </w:tcPr>
          <w:p>
            <w:pPr>
              <w:pStyle w:val="17"/>
              <w:keepNext w:val="0"/>
              <w:keepLines w:val="0"/>
              <w:suppressLineNumbers w:val="0"/>
              <w:spacing w:before="0" w:beforeAutospacing="0" w:after="0" w:afterAutospacing="0"/>
              <w:ind w:left="0" w:right="0"/>
              <w:jc w:val="center"/>
              <w:rPr>
                <w:rFonts w:hint="eastAsia"/>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39"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1</w:t>
            </w:r>
          </w:p>
        </w:tc>
        <w:tc>
          <w:tcPr>
            <w:tcW w:w="790" w:type="dxa"/>
            <w:vMerge w:val="restart"/>
            <w:vAlign w:val="center"/>
          </w:tcPr>
          <w:p>
            <w:pPr>
              <w:keepNext w:val="0"/>
              <w:keepLines w:val="0"/>
              <w:widowControl/>
              <w:suppressLineNumbers w:val="0"/>
              <w:spacing w:before="0" w:beforeAutospacing="0" w:after="0" w:afterAutospacing="0"/>
              <w:ind w:left="0" w:right="0"/>
              <w:jc w:val="center"/>
              <w:rPr>
                <w:rFonts w:ascii="仿宋" w:hAnsi="仿宋"/>
                <w:b/>
                <w:bCs/>
                <w:color w:val="auto"/>
                <w:kern w:val="2"/>
                <w:szCs w:val="21"/>
              </w:rPr>
            </w:pPr>
            <w:r>
              <w:rPr>
                <w:rFonts w:hint="eastAsia" w:ascii="仿宋" w:hAnsi="仿宋"/>
                <w:b/>
                <w:color w:val="auto"/>
                <w:kern w:val="2"/>
                <w:szCs w:val="21"/>
              </w:rPr>
              <w:t>系统扫描能力要求</w:t>
            </w:r>
          </w:p>
        </w:tc>
        <w:tc>
          <w:tcPr>
            <w:tcW w:w="3715" w:type="dxa"/>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1.1支持60000条以上系统漏洞库，并按照漏洞类别及漏洞威胁程度进行分类；</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603"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192" w:type="dxa"/>
            <w:gridSpan w:val="2"/>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9"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790" w:type="dxa"/>
            <w:vMerge w:val="continue"/>
            <w:vAlign w:val="center"/>
          </w:tcPr>
          <w:p>
            <w:pPr>
              <w:pStyle w:val="17"/>
              <w:keepNext w:val="0"/>
              <w:keepLines w:val="0"/>
              <w:suppressLineNumbers w:val="0"/>
              <w:spacing w:before="0" w:beforeAutospacing="0" w:after="0" w:afterAutospacing="0"/>
              <w:ind w:left="0" w:right="0"/>
              <w:rPr>
                <w:color w:val="FF0000"/>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1.2▲支持漏洞库涵盖标准包含CVE、CVSS、CNVID、CNNVD、CNCVE、Bugtraq编号6种；</w:t>
            </w:r>
            <w:r>
              <w:rPr>
                <w:rFonts w:hint="eastAsia" w:ascii="仿宋" w:hAnsi="仿宋"/>
                <w:b/>
                <w:bCs/>
                <w:color w:val="FF0000"/>
                <w:kern w:val="2"/>
                <w:sz w:val="24"/>
              </w:rPr>
              <w:t>（提供产品功能截图证明）</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603"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192" w:type="dxa"/>
            <w:gridSpan w:val="2"/>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39"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2</w:t>
            </w:r>
          </w:p>
        </w:tc>
        <w:tc>
          <w:tcPr>
            <w:tcW w:w="790" w:type="dxa"/>
            <w:vMerge w:val="restart"/>
            <w:vAlign w:val="center"/>
          </w:tcPr>
          <w:p>
            <w:pPr>
              <w:keepNext w:val="0"/>
              <w:keepLines w:val="0"/>
              <w:widowControl/>
              <w:suppressLineNumbers w:val="0"/>
              <w:spacing w:before="0" w:beforeAutospacing="0" w:after="0" w:afterAutospacing="0"/>
              <w:ind w:left="0" w:right="0"/>
              <w:jc w:val="center"/>
              <w:rPr>
                <w:color w:val="auto"/>
                <w:kern w:val="2"/>
                <w:sz w:val="24"/>
              </w:rPr>
            </w:pPr>
          </w:p>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W</w:t>
            </w:r>
            <w:r>
              <w:rPr>
                <w:rFonts w:ascii="仿宋" w:hAnsi="仿宋"/>
                <w:b/>
                <w:color w:val="auto"/>
                <w:kern w:val="2"/>
                <w:sz w:val="24"/>
              </w:rPr>
              <w:t>EB</w:t>
            </w:r>
            <w:r>
              <w:rPr>
                <w:rFonts w:hint="eastAsia" w:ascii="仿宋" w:hAnsi="仿宋"/>
                <w:b/>
                <w:color w:val="auto"/>
                <w:kern w:val="2"/>
                <w:sz w:val="24"/>
              </w:rPr>
              <w:t>漏扫功能要求</w:t>
            </w:r>
          </w:p>
        </w:tc>
        <w:tc>
          <w:tcPr>
            <w:tcW w:w="3715"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2.1▲支持Web登陆扫描，支持Cookie认证、Form认证、Basic认证、NTLM认证、Session认证、Digest认证、SSL；（提供产品功能截图）；支持自动探测网段的未知站点，并可转为WEB扫描资产；（提供产品功能截图证明）</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39" w:type="dxa"/>
            <w:vMerge w:val="continue"/>
            <w:vAlign w:val="center"/>
          </w:tcPr>
          <w:p>
            <w:pPr>
              <w:pStyle w:val="17"/>
              <w:keepNext w:val="0"/>
              <w:keepLines w:val="0"/>
              <w:suppressLineNumbers w:val="0"/>
              <w:spacing w:before="0" w:beforeAutospacing="0" w:after="0" w:afterAutospacing="0"/>
              <w:ind w:left="0" w:right="0"/>
              <w:rPr>
                <w:color w:val="auto"/>
              </w:rPr>
            </w:pPr>
          </w:p>
        </w:tc>
        <w:tc>
          <w:tcPr>
            <w:tcW w:w="790" w:type="dxa"/>
            <w:vMerge w:val="continue"/>
          </w:tcPr>
          <w:p>
            <w:pPr>
              <w:pStyle w:val="17"/>
              <w:keepNext w:val="0"/>
              <w:keepLines w:val="0"/>
              <w:suppressLineNumbers w:val="0"/>
              <w:spacing w:before="0" w:beforeAutospacing="0" w:after="0" w:afterAutospacing="0"/>
              <w:ind w:left="0" w:right="0"/>
              <w:rPr>
                <w:color w:val="auto"/>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2.2▲支持Web漏洞扫描检测基于OWASP Top10标准进行规则定义；（提供产品功能截图证明）</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39"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3</w:t>
            </w:r>
          </w:p>
        </w:tc>
        <w:tc>
          <w:tcPr>
            <w:tcW w:w="790" w:type="dxa"/>
            <w:vMerge w:val="restart"/>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安全基线检测功能要求</w:t>
            </w:r>
          </w:p>
        </w:tc>
        <w:tc>
          <w:tcPr>
            <w:tcW w:w="3715"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FF0000"/>
                <w:kern w:val="2"/>
                <w:sz w:val="24"/>
              </w:rPr>
              <w:t>3.1▲支持对主机设备操作系统的安全配置核查，包括：Windows系列、Linux系列、HP-UX、AIX、Solaris；支持对主流数据库的安全配置检查，支持对主流网络设备的安全配置核查；支持对主流防火墙的安全配置核查；支持对主流中间件和应用的安全配置核查；（提供产品功能截图证明）</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FF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9" w:type="dxa"/>
            <w:vMerge w:val="continue"/>
            <w:vAlign w:val="center"/>
          </w:tcPr>
          <w:p>
            <w:pPr>
              <w:pStyle w:val="17"/>
              <w:keepNext w:val="0"/>
              <w:keepLines w:val="0"/>
              <w:suppressLineNumbers w:val="0"/>
              <w:spacing w:before="0" w:beforeAutospacing="0" w:after="0" w:afterAutospacing="0"/>
              <w:ind w:left="0" w:right="0"/>
              <w:rPr>
                <w:color w:val="auto"/>
              </w:rPr>
            </w:pPr>
          </w:p>
        </w:tc>
        <w:tc>
          <w:tcPr>
            <w:tcW w:w="790" w:type="dxa"/>
            <w:vMerge w:val="continue"/>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FF0000"/>
                <w:kern w:val="2"/>
                <w:sz w:val="24"/>
              </w:rPr>
            </w:pPr>
            <w:r>
              <w:rPr>
                <w:rFonts w:hint="eastAsia" w:ascii="仿宋" w:hAnsi="仿宋"/>
                <w:color w:val="auto"/>
                <w:kern w:val="2"/>
                <w:sz w:val="24"/>
              </w:rPr>
              <w:t>3.2支持对目标对象的账号管理、口令策略、认证授权、日志审计、网络通信等进行安全基线核查；</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39"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4</w:t>
            </w:r>
          </w:p>
        </w:tc>
        <w:tc>
          <w:tcPr>
            <w:tcW w:w="790" w:type="dxa"/>
            <w:vMerge w:val="restart"/>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数据库扫描功能</w:t>
            </w:r>
          </w:p>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要求</w:t>
            </w:r>
          </w:p>
        </w:tc>
        <w:tc>
          <w:tcPr>
            <w:tcW w:w="3715" w:type="dxa"/>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4.1支持主流数据库漏洞的检测，应包括但不限于：Oralce、Sybase、SQLServer、DB2、MySQL、Postgres、Informix等；</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39" w:type="dxa"/>
            <w:vMerge w:val="continue"/>
            <w:vAlign w:val="center"/>
          </w:tcPr>
          <w:p>
            <w:pPr>
              <w:pStyle w:val="17"/>
              <w:keepNext w:val="0"/>
              <w:keepLines w:val="0"/>
              <w:suppressLineNumbers w:val="0"/>
              <w:spacing w:before="0" w:beforeAutospacing="0" w:after="0" w:afterAutospacing="0"/>
              <w:ind w:left="0" w:right="0"/>
              <w:rPr>
                <w:color w:val="auto"/>
              </w:rPr>
            </w:pPr>
          </w:p>
        </w:tc>
        <w:tc>
          <w:tcPr>
            <w:tcW w:w="790" w:type="dxa"/>
            <w:vMerge w:val="continue"/>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4.2支持数据库登录扫描，至少应包括数据库账号，密码，SYSDBA、SYSOPER、NORMAL认证，SID、数据库名称、实例名称及实例号等登录选项的设置；</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39" w:type="dxa"/>
            <w:vMerge w:val="restart"/>
            <w:vAlign w:val="center"/>
          </w:tcPr>
          <w:p>
            <w:pPr>
              <w:pStyle w:val="17"/>
              <w:keepNext w:val="0"/>
              <w:keepLines w:val="0"/>
              <w:suppressLineNumbers w:val="0"/>
              <w:spacing w:before="0" w:beforeAutospacing="0" w:after="0" w:afterAutospacing="0"/>
              <w:ind w:left="0" w:right="0" w:firstLine="120" w:firstLineChars="50"/>
              <w:rPr>
                <w:color w:val="auto"/>
              </w:rPr>
            </w:pPr>
            <w:r>
              <w:rPr>
                <w:rFonts w:hint="eastAsia"/>
                <w:color w:val="auto"/>
              </w:rPr>
              <w:t>5</w:t>
            </w:r>
          </w:p>
        </w:tc>
        <w:tc>
          <w:tcPr>
            <w:tcW w:w="790" w:type="dxa"/>
            <w:vMerge w:val="restart"/>
            <w:vAlign w:val="center"/>
          </w:tcPr>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弱口令扫描功能</w:t>
            </w:r>
          </w:p>
          <w:p>
            <w:pPr>
              <w:keepNext w:val="0"/>
              <w:keepLines w:val="0"/>
              <w:widowControl/>
              <w:suppressLineNumbers w:val="0"/>
              <w:spacing w:before="0" w:beforeAutospacing="0" w:after="0" w:afterAutospacing="0"/>
              <w:ind w:left="0" w:right="0"/>
              <w:jc w:val="center"/>
              <w:rPr>
                <w:rFonts w:ascii="仿宋" w:hAnsi="仿宋"/>
                <w:b/>
                <w:color w:val="auto"/>
                <w:kern w:val="2"/>
                <w:sz w:val="24"/>
              </w:rPr>
            </w:pPr>
            <w:r>
              <w:rPr>
                <w:rFonts w:hint="eastAsia" w:ascii="仿宋" w:hAnsi="仿宋"/>
                <w:b/>
                <w:color w:val="auto"/>
                <w:kern w:val="2"/>
                <w:sz w:val="24"/>
              </w:rPr>
              <w:t>要求</w:t>
            </w:r>
          </w:p>
        </w:tc>
        <w:tc>
          <w:tcPr>
            <w:tcW w:w="3715" w:type="dxa"/>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5.1支持目前主流协议和数据库弱口令检测，包括：TELNET、FTP、SSH、POP3、SMB、SNMP、RDP、SMTP、REDIS、Oracle、MySQL、PostgreSQL、MsSQL、DB2、MongoDB；</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9" w:type="dxa"/>
            <w:vMerge w:val="continue"/>
          </w:tcPr>
          <w:p>
            <w:pPr>
              <w:pStyle w:val="17"/>
              <w:keepNext w:val="0"/>
              <w:keepLines w:val="0"/>
              <w:suppressLineNumbers w:val="0"/>
              <w:spacing w:before="0" w:beforeAutospacing="0" w:after="0" w:afterAutospacing="0"/>
              <w:ind w:left="0" w:right="0"/>
              <w:rPr>
                <w:color w:val="FF0000"/>
              </w:rPr>
            </w:pPr>
          </w:p>
        </w:tc>
        <w:tc>
          <w:tcPr>
            <w:tcW w:w="790" w:type="dxa"/>
            <w:vMerge w:val="continue"/>
          </w:tcPr>
          <w:p>
            <w:pPr>
              <w:keepNext w:val="0"/>
              <w:keepLines w:val="0"/>
              <w:widowControl/>
              <w:suppressLineNumbers w:val="0"/>
              <w:spacing w:before="0" w:beforeAutospacing="0" w:after="0" w:afterAutospacing="0"/>
              <w:ind w:left="0" w:right="0"/>
              <w:jc w:val="left"/>
              <w:rPr>
                <w:rFonts w:ascii="仿宋" w:hAnsi="仿宋"/>
                <w:b/>
                <w:color w:val="FF0000"/>
                <w:kern w:val="2"/>
                <w:sz w:val="24"/>
              </w:rPr>
            </w:pPr>
          </w:p>
        </w:tc>
        <w:tc>
          <w:tcPr>
            <w:tcW w:w="3715" w:type="dxa"/>
          </w:tcPr>
          <w:p>
            <w:pPr>
              <w:keepNext w:val="0"/>
              <w:keepLines w:val="0"/>
              <w:widowControl/>
              <w:suppressLineNumbers w:val="0"/>
              <w:spacing w:before="0" w:beforeAutospacing="0" w:after="0" w:afterAutospacing="0"/>
              <w:ind w:left="0" w:right="0"/>
              <w:jc w:val="left"/>
              <w:rPr>
                <w:rFonts w:ascii="仿宋" w:hAnsi="仿宋"/>
                <w:color w:val="auto"/>
                <w:kern w:val="2"/>
                <w:sz w:val="24"/>
              </w:rPr>
            </w:pPr>
            <w:r>
              <w:rPr>
                <w:rFonts w:hint="eastAsia" w:ascii="仿宋" w:hAnsi="仿宋"/>
                <w:color w:val="auto"/>
                <w:kern w:val="2"/>
                <w:sz w:val="24"/>
              </w:rPr>
              <w:t>5.2支持用户自定义用户名密码列表导入检测。</w:t>
            </w:r>
          </w:p>
        </w:tc>
        <w:tc>
          <w:tcPr>
            <w:tcW w:w="1576"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636" w:type="dxa"/>
            <w:gridSpan w:val="2"/>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c>
          <w:tcPr>
            <w:tcW w:w="1159" w:type="dxa"/>
          </w:tcPr>
          <w:p>
            <w:pPr>
              <w:keepNext w:val="0"/>
              <w:keepLines w:val="0"/>
              <w:widowControl/>
              <w:suppressLineNumbers w:val="0"/>
              <w:spacing w:before="0" w:beforeAutospacing="0" w:after="0" w:afterAutospacing="0"/>
              <w:ind w:left="0" w:right="0"/>
              <w:jc w:val="left"/>
              <w:rPr>
                <w:rFonts w:hint="eastAsia" w:ascii="仿宋" w:hAnsi="仿宋"/>
                <w:color w:val="auto"/>
                <w:kern w:val="2"/>
                <w:sz w:val="24"/>
              </w:rPr>
            </w:pPr>
          </w:p>
        </w:tc>
      </w:tr>
    </w:tbl>
    <w:p>
      <w:pPr>
        <w:rPr>
          <w:rFonts w:hint="eastAsia"/>
          <w:lang w:eastAsia="zh-CN"/>
        </w:rPr>
      </w:pP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证明资料【如有的话，提供的证明资料应统一编号（排序），格式自定】：</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《技术要求偏离表》编制指引：</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1、技术要求偏离表的序号、货物名称、招标技术要求等栏目对应“用户需求书”中的“技术要求”章节相关内容。</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2、“投标技术响应规格”一栏必须一一对照“招标技术要求”，详细填写投标人自身投标货物的具体参数，以体现具体响应情况。</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偏离情况”一栏填写如实填写“正偏离”、“负偏离”或“无偏离”，其中：“正偏离”表示“投标响应优于招标技术要求”，“负偏离”表示“投标响应不满足招标技术要求”，“无偏离”表示“投标响应与招标技术要求一致”。“投标技术响应规格”对比“招标技术要求”存在响应不全（包括未响应整项招标技术要求或者未响应一项招标技术要求的部分内容），均视为“负偏离”。</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4、未要求提供证明资料的招标技术要求，可以不提供证明资料（如实响应即可）。</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7、证明资料的形式及其它具体要求：</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（1）除照片、图片（截图）及不需加盖公章的文字说明（技术说明）外，其它证明资料均要求为原件扫描件；</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我国政府机构出具的产品检验和核准证件应为证件正面、背面和附件标注的全部具体内容；产品检验和核准证件的尺寸和清晰度应该能够在电脑上被阅读、识别和判断；</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8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其它证明资料的形式要求参照以上要求执行；</w:t>
      </w:r>
    </w:p>
    <w:p>
      <w:pPr>
        <w:ind w:firstLine="48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（4）证明资料均要求原件备查。</w:t>
      </w:r>
    </w:p>
    <w:p>
      <w:pPr>
        <w:ind w:firstLine="0"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8、其它注意事项：</w:t>
      </w:r>
    </w:p>
    <w:p>
      <w:pPr>
        <w:ind w:firstLine="48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（1）评审委员会有权对投标人的响应情况作出判断（评审结论）；</w:t>
      </w:r>
    </w:p>
    <w:p>
      <w:pPr>
        <w:ind w:firstLine="48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（2）评审委员会有权对以谋取中标为目的的技术规格模糊响应（如有意不合理照搬照抄招标文件的技术要求）或虚假响应予以认定，并视情况经政府集中采购机构报主管部门进行处理。</w:t>
      </w:r>
    </w:p>
    <w:p>
      <w:pPr>
        <w:pStyle w:val="30"/>
        <w:rPr>
          <w:rFonts w:hint="eastAsia"/>
          <w:lang w:eastAsia="zh-CN"/>
        </w:rPr>
      </w:pPr>
    </w:p>
    <w:p>
      <w:pPr>
        <w:widowControl w:val="0"/>
        <w:numPr>
          <w:ilvl w:val="0"/>
          <w:numId w:val="4"/>
        </w:numPr>
        <w:kinsoku/>
        <w:overflowPunct/>
        <w:topLinePunct w:val="0"/>
        <w:bidi w:val="0"/>
        <w:spacing w:beforeAutospacing="0" w:afterAutospacing="0" w:line="360" w:lineRule="auto"/>
        <w:ind w:left="0" w:leftChars="0" w:right="0" w:firstLine="0" w:firstLineChars="0"/>
        <w:jc w:val="both"/>
        <w:rPr>
          <w:rFonts w:hint="eastAsia" w:ascii="宋体" w:hAnsi="宋体" w:cs="宋体"/>
          <w:kern w:val="2"/>
          <w:szCs w:val="21"/>
        </w:rPr>
      </w:pPr>
      <w:r>
        <w:rPr>
          <w:rFonts w:hint="eastAsia" w:ascii="宋体" w:hAnsi="宋体" w:cs="宋体"/>
          <w:kern w:val="2"/>
          <w:szCs w:val="21"/>
        </w:rPr>
        <w:t>拟安排项目负责人情况（仅限</w:t>
      </w:r>
      <w:r>
        <w:rPr>
          <w:kern w:val="2"/>
        </w:rPr>
        <w:t>一</w:t>
      </w:r>
      <w:r>
        <w:rPr>
          <w:rFonts w:hint="eastAsia" w:ascii="宋体" w:hAnsi="宋体" w:cs="宋体"/>
          <w:kern w:val="2"/>
          <w:szCs w:val="21"/>
        </w:rPr>
        <w:t>人）</w:t>
      </w:r>
    </w:p>
    <w:p>
      <w:pPr>
        <w:pStyle w:val="2"/>
        <w:numPr>
          <w:ilvl w:val="0"/>
          <w:numId w:val="0"/>
        </w:numPr>
        <w:rPr>
          <w:rFonts w:hint="eastAsia"/>
          <w:b w:val="0"/>
          <w:bCs w:val="0"/>
          <w:lang w:eastAsia="zh-CN"/>
        </w:rPr>
      </w:pPr>
      <w:r>
        <w:rPr>
          <w:rFonts w:hint="eastAsia"/>
          <w:b w:val="0"/>
          <w:bCs w:val="0"/>
          <w:lang w:eastAsia="zh-CN"/>
        </w:rPr>
        <w:t>（</w:t>
      </w:r>
      <w:r>
        <w:rPr>
          <w:rFonts w:hint="eastAsia"/>
          <w:b w:val="0"/>
          <w:bCs w:val="0"/>
          <w:lang w:val="en-US" w:eastAsia="zh-CN"/>
        </w:rPr>
        <w:t>格式自拟</w:t>
      </w:r>
      <w:r>
        <w:rPr>
          <w:rFonts w:hint="eastAsia"/>
          <w:b w:val="0"/>
          <w:bCs w:val="0"/>
          <w:lang w:eastAsia="zh-CN"/>
        </w:rPr>
        <w:t>）</w:t>
      </w:r>
    </w:p>
    <w:p>
      <w:pPr>
        <w:pStyle w:val="2"/>
        <w:numPr>
          <w:ilvl w:val="0"/>
          <w:numId w:val="0"/>
        </w:numPr>
        <w:ind w:leftChars="0"/>
        <w:rPr>
          <w:rFonts w:hint="eastAsia"/>
          <w:lang w:eastAsia="zh-CN"/>
        </w:rPr>
      </w:pP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cs="宋体"/>
          <w:kern w:val="2"/>
          <w:szCs w:val="21"/>
          <w:lang w:val="en-US" w:eastAsia="zh-CN"/>
        </w:rPr>
        <w:t>八、</w:t>
      </w:r>
      <w:r>
        <w:rPr>
          <w:rFonts w:hint="eastAsia" w:ascii="宋体" w:hAnsi="宋体" w:cs="宋体"/>
          <w:kern w:val="2"/>
          <w:szCs w:val="21"/>
        </w:rPr>
        <w:t>拟安排的项目团队成员（项目负责人除外）情况</w:t>
      </w:r>
    </w:p>
    <w:p>
      <w:pPr>
        <w:pStyle w:val="2"/>
        <w:numPr>
          <w:ilvl w:val="0"/>
          <w:numId w:val="0"/>
        </w:numPr>
        <w:rPr>
          <w:rFonts w:hint="eastAsia"/>
          <w:b w:val="0"/>
          <w:bCs w:val="0"/>
          <w:lang w:eastAsia="zh-CN"/>
        </w:rPr>
      </w:pPr>
      <w:r>
        <w:rPr>
          <w:rFonts w:hint="eastAsia"/>
          <w:b w:val="0"/>
          <w:bCs w:val="0"/>
          <w:lang w:eastAsia="zh-CN"/>
        </w:rPr>
        <w:t>（</w:t>
      </w:r>
      <w:r>
        <w:rPr>
          <w:rFonts w:hint="eastAsia"/>
          <w:b w:val="0"/>
          <w:bCs w:val="0"/>
          <w:lang w:val="en-US" w:eastAsia="zh-CN"/>
        </w:rPr>
        <w:t>格式自拟</w:t>
      </w:r>
      <w:r>
        <w:rPr>
          <w:rFonts w:hint="eastAsia"/>
          <w:b w:val="0"/>
          <w:bCs w:val="0"/>
          <w:lang w:eastAsia="zh-CN"/>
        </w:rPr>
        <w:t>）</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cs="宋体"/>
          <w:kern w:val="2"/>
          <w:szCs w:val="21"/>
        </w:rPr>
      </w:pP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cs="宋体"/>
          <w:kern w:val="2"/>
          <w:szCs w:val="21"/>
          <w:lang w:val="en-US" w:eastAsia="zh-CN"/>
        </w:rPr>
        <w:t>九、</w:t>
      </w:r>
      <w:r>
        <w:rPr>
          <w:rFonts w:hint="eastAsia" w:ascii="宋体" w:hAnsi="宋体" w:cs="宋体"/>
          <w:kern w:val="2"/>
          <w:szCs w:val="21"/>
        </w:rPr>
        <w:t>同类项目业绩</w:t>
      </w:r>
    </w:p>
    <w:p>
      <w:pPr>
        <w:pStyle w:val="2"/>
        <w:numPr>
          <w:ilvl w:val="0"/>
          <w:numId w:val="0"/>
        </w:numPr>
        <w:rPr>
          <w:rFonts w:hint="eastAsia"/>
          <w:b w:val="0"/>
          <w:bCs w:val="0"/>
          <w:lang w:eastAsia="zh-CN"/>
        </w:rPr>
      </w:pPr>
      <w:r>
        <w:rPr>
          <w:rFonts w:hint="eastAsia"/>
          <w:b w:val="0"/>
          <w:bCs w:val="0"/>
          <w:lang w:eastAsia="zh-CN"/>
        </w:rPr>
        <w:t>（</w:t>
      </w:r>
      <w:r>
        <w:rPr>
          <w:rFonts w:hint="eastAsia"/>
          <w:b w:val="0"/>
          <w:bCs w:val="0"/>
          <w:lang w:val="en-US" w:eastAsia="zh-CN"/>
        </w:rPr>
        <w:t>格式自拟</w:t>
      </w:r>
      <w:r>
        <w:rPr>
          <w:rFonts w:hint="eastAsia"/>
          <w:b w:val="0"/>
          <w:bCs w:val="0"/>
          <w:lang w:eastAsia="zh-CN"/>
        </w:rPr>
        <w:t>）</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kern w:val="2"/>
          <w:szCs w:val="21"/>
        </w:rPr>
      </w:pP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kern w:val="2"/>
          <w:szCs w:val="21"/>
          <w:lang w:val="en-US" w:eastAsia="zh-CN"/>
        </w:rPr>
        <w:t>十、</w:t>
      </w:r>
      <w:r>
        <w:rPr>
          <w:rFonts w:hint="eastAsia" w:ascii="宋体" w:hAnsi="宋体"/>
          <w:kern w:val="2"/>
          <w:szCs w:val="21"/>
        </w:rPr>
        <w:t>供应商自主知识产权产品（创新、设计）情况</w:t>
      </w:r>
    </w:p>
    <w:p>
      <w:pPr>
        <w:pStyle w:val="2"/>
        <w:numPr>
          <w:ilvl w:val="0"/>
          <w:numId w:val="0"/>
        </w:numPr>
        <w:rPr>
          <w:rFonts w:hint="eastAsia"/>
          <w:b w:val="0"/>
          <w:bCs w:val="0"/>
          <w:lang w:eastAsia="zh-CN"/>
        </w:rPr>
      </w:pPr>
      <w:r>
        <w:rPr>
          <w:rFonts w:hint="eastAsia"/>
          <w:b w:val="0"/>
          <w:bCs w:val="0"/>
          <w:lang w:eastAsia="zh-CN"/>
        </w:rPr>
        <w:t>（</w:t>
      </w:r>
      <w:r>
        <w:rPr>
          <w:rFonts w:hint="eastAsia"/>
          <w:b w:val="0"/>
          <w:bCs w:val="0"/>
          <w:lang w:val="en-US" w:eastAsia="zh-CN"/>
        </w:rPr>
        <w:t>格式自拟</w:t>
      </w:r>
      <w:r>
        <w:rPr>
          <w:rFonts w:hint="eastAsia"/>
          <w:b w:val="0"/>
          <w:bCs w:val="0"/>
          <w:lang w:eastAsia="zh-CN"/>
        </w:rPr>
        <w:t>）</w:t>
      </w:r>
    </w:p>
    <w:p>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val="en-US" w:eastAsia="zh-CN"/>
        </w:rPr>
      </w:pPr>
    </w:p>
    <w:p>
      <w:pPr>
        <w:widowControl w:val="0"/>
        <w:kinsoku/>
        <w:overflowPunct/>
        <w:topLinePunct w:val="0"/>
        <w:bidi w:val="0"/>
        <w:spacing w:beforeAutospacing="0" w:afterAutospacing="0" w:line="360" w:lineRule="auto"/>
        <w:ind w:left="0" w:leftChars="0" w:right="0" w:firstLine="0" w:firstLineChars="0"/>
        <w:jc w:val="both"/>
        <w:rPr>
          <w:rFonts w:ascii="Calibri" w:hAnsi="Calibri" w:eastAsia="宋体"/>
          <w:kern w:val="2"/>
          <w:sz w:val="21"/>
          <w:szCs w:val="22"/>
          <w:lang w:eastAsia="zh-CN"/>
        </w:rPr>
      </w:pPr>
      <w:r>
        <w:rPr>
          <w:rFonts w:hint="eastAsia" w:ascii="宋体" w:hAnsi="宋体" w:eastAsia="宋体" w:cs="宋体"/>
          <w:kern w:val="2"/>
          <w:sz w:val="21"/>
          <w:szCs w:val="21"/>
          <w:lang w:val="en-US" w:eastAsia="zh-CN"/>
        </w:rPr>
        <w:t>十一、</w:t>
      </w:r>
      <w:r>
        <w:rPr>
          <w:rFonts w:hint="eastAsia" w:ascii="宋体" w:hAnsi="宋体" w:eastAsia="宋体" w:cs="宋体"/>
          <w:kern w:val="2"/>
          <w:sz w:val="21"/>
          <w:szCs w:val="21"/>
          <w:lang w:eastAsia="zh-CN"/>
        </w:rPr>
        <w:t>投标人认为需要加以说明的其他内容</w:t>
      </w:r>
    </w:p>
    <w:p>
      <w:pPr>
        <w:pStyle w:val="2"/>
      </w:pP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hint="eastAsia" w:ascii="黑体" w:hAnsi="宋体" w:eastAsia="黑体"/>
          <w:kern w:val="0"/>
          <w:sz w:val="24"/>
          <w:szCs w:val="20"/>
        </w:rPr>
      </w:pPr>
    </w:p>
    <w:p>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pPr>
        <w:spacing w:before="156" w:beforeLines="50" w:line="380" w:lineRule="exact"/>
        <w:ind w:firstLine="422" w:firstLineChars="200"/>
        <w:rPr>
          <w:b/>
        </w:rPr>
      </w:pPr>
      <w:r>
        <w:rPr>
          <w:rFonts w:hint="eastAsia"/>
          <w:b/>
        </w:rPr>
        <w:t>一、我单位已充分知悉“隐瞒真实情况，提供虚假资料”的法定情形，包括但不限于：</w:t>
      </w:r>
    </w:p>
    <w:p>
      <w:pPr>
        <w:spacing w:line="380" w:lineRule="exact"/>
        <w:ind w:firstLine="420" w:firstLineChars="200"/>
      </w:pPr>
      <w:r>
        <w:rPr>
          <w:rFonts w:hint="eastAsia"/>
        </w:rPr>
        <w:t>（一）通过转让或者租借等方式从其他单位获取资格或者资质证书投标的。</w:t>
      </w:r>
    </w:p>
    <w:p>
      <w:pPr>
        <w:spacing w:line="380" w:lineRule="exact"/>
        <w:ind w:firstLine="420" w:firstLineChars="200"/>
      </w:pPr>
      <w:r>
        <w:rPr>
          <w:rFonts w:hint="eastAsia"/>
        </w:rPr>
        <w:t>（二）由其他单位或者其他单位负责人在投标供应商编制的投标文件上加盖印章或者签字的。</w:t>
      </w:r>
    </w:p>
    <w:p>
      <w:pPr>
        <w:spacing w:line="380" w:lineRule="exact"/>
        <w:ind w:firstLine="420" w:firstLineChars="200"/>
      </w:pPr>
      <w:r>
        <w:rPr>
          <w:rFonts w:hint="eastAsia"/>
        </w:rPr>
        <w:t>（三）项目负责人或者主要技术人员不是本单位人员的。</w:t>
      </w:r>
    </w:p>
    <w:p>
      <w:pPr>
        <w:spacing w:line="380" w:lineRule="exact"/>
        <w:ind w:firstLine="420" w:firstLineChars="200"/>
      </w:pPr>
      <w:r>
        <w:rPr>
          <w:rFonts w:hint="eastAsia"/>
        </w:rPr>
        <w:t>（四）投标保证金不是从投标供应商基本账户转出的。</w:t>
      </w:r>
    </w:p>
    <w:p>
      <w:pPr>
        <w:spacing w:line="380" w:lineRule="exact"/>
        <w:ind w:firstLine="420" w:firstLineChars="200"/>
      </w:pPr>
      <w:r>
        <w:rPr>
          <w:rFonts w:hint="eastAsia"/>
        </w:rPr>
        <w:t>（五）其他隐瞒真实情况、提供虚假资料的行为。</w:t>
      </w:r>
    </w:p>
    <w:p>
      <w:pPr>
        <w:spacing w:line="380" w:lineRule="exact"/>
        <w:ind w:firstLine="422" w:firstLineChars="200"/>
        <w:rPr>
          <w:b/>
        </w:rPr>
      </w:pPr>
      <w:r>
        <w:rPr>
          <w:rFonts w:hint="eastAsia"/>
          <w:b/>
        </w:rPr>
        <w:t>二、我单位已充分知悉“与其他采购参加人串通投标”的法定情形，包括但不限于：</w:t>
      </w:r>
    </w:p>
    <w:p>
      <w:pPr>
        <w:spacing w:line="380" w:lineRule="exact"/>
        <w:ind w:firstLine="420" w:firstLineChars="200"/>
      </w:pPr>
      <w:r>
        <w:rPr>
          <w:rFonts w:hint="eastAsia"/>
        </w:rPr>
        <w:t>（一）投标供应商之间相互约定给予未中标的供应商利益补偿。</w:t>
      </w:r>
    </w:p>
    <w:p>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pPr>
      <w:r>
        <w:rPr>
          <w:rFonts w:hint="eastAsia"/>
        </w:rPr>
        <w:t>（三）不同投标供应商的投标文件由同一单位或者同一人编制，或者由同一人分阶段参与编制的。</w:t>
      </w:r>
    </w:p>
    <w:p>
      <w:pPr>
        <w:spacing w:line="340" w:lineRule="exact"/>
        <w:ind w:firstLine="420" w:firstLineChars="200"/>
      </w:pPr>
      <w:r>
        <w:rPr>
          <w:rFonts w:hint="eastAsia"/>
        </w:rPr>
        <w:t>（四）不同投标供应商的投标文件或部分投标文件相互混装。</w:t>
      </w:r>
    </w:p>
    <w:p>
      <w:pPr>
        <w:spacing w:line="340" w:lineRule="exact"/>
        <w:ind w:firstLine="420" w:firstLineChars="200"/>
      </w:pPr>
      <w:r>
        <w:rPr>
          <w:rFonts w:hint="eastAsia"/>
        </w:rPr>
        <w:t>（五）不同投标供应商的投标文件内容存在非正常一致。</w:t>
      </w:r>
    </w:p>
    <w:p>
      <w:pPr>
        <w:spacing w:line="340" w:lineRule="exact"/>
        <w:ind w:firstLine="420" w:firstLineChars="200"/>
      </w:pPr>
      <w:r>
        <w:rPr>
          <w:rFonts w:hint="eastAsia"/>
        </w:rPr>
        <w:t>（六）由同一单位工作人员为两家以上（含两家）供应商进行同一项投标活动的。</w:t>
      </w:r>
    </w:p>
    <w:p>
      <w:pPr>
        <w:spacing w:line="340" w:lineRule="exact"/>
        <w:ind w:firstLine="420" w:firstLineChars="200"/>
      </w:pPr>
      <w:r>
        <w:rPr>
          <w:rFonts w:hint="eastAsia"/>
        </w:rPr>
        <w:t>（七）不同投标人的投标报价呈规律性差异。</w:t>
      </w:r>
    </w:p>
    <w:p>
      <w:pPr>
        <w:spacing w:line="340" w:lineRule="exact"/>
        <w:ind w:firstLine="420" w:firstLineChars="200"/>
      </w:pPr>
      <w:r>
        <w:rPr>
          <w:rFonts w:hint="eastAsia"/>
        </w:rPr>
        <w:t>（八）不同投标人的投标保证金从同一单位或者个人的账户转出。</w:t>
      </w:r>
    </w:p>
    <w:p>
      <w:pPr>
        <w:spacing w:line="340" w:lineRule="exact"/>
        <w:ind w:firstLine="420" w:firstLineChars="200"/>
      </w:pPr>
      <w:r>
        <w:rPr>
          <w:rFonts w:hint="eastAsia"/>
        </w:rPr>
        <w:t>（九）主管部门依照法律、法规认定的其他情形。</w:t>
      </w:r>
    </w:p>
    <w:p>
      <w:pPr>
        <w:spacing w:line="340" w:lineRule="exact"/>
        <w:ind w:firstLine="422" w:firstLineChars="200"/>
        <w:rPr>
          <w:b/>
        </w:rPr>
      </w:pPr>
      <w:r>
        <w:rPr>
          <w:rFonts w:hint="eastAsia"/>
          <w:b/>
        </w:rPr>
        <w:t>三、我单位已充分知悉下列情形存在法律风险，在投标前已对相关风险事项进行排查。</w:t>
      </w:r>
    </w:p>
    <w:p>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pPr>
        <w:spacing w:line="340" w:lineRule="exact"/>
        <w:ind w:firstLine="422" w:firstLineChars="200"/>
        <w:rPr>
          <w:b/>
        </w:rPr>
      </w:pPr>
      <w:r>
        <w:rPr>
          <w:rFonts w:hint="eastAsia"/>
          <w:b/>
        </w:rPr>
        <w:t>四、我单位已充分知悉政府采购违法、违规行为的法律后果。</w:t>
      </w:r>
    </w:p>
    <w:p>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4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eastAsia="宋体"/>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pPr>
        <w:widowControl/>
        <w:autoSpaceDE w:val="0"/>
        <w:autoSpaceDN w:val="0"/>
        <w:spacing w:line="340" w:lineRule="exact"/>
        <w:ind w:firstLine="406" w:firstLineChars="200"/>
        <w:jc w:val="left"/>
        <w:rPr>
          <w:rFonts w:hint="eastAsia" w:ascii="宋体" w:hAnsi="宋体" w:eastAsia="宋体"/>
          <w:b/>
          <w:bCs/>
          <w:spacing w:val="-4"/>
          <w:kern w:val="0"/>
          <w:szCs w:val="21"/>
        </w:rPr>
      </w:pPr>
    </w:p>
    <w:p>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pPr>
        <w:pStyle w:val="32"/>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autoSpaceDE w:val="0"/>
        <w:autoSpaceDN w:val="0"/>
        <w:spacing w:line="400" w:lineRule="exact"/>
        <w:ind w:firstLine="404" w:firstLineChars="200"/>
        <w:jc w:val="left"/>
        <w:rPr>
          <w:rFonts w:hint="eastAsia" w:ascii="宋体" w:hAnsi="宋体"/>
          <w:color w:val="FF0000"/>
          <w:spacing w:val="-4"/>
          <w:kern w:val="0"/>
          <w:szCs w:val="21"/>
        </w:rPr>
      </w:pPr>
    </w:p>
    <w:p>
      <w:pPr>
        <w:widowControl/>
        <w:autoSpaceDE w:val="0"/>
        <w:autoSpaceDN w:val="0"/>
        <w:spacing w:line="400" w:lineRule="exact"/>
        <w:ind w:right="1414" w:firstLine="480" w:firstLineChars="200"/>
        <w:jc w:val="right"/>
        <w:rPr>
          <w:kern w:val="0"/>
          <w:sz w:val="24"/>
        </w:rPr>
      </w:pPr>
    </w:p>
    <w:p>
      <w:pPr>
        <w:widowControl/>
        <w:autoSpaceDE w:val="0"/>
        <w:autoSpaceDN w:val="0"/>
        <w:spacing w:line="400" w:lineRule="exact"/>
        <w:ind w:right="1414" w:firstLine="480" w:firstLineChars="200"/>
        <w:jc w:val="right"/>
        <w:rPr>
          <w:kern w:val="0"/>
          <w:sz w:val="24"/>
        </w:rPr>
      </w:pPr>
    </w:p>
    <w:p>
      <w:pPr>
        <w:widowControl/>
        <w:autoSpaceDE w:val="0"/>
        <w:autoSpaceDN w:val="0"/>
        <w:spacing w:line="400" w:lineRule="exact"/>
        <w:ind w:right="1414" w:firstLine="480" w:firstLineChars="200"/>
        <w:jc w:val="right"/>
        <w:rPr>
          <w:kern w:val="0"/>
          <w:sz w:val="24"/>
        </w:rPr>
      </w:pPr>
    </w:p>
    <w:p>
      <w:pPr>
        <w:jc w:val="center"/>
        <w:rPr>
          <w:rFonts w:ascii="黑体" w:eastAsia="黑体"/>
          <w:sz w:val="24"/>
          <w:szCs w:val="20"/>
        </w:rPr>
      </w:pPr>
      <w:r>
        <w:rPr>
          <w:rFonts w:hint="eastAsia" w:ascii="黑体" w:eastAsia="黑体"/>
          <w:sz w:val="24"/>
          <w:szCs w:val="20"/>
        </w:rPr>
        <w:t>（二）订单融资情况</w:t>
      </w:r>
    </w:p>
    <w:p>
      <w:pPr>
        <w:ind w:firstLine="422" w:firstLineChars="200"/>
        <w:rPr>
          <w:rFonts w:hint="eastAsia" w:ascii="宋体" w:hAnsi="宋体" w:cs="宋体"/>
          <w:b/>
          <w:bCs/>
        </w:rPr>
      </w:pPr>
      <w:r>
        <w:rPr>
          <w:rFonts w:hint="eastAsia" w:ascii="宋体" w:hAnsi="宋体" w:cs="宋体"/>
          <w:b/>
          <w:bCs/>
        </w:rPr>
        <w:t>1、关于政府采购订单融资政策</w:t>
      </w:r>
    </w:p>
    <w:p>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r>
        <w:rPr>
          <w:rFonts w:hint="eastAsia" w:ascii="宋体" w:hAnsi="宋体" w:cs="宋体"/>
          <w:b/>
          <w:bCs/>
        </w:rPr>
        <w:t>2、供应商账户信息</w:t>
      </w:r>
    </w:p>
    <w:p>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pPr>
        <w:widowControl/>
        <w:tabs>
          <w:tab w:val="left" w:pos="6930"/>
          <w:tab w:val="left" w:pos="8200"/>
        </w:tabs>
        <w:autoSpaceDE w:val="0"/>
        <w:autoSpaceDN w:val="0"/>
        <w:spacing w:line="400" w:lineRule="exact"/>
        <w:ind w:right="1414" w:firstLine="480" w:firstLineChars="200"/>
        <w:rPr>
          <w:kern w:val="0"/>
          <w:sz w:val="24"/>
        </w:rPr>
      </w:pPr>
    </w:p>
    <w:p>
      <w:pPr>
        <w:widowControl/>
        <w:autoSpaceDE w:val="0"/>
        <w:autoSpaceDN w:val="0"/>
        <w:spacing w:line="400" w:lineRule="exact"/>
        <w:ind w:right="1414" w:firstLine="480" w:firstLineChars="200"/>
        <w:jc w:val="right"/>
        <w:rPr>
          <w:kern w:val="0"/>
          <w:sz w:val="24"/>
        </w:rPr>
      </w:pPr>
    </w:p>
    <w:p>
      <w:pPr>
        <w:ind w:firstLine="720" w:firstLineChars="300"/>
        <w:rPr>
          <w:sz w:val="24"/>
        </w:rPr>
      </w:pPr>
    </w:p>
    <w:p>
      <w:pPr>
        <w:widowControl/>
        <w:spacing w:line="360" w:lineRule="auto"/>
        <w:jc w:val="left"/>
        <w:rPr>
          <w:b/>
          <w:bCs/>
          <w:kern w:val="0"/>
          <w:sz w:val="24"/>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pPr>
        <w:widowControl/>
        <w:jc w:val="center"/>
        <w:rPr>
          <w:rFonts w:hint="eastAsia" w:ascii="黑体" w:hAnsi="宋体" w:eastAsia="黑体"/>
          <w:kern w:val="0"/>
          <w:sz w:val="24"/>
          <w:szCs w:val="20"/>
        </w:rPr>
      </w:pPr>
    </w:p>
    <w:p>
      <w:pPr>
        <w:spacing w:after="78" w:afterLines="25" w:line="300" w:lineRule="auto"/>
        <w:rPr>
          <w:rFonts w:ascii="Arial" w:hAnsi="Arial" w:eastAsia="宋体" w:cs="Times New Roman"/>
          <w:sz w:val="24"/>
          <w:szCs w:val="24"/>
        </w:rPr>
      </w:pPr>
    </w:p>
    <w:p>
      <w:pPr>
        <w:spacing w:after="78" w:afterLines="25" w:line="300" w:lineRule="auto"/>
        <w:rPr>
          <w:rFonts w:ascii="Arial" w:hAnsi="Arial" w:eastAsia="宋体" w:cs="Times New Roman"/>
          <w:sz w:val="24"/>
          <w:szCs w:val="24"/>
        </w:rPr>
      </w:pP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ind w:firstLine="470" w:firstLineChars="196"/>
        <w:jc w:val="center"/>
        <w:rPr>
          <w:rFonts w:ascii="Arial" w:hAnsi="Arial" w:cs="Arial"/>
          <w:kern w:val="0"/>
          <w:sz w:val="24"/>
          <w:szCs w:val="24"/>
        </w:rPr>
      </w:pPr>
      <w:r>
        <w:rPr>
          <w:rFonts w:hint="eastAsia" w:ascii="Arial" w:hAnsi="Arial" w:cs="Arial"/>
          <w:kern w:val="0"/>
          <w:sz w:val="24"/>
          <w:szCs w:val="24"/>
        </w:rPr>
        <w:t>（有专业类别的格式合同范本请选择相应的合同项目，具体要求以采购项目需求为准）</w:t>
      </w:r>
    </w:p>
    <w:p>
      <w:pPr>
        <w:ind w:firstLine="411" w:firstLineChars="196"/>
        <w:jc w:val="center"/>
      </w:pPr>
    </w:p>
    <w:p>
      <w:pPr>
        <w:jc w:val="center"/>
        <w:rPr>
          <w:b/>
          <w:sz w:val="24"/>
        </w:rPr>
      </w:pPr>
      <w:r>
        <w:rPr>
          <w:rFonts w:hint="eastAsia"/>
          <w:b/>
          <w:sz w:val="24"/>
        </w:rPr>
        <w:t>合同条款</w:t>
      </w:r>
    </w:p>
    <w:p>
      <w:pPr>
        <w:jc w:val="center"/>
      </w:pPr>
      <w:r>
        <w:rPr>
          <w:rFonts w:hint="eastAsia"/>
          <w:b/>
          <w:sz w:val="24"/>
        </w:rPr>
        <w:t>（仅供参考，项目具体要求以采购项目需求为准）</w:t>
      </w:r>
    </w:p>
    <w:p>
      <w:pPr>
        <w:ind w:firstLine="411" w:firstLineChars="196"/>
        <w:jc w:val="center"/>
      </w:pPr>
    </w:p>
    <w:p>
      <w:pPr>
        <w:rPr>
          <w:rFonts w:hint="eastAsia" w:ascii="宋体" w:hAnsi="宋体"/>
          <w:b/>
          <w:bCs/>
          <w:szCs w:val="21"/>
        </w:rPr>
      </w:pPr>
      <w:r>
        <w:rPr>
          <w:rFonts w:hint="eastAsia" w:ascii="宋体" w:hAnsi="宋体"/>
          <w:b/>
          <w:bCs/>
          <w:szCs w:val="21"/>
        </w:rPr>
        <w:t>甲方：</w:t>
      </w:r>
    </w:p>
    <w:p>
      <w:pPr>
        <w:pStyle w:val="2"/>
        <w:rPr>
          <w:rFonts w:hint="eastAsia" w:ascii="宋体" w:hAnsi="宋体"/>
          <w:b w:val="0"/>
          <w:bCs w:val="0"/>
          <w:szCs w:val="21"/>
        </w:rPr>
      </w:pPr>
      <w:r>
        <w:rPr>
          <w:rFonts w:hint="eastAsia" w:ascii="宋体" w:hAnsi="宋体"/>
          <w:b w:val="0"/>
          <w:bCs w:val="0"/>
          <w:szCs w:val="21"/>
        </w:rPr>
        <w:t>统一社会信用代码：</w:t>
      </w:r>
    </w:p>
    <w:p>
      <w:pPr>
        <w:pStyle w:val="2"/>
        <w:rPr>
          <w:rFonts w:hint="eastAsia" w:ascii="宋体" w:hAnsi="宋体"/>
          <w:b w:val="0"/>
          <w:bCs w:val="0"/>
          <w:szCs w:val="21"/>
        </w:rPr>
      </w:pPr>
      <w:r>
        <w:rPr>
          <w:rFonts w:hint="eastAsia" w:ascii="宋体" w:hAnsi="宋体"/>
          <w:b w:val="0"/>
          <w:bCs w:val="0"/>
          <w:szCs w:val="21"/>
        </w:rPr>
        <w:t>法定代表人：</w:t>
      </w:r>
    </w:p>
    <w:p>
      <w:pPr>
        <w:pStyle w:val="2"/>
        <w:rPr>
          <w:rFonts w:hint="eastAsia" w:ascii="宋体" w:hAnsi="宋体"/>
          <w:b w:val="0"/>
          <w:bCs w:val="0"/>
          <w:szCs w:val="21"/>
        </w:rPr>
      </w:pPr>
      <w:r>
        <w:rPr>
          <w:rFonts w:hint="eastAsia" w:ascii="宋体" w:hAnsi="宋体"/>
          <w:b w:val="0"/>
          <w:bCs w:val="0"/>
          <w:szCs w:val="21"/>
        </w:rPr>
        <w:t>联系人：</w:t>
      </w:r>
    </w:p>
    <w:p>
      <w:pPr>
        <w:pStyle w:val="2"/>
        <w:rPr>
          <w:rFonts w:hint="eastAsia" w:ascii="宋体" w:hAnsi="宋体"/>
          <w:b w:val="0"/>
          <w:bCs w:val="0"/>
          <w:szCs w:val="21"/>
        </w:rPr>
      </w:pPr>
      <w:r>
        <w:rPr>
          <w:rFonts w:hint="eastAsia" w:ascii="宋体" w:hAnsi="宋体"/>
          <w:b w:val="0"/>
          <w:bCs w:val="0"/>
          <w:szCs w:val="21"/>
        </w:rPr>
        <w:t>联系方式：</w:t>
      </w:r>
    </w:p>
    <w:p>
      <w:pPr>
        <w:pStyle w:val="2"/>
        <w:rPr>
          <w:rFonts w:hint="eastAsia" w:ascii="宋体" w:hAnsi="宋体"/>
          <w:b w:val="0"/>
          <w:bCs w:val="0"/>
          <w:szCs w:val="21"/>
        </w:rPr>
      </w:pPr>
      <w:r>
        <w:rPr>
          <w:rFonts w:hint="eastAsia" w:ascii="宋体" w:hAnsi="宋体"/>
          <w:b w:val="0"/>
          <w:bCs w:val="0"/>
          <w:szCs w:val="21"/>
        </w:rPr>
        <w:t>地址：</w:t>
      </w:r>
    </w:p>
    <w:p>
      <w:pPr>
        <w:rPr>
          <w:rFonts w:hint="eastAsia" w:ascii="宋体" w:hAnsi="宋体"/>
          <w:b/>
          <w:bCs/>
          <w:szCs w:val="21"/>
        </w:rPr>
      </w:pPr>
    </w:p>
    <w:p>
      <w:pPr>
        <w:rPr>
          <w:rFonts w:hint="eastAsia" w:ascii="宋体" w:hAnsi="宋体"/>
          <w:b/>
          <w:bCs/>
          <w:szCs w:val="21"/>
        </w:rPr>
      </w:pPr>
      <w:r>
        <w:rPr>
          <w:rFonts w:hint="eastAsia" w:ascii="宋体" w:hAnsi="宋体"/>
          <w:b/>
          <w:bCs/>
          <w:szCs w:val="21"/>
        </w:rPr>
        <w:t>乙方：</w:t>
      </w:r>
    </w:p>
    <w:p>
      <w:pPr>
        <w:pStyle w:val="2"/>
        <w:rPr>
          <w:rFonts w:hint="eastAsia" w:ascii="宋体" w:hAnsi="宋体"/>
          <w:b w:val="0"/>
          <w:bCs w:val="0"/>
          <w:szCs w:val="21"/>
        </w:rPr>
      </w:pPr>
      <w:r>
        <w:rPr>
          <w:rFonts w:hint="eastAsia" w:ascii="宋体" w:hAnsi="宋体"/>
          <w:b w:val="0"/>
          <w:bCs w:val="0"/>
          <w:szCs w:val="21"/>
        </w:rPr>
        <w:t>统一社会信用代码：</w:t>
      </w:r>
    </w:p>
    <w:p>
      <w:pPr>
        <w:pStyle w:val="2"/>
        <w:rPr>
          <w:rFonts w:hint="eastAsia" w:ascii="宋体" w:hAnsi="宋体"/>
          <w:b w:val="0"/>
          <w:bCs w:val="0"/>
          <w:szCs w:val="21"/>
        </w:rPr>
      </w:pPr>
      <w:r>
        <w:rPr>
          <w:rFonts w:hint="eastAsia" w:ascii="宋体" w:hAnsi="宋体"/>
          <w:b w:val="0"/>
          <w:bCs w:val="0"/>
          <w:szCs w:val="21"/>
        </w:rPr>
        <w:t>法定代表人：</w:t>
      </w:r>
    </w:p>
    <w:p>
      <w:pPr>
        <w:pStyle w:val="2"/>
        <w:rPr>
          <w:rFonts w:hint="eastAsia" w:ascii="宋体" w:hAnsi="宋体"/>
          <w:b w:val="0"/>
          <w:bCs w:val="0"/>
          <w:szCs w:val="21"/>
        </w:rPr>
      </w:pPr>
      <w:r>
        <w:rPr>
          <w:rFonts w:hint="eastAsia" w:ascii="宋体" w:hAnsi="宋体"/>
          <w:b w:val="0"/>
          <w:bCs w:val="0"/>
          <w:szCs w:val="21"/>
        </w:rPr>
        <w:t>联系人：</w:t>
      </w:r>
    </w:p>
    <w:p>
      <w:pPr>
        <w:pStyle w:val="2"/>
        <w:rPr>
          <w:rFonts w:hint="eastAsia" w:ascii="宋体" w:hAnsi="宋体"/>
          <w:b w:val="0"/>
          <w:bCs w:val="0"/>
          <w:szCs w:val="21"/>
        </w:rPr>
      </w:pPr>
      <w:r>
        <w:rPr>
          <w:rFonts w:hint="eastAsia" w:ascii="宋体" w:hAnsi="宋体"/>
          <w:b w:val="0"/>
          <w:bCs w:val="0"/>
          <w:szCs w:val="21"/>
        </w:rPr>
        <w:t>联系方式：</w:t>
      </w:r>
    </w:p>
    <w:p>
      <w:pPr>
        <w:pStyle w:val="2"/>
        <w:rPr>
          <w:rFonts w:hint="eastAsia" w:ascii="宋体" w:hAnsi="宋体"/>
          <w:b w:val="0"/>
          <w:bCs w:val="0"/>
          <w:szCs w:val="21"/>
        </w:rPr>
      </w:pPr>
      <w:r>
        <w:rPr>
          <w:rFonts w:hint="eastAsia" w:ascii="宋体" w:hAnsi="宋体"/>
          <w:b w:val="0"/>
          <w:bCs w:val="0"/>
          <w:szCs w:val="21"/>
        </w:rPr>
        <w:t>地址：</w:t>
      </w:r>
    </w:p>
    <w:p>
      <w:pPr>
        <w:rPr>
          <w:rFonts w:hint="eastAsia" w:ascii="宋体" w:hAnsi="宋体"/>
          <w:szCs w:val="21"/>
        </w:rPr>
      </w:pPr>
    </w:p>
    <w:p>
      <w:pPr>
        <w:rPr>
          <w:rFonts w:hint="eastAsia" w:ascii="宋体" w:hAnsi="宋体"/>
          <w:szCs w:val="21"/>
        </w:rPr>
      </w:pPr>
    </w:p>
    <w:p>
      <w:pPr>
        <w:ind w:firstLine="420" w:firstLineChars="200"/>
        <w:rPr>
          <w:rFonts w:hint="eastAsia"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2" w:firstLineChars="200"/>
        <w:rPr>
          <w:rFonts w:hint="eastAsia" w:ascii="宋体" w:hAnsi="宋体"/>
          <w:b/>
          <w:bCs/>
          <w:szCs w:val="21"/>
        </w:rPr>
      </w:pPr>
      <w:r>
        <w:rPr>
          <w:rFonts w:hint="eastAsia" w:ascii="宋体" w:hAnsi="宋体"/>
          <w:b/>
          <w:bCs/>
          <w:szCs w:val="21"/>
        </w:rPr>
        <w:t>第一条　项目概况</w:t>
      </w:r>
    </w:p>
    <w:p>
      <w:pPr>
        <w:ind w:firstLine="420" w:firstLineChars="200"/>
        <w:rPr>
          <w:rFonts w:hint="eastAsia" w:ascii="宋体" w:hAnsi="宋体"/>
          <w:szCs w:val="21"/>
        </w:rPr>
      </w:pPr>
      <w:r>
        <w:rPr>
          <w:rFonts w:hint="eastAsia" w:ascii="宋体" w:hAnsi="宋体"/>
          <w:szCs w:val="21"/>
        </w:rPr>
        <w:t xml:space="preserve">项目名称： </w:t>
      </w:r>
    </w:p>
    <w:p>
      <w:pPr>
        <w:ind w:firstLine="420" w:firstLineChars="200"/>
        <w:rPr>
          <w:rFonts w:hint="eastAsia" w:ascii="宋体" w:hAnsi="宋体"/>
          <w:szCs w:val="21"/>
        </w:rPr>
      </w:pPr>
      <w:r>
        <w:rPr>
          <w:rFonts w:hint="eastAsia" w:ascii="宋体" w:hAnsi="宋体"/>
          <w:szCs w:val="21"/>
        </w:rPr>
        <w:t xml:space="preserve">项目内容： </w:t>
      </w:r>
    </w:p>
    <w:p>
      <w:pPr>
        <w:ind w:firstLine="420" w:firstLineChars="200"/>
        <w:rPr>
          <w:rFonts w:hint="eastAsia" w:ascii="宋体" w:hAnsi="宋体"/>
          <w:szCs w:val="21"/>
        </w:rPr>
      </w:pPr>
      <w:r>
        <w:rPr>
          <w:rFonts w:hint="eastAsia" w:ascii="宋体" w:hAnsi="宋体"/>
          <w:szCs w:val="21"/>
        </w:rPr>
        <w:t xml:space="preserve">服务时间： </w:t>
      </w:r>
    </w:p>
    <w:p>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pPr>
        <w:pStyle w:val="8"/>
        <w:rPr>
          <w:rFonts w:hint="eastAsia" w:ascii="宋体" w:hAnsi="宋体"/>
          <w:szCs w:val="21"/>
        </w:rPr>
      </w:pPr>
      <w:r>
        <w:rPr>
          <w:rFonts w:hint="eastAsia" w:ascii="宋体" w:hAnsi="宋体"/>
          <w:szCs w:val="21"/>
        </w:rPr>
        <w:t>支付方式：分期支付。</w:t>
      </w:r>
    </w:p>
    <w:p>
      <w:pPr>
        <w:ind w:firstLine="422" w:firstLineChars="200"/>
        <w:rPr>
          <w:rFonts w:hint="eastAsia" w:ascii="宋体" w:hAnsi="宋体"/>
          <w:b/>
          <w:bCs/>
          <w:szCs w:val="21"/>
        </w:rPr>
      </w:pPr>
      <w:r>
        <w:rPr>
          <w:rFonts w:hint="eastAsia" w:ascii="宋体" w:hAnsi="宋体"/>
          <w:b/>
          <w:bCs/>
          <w:szCs w:val="21"/>
        </w:rPr>
        <w:t>第二条  服务范围</w:t>
      </w:r>
    </w:p>
    <w:p>
      <w:pPr>
        <w:ind w:firstLine="420" w:firstLineChars="200"/>
        <w:rPr>
          <w:rFonts w:hint="eastAsia" w:ascii="宋体" w:hAnsi="宋体"/>
          <w:szCs w:val="21"/>
        </w:rPr>
      </w:pPr>
      <w:r>
        <w:rPr>
          <w:rFonts w:hint="eastAsia" w:ascii="宋体" w:hAnsi="宋体"/>
          <w:szCs w:val="21"/>
        </w:rPr>
        <w:t xml:space="preserve">1、  </w:t>
      </w:r>
    </w:p>
    <w:p>
      <w:pPr>
        <w:ind w:firstLine="420" w:firstLineChars="200"/>
        <w:rPr>
          <w:rFonts w:hint="eastAsia" w:ascii="宋体" w:hAnsi="宋体"/>
          <w:szCs w:val="21"/>
        </w:rPr>
      </w:pPr>
      <w:r>
        <w:rPr>
          <w:rFonts w:hint="eastAsia" w:ascii="宋体" w:hAnsi="宋体"/>
          <w:szCs w:val="21"/>
        </w:rPr>
        <w:t xml:space="preserve">2、  </w:t>
      </w:r>
    </w:p>
    <w:p>
      <w:pPr>
        <w:ind w:firstLine="420" w:firstLineChars="200"/>
        <w:rPr>
          <w:rFonts w:hint="eastAsia" w:ascii="宋体" w:hAnsi="宋体"/>
          <w:szCs w:val="21"/>
        </w:rPr>
      </w:pPr>
      <w:r>
        <w:rPr>
          <w:rFonts w:hint="eastAsia" w:ascii="宋体" w:hAnsi="宋体"/>
          <w:szCs w:val="21"/>
        </w:rPr>
        <w:t xml:space="preserve">3、  </w:t>
      </w:r>
    </w:p>
    <w:p>
      <w:pPr>
        <w:ind w:firstLine="420" w:firstLineChars="200"/>
        <w:rPr>
          <w:rFonts w:hint="eastAsia" w:ascii="宋体" w:hAnsi="宋体"/>
          <w:szCs w:val="21"/>
        </w:rPr>
      </w:pPr>
      <w:r>
        <w:rPr>
          <w:rFonts w:hint="eastAsia" w:ascii="宋体" w:hAnsi="宋体"/>
          <w:szCs w:val="21"/>
        </w:rPr>
        <w:t>4、 其他合同未明示的相关工作。</w:t>
      </w:r>
    </w:p>
    <w:p>
      <w:pPr>
        <w:ind w:firstLine="422" w:firstLineChars="200"/>
        <w:rPr>
          <w:rFonts w:hint="eastAsia" w:ascii="宋体" w:hAnsi="宋体"/>
          <w:b/>
          <w:bCs/>
          <w:szCs w:val="21"/>
        </w:rPr>
      </w:pPr>
      <w:r>
        <w:rPr>
          <w:rFonts w:hint="eastAsia" w:ascii="宋体" w:hAnsi="宋体"/>
          <w:b/>
          <w:bCs/>
          <w:szCs w:val="21"/>
        </w:rPr>
        <w:t>第三条  时间要求及阶段成果</w:t>
      </w:r>
    </w:p>
    <w:p>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pPr>
        <w:ind w:firstLine="420" w:firstLineChars="200"/>
        <w:rPr>
          <w:rFonts w:hint="eastAsia" w:ascii="宋体" w:hAnsi="宋体"/>
          <w:szCs w:val="21"/>
        </w:rPr>
      </w:pPr>
      <w:r>
        <w:rPr>
          <w:rFonts w:hint="eastAsia" w:ascii="宋体" w:hAnsi="宋体"/>
          <w:szCs w:val="21"/>
        </w:rPr>
        <w:t xml:space="preserve">2、 </w:t>
      </w:r>
    </w:p>
    <w:p>
      <w:pPr>
        <w:ind w:firstLine="420" w:firstLineChars="200"/>
        <w:rPr>
          <w:rFonts w:hint="eastAsia" w:ascii="宋体" w:hAnsi="宋体"/>
          <w:szCs w:val="21"/>
        </w:rPr>
      </w:pPr>
      <w:r>
        <w:rPr>
          <w:rFonts w:hint="eastAsia" w:ascii="宋体" w:hAnsi="宋体"/>
          <w:szCs w:val="21"/>
        </w:rPr>
        <w:t>3、</w:t>
      </w:r>
    </w:p>
    <w:p>
      <w:pPr>
        <w:ind w:firstLine="420" w:firstLineChars="200"/>
        <w:rPr>
          <w:rFonts w:hint="eastAsia" w:ascii="宋体" w:hAnsi="宋体"/>
          <w:szCs w:val="21"/>
        </w:rPr>
      </w:pPr>
      <w:r>
        <w:rPr>
          <w:rFonts w:hint="eastAsia" w:ascii="宋体" w:hAnsi="宋体"/>
          <w:szCs w:val="21"/>
        </w:rPr>
        <w:t>4、</w:t>
      </w:r>
    </w:p>
    <w:p>
      <w:pPr>
        <w:ind w:firstLine="422" w:firstLineChars="200"/>
        <w:rPr>
          <w:rFonts w:hint="eastAsia" w:ascii="宋体" w:hAnsi="宋体"/>
          <w:b/>
          <w:bCs/>
          <w:szCs w:val="21"/>
        </w:rPr>
      </w:pPr>
      <w:r>
        <w:rPr>
          <w:rFonts w:hint="eastAsia" w:ascii="宋体" w:hAnsi="宋体"/>
          <w:b/>
          <w:bCs/>
          <w:szCs w:val="21"/>
        </w:rPr>
        <w:t>第四条  服务资料归属(若有)</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2" w:firstLineChars="200"/>
        <w:rPr>
          <w:rFonts w:hint="eastAsia" w:ascii="宋体" w:hAnsi="宋体"/>
          <w:b/>
          <w:bCs/>
          <w:szCs w:val="21"/>
        </w:rPr>
      </w:pPr>
      <w:r>
        <w:rPr>
          <w:rFonts w:hint="eastAsia" w:ascii="宋体" w:hAnsi="宋体"/>
          <w:b/>
          <w:bCs/>
          <w:szCs w:val="21"/>
        </w:rPr>
        <w:t>第五条  甲方的义务</w:t>
      </w:r>
    </w:p>
    <w:p>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hint="eastAsia" w:ascii="宋体" w:hAnsi="宋体"/>
          <w:szCs w:val="21"/>
        </w:rPr>
      </w:pPr>
      <w:r>
        <w:rPr>
          <w:rFonts w:hint="eastAsia" w:ascii="宋体" w:hAnsi="宋体"/>
          <w:szCs w:val="21"/>
        </w:rPr>
        <w:t>2、向乙方提供与本项目服务工作有关的资料。</w:t>
      </w:r>
    </w:p>
    <w:p>
      <w:pPr>
        <w:ind w:firstLine="422" w:firstLineChars="200"/>
        <w:rPr>
          <w:rFonts w:hint="eastAsia" w:ascii="宋体" w:hAnsi="宋体"/>
          <w:b/>
          <w:bCs/>
          <w:szCs w:val="21"/>
        </w:rPr>
      </w:pPr>
      <w:r>
        <w:rPr>
          <w:rFonts w:hint="eastAsia" w:ascii="宋体" w:hAnsi="宋体"/>
          <w:b/>
          <w:bCs/>
          <w:szCs w:val="21"/>
        </w:rPr>
        <w:t>第六条　乙方的义务</w:t>
      </w:r>
    </w:p>
    <w:p>
      <w:pPr>
        <w:ind w:firstLine="420" w:firstLineChars="200"/>
        <w:rPr>
          <w:rFonts w:hint="eastAsia" w:ascii="宋体" w:hAnsi="宋体"/>
          <w:szCs w:val="21"/>
        </w:rPr>
      </w:pPr>
      <w:r>
        <w:rPr>
          <w:rFonts w:hint="eastAsia" w:ascii="宋体" w:hAnsi="宋体"/>
          <w:szCs w:val="21"/>
        </w:rPr>
        <w:t>１、应按照号采购文件、乙方响应文件要求按期完成本项目服务工作。</w:t>
      </w:r>
    </w:p>
    <w:p>
      <w:pPr>
        <w:ind w:firstLine="420" w:firstLineChars="200"/>
        <w:rPr>
          <w:rFonts w:hint="eastAsia" w:ascii="宋体" w:hAnsi="宋体"/>
          <w:szCs w:val="21"/>
        </w:rPr>
      </w:pPr>
      <w:r>
        <w:rPr>
          <w:rFonts w:hint="eastAsia" w:ascii="宋体" w:hAnsi="宋体"/>
          <w:szCs w:val="21"/>
        </w:rPr>
        <w:t>2、负责组织项目的实施，保证服务效率及工作质量，并符合招标文件和行业相关标准。</w:t>
      </w:r>
    </w:p>
    <w:p>
      <w:pPr>
        <w:ind w:firstLine="420" w:firstLineChars="200"/>
        <w:rPr>
          <w:rFonts w:hint="eastAsia" w:ascii="宋体" w:hAnsi="宋体"/>
          <w:szCs w:val="21"/>
        </w:rPr>
      </w:pPr>
      <w:r>
        <w:rPr>
          <w:rFonts w:hint="eastAsia" w:ascii="宋体" w:hAnsi="宋体"/>
          <w:szCs w:val="21"/>
        </w:rPr>
        <w:t>3、在履行合同期间或合同规定期限内，不得泄露与本合同规定业务活动有关的保密资料。</w:t>
      </w:r>
    </w:p>
    <w:p>
      <w:pPr>
        <w:ind w:firstLine="422" w:firstLineChars="200"/>
        <w:rPr>
          <w:rFonts w:hint="eastAsia" w:ascii="宋体" w:hAnsi="宋体"/>
          <w:b/>
          <w:bCs/>
          <w:szCs w:val="21"/>
        </w:rPr>
      </w:pPr>
      <w:r>
        <w:rPr>
          <w:rFonts w:hint="eastAsia" w:ascii="宋体" w:hAnsi="宋体"/>
          <w:b/>
          <w:bCs/>
          <w:szCs w:val="21"/>
        </w:rPr>
        <w:t>第七条  甲方的权利</w:t>
      </w:r>
    </w:p>
    <w:p>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2" w:firstLineChars="200"/>
        <w:rPr>
          <w:rFonts w:hint="eastAsia" w:ascii="宋体" w:hAnsi="宋体"/>
          <w:b/>
          <w:bCs/>
          <w:szCs w:val="21"/>
        </w:rPr>
      </w:pPr>
      <w:r>
        <w:rPr>
          <w:rFonts w:hint="eastAsia" w:ascii="宋体" w:hAnsi="宋体"/>
          <w:b/>
          <w:bCs/>
          <w:szCs w:val="21"/>
        </w:rPr>
        <w:t>第八条  乙方的权利</w:t>
      </w:r>
    </w:p>
    <w:p>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、乙方在本项目服务过程中，可根据项目需求现场勘查。</w:t>
      </w:r>
    </w:p>
    <w:p>
      <w:pPr>
        <w:ind w:firstLine="422" w:firstLineChars="200"/>
        <w:rPr>
          <w:rFonts w:hint="eastAsia" w:ascii="宋体" w:hAnsi="宋体"/>
          <w:b/>
          <w:bCs/>
          <w:szCs w:val="21"/>
        </w:rPr>
      </w:pPr>
      <w:r>
        <w:rPr>
          <w:rFonts w:hint="eastAsia" w:ascii="宋体" w:hAnsi="宋体"/>
          <w:b/>
          <w:bCs/>
          <w:szCs w:val="21"/>
        </w:rPr>
        <w:t>第九条  甲方的责任</w:t>
      </w:r>
    </w:p>
    <w:p>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2" w:firstLineChars="200"/>
        <w:rPr>
          <w:rFonts w:hint="eastAsia" w:ascii="宋体" w:hAnsi="宋体"/>
          <w:b/>
          <w:bCs/>
          <w:szCs w:val="21"/>
        </w:rPr>
      </w:pPr>
      <w:r>
        <w:rPr>
          <w:rFonts w:hint="eastAsia" w:ascii="宋体" w:hAnsi="宋体"/>
          <w:b/>
          <w:bCs/>
          <w:szCs w:val="21"/>
        </w:rPr>
        <w:t>第十条  乙方的责任</w:t>
      </w:r>
    </w:p>
    <w:p>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2" w:firstLineChars="200"/>
        <w:rPr>
          <w:rFonts w:hint="eastAsia" w:ascii="宋体" w:hAnsi="宋体"/>
          <w:b/>
          <w:bCs/>
          <w:szCs w:val="21"/>
        </w:rPr>
      </w:pPr>
      <w:r>
        <w:rPr>
          <w:rFonts w:hint="eastAsia" w:ascii="宋体" w:hAnsi="宋体"/>
          <w:b/>
          <w:bCs/>
          <w:szCs w:val="21"/>
        </w:rPr>
        <w:t>第十一条  人员要求</w:t>
      </w:r>
    </w:p>
    <w:p>
      <w:pPr>
        <w:ind w:firstLine="420" w:firstLineChars="200"/>
        <w:rPr>
          <w:rFonts w:hint="eastAsia" w:ascii="宋体" w:hAnsi="宋体"/>
          <w:szCs w:val="21"/>
        </w:rPr>
      </w:pPr>
      <w:r>
        <w:rPr>
          <w:rFonts w:hint="eastAsia" w:ascii="宋体" w:hAnsi="宋体"/>
          <w:szCs w:val="21"/>
        </w:rPr>
        <w:t>1、参加本项目服务人员必须具有招标文件及国家有关部门规定的相应资质。</w:t>
      </w:r>
    </w:p>
    <w:p>
      <w:pPr>
        <w:ind w:firstLine="420" w:firstLineChars="200"/>
        <w:rPr>
          <w:rFonts w:hint="eastAsia" w:ascii="宋体" w:hAnsi="宋体"/>
          <w:szCs w:val="21"/>
        </w:rPr>
      </w:pPr>
      <w:r>
        <w:rPr>
          <w:rFonts w:hint="eastAsia" w:ascii="宋体" w:hAnsi="宋体"/>
          <w:szCs w:val="21"/>
        </w:rPr>
        <w:t>2、 参加本项目的服务人员的配置必须与响应文件中的服务承诺书和项目组织实施方案一致。</w:t>
      </w:r>
    </w:p>
    <w:p>
      <w:pPr>
        <w:ind w:firstLine="420" w:firstLineChars="200"/>
        <w:rPr>
          <w:rFonts w:hint="eastAsia" w:ascii="宋体" w:hAnsi="宋体"/>
          <w:szCs w:val="21"/>
        </w:rPr>
      </w:pPr>
      <w:r>
        <w:rPr>
          <w:rFonts w:hint="eastAsia" w:ascii="宋体" w:hAnsi="宋体"/>
          <w:szCs w:val="21"/>
        </w:rPr>
        <w:t>3、必须以直属服务人员参与本项目服务，不得使用挂靠队伍。</w:t>
      </w:r>
    </w:p>
    <w:p>
      <w:pPr>
        <w:ind w:firstLine="422" w:firstLineChars="200"/>
        <w:rPr>
          <w:rFonts w:hint="eastAsia" w:ascii="宋体" w:hAnsi="宋体"/>
          <w:b/>
          <w:bCs/>
          <w:szCs w:val="21"/>
        </w:rPr>
      </w:pPr>
      <w:r>
        <w:rPr>
          <w:rFonts w:hint="eastAsia" w:ascii="宋体" w:hAnsi="宋体"/>
          <w:b/>
          <w:bCs/>
          <w:szCs w:val="21"/>
        </w:rPr>
        <w:t>第十二条  乙方服务工具要求</w:t>
      </w:r>
    </w:p>
    <w:p>
      <w:pPr>
        <w:ind w:firstLine="420" w:firstLineChars="200"/>
        <w:rPr>
          <w:rFonts w:hint="eastAsia" w:ascii="宋体" w:hAnsi="宋体"/>
          <w:szCs w:val="21"/>
        </w:rPr>
      </w:pPr>
      <w:r>
        <w:rPr>
          <w:rFonts w:hint="eastAsia" w:ascii="宋体" w:hAnsi="宋体"/>
          <w:szCs w:val="21"/>
        </w:rPr>
        <w:t>1、乙方应配备中选项目所需的足够数量的仪器、仪表以及工具等设备。用户不需向乙方提供施工工具和仪器、仪表。</w:t>
      </w:r>
    </w:p>
    <w:p>
      <w:pPr>
        <w:ind w:firstLine="420" w:firstLineChars="200"/>
        <w:rPr>
          <w:rFonts w:hint="eastAsia" w:ascii="宋体" w:hAnsi="宋体"/>
          <w:szCs w:val="21"/>
        </w:rPr>
      </w:pPr>
      <w:r>
        <w:rPr>
          <w:rFonts w:hint="eastAsia" w:ascii="宋体" w:hAnsi="宋体"/>
          <w:szCs w:val="21"/>
        </w:rPr>
        <w:t>2、乙方在提供服务过程中应自备车辆。</w:t>
      </w:r>
    </w:p>
    <w:p>
      <w:pPr>
        <w:ind w:firstLine="422" w:firstLineChars="200"/>
        <w:rPr>
          <w:rFonts w:hint="eastAsia" w:ascii="宋体" w:hAnsi="宋体"/>
          <w:b/>
          <w:bCs/>
          <w:szCs w:val="21"/>
        </w:rPr>
      </w:pPr>
      <w:r>
        <w:rPr>
          <w:rFonts w:hint="eastAsia" w:ascii="宋体" w:hAnsi="宋体"/>
          <w:b/>
          <w:bCs/>
          <w:szCs w:val="21"/>
        </w:rPr>
        <w:t>第十三条  保密要求</w:t>
      </w:r>
    </w:p>
    <w:p>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2" w:firstLineChars="200"/>
        <w:rPr>
          <w:rFonts w:hint="eastAsia" w:ascii="宋体" w:hAnsi="宋体"/>
          <w:b/>
          <w:bCs/>
          <w:szCs w:val="21"/>
        </w:rPr>
      </w:pPr>
      <w:r>
        <w:rPr>
          <w:rFonts w:hint="eastAsia" w:ascii="宋体" w:hAnsi="宋体"/>
          <w:b/>
          <w:bCs/>
          <w:szCs w:val="21"/>
        </w:rPr>
        <w:t xml:space="preserve">第十四条  验收     </w:t>
      </w:r>
    </w:p>
    <w:p>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hint="eastAsia" w:ascii="宋体" w:hAnsi="宋体"/>
          <w:szCs w:val="21"/>
        </w:rPr>
      </w:pPr>
      <w:r>
        <w:rPr>
          <w:rFonts w:hint="eastAsia" w:ascii="宋体" w:hAnsi="宋体"/>
          <w:szCs w:val="21"/>
        </w:rPr>
        <w:t>3、验收依据为号采购文件、乙方响应文件，国家和行业有关规范、规程和标准。</w:t>
      </w:r>
    </w:p>
    <w:p>
      <w:pPr>
        <w:ind w:firstLine="422" w:firstLineChars="200"/>
        <w:rPr>
          <w:rFonts w:hint="eastAsia" w:ascii="宋体" w:hAnsi="宋体"/>
          <w:b/>
          <w:bCs/>
          <w:szCs w:val="21"/>
        </w:rPr>
      </w:pPr>
      <w:r>
        <w:rPr>
          <w:rFonts w:hint="eastAsia" w:ascii="宋体" w:hAnsi="宋体"/>
          <w:b/>
          <w:bCs/>
          <w:szCs w:val="21"/>
        </w:rPr>
        <w:t>第十五条  付款方式</w:t>
      </w:r>
    </w:p>
    <w:p>
      <w:pPr>
        <w:ind w:firstLine="420" w:firstLineChars="200"/>
        <w:rPr>
          <w:rFonts w:hint="eastAsia" w:ascii="宋体" w:hAnsi="宋体"/>
          <w:szCs w:val="21"/>
        </w:rPr>
      </w:pPr>
      <w:r>
        <w:rPr>
          <w:rFonts w:hint="eastAsia" w:ascii="宋体" w:hAnsi="宋体"/>
          <w:szCs w:val="21"/>
        </w:rPr>
        <w:t>1、合同签订后天内，甲方向乙方支付合同总价%的款项。</w:t>
      </w:r>
    </w:p>
    <w:p>
      <w:pPr>
        <w:ind w:firstLine="420" w:firstLineChars="200"/>
        <w:rPr>
          <w:rFonts w:hint="eastAsia" w:ascii="宋体" w:hAnsi="宋体"/>
          <w:szCs w:val="21"/>
        </w:rPr>
      </w:pPr>
      <w:r>
        <w:rPr>
          <w:rFonts w:hint="eastAsia" w:ascii="宋体" w:hAnsi="宋体"/>
          <w:szCs w:val="21"/>
        </w:rPr>
        <w:t>2、全部服务完成并经甲方验收合格后，甲方向乙方支付合同总价%的款项。</w:t>
      </w:r>
    </w:p>
    <w:p>
      <w:pPr>
        <w:ind w:firstLine="422" w:firstLineChars="200"/>
        <w:rPr>
          <w:rFonts w:hint="eastAsia" w:ascii="宋体" w:hAnsi="宋体"/>
          <w:b/>
          <w:bCs/>
          <w:szCs w:val="21"/>
        </w:rPr>
      </w:pPr>
      <w:r>
        <w:rPr>
          <w:rFonts w:hint="eastAsia" w:ascii="宋体" w:hAnsi="宋体"/>
          <w:b/>
          <w:bCs/>
          <w:szCs w:val="21"/>
        </w:rPr>
        <w:t>第十六条  争议解决办法</w:t>
      </w:r>
    </w:p>
    <w:p>
      <w:pPr>
        <w:ind w:firstLine="420" w:firstLineChars="200"/>
        <w:rPr>
          <w:rFonts w:hint="eastAsia"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pPr>
        <w:ind w:firstLine="422" w:firstLineChars="200"/>
        <w:rPr>
          <w:rFonts w:hint="eastAsia" w:ascii="宋体" w:hAnsi="宋体"/>
          <w:b/>
          <w:bCs/>
          <w:szCs w:val="21"/>
        </w:rPr>
      </w:pPr>
      <w:r>
        <w:rPr>
          <w:rFonts w:hint="eastAsia" w:ascii="宋体" w:hAnsi="宋体"/>
          <w:b/>
          <w:bCs/>
          <w:szCs w:val="21"/>
        </w:rPr>
        <w:t>第十七条  风险责任</w:t>
      </w:r>
    </w:p>
    <w:p>
      <w:pPr>
        <w:ind w:firstLine="420" w:firstLineChars="200"/>
        <w:rPr>
          <w:rFonts w:hint="eastAsia"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pPr>
        <w:ind w:firstLine="420" w:firstLineChars="200"/>
        <w:rPr>
          <w:rFonts w:hint="eastAsia" w:ascii="宋体" w:hAnsi="宋体"/>
          <w:szCs w:val="21"/>
        </w:rPr>
      </w:pPr>
      <w:r>
        <w:rPr>
          <w:rFonts w:hint="eastAsia" w:ascii="宋体" w:hAnsi="宋体"/>
          <w:szCs w:val="21"/>
        </w:rPr>
        <w:t>2、乙方在服务过程中应对自身的安全生产负责，若由乙方原因发生的各种事故甲方不承担任何责任。</w:t>
      </w:r>
    </w:p>
    <w:p>
      <w:pPr>
        <w:ind w:firstLine="422" w:firstLineChars="200"/>
        <w:rPr>
          <w:rFonts w:hint="eastAsia" w:ascii="宋体" w:hAnsi="宋体"/>
          <w:b/>
          <w:bCs/>
          <w:szCs w:val="21"/>
        </w:rPr>
      </w:pPr>
      <w:r>
        <w:rPr>
          <w:rFonts w:hint="eastAsia" w:ascii="宋体" w:hAnsi="宋体"/>
          <w:b/>
          <w:bCs/>
          <w:szCs w:val="21"/>
        </w:rPr>
        <w:t>第十八条  违约责任</w:t>
      </w:r>
    </w:p>
    <w:p>
      <w:pPr>
        <w:pStyle w:val="19"/>
        <w:spacing w:line="324" w:lineRule="auto"/>
        <w:ind w:firstLine="420" w:firstLineChars="200"/>
        <w:rPr>
          <w:rFonts w:hint="eastAsia"/>
          <w:sz w:val="21"/>
          <w:szCs w:val="21"/>
        </w:rPr>
      </w:pPr>
      <w:r>
        <w:rPr>
          <w:rFonts w:hint="eastAsia"/>
          <w:sz w:val="21"/>
          <w:szCs w:val="21"/>
        </w:rPr>
        <w:t>投标人若未按照招投标文件及本合同要求履约，则需对履约不足的部分支付违约金，但最高不超过中标总额的10％。</w:t>
      </w:r>
    </w:p>
    <w:p>
      <w:pPr>
        <w:ind w:firstLine="422" w:firstLineChars="200"/>
        <w:rPr>
          <w:rFonts w:hint="eastAsia" w:ascii="宋体" w:hAnsi="宋体"/>
          <w:b/>
          <w:bCs/>
          <w:szCs w:val="21"/>
        </w:rPr>
      </w:pPr>
      <w:r>
        <w:rPr>
          <w:rFonts w:hint="eastAsia" w:ascii="宋体" w:hAnsi="宋体"/>
          <w:b/>
          <w:bCs/>
          <w:szCs w:val="21"/>
        </w:rPr>
        <w:t>第十九条  其他</w:t>
      </w:r>
    </w:p>
    <w:p>
      <w:pPr>
        <w:ind w:firstLine="420" w:firstLineChars="200"/>
        <w:rPr>
          <w:rFonts w:hint="eastAsia" w:ascii="宋体" w:hAnsi="宋体"/>
          <w:szCs w:val="21"/>
        </w:rPr>
      </w:pPr>
      <w:r>
        <w:rPr>
          <w:rFonts w:hint="eastAsia" w:ascii="宋体" w:hAnsi="宋体"/>
          <w:szCs w:val="21"/>
        </w:rPr>
        <w:t>1、下列文件均为本合同的重要组成部分：</w:t>
      </w:r>
    </w:p>
    <w:p>
      <w:pPr>
        <w:ind w:firstLine="420" w:firstLineChars="200"/>
        <w:rPr>
          <w:rFonts w:hint="eastAsia" w:ascii="宋体" w:hAnsi="宋体"/>
          <w:szCs w:val="21"/>
        </w:rPr>
      </w:pPr>
      <w:r>
        <w:rPr>
          <w:rFonts w:hint="eastAsia" w:ascii="宋体" w:hAnsi="宋体"/>
          <w:szCs w:val="21"/>
        </w:rPr>
        <w:t>（1）本项目的采购文件、答疑及补充通知；</w:t>
      </w:r>
    </w:p>
    <w:p>
      <w:pPr>
        <w:ind w:firstLine="420" w:firstLineChars="200"/>
        <w:rPr>
          <w:rFonts w:hint="eastAsia" w:ascii="宋体" w:hAnsi="宋体"/>
          <w:szCs w:val="21"/>
        </w:rPr>
      </w:pPr>
      <w:r>
        <w:rPr>
          <w:rFonts w:hint="eastAsia" w:ascii="宋体" w:hAnsi="宋体"/>
          <w:szCs w:val="21"/>
        </w:rPr>
        <w:t>（2）本项目中选的响应文件；</w:t>
      </w:r>
    </w:p>
    <w:p>
      <w:pPr>
        <w:ind w:firstLine="420" w:firstLineChars="200"/>
        <w:rPr>
          <w:rFonts w:hint="eastAsia" w:ascii="宋体" w:hAnsi="宋体"/>
          <w:szCs w:val="21"/>
        </w:rPr>
      </w:pPr>
      <w:r>
        <w:rPr>
          <w:rFonts w:hint="eastAsia" w:ascii="宋体" w:hAnsi="宋体"/>
          <w:szCs w:val="21"/>
        </w:rPr>
        <w:t>（3）本合同执行中共同签署的补充与修正文件。</w:t>
      </w:r>
    </w:p>
    <w:p>
      <w:pPr>
        <w:pStyle w:val="2"/>
      </w:pPr>
      <w:r>
        <w:rPr>
          <w:rFonts w:hint="eastAsia" w:ascii="宋体" w:hAnsi="宋体"/>
          <w:b w:val="0"/>
          <w:bCs w:val="0"/>
          <w:sz w:val="21"/>
          <w:szCs w:val="21"/>
        </w:rPr>
        <w:t>以上文件互为补充，如果出现内容冲突的情况，为准的优先顺序为（2）、（1）、（3）。</w:t>
      </w:r>
    </w:p>
    <w:p>
      <w:pPr>
        <w:ind w:firstLine="420" w:firstLineChars="200"/>
        <w:rPr>
          <w:rFonts w:hint="eastAsia"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pPr>
        <w:ind w:firstLine="420" w:firstLineChars="200"/>
        <w:rPr>
          <w:rFonts w:hint="eastAsia" w:ascii="宋体" w:hAnsi="宋体"/>
          <w:szCs w:val="21"/>
        </w:rPr>
      </w:pPr>
      <w:r>
        <w:rPr>
          <w:rFonts w:hint="eastAsia" w:ascii="宋体" w:hAnsi="宋体"/>
          <w:szCs w:val="21"/>
        </w:rPr>
        <w:t>3、本合同未尽事宜，双方友好协商，达成解决方案，经双方签字后，可作为本合同的有效附件。</w:t>
      </w:r>
    </w:p>
    <w:p>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rPr>
          <w:rFonts w:hint="eastAsia" w:ascii="宋体" w:hAnsi="宋体"/>
          <w:szCs w:val="21"/>
          <w:u w:val="single"/>
        </w:rPr>
      </w:pPr>
      <w:r>
        <w:rPr>
          <w:rFonts w:hint="eastAsia" w:ascii="宋体" w:hAnsi="宋体"/>
          <w:szCs w:val="21"/>
        </w:rPr>
        <w:t>甲方：    乙方：</w:t>
      </w:r>
    </w:p>
    <w:p>
      <w:pPr>
        <w:ind w:firstLine="1890" w:firstLineChars="900"/>
        <w:rPr>
          <w:rFonts w:hint="eastAsia" w:ascii="宋体" w:hAnsi="宋体"/>
          <w:szCs w:val="21"/>
        </w:rPr>
      </w:pPr>
      <w:r>
        <w:rPr>
          <w:rFonts w:hint="eastAsia" w:ascii="宋体" w:hAnsi="宋体"/>
          <w:szCs w:val="21"/>
        </w:rPr>
        <w:t>（签章）                         （签章）</w:t>
      </w:r>
    </w:p>
    <w:p>
      <w:pPr>
        <w:ind w:firstLine="2730" w:firstLineChars="1300"/>
        <w:rPr>
          <w:rFonts w:hint="eastAsia" w:ascii="宋体" w:hAnsi="宋体"/>
          <w:szCs w:val="21"/>
        </w:rPr>
      </w:pPr>
    </w:p>
    <w:p>
      <w:pPr>
        <w:ind w:firstLine="420" w:firstLineChars="200"/>
        <w:rPr>
          <w:rFonts w:hint="eastAsia" w:ascii="宋体" w:hAnsi="宋体"/>
          <w:szCs w:val="21"/>
        </w:rPr>
      </w:pPr>
      <w:r>
        <w:rPr>
          <w:rFonts w:hint="eastAsia" w:ascii="宋体" w:hAnsi="宋体"/>
          <w:szCs w:val="21"/>
        </w:rPr>
        <w:t xml:space="preserve">地址：                        地址： </w:t>
      </w:r>
    </w:p>
    <w:p>
      <w:pPr>
        <w:ind w:firstLine="420" w:firstLineChars="200"/>
        <w:rPr>
          <w:rFonts w:hint="eastAsia" w:ascii="宋体" w:hAnsi="宋体"/>
          <w:szCs w:val="21"/>
        </w:rPr>
      </w:pPr>
      <w:r>
        <w:rPr>
          <w:rFonts w:hint="eastAsia" w:ascii="宋体" w:hAnsi="宋体"/>
          <w:szCs w:val="21"/>
        </w:rPr>
        <w:t>法定代表人：（签章）           法定代表人：（签章）</w:t>
      </w:r>
    </w:p>
    <w:p>
      <w:pPr>
        <w:ind w:firstLine="420" w:firstLineChars="200"/>
        <w:rPr>
          <w:rFonts w:hint="eastAsia" w:ascii="宋体" w:hAnsi="宋体"/>
          <w:szCs w:val="21"/>
        </w:rPr>
      </w:pPr>
      <w:r>
        <w:rPr>
          <w:rFonts w:hint="eastAsia" w:ascii="宋体" w:hAnsi="宋体"/>
          <w:szCs w:val="21"/>
        </w:rPr>
        <w:t>开户行：                      开户行：</w:t>
      </w:r>
    </w:p>
    <w:p>
      <w:pPr>
        <w:ind w:firstLine="420" w:firstLineChars="200"/>
        <w:rPr>
          <w:rFonts w:hint="eastAsia" w:ascii="宋体" w:hAnsi="宋体"/>
          <w:szCs w:val="21"/>
        </w:rPr>
      </w:pPr>
      <w:r>
        <w:rPr>
          <w:rFonts w:hint="eastAsia" w:ascii="宋体" w:hAnsi="宋体"/>
          <w:szCs w:val="21"/>
        </w:rPr>
        <w:t>人民币账号：                  人民币账号：</w:t>
      </w:r>
    </w:p>
    <w:p>
      <w:pPr>
        <w:ind w:firstLine="420" w:firstLineChars="200"/>
        <w:rPr>
          <w:rFonts w:hint="eastAsia" w:ascii="宋体" w:hAnsi="宋体"/>
          <w:szCs w:val="21"/>
        </w:rPr>
      </w:pPr>
      <w:r>
        <w:rPr>
          <w:rFonts w:hint="eastAsia" w:ascii="宋体" w:hAnsi="宋体"/>
          <w:szCs w:val="21"/>
        </w:rPr>
        <w:t>联系人：                      联系人：</w:t>
      </w:r>
    </w:p>
    <w:p>
      <w:pPr>
        <w:ind w:firstLine="420" w:firstLineChars="200"/>
        <w:rPr>
          <w:rFonts w:hint="eastAsia" w:ascii="宋体" w:hAnsi="宋体"/>
          <w:szCs w:val="21"/>
        </w:rPr>
      </w:pPr>
      <w:r>
        <w:rPr>
          <w:rFonts w:hint="eastAsia" w:ascii="宋体" w:hAnsi="宋体"/>
          <w:szCs w:val="21"/>
        </w:rPr>
        <w:t>电话：                        电话：</w:t>
      </w:r>
    </w:p>
    <w:p>
      <w:pPr>
        <w:keepNext/>
        <w:keepLines/>
        <w:spacing w:before="340" w:after="78" w:afterLines="25" w:line="578" w:lineRule="auto"/>
        <w:jc w:val="center"/>
        <w:outlineLvl w:val="0"/>
        <w:rPr>
          <w:rFonts w:hint="eastAsia" w:ascii="宋体" w:hAnsi="宋体"/>
          <w:szCs w:val="21"/>
        </w:rPr>
      </w:pPr>
      <w:r>
        <w:rPr>
          <w:rFonts w:hint="eastAsia" w:ascii="宋体" w:hAnsi="宋体"/>
          <w:szCs w:val="21"/>
        </w:rPr>
        <w:t>日期：                        日期：</w:t>
      </w:r>
    </w:p>
    <w:p>
      <w:pPr>
        <w:keepNext/>
        <w:keepLines/>
        <w:spacing w:before="340" w:after="78" w:afterLines="25" w:line="578" w:lineRule="auto"/>
        <w:jc w:val="center"/>
        <w:outlineLvl w:val="0"/>
        <w:rPr>
          <w:rFonts w:hint="eastAsia" w:ascii="宋体" w:hAnsi="宋体"/>
          <w:szCs w:val="21"/>
        </w:rPr>
      </w:pPr>
    </w:p>
    <w:p>
      <w:pPr>
        <w:keepNext/>
        <w:keepLines/>
        <w:spacing w:before="340" w:after="78" w:afterLines="25" w:line="578" w:lineRule="auto"/>
        <w:jc w:val="center"/>
        <w:outlineLvl w:val="0"/>
        <w:rPr>
          <w:rFonts w:hint="eastAsia" w:ascii="宋体" w:hAnsi="宋体"/>
          <w:szCs w:val="21"/>
        </w:rPr>
      </w:pPr>
    </w:p>
    <w:p>
      <w:pPr>
        <w:keepNext/>
        <w:keepLines/>
        <w:spacing w:before="340" w:after="78" w:afterLines="25" w:line="578" w:lineRule="auto"/>
        <w:jc w:val="center"/>
        <w:outlineLvl w:val="0"/>
        <w:rPr>
          <w:rFonts w:hint="eastAsia" w:ascii="宋体" w:hAnsi="宋体"/>
          <w:szCs w:val="21"/>
        </w:rPr>
      </w:pPr>
    </w:p>
    <w:p>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9"/>
        <w:keepNext/>
        <w:keepLines/>
        <w:numPr>
          <w:ilvl w:val="0"/>
          <w:numId w:val="5"/>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37" w:name="_Hlk72399513"/>
      <w:r>
        <w:rPr>
          <w:rFonts w:hint="eastAsia" w:asciiTheme="majorHAnsi" w:hAnsiTheme="majorHAnsi" w:eastAsiaTheme="majorEastAsia" w:cstheme="majorBidi"/>
          <w:b/>
          <w:bCs/>
          <w:sz w:val="28"/>
          <w:szCs w:val="28"/>
        </w:rPr>
        <w:t>总则</w:t>
      </w:r>
    </w:p>
    <w:bookmarkEnd w:id="37"/>
    <w:p>
      <w:pPr>
        <w:rPr>
          <w:rFonts w:hint="eastAsia" w:ascii="黑体" w:hAnsi="宋体" w:eastAsia="黑体"/>
          <w:sz w:val="24"/>
        </w:rPr>
      </w:pPr>
      <w:bookmarkStart w:id="38" w:name="_Hlk72439706"/>
      <w:r>
        <w:rPr>
          <w:rFonts w:hint="eastAsia" w:ascii="黑体" w:hAnsi="宋体" w:eastAsia="黑体"/>
          <w:sz w:val="24"/>
        </w:rPr>
        <w:t>1. 通用条款说明</w:t>
      </w:r>
    </w:p>
    <w:p>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39" w:name="_Hlk72399729"/>
      <w:r>
        <w:rPr>
          <w:rFonts w:hint="eastAsia" w:ascii="宋体" w:hAnsi="宋体"/>
          <w:szCs w:val="21"/>
        </w:rPr>
        <w:t>如有需要，政府集中采购机构可以对通用条款的内容进行补充。</w:t>
      </w:r>
      <w:bookmarkEnd w:id="39"/>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40" w:name="_Hlk72398643"/>
      <w:r>
        <w:rPr>
          <w:rFonts w:hint="eastAsia" w:ascii="黑体" w:hAnsi="宋体" w:eastAsia="黑体"/>
          <w:sz w:val="24"/>
        </w:rPr>
        <w:t>政府采购供应商责任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5．投标人参加政府采购的条件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（2）在投标截止前，投标联合体各方均应注册成政府集中采购机构供应商；</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eastAsia="宋体"/>
        </w:rPr>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1"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1"/>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0"/>
    <w:p>
      <w:pPr>
        <w:ind w:firstLine="411" w:firstLineChars="196"/>
        <w:rPr>
          <w:rFonts w:hint="eastAsia" w:ascii="宋体" w:hAnsi="宋体"/>
        </w:rPr>
      </w:pPr>
    </w:p>
    <w:p>
      <w:pPr>
        <w:pStyle w:val="7"/>
        <w:numPr>
          <w:ilvl w:val="0"/>
          <w:numId w:val="6"/>
        </w:numPr>
        <w:spacing w:before="156" w:beforeLines="50" w:after="156" w:afterLines="50"/>
        <w:ind w:left="562" w:hanging="562"/>
        <w:rPr>
          <w:sz w:val="28"/>
          <w:szCs w:val="28"/>
        </w:rPr>
      </w:pPr>
      <w:r>
        <w:rPr>
          <w:rFonts w:hint="eastAsia"/>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2"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2"/>
    </w:p>
    <w:p>
      <w:pPr>
        <w:rPr>
          <w:rFonts w:hint="eastAsia" w:ascii="宋体" w:hAnsi="宋体"/>
          <w:szCs w:val="21"/>
        </w:rPr>
      </w:pPr>
    </w:p>
    <w:p>
      <w:pPr>
        <w:pStyle w:val="7"/>
        <w:numPr>
          <w:ilvl w:val="0"/>
          <w:numId w:val="6"/>
        </w:numPr>
        <w:spacing w:before="156" w:beforeLines="50" w:after="156" w:afterLines="50"/>
        <w:ind w:left="562" w:hanging="562"/>
        <w:rPr>
          <w:sz w:val="28"/>
          <w:szCs w:val="28"/>
        </w:rPr>
      </w:pPr>
      <w:r>
        <w:rPr>
          <w:rFonts w:hint="eastAsia"/>
          <w:sz w:val="28"/>
          <w:szCs w:val="28"/>
        </w:rPr>
        <w:t>投标文件的编制</w:t>
      </w:r>
    </w:p>
    <w:p>
      <w:pPr>
        <w:rPr>
          <w:rFonts w:hint="eastAsia" w:ascii="黑体" w:hAnsi="宋体" w:eastAsia="黑体"/>
          <w:sz w:val="24"/>
        </w:rPr>
      </w:pPr>
      <w:r>
        <w:rPr>
          <w:rFonts w:hint="eastAsia" w:ascii="黑体" w:hAnsi="宋体" w:eastAsia="黑体"/>
          <w:sz w:val="24"/>
        </w:rPr>
        <w:t>14．</w:t>
      </w:r>
      <w:bookmarkStart w:id="43"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43"/>
    <w:p>
      <w:pPr>
        <w:rPr>
          <w:rFonts w:hint="eastAsia" w:ascii="黑体" w:hAnsi="宋体" w:eastAsia="黑体"/>
          <w:sz w:val="24"/>
        </w:rPr>
      </w:pPr>
      <w:r>
        <w:rPr>
          <w:rFonts w:hint="eastAsia" w:ascii="黑体" w:hAnsi="宋体" w:eastAsia="黑体"/>
          <w:sz w:val="24"/>
        </w:rPr>
        <w:t>15．</w:t>
      </w:r>
      <w:bookmarkStart w:id="44"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44"/>
    <w:p>
      <w:pPr>
        <w:rPr>
          <w:rFonts w:hint="eastAsia" w:ascii="黑体" w:hAnsi="宋体" w:eastAsia="黑体"/>
          <w:sz w:val="24"/>
        </w:rPr>
      </w:pPr>
      <w:r>
        <w:rPr>
          <w:rFonts w:hint="eastAsia" w:ascii="黑体" w:hAnsi="宋体" w:eastAsia="黑体"/>
          <w:sz w:val="24"/>
        </w:rPr>
        <w:t>18．</w:t>
      </w:r>
      <w:bookmarkStart w:id="45"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45"/>
    <w:p>
      <w:pPr>
        <w:rPr>
          <w:rFonts w:hint="eastAsia" w:ascii="黑体" w:hAnsi="宋体" w:eastAsia="黑体"/>
          <w:sz w:val="24"/>
        </w:rPr>
      </w:pPr>
      <w:r>
        <w:rPr>
          <w:rFonts w:hint="eastAsia" w:ascii="黑体" w:hAnsi="宋体" w:eastAsia="黑体"/>
          <w:sz w:val="24"/>
        </w:rPr>
        <w:t>19．</w:t>
      </w:r>
      <w:bookmarkStart w:id="46"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47"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7"/>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46"/>
    <w:p>
      <w:pPr>
        <w:ind w:firstLine="411" w:firstLineChars="196"/>
        <w:rPr>
          <w:rFonts w:hint="eastAsia" w:ascii="宋体" w:hAnsi="宋体"/>
          <w:szCs w:val="21"/>
        </w:rPr>
      </w:pPr>
      <w:bookmarkStart w:id="48"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48"/>
    <w:p>
      <w:pPr>
        <w:rPr>
          <w:rFonts w:hint="eastAsia" w:ascii="黑体" w:hAnsi="宋体" w:eastAsia="黑体"/>
          <w:sz w:val="24"/>
        </w:rPr>
      </w:pPr>
      <w:r>
        <w:rPr>
          <w:rFonts w:hint="eastAsia" w:ascii="黑体" w:hAnsi="宋体" w:eastAsia="黑体"/>
          <w:sz w:val="24"/>
        </w:rPr>
        <w:t>21．</w:t>
      </w:r>
      <w:bookmarkStart w:id="49"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9"/>
    <w:p>
      <w:pPr>
        <w:rPr>
          <w:rFonts w:hint="eastAsia" w:ascii="黑体" w:hAnsi="宋体" w:eastAsia="黑体"/>
          <w:sz w:val="24"/>
        </w:rPr>
      </w:pPr>
      <w:r>
        <w:rPr>
          <w:rFonts w:hint="eastAsia" w:ascii="黑体" w:hAnsi="宋体" w:eastAsia="黑体"/>
          <w:sz w:val="24"/>
        </w:rPr>
        <w:t>23．</w:t>
      </w:r>
      <w:bookmarkStart w:id="50"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0"/>
    </w:p>
    <w:p>
      <w:pPr>
        <w:ind w:firstLine="411" w:firstLineChars="196"/>
        <w:rPr>
          <w:rFonts w:hint="eastAsia" w:ascii="宋体" w:hAnsi="宋体"/>
          <w:szCs w:val="21"/>
        </w:rPr>
      </w:pPr>
    </w:p>
    <w:p>
      <w:pPr>
        <w:pStyle w:val="7"/>
        <w:numPr>
          <w:ilvl w:val="0"/>
          <w:numId w:val="6"/>
        </w:numPr>
        <w:spacing w:before="156" w:beforeLines="50" w:after="156" w:afterLines="50"/>
        <w:ind w:left="562" w:hanging="562"/>
        <w:rPr>
          <w:sz w:val="28"/>
          <w:szCs w:val="28"/>
        </w:rPr>
      </w:pPr>
      <w:r>
        <w:rPr>
          <w:rFonts w:hint="eastAsia"/>
          <w:sz w:val="28"/>
          <w:szCs w:val="28"/>
        </w:rPr>
        <w:t>投标文件的递交</w:t>
      </w:r>
    </w:p>
    <w:p>
      <w:pPr>
        <w:rPr>
          <w:rFonts w:hint="eastAsia" w:ascii="黑体" w:hAnsi="宋体" w:eastAsia="黑体"/>
          <w:sz w:val="24"/>
        </w:rPr>
      </w:pPr>
      <w:bookmarkStart w:id="51" w:name="_Hlk72405459"/>
      <w:r>
        <w:rPr>
          <w:rFonts w:hint="eastAsia" w:ascii="黑体" w:hAnsi="宋体" w:eastAsia="黑体"/>
          <w:sz w:val="24"/>
        </w:rPr>
        <w:t>24．投标文件的保密</w:t>
      </w:r>
    </w:p>
    <w:p>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hint="eastAsia" w:ascii="宋体" w:hAnsi="宋体"/>
          <w:b/>
        </w:rPr>
      </w:pPr>
      <w:r>
        <w:rPr>
          <w:rFonts w:hint="eastAsia" w:ascii="宋体" w:hAnsi="宋体"/>
          <w:b/>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hint="eastAsia" w:ascii="黑体" w:hAnsi="宋体" w:eastAsia="黑体"/>
          <w:sz w:val="24"/>
        </w:rPr>
      </w:pPr>
      <w:r>
        <w:rPr>
          <w:rFonts w:hint="eastAsia" w:ascii="黑体" w:hAnsi="宋体" w:eastAsia="黑体"/>
          <w:sz w:val="24"/>
        </w:rPr>
        <w:t>25．上传投标文件及投标截止日期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p>
      <w:pPr>
        <w:ind w:firstLine="411" w:firstLineChars="196"/>
        <w:rPr>
          <w:rFonts w:hint="eastAsia" w:ascii="宋体" w:hAnsi="宋体"/>
        </w:rPr>
      </w:pPr>
    </w:p>
    <w:bookmarkEnd w:id="51"/>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52"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52"/>
    <w:p>
      <w:pPr>
        <w:pStyle w:val="7"/>
        <w:numPr>
          <w:ilvl w:val="0"/>
          <w:numId w:val="6"/>
        </w:numPr>
        <w:spacing w:before="156" w:beforeLines="50" w:after="156" w:afterLines="50"/>
        <w:ind w:left="562" w:hanging="562"/>
        <w:rPr>
          <w:sz w:val="28"/>
          <w:szCs w:val="28"/>
        </w:rPr>
      </w:pPr>
      <w:r>
        <w:rPr>
          <w:rFonts w:hint="eastAsia"/>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7"/>
        <w:numPr>
          <w:ilvl w:val="0"/>
          <w:numId w:val="6"/>
        </w:numPr>
        <w:spacing w:before="156" w:beforeLines="50" w:after="156" w:afterLines="50"/>
        <w:ind w:left="562" w:hanging="562"/>
        <w:rPr>
          <w:sz w:val="28"/>
          <w:szCs w:val="28"/>
        </w:rPr>
      </w:pPr>
      <w:r>
        <w:rPr>
          <w:rFonts w:hint="eastAsia"/>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53"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3"/>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7"/>
        <w:numPr>
          <w:ilvl w:val="0"/>
          <w:numId w:val="6"/>
        </w:numPr>
        <w:spacing w:before="156" w:beforeLines="50" w:after="156" w:afterLines="50"/>
        <w:ind w:left="562" w:hanging="562"/>
        <w:rPr>
          <w:sz w:val="28"/>
          <w:szCs w:val="28"/>
        </w:rPr>
      </w:pPr>
      <w:r>
        <w:rPr>
          <w:rFonts w:hint="eastAsia"/>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54"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4"/>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55" w:name="_Toc73521669"/>
      <w:bookmarkStart w:id="56" w:name="_Toc73517673"/>
      <w:bookmarkStart w:id="57" w:name="_Toc73521581"/>
      <w:bookmarkStart w:id="58" w:name="_Toc73518151"/>
      <w:bookmarkStart w:id="59" w:name="_Toc100052400"/>
      <w:r>
        <w:rPr>
          <w:rFonts w:hint="eastAsia" w:ascii="黑体" w:hAnsi="宋体" w:eastAsia="黑体"/>
          <w:sz w:val="24"/>
        </w:rPr>
        <w:t>34．错误的修正</w:t>
      </w:r>
      <w:bookmarkEnd w:id="55"/>
      <w:bookmarkEnd w:id="56"/>
      <w:bookmarkEnd w:id="57"/>
      <w:bookmarkEnd w:id="58"/>
      <w:bookmarkEnd w:id="59"/>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bookmarkStart w:id="60" w:name="_Hlk72438142"/>
      <w:r>
        <w:rPr>
          <w:rFonts w:hint="eastAsia" w:ascii="宋体" w:hAnsi="宋体"/>
          <w:b/>
          <w:bCs/>
          <w:szCs w:val="21"/>
        </w:rPr>
        <w:t>37.1.1最低价法</w:t>
      </w:r>
    </w:p>
    <w:p>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60"/>
    </w:p>
    <w:p>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7"/>
        <w:numPr>
          <w:ilvl w:val="0"/>
          <w:numId w:val="6"/>
        </w:numPr>
        <w:spacing w:before="156" w:beforeLines="50" w:after="156" w:afterLines="50"/>
        <w:ind w:left="562" w:hanging="562"/>
        <w:rPr>
          <w:sz w:val="28"/>
          <w:szCs w:val="28"/>
        </w:rPr>
      </w:pPr>
      <w:r>
        <w:rPr>
          <w:rFonts w:hint="eastAsia"/>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61"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62"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63"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2"/>
      <w:bookmarkEnd w:id="63"/>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61"/>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64"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64"/>
      <w:bookmarkStart w:id="65"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5"/>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66"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66"/>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67" w:name="_Hlk71407340"/>
      <w:r>
        <w:rPr>
          <w:rFonts w:hint="eastAsia" w:ascii="宋体" w:hAnsi="宋体"/>
          <w:szCs w:val="21"/>
        </w:rPr>
        <w:t>41.3因质疑投诉或其它原因导致项目结果变更或采购终止的，政府集中采购机构有权吊销中标通知书。</w:t>
      </w:r>
    </w:p>
    <w:bookmarkEnd w:id="67"/>
    <w:p>
      <w:pPr>
        <w:ind w:firstLine="411" w:firstLineChars="196"/>
        <w:rPr>
          <w:rFonts w:hint="eastAsia" w:ascii="宋体" w:hAnsi="宋体"/>
          <w:szCs w:val="21"/>
        </w:rPr>
      </w:pPr>
    </w:p>
    <w:p>
      <w:pPr>
        <w:pStyle w:val="7"/>
        <w:numPr>
          <w:ilvl w:val="0"/>
          <w:numId w:val="6"/>
        </w:numPr>
        <w:spacing w:before="156" w:beforeLines="50" w:after="156" w:afterLines="50"/>
        <w:ind w:left="562" w:hanging="562"/>
        <w:rPr>
          <w:sz w:val="28"/>
          <w:szCs w:val="28"/>
        </w:rPr>
      </w:pPr>
      <w:r>
        <w:rPr>
          <w:rFonts w:hint="eastAsia"/>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hint="eastAsia" w:ascii="黑体" w:hAnsi="宋体" w:eastAsia="黑体"/>
          <w:sz w:val="24"/>
        </w:rPr>
      </w:pPr>
    </w:p>
    <w:p>
      <w:pPr>
        <w:pStyle w:val="7"/>
        <w:numPr>
          <w:ilvl w:val="0"/>
          <w:numId w:val="6"/>
        </w:numPr>
        <w:spacing w:before="156" w:beforeLines="50" w:after="156" w:afterLines="50"/>
        <w:ind w:left="562" w:hanging="562"/>
        <w:rPr>
          <w:sz w:val="28"/>
          <w:szCs w:val="28"/>
        </w:rPr>
      </w:pPr>
      <w:bookmarkStart w:id="68" w:name="_Hlk72439043"/>
      <w:r>
        <w:rPr>
          <w:rFonts w:hint="eastAsia"/>
          <w:sz w:val="28"/>
          <w:szCs w:val="28"/>
        </w:rPr>
        <w:t>合同的授予与备案</w:t>
      </w:r>
      <w:bookmarkEnd w:id="68"/>
    </w:p>
    <w:p>
      <w:pPr>
        <w:rPr>
          <w:rFonts w:hint="eastAsia" w:ascii="黑体" w:hAnsi="宋体" w:eastAsia="黑体"/>
          <w:sz w:val="24"/>
        </w:rPr>
      </w:pPr>
      <w:bookmarkStart w:id="69" w:name="_Toc73517679"/>
      <w:bookmarkStart w:id="70" w:name="_Toc100052408"/>
      <w:bookmarkStart w:id="71" w:name="_Toc73518157"/>
      <w:bookmarkStart w:id="72" w:name="_Toc73521674"/>
      <w:bookmarkStart w:id="73" w:name="_Toc73521586"/>
      <w:bookmarkStart w:id="74" w:name="_Hlk72439088"/>
      <w:r>
        <w:rPr>
          <w:rFonts w:hint="eastAsia" w:ascii="黑体" w:hAnsi="宋体" w:eastAsia="黑体"/>
          <w:sz w:val="24"/>
        </w:rPr>
        <w:t>43．合同授予标准</w:t>
      </w:r>
      <w:bookmarkEnd w:id="69"/>
      <w:bookmarkEnd w:id="70"/>
      <w:bookmarkEnd w:id="71"/>
      <w:bookmarkEnd w:id="72"/>
      <w:bookmarkEnd w:id="73"/>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75" w:name="_Toc73521587"/>
      <w:bookmarkStart w:id="76" w:name="_Toc73521675"/>
      <w:bookmarkStart w:id="77" w:name="_Toc73517680"/>
      <w:bookmarkStart w:id="78" w:name="_Toc73518158"/>
      <w:bookmarkStart w:id="79" w:name="_Toc100052409"/>
      <w:r>
        <w:rPr>
          <w:rFonts w:hint="eastAsia" w:ascii="黑体" w:hAnsi="宋体" w:eastAsia="黑体"/>
          <w:sz w:val="24"/>
        </w:rPr>
        <w:t>44．</w:t>
      </w:r>
      <w:bookmarkEnd w:id="75"/>
      <w:bookmarkEnd w:id="76"/>
      <w:bookmarkEnd w:id="77"/>
      <w:bookmarkEnd w:id="78"/>
      <w:bookmarkEnd w:id="79"/>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80" w:name="_Toc73518160"/>
      <w:bookmarkStart w:id="81" w:name="_Toc73521589"/>
      <w:bookmarkStart w:id="82" w:name="_Toc73517682"/>
      <w:bookmarkStart w:id="83" w:name="_Toc100052410"/>
      <w:bookmarkStart w:id="84" w:name="_Toc73521677"/>
      <w:r>
        <w:rPr>
          <w:rFonts w:hint="eastAsia" w:ascii="黑体" w:hAnsi="宋体" w:eastAsia="黑体"/>
          <w:sz w:val="24"/>
        </w:rPr>
        <w:t>45．合同的签订</w:t>
      </w:r>
      <w:bookmarkEnd w:id="80"/>
      <w:bookmarkEnd w:id="81"/>
      <w:bookmarkEnd w:id="82"/>
      <w:bookmarkEnd w:id="83"/>
      <w:bookmarkEnd w:id="84"/>
    </w:p>
    <w:p>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85" w:name="_Toc73517683"/>
      <w:bookmarkStart w:id="86" w:name="_Toc73518161"/>
      <w:bookmarkStart w:id="87" w:name="_Toc73521678"/>
      <w:bookmarkStart w:id="88" w:name="_Toc73521590"/>
      <w:bookmarkStart w:id="89" w:name="_Toc100052411"/>
      <w:r>
        <w:rPr>
          <w:rFonts w:hint="eastAsia" w:ascii="黑体" w:hAnsi="宋体" w:eastAsia="黑体"/>
          <w:sz w:val="24"/>
        </w:rPr>
        <w:t>46．履约担保</w:t>
      </w:r>
      <w:bookmarkEnd w:id="85"/>
      <w:bookmarkEnd w:id="86"/>
      <w:bookmarkEnd w:id="87"/>
      <w:bookmarkEnd w:id="88"/>
      <w:bookmarkEnd w:id="89"/>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0" w:name="_Hlk72440769"/>
      <w:r>
        <w:rPr>
          <w:rFonts w:hint="eastAsia" w:ascii="宋体" w:hAnsi="宋体"/>
          <w:szCs w:val="21"/>
        </w:rPr>
        <w:t>政府集中采购机构或采购人不予退还其交纳的谈判保证金，情节严重的，并由主管部门</w:t>
      </w:r>
      <w:bookmarkEnd w:id="90"/>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4"/>
    <w:p>
      <w:pPr>
        <w:pStyle w:val="7"/>
        <w:numPr>
          <w:ilvl w:val="0"/>
          <w:numId w:val="6"/>
        </w:numPr>
        <w:spacing w:before="156" w:beforeLines="50" w:after="156" w:afterLines="50"/>
        <w:ind w:left="562" w:hanging="562"/>
        <w:rPr>
          <w:sz w:val="28"/>
          <w:szCs w:val="28"/>
        </w:rPr>
      </w:pPr>
      <w:r>
        <w:rPr>
          <w:rFonts w:hint="eastAsia"/>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91" w:name="_Hlk75374941"/>
      <w:r>
        <w:rPr>
          <w:rFonts w:hint="eastAsia" w:ascii="宋体" w:hAnsi="宋体"/>
          <w:szCs w:val="21"/>
        </w:rPr>
        <w:t>以联合体形式参与的，质疑应当由组成联合体的所有成员共同提出</w:t>
      </w:r>
      <w:bookmarkEnd w:id="91"/>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38"/>
    </w:p>
    <w:p>
      <w:pPr>
        <w:rPr>
          <w:b/>
          <w:color w:val="FF0000"/>
          <w:sz w:val="52"/>
          <w:szCs w:val="52"/>
        </w:rPr>
      </w:pPr>
    </w:p>
    <w:p>
      <w:pPr>
        <w:rPr>
          <w:rFonts w:hint="eastAsia" w:ascii="宋体" w:hAnsi="宋体" w:eastAsia="黑体" w:cs="Times New Roman"/>
          <w:b/>
          <w:bCs/>
          <w:color w:val="0000FF"/>
          <w:kern w:val="44"/>
          <w:sz w:val="36"/>
          <w:szCs w:val="44"/>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H Yb 2gj">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t xml:space="preserve">- </w:t>
    </w:r>
    <w:r>
      <w:fldChar w:fldCharType="begin"/>
    </w:r>
    <w:r>
      <w:instrText xml:space="preserve"> PAGE </w:instrText>
    </w:r>
    <w:r>
      <w:fldChar w:fldCharType="separate"/>
    </w:r>
    <w:r>
      <w:t>29</w:t>
    </w:r>
    <w:r>
      <w:fldChar w:fldCharType="end"/>
    </w:r>
    <w:r>
      <w:t xml:space="preserve"> -</w: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pPr>
          <w:pStyle w:val="14"/>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4"/>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C7B3D"/>
    <w:multiLevelType w:val="singleLevel"/>
    <w:tmpl w:val="8C1C7B3D"/>
    <w:lvl w:ilvl="0" w:tentative="0">
      <w:start w:val="1"/>
      <w:numFmt w:val="chineseCounting"/>
      <w:suff w:val="nothing"/>
      <w:lvlText w:val="（%1）"/>
      <w:lvlJc w:val="left"/>
      <w:rPr>
        <w:rFonts w:hint="eastAsia"/>
        <w:b/>
        <w:bCs/>
      </w:rPr>
    </w:lvl>
  </w:abstractNum>
  <w:abstractNum w:abstractNumId="1">
    <w:nsid w:val="A702A6DD"/>
    <w:multiLevelType w:val="singleLevel"/>
    <w:tmpl w:val="A702A6DD"/>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B21FA6B"/>
    <w:multiLevelType w:val="singleLevel"/>
    <w:tmpl w:val="BB21FA6B"/>
    <w:lvl w:ilvl="0" w:tentative="0">
      <w:start w:val="4"/>
      <w:numFmt w:val="chineseCounting"/>
      <w:suff w:val="nothing"/>
      <w:lvlText w:val="%1、"/>
      <w:lvlJc w:val="left"/>
      <w:rPr>
        <w:rFonts w:hint="eastAsia"/>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383"/>
    <w:rsid w:val="000227FD"/>
    <w:rsid w:val="00024DCF"/>
    <w:rsid w:val="00027E40"/>
    <w:rsid w:val="00030B9F"/>
    <w:rsid w:val="00030F85"/>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4CA2"/>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E7E22"/>
    <w:rsid w:val="004F1DAC"/>
    <w:rsid w:val="00501787"/>
    <w:rsid w:val="00501E4E"/>
    <w:rsid w:val="005038E9"/>
    <w:rsid w:val="00506897"/>
    <w:rsid w:val="00511618"/>
    <w:rsid w:val="00516147"/>
    <w:rsid w:val="0051673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025"/>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2791C"/>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26F82"/>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011"/>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2D76"/>
    <w:rsid w:val="00D3713E"/>
    <w:rsid w:val="00D40D69"/>
    <w:rsid w:val="00D43946"/>
    <w:rsid w:val="00D463F3"/>
    <w:rsid w:val="00D46E2E"/>
    <w:rsid w:val="00D526AB"/>
    <w:rsid w:val="00D54B44"/>
    <w:rsid w:val="00D559A3"/>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1A5D"/>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6F24"/>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068"/>
    <w:rsid w:val="00F035C6"/>
    <w:rsid w:val="00F04A50"/>
    <w:rsid w:val="00F0516B"/>
    <w:rsid w:val="00F05E51"/>
    <w:rsid w:val="00F0669D"/>
    <w:rsid w:val="00F17533"/>
    <w:rsid w:val="00F21003"/>
    <w:rsid w:val="00F211FE"/>
    <w:rsid w:val="00F21E92"/>
    <w:rsid w:val="00F238BB"/>
    <w:rsid w:val="00F23BD1"/>
    <w:rsid w:val="00F246C6"/>
    <w:rsid w:val="00F361B8"/>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2922"/>
    <w:rsid w:val="00F940B3"/>
    <w:rsid w:val="00F95BD0"/>
    <w:rsid w:val="00FA593E"/>
    <w:rsid w:val="00FB3604"/>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2F01BF"/>
    <w:rsid w:val="0293255D"/>
    <w:rsid w:val="02987B74"/>
    <w:rsid w:val="02E25F12"/>
    <w:rsid w:val="030516AD"/>
    <w:rsid w:val="038A3F97"/>
    <w:rsid w:val="03993BA4"/>
    <w:rsid w:val="03A66B69"/>
    <w:rsid w:val="03E017D2"/>
    <w:rsid w:val="042C4F6C"/>
    <w:rsid w:val="04446205"/>
    <w:rsid w:val="047255F5"/>
    <w:rsid w:val="048C54B6"/>
    <w:rsid w:val="049A4077"/>
    <w:rsid w:val="04DF113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52801"/>
    <w:rsid w:val="0A670558"/>
    <w:rsid w:val="0AC504CF"/>
    <w:rsid w:val="0AD31B13"/>
    <w:rsid w:val="0B1F1512"/>
    <w:rsid w:val="0B5C3158"/>
    <w:rsid w:val="0B845139"/>
    <w:rsid w:val="0B913B41"/>
    <w:rsid w:val="0BB023D2"/>
    <w:rsid w:val="0BC027C4"/>
    <w:rsid w:val="0BC750CE"/>
    <w:rsid w:val="0BE16F32"/>
    <w:rsid w:val="0BEA5DBA"/>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F142273"/>
    <w:rsid w:val="0F3159A2"/>
    <w:rsid w:val="0F5B4403"/>
    <w:rsid w:val="0F5D008C"/>
    <w:rsid w:val="0F6627A1"/>
    <w:rsid w:val="0F9A5CF8"/>
    <w:rsid w:val="0FD3114F"/>
    <w:rsid w:val="0FEE5EBF"/>
    <w:rsid w:val="108300B5"/>
    <w:rsid w:val="108654B0"/>
    <w:rsid w:val="108C64EF"/>
    <w:rsid w:val="1097590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2CF29C5"/>
    <w:rsid w:val="12F0143E"/>
    <w:rsid w:val="13280779"/>
    <w:rsid w:val="134F24D1"/>
    <w:rsid w:val="13AA7707"/>
    <w:rsid w:val="13FF3EF7"/>
    <w:rsid w:val="144E2788"/>
    <w:rsid w:val="14806439"/>
    <w:rsid w:val="149C1746"/>
    <w:rsid w:val="14E4477F"/>
    <w:rsid w:val="14EE6121"/>
    <w:rsid w:val="15BD1BCA"/>
    <w:rsid w:val="15FB113C"/>
    <w:rsid w:val="16105DC5"/>
    <w:rsid w:val="166E7112"/>
    <w:rsid w:val="16730284"/>
    <w:rsid w:val="16753FFC"/>
    <w:rsid w:val="16B965DF"/>
    <w:rsid w:val="16E87061"/>
    <w:rsid w:val="170E68D9"/>
    <w:rsid w:val="1741793A"/>
    <w:rsid w:val="1743234C"/>
    <w:rsid w:val="174B2FAF"/>
    <w:rsid w:val="17933E49"/>
    <w:rsid w:val="17966F3F"/>
    <w:rsid w:val="179901BE"/>
    <w:rsid w:val="17B13853"/>
    <w:rsid w:val="17C24EE1"/>
    <w:rsid w:val="17C27715"/>
    <w:rsid w:val="17C57205"/>
    <w:rsid w:val="17E4768B"/>
    <w:rsid w:val="17FC3BA5"/>
    <w:rsid w:val="182513C0"/>
    <w:rsid w:val="18397E11"/>
    <w:rsid w:val="1866546A"/>
    <w:rsid w:val="18735E22"/>
    <w:rsid w:val="18B53CA5"/>
    <w:rsid w:val="194505FE"/>
    <w:rsid w:val="19687E48"/>
    <w:rsid w:val="196B1CEA"/>
    <w:rsid w:val="198E1EAE"/>
    <w:rsid w:val="19E05949"/>
    <w:rsid w:val="19FB3499"/>
    <w:rsid w:val="1A24288D"/>
    <w:rsid w:val="1A9A110C"/>
    <w:rsid w:val="1B1B5294"/>
    <w:rsid w:val="1B356450"/>
    <w:rsid w:val="1B434F04"/>
    <w:rsid w:val="1B9C14FB"/>
    <w:rsid w:val="1BEB4F4B"/>
    <w:rsid w:val="1BEF4851"/>
    <w:rsid w:val="1BEF65FF"/>
    <w:rsid w:val="1BFE3C79"/>
    <w:rsid w:val="1C2C01A7"/>
    <w:rsid w:val="1C3154D0"/>
    <w:rsid w:val="1C326E0B"/>
    <w:rsid w:val="1C4F3541"/>
    <w:rsid w:val="1C584649"/>
    <w:rsid w:val="1C792E22"/>
    <w:rsid w:val="1CB01607"/>
    <w:rsid w:val="1CB57848"/>
    <w:rsid w:val="1CBF2475"/>
    <w:rsid w:val="1CF4323C"/>
    <w:rsid w:val="1D26253E"/>
    <w:rsid w:val="1D2D5631"/>
    <w:rsid w:val="1D345E0F"/>
    <w:rsid w:val="1D581D92"/>
    <w:rsid w:val="1D880AB9"/>
    <w:rsid w:val="1DAE2109"/>
    <w:rsid w:val="1DB9452C"/>
    <w:rsid w:val="1DDE5424"/>
    <w:rsid w:val="1DE33F41"/>
    <w:rsid w:val="1DE71C83"/>
    <w:rsid w:val="1E206809"/>
    <w:rsid w:val="1E210E91"/>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CB63E2"/>
    <w:rsid w:val="21DF0EC4"/>
    <w:rsid w:val="221C055F"/>
    <w:rsid w:val="223A4029"/>
    <w:rsid w:val="22525E8C"/>
    <w:rsid w:val="228D0920"/>
    <w:rsid w:val="22F26118"/>
    <w:rsid w:val="230A7A8F"/>
    <w:rsid w:val="23290736"/>
    <w:rsid w:val="23362D65"/>
    <w:rsid w:val="236E5E5F"/>
    <w:rsid w:val="2378337E"/>
    <w:rsid w:val="239A32F4"/>
    <w:rsid w:val="23A61C99"/>
    <w:rsid w:val="23C5440E"/>
    <w:rsid w:val="23F30C56"/>
    <w:rsid w:val="23F97868"/>
    <w:rsid w:val="24266C7C"/>
    <w:rsid w:val="244A2F6C"/>
    <w:rsid w:val="246A64EC"/>
    <w:rsid w:val="248E0882"/>
    <w:rsid w:val="24AB04CD"/>
    <w:rsid w:val="24B85FE4"/>
    <w:rsid w:val="24D67678"/>
    <w:rsid w:val="251417B8"/>
    <w:rsid w:val="2524556B"/>
    <w:rsid w:val="252E63EA"/>
    <w:rsid w:val="25440C67"/>
    <w:rsid w:val="25493224"/>
    <w:rsid w:val="25551BC9"/>
    <w:rsid w:val="256533FF"/>
    <w:rsid w:val="25714E00"/>
    <w:rsid w:val="25A53D6F"/>
    <w:rsid w:val="25A832FF"/>
    <w:rsid w:val="25E847EB"/>
    <w:rsid w:val="2623053C"/>
    <w:rsid w:val="265557EF"/>
    <w:rsid w:val="267047E0"/>
    <w:rsid w:val="26793FA2"/>
    <w:rsid w:val="26EA5477"/>
    <w:rsid w:val="270F7B55"/>
    <w:rsid w:val="272532E2"/>
    <w:rsid w:val="273B6B9C"/>
    <w:rsid w:val="27427F2B"/>
    <w:rsid w:val="276918C6"/>
    <w:rsid w:val="276C3345"/>
    <w:rsid w:val="276F2332"/>
    <w:rsid w:val="27857F9B"/>
    <w:rsid w:val="2795721C"/>
    <w:rsid w:val="27A13D6B"/>
    <w:rsid w:val="27A641C3"/>
    <w:rsid w:val="27A6670B"/>
    <w:rsid w:val="27C546B8"/>
    <w:rsid w:val="27FC4433"/>
    <w:rsid w:val="282633A8"/>
    <w:rsid w:val="284461F5"/>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930A9D"/>
    <w:rsid w:val="2A967EB2"/>
    <w:rsid w:val="2AD417E1"/>
    <w:rsid w:val="2B065713"/>
    <w:rsid w:val="2B0D2CED"/>
    <w:rsid w:val="2B1B58EB"/>
    <w:rsid w:val="2B2871E7"/>
    <w:rsid w:val="2B9057FA"/>
    <w:rsid w:val="2BA9299F"/>
    <w:rsid w:val="2BF832AE"/>
    <w:rsid w:val="2BFE65C2"/>
    <w:rsid w:val="2C02412C"/>
    <w:rsid w:val="2C1665B8"/>
    <w:rsid w:val="2C295297"/>
    <w:rsid w:val="2C493B09"/>
    <w:rsid w:val="2C6E17C2"/>
    <w:rsid w:val="2C7C350C"/>
    <w:rsid w:val="2D205D35"/>
    <w:rsid w:val="2D7F69DE"/>
    <w:rsid w:val="2DB16F26"/>
    <w:rsid w:val="2DB3388B"/>
    <w:rsid w:val="2DC0604D"/>
    <w:rsid w:val="2DCA6ECC"/>
    <w:rsid w:val="2E0A056F"/>
    <w:rsid w:val="2E815E80"/>
    <w:rsid w:val="2E954277"/>
    <w:rsid w:val="2ED53A12"/>
    <w:rsid w:val="2EDF69A7"/>
    <w:rsid w:val="2EE04960"/>
    <w:rsid w:val="2F1A79DF"/>
    <w:rsid w:val="2F2A413F"/>
    <w:rsid w:val="2F363171"/>
    <w:rsid w:val="2F487431"/>
    <w:rsid w:val="30311375"/>
    <w:rsid w:val="30473F91"/>
    <w:rsid w:val="306058C5"/>
    <w:rsid w:val="306764A5"/>
    <w:rsid w:val="30B023A9"/>
    <w:rsid w:val="30B919B9"/>
    <w:rsid w:val="30C714A1"/>
    <w:rsid w:val="311772A4"/>
    <w:rsid w:val="31186537"/>
    <w:rsid w:val="318C72AE"/>
    <w:rsid w:val="31B92B8B"/>
    <w:rsid w:val="31F17AA2"/>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34153"/>
    <w:rsid w:val="355E745E"/>
    <w:rsid w:val="359202CF"/>
    <w:rsid w:val="359758E5"/>
    <w:rsid w:val="359D5EEA"/>
    <w:rsid w:val="35BA1D81"/>
    <w:rsid w:val="35D02BA5"/>
    <w:rsid w:val="35D46B3A"/>
    <w:rsid w:val="35E8637E"/>
    <w:rsid w:val="35FC7E3E"/>
    <w:rsid w:val="361B0127"/>
    <w:rsid w:val="363C3B17"/>
    <w:rsid w:val="36474247"/>
    <w:rsid w:val="365612FD"/>
    <w:rsid w:val="3677309A"/>
    <w:rsid w:val="36AD2EE7"/>
    <w:rsid w:val="36F40B16"/>
    <w:rsid w:val="370C52DF"/>
    <w:rsid w:val="370C5E5F"/>
    <w:rsid w:val="374B6987"/>
    <w:rsid w:val="374D6BA3"/>
    <w:rsid w:val="374D74A9"/>
    <w:rsid w:val="375A306E"/>
    <w:rsid w:val="37AA6440"/>
    <w:rsid w:val="37AF0A14"/>
    <w:rsid w:val="37CE1367"/>
    <w:rsid w:val="37D746BF"/>
    <w:rsid w:val="37E528A4"/>
    <w:rsid w:val="38085F26"/>
    <w:rsid w:val="38426065"/>
    <w:rsid w:val="384A0187"/>
    <w:rsid w:val="38C84008"/>
    <w:rsid w:val="38CA5FD2"/>
    <w:rsid w:val="38EB0F04"/>
    <w:rsid w:val="39052D3A"/>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77944"/>
    <w:rsid w:val="3B5D4EDB"/>
    <w:rsid w:val="3B81506E"/>
    <w:rsid w:val="3BA60D07"/>
    <w:rsid w:val="3BA6272A"/>
    <w:rsid w:val="3BB22833"/>
    <w:rsid w:val="3BC4775F"/>
    <w:rsid w:val="3BE27C97"/>
    <w:rsid w:val="3BE473AB"/>
    <w:rsid w:val="3BFB1F35"/>
    <w:rsid w:val="3C9A513B"/>
    <w:rsid w:val="3CCD2793"/>
    <w:rsid w:val="3CEB06BB"/>
    <w:rsid w:val="3CFA57E4"/>
    <w:rsid w:val="3D0221DE"/>
    <w:rsid w:val="3D1E60DF"/>
    <w:rsid w:val="3DE2791A"/>
    <w:rsid w:val="3E053B4B"/>
    <w:rsid w:val="3E151A9D"/>
    <w:rsid w:val="3E375EB7"/>
    <w:rsid w:val="3E38205E"/>
    <w:rsid w:val="3E927592"/>
    <w:rsid w:val="3E9E5F37"/>
    <w:rsid w:val="3EA47C68"/>
    <w:rsid w:val="3ED03C16"/>
    <w:rsid w:val="3EEB27FE"/>
    <w:rsid w:val="3EF25F54"/>
    <w:rsid w:val="3F3423F7"/>
    <w:rsid w:val="3F8E1B07"/>
    <w:rsid w:val="40161AFD"/>
    <w:rsid w:val="401D10DD"/>
    <w:rsid w:val="403326AF"/>
    <w:rsid w:val="408B6047"/>
    <w:rsid w:val="40AF442B"/>
    <w:rsid w:val="40E165AE"/>
    <w:rsid w:val="411C75E7"/>
    <w:rsid w:val="41540B2E"/>
    <w:rsid w:val="415E333C"/>
    <w:rsid w:val="418F600A"/>
    <w:rsid w:val="419B5FD1"/>
    <w:rsid w:val="419E1DAA"/>
    <w:rsid w:val="420D5851"/>
    <w:rsid w:val="422B6F8D"/>
    <w:rsid w:val="424B3CDF"/>
    <w:rsid w:val="426D19F0"/>
    <w:rsid w:val="42D31F27"/>
    <w:rsid w:val="42D33CD5"/>
    <w:rsid w:val="42FC5208"/>
    <w:rsid w:val="43341596"/>
    <w:rsid w:val="436F7EA2"/>
    <w:rsid w:val="43860D47"/>
    <w:rsid w:val="43ED0DC6"/>
    <w:rsid w:val="43F85357"/>
    <w:rsid w:val="43FB4652"/>
    <w:rsid w:val="43FF1225"/>
    <w:rsid w:val="4410457F"/>
    <w:rsid w:val="44265D5C"/>
    <w:rsid w:val="443F242D"/>
    <w:rsid w:val="445F4788"/>
    <w:rsid w:val="449633BF"/>
    <w:rsid w:val="44B32884"/>
    <w:rsid w:val="44D61B0B"/>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EE2C0F"/>
    <w:rsid w:val="46F84891"/>
    <w:rsid w:val="46FE4779"/>
    <w:rsid w:val="473A07C7"/>
    <w:rsid w:val="47474F00"/>
    <w:rsid w:val="47762C36"/>
    <w:rsid w:val="477C0DDF"/>
    <w:rsid w:val="480212E4"/>
    <w:rsid w:val="482B73A4"/>
    <w:rsid w:val="48AA1091"/>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392112"/>
    <w:rsid w:val="4D461C73"/>
    <w:rsid w:val="4D6A1826"/>
    <w:rsid w:val="4DB7789D"/>
    <w:rsid w:val="4E092CA1"/>
    <w:rsid w:val="4E111A5A"/>
    <w:rsid w:val="4E345F70"/>
    <w:rsid w:val="4E4156DB"/>
    <w:rsid w:val="4E93713A"/>
    <w:rsid w:val="4EA5427A"/>
    <w:rsid w:val="4F1456D4"/>
    <w:rsid w:val="4F754A92"/>
    <w:rsid w:val="4F9905AE"/>
    <w:rsid w:val="4FC33F25"/>
    <w:rsid w:val="4FD001C7"/>
    <w:rsid w:val="4FFF6109"/>
    <w:rsid w:val="500B71A4"/>
    <w:rsid w:val="501231C1"/>
    <w:rsid w:val="502E60F8"/>
    <w:rsid w:val="50334005"/>
    <w:rsid w:val="50526EA3"/>
    <w:rsid w:val="50572C95"/>
    <w:rsid w:val="505E4B9C"/>
    <w:rsid w:val="50A30487"/>
    <w:rsid w:val="50DD1804"/>
    <w:rsid w:val="51A52CE0"/>
    <w:rsid w:val="520D262F"/>
    <w:rsid w:val="521102F7"/>
    <w:rsid w:val="52195EFA"/>
    <w:rsid w:val="529674E9"/>
    <w:rsid w:val="52B1378F"/>
    <w:rsid w:val="535D3873"/>
    <w:rsid w:val="535D7DB8"/>
    <w:rsid w:val="53876B42"/>
    <w:rsid w:val="53C9097C"/>
    <w:rsid w:val="54153BAB"/>
    <w:rsid w:val="541908DA"/>
    <w:rsid w:val="543E18F6"/>
    <w:rsid w:val="546B1FBF"/>
    <w:rsid w:val="54996B2C"/>
    <w:rsid w:val="54FA7CE1"/>
    <w:rsid w:val="550A7A2A"/>
    <w:rsid w:val="55434EEF"/>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94AC1"/>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9C8232E"/>
    <w:rsid w:val="59F15916"/>
    <w:rsid w:val="5A0714B5"/>
    <w:rsid w:val="5A564466"/>
    <w:rsid w:val="5A902780"/>
    <w:rsid w:val="5A9F4737"/>
    <w:rsid w:val="5AAE2C06"/>
    <w:rsid w:val="5AE8436A"/>
    <w:rsid w:val="5AF80325"/>
    <w:rsid w:val="5B6339F0"/>
    <w:rsid w:val="5BF6561B"/>
    <w:rsid w:val="5BFA4C14"/>
    <w:rsid w:val="5C20557D"/>
    <w:rsid w:val="5C2A6C04"/>
    <w:rsid w:val="5C3543D2"/>
    <w:rsid w:val="5C406532"/>
    <w:rsid w:val="5C4E69BE"/>
    <w:rsid w:val="5CE36031"/>
    <w:rsid w:val="5CFC5838"/>
    <w:rsid w:val="5DB26EB1"/>
    <w:rsid w:val="5DBA559D"/>
    <w:rsid w:val="5DD85FC9"/>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0F6212A"/>
    <w:rsid w:val="61221DAA"/>
    <w:rsid w:val="61696F59"/>
    <w:rsid w:val="61D672CA"/>
    <w:rsid w:val="61E63AF5"/>
    <w:rsid w:val="626A2DAC"/>
    <w:rsid w:val="626F437F"/>
    <w:rsid w:val="62784498"/>
    <w:rsid w:val="62A86D6B"/>
    <w:rsid w:val="63293771"/>
    <w:rsid w:val="637C0DF3"/>
    <w:rsid w:val="637C7D45"/>
    <w:rsid w:val="639808F7"/>
    <w:rsid w:val="63EF1280"/>
    <w:rsid w:val="64565496"/>
    <w:rsid w:val="645F2960"/>
    <w:rsid w:val="64654C7D"/>
    <w:rsid w:val="646C7950"/>
    <w:rsid w:val="64BD496D"/>
    <w:rsid w:val="64BE25DF"/>
    <w:rsid w:val="64C44758"/>
    <w:rsid w:val="64F23CBA"/>
    <w:rsid w:val="64F93617"/>
    <w:rsid w:val="65246D5E"/>
    <w:rsid w:val="655D3BA6"/>
    <w:rsid w:val="65655387"/>
    <w:rsid w:val="659A6BA8"/>
    <w:rsid w:val="65A50F20"/>
    <w:rsid w:val="65E5510B"/>
    <w:rsid w:val="65EF58FA"/>
    <w:rsid w:val="65FE7BFD"/>
    <w:rsid w:val="668506C7"/>
    <w:rsid w:val="66AF4C3B"/>
    <w:rsid w:val="66EC6F90"/>
    <w:rsid w:val="66F2031E"/>
    <w:rsid w:val="676209A1"/>
    <w:rsid w:val="67AA7E58"/>
    <w:rsid w:val="67AB0BF9"/>
    <w:rsid w:val="67E662B3"/>
    <w:rsid w:val="68077DF9"/>
    <w:rsid w:val="680F6F74"/>
    <w:rsid w:val="682C0B73"/>
    <w:rsid w:val="68382663"/>
    <w:rsid w:val="686314D3"/>
    <w:rsid w:val="6888718C"/>
    <w:rsid w:val="68E5527F"/>
    <w:rsid w:val="69480F43"/>
    <w:rsid w:val="69551B89"/>
    <w:rsid w:val="69A578CA"/>
    <w:rsid w:val="6A3B384A"/>
    <w:rsid w:val="6A7343B6"/>
    <w:rsid w:val="6A9C03FA"/>
    <w:rsid w:val="6AB029CA"/>
    <w:rsid w:val="6AB40090"/>
    <w:rsid w:val="6ADE7537"/>
    <w:rsid w:val="6AE34B4E"/>
    <w:rsid w:val="6B1F6200"/>
    <w:rsid w:val="6B4A3375"/>
    <w:rsid w:val="6B825FC3"/>
    <w:rsid w:val="6B8359E9"/>
    <w:rsid w:val="6B842950"/>
    <w:rsid w:val="6B9D0892"/>
    <w:rsid w:val="6C613F7C"/>
    <w:rsid w:val="6C631880"/>
    <w:rsid w:val="6C634D45"/>
    <w:rsid w:val="6C6D16B4"/>
    <w:rsid w:val="6C806253"/>
    <w:rsid w:val="6CB542C8"/>
    <w:rsid w:val="6CD1227E"/>
    <w:rsid w:val="6CD74FCF"/>
    <w:rsid w:val="6CF748E0"/>
    <w:rsid w:val="6D15191A"/>
    <w:rsid w:val="6D52620C"/>
    <w:rsid w:val="6D7D3037"/>
    <w:rsid w:val="6D8E14DE"/>
    <w:rsid w:val="6D934609"/>
    <w:rsid w:val="6DAE50AD"/>
    <w:rsid w:val="6DD624F7"/>
    <w:rsid w:val="6DDA2238"/>
    <w:rsid w:val="6E0E1EE1"/>
    <w:rsid w:val="6E5A21EA"/>
    <w:rsid w:val="6EB8009F"/>
    <w:rsid w:val="6EC72090"/>
    <w:rsid w:val="6F0A3093"/>
    <w:rsid w:val="6F834B73"/>
    <w:rsid w:val="6F857F81"/>
    <w:rsid w:val="6F883155"/>
    <w:rsid w:val="6F9E1041"/>
    <w:rsid w:val="6FC6124D"/>
    <w:rsid w:val="6FC62348"/>
    <w:rsid w:val="6FE10E18"/>
    <w:rsid w:val="6FEC14A9"/>
    <w:rsid w:val="6FEC6252"/>
    <w:rsid w:val="702E23C7"/>
    <w:rsid w:val="70A15EF2"/>
    <w:rsid w:val="70C96037"/>
    <w:rsid w:val="70CB230C"/>
    <w:rsid w:val="71B752F6"/>
    <w:rsid w:val="721E46BD"/>
    <w:rsid w:val="72271FEC"/>
    <w:rsid w:val="722E41C4"/>
    <w:rsid w:val="72655E48"/>
    <w:rsid w:val="726C740A"/>
    <w:rsid w:val="72824C4C"/>
    <w:rsid w:val="728A3B01"/>
    <w:rsid w:val="72CD17D0"/>
    <w:rsid w:val="72D93738"/>
    <w:rsid w:val="72E25232"/>
    <w:rsid w:val="73434202"/>
    <w:rsid w:val="734819F2"/>
    <w:rsid w:val="734B5436"/>
    <w:rsid w:val="735B7378"/>
    <w:rsid w:val="737A608E"/>
    <w:rsid w:val="7396718F"/>
    <w:rsid w:val="73A806E2"/>
    <w:rsid w:val="73BC418E"/>
    <w:rsid w:val="741D2E7E"/>
    <w:rsid w:val="74484054"/>
    <w:rsid w:val="74A16CBA"/>
    <w:rsid w:val="74CB28DA"/>
    <w:rsid w:val="74D53759"/>
    <w:rsid w:val="74F33BDF"/>
    <w:rsid w:val="750556C0"/>
    <w:rsid w:val="752B5D11"/>
    <w:rsid w:val="752C70F1"/>
    <w:rsid w:val="75387844"/>
    <w:rsid w:val="753903C8"/>
    <w:rsid w:val="75CC2E8E"/>
    <w:rsid w:val="75DA0F18"/>
    <w:rsid w:val="75DC4AB5"/>
    <w:rsid w:val="75EF406B"/>
    <w:rsid w:val="76391AC6"/>
    <w:rsid w:val="763B17B3"/>
    <w:rsid w:val="765B7C8E"/>
    <w:rsid w:val="76707B96"/>
    <w:rsid w:val="76726D86"/>
    <w:rsid w:val="768D36C7"/>
    <w:rsid w:val="76A85AB4"/>
    <w:rsid w:val="76C12BCB"/>
    <w:rsid w:val="76C3504D"/>
    <w:rsid w:val="76D045C7"/>
    <w:rsid w:val="770422FE"/>
    <w:rsid w:val="7714428A"/>
    <w:rsid w:val="774268D5"/>
    <w:rsid w:val="7746449A"/>
    <w:rsid w:val="775546DD"/>
    <w:rsid w:val="778C3E77"/>
    <w:rsid w:val="7796215A"/>
    <w:rsid w:val="77E31CE9"/>
    <w:rsid w:val="783356DC"/>
    <w:rsid w:val="78376C25"/>
    <w:rsid w:val="785B7ACE"/>
    <w:rsid w:val="78746DE5"/>
    <w:rsid w:val="789932F4"/>
    <w:rsid w:val="78A72AF0"/>
    <w:rsid w:val="78A8319C"/>
    <w:rsid w:val="790F6B0E"/>
    <w:rsid w:val="79134850"/>
    <w:rsid w:val="791F507F"/>
    <w:rsid w:val="79200163"/>
    <w:rsid w:val="79261AEA"/>
    <w:rsid w:val="7956473D"/>
    <w:rsid w:val="798661F3"/>
    <w:rsid w:val="7989385B"/>
    <w:rsid w:val="799314ED"/>
    <w:rsid w:val="79DC4F1F"/>
    <w:rsid w:val="79EE2C15"/>
    <w:rsid w:val="7A0B3162"/>
    <w:rsid w:val="7A6C7707"/>
    <w:rsid w:val="7A7206F1"/>
    <w:rsid w:val="7AA46F38"/>
    <w:rsid w:val="7B467F1D"/>
    <w:rsid w:val="7BA7772C"/>
    <w:rsid w:val="7BAB331D"/>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5"/>
    <w:next w:val="1"/>
    <w:link w:val="38"/>
    <w:qFormat/>
    <w:uiPriority w:val="0"/>
    <w:pPr>
      <w:keepNext/>
      <w:keepLines/>
      <w:spacing w:before="340" w:afterLines="25" w:line="578" w:lineRule="auto"/>
      <w:outlineLvl w:val="0"/>
    </w:pPr>
    <w:rPr>
      <w:rFonts w:ascii="Arial" w:hAnsi="Arial" w:eastAsia="宋体" w:cs="Times New Roman"/>
      <w:kern w:val="44"/>
      <w:sz w:val="44"/>
      <w:szCs w:val="44"/>
    </w:rPr>
  </w:style>
  <w:style w:type="paragraph" w:styleId="7">
    <w:name w:val="heading 2"/>
    <w:basedOn w:val="1"/>
    <w:next w:val="1"/>
    <w:link w:val="41"/>
    <w:semiHidden/>
    <w:unhideWhenUsed/>
    <w:qFormat/>
    <w:uiPriority w:val="9"/>
    <w:pPr>
      <w:spacing w:line="416" w:lineRule="auto"/>
      <w:outlineLvl w:val="1"/>
    </w:pPr>
    <w:rPr>
      <w:rFonts w:asciiTheme="majorHAnsi" w:hAnsiTheme="majorHAnsi" w:eastAsiaTheme="majorEastAsia" w:cstheme="majorBidi"/>
      <w:sz w:val="32"/>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8">
    <w:name w:val="Normal Indent"/>
    <w:basedOn w:val="1"/>
    <w:next w:val="2"/>
    <w:qFormat/>
    <w:uiPriority w:val="0"/>
    <w:pPr>
      <w:ind w:firstLine="420"/>
    </w:pPr>
    <w:rPr>
      <w:szCs w:val="20"/>
    </w:rPr>
  </w:style>
  <w:style w:type="paragraph" w:styleId="9">
    <w:name w:val="Document Map"/>
    <w:basedOn w:val="1"/>
    <w:link w:val="40"/>
    <w:semiHidden/>
    <w:unhideWhenUsed/>
    <w:qFormat/>
    <w:uiPriority w:val="99"/>
    <w:rPr>
      <w:rFonts w:ascii="宋体" w:eastAsia="宋体"/>
      <w:sz w:val="18"/>
      <w:szCs w:val="18"/>
    </w:rPr>
  </w:style>
  <w:style w:type="paragraph" w:styleId="10">
    <w:name w:val="annotation text"/>
    <w:basedOn w:val="1"/>
    <w:link w:val="42"/>
    <w:unhideWhenUsed/>
    <w:qFormat/>
    <w:uiPriority w:val="99"/>
    <w:pPr>
      <w:jc w:val="left"/>
    </w:pPr>
  </w:style>
  <w:style w:type="paragraph" w:styleId="11">
    <w:name w:val="Plain Text"/>
    <w:basedOn w:val="1"/>
    <w:next w:val="12"/>
    <w:qFormat/>
    <w:uiPriority w:val="99"/>
    <w:rPr>
      <w:rFonts w:ascii="宋体" w:hAnsi="Courier New"/>
      <w:szCs w:val="20"/>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6"/>
    <w:semiHidden/>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Body Text 2"/>
    <w:basedOn w:val="1"/>
    <w:qFormat/>
    <w:uiPriority w:val="0"/>
    <w:pPr>
      <w:spacing w:line="360" w:lineRule="auto"/>
    </w:pPr>
    <w:rPr>
      <w:sz w:val="24"/>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link w:val="37"/>
    <w:qFormat/>
    <w:uiPriority w:val="99"/>
    <w:pPr>
      <w:widowControl/>
      <w:spacing w:before="100" w:beforeAutospacing="1" w:afterAutospacing="1"/>
      <w:jc w:val="left"/>
    </w:pPr>
    <w:rPr>
      <w:rFonts w:ascii="宋体" w:hAnsi="宋体"/>
      <w:sz w:val="24"/>
      <w:szCs w:val="24"/>
    </w:rPr>
  </w:style>
  <w:style w:type="paragraph" w:styleId="20">
    <w:name w:val="annotation subject"/>
    <w:basedOn w:val="10"/>
    <w:next w:val="10"/>
    <w:link w:val="43"/>
    <w:semiHidden/>
    <w:unhideWhenUsed/>
    <w:qFormat/>
    <w:uiPriority w:val="99"/>
    <w:rPr>
      <w:b/>
      <w:bCs/>
    </w:rPr>
  </w:style>
  <w:style w:type="paragraph" w:styleId="21">
    <w:name w:val="Body Text First Indent"/>
    <w:basedOn w:val="2"/>
    <w:qFormat/>
    <w:uiPriority w:val="0"/>
    <w:pPr>
      <w:spacing w:after="120" w:line="240" w:lineRule="auto"/>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styleId="29">
    <w:name w:val="annotation reference"/>
    <w:basedOn w:val="24"/>
    <w:semiHidden/>
    <w:unhideWhenUsed/>
    <w:qFormat/>
    <w:uiPriority w:val="99"/>
    <w:rPr>
      <w:sz w:val="21"/>
      <w:szCs w:val="21"/>
    </w:rPr>
  </w:style>
  <w:style w:type="paragraph" w:styleId="30">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31">
    <w:name w:val="标题 3 Char"/>
    <w:qFormat/>
    <w:uiPriority w:val="0"/>
    <w:rPr>
      <w:rFonts w:ascii="黑体" w:eastAsia="黑体"/>
      <w:bCs/>
      <w:sz w:val="3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
    <w:name w:val="正文内容格式"/>
    <w:basedOn w:val="1"/>
    <w:qFormat/>
    <w:uiPriority w:val="0"/>
    <w:pPr>
      <w:widowControl/>
      <w:ind w:firstLine="482"/>
      <w:textAlignment w:val="baseline"/>
    </w:pPr>
    <w:rPr>
      <w:rFonts w:eastAsia="仿宋_GB2312"/>
      <w:kern w:val="0"/>
      <w:sz w:val="28"/>
    </w:rPr>
  </w:style>
  <w:style w:type="character" w:customStyle="1" w:styleId="34">
    <w:name w:val="页眉 字符"/>
    <w:basedOn w:val="24"/>
    <w:link w:val="15"/>
    <w:qFormat/>
    <w:uiPriority w:val="99"/>
    <w:rPr>
      <w:sz w:val="18"/>
      <w:szCs w:val="18"/>
    </w:rPr>
  </w:style>
  <w:style w:type="character" w:customStyle="1" w:styleId="35">
    <w:name w:val="页脚 字符"/>
    <w:basedOn w:val="24"/>
    <w:link w:val="14"/>
    <w:qFormat/>
    <w:uiPriority w:val="99"/>
    <w:rPr>
      <w:sz w:val="18"/>
      <w:szCs w:val="18"/>
    </w:rPr>
  </w:style>
  <w:style w:type="character" w:customStyle="1" w:styleId="36">
    <w:name w:val="批注框文本 字符"/>
    <w:basedOn w:val="24"/>
    <w:link w:val="13"/>
    <w:semiHidden/>
    <w:qFormat/>
    <w:uiPriority w:val="99"/>
    <w:rPr>
      <w:sz w:val="18"/>
      <w:szCs w:val="18"/>
    </w:rPr>
  </w:style>
  <w:style w:type="character" w:customStyle="1" w:styleId="37">
    <w:name w:val="普通(网站) 字符"/>
    <w:link w:val="19"/>
    <w:qFormat/>
    <w:uiPriority w:val="99"/>
    <w:rPr>
      <w:rFonts w:ascii="宋体" w:hAnsi="宋体"/>
      <w:sz w:val="24"/>
      <w:szCs w:val="24"/>
    </w:rPr>
  </w:style>
  <w:style w:type="character" w:customStyle="1" w:styleId="38">
    <w:name w:val="标题 1 字符"/>
    <w:basedOn w:val="24"/>
    <w:link w:val="4"/>
    <w:qFormat/>
    <w:uiPriority w:val="0"/>
    <w:rPr>
      <w:rFonts w:ascii="Arial" w:hAnsi="Arial" w:eastAsia="宋体" w:cs="Times New Roman"/>
      <w:b/>
      <w:bCs/>
      <w:kern w:val="44"/>
      <w:sz w:val="44"/>
      <w:szCs w:val="44"/>
    </w:rPr>
  </w:style>
  <w:style w:type="paragraph" w:styleId="39">
    <w:name w:val="List Paragraph"/>
    <w:basedOn w:val="1"/>
    <w:qFormat/>
    <w:uiPriority w:val="34"/>
    <w:pPr>
      <w:ind w:firstLine="420" w:firstLineChars="200"/>
    </w:pPr>
  </w:style>
  <w:style w:type="character" w:customStyle="1" w:styleId="40">
    <w:name w:val="文档结构图 字符"/>
    <w:basedOn w:val="24"/>
    <w:link w:val="9"/>
    <w:semiHidden/>
    <w:qFormat/>
    <w:uiPriority w:val="99"/>
    <w:rPr>
      <w:rFonts w:ascii="宋体" w:eastAsia="宋体"/>
      <w:sz w:val="18"/>
      <w:szCs w:val="18"/>
    </w:rPr>
  </w:style>
  <w:style w:type="character" w:customStyle="1" w:styleId="41">
    <w:name w:val="标题 2 字符"/>
    <w:basedOn w:val="24"/>
    <w:link w:val="7"/>
    <w:semiHidden/>
    <w:qFormat/>
    <w:uiPriority w:val="9"/>
    <w:rPr>
      <w:rFonts w:asciiTheme="majorHAnsi" w:hAnsiTheme="majorHAnsi" w:eastAsiaTheme="majorEastAsia" w:cstheme="majorBidi"/>
      <w:b/>
      <w:bCs/>
      <w:sz w:val="32"/>
      <w:szCs w:val="32"/>
    </w:rPr>
  </w:style>
  <w:style w:type="character" w:customStyle="1" w:styleId="42">
    <w:name w:val="批注文字 字符"/>
    <w:basedOn w:val="24"/>
    <w:link w:val="10"/>
    <w:qFormat/>
    <w:uiPriority w:val="99"/>
  </w:style>
  <w:style w:type="character" w:customStyle="1" w:styleId="43">
    <w:name w:val="批注主题 字符"/>
    <w:basedOn w:val="42"/>
    <w:link w:val="20"/>
    <w:semiHidden/>
    <w:qFormat/>
    <w:uiPriority w:val="99"/>
    <w:rPr>
      <w:b/>
      <w:bCs/>
    </w:rPr>
  </w:style>
  <w:style w:type="table" w:customStyle="1" w:styleId="44">
    <w:name w:val="网格型1"/>
    <w:basedOn w:val="2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6">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0">
    <w:name w:val="font21"/>
    <w:basedOn w:val="24"/>
    <w:qFormat/>
    <w:uiPriority w:val="0"/>
    <w:rPr>
      <w:rFonts w:hint="eastAsia" w:ascii="宋体" w:hAnsi="宋体" w:eastAsia="宋体" w:cs="宋体"/>
      <w:color w:val="000000"/>
      <w:sz w:val="22"/>
      <w:szCs w:val="22"/>
      <w:u w:val="none"/>
    </w:rPr>
  </w:style>
  <w:style w:type="character" w:customStyle="1" w:styleId="51">
    <w:name w:val="font31"/>
    <w:basedOn w:val="24"/>
    <w:qFormat/>
    <w:uiPriority w:val="0"/>
    <w:rPr>
      <w:rFonts w:hint="eastAsia" w:ascii="宋体" w:hAnsi="宋体" w:eastAsia="宋体" w:cs="宋体"/>
      <w:color w:val="000000"/>
      <w:sz w:val="22"/>
      <w:szCs w:val="22"/>
      <w:u w:val="none"/>
    </w:rPr>
  </w:style>
  <w:style w:type="character" w:customStyle="1" w:styleId="52">
    <w:name w:val="font51"/>
    <w:basedOn w:val="24"/>
    <w:qFormat/>
    <w:uiPriority w:val="0"/>
    <w:rPr>
      <w:rFonts w:hint="eastAsia" w:ascii="宋体" w:hAnsi="宋体" w:eastAsia="宋体" w:cs="宋体"/>
      <w:color w:val="000000"/>
      <w:sz w:val="21"/>
      <w:szCs w:val="21"/>
      <w:u w:val="none"/>
    </w:rPr>
  </w:style>
  <w:style w:type="character" w:customStyle="1" w:styleId="53">
    <w:name w:val="font61"/>
    <w:basedOn w:val="24"/>
    <w:qFormat/>
    <w:uiPriority w:val="0"/>
    <w:rPr>
      <w:rFonts w:hint="default" w:ascii="Times New Roman" w:hAnsi="Times New Roman" w:cs="Times New Roman"/>
      <w:color w:val="000000"/>
      <w:sz w:val="21"/>
      <w:szCs w:val="21"/>
      <w:u w:val="none"/>
    </w:rPr>
  </w:style>
  <w:style w:type="paragraph" w:customStyle="1" w:styleId="54">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
    <w:name w:val="font41"/>
    <w:qFormat/>
    <w:uiPriority w:val="0"/>
    <w:rPr>
      <w:rFonts w:hint="eastAsia" w:ascii="宋体" w:hAnsi="宋体" w:eastAsia="宋体"/>
      <w:color w:val="000000"/>
      <w:kern w:val="2"/>
      <w:sz w:val="18"/>
      <w:u w:val="none"/>
    </w:rPr>
  </w:style>
  <w:style w:type="paragraph" w:customStyle="1" w:styleId="56">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57">
    <w:name w:val="p0"/>
    <w:basedOn w:val="1"/>
    <w:qFormat/>
    <w:uiPriority w:val="0"/>
    <w:pPr>
      <w:widowControl/>
    </w:pPr>
    <w:rPr>
      <w:rFonts w:ascii="Times New Roman" w:hAnsi="Times New Roman"/>
      <w:kern w:val="0"/>
      <w:szCs w:val="21"/>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59">
    <w:name w:val="Table Normal_0"/>
    <w:unhideWhenUsed/>
    <w:qFormat/>
    <w:uiPriority w:val="0"/>
    <w:rPr>
      <w:rFonts w:ascii="Arial" w:hAnsi="Arial" w:eastAsia="宋体" w:cs="Arial"/>
    </w:rPr>
    <w:tblPr>
      <w:tblCellMar>
        <w:top w:w="0" w:type="dxa"/>
        <w:left w:w="0" w:type="dxa"/>
        <w:bottom w:w="0" w:type="dxa"/>
        <w:right w:w="0" w:type="dxa"/>
      </w:tblCellMar>
    </w:tblPr>
  </w:style>
  <w:style w:type="paragraph" w:customStyle="1" w:styleId="60">
    <w:name w:val="表格文字"/>
    <w:basedOn w:val="1"/>
    <w:next w:val="2"/>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50</Pages>
  <Words>42520</Words>
  <Characters>44628</Characters>
  <Lines>365</Lines>
  <Paragraphs>102</Paragraphs>
  <TotalTime>10</TotalTime>
  <ScaleCrop>false</ScaleCrop>
  <LinksUpToDate>false</LinksUpToDate>
  <CharactersWithSpaces>46181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2025-07-08T11:28:00Z</dcterms:created>
  <dc:creator>win7-1</dc:creator>
  <cp:lastModifiedBy>admin</cp:lastModifiedBy>
  <cp:lastPrinted>2021-01-15T01:17:00Z</cp:lastPrinted>
  <dcterms:modified xsi:type="dcterms:W3CDTF">2025-08-11T02:44:59Z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29473A559FF94CE3A8C4068E3B4BBF24_13</vt:lpwstr>
  </property>
  <property fmtid="{D5CDD505-2E9C-101B-9397-08002B2CF9AE}" pid="4" name="KSOTemplateDocerSaveRecord">
    <vt:lpwstr>eyJoZGlkIjoiMDljMDI5ZDg5ODJiMDQxYjQwZWUwOWU1ZDg2NDgzZmYiLCJ1c2VySWQiOiI0NTQwMzE3MjcifQ==</vt:lpwstr>
  </property>
</Properties>
</file>