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7938" w:type="dxa"/>
        <w:jc w:val="center"/>
        <w:tblCellSpacing w:w="0" w:type="dxa"/>
        <w:tblLayout w:type="autofit"/>
        <w:tblCellMar>
          <w:top w:w="36" w:type="dxa"/>
          <w:left w:w="36" w:type="dxa"/>
          <w:bottom w:w="36" w:type="dxa"/>
          <w:right w:w="36" w:type="dxa"/>
        </w:tblCellMar>
      </w:tblPr>
      <w:tblGrid>
        <w:gridCol w:w="2722"/>
        <w:gridCol w:w="5216"/>
      </w:tblGrid>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项目编号：</w:t>
            </w:r>
          </w:p>
        </w:tc>
        <w:tc>
          <w:tcPr>
            <w:tcW w:w="5216" w:type="dxa"/>
            <w:vAlign w:val="center"/>
          </w:tcPr>
          <w:p>
            <w:pPr>
              <w:rPr>
                <w:rFonts w:hint="eastAsia" w:eastAsiaTheme="minorEastAsia"/>
                <w:sz w:val="30"/>
                <w:szCs w:val="30"/>
                <w:lang w:eastAsia="zh-CN"/>
              </w:rPr>
            </w:pPr>
            <w:bookmarkStart w:id="106" w:name="_GoBack"/>
            <w:r>
              <w:rPr>
                <w:rFonts w:hint="eastAsia" w:asciiTheme="minorEastAsia" w:hAnsiTheme="minorEastAsia"/>
                <w:sz w:val="30"/>
                <w:szCs w:val="30"/>
              </w:rPr>
              <w:t>LHAZXCG-2024-00108</w:t>
            </w:r>
            <w:bookmarkEnd w:id="106"/>
          </w:p>
        </w:tc>
      </w:tr>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项目名称：</w:t>
            </w:r>
          </w:p>
        </w:tc>
        <w:tc>
          <w:tcPr>
            <w:tcW w:w="5216" w:type="dxa"/>
            <w:vAlign w:val="center"/>
          </w:tcPr>
          <w:p>
            <w:pPr>
              <w:rPr>
                <w:sz w:val="30"/>
                <w:szCs w:val="30"/>
              </w:rPr>
            </w:pPr>
            <w:r>
              <w:rPr>
                <w:rFonts w:hint="eastAsia"/>
                <w:sz w:val="30"/>
                <w:szCs w:val="30"/>
              </w:rPr>
              <w:t>深圳市龙华区和平实验小学附属汇德里幼儿园大型游乐设施采购</w:t>
            </w:r>
          </w:p>
        </w:tc>
      </w:tr>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包</w:t>
            </w:r>
            <w:r>
              <w:rPr>
                <w:rFonts w:hint="eastAsia"/>
                <w:sz w:val="30"/>
                <w:szCs w:val="30"/>
                <w:lang w:val="en-US" w:eastAsia="zh-CN"/>
              </w:rPr>
              <w:t xml:space="preserve">    </w:t>
            </w:r>
            <w:r>
              <w:rPr>
                <w:sz w:val="30"/>
                <w:szCs w:val="30"/>
              </w:rPr>
              <w:t>号：</w:t>
            </w:r>
          </w:p>
        </w:tc>
        <w:tc>
          <w:tcPr>
            <w:tcW w:w="5216"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项目类型：</w:t>
            </w:r>
          </w:p>
        </w:tc>
        <w:tc>
          <w:tcPr>
            <w:tcW w:w="5216" w:type="dxa"/>
            <w:vAlign w:val="center"/>
          </w:tcPr>
          <w:p>
            <w:pPr>
              <w:rPr>
                <w:sz w:val="30"/>
                <w:szCs w:val="30"/>
              </w:rPr>
            </w:pPr>
            <w:r>
              <w:rPr>
                <w:rFonts w:hint="eastAsia"/>
                <w:sz w:val="30"/>
                <w:szCs w:val="30"/>
                <w:lang w:val="en-US" w:eastAsia="zh-CN"/>
              </w:rPr>
              <w:t>货物</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采购方式：</w:t>
            </w:r>
          </w:p>
        </w:tc>
        <w:tc>
          <w:tcPr>
            <w:tcW w:w="5216" w:type="dxa"/>
            <w:vAlign w:val="center"/>
          </w:tcPr>
          <w:p>
            <w:pPr>
              <w:rPr>
                <w:sz w:val="30"/>
                <w:szCs w:val="30"/>
              </w:rPr>
            </w:pPr>
            <w:r>
              <w:rPr>
                <w:sz w:val="30"/>
                <w:szCs w:val="30"/>
              </w:rPr>
              <w:t>公开招标</w:t>
            </w:r>
          </w:p>
        </w:tc>
      </w:tr>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货币类型：</w:t>
            </w:r>
          </w:p>
        </w:tc>
        <w:tc>
          <w:tcPr>
            <w:tcW w:w="5216"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2722" w:type="dxa"/>
            <w:vAlign w:val="center"/>
          </w:tcPr>
          <w:p>
            <w:pPr>
              <w:jc w:val="right"/>
              <w:rPr>
                <w:sz w:val="30"/>
                <w:szCs w:val="30"/>
              </w:rPr>
            </w:pPr>
            <w:r>
              <w:rPr>
                <w:sz w:val="30"/>
                <w:szCs w:val="30"/>
              </w:rPr>
              <w:t>评标方法：</w:t>
            </w:r>
          </w:p>
        </w:tc>
        <w:tc>
          <w:tcPr>
            <w:tcW w:w="5216"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w:t>
            </w:r>
            <w:r>
              <w:rPr>
                <w:rFonts w:hint="eastAsia"/>
                <w:lang w:val="en-US" w:eastAsia="zh-CN"/>
              </w:rPr>
              <w:t>不得</w:t>
            </w:r>
            <w:r>
              <w:rPr>
                <w:rFonts w:hint="eastAsia"/>
              </w:rPr>
              <w:t>高于</w:t>
            </w:r>
            <w:bookmarkStart w:id="0" w:name="_Hlk71832186"/>
            <w:r>
              <w:rPr>
                <w:rFonts w:hint="eastAsia"/>
              </w:rPr>
              <w:t>相应预算金额（或设定的预算金额下的最高限价）</w:t>
            </w:r>
            <w:bookmarkEnd w:id="0"/>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lang w:eastAsia="zh-CN"/>
              </w:rPr>
              <w:t>；</w:t>
            </w:r>
            <w:r>
              <w:rPr>
                <w:rFonts w:hint="eastAsia"/>
                <w:lang w:val="en-US" w:eastAsia="zh-CN"/>
              </w:rPr>
              <w:t>若招标文件未设置实质性条款，不得据此做投标无效处理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rPr>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rPr>
            </w:pPr>
            <w:r>
              <w:rPr>
                <w:rFonts w:hint="eastAsia"/>
                <w:lang w:val="en-US" w:eastAsia="zh-CN"/>
              </w:rPr>
              <w:t>采购标的/所投产品/货物清单/报价等任意一类有缺漏项或响应不全，</w:t>
            </w:r>
            <w:r>
              <w:rPr>
                <w:rFonts w:hint="eastAsia"/>
              </w:rPr>
              <w:t>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eastAsia="宋体"/>
                <w:szCs w:val="24"/>
                <w:lang w:val="en-US" w:eastAsia="zh-CN"/>
              </w:rPr>
            </w:pPr>
            <w:r>
              <w:rPr>
                <w:rFonts w:hint="eastAsia"/>
                <w:szCs w:val="24"/>
                <w:lang w:val="en-US" w:eastAsia="zh-CN"/>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eastAsia" w:eastAsia="宋体"/>
                <w:szCs w:val="24"/>
                <w:lang w:val="en-US" w:eastAsia="zh-CN"/>
              </w:rPr>
            </w:pPr>
            <w:r>
              <w:rPr>
                <w:rFonts w:hint="eastAsia"/>
                <w:szCs w:val="24"/>
                <w:lang w:val="en-US" w:eastAsia="zh-CN"/>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hint="eastAsia" w:eastAsia="宋体"/>
                <w:szCs w:val="24"/>
                <w:lang w:eastAsia="zh-CN"/>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hint="default" w:eastAsia="宋体"/>
                <w:szCs w:val="21"/>
                <w:lang w:val="en-US" w:eastAsia="zh-CN"/>
              </w:rPr>
            </w:pPr>
            <w:r>
              <w:rPr>
                <w:rFonts w:hint="eastAsia" w:ascii="宋体" w:hAnsi="宋体" w:cs="宋体"/>
                <w:kern w:val="0"/>
                <w:szCs w:val="21"/>
                <w:lang w:val="en-US" w:eastAsia="zh-CN"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tabs>
          <w:tab w:val="left" w:pos="2790"/>
        </w:tabs>
        <w:snapToGrid w:val="0"/>
        <w:jc w:val="left"/>
        <w:rPr>
          <w:rFonts w:hint="eastAsia"/>
          <w:sz w:val="24"/>
          <w:szCs w:val="24"/>
        </w:rPr>
      </w:pPr>
    </w:p>
    <w:p>
      <w:pPr>
        <w:pStyle w:val="14"/>
        <w:keepNext w:val="0"/>
        <w:keepLines w:val="0"/>
        <w:pageBreakBefore w:val="0"/>
        <w:widowControl/>
        <w:kinsoku/>
        <w:wordWrap/>
        <w:overflowPunct/>
        <w:topLinePunct w:val="0"/>
        <w:autoSpaceDE/>
        <w:autoSpaceDN/>
        <w:bidi w:val="0"/>
        <w:adjustRightInd/>
        <w:snapToGrid/>
        <w:jc w:val="center"/>
        <w:textAlignment w:val="auto"/>
        <w:outlineLvl w:val="0"/>
        <w:rPr>
          <w:rFonts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0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rFonts w:hint="eastAsia" w:eastAsia="宋体"/>
                <w:szCs w:val="21"/>
                <w:lang w:eastAsia="zh-CN"/>
              </w:rPr>
            </w:pPr>
            <w:r>
              <w:rPr>
                <w:szCs w:val="21"/>
              </w:rPr>
              <w:t>综合评分法，</w:t>
            </w:r>
            <w:r>
              <w:rPr>
                <w:rFonts w:hint="eastAsia"/>
                <w:szCs w:val="21"/>
              </w:rPr>
              <w:t>是指投标文件满足招标文件全部实质性要求，且按照评审因素的量化指标评审得分</w:t>
            </w:r>
            <w:r>
              <w:rPr>
                <w:rFonts w:hint="eastAsia"/>
                <w:szCs w:val="21"/>
                <w:lang w:val="en-US" w:eastAsia="zh-CN"/>
              </w:rPr>
              <w:t>排名前列</w:t>
            </w:r>
            <w:r>
              <w:rPr>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Cs w:val="21"/>
              </w:rPr>
            </w:pPr>
            <w:r>
              <w:rPr>
                <w:szCs w:val="21"/>
              </w:rPr>
              <w:t>价格分计算方法：</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Theme="minorEastAsia"/>
                <w:kern w:val="2"/>
                <w:sz w:val="21"/>
                <w:szCs w:val="21"/>
                <w:lang w:eastAsia="zh-CN"/>
              </w:rPr>
            </w:pPr>
            <w:r>
              <w:rPr>
                <w:kern w:val="2"/>
                <w:sz w:val="21"/>
                <w:szCs w:val="21"/>
              </w:rPr>
              <w:t xml:space="preserve">采用低价优先法计算，即满足招标文件要求且投标价格最低的投标报价为评标基准价，其价格分为满分。其他投标人的价格分统一按照下列公式计算： </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Theme="minorEastAsia"/>
                <w:kern w:val="2"/>
                <w:sz w:val="21"/>
                <w:szCs w:val="21"/>
                <w:lang w:eastAsia="zh-CN"/>
              </w:rPr>
            </w:pPr>
            <w:r>
              <w:rPr>
                <w:kern w:val="2"/>
                <w:sz w:val="21"/>
                <w:szCs w:val="21"/>
              </w:rPr>
              <w:t xml:space="preserve">投标报价得分=(评标基准价／投标报价)×100 </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Theme="minorEastAsia"/>
                <w:kern w:val="2"/>
                <w:sz w:val="21"/>
                <w:szCs w:val="21"/>
                <w:lang w:eastAsia="zh-CN"/>
              </w:rPr>
            </w:pPr>
            <w:r>
              <w:rPr>
                <w:kern w:val="2"/>
                <w:sz w:val="21"/>
                <w:szCs w:val="21"/>
              </w:rPr>
              <w:t xml:space="preserve">评标总得分＝F1×A1＋F2×A2＋……＋Fn×An </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Theme="minorEastAsia"/>
                <w:kern w:val="2"/>
                <w:sz w:val="21"/>
                <w:szCs w:val="21"/>
                <w:lang w:eastAsia="zh-CN"/>
              </w:rPr>
            </w:pPr>
            <w:r>
              <w:rPr>
                <w:kern w:val="2"/>
                <w:sz w:val="21"/>
                <w:szCs w:val="21"/>
              </w:rPr>
              <w:t xml:space="preserve">F1、F2……Fn分别为各项评审因素的得分； </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rFonts w:hint="eastAsia" w:eastAsiaTheme="minorEastAsia"/>
                <w:kern w:val="2"/>
                <w:sz w:val="21"/>
                <w:szCs w:val="21"/>
                <w:lang w:eastAsia="zh-CN"/>
              </w:rPr>
            </w:pPr>
            <w:r>
              <w:rPr>
                <w:kern w:val="2"/>
                <w:sz w:val="21"/>
                <w:szCs w:val="21"/>
              </w:rPr>
              <w:t xml:space="preserve">A1、A2、……An 分别为各项评审因素所占的权重(A1＋A2＋……＋An＝1)。 </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rPr>
                <w:kern w:val="2"/>
                <w:sz w:val="21"/>
                <w:szCs w:val="21"/>
              </w:rPr>
            </w:pPr>
            <w:r>
              <w:rPr>
                <w:kern w:val="2"/>
                <w:sz w:val="21"/>
                <w:szCs w:val="21"/>
              </w:rPr>
              <w:t>评标过程中，不得去掉报价中的最高报价和最低报价。</w:t>
            </w:r>
          </w:p>
          <w:p>
            <w:pPr>
              <w:pStyle w:val="14"/>
              <w:keepNext w:val="0"/>
              <w:keepLines w:val="0"/>
              <w:pageBreakBefore w:val="0"/>
              <w:widowControl/>
              <w:kinsoku/>
              <w:wordWrap/>
              <w:overflowPunct/>
              <w:topLinePunct w:val="0"/>
              <w:autoSpaceDE/>
              <w:autoSpaceDN/>
              <w:bidi w:val="0"/>
              <w:adjustRightInd/>
              <w:snapToGrid/>
              <w:spacing w:beforeAutospacing="0" w:afterAutospacing="0" w:line="240" w:lineRule="auto"/>
              <w:ind w:left="420"/>
              <w:textAlignment w:val="auto"/>
            </w:pPr>
            <w:r>
              <w:rPr>
                <w:rFonts w:hint="eastAsia"/>
                <w:kern w:val="2"/>
                <w:sz w:val="21"/>
                <w:szCs w:val="21"/>
              </w:rPr>
              <w:t>因落实政府采购政策进行价格调整的，以调整后的价格计算评标基准价和投标报价。</w:t>
            </w:r>
          </w:p>
        </w:tc>
      </w:tr>
    </w:tbl>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18"/>
        <w:gridCol w:w="653"/>
        <w:gridCol w:w="1447"/>
        <w:gridCol w:w="993"/>
        <w:gridCol w:w="53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序号</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1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1</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restart"/>
            <w:tcBorders>
              <w:top w:val="single" w:color="000000" w:sz="8" w:space="0"/>
              <w:left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2</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default" w:ascii="Times New Roman" w:hAnsi="Times New Roman" w:eastAsia="宋体" w:cs="宋体"/>
                <w:b/>
                <w:bCs/>
                <w:sz w:val="21"/>
                <w:szCs w:val="21"/>
                <w:lang w:val="en-US" w:eastAsia="zh-CN"/>
              </w:rPr>
            </w:pPr>
            <w:r>
              <w:rPr>
                <w:rFonts w:hint="eastAsia" w:ascii="Times New Roman" w:hAnsi="Times New Roman" w:eastAsia="宋体" w:cs="宋体"/>
                <w:b/>
                <w:bCs/>
                <w:sz w:val="21"/>
                <w:szCs w:val="21"/>
                <w:lang w:val="en-US" w:eastAsia="zh-CN"/>
              </w:rPr>
              <w:t>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序号</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评分因素</w:t>
            </w:r>
          </w:p>
        </w:tc>
        <w:tc>
          <w:tcPr>
            <w:tcW w:w="9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权重</w:t>
            </w:r>
            <w:r>
              <w:rPr>
                <w:rFonts w:hint="eastAsia" w:ascii="Times New Roman" w:hAnsi="Times New Roman" w:eastAsia="宋体" w:cs="宋体"/>
                <w:bCs/>
                <w:sz w:val="21"/>
                <w:szCs w:val="21"/>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b/>
                <w:sz w:val="21"/>
                <w:szCs w:val="21"/>
              </w:rPr>
            </w:pPr>
            <w:r>
              <w:rPr>
                <w:rFonts w:hint="eastAsia" w:ascii="Times New Roman" w:hAnsi="Times New Roman" w:eastAsia="宋体"/>
                <w:szCs w:val="21"/>
              </w:rPr>
              <w:t>技术保障措施</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sz w:val="21"/>
                <w:szCs w:val="21"/>
              </w:rPr>
            </w:pPr>
            <w:r>
              <w:rPr>
                <w:rFonts w:hint="eastAsia" w:ascii="Times New Roman" w:hAnsi="Times New Roman" w:eastAsia="宋体"/>
                <w:szCs w:val="21"/>
                <w:lang w:val="en-US" w:eastAsia="zh-CN"/>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numPr>
                <w:ilvl w:val="0"/>
                <w:numId w:val="0"/>
              </w:numPr>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rPr>
              <w:t>在投标文件中详细说明技术保障措施，内容须包括：技术团队、技术方案、场地、安全等。</w:t>
            </w:r>
          </w:p>
          <w:p>
            <w:pPr>
              <w:numPr>
                <w:ilvl w:val="0"/>
                <w:numId w:val="0"/>
              </w:numPr>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rPr>
              <w:t>1.技术保障措施契合项目需求、售后服务保障及时、内容具体详细、可操作性强评价为优，得</w:t>
            </w:r>
            <w:r>
              <w:rPr>
                <w:rFonts w:hint="eastAsia" w:ascii="Times New Roman" w:hAnsi="Times New Roman" w:eastAsia="宋体" w:cs="宋体"/>
                <w:sz w:val="21"/>
                <w:szCs w:val="21"/>
                <w:lang w:val="en-US" w:eastAsia="zh-CN"/>
              </w:rPr>
              <w:t>100</w:t>
            </w:r>
            <w:r>
              <w:rPr>
                <w:rFonts w:hint="eastAsia" w:ascii="Times New Roman" w:hAnsi="Times New Roman" w:eastAsia="宋体" w:cs="宋体"/>
                <w:sz w:val="21"/>
                <w:szCs w:val="21"/>
              </w:rPr>
              <w:t>分；</w:t>
            </w:r>
          </w:p>
          <w:p>
            <w:pPr>
              <w:numPr>
                <w:ilvl w:val="0"/>
                <w:numId w:val="0"/>
              </w:numPr>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rPr>
              <w:t>2.技术保障措施较契合项目需求、售后服务保障较及时、内容较具体详细、可操作性较强评价为良，得</w:t>
            </w:r>
            <w:r>
              <w:rPr>
                <w:rFonts w:hint="eastAsia" w:ascii="Times New Roman" w:hAnsi="Times New Roman" w:eastAsia="宋体" w:cs="宋体"/>
                <w:sz w:val="21"/>
                <w:szCs w:val="21"/>
                <w:lang w:val="en-US" w:eastAsia="zh-CN"/>
              </w:rPr>
              <w:t>50</w:t>
            </w:r>
            <w:r>
              <w:rPr>
                <w:rFonts w:hint="eastAsia" w:ascii="Times New Roman" w:hAnsi="Times New Roman" w:eastAsia="宋体" w:cs="宋体"/>
                <w:sz w:val="21"/>
                <w:szCs w:val="21"/>
              </w:rPr>
              <w:t>分；</w:t>
            </w:r>
          </w:p>
          <w:p>
            <w:pPr>
              <w:numPr>
                <w:ilvl w:val="0"/>
                <w:numId w:val="0"/>
              </w:numPr>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rPr>
              <w:t>3.技术保障措施基本满足项目需求、有相应售后服务保障举措、内容不全面、可操作性一般评价为中，得</w:t>
            </w:r>
            <w:r>
              <w:rPr>
                <w:rFonts w:hint="eastAsia" w:ascii="Times New Roman" w:hAnsi="Times New Roman" w:eastAsia="宋体" w:cs="宋体"/>
                <w:sz w:val="21"/>
                <w:szCs w:val="21"/>
                <w:lang w:val="en-US" w:eastAsia="zh-CN"/>
              </w:rPr>
              <w:t>15</w:t>
            </w:r>
            <w:r>
              <w:rPr>
                <w:rFonts w:hint="eastAsia" w:ascii="Times New Roman" w:hAnsi="Times New Roman" w:eastAsia="宋体" w:cs="宋体"/>
                <w:sz w:val="21"/>
                <w:szCs w:val="21"/>
              </w:rPr>
              <w:t>分；</w:t>
            </w:r>
          </w:p>
          <w:p>
            <w:pPr>
              <w:numPr>
                <w:ilvl w:val="0"/>
                <w:numId w:val="0"/>
              </w:numPr>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4.</w:t>
            </w:r>
            <w:r>
              <w:rPr>
                <w:rFonts w:hint="eastAsia" w:ascii="Times New Roman" w:hAnsi="Times New Roman" w:eastAsia="宋体" w:cs="宋体"/>
                <w:sz w:val="21"/>
                <w:szCs w:val="21"/>
              </w:rPr>
              <w:t>上述情况之外的评价为差，不得分。</w:t>
            </w:r>
          </w:p>
          <w:p>
            <w:pPr>
              <w:numPr>
                <w:ilvl w:val="0"/>
                <w:numId w:val="0"/>
              </w:numPr>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rPr>
              <w:t>未按要求提供材料或提供的材料不能证明相关情况的或提供不清晰导致专家无法判断的不得分。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2</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b/>
                <w:sz w:val="21"/>
                <w:szCs w:val="21"/>
              </w:rPr>
            </w:pPr>
            <w:r>
              <w:rPr>
                <w:rFonts w:hint="eastAsia" w:ascii="Times New Roman" w:hAnsi="Times New Roman" w:eastAsia="宋体" w:cs="宋体"/>
                <w:kern w:val="0"/>
                <w:szCs w:val="21"/>
              </w:rPr>
              <w:t>技术规格偏离情况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default" w:ascii="Times New Roman" w:hAnsi="Times New Roman" w:eastAsia="宋体" w:cs="宋体"/>
                <w:sz w:val="21"/>
                <w:szCs w:val="21"/>
                <w:lang w:val="en-US"/>
              </w:rPr>
            </w:pPr>
            <w:r>
              <w:rPr>
                <w:rFonts w:hint="eastAsia" w:ascii="Times New Roman" w:hAnsi="Times New Roman" w:eastAsia="宋体" w:cs="宋体"/>
                <w:szCs w:val="21"/>
                <w:lang w:val="en-US" w:eastAsia="zh-CN"/>
              </w:rPr>
              <w:t>38</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rPr>
                <w:rFonts w:ascii="Times New Roman" w:hAnsi="Times New Roman" w:eastAsia="宋体" w:cs="宋体"/>
                <w:sz w:val="21"/>
                <w:szCs w:val="21"/>
              </w:rPr>
            </w:pPr>
            <w:r>
              <w:rPr>
                <w:rFonts w:ascii="Times New Roman" w:hAnsi="Times New Roman" w:eastAsia="宋体" w:cs="宋体"/>
                <w:sz w:val="21"/>
                <w:szCs w:val="21"/>
              </w:rPr>
              <w:t>评审小组根据《技术规格偏离表》（以下简 称“偏离表”）响应情况进行打分，全部满足的得</w:t>
            </w:r>
            <w:r>
              <w:rPr>
                <w:rFonts w:hint="eastAsia" w:ascii="Times New Roman" w:hAnsi="Times New Roman" w:eastAsia="宋体" w:cs="宋体"/>
                <w:sz w:val="21"/>
                <w:szCs w:val="21"/>
                <w:lang w:val="en-US" w:eastAsia="zh-CN"/>
              </w:rPr>
              <w:t>100</w:t>
            </w:r>
            <w:r>
              <w:rPr>
                <w:rFonts w:ascii="Times New Roman" w:hAnsi="Times New Roman" w:eastAsia="宋体" w:cs="宋体"/>
                <w:sz w:val="21"/>
                <w:szCs w:val="21"/>
              </w:rPr>
              <w:t>分，除实质性条款外，一般参数负偏离一项扣</w:t>
            </w:r>
            <w:r>
              <w:rPr>
                <w:rFonts w:hint="eastAsia" w:ascii="Times New Roman" w:hAnsi="Times New Roman" w:eastAsia="宋体" w:cs="宋体"/>
                <w:sz w:val="21"/>
                <w:szCs w:val="21"/>
                <w:lang w:val="en-US" w:eastAsia="zh-CN"/>
              </w:rPr>
              <w:t>0.4</w:t>
            </w:r>
            <w:r>
              <w:rPr>
                <w:rFonts w:ascii="Times New Roman" w:hAnsi="Times New Roman" w:eastAsia="宋体" w:cs="宋体"/>
                <w:sz w:val="21"/>
                <w:szCs w:val="21"/>
              </w:rPr>
              <w:t>分，重点技术参数▲项负偏 离一项扣</w:t>
            </w:r>
            <w:r>
              <w:rPr>
                <w:rFonts w:hint="eastAsia" w:ascii="Times New Roman" w:hAnsi="Times New Roman" w:eastAsia="宋体" w:cs="宋体"/>
                <w:sz w:val="21"/>
                <w:szCs w:val="21"/>
                <w:lang w:val="en-US" w:eastAsia="zh-CN"/>
              </w:rPr>
              <w:t>7</w:t>
            </w:r>
            <w:r>
              <w:rPr>
                <w:rFonts w:ascii="Times New Roman" w:hAnsi="Times New Roman" w:eastAsia="宋体" w:cs="宋体"/>
                <w:sz w:val="21"/>
                <w:szCs w:val="21"/>
              </w:rPr>
              <w:t>分</w:t>
            </w:r>
            <w:r>
              <w:rPr>
                <w:rFonts w:hint="eastAsia" w:ascii="Times New Roman" w:hAnsi="Times New Roman" w:eastAsia="宋体" w:cs="宋体"/>
                <w:sz w:val="21"/>
                <w:szCs w:val="21"/>
                <w:lang w:eastAsia="zh-CN"/>
              </w:rPr>
              <w:t>，</w:t>
            </w:r>
            <w:r>
              <w:rPr>
                <w:rFonts w:ascii="Times New Roman" w:hAnsi="Times New Roman" w:eastAsia="宋体" w:cs="宋体"/>
                <w:sz w:val="21"/>
                <w:szCs w:val="21"/>
              </w:rPr>
              <w:t>扣完为止。</w:t>
            </w:r>
          </w:p>
          <w:p>
            <w:pPr>
              <w:spacing w:line="240" w:lineRule="auto"/>
              <w:rPr>
                <w:rFonts w:hint="eastAsia" w:ascii="Times New Roman" w:hAnsi="Times New Roman" w:eastAsia="宋体" w:cs="宋体"/>
                <w:sz w:val="21"/>
                <w:szCs w:val="21"/>
              </w:rPr>
            </w:pPr>
            <w:r>
              <w:rPr>
                <w:rFonts w:ascii="Times New Roman" w:hAnsi="Times New Roman" w:eastAsia="宋体" w:cs="宋体"/>
                <w:sz w:val="21"/>
                <w:szCs w:val="21"/>
              </w:rPr>
              <w:t>偏离表应如实对应填写所投产品的具体参数。如要求提供 “厂家网站截图/说明书/厂家出具的参数 文件/检验报告”等证明资料的，需按要求提供相关证明资料；提供的证明资料与所填 写内容不一致的，以证明资料为准，</w:t>
            </w:r>
            <w:r>
              <w:rPr>
                <w:rFonts w:hint="eastAsia" w:ascii="Times New Roman" w:hAnsi="Times New Roman" w:eastAsia="宋体" w:cs="宋体"/>
                <w:sz w:val="21"/>
                <w:szCs w:val="21"/>
              </w:rPr>
              <w:t>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3</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项目实施方案</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b/>
                <w:sz w:val="21"/>
                <w:szCs w:val="21"/>
              </w:rPr>
            </w:pPr>
            <w:r>
              <w:rPr>
                <w:rFonts w:hint="eastAsia" w:ascii="Times New Roman" w:hAnsi="Times New Roman" w:eastAsia="宋体"/>
                <w:szCs w:val="21"/>
                <w:lang w:val="en-US" w:eastAsia="zh-CN"/>
              </w:rPr>
              <w:t>6</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9"/>
              <w:rPr>
                <w:rFonts w:hint="eastAsia" w:eastAsia="宋体"/>
                <w:lang w:eastAsia="zh-CN"/>
              </w:rPr>
            </w:pPr>
            <w:r>
              <w:rPr>
                <w:rFonts w:hint="eastAsia"/>
              </w:rPr>
              <w:t>投标人根据幼儿园的需求</w:t>
            </w:r>
            <w:r>
              <w:rPr>
                <w:rFonts w:hint="eastAsia"/>
                <w:lang w:val="en-US" w:eastAsia="zh-CN"/>
              </w:rPr>
              <w:t>和现场勘察</w:t>
            </w:r>
            <w:r>
              <w:rPr>
                <w:rFonts w:hint="eastAsia"/>
              </w:rPr>
              <w:t>提供项目实施方案，包含：</w:t>
            </w:r>
            <w:r>
              <w:rPr>
                <w:rFonts w:hint="eastAsia"/>
                <w:lang w:val="en-US" w:eastAsia="zh-CN"/>
              </w:rPr>
              <w:t>①</w:t>
            </w:r>
            <w:r>
              <w:rPr>
                <w:rFonts w:hint="eastAsia"/>
              </w:rPr>
              <w:t>项目实施方案、</w:t>
            </w:r>
            <w:r>
              <w:rPr>
                <w:rFonts w:hint="eastAsia"/>
                <w:lang w:val="en-US" w:eastAsia="zh-CN"/>
              </w:rPr>
              <w:t>②</w:t>
            </w:r>
            <w:r>
              <w:rPr>
                <w:rFonts w:hint="eastAsia"/>
              </w:rPr>
              <w:t>提供相关游乐设施效果图</w:t>
            </w:r>
            <w:r>
              <w:rPr>
                <w:rFonts w:hint="eastAsia"/>
                <w:lang w:val="en-US" w:eastAsia="zh-CN"/>
              </w:rPr>
              <w:t>设计图9张</w:t>
            </w:r>
            <w:r>
              <w:rPr>
                <w:rFonts w:hint="eastAsia"/>
                <w:lang w:eastAsia="zh-CN"/>
              </w:rPr>
              <w:t>，</w:t>
            </w:r>
            <w:r>
              <w:rPr>
                <w:rFonts w:hint="default"/>
                <w:lang w:val="en-US" w:eastAsia="zh-CN"/>
              </w:rPr>
              <w:t>要求必须要</w:t>
            </w:r>
            <w:r>
              <w:rPr>
                <w:rFonts w:hint="eastAsia"/>
                <w:color w:val="000000" w:themeColor="text1"/>
                <w:lang w:val="en-US" w:eastAsia="zh-CN"/>
                <w14:textFill>
                  <w14:solidFill>
                    <w14:schemeClr w14:val="tx1"/>
                  </w14:solidFill>
                </w14:textFill>
              </w:rPr>
              <w:t>设计图需</w:t>
            </w:r>
            <w:r>
              <w:rPr>
                <w:rFonts w:hint="eastAsia"/>
                <w:lang w:val="en-US" w:eastAsia="zh-CN"/>
              </w:rPr>
              <w:t>有正面，俯视，侧面等多个角度</w:t>
            </w:r>
            <w:r>
              <w:rPr>
                <w:rFonts w:hint="eastAsia"/>
                <w:lang w:eastAsia="zh-CN"/>
              </w:rPr>
              <w:t>。</w:t>
            </w:r>
          </w:p>
          <w:p>
            <w:r>
              <w:rPr>
                <w:rFonts w:hint="eastAsia"/>
              </w:rPr>
              <w:t>1.项目实施方案详细完整，切实可行的，提供相关游乐设施效果图的，评价为优，得</w:t>
            </w:r>
            <w:r>
              <w:rPr>
                <w:rFonts w:hint="eastAsia"/>
                <w:lang w:val="en-US" w:eastAsia="zh-CN"/>
              </w:rPr>
              <w:t>100</w:t>
            </w:r>
            <w:r>
              <w:rPr>
                <w:rFonts w:hint="eastAsia"/>
              </w:rPr>
              <w:t>分；</w:t>
            </w:r>
          </w:p>
          <w:p>
            <w:pPr>
              <w:rPr>
                <w:rFonts w:hint="eastAsia"/>
              </w:rPr>
            </w:pPr>
            <w:r>
              <w:rPr>
                <w:rFonts w:hint="eastAsia"/>
              </w:rPr>
              <w:t>2.项目实施方案基本完整，可行性较合理的，提供相关游乐设施效果图的，评价为良，得</w:t>
            </w:r>
            <w:r>
              <w:rPr>
                <w:rFonts w:hint="eastAsia"/>
                <w:lang w:val="en-US" w:eastAsia="zh-CN"/>
              </w:rPr>
              <w:t>50</w:t>
            </w:r>
            <w:r>
              <w:rPr>
                <w:rFonts w:hint="eastAsia"/>
              </w:rPr>
              <w:t>分；</w:t>
            </w:r>
          </w:p>
          <w:p>
            <w:r>
              <w:rPr>
                <w:rFonts w:hint="eastAsia"/>
              </w:rPr>
              <w:t>3.项目实施方案一般的，提供相关游乐设施效果图的，评价为中，得</w:t>
            </w:r>
            <w:r>
              <w:rPr>
                <w:rFonts w:hint="eastAsia"/>
                <w:lang w:val="en-US" w:eastAsia="zh-CN"/>
              </w:rPr>
              <w:t>15</w:t>
            </w:r>
            <w:r>
              <w:rPr>
                <w:rFonts w:hint="eastAsia"/>
              </w:rPr>
              <w:t>分；</w:t>
            </w:r>
          </w:p>
          <w:p>
            <w:pPr>
              <w:spacing w:line="240" w:lineRule="auto"/>
              <w:rPr>
                <w:rFonts w:hint="eastAsia" w:ascii="Times New Roman" w:hAnsi="Times New Roman" w:eastAsia="宋体" w:cs="宋体"/>
                <w:sz w:val="21"/>
                <w:szCs w:val="21"/>
              </w:rPr>
            </w:pPr>
            <w:r>
              <w:rPr>
                <w:rFonts w:hint="eastAsia"/>
              </w:rPr>
              <w:t>4.上述情况之外的评价为差，不得分。（未按要求提供材料或提供的材料不能证明相关情况的或提供不清晰导致专家无法判断的不得分。）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4</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szCs w:val="21"/>
                <w:lang w:val="en-US" w:eastAsia="zh-CN"/>
              </w:rPr>
              <w:t>现场勘察</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kern w:val="2"/>
                <w:sz w:val="21"/>
                <w:szCs w:val="21"/>
                <w:lang w:val="en-US" w:eastAsia="zh-CN" w:bidi="ar-SA"/>
              </w:rPr>
            </w:pPr>
            <w:r>
              <w:rPr>
                <w:rFonts w:hint="eastAsia" w:ascii="Times New Roman" w:hAnsi="Times New Roman" w:eastAsia="宋体"/>
                <w:szCs w:val="21"/>
                <w:lang w:val="en-US" w:eastAsia="zh-CN"/>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rPr>
                <w:rFonts w:hint="default" w:ascii="Times New Roman" w:hAnsi="Times New Roman" w:eastAsia="宋体" w:cs="宋体"/>
                <w:sz w:val="21"/>
                <w:szCs w:val="21"/>
                <w:lang w:val="en-US" w:eastAsia="zh-CN"/>
              </w:rPr>
            </w:pPr>
            <w:r>
              <w:rPr>
                <w:rFonts w:ascii="Times New Roman" w:hAnsi="Times New Roman" w:eastAsia="宋体" w:cs="宋体"/>
                <w:sz w:val="21"/>
                <w:szCs w:val="21"/>
              </w:rPr>
              <w:t>为了充分了解招标人需求，</w:t>
            </w:r>
            <w:r>
              <w:rPr>
                <w:rFonts w:hint="eastAsia" w:ascii="Times New Roman" w:hAnsi="Times New Roman" w:eastAsia="宋体" w:cs="宋体"/>
                <w:sz w:val="21"/>
                <w:szCs w:val="21"/>
                <w:lang w:val="en-US" w:eastAsia="zh-CN"/>
              </w:rPr>
              <w:t>投标</w:t>
            </w:r>
            <w:r>
              <w:rPr>
                <w:rFonts w:ascii="Times New Roman" w:hAnsi="Times New Roman" w:eastAsia="宋体" w:cs="宋体"/>
                <w:sz w:val="21"/>
                <w:szCs w:val="21"/>
              </w:rPr>
              <w:t>供应商应在</w:t>
            </w:r>
            <w:r>
              <w:rPr>
                <w:rFonts w:hint="eastAsia" w:ascii="Times New Roman" w:hAnsi="Times New Roman" w:eastAsia="宋体" w:cs="宋体"/>
                <w:b w:val="0"/>
                <w:bCs w:val="0"/>
                <w:color w:val="000000" w:themeColor="text1"/>
                <w:sz w:val="21"/>
                <w:szCs w:val="21"/>
                <w14:textFill>
                  <w14:solidFill>
                    <w14:schemeClr w14:val="tx1"/>
                  </w14:solidFill>
                </w14:textFill>
              </w:rPr>
              <w:t>2024年</w:t>
            </w:r>
            <w:r>
              <w:rPr>
                <w:rFonts w:hint="eastAsia" w:ascii="Times New Roman" w:hAnsi="Times New Roman" w:eastAsia="宋体" w:cs="宋体"/>
                <w:b w:val="0"/>
                <w:bCs w:val="0"/>
                <w:color w:val="000000" w:themeColor="text1"/>
                <w:sz w:val="21"/>
                <w:szCs w:val="21"/>
                <w:lang w:val="en-US" w:eastAsia="zh-CN"/>
                <w14:textFill>
                  <w14:solidFill>
                    <w14:schemeClr w14:val="tx1"/>
                  </w14:solidFill>
                </w14:textFill>
              </w:rPr>
              <w:t>9</w:t>
            </w:r>
            <w:r>
              <w:rPr>
                <w:rFonts w:hint="eastAsia" w:ascii="Times New Roman" w:hAnsi="Times New Roman" w:eastAsia="宋体" w:cs="宋体"/>
                <w:b w:val="0"/>
                <w:bCs w:val="0"/>
                <w:color w:val="000000" w:themeColor="text1"/>
                <w:sz w:val="21"/>
                <w:szCs w:val="21"/>
                <w14:textFill>
                  <w14:solidFill>
                    <w14:schemeClr w14:val="tx1"/>
                  </w14:solidFill>
                </w14:textFill>
              </w:rPr>
              <w:t>月</w:t>
            </w:r>
            <w:r>
              <w:rPr>
                <w:rFonts w:hint="eastAsia" w:ascii="Times New Roman" w:hAnsi="Times New Roman" w:eastAsia="宋体" w:cs="宋体"/>
                <w:b w:val="0"/>
                <w:bCs w:val="0"/>
                <w:color w:val="000000" w:themeColor="text1"/>
                <w:sz w:val="21"/>
                <w:szCs w:val="21"/>
                <w:lang w:val="en-US" w:eastAsia="zh-CN"/>
                <w14:textFill>
                  <w14:solidFill>
                    <w14:schemeClr w14:val="tx1"/>
                  </w14:solidFill>
                </w14:textFill>
              </w:rPr>
              <w:t>28-2024年9月29</w:t>
            </w:r>
            <w:r>
              <w:rPr>
                <w:rFonts w:hint="eastAsia" w:ascii="Times New Roman" w:hAnsi="Times New Roman" w:eastAsia="宋体" w:cs="宋体"/>
                <w:b w:val="0"/>
                <w:bCs w:val="0"/>
                <w:color w:val="000000" w:themeColor="text1"/>
                <w:sz w:val="21"/>
                <w:szCs w:val="21"/>
                <w14:textFill>
                  <w14:solidFill>
                    <w14:schemeClr w14:val="tx1"/>
                  </w14:solidFill>
                </w14:textFill>
              </w:rPr>
              <w:t>日</w:t>
            </w:r>
            <w:r>
              <w:rPr>
                <w:rFonts w:hint="eastAsia" w:ascii="Times New Roman" w:hAnsi="Times New Roman" w:eastAsia="宋体" w:cs="宋体"/>
                <w:sz w:val="21"/>
                <w:szCs w:val="21"/>
              </w:rPr>
              <w:t>9:00-11：00</w:t>
            </w:r>
            <w:r>
              <w:rPr>
                <w:rFonts w:ascii="Times New Roman" w:hAnsi="Times New Roman" w:eastAsia="宋体" w:cs="宋体"/>
                <w:sz w:val="21"/>
                <w:szCs w:val="21"/>
              </w:rPr>
              <w:t>到用户单位 进行现场踏勘，逾期将不再组织现场踏勘。 联系人</w:t>
            </w:r>
            <w:r>
              <w:rPr>
                <w:rFonts w:hint="eastAsia" w:ascii="Times New Roman" w:hAnsi="Times New Roman" w:eastAsia="宋体" w:cs="宋体"/>
                <w:sz w:val="21"/>
                <w:szCs w:val="21"/>
                <w:lang w:eastAsia="zh-CN"/>
              </w:rPr>
              <w:t>：</w:t>
            </w:r>
            <w:r>
              <w:rPr>
                <w:rFonts w:hint="eastAsia" w:ascii="Times New Roman" w:hAnsi="Times New Roman" w:eastAsia="宋体" w:cs="宋体"/>
                <w:sz w:val="21"/>
                <w:szCs w:val="21"/>
                <w:lang w:val="en-US" w:eastAsia="zh-CN"/>
              </w:rPr>
              <w:t>张老师</w:t>
            </w:r>
            <w:r>
              <w:rPr>
                <w:rFonts w:ascii="Times New Roman" w:hAnsi="Times New Roman" w:eastAsia="宋体" w:cs="宋体"/>
                <w:sz w:val="21"/>
                <w:szCs w:val="21"/>
              </w:rPr>
              <w:t>，电话：</w:t>
            </w:r>
            <w:r>
              <w:rPr>
                <w:rFonts w:hint="eastAsia" w:ascii="Times New Roman" w:hAnsi="Times New Roman" w:eastAsia="宋体" w:cs="宋体"/>
                <w:sz w:val="21"/>
                <w:szCs w:val="21"/>
              </w:rPr>
              <w:t>19076160739</w:t>
            </w:r>
          </w:p>
          <w:p>
            <w:pPr>
              <w:spacing w:line="240" w:lineRule="auto"/>
              <w:rPr>
                <w:rFonts w:hint="eastAsia" w:ascii="Times New Roman" w:hAnsi="Times New Roman" w:eastAsia="宋体"/>
                <w:lang w:eastAsia="zh-CN"/>
              </w:rPr>
            </w:pPr>
            <w:r>
              <w:rPr>
                <w:rFonts w:ascii="Times New Roman" w:hAnsi="Times New Roman" w:eastAsia="宋体" w:cs="宋体"/>
                <w:sz w:val="21"/>
                <w:szCs w:val="21"/>
              </w:rPr>
              <w:t>勘察地点：</w:t>
            </w:r>
            <w:r>
              <w:rPr>
                <w:rFonts w:hint="eastAsia" w:ascii="Times New Roman" w:hAnsi="Times New Roman" w:eastAsia="宋体" w:cs="宋体"/>
                <w:sz w:val="21"/>
                <w:szCs w:val="21"/>
              </w:rPr>
              <w:t>深圳市龙华区和平实验小学附属汇德里幼儿园</w:t>
            </w:r>
            <w:r>
              <w:rPr>
                <w:rFonts w:hint="eastAsia" w:ascii="Times New Roman" w:hAnsi="Times New Roman" w:eastAsia="宋体" w:cs="宋体"/>
                <w:sz w:val="21"/>
                <w:szCs w:val="21"/>
                <w:lang w:eastAsia="zh-CN"/>
              </w:rPr>
              <w:t>（地址：深圳市龙华区民治街道新区大道与简上路交汇处）【具体安排见“其他关键信息”章节】</w:t>
            </w:r>
          </w:p>
          <w:p>
            <w:pPr>
              <w:spacing w:line="240" w:lineRule="auto"/>
              <w:rPr>
                <w:rFonts w:hint="eastAsia" w:ascii="Times New Roman" w:hAnsi="Times New Roman" w:eastAsia="宋体" w:cs="宋体"/>
                <w:kern w:val="2"/>
                <w:sz w:val="21"/>
                <w:szCs w:val="21"/>
                <w:lang w:val="en-US" w:eastAsia="zh-CN" w:bidi="ar-SA"/>
              </w:rPr>
            </w:pPr>
            <w:r>
              <w:rPr>
                <w:rFonts w:ascii="Times New Roman" w:hAnsi="Times New Roman" w:eastAsia="宋体" w:cs="宋体"/>
                <w:sz w:val="21"/>
                <w:szCs w:val="21"/>
              </w:rPr>
              <w:t>提供用户盖章的勘察证明文件得</w:t>
            </w:r>
            <w:r>
              <w:rPr>
                <w:rFonts w:hint="eastAsia" w:ascii="Times New Roman" w:hAnsi="Times New Roman" w:eastAsia="宋体" w:cs="宋体"/>
                <w:sz w:val="21"/>
                <w:szCs w:val="21"/>
                <w:lang w:val="en-US" w:eastAsia="zh-CN"/>
              </w:rPr>
              <w:t>100</w:t>
            </w:r>
            <w:r>
              <w:rPr>
                <w:rFonts w:ascii="Times New Roman" w:hAnsi="Times New Roman" w:eastAsia="宋体" w:cs="宋体"/>
                <w:sz w:val="21"/>
                <w:szCs w:val="21"/>
              </w:rPr>
              <w:t>分，未提供或未按要求提供资料或提供不清晰导致专家 无法判断的均不得分。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18" w:type="dxa"/>
            <w:vMerge w:val="restart"/>
            <w:tcBorders>
              <w:top w:val="single" w:color="000000" w:sz="8" w:space="0"/>
              <w:left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3</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b/>
                <w:bCs/>
                <w:szCs w:val="21"/>
                <w:lang w:val="en-US" w:eastAsia="zh-CN"/>
              </w:rPr>
              <w:t>商务</w:t>
            </w:r>
            <w:r>
              <w:rPr>
                <w:rFonts w:hint="eastAsia" w:ascii="Times New Roman" w:hAnsi="Times New Roman" w:eastAsia="宋体" w:cs="宋体"/>
                <w:b/>
                <w:bCs/>
                <w:sz w:val="21"/>
                <w:szCs w:val="21"/>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default" w:ascii="Times New Roman" w:hAnsi="Times New Roman" w:eastAsia="宋体" w:cs="宋体"/>
                <w:b/>
                <w:bCs/>
                <w:sz w:val="21"/>
                <w:szCs w:val="21"/>
                <w:lang w:val="en-US" w:eastAsia="zh-CN"/>
              </w:rPr>
            </w:pPr>
            <w:r>
              <w:rPr>
                <w:rFonts w:hint="eastAsia" w:ascii="Times New Roman" w:hAnsi="Times New Roman" w:eastAsia="宋体" w:cs="宋体"/>
                <w:b/>
                <w:bCs/>
                <w:sz w:val="21"/>
                <w:szCs w:val="21"/>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序号</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评分因素</w:t>
            </w:r>
          </w:p>
        </w:tc>
        <w:tc>
          <w:tcPr>
            <w:tcW w:w="9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权重</w:t>
            </w:r>
            <w:r>
              <w:rPr>
                <w:rFonts w:hint="eastAsia" w:ascii="Times New Roman" w:hAnsi="Times New Roman" w:eastAsia="宋体" w:cs="宋体"/>
                <w:bCs/>
                <w:sz w:val="21"/>
                <w:szCs w:val="21"/>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default" w:ascii="Times New Roman" w:hAnsi="Times New Roman" w:eastAsia="宋体" w:cs="宋体"/>
                <w:sz w:val="21"/>
                <w:szCs w:val="21"/>
                <w:lang w:val="en-US" w:eastAsia="zh-CN"/>
              </w:rPr>
            </w:pPr>
            <w:r>
              <w:rPr>
                <w:rFonts w:hint="eastAsia" w:ascii="Times New Roman" w:hAnsi="Times New Roman" w:eastAsia="宋体"/>
                <w:szCs w:val="21"/>
              </w:rPr>
              <w:t>商务条款偏离情况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sz w:val="21"/>
                <w:szCs w:val="21"/>
              </w:rPr>
            </w:pPr>
            <w:r>
              <w:rPr>
                <w:rFonts w:hint="eastAsia" w:ascii="Times New Roman" w:hAnsi="Times New Roman" w:eastAsia="宋体"/>
                <w:szCs w:val="21"/>
                <w:lang w:val="en-US" w:eastAsia="zh-CN"/>
              </w:rPr>
              <w:t>9</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ind w:firstLine="420" w:firstLineChars="200"/>
              <w:rPr>
                <w:rFonts w:hint="eastAsia" w:ascii="Times New Roman" w:hAnsi="Times New Roman" w:eastAsia="宋体" w:cs="宋体"/>
                <w:sz w:val="21"/>
                <w:szCs w:val="21"/>
              </w:rPr>
            </w:pPr>
            <w:r>
              <w:rPr>
                <w:rFonts w:hint="eastAsia" w:ascii="Times New Roman" w:hAnsi="Times New Roman" w:eastAsia="宋体" w:cs="宋体"/>
                <w:szCs w:val="21"/>
                <w:lang w:eastAsia="zh-CN"/>
              </w:rPr>
              <w:t>投标人</w:t>
            </w:r>
            <w:r>
              <w:rPr>
                <w:rFonts w:hint="eastAsia" w:ascii="Times New Roman" w:hAnsi="Times New Roman" w:eastAsia="宋体" w:cs="宋体"/>
                <w:szCs w:val="21"/>
              </w:rPr>
              <w:t>应如实填写《商务要求偏离表》，评审小组根据响应情况进行打分，</w:t>
            </w:r>
            <w:r>
              <w:rPr>
                <w:rFonts w:hint="eastAsia" w:ascii="Times New Roman" w:hAnsi="Times New Roman" w:eastAsia="宋体" w:cs="宋体"/>
                <w:szCs w:val="21"/>
                <w:lang w:val="en-US" w:eastAsia="zh-CN"/>
              </w:rPr>
              <w:t>除实质性条款外，</w:t>
            </w:r>
            <w:r>
              <w:rPr>
                <w:rFonts w:hint="eastAsia" w:ascii="Times New Roman" w:hAnsi="Times New Roman" w:eastAsia="宋体" w:cs="宋体"/>
                <w:szCs w:val="21"/>
              </w:rPr>
              <w:t>全部满足要求的得</w:t>
            </w:r>
            <w:r>
              <w:rPr>
                <w:rFonts w:hint="eastAsia" w:ascii="Times New Roman" w:hAnsi="Times New Roman" w:eastAsia="宋体" w:cs="宋体"/>
                <w:szCs w:val="21"/>
                <w:lang w:val="en-US" w:eastAsia="zh-CN"/>
              </w:rPr>
              <w:t>100</w:t>
            </w:r>
            <w:r>
              <w:rPr>
                <w:rFonts w:hint="eastAsia" w:ascii="Times New Roman" w:hAnsi="Times New Roman" w:eastAsia="宋体"/>
                <w:szCs w:val="21"/>
                <w:lang w:val="en-US" w:eastAsia="zh-CN"/>
              </w:rPr>
              <w:t>分</w:t>
            </w:r>
            <w:r>
              <w:rPr>
                <w:rFonts w:hint="eastAsia" w:ascii="Times New Roman" w:hAnsi="Times New Roman" w:eastAsia="宋体" w:cs="宋体"/>
                <w:szCs w:val="21"/>
              </w:rPr>
              <w:t>，每负偏离一项扣</w:t>
            </w:r>
            <w:r>
              <w:rPr>
                <w:rFonts w:hint="eastAsia" w:ascii="Times New Roman" w:hAnsi="Times New Roman" w:eastAsia="宋体" w:cs="宋体"/>
                <w:szCs w:val="21"/>
                <w:lang w:val="en-US" w:eastAsia="zh-CN"/>
              </w:rPr>
              <w:t>7.5分，扣完为止</w:t>
            </w:r>
            <w:r>
              <w:rPr>
                <w:rFonts w:hint="eastAsia" w:ascii="Times New Roman" w:hAnsi="Times New Roman"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left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2</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sz w:val="21"/>
                <w:szCs w:val="21"/>
                <w:lang w:val="en-US" w:eastAsia="zh-CN"/>
              </w:rPr>
            </w:pPr>
            <w:r>
              <w:rPr>
                <w:rFonts w:hint="eastAsia" w:ascii="Times New Roman" w:hAnsi="Times New Roman" w:eastAsia="宋体"/>
                <w:szCs w:val="21"/>
              </w:rPr>
              <w:t>同类项目业绩</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auto"/>
              <w:jc w:val="center"/>
              <w:rPr>
                <w:rFonts w:hint="eastAsia" w:ascii="Times New Roman" w:hAnsi="Times New Roman" w:eastAsia="宋体" w:cs="宋体"/>
                <w:sz w:val="21"/>
                <w:szCs w:val="21"/>
                <w:lang w:eastAsia="zh-CN"/>
              </w:rPr>
            </w:pPr>
            <w:r>
              <w:rPr>
                <w:rFonts w:hint="eastAsia" w:ascii="Times New Roman" w:hAnsi="Times New Roman" w:eastAsia="宋体" w:cs="宋体"/>
                <w:szCs w:val="21"/>
                <w:lang w:val="en-US" w:eastAsia="zh-CN"/>
              </w:rPr>
              <w:t>4</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pStyle w:val="9"/>
              <w:snapToGrid w:val="0"/>
              <w:spacing w:line="300" w:lineRule="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一、评分内容：</w:t>
            </w:r>
          </w:p>
          <w:p>
            <w:pPr>
              <w:pStyle w:val="9"/>
              <w:snapToGrid w:val="0"/>
              <w:spacing w:line="300" w:lineRule="auto"/>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宋体"/>
                <w:sz w:val="21"/>
                <w:szCs w:val="21"/>
                <w:lang w:val="en-US" w:eastAsia="zh-CN"/>
              </w:rPr>
              <w:t>2020年10月1日至本项目投标截止之日，投标人具有游乐设施项目经验,每提供1个游乐设施项目经验的得50分，最高得100分</w:t>
            </w:r>
            <w:r>
              <w:rPr>
                <w:rFonts w:hint="eastAsia" w:ascii="Times New Roman" w:hAnsi="Times New Roman" w:eastAsia="宋体" w:cs="Times New Roman"/>
                <w:sz w:val="21"/>
                <w:szCs w:val="21"/>
                <w:lang w:eastAsia="zh-CN"/>
              </w:rPr>
              <w:t>。</w:t>
            </w:r>
          </w:p>
          <w:p>
            <w:pPr>
              <w:pStyle w:val="9"/>
              <w:numPr>
                <w:ilvl w:val="0"/>
                <w:numId w:val="0"/>
              </w:numPr>
              <w:snapToGrid w:val="0"/>
              <w:spacing w:line="300" w:lineRule="auto"/>
              <w:rPr>
                <w:rFonts w:hint="eastAsia" w:ascii="Times New Roman" w:hAnsi="Times New Roman" w:eastAsia="宋体" w:cs="宋体"/>
                <w:sz w:val="21"/>
                <w:szCs w:val="21"/>
              </w:rPr>
            </w:pPr>
            <w:r>
              <w:rPr>
                <w:rFonts w:hint="eastAsia" w:ascii="Times New Roman" w:hAnsi="Times New Roman" w:eastAsia="宋体" w:cs="宋体"/>
                <w:sz w:val="21"/>
                <w:szCs w:val="21"/>
                <w:lang w:eastAsia="zh-CN"/>
              </w:rPr>
              <w:t>二、</w:t>
            </w:r>
            <w:r>
              <w:rPr>
                <w:rFonts w:hint="eastAsia" w:ascii="Times New Roman" w:hAnsi="Times New Roman" w:eastAsia="宋体" w:cs="宋体"/>
                <w:sz w:val="21"/>
                <w:szCs w:val="21"/>
              </w:rPr>
              <w:t>评分依据：</w:t>
            </w:r>
          </w:p>
          <w:p>
            <w:pPr>
              <w:pStyle w:val="9"/>
              <w:numPr>
                <w:ilvl w:val="0"/>
                <w:numId w:val="0"/>
              </w:numPr>
              <w:snapToGrid w:val="0"/>
              <w:spacing w:line="300" w:lineRule="auto"/>
              <w:ind w:firstLine="420" w:firstLineChars="200"/>
              <w:rPr>
                <w:rFonts w:hint="eastAsia" w:ascii="Times New Roman" w:hAnsi="Times New Roman" w:eastAsia="宋体" w:cs="宋体"/>
                <w:sz w:val="21"/>
                <w:szCs w:val="21"/>
              </w:rPr>
            </w:pPr>
            <w:r>
              <w:rPr>
                <w:rFonts w:hint="eastAsia" w:ascii="Times New Roman" w:hAnsi="Times New Roman" w:eastAsia="宋体" w:cs="宋体"/>
                <w:sz w:val="21"/>
                <w:szCs w:val="21"/>
                <w:lang w:eastAsia="zh-CN"/>
              </w:rPr>
              <w:t>投标人须</w:t>
            </w:r>
            <w:r>
              <w:rPr>
                <w:rFonts w:hint="eastAsia" w:ascii="Times New Roman" w:hAnsi="Times New Roman" w:eastAsia="宋体" w:cs="宋体"/>
                <w:sz w:val="21"/>
                <w:szCs w:val="21"/>
              </w:rPr>
              <w:t>提供</w:t>
            </w:r>
            <w:r>
              <w:rPr>
                <w:rFonts w:hint="eastAsia" w:ascii="Times New Roman" w:hAnsi="Times New Roman" w:eastAsia="宋体" w:cs="宋体"/>
                <w:sz w:val="21"/>
                <w:szCs w:val="21"/>
                <w:lang w:val="en-US" w:eastAsia="zh-CN"/>
              </w:rPr>
              <w:t>中标通知书和</w:t>
            </w:r>
            <w:r>
              <w:rPr>
                <w:rFonts w:hint="eastAsia" w:ascii="Times New Roman" w:hAnsi="Times New Roman" w:eastAsia="宋体" w:cs="宋体"/>
                <w:sz w:val="21"/>
                <w:szCs w:val="21"/>
              </w:rPr>
              <w:t>合同关键页</w:t>
            </w:r>
            <w:r>
              <w:rPr>
                <w:rFonts w:hint="eastAsia" w:ascii="Times New Roman" w:hAnsi="Times New Roman" w:eastAsia="宋体" w:cs="宋体"/>
                <w:sz w:val="21"/>
                <w:szCs w:val="21"/>
                <w:lang w:eastAsia="zh-CN"/>
              </w:rPr>
              <w:t>（包括但不限于：合同名称页、合同主要内容页、合同签订日期页、合同双方签字盖章页）</w:t>
            </w:r>
            <w:r>
              <w:rPr>
                <w:rFonts w:hint="eastAsia" w:ascii="Times New Roman" w:hAnsi="Times New Roman" w:eastAsia="宋体" w:cs="宋体"/>
                <w:sz w:val="21"/>
                <w:szCs w:val="21"/>
              </w:rPr>
              <w:t>及验收报告扫描件，原件备查。</w:t>
            </w:r>
          </w:p>
          <w:p>
            <w:pPr>
              <w:pStyle w:val="9"/>
              <w:snapToGrid w:val="0"/>
              <w:spacing w:line="240" w:lineRule="auto"/>
              <w:rPr>
                <w:rFonts w:hint="eastAsia" w:ascii="Times New Roman" w:hAnsi="Times New Roman" w:eastAsia="宋体" w:cs="宋体"/>
                <w:sz w:val="21"/>
                <w:szCs w:val="21"/>
              </w:rPr>
            </w:pPr>
            <w:r>
              <w:rPr>
                <w:rFonts w:hint="eastAsia" w:ascii="Times New Roman" w:hAnsi="Times New Roman" w:eastAsia="宋体" w:cs="宋体"/>
                <w:sz w:val="21"/>
                <w:szCs w:val="21"/>
              </w:rPr>
              <w:t>未提供或提供的不符合或提供不清晰导致无法判断的均不得分）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lang w:eastAsia="zh-CN"/>
              </w:rPr>
            </w:pPr>
            <w:r>
              <w:rPr>
                <w:rFonts w:hint="eastAsia" w:ascii="Times New Roman" w:hAnsi="Times New Roman" w:eastAsia="宋体" w:cs="宋体"/>
                <w:b/>
                <w:bCs/>
                <w:sz w:val="21"/>
                <w:szCs w:val="21"/>
                <w:lang w:val="en-US" w:eastAsia="zh-CN"/>
              </w:rPr>
              <w:t>4</w:t>
            </w:r>
          </w:p>
        </w:tc>
        <w:tc>
          <w:tcPr>
            <w:tcW w:w="3093"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40" w:lineRule="auto"/>
              <w:jc w:val="center"/>
              <w:rPr>
                <w:rFonts w:hint="eastAsia" w:ascii="Times New Roman" w:hAnsi="Times New Roman" w:eastAsia="宋体" w:cs="宋体"/>
                <w:b/>
                <w:bCs/>
                <w:sz w:val="21"/>
                <w:szCs w:val="21"/>
              </w:rPr>
            </w:pPr>
            <w:r>
              <w:rPr>
                <w:rFonts w:hint="eastAsia" w:ascii="Times New Roman" w:hAnsi="Times New Roman" w:eastAsia="宋体" w:cs="宋体"/>
                <w:b/>
                <w:bCs/>
                <w:sz w:val="21"/>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序号</w:t>
            </w:r>
          </w:p>
        </w:tc>
        <w:tc>
          <w:tcPr>
            <w:tcW w:w="1447"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评分因素</w:t>
            </w:r>
          </w:p>
        </w:tc>
        <w:tc>
          <w:tcPr>
            <w:tcW w:w="99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权重</w:t>
            </w:r>
            <w:r>
              <w:rPr>
                <w:rFonts w:hint="eastAsia" w:ascii="Times New Roman" w:hAnsi="Times New Roman" w:eastAsia="宋体" w:cs="宋体"/>
                <w:bCs/>
                <w:sz w:val="21"/>
                <w:szCs w:val="21"/>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rPr>
                <w:rFonts w:hint="eastAsia" w:ascii="Times New Roman" w:hAnsi="Times New Roman" w:eastAsia="宋体" w:cs="宋体"/>
                <w:b/>
                <w:bCs/>
                <w:sz w:val="21"/>
                <w:szCs w:val="21"/>
              </w:rPr>
            </w:pPr>
          </w:p>
        </w:tc>
        <w:tc>
          <w:tcPr>
            <w:tcW w:w="65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1</w:t>
            </w:r>
          </w:p>
        </w:tc>
        <w:tc>
          <w:tcPr>
            <w:tcW w:w="144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诚信情况</w:t>
            </w:r>
          </w:p>
        </w:tc>
        <w:tc>
          <w:tcPr>
            <w:tcW w:w="99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40" w:lineRule="auto"/>
              <w:jc w:val="center"/>
              <w:rPr>
                <w:rFonts w:hint="eastAsia" w:ascii="Times New Roman" w:hAnsi="Times New Roman" w:eastAsia="宋体" w:cs="宋体"/>
                <w:sz w:val="21"/>
                <w:szCs w:val="21"/>
              </w:rPr>
            </w:pPr>
            <w:r>
              <w:rPr>
                <w:rFonts w:hint="eastAsia" w:ascii="Times New Roman" w:hAnsi="Times New Roman" w:eastAsia="宋体" w:cs="宋体"/>
                <w:sz w:val="21"/>
                <w:szCs w:val="21"/>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pStyle w:val="2"/>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heme="minorEastAsia"/>
                <w:b w:val="0"/>
                <w:bCs w:val="0"/>
                <w:sz w:val="21"/>
                <w:szCs w:val="21"/>
              </w:rPr>
            </w:pPr>
            <w:r>
              <w:rPr>
                <w:rFonts w:hint="eastAsia" w:ascii="Times New Roman" w:hAnsi="Times New Roman" w:eastAsia="宋体"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imes New Roman" w:hAnsi="Times New Roman" w:eastAsia="宋体" w:cstheme="minorEastAsia"/>
                <w:b w:val="0"/>
                <w:bCs w:val="0"/>
                <w:sz w:val="21"/>
                <w:szCs w:val="21"/>
                <w:lang w:val="en-US" w:eastAsia="zh-CN"/>
              </w:rPr>
              <w:t>有关</w:t>
            </w:r>
            <w:r>
              <w:rPr>
                <w:rFonts w:hint="eastAsia" w:ascii="Times New Roman" w:hAnsi="Times New Roman" w:eastAsia="宋体" w:cstheme="minorEastAsia"/>
                <w:b w:val="0"/>
                <w:bCs w:val="0"/>
                <w:sz w:val="21"/>
                <w:szCs w:val="21"/>
              </w:rPr>
              <w:t>供应商诚信查询结果。</w:t>
            </w:r>
          </w:p>
          <w:p>
            <w:pPr>
              <w:pStyle w:val="2"/>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rPr>
            </w:pPr>
            <w:r>
              <w:rPr>
                <w:rFonts w:hint="eastAsia" w:ascii="Times New Roman" w:hAnsi="Times New Roman" w:eastAsia="宋体" w:cstheme="minorEastAsia"/>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84"/>
          <w:szCs w:val="84"/>
        </w:rPr>
      </w:pPr>
    </w:p>
    <w:p>
      <w:pPr>
        <w:jc w:val="center"/>
        <w:rPr>
          <w:b/>
          <w:sz w:val="84"/>
          <w:szCs w:val="84"/>
        </w:rPr>
      </w:pPr>
    </w:p>
    <w:p>
      <w:pPr>
        <w:jc w:val="center"/>
        <w:rPr>
          <w:b/>
          <w:sz w:val="84"/>
          <w:szCs w:val="84"/>
        </w:rPr>
      </w:pPr>
    </w:p>
    <w:p>
      <w:pPr>
        <w:jc w:val="center"/>
        <w:rPr>
          <w:b/>
          <w:sz w:val="84"/>
          <w:szCs w:val="84"/>
        </w:rPr>
      </w:pPr>
    </w:p>
    <w:p>
      <w:pPr>
        <w:rPr>
          <w:rFonts w:hint="eastAsia"/>
          <w:b/>
          <w:sz w:val="120"/>
          <w:szCs w:val="120"/>
          <w:lang w:eastAsia="zh-CN"/>
        </w:rPr>
      </w:pPr>
    </w:p>
    <w:p>
      <w:pPr>
        <w:jc w:val="center"/>
        <w:rPr>
          <w:b/>
          <w:sz w:val="120"/>
          <w:szCs w:val="120"/>
        </w:rPr>
      </w:pPr>
      <w:r>
        <w:rPr>
          <w:rFonts w:hint="eastAsia"/>
          <w:b/>
          <w:sz w:val="120"/>
          <w:szCs w:val="120"/>
          <w:lang w:eastAsia="zh-CN"/>
        </w:rPr>
        <w:t>自行</w:t>
      </w:r>
      <w:r>
        <w:rPr>
          <w:rFonts w:hint="eastAsia"/>
          <w:b/>
          <w:sz w:val="120"/>
          <w:szCs w:val="120"/>
        </w:rPr>
        <w:t>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4</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ind w:firstLine="3654" w:firstLineChars="1300"/>
        <w:rPr>
          <w:rFonts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ind w:firstLine="422" w:firstLineChars="200"/>
        <w:rPr>
          <w:rFonts w:hint="eastAsia"/>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b w:val="0"/>
          <w:bCs/>
          <w:color w:val="FF0000"/>
          <w:sz w:val="20"/>
          <w:szCs w:val="20"/>
          <w:lang w:val="en-US" w:eastAsia="zh-CN"/>
        </w:rPr>
      </w:pPr>
      <w:r>
        <w:rPr>
          <w:rFonts w:hint="eastAsia"/>
          <w:b w:val="0"/>
          <w:bCs/>
          <w:color w:val="FF0000"/>
          <w:sz w:val="20"/>
          <w:szCs w:val="20"/>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ind w:firstLine="400" w:firstLineChars="200"/>
        <w:rPr>
          <w:rFonts w:hint="eastAsia"/>
          <w:b w:val="0"/>
          <w:bCs/>
          <w:color w:val="FF0000"/>
          <w:sz w:val="20"/>
          <w:szCs w:val="20"/>
          <w:lang w:val="en-US" w:eastAsia="zh-CN"/>
        </w:rPr>
      </w:pPr>
      <w:r>
        <w:rPr>
          <w:rFonts w:hint="eastAsia"/>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ind w:firstLine="400" w:firstLineChars="200"/>
        <w:rPr>
          <w:rFonts w:hint="eastAsia"/>
          <w:b w:val="0"/>
          <w:bCs/>
          <w:color w:val="FF0000"/>
          <w:sz w:val="20"/>
          <w:szCs w:val="20"/>
          <w:lang w:val="en-US" w:eastAsia="zh-CN"/>
        </w:rPr>
      </w:pPr>
      <w:r>
        <w:rPr>
          <w:rFonts w:hint="eastAsia"/>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b w:val="0"/>
          <w:bCs/>
          <w:color w:val="FF0000"/>
          <w:sz w:val="20"/>
          <w:szCs w:val="20"/>
          <w:lang w:val="en-US" w:eastAsia="zh-CN"/>
        </w:rPr>
        <w:t>，请各供应商独立编制、上传投标文件，妥善保管和使用电子秘钥。</w:t>
      </w:r>
    </w:p>
    <w:p>
      <w:pPr>
        <w:snapToGrid w:val="0"/>
        <w:spacing w:line="360" w:lineRule="exact"/>
        <w:jc w:val="left"/>
        <w:rPr>
          <w:rFonts w:ascii="宋体" w:hAnsi="宋体" w:eastAsia="宋体" w:cs="宋体"/>
          <w:color w:val="000000"/>
          <w:kern w:val="0"/>
          <w:sz w:val="24"/>
          <w:szCs w:val="24"/>
        </w:rPr>
      </w:pPr>
    </w:p>
    <w:p>
      <w:pPr>
        <w:snapToGrid w:val="0"/>
        <w:spacing w:line="360" w:lineRule="exact"/>
        <w:jc w:val="left"/>
        <w:rPr>
          <w:rFonts w:ascii="宋体" w:hAnsi="宋体" w:eastAsia="宋体" w:cs="宋体"/>
          <w:color w:val="000000"/>
          <w:kern w:val="0"/>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outlineLvl w:val="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outlineLvl w:val="0"/>
      </w:pPr>
      <w:r>
        <w:rPr>
          <w:rFonts w:hint="eastAsia"/>
        </w:rPr>
        <w:t xml:space="preserve">          第十一章  质疑处理</w:t>
      </w:r>
    </w:p>
    <w:p/>
    <w:p/>
    <w:p>
      <w:pPr>
        <w:widowControl/>
        <w:jc w:val="left"/>
      </w:pPr>
      <w:r>
        <w:br w:type="page"/>
      </w:r>
    </w:p>
    <w:p>
      <w:pPr>
        <w:pStyle w:val="3"/>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kern w:val="0"/>
          <w:szCs w:val="21"/>
          <w:highlight w:val="none"/>
        </w:rPr>
        <w:t>2.本项目不接受联合体投标</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不接受投标人选用进口产品参与投标；</w:t>
      </w:r>
    </w:p>
    <w:p>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w:t>
      </w:r>
      <w:r>
        <w:rPr>
          <w:rFonts w:hint="eastAsia" w:ascii="宋体" w:hAnsi="宋体" w:cs="宋体"/>
          <w:color w:val="auto"/>
          <w:kern w:val="0"/>
          <w:szCs w:val="21"/>
          <w:highlight w:val="none"/>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color w:val="auto"/>
          <w:kern w:val="0"/>
          <w:szCs w:val="21"/>
        </w:rPr>
      </w:pPr>
      <w:r>
        <w:rPr>
          <w:rFonts w:hint="eastAsia" w:ascii="宋体" w:hAnsi="宋体" w:cs="宋体"/>
          <w:color w:val="auto"/>
          <w:kern w:val="0"/>
          <w:szCs w:val="21"/>
          <w:lang w:val="en-US" w:eastAsia="zh-CN"/>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color w:val="auto"/>
          <w:kern w:val="0"/>
          <w:szCs w:val="21"/>
          <w:lang w:val="en-US" w:eastAsia="zh-CN"/>
        </w:rPr>
        <w:t>；</w:t>
      </w:r>
    </w:p>
    <w:p>
      <w:pPr>
        <w:ind w:firstLine="630" w:firstLineChars="3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6.不存在《深圳市财政局政府采购供应商信用信息管理办法》（深财规〔2023〕3号）列明的严重违法失信行为</w:t>
      </w:r>
      <w:r>
        <w:rPr>
          <w:rFonts w:hint="eastAsia" w:ascii="宋体" w:hAnsi="宋体" w:cs="宋体"/>
          <w:color w:val="auto"/>
          <w:kern w:val="0"/>
          <w:szCs w:val="21"/>
        </w:rPr>
        <w:t>（由供应商在《政府采购投标及履约承诺函》中作出声明）</w:t>
      </w:r>
      <w:r>
        <w:rPr>
          <w:rFonts w:hint="eastAsia" w:ascii="宋体" w:hAnsi="宋体" w:cs="宋体"/>
          <w:color w:val="auto"/>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color w:val="auto"/>
          <w:kern w:val="0"/>
          <w:szCs w:val="21"/>
          <w:lang w:val="en-US" w:eastAsia="zh-CN"/>
        </w:rPr>
        <w:t>7</w:t>
      </w:r>
      <w:r>
        <w:rPr>
          <w:rFonts w:hint="eastAsia" w:ascii="宋体" w:hAnsi="宋体" w:cs="宋体"/>
          <w:color w:val="auto"/>
          <w:kern w:val="0"/>
          <w:szCs w:val="21"/>
        </w:rPr>
        <w:t>.单位负责人为同一人或者存在直接控股、管理关</w:t>
      </w:r>
      <w:r>
        <w:rPr>
          <w:rFonts w:hint="eastAsia" w:ascii="宋体" w:hAnsi="宋体" w:cs="宋体"/>
          <w:kern w:val="0"/>
          <w:szCs w:val="21"/>
        </w:rPr>
        <w:t>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hint="eastAsia" w:ascii="宋体" w:hAnsi="宋体" w:cs="宋体" w:eastAsiaTheme="minorEastAsia"/>
          <w:kern w:val="0"/>
          <w:szCs w:val="21"/>
          <w:highlight w:val="yellow"/>
          <w:lang w:eastAsia="zh-CN"/>
        </w:rPr>
      </w:pPr>
      <w:r>
        <w:rPr>
          <w:rFonts w:hint="eastAsia" w:ascii="宋体" w:hAnsi="宋体" w:cs="宋体"/>
          <w:b w:val="0"/>
          <w:bCs w:val="0"/>
          <w:color w:val="auto"/>
          <w:kern w:val="0"/>
          <w:szCs w:val="21"/>
          <w:highlight w:val="none"/>
          <w:lang w:val="en-US" w:eastAsia="zh-CN"/>
        </w:rPr>
        <w:t>8</w:t>
      </w:r>
      <w:r>
        <w:rPr>
          <w:rFonts w:hint="eastAsia" w:ascii="宋体" w:hAnsi="宋体" w:cs="宋体"/>
          <w:b w:val="0"/>
          <w:bCs w:val="0"/>
          <w:color w:val="auto"/>
          <w:kern w:val="0"/>
          <w:szCs w:val="21"/>
          <w:highlight w:val="none"/>
        </w:rPr>
        <w:t>.</w:t>
      </w:r>
      <w:r>
        <w:rPr>
          <w:rFonts w:hint="eastAsia" w:ascii="宋体" w:hAnsi="宋体" w:cs="宋体"/>
          <w:b/>
          <w:bCs/>
          <w:color w:val="auto"/>
          <w:kern w:val="0"/>
          <w:szCs w:val="21"/>
        </w:rPr>
        <w:t>投标人需根据实际填写“股东构成审查表”（详见采购文件相应章节）</w:t>
      </w:r>
      <w:r>
        <w:rPr>
          <w:rFonts w:hint="eastAsia" w:ascii="宋体" w:hAnsi="宋体" w:cs="宋体"/>
          <w:color w:val="auto"/>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pPr>
        <w:spacing w:afterLines="25"/>
        <w:rPr>
          <w:rFonts w:ascii="Arial" w:hAnsi="Arial" w:eastAsia="宋体" w:cs="Times New Roman"/>
          <w:b/>
          <w:color w:val="FF0000"/>
          <w:sz w:val="30"/>
          <w:szCs w:val="30"/>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pPr>
        <w:keepNext/>
        <w:keepLines/>
        <w:adjustRightInd w:val="0"/>
        <w:spacing w:beforeLines="50" w:afterLines="50"/>
        <w:jc w:val="center"/>
        <w:textAlignment w:val="baseline"/>
        <w:outlineLvl w:val="2"/>
        <w:rPr>
          <w:rFonts w:hint="eastAsia" w:ascii="宋体" w:hAnsi="宋体" w:eastAsia="宋体" w:cs="Times New Roman"/>
          <w:b/>
          <w:bCs/>
          <w:kern w:val="0"/>
          <w:sz w:val="24"/>
          <w:szCs w:val="24"/>
        </w:rPr>
      </w:pPr>
      <w:bookmarkStart w:id="3" w:name="_Toc101074876"/>
      <w:bookmarkStart w:id="4" w:name="_Toc73521547"/>
      <w:bookmarkStart w:id="5" w:name="_Toc100052364"/>
      <w:bookmarkStart w:id="6" w:name="_Toc73521635"/>
      <w:bookmarkStart w:id="7" w:name="_Toc73518117"/>
      <w:bookmarkStart w:id="8" w:name="_Toc73517639"/>
      <w:bookmarkStart w:id="9" w:name="_Toc60560625"/>
      <w:bookmarkStart w:id="10" w:name="_Toc60631620"/>
      <w:r>
        <w:rPr>
          <w:rFonts w:hint="eastAsia" w:ascii="宋体" w:hAnsi="宋体" w:eastAsia="宋体" w:cs="Times New Roman"/>
          <w:b/>
          <w:bCs/>
          <w:kern w:val="0"/>
          <w:sz w:val="24"/>
          <w:szCs w:val="24"/>
        </w:rPr>
        <w:t>一、对通用条款的补充内容</w:t>
      </w:r>
    </w:p>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hint="default" w:ascii="宋体" w:hAnsi="宋体" w:eastAsiaTheme="minorEastAsia"/>
                <w:lang w:val="en-US" w:eastAsia="zh-CN"/>
              </w:rPr>
            </w:pPr>
            <w:r>
              <w:rPr>
                <w:rFonts w:hint="default" w:ascii="宋体" w:hAnsi="宋体" w:eastAsiaTheme="minorEastAsia"/>
                <w:lang w:val="en-US" w:eastAsia="zh-CN"/>
              </w:rPr>
              <w:t>深圳市龙华区和平实验小学附属汇德里幼儿园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w:t>
            </w:r>
            <w:r>
              <w:rPr>
                <w:rFonts w:hint="eastAsia" w:ascii="Arial" w:hAnsi="Arial" w:eastAsia="宋体" w:cs="Times New Roman"/>
                <w:szCs w:val="24"/>
                <w:lang w:eastAsia="zh-CN"/>
              </w:rPr>
              <w:t>龙华</w:t>
            </w:r>
            <w:r>
              <w:rPr>
                <w:rFonts w:hint="eastAsia" w:ascii="Arial" w:hAnsi="Arial" w:eastAsia="宋体" w:cs="Times New Roman"/>
                <w:szCs w:val="24"/>
              </w:rPr>
              <w:t>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hint="default" w:ascii="Arial" w:hAnsi="Arial" w:eastAsia="宋体" w:cs="Times New Roman"/>
                <w:szCs w:val="24"/>
                <w:highlight w:val="none"/>
                <w:lang w:val="en-US" w:eastAsia="zh-CN"/>
              </w:rPr>
            </w:pPr>
            <w:r>
              <w:rPr>
                <w:rFonts w:hint="eastAsia" w:ascii="Arial" w:hAnsi="Arial" w:eastAsia="宋体" w:cs="Times New Roman"/>
                <w:szCs w:val="24"/>
                <w:highlight w:val="none"/>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jc w:val="left"/>
              <w:rPr>
                <w:rFonts w:hint="eastAsia" w:ascii="Arial" w:hAnsi="Arial" w:eastAsia="宋体" w:cs="Times New Roman"/>
                <w:szCs w:val="24"/>
                <w:highlight w:val="none"/>
              </w:rPr>
            </w:pPr>
            <w:r>
              <w:rPr>
                <w:rFonts w:hint="eastAsia" w:ascii="宋体" w:hAnsi="宋体" w:eastAsia="宋体" w:cs="宋体"/>
                <w:b/>
                <w:bCs/>
                <w:highlight w:val="yellow"/>
                <w:lang w:eastAsia="zh-CN"/>
              </w:rPr>
              <w:t>组织</w:t>
            </w:r>
            <w:r>
              <w:rPr>
                <w:rFonts w:hint="eastAsia" w:ascii="宋体" w:hAnsi="宋体" w:cs="宋体"/>
                <w:b/>
                <w:bCs/>
                <w:highlight w:val="yellow"/>
                <w:lang w:eastAsia="zh-CN"/>
              </w:rPr>
              <w:t>，</w:t>
            </w:r>
            <w:r>
              <w:rPr>
                <w:rFonts w:hint="eastAsia" w:ascii="宋体" w:hAnsi="宋体" w:eastAsia="宋体" w:cs="宋体"/>
                <w:b/>
                <w:bCs/>
                <w:highlight w:val="yellow"/>
                <w:lang w:eastAsia="zh-CN"/>
              </w:rPr>
              <w:t>具体安排见</w:t>
            </w:r>
            <w:r>
              <w:rPr>
                <w:rFonts w:hint="eastAsia" w:ascii="宋体" w:hAnsi="宋体" w:cs="宋体"/>
                <w:b/>
                <w:bCs/>
                <w:highlight w:val="yellow"/>
                <w:lang w:eastAsia="zh-CN"/>
              </w:rPr>
              <w:t>“</w:t>
            </w:r>
            <w:r>
              <w:rPr>
                <w:rFonts w:hint="eastAsia" w:ascii="宋体" w:hAnsi="宋体" w:eastAsia="宋体" w:cs="宋体"/>
                <w:b/>
                <w:bCs/>
                <w:highlight w:val="yellow"/>
                <w:lang w:eastAsia="zh-CN"/>
              </w:rPr>
              <w:t>其他关键信息</w:t>
            </w:r>
            <w:r>
              <w:rPr>
                <w:rFonts w:hint="eastAsia" w:ascii="宋体" w:hAnsi="宋体" w:cs="宋体"/>
                <w:b/>
                <w:bCs/>
                <w:highlight w:val="yellow"/>
                <w:lang w:eastAsia="zh-CN"/>
              </w:rPr>
              <w:t>”</w:t>
            </w:r>
            <w:r>
              <w:rPr>
                <w:rFonts w:hint="eastAsia" w:ascii="宋体" w:hAnsi="宋体" w:eastAsia="宋体" w:cs="宋体"/>
                <w:b/>
                <w:bCs/>
                <w:highlight w:val="yellow"/>
                <w:lang w:eastAsia="zh-CN"/>
              </w:rPr>
              <w:t>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hint="eastAsia" w:ascii="宋体" w:hAnsi="宋体"/>
                <w:lang w:eastAsia="zh-CN"/>
              </w:rPr>
            </w:pPr>
            <w:r>
              <w:rPr>
                <w:rFonts w:hint="eastAsia" w:ascii="宋体" w:hAnsi="宋体"/>
                <w:lang w:eastAsia="zh-CN"/>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hint="eastAsia" w:ascii="宋体" w:hAnsi="宋体"/>
              </w:rPr>
            </w:pPr>
            <w:r>
              <w:rPr>
                <w:rFonts w:hint="eastAsia" w:ascii="宋体" w:hAnsi="宋体"/>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hint="eastAsia" w:ascii="宋体" w:hAnsi="宋体"/>
              </w:rPr>
            </w:pPr>
            <w:r>
              <w:rPr>
                <w:rFonts w:hint="eastAsia" w:ascii="宋体" w:hAnsi="宋体"/>
                <w:lang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hint="eastAsia" w:ascii="宋体" w:hAnsi="宋体"/>
              </w:rPr>
            </w:pPr>
            <w:r>
              <w:rPr>
                <w:rFonts w:hint="eastAsia" w:ascii="宋体" w:hAnsi="宋体"/>
                <w:lang w:eastAsia="zh-CN"/>
              </w:rPr>
              <w:t>投标文件大小不得超过</w:t>
            </w:r>
            <w:r>
              <w:rPr>
                <w:rFonts w:hint="eastAsia" w:ascii="宋体" w:hAnsi="宋体"/>
                <w:lang w:val="en-US" w:eastAsia="zh-CN"/>
              </w:rPr>
              <w:t>1</w:t>
            </w:r>
            <w:r>
              <w:rPr>
                <w:rFonts w:hint="eastAsia" w:ascii="宋体" w:hAnsi="宋体"/>
                <w:lang w:eastAsia="zh-CN"/>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1" w:name="_Hlk71664860"/>
            <w:r>
              <w:rPr>
                <w:rFonts w:hint="eastAsia" w:ascii="宋体" w:hAnsi="宋体"/>
              </w:rPr>
              <w:t>样品、现场演示、方案讲解</w:t>
            </w:r>
            <w:bookmarkEnd w:id="11"/>
          </w:p>
        </w:tc>
        <w:tc>
          <w:tcPr>
            <w:tcW w:w="6795" w:type="dxa"/>
            <w:vAlign w:val="center"/>
          </w:tcPr>
          <w:p>
            <w:pPr>
              <w:jc w:val="left"/>
              <w:rPr>
                <w:rFonts w:hint="eastAsia" w:ascii="宋体" w:hAnsi="宋体" w:eastAsiaTheme="minorEastAsia"/>
                <w:lang w:val="en-US" w:eastAsia="zh-CN"/>
              </w:rPr>
            </w:pPr>
            <w:r>
              <w:rPr>
                <w:rFonts w:hint="eastAsia" w:ascii="宋体" w:hAnsi="宋体"/>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不需要</w:t>
            </w:r>
          </w:p>
        </w:tc>
      </w:tr>
      <w:bookmarkEnd w:id="3"/>
      <w:bookmarkEnd w:id="4"/>
      <w:bookmarkEnd w:id="5"/>
      <w:bookmarkEnd w:id="6"/>
      <w:bookmarkEnd w:id="7"/>
      <w:bookmarkEnd w:id="8"/>
      <w:bookmarkEnd w:id="9"/>
      <w:bookmarkEnd w:id="10"/>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lang w:val="en-US" w:eastAsia="zh-CN"/>
        </w:rPr>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8"/>
        <w:tblW w:w="6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eastAsia" w:eastAsia="宋体"/>
                <w:lang w:val="en-US" w:eastAsia="zh-CN"/>
              </w:rPr>
            </w:pPr>
            <w:r>
              <w:rPr>
                <w:rFonts w:hint="eastAsia"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r>
    </w:tbl>
    <w:p>
      <w:pPr>
        <w:keepNext w:val="0"/>
        <w:keepLines w:val="0"/>
        <w:pageBreakBefore w:val="0"/>
        <w:tabs>
          <w:tab w:val="left" w:pos="720"/>
        </w:tabs>
        <w:kinsoku/>
        <w:wordWrap/>
        <w:overflowPunct/>
        <w:topLinePunct w:val="0"/>
        <w:autoSpaceDE/>
        <w:autoSpaceDN/>
        <w:bidi w:val="0"/>
        <w:adjustRightInd/>
        <w:snapToGrid/>
        <w:spacing w:line="240" w:lineRule="atLeast"/>
        <w:textAlignment w:val="auto"/>
        <w:rPr>
          <w:rFonts w:hint="eastAsia" w:ascii="宋体" w:hAnsi="宋体" w:eastAsia="宋体" w:cs="宋体"/>
          <w:bCs/>
          <w:sz w:val="21"/>
          <w:szCs w:val="21"/>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tLeast"/>
        <w:ind w:left="0" w:leftChars="0" w:right="0" w:firstLine="0" w:firstLineChars="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踏勘现场</w:t>
      </w:r>
    </w:p>
    <w:p>
      <w:pPr>
        <w:pageBreakBefore w:val="0"/>
        <w:kinsoku/>
        <w:overflowPunct/>
        <w:topLinePunct w:val="0"/>
        <w:autoSpaceDE/>
        <w:autoSpaceDN/>
        <w:bidi w:val="0"/>
        <w:spacing w:beforeAutospacing="0" w:afterAutospacing="0" w:line="360" w:lineRule="auto"/>
        <w:ind w:left="0" w:right="0" w:firstLine="420" w:firstLineChars="200"/>
        <w:rPr>
          <w:rFonts w:hint="eastAsia" w:ascii="Times New Roman" w:hAnsi="Times New Roman" w:eastAsia="宋体" w:cs="宋体"/>
          <w:sz w:val="21"/>
          <w:szCs w:val="24"/>
          <w:highlight w:val="none"/>
        </w:rPr>
      </w:pPr>
      <w:r>
        <w:rPr>
          <w:rFonts w:hint="eastAsia" w:ascii="Times New Roman" w:hAnsi="Times New Roman" w:eastAsia="宋体" w:cs="宋体"/>
          <w:sz w:val="21"/>
          <w:szCs w:val="24"/>
          <w:highlight w:val="none"/>
        </w:rPr>
        <w:t>本项目定</w:t>
      </w:r>
      <w:r>
        <w:rPr>
          <w:rFonts w:hint="eastAsia" w:ascii="Times New Roman" w:hAnsi="Times New Roman" w:eastAsia="宋体" w:cs="宋体"/>
          <w:color w:val="000000" w:themeColor="text1"/>
          <w:sz w:val="21"/>
          <w:szCs w:val="24"/>
          <w:highlight w:val="none"/>
          <w14:textFill>
            <w14:solidFill>
              <w14:schemeClr w14:val="tx1"/>
            </w14:solidFill>
          </w14:textFill>
        </w:rPr>
        <w:t>于</w:t>
      </w:r>
      <w:r>
        <w:rPr>
          <w:rFonts w:hint="eastAsia" w:ascii="Times New Roman" w:hAnsi="Times New Roman" w:eastAsia="宋体" w:cs="宋体"/>
          <w:b/>
          <w:bCs/>
          <w:color w:val="000000" w:themeColor="text1"/>
          <w:sz w:val="21"/>
          <w:szCs w:val="24"/>
          <w:highlight w:val="yellow"/>
          <w:lang w:val="en-US" w:eastAsia="zh-CN"/>
          <w14:textFill>
            <w14:solidFill>
              <w14:schemeClr w14:val="tx1"/>
            </w14:solidFill>
          </w14:textFill>
        </w:rPr>
        <w:t>2024</w:t>
      </w:r>
      <w:r>
        <w:rPr>
          <w:rFonts w:hint="eastAsia" w:ascii="Times New Roman" w:hAnsi="Times New Roman" w:eastAsia="宋体" w:cs="宋体"/>
          <w:b/>
          <w:bCs/>
          <w:color w:val="000000" w:themeColor="text1"/>
          <w:sz w:val="21"/>
          <w:szCs w:val="24"/>
          <w:highlight w:val="yellow"/>
          <w14:textFill>
            <w14:solidFill>
              <w14:schemeClr w14:val="tx1"/>
            </w14:solidFill>
          </w14:textFill>
        </w:rPr>
        <w:t>年</w:t>
      </w:r>
      <w:r>
        <w:rPr>
          <w:rFonts w:hint="eastAsia" w:ascii="Times New Roman" w:hAnsi="Times New Roman" w:eastAsia="宋体" w:cs="宋体"/>
          <w:b/>
          <w:bCs/>
          <w:color w:val="000000" w:themeColor="text1"/>
          <w:sz w:val="21"/>
          <w:szCs w:val="24"/>
          <w:highlight w:val="yellow"/>
          <w:lang w:val="en-US" w:eastAsia="zh-CN"/>
          <w14:textFill>
            <w14:solidFill>
              <w14:schemeClr w14:val="tx1"/>
            </w14:solidFill>
          </w14:textFill>
        </w:rPr>
        <w:t>9</w:t>
      </w:r>
      <w:r>
        <w:rPr>
          <w:rFonts w:hint="eastAsia" w:ascii="Times New Roman" w:hAnsi="Times New Roman" w:eastAsia="宋体" w:cs="宋体"/>
          <w:b/>
          <w:bCs/>
          <w:color w:val="000000" w:themeColor="text1"/>
          <w:sz w:val="21"/>
          <w:szCs w:val="24"/>
          <w:highlight w:val="yellow"/>
          <w14:textFill>
            <w14:solidFill>
              <w14:schemeClr w14:val="tx1"/>
            </w14:solidFill>
          </w14:textFill>
        </w:rPr>
        <w:t>月</w:t>
      </w:r>
      <w:r>
        <w:rPr>
          <w:rFonts w:hint="eastAsia" w:ascii="Times New Roman" w:hAnsi="Times New Roman" w:eastAsia="宋体" w:cs="宋体"/>
          <w:b/>
          <w:bCs/>
          <w:color w:val="000000" w:themeColor="text1"/>
          <w:sz w:val="21"/>
          <w:szCs w:val="24"/>
          <w:highlight w:val="yellow"/>
          <w:lang w:val="en-US" w:eastAsia="zh-CN"/>
          <w14:textFill>
            <w14:solidFill>
              <w14:schemeClr w14:val="tx1"/>
            </w14:solidFill>
          </w14:textFill>
        </w:rPr>
        <w:t>28</w:t>
      </w:r>
      <w:r>
        <w:rPr>
          <w:rFonts w:hint="eastAsia" w:ascii="Times New Roman" w:hAnsi="Times New Roman" w:eastAsia="宋体" w:cs="宋体"/>
          <w:b/>
          <w:bCs/>
          <w:color w:val="000000" w:themeColor="text1"/>
          <w:sz w:val="21"/>
          <w:szCs w:val="24"/>
          <w:highlight w:val="yellow"/>
          <w14:textFill>
            <w14:solidFill>
              <w14:schemeClr w14:val="tx1"/>
            </w14:solidFill>
          </w14:textFill>
        </w:rPr>
        <w:t>日</w:t>
      </w:r>
      <w:r>
        <w:rPr>
          <w:rFonts w:hint="eastAsia" w:ascii="Times New Roman" w:hAnsi="Times New Roman" w:eastAsia="宋体" w:cs="宋体"/>
          <w:b/>
          <w:bCs/>
          <w:color w:val="000000" w:themeColor="text1"/>
          <w:sz w:val="21"/>
          <w:szCs w:val="24"/>
          <w:highlight w:val="yellow"/>
          <w:lang w:val="en-US" w:eastAsia="zh-CN"/>
          <w14:textFill>
            <w14:solidFill>
              <w14:schemeClr w14:val="tx1"/>
            </w14:solidFill>
          </w14:textFill>
        </w:rPr>
        <w:t>-2024年9月29日9:00-11：00</w:t>
      </w:r>
      <w:r>
        <w:rPr>
          <w:rFonts w:hint="eastAsia" w:ascii="Times New Roman" w:hAnsi="Times New Roman" w:eastAsia="宋体" w:cs="宋体"/>
          <w:sz w:val="21"/>
          <w:szCs w:val="24"/>
          <w:highlight w:val="none"/>
        </w:rPr>
        <w:t>在</w:t>
      </w:r>
      <w:r>
        <w:rPr>
          <w:rFonts w:hint="eastAsia"/>
        </w:rPr>
        <w:t>深圳市龙华区和平实验小学附属汇德里幼儿园</w:t>
      </w:r>
      <w:r>
        <w:rPr>
          <w:rFonts w:hint="eastAsia" w:ascii="Times New Roman" w:hAnsi="Times New Roman" w:eastAsia="宋体" w:cs="宋体"/>
          <w:sz w:val="21"/>
          <w:szCs w:val="21"/>
          <w:lang w:eastAsia="zh-CN"/>
        </w:rPr>
        <w:t>（地址：深圳市龙华区民治街道新区大道与简上路交汇处）</w:t>
      </w:r>
      <w:r>
        <w:rPr>
          <w:rFonts w:hint="eastAsia" w:ascii="Times New Roman" w:hAnsi="Times New Roman" w:eastAsia="宋体" w:cs="宋体"/>
          <w:sz w:val="21"/>
          <w:szCs w:val="24"/>
          <w:highlight w:val="none"/>
        </w:rPr>
        <w:t>，统一组织踏勘现场，请各投标人准时参加</w:t>
      </w:r>
      <w:r>
        <w:rPr>
          <w:rFonts w:hint="eastAsia" w:ascii="Times New Roman" w:hAnsi="Times New Roman" w:eastAsia="宋体" w:cs="宋体"/>
          <w:sz w:val="21"/>
          <w:szCs w:val="24"/>
          <w:highlight w:val="none"/>
          <w:lang w:eastAsia="zh-CN"/>
        </w:rPr>
        <w:t>，</w:t>
      </w:r>
      <w:r>
        <w:rPr>
          <w:rFonts w:hint="eastAsia" w:ascii="Times New Roman" w:hAnsi="Times New Roman" w:eastAsia="宋体" w:cs="宋体"/>
          <w:sz w:val="21"/>
          <w:szCs w:val="24"/>
          <w:highlight w:val="none"/>
        </w:rPr>
        <w:t>参与现场踏勘的投标人代表</w:t>
      </w:r>
      <w:r>
        <w:rPr>
          <w:rFonts w:hint="eastAsia" w:ascii="Times New Roman" w:hAnsi="Times New Roman" w:eastAsia="宋体" w:cs="宋体"/>
          <w:b/>
          <w:bCs/>
          <w:sz w:val="21"/>
          <w:szCs w:val="24"/>
          <w:highlight w:val="none"/>
        </w:rPr>
        <w:t>携带</w:t>
      </w:r>
      <w:r>
        <w:rPr>
          <w:rFonts w:hint="eastAsia" w:ascii="Times New Roman" w:hAnsi="Times New Roman" w:eastAsia="宋体" w:cs="宋体"/>
          <w:b/>
          <w:bCs/>
          <w:sz w:val="21"/>
          <w:szCs w:val="24"/>
          <w:highlight w:val="none"/>
          <w:lang w:eastAsia="zh-CN"/>
        </w:rPr>
        <w:t>：</w:t>
      </w:r>
      <w:r>
        <w:rPr>
          <w:rFonts w:hint="eastAsia" w:ascii="Times New Roman" w:hAnsi="Times New Roman" w:eastAsia="宋体" w:cs="宋体"/>
          <w:b/>
          <w:bCs/>
          <w:sz w:val="21"/>
          <w:szCs w:val="24"/>
          <w:highlight w:val="none"/>
          <w:lang w:val="en-US" w:eastAsia="zh-CN"/>
        </w:rPr>
        <w:t>①</w:t>
      </w:r>
      <w:r>
        <w:rPr>
          <w:rFonts w:hint="eastAsia" w:ascii="Times New Roman" w:hAnsi="Times New Roman" w:eastAsia="宋体" w:cs="宋体"/>
          <w:b/>
          <w:bCs/>
          <w:sz w:val="21"/>
          <w:szCs w:val="24"/>
          <w:highlight w:val="none"/>
        </w:rPr>
        <w:t>加盖公章的营业执照、</w:t>
      </w:r>
      <w:r>
        <w:rPr>
          <w:rFonts w:hint="eastAsia" w:ascii="Times New Roman" w:hAnsi="Times New Roman" w:eastAsia="宋体" w:cs="宋体"/>
          <w:b/>
          <w:bCs/>
          <w:sz w:val="21"/>
          <w:szCs w:val="24"/>
          <w:highlight w:val="none"/>
          <w:lang w:val="en-US" w:eastAsia="zh-CN"/>
        </w:rPr>
        <w:t>②</w:t>
      </w:r>
      <w:r>
        <w:rPr>
          <w:rFonts w:hint="eastAsia" w:ascii="Times New Roman" w:hAnsi="Times New Roman" w:eastAsia="宋体" w:cs="宋体"/>
          <w:b/>
          <w:bCs/>
          <w:sz w:val="21"/>
          <w:szCs w:val="24"/>
          <w:highlight w:val="none"/>
        </w:rPr>
        <w:t>法定代表人资格证明书</w:t>
      </w:r>
      <w:r>
        <w:rPr>
          <w:rFonts w:hint="eastAsia" w:ascii="Times New Roman" w:hAnsi="Times New Roman" w:eastAsia="宋体" w:cs="宋体"/>
          <w:b/>
          <w:bCs/>
          <w:sz w:val="21"/>
          <w:szCs w:val="24"/>
          <w:highlight w:val="none"/>
          <w:lang w:eastAsia="zh-CN"/>
        </w:rPr>
        <w:t>、</w:t>
      </w:r>
      <w:r>
        <w:rPr>
          <w:rFonts w:hint="eastAsia" w:ascii="Times New Roman" w:hAnsi="Times New Roman" w:eastAsia="宋体" w:cs="宋体"/>
          <w:b/>
          <w:bCs/>
          <w:sz w:val="21"/>
          <w:szCs w:val="24"/>
          <w:highlight w:val="none"/>
          <w:lang w:val="en-US" w:eastAsia="zh-CN"/>
        </w:rPr>
        <w:t>③</w:t>
      </w:r>
      <w:r>
        <w:rPr>
          <w:rFonts w:hint="eastAsia" w:ascii="Times New Roman" w:hAnsi="Times New Roman" w:eastAsia="宋体" w:cs="宋体"/>
          <w:b/>
          <w:bCs/>
          <w:sz w:val="21"/>
          <w:szCs w:val="24"/>
          <w:highlight w:val="none"/>
        </w:rPr>
        <w:t>授权委托书</w:t>
      </w:r>
      <w:r>
        <w:rPr>
          <w:rFonts w:hint="eastAsia" w:ascii="Times New Roman" w:hAnsi="Times New Roman" w:eastAsia="宋体" w:cs="宋体"/>
          <w:b/>
          <w:bCs/>
          <w:sz w:val="21"/>
          <w:szCs w:val="24"/>
          <w:highlight w:val="none"/>
          <w:lang w:val="en-US" w:eastAsia="zh-CN"/>
        </w:rPr>
        <w:t>和④参与踏勘的投标人代表的</w:t>
      </w:r>
      <w:r>
        <w:rPr>
          <w:rFonts w:hint="eastAsia" w:ascii="Times New Roman" w:hAnsi="Times New Roman" w:eastAsia="宋体" w:cs="宋体"/>
          <w:b/>
          <w:bCs/>
          <w:sz w:val="21"/>
          <w:szCs w:val="24"/>
          <w:highlight w:val="none"/>
        </w:rPr>
        <w:t>身份证</w:t>
      </w:r>
      <w:r>
        <w:rPr>
          <w:rFonts w:hint="eastAsia" w:ascii="Times New Roman" w:hAnsi="Times New Roman" w:eastAsia="宋体" w:cs="宋体"/>
          <w:b/>
          <w:bCs/>
          <w:sz w:val="21"/>
          <w:szCs w:val="24"/>
          <w:highlight w:val="none"/>
          <w:lang w:eastAsia="zh-CN"/>
        </w:rPr>
        <w:t>复印件</w:t>
      </w:r>
      <w:r>
        <w:rPr>
          <w:rFonts w:hint="eastAsia" w:ascii="Times New Roman" w:hAnsi="Times New Roman" w:eastAsia="宋体" w:cs="宋体"/>
          <w:b/>
          <w:bCs/>
          <w:sz w:val="21"/>
          <w:szCs w:val="24"/>
          <w:highlight w:val="none"/>
        </w:rPr>
        <w:t>（签到时必须提供）</w:t>
      </w:r>
      <w:r>
        <w:rPr>
          <w:rFonts w:hint="eastAsia" w:ascii="Times New Roman" w:hAnsi="Times New Roman" w:eastAsia="宋体" w:cs="宋体"/>
          <w:sz w:val="21"/>
          <w:szCs w:val="24"/>
          <w:highlight w:val="none"/>
          <w:lang w:eastAsia="zh-CN"/>
        </w:rPr>
        <w:t>，</w:t>
      </w:r>
      <w:r>
        <w:rPr>
          <w:rFonts w:hint="eastAsia" w:ascii="Times New Roman" w:hAnsi="Times New Roman" w:eastAsia="宋体" w:cs="宋体"/>
          <w:sz w:val="21"/>
          <w:szCs w:val="24"/>
          <w:highlight w:val="none"/>
        </w:rPr>
        <w:t>原件</w:t>
      </w:r>
      <w:r>
        <w:rPr>
          <w:rFonts w:hint="eastAsia" w:ascii="Times New Roman" w:hAnsi="Times New Roman" w:eastAsia="宋体" w:cs="宋体"/>
          <w:sz w:val="21"/>
          <w:szCs w:val="24"/>
          <w:highlight w:val="none"/>
          <w:lang w:eastAsia="zh-CN"/>
        </w:rPr>
        <w:t>备查</w:t>
      </w:r>
      <w:r>
        <w:rPr>
          <w:rFonts w:hint="eastAsia" w:ascii="Times New Roman" w:hAnsi="Times New Roman" w:eastAsia="宋体" w:cs="宋体"/>
          <w:sz w:val="21"/>
          <w:szCs w:val="24"/>
          <w:highlight w:val="none"/>
        </w:rPr>
        <w:t>，逾期不再单独安排</w:t>
      </w:r>
      <w:r>
        <w:rPr>
          <w:rFonts w:hint="eastAsia" w:ascii="Times New Roman" w:hAnsi="Times New Roman" w:eastAsia="宋体" w:cs="宋体"/>
          <w:sz w:val="21"/>
          <w:szCs w:val="24"/>
          <w:highlight w:val="none"/>
          <w:lang w:eastAsia="zh-CN"/>
        </w:rPr>
        <w:t>，</w:t>
      </w:r>
      <w:r>
        <w:rPr>
          <w:rFonts w:hint="eastAsia" w:ascii="Times New Roman" w:hAnsi="Times New Roman" w:eastAsia="宋体" w:cs="宋体"/>
          <w:sz w:val="21"/>
          <w:szCs w:val="24"/>
          <w:highlight w:val="none"/>
        </w:rPr>
        <w:t>未在规定时间内签到的视为放弃踏勘；联系人：</w:t>
      </w:r>
      <w:r>
        <w:rPr>
          <w:rFonts w:hint="eastAsia" w:ascii="Times New Roman" w:hAnsi="Times New Roman" w:eastAsia="宋体" w:cs="宋体"/>
          <w:sz w:val="21"/>
          <w:szCs w:val="24"/>
          <w:highlight w:val="none"/>
          <w:lang w:val="en-US" w:eastAsia="zh-CN"/>
        </w:rPr>
        <w:t>张</w:t>
      </w:r>
      <w:r>
        <w:rPr>
          <w:rFonts w:hint="eastAsia" w:ascii="Times New Roman" w:hAnsi="Times New Roman" w:eastAsia="宋体" w:cs="宋体"/>
          <w:sz w:val="21"/>
          <w:szCs w:val="24"/>
          <w:highlight w:val="none"/>
        </w:rPr>
        <w:t>老师，联系电话：19076160739。</w:t>
      </w:r>
    </w:p>
    <w:p>
      <w:pPr>
        <w:keepNext w:val="0"/>
        <w:keepLines w:val="0"/>
        <w:pageBreakBefore w:val="0"/>
        <w:kinsoku/>
        <w:wordWrap/>
        <w:overflowPunct/>
        <w:topLinePunct w:val="0"/>
        <w:autoSpaceDE/>
        <w:autoSpaceDN/>
        <w:bidi w:val="0"/>
        <w:adjustRightInd/>
        <w:snapToGrid/>
        <w:spacing w:beforeAutospacing="0" w:afterAutospacing="0" w:line="240" w:lineRule="atLeast"/>
        <w:ind w:left="0" w:right="0" w:firstLine="0" w:firstLineChars="0"/>
        <w:textAlignment w:val="auto"/>
        <w:rPr>
          <w:rFonts w:hint="eastAsia" w:ascii="宋体" w:hAnsi="宋体" w:eastAsia="宋体" w:cs="宋体"/>
          <w:sz w:val="21"/>
          <w:szCs w:val="21"/>
          <w:highlight w:val="none"/>
        </w:rPr>
      </w:pPr>
    </w:p>
    <w:p>
      <w:pPr>
        <w:rPr>
          <w:rFonts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1、关于享受优惠政策的主体、价格扣除比例及采购标的所属行业</w:t>
      </w:r>
    </w:p>
    <w:p>
      <w:pPr>
        <w:ind w:firstLine="411" w:firstLineChars="196"/>
        <w:rPr>
          <w:rFonts w:ascii="Arial" w:hAnsi="Arial" w:eastAsia="宋体" w:cs="Times New Roman"/>
          <w:b/>
          <w:color w:val="0000FF"/>
          <w:szCs w:val="21"/>
        </w:rPr>
      </w:pPr>
      <w:r>
        <w:rPr>
          <w:rFonts w:hint="eastAsia" w:ascii="宋体" w:hAnsi="宋体" w:eastAsia="宋体" w:cs="宋体"/>
          <w:szCs w:val="21"/>
          <w:lang w:bidi="ar"/>
        </w:rPr>
        <w:t>（1）非专门面向中小企业采购的项目，应执行价格扣除比例：投标人提供的货物（以招标文件用户需求书“货物需求明细”的“货物名称”一栏为准）全部均由优惠主体制造的，对其投标总价给予</w:t>
      </w:r>
      <w:r>
        <w:rPr>
          <w:rFonts w:hint="eastAsia" w:ascii="宋体" w:hAnsi="宋体" w:eastAsia="宋体" w:cs="宋体"/>
          <w:b/>
          <w:szCs w:val="21"/>
          <w:highlight w:val="yellow"/>
          <w:u w:val="single"/>
          <w:lang w:bidi="ar"/>
        </w:rPr>
        <w:t>10%</w:t>
      </w:r>
      <w:r>
        <w:rPr>
          <w:rFonts w:hint="eastAsia" w:ascii="宋体" w:hAnsi="宋体" w:eastAsia="宋体" w:cs="宋体"/>
          <w:szCs w:val="21"/>
          <w:lang w:bidi="ar"/>
        </w:rPr>
        <w:t>的扣除，用扣除后的价格参与评审。满足多项优惠政策的企业，不重复享受多项价格扣除政策。</w:t>
      </w:r>
      <w:r>
        <w:rPr>
          <w:rFonts w:hint="eastAsia" w:ascii="宋体" w:hAnsi="宋体" w:eastAsia="宋体" w:cs="宋体"/>
          <w:b/>
          <w:szCs w:val="21"/>
          <w:lang w:bidi="ar"/>
        </w:rPr>
        <w:t>政策调整后价格仅作为评审依据，不作为中标价格。</w:t>
      </w:r>
    </w:p>
    <w:p>
      <w:pPr>
        <w:ind w:firstLine="420" w:firstLineChars="200"/>
        <w:rPr>
          <w:rFonts w:ascii="宋体" w:hAnsi="宋体" w:eastAsia="宋体" w:cs="宋体"/>
          <w:szCs w:val="21"/>
        </w:rPr>
      </w:pPr>
      <w:r>
        <w:rPr>
          <w:rFonts w:hint="eastAsia" w:ascii="宋体" w:hAnsi="宋体" w:eastAsia="宋体" w:cs="宋体"/>
          <w:szCs w:val="21"/>
          <w:lang w:bidi="ar"/>
        </w:rPr>
        <w:t>备注：</w:t>
      </w:r>
      <w:r>
        <w:rPr>
          <w:rFonts w:hint="eastAsia" w:ascii="宋体" w:hAnsi="宋体" w:eastAsia="宋体" w:cs="宋体"/>
          <w:b/>
          <w:bCs/>
          <w:szCs w:val="21"/>
          <w:lang w:bidi="ar"/>
        </w:rPr>
        <w:t>（a）</w:t>
      </w:r>
      <w:r>
        <w:rPr>
          <w:rFonts w:hint="eastAsia" w:ascii="宋体" w:hAnsi="宋体" w:eastAsia="宋体" w:cs="宋体"/>
          <w:b/>
          <w:bCs/>
          <w:color w:val="FF0000"/>
          <w:szCs w:val="21"/>
          <w:lang w:bidi="ar"/>
        </w:rPr>
        <w:t>优惠主体包括小型企业、微型企业、监狱企业、残疾人福利性单位</w:t>
      </w:r>
      <w:r>
        <w:rPr>
          <w:rFonts w:hint="eastAsia" w:ascii="宋体" w:hAnsi="宋体" w:eastAsia="宋体" w:cs="宋体"/>
          <w:szCs w:val="21"/>
          <w:lang w:bidi="ar"/>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根据《财政部</w:t>
      </w:r>
      <w:r>
        <w:rPr>
          <w:rFonts w:hint="eastAsia" w:ascii="宋体" w:hAnsi="宋体" w:eastAsia="宋体" w:cs="Times New Roman"/>
          <w:szCs w:val="21"/>
          <w:lang w:bidi="ar"/>
        </w:rPr>
        <w:t xml:space="preserve"> </w:t>
      </w:r>
      <w:r>
        <w:rPr>
          <w:rFonts w:hint="eastAsia" w:ascii="宋体" w:hAnsi="宋体" w:eastAsia="宋体" w:cs="宋体"/>
          <w:szCs w:val="21"/>
          <w:lang w:bidi="ar"/>
        </w:rPr>
        <w:t>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szCs w:val="21"/>
          <w:lang w:bidi="ar"/>
        </w:rPr>
        <w:t>(b)</w:t>
      </w:r>
      <w:r>
        <w:rPr>
          <w:rFonts w:hint="eastAsia" w:ascii="宋体" w:hAnsi="宋体" w:eastAsia="宋体" w:cs="宋体"/>
          <w:szCs w:val="21"/>
          <w:lang w:bidi="ar"/>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ascii="宋体" w:hAnsi="宋体" w:eastAsia="宋体" w:cs="宋体"/>
          <w:szCs w:val="21"/>
        </w:rPr>
      </w:pPr>
      <w:r>
        <w:rPr>
          <w:rFonts w:hint="eastAsia" w:ascii="宋体" w:hAnsi="宋体" w:eastAsia="宋体" w:cs="宋体"/>
          <w:szCs w:val="21"/>
          <w:lang w:bidi="ar"/>
        </w:rPr>
        <w:t>（2）中小企业参加政府采购活动，应当按照国务院批准的《中小企业划型标准规定》（工信部联企业〔2011〕300号）、《金融业企业划型标准规定》（银发〔2015〕309号）和《财政部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szCs w:val="21"/>
          <w:lang w:bidi="ar"/>
        </w:rPr>
        <w:t>《中小企业声明函》中相关企业所属行业应当与采购标的所属行业相一致。</w:t>
      </w:r>
      <w:r>
        <w:rPr>
          <w:rFonts w:hint="eastAsia" w:ascii="宋体" w:hAnsi="宋体" w:eastAsia="宋体" w:cs="宋体"/>
          <w:szCs w:val="21"/>
          <w:lang w:bidi="ar"/>
        </w:rPr>
        <w:t>本项目采购标的（货物）对应的中小企业划分标准所属行业为</w:t>
      </w:r>
      <w:r>
        <w:rPr>
          <w:rFonts w:hint="eastAsia" w:ascii="宋体" w:hAnsi="宋体" w:eastAsia="宋体" w:cs="宋体"/>
          <w:color w:val="FF0000"/>
          <w:szCs w:val="21"/>
          <w:u w:val="single"/>
          <w:lang w:bidi="ar"/>
        </w:rPr>
        <w:t xml:space="preserve"> </w:t>
      </w:r>
      <w:r>
        <w:rPr>
          <w:rFonts w:hint="eastAsia" w:asciiTheme="minorEastAsia" w:hAnsiTheme="minorEastAsia" w:cstheme="minorEastAsia"/>
          <w:b/>
          <w:bCs/>
          <w:color w:val="FF0000"/>
          <w:sz w:val="21"/>
          <w:szCs w:val="21"/>
          <w:u w:val="single"/>
          <w:lang w:eastAsia="zh-CN"/>
        </w:rPr>
        <w:t>工</w:t>
      </w:r>
      <w:r>
        <w:rPr>
          <w:rFonts w:hint="eastAsia" w:asciiTheme="minorEastAsia" w:hAnsiTheme="minorEastAsia" w:eastAsiaTheme="minorEastAsia" w:cstheme="minorEastAsia"/>
          <w:b/>
          <w:bCs/>
          <w:color w:val="FF0000"/>
          <w:sz w:val="21"/>
          <w:szCs w:val="21"/>
          <w:u w:val="single"/>
        </w:rPr>
        <w:t>业</w:t>
      </w:r>
      <w:r>
        <w:rPr>
          <w:rFonts w:hint="eastAsia" w:ascii="宋体" w:hAnsi="宋体" w:eastAsia="宋体" w:cs="宋体"/>
          <w:color w:val="FF0000"/>
          <w:szCs w:val="21"/>
          <w:u w:val="single"/>
          <w:lang w:bidi="ar"/>
        </w:rPr>
        <w:t xml:space="preserve"> </w:t>
      </w:r>
      <w:r>
        <w:rPr>
          <w:rFonts w:hint="eastAsia" w:ascii="宋体" w:hAnsi="宋体" w:eastAsia="宋体" w:cs="宋体"/>
          <w:szCs w:val="21"/>
          <w:lang w:bidi="ar"/>
        </w:rPr>
        <w:t>。</w:t>
      </w:r>
    </w:p>
    <w:p>
      <w:pPr>
        <w:ind w:firstLine="420" w:firstLineChars="200"/>
        <w:rPr>
          <w:rFonts w:ascii="宋体" w:hAnsi="宋体" w:eastAsia="宋体" w:cs="宋体"/>
          <w:szCs w:val="21"/>
        </w:rPr>
      </w:pPr>
      <w:r>
        <w:rPr>
          <w:rFonts w:hint="eastAsia" w:ascii="宋体" w:hAnsi="宋体" w:eastAsia="宋体" w:cs="宋体"/>
          <w:szCs w:val="21"/>
          <w:lang w:bidi="ar"/>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pPr>
        <w:tabs>
          <w:tab w:val="left" w:pos="720"/>
        </w:tabs>
        <w:ind w:firstLine="420" w:firstLineChars="200"/>
        <w:rPr>
          <w:rFonts w:ascii="黑体" w:hAnsi="宋体" w:eastAsia="黑体"/>
          <w:sz w:val="24"/>
        </w:rPr>
      </w:pPr>
      <w:r>
        <w:rPr>
          <w:rFonts w:hint="eastAsia" w:ascii="宋体" w:hAnsi="宋体" w:eastAsia="宋体" w:cs="宋体"/>
          <w:szCs w:val="21"/>
          <w:lang w:bidi="ar"/>
        </w:rPr>
        <w:t>（4）享受价格扣除获得政府采购合同的，小微企业不得将合同分包给大中型企业。</w:t>
      </w:r>
    </w:p>
    <w:p>
      <w:pPr>
        <w:tabs>
          <w:tab w:val="left" w:pos="720"/>
        </w:tabs>
        <w:rPr>
          <w:rFonts w:ascii="黑体" w:hAnsi="宋体" w:eastAsia="黑体"/>
          <w:sz w:val="24"/>
        </w:rPr>
      </w:pPr>
    </w:p>
    <w:p>
      <w:pPr>
        <w:tabs>
          <w:tab w:val="left" w:pos="720"/>
        </w:tabs>
        <w:rPr>
          <w:rFonts w:hint="eastAsia" w:ascii="宋体" w:hAnsi="宋体"/>
          <w:b/>
          <w:bCs/>
          <w:color w:val="FF0000"/>
          <w:lang w:eastAsia="zh-CN"/>
        </w:rPr>
      </w:pPr>
      <w:r>
        <w:rPr>
          <w:rFonts w:hint="eastAsia" w:ascii="宋体" w:hAnsi="宋体"/>
          <w:b/>
          <w:bCs/>
          <w:color w:val="FF0000"/>
          <w:lang w:val="en-US" w:eastAsia="zh-CN"/>
        </w:rPr>
        <w:t>2</w:t>
      </w:r>
      <w:r>
        <w:rPr>
          <w:rFonts w:hint="eastAsia" w:ascii="宋体" w:hAnsi="宋体"/>
          <w:b/>
          <w:bCs/>
          <w:color w:val="FF0000"/>
        </w:rPr>
        <w:t>、</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lang w:eastAsia="zh-CN"/>
        </w:rPr>
        <w:t>。</w:t>
      </w:r>
    </w:p>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供应商在领取《中标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通知书》之前须向深圳公共资源交易中心（深圳交易集团有限公司</w:t>
      </w:r>
      <w:r>
        <w:rPr>
          <w:rFonts w:hint="eastAsia" w:ascii="宋体" w:hAnsi="宋体"/>
          <w:color w:val="FF0000"/>
          <w:szCs w:val="21"/>
          <w:lang w:val="en-US" w:eastAsia="zh-CN"/>
        </w:rPr>
        <w:t>龙华</w:t>
      </w:r>
      <w:r>
        <w:rPr>
          <w:rFonts w:hint="eastAsia" w:ascii="宋体" w:hAnsi="宋体"/>
          <w:color w:val="FF0000"/>
          <w:szCs w:val="21"/>
        </w:rPr>
        <w:t>分公司）交纳代理服务费。若因中标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供应商交纳代理服务费所产生的时间影响到合同签订的，由中标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供应商自行承担责任。代理服务费标准参照</w:t>
      </w:r>
      <w:r>
        <w:rPr>
          <w:rFonts w:hint="eastAsia" w:ascii="宋体" w:hAnsi="宋体"/>
          <w:color w:val="FF0000"/>
          <w:szCs w:val="21"/>
          <w:lang w:val="en-US" w:eastAsia="zh-CN"/>
        </w:rPr>
        <w:t>下列</w:t>
      </w:r>
      <w:r>
        <w:rPr>
          <w:rFonts w:hint="eastAsia" w:ascii="宋体" w:hAnsi="宋体"/>
          <w:color w:val="FF0000"/>
          <w:szCs w:val="21"/>
        </w:rPr>
        <w:t>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1</w:t>
      </w:r>
      <w:r>
        <w:rPr>
          <w:rFonts w:hint="eastAsia" w:ascii="宋体" w:hAnsi="宋体"/>
          <w:color w:val="FF0000"/>
          <w:szCs w:val="21"/>
        </w:rPr>
        <w:t>）代理服务费以《中标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通知书》确定的中标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w:t>
      </w:r>
      <w:r>
        <w:rPr>
          <w:rFonts w:hint="eastAsia" w:ascii="宋体" w:hAnsi="宋体"/>
          <w:color w:val="FF0000"/>
          <w:szCs w:val="21"/>
          <w:lang w:val="en-US" w:eastAsia="zh-CN"/>
        </w:rPr>
        <w:t>2</w:t>
      </w: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w:t>
            </w:r>
            <w:r>
              <w:rPr>
                <w:rFonts w:hint="eastAsia" w:ascii="宋体" w:hAnsi="宋体"/>
                <w:color w:val="FF0000"/>
                <w:szCs w:val="21"/>
                <w:lang w:eastAsia="zh-CN"/>
              </w:rPr>
              <w:t>（</w:t>
            </w:r>
            <w:r>
              <w:rPr>
                <w:rFonts w:hint="eastAsia" w:ascii="宋体" w:hAnsi="宋体"/>
                <w:color w:val="FF0000"/>
                <w:szCs w:val="21"/>
                <w:lang w:val="en-US" w:eastAsia="zh-CN"/>
              </w:rPr>
              <w:t>成交</w:t>
            </w:r>
            <w:r>
              <w:rPr>
                <w:rFonts w:hint="eastAsia" w:ascii="宋体" w:hAnsi="宋体"/>
                <w:color w:val="FF0000"/>
                <w:szCs w:val="21"/>
                <w:lang w:eastAsia="zh-CN"/>
              </w:rPr>
              <w:t>）</w:t>
            </w:r>
            <w:r>
              <w:rPr>
                <w:rFonts w:hint="eastAsia" w:ascii="宋体" w:hAnsi="宋体"/>
                <w:color w:val="FF0000"/>
                <w:szCs w:val="21"/>
              </w:rPr>
              <w:t>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 xml:space="preserve">备注：1.每宗交易代理服务费不低于 </w:t>
      </w:r>
      <w:r>
        <w:rPr>
          <w:rFonts w:hint="eastAsia" w:ascii="宋体" w:hAnsi="宋体"/>
          <w:color w:val="FF0000"/>
          <w:szCs w:val="21"/>
          <w:lang w:val="en-US" w:eastAsia="zh-CN"/>
        </w:rPr>
        <w:t>5</w:t>
      </w:r>
      <w:r>
        <w:rPr>
          <w:rFonts w:hint="eastAsia" w:ascii="宋体" w:hAnsi="宋体"/>
          <w:color w:val="FF0000"/>
          <w:szCs w:val="21"/>
        </w:rPr>
        <w:t>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r>
        <w:rPr>
          <w:rFonts w:hint="eastAsia" w:ascii="宋体" w:hAnsi="宋体"/>
          <w:color w:val="FF0000"/>
          <w:szCs w:val="21"/>
          <w:lang w:eastAsia="zh-CN"/>
        </w:rPr>
        <w:t>。</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eastAsia="黑体" w:cs="Times New Roman"/>
          <w:bCs/>
          <w:kern w:val="44"/>
          <w:szCs w:val="21"/>
        </w:rPr>
      </w:pP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）中标（成交）供应商成交后，必须按规定采用银行对公转账方式向深圳交易集团有限公司直接交纳代理服务费，交纳信息及要求按照缴款（付款）通知书执行。</w:t>
      </w:r>
    </w:p>
    <w:p>
      <w:pPr>
        <w:widowControl/>
        <w:ind w:firstLine="420"/>
        <w:jc w:val="left"/>
        <w:rPr>
          <w:rFonts w:ascii="宋体" w:hAnsi="宋体"/>
          <w:color w:val="FF0000"/>
          <w:szCs w:val="21"/>
        </w:rPr>
      </w:pPr>
    </w:p>
    <w:p>
      <w:pPr>
        <w:widowControl/>
        <w:ind w:firstLine="420"/>
        <w:jc w:val="left"/>
        <w:rPr>
          <w:rFonts w:ascii="宋体" w:hAnsi="宋体" w:eastAsia="黑体" w:cs="Times New Roman"/>
          <w:bCs/>
          <w:kern w:val="44"/>
          <w:szCs w:val="21"/>
        </w:rPr>
      </w:pPr>
    </w:p>
    <w:p>
      <w:pPr>
        <w:widowControl/>
        <w:jc w:val="left"/>
        <w:rPr>
          <w:rFonts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asciiTheme="minorEastAsia" w:hAnsiTheme="minorEastAsia"/>
                <w:b w:val="0"/>
                <w:bCs w:val="0"/>
                <w:sz w:val="22"/>
                <w:szCs w:val="22"/>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b w:val="0"/>
                <w:bCs w:val="0"/>
                <w:sz w:val="24"/>
                <w:szCs w:val="24"/>
                <w:highlight w:val="none"/>
              </w:rPr>
            </w:pPr>
            <w:r>
              <w:rPr>
                <w:rFonts w:hint="eastAsia" w:asciiTheme="minorEastAsia" w:hAnsiTheme="minorEastAsia"/>
                <w:b w:val="0"/>
                <w:bCs w:val="0"/>
                <w:sz w:val="24"/>
                <w:szCs w:val="24"/>
                <w:highlight w:val="none"/>
              </w:rPr>
              <w:t>LHAZXCG-2024-00</w:t>
            </w:r>
            <w:r>
              <w:rPr>
                <w:rFonts w:hint="eastAsia" w:asciiTheme="minorEastAsia" w:hAnsiTheme="minorEastAsia"/>
                <w:b w:val="0"/>
                <w:bCs w:val="0"/>
                <w:sz w:val="24"/>
                <w:szCs w:val="24"/>
                <w:highlight w:val="none"/>
                <w:lang w:val="en-US" w:eastAsia="zh-CN"/>
              </w:rPr>
              <w:t>108</w:t>
            </w:r>
            <w:r>
              <w:rPr>
                <w:rFonts w:hint="eastAsia" w:asciiTheme="minorEastAsia" w:hAnsiTheme="minorEastAsia"/>
                <w:b w:val="0"/>
                <w:bCs w:val="0"/>
                <w:sz w:val="24"/>
                <w:szCs w:val="24"/>
                <w:highlight w:val="none"/>
              </w:rPr>
              <w:t xml:space="preserve"> </w:t>
            </w:r>
          </w:p>
        </w:tc>
        <w:tc>
          <w:tcPr>
            <w:tcW w:w="2906" w:type="dxa"/>
            <w:tcBorders>
              <w:top w:val="single" w:color="000000" w:sz="4" w:space="0"/>
              <w:left w:val="single" w:color="000000" w:sz="4" w:space="0"/>
              <w:right w:val="single" w:color="000000" w:sz="4" w:space="0"/>
            </w:tcBorders>
            <w:vAlign w:val="center"/>
          </w:tcPr>
          <w:p>
            <w:pPr>
              <w:jc w:val="center"/>
              <w:rPr>
                <w:b w:val="0"/>
                <w:bCs w:val="0"/>
                <w:highlight w:val="none"/>
              </w:rPr>
            </w:pPr>
            <w:r>
              <w:rPr>
                <w:rFonts w:hint="eastAsia"/>
                <w:b w:val="0"/>
                <w:bCs w:val="0"/>
                <w:highlight w:val="none"/>
              </w:rPr>
              <w:t>深圳市龙华区和平实验小学附属汇德里幼儿园大型游乐设施采购</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heme="minorEastAsia" w:hAnsiTheme="minorEastAsia" w:eastAsiaTheme="minorEastAsia"/>
                <w:b w:val="0"/>
                <w:bCs w:val="0"/>
                <w:sz w:val="24"/>
                <w:szCs w:val="24"/>
                <w:highlight w:val="none"/>
                <w:lang w:val="en-US" w:eastAsia="zh-CN"/>
              </w:rPr>
            </w:pPr>
            <w:r>
              <w:rPr>
                <w:rFonts w:hint="eastAsia" w:asciiTheme="minorEastAsia" w:hAnsiTheme="minorEastAsia"/>
                <w:b w:val="0"/>
                <w:bCs w:val="0"/>
                <w:sz w:val="24"/>
                <w:szCs w:val="24"/>
                <w:highlight w:val="none"/>
                <w:lang w:val="en-US" w:eastAsia="zh-CN"/>
              </w:rPr>
              <w:t>500,000.00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hint="default" w:asciiTheme="minorEastAsia" w:hAnsiTheme="minorEastAsia"/>
                <w:b w:val="0"/>
                <w:bCs w:val="0"/>
                <w:sz w:val="24"/>
                <w:szCs w:val="24"/>
                <w:highlight w:val="none"/>
                <w:lang w:val="en-US"/>
              </w:rPr>
            </w:pPr>
            <w:r>
              <w:rPr>
                <w:rFonts w:hint="eastAsia" w:asciiTheme="minorEastAsia" w:hAnsiTheme="minorEastAsia"/>
                <w:b w:val="0"/>
                <w:bCs w:val="0"/>
                <w:sz w:val="24"/>
                <w:szCs w:val="24"/>
                <w:highlight w:val="none"/>
                <w:lang w:val="en-US" w:eastAsia="zh-CN"/>
              </w:rPr>
              <w:t>500,000.00</w:t>
            </w:r>
          </w:p>
        </w:tc>
      </w:tr>
    </w:tbl>
    <w:p>
      <w:pPr>
        <w:jc w:val="both"/>
        <w:rPr>
          <w:sz w:val="24"/>
          <w:szCs w:val="24"/>
          <w:highlight w:val="none"/>
        </w:rPr>
      </w:pPr>
      <w:r>
        <w:rPr>
          <w:rFonts w:hint="eastAsia" w:ascii="Arial" w:hAnsi="Arial" w:eastAsia="宋体" w:cs="Times New Roman"/>
          <w:b/>
          <w:color w:val="FF0000"/>
          <w:sz w:val="24"/>
          <w:szCs w:val="24"/>
          <w:highlight w:val="none"/>
        </w:rPr>
        <w:t>本项目控制金额为人民币</w:t>
      </w:r>
      <w:r>
        <w:rPr>
          <w:rFonts w:hint="eastAsia" w:ascii="Arial" w:hAnsi="Arial" w:eastAsia="宋体" w:cs="Times New Roman"/>
          <w:b/>
          <w:color w:val="0000FF"/>
          <w:sz w:val="24"/>
          <w:szCs w:val="24"/>
          <w:highlight w:val="none"/>
          <w:lang w:val="en-US" w:eastAsia="zh-CN"/>
        </w:rPr>
        <w:t>500,000.00元</w:t>
      </w:r>
      <w:r>
        <w:rPr>
          <w:rFonts w:hint="eastAsia" w:ascii="Arial" w:hAnsi="Arial" w:eastAsia="宋体" w:cs="Times New Roman"/>
          <w:b/>
          <w:color w:val="FF0000"/>
          <w:sz w:val="24"/>
          <w:szCs w:val="24"/>
          <w:highlight w:val="none"/>
        </w:rPr>
        <w:t>，投标报价超出控制金额将作投标无效处理。</w:t>
      </w:r>
    </w:p>
    <w:p>
      <w:pPr>
        <w:keepNext/>
        <w:keepLines/>
        <w:tabs>
          <w:tab w:val="left" w:pos="1680"/>
        </w:tabs>
        <w:spacing w:before="260" w:afterLines="25"/>
        <w:jc w:val="center"/>
        <w:outlineLvl w:val="2"/>
        <w:rPr>
          <w:rFonts w:hint="eastAsia"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pPr>
        <w:pStyle w:val="2"/>
      </w:pPr>
      <w:r>
        <w:rPr>
          <w:rFonts w:hint="eastAsia" w:ascii="宋体" w:hAnsi="宋体"/>
          <w:b/>
          <w:color w:val="FF0000"/>
          <w:sz w:val="32"/>
          <w:szCs w:val="32"/>
          <w:highlight w:val="none"/>
        </w:rPr>
        <w:t>本项目核心产品为：</w:t>
      </w:r>
      <w:r>
        <w:rPr>
          <w:rFonts w:hint="eastAsia" w:ascii="宋体" w:hAnsi="宋体"/>
          <w:b/>
          <w:color w:val="FF0000"/>
          <w:sz w:val="32"/>
          <w:szCs w:val="32"/>
          <w:highlight w:val="none"/>
          <w:u w:val="single"/>
        </w:rPr>
        <w:t xml:space="preserve"> </w:t>
      </w:r>
      <w:r>
        <w:rPr>
          <w:rFonts w:hint="eastAsia" w:ascii="宋体" w:hAnsi="宋体"/>
          <w:b/>
          <w:color w:val="FF0000"/>
          <w:sz w:val="32"/>
          <w:szCs w:val="32"/>
          <w:highlight w:val="none"/>
          <w:u w:val="single"/>
          <w:lang w:val="en-US" w:eastAsia="zh-CN"/>
        </w:rPr>
        <w:t xml:space="preserve">   </w:t>
      </w:r>
      <w:r>
        <w:rPr>
          <w:rFonts w:hint="eastAsia" w:ascii="宋体" w:hAnsi="宋体"/>
          <w:b/>
          <w:color w:val="FF0000"/>
          <w:sz w:val="32"/>
          <w:szCs w:val="32"/>
          <w:highlight w:val="none"/>
          <w:u w:val="single"/>
        </w:rPr>
        <w:t>奇妙树屋</w:t>
      </w:r>
      <w:r>
        <w:rPr>
          <w:rFonts w:hint="eastAsia" w:ascii="宋体" w:hAnsi="宋体"/>
          <w:b/>
          <w:color w:val="FF0000"/>
          <w:sz w:val="32"/>
          <w:szCs w:val="32"/>
          <w:highlight w:val="none"/>
          <w:u w:val="single"/>
          <w:lang w:val="en-US" w:eastAsia="zh-CN"/>
        </w:rPr>
        <w:t xml:space="preserve">     </w:t>
      </w:r>
    </w:p>
    <w:tbl>
      <w:tblPr>
        <w:tblStyle w:val="17"/>
        <w:tblW w:w="7088" w:type="dxa"/>
        <w:jc w:val="center"/>
        <w:tblLayout w:type="fixed"/>
        <w:tblCellMar>
          <w:top w:w="15" w:type="dxa"/>
          <w:left w:w="15" w:type="dxa"/>
          <w:bottom w:w="15" w:type="dxa"/>
          <w:right w:w="15" w:type="dxa"/>
        </w:tblCellMar>
      </w:tblPr>
      <w:tblGrid>
        <w:gridCol w:w="639"/>
        <w:gridCol w:w="3543"/>
        <w:gridCol w:w="709"/>
        <w:gridCol w:w="780"/>
        <w:gridCol w:w="1417"/>
      </w:tblGrid>
      <w:tr>
        <w:tblPrEx>
          <w:tblCellMar>
            <w:top w:w="15" w:type="dxa"/>
            <w:left w:w="15" w:type="dxa"/>
            <w:bottom w:w="15" w:type="dxa"/>
            <w:right w:w="15" w:type="dxa"/>
          </w:tblCellMar>
        </w:tblPrEx>
        <w:trPr>
          <w:trHeight w:val="552" w:hRule="atLeast"/>
          <w:jc w:val="center"/>
        </w:trPr>
        <w:tc>
          <w:tcPr>
            <w:tcW w:w="639"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354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highlight w:val="green"/>
              </w:rPr>
            </w:pPr>
            <w:r>
              <w:rPr>
                <w:rFonts w:hint="eastAsia"/>
                <w:b w:val="0"/>
                <w:bCs w:val="0"/>
                <w:lang w:val="en-US" w:eastAsia="zh-CN"/>
              </w:rPr>
              <w:t>货物</w:t>
            </w:r>
            <w:r>
              <w:rPr>
                <w:rFonts w:hint="eastAsia"/>
                <w:b w:val="0"/>
                <w:bCs w:val="0"/>
              </w:rPr>
              <w:t>名称（标的名称）</w:t>
            </w:r>
          </w:p>
        </w:tc>
        <w:tc>
          <w:tcPr>
            <w:tcW w:w="70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单位</w:t>
            </w:r>
          </w:p>
        </w:tc>
        <w:tc>
          <w:tcPr>
            <w:tcW w:w="1417"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备注</w:t>
            </w: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eastAsiaTheme="minor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b w:val="0"/>
                <w:bCs w:val="0"/>
                <w:highlight w:val="green"/>
              </w:rPr>
            </w:pPr>
            <w:r>
              <w:rPr>
                <w:rFonts w:hint="eastAsia" w:ascii="宋体" w:hAnsi="宋体" w:cs="宋体"/>
                <w:color w:val="000000"/>
                <w:kern w:val="0"/>
                <w:szCs w:val="21"/>
                <w:lang w:bidi="ar"/>
              </w:rPr>
              <w:t>奇妙树屋</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b w:val="0"/>
                <w:bCs w:val="0"/>
                <w:lang w:val="en-US"/>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b w:val="0"/>
                <w:bCs w:val="0"/>
              </w:rPr>
            </w:pPr>
            <w:r>
              <w:rPr>
                <w:rFonts w:hint="eastAsia" w:ascii="宋体" w:hAnsi="宋体" w:eastAsia="宋体" w:cs="宋体"/>
                <w:i w:val="0"/>
                <w:color w:val="000000"/>
                <w:kern w:val="0"/>
                <w:sz w:val="21"/>
                <w:szCs w:val="21"/>
                <w:u w:val="none"/>
                <w:lang w:val="en-US" w:eastAsia="zh-CN" w:bidi="ar"/>
              </w:rPr>
              <w:t>套</w:t>
            </w:r>
          </w:p>
        </w:tc>
        <w:tc>
          <w:tcPr>
            <w:tcW w:w="1417" w:type="dxa"/>
            <w:vMerge w:val="restart"/>
            <w:tcBorders>
              <w:top w:val="single" w:color="000000" w:sz="4" w:space="0"/>
              <w:left w:val="single" w:color="000000" w:sz="4" w:space="0"/>
              <w:right w:val="single" w:color="000000" w:sz="4" w:space="0"/>
            </w:tcBorders>
            <w:vAlign w:val="center"/>
          </w:tcPr>
          <w:p>
            <w:pPr>
              <w:jc w:val="center"/>
              <w:rPr>
                <w:rFonts w:hint="default" w:eastAsiaTheme="minorEastAsia"/>
                <w:b w:val="0"/>
                <w:bCs w:val="0"/>
                <w:lang w:val="en-US" w:eastAsia="zh-CN"/>
              </w:rPr>
            </w:pPr>
            <w:r>
              <w:rPr>
                <w:rFonts w:hint="eastAsia"/>
                <w:b w:val="0"/>
                <w:bCs w:val="0"/>
                <w:lang w:val="en-US" w:eastAsia="zh-CN"/>
              </w:rPr>
              <w:t>拒绝进口</w:t>
            </w: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安全</w:t>
            </w:r>
            <w:r>
              <w:rPr>
                <w:rFonts w:hint="eastAsia" w:ascii="宋体" w:hAnsi="宋体" w:cs="宋体"/>
                <w:color w:val="000000"/>
                <w:kern w:val="0"/>
                <w:szCs w:val="21"/>
                <w:lang w:val="en-US" w:eastAsia="zh-CN" w:bidi="ar"/>
              </w:rPr>
              <w:t>寻呼</w:t>
            </w:r>
            <w:r>
              <w:rPr>
                <w:rFonts w:hint="eastAsia" w:ascii="宋体" w:hAnsi="宋体" w:cs="宋体"/>
                <w:color w:val="000000"/>
                <w:kern w:val="0"/>
                <w:szCs w:val="21"/>
                <w:lang w:bidi="ar"/>
              </w:rPr>
              <w:t>扬声器</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飞阁流丹塔</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斑斓玻璃栈道</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波浪栈道</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栈道全彩安全监管前端</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荡桥</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吊环</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轮胎拓展</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曲径曲折爬网</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城堡滑梯</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乐高积木</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数字华容道</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钢琴</w:t>
            </w:r>
            <w:r>
              <w:rPr>
                <w:rFonts w:hint="eastAsia" w:ascii="宋体" w:hAnsi="宋体" w:cs="宋体"/>
                <w:szCs w:val="21"/>
              </w:rPr>
              <w:t>音乐管</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木凳</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张</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秋千</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云梯攀爬</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抱球</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拳击袋</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个</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望远镜</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扣件爬网</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right w:val="single" w:color="000000" w:sz="4" w:space="0"/>
            </w:tcBorders>
            <w:vAlign w:val="center"/>
          </w:tcPr>
          <w:p>
            <w:pPr>
              <w:jc w:val="center"/>
              <w:rPr>
                <w:rFonts w:hint="eastAsia"/>
                <w:b w:val="0"/>
                <w:bCs w:val="0"/>
                <w:lang w:val="en-US" w:eastAsia="zh-CN"/>
              </w:rPr>
            </w:pPr>
          </w:p>
        </w:tc>
      </w:tr>
      <w:tr>
        <w:tblPrEx>
          <w:tblCellMar>
            <w:top w:w="15" w:type="dxa"/>
            <w:left w:w="15" w:type="dxa"/>
            <w:bottom w:w="15" w:type="dxa"/>
            <w:right w:w="15" w:type="dxa"/>
          </w:tblCellMar>
        </w:tblPrEx>
        <w:trPr>
          <w:trHeight w:val="317" w:hRule="atLeast"/>
          <w:jc w:val="center"/>
        </w:trPr>
        <w:tc>
          <w:tcPr>
            <w:tcW w:w="639" w:type="dxa"/>
            <w:tcBorders>
              <w:top w:val="single" w:color="000000" w:sz="4" w:space="0"/>
              <w:left w:val="single" w:color="000000" w:sz="4" w:space="0"/>
              <w:bottom w:val="single" w:color="000000" w:sz="4" w:space="0"/>
              <w:right w:val="single" w:color="auto" w:sz="4" w:space="0"/>
            </w:tcBorders>
            <w:vAlign w:val="center"/>
          </w:tcPr>
          <w:p>
            <w:pPr>
              <w:numPr>
                <w:ilvl w:val="0"/>
                <w:numId w:val="1"/>
              </w:numPr>
              <w:ind w:left="425" w:leftChars="0" w:hanging="425" w:firstLineChars="0"/>
              <w:jc w:val="right"/>
              <w:rPr>
                <w:rFonts w:hint="eastAsia"/>
                <w:b w:val="0"/>
                <w:bCs w:val="0"/>
                <w:lang w:val="en-US" w:eastAsia="zh-CN"/>
              </w:rPr>
            </w:pPr>
          </w:p>
        </w:tc>
        <w:tc>
          <w:tcPr>
            <w:tcW w:w="354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szCs w:val="21"/>
                <w:lang w:val="en-US" w:eastAsia="zh-CN"/>
              </w:rPr>
            </w:pPr>
            <w:r>
              <w:rPr>
                <w:rFonts w:hint="eastAsia" w:ascii="宋体" w:hAnsi="宋体" w:cs="宋体"/>
                <w:color w:val="000000"/>
                <w:kern w:val="0"/>
                <w:szCs w:val="21"/>
                <w:lang w:bidi="ar"/>
              </w:rPr>
              <w:t>防爆行为监视管理设备</w:t>
            </w:r>
          </w:p>
        </w:tc>
        <w:tc>
          <w:tcPr>
            <w:tcW w:w="7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bCs/>
                <w:szCs w:val="21"/>
                <w:lang w:val="en-US" w:eastAsia="zh-CN"/>
              </w:rPr>
            </w:pPr>
            <w:r>
              <w:rPr>
                <w:rFonts w:hint="eastAsia" w:ascii="宋体" w:hAnsi="宋体" w:eastAsia="宋体" w:cs="宋体"/>
                <w:i w:val="0"/>
                <w:color w:val="000000"/>
                <w:kern w:val="0"/>
                <w:sz w:val="21"/>
                <w:szCs w:val="21"/>
                <w:u w:val="none"/>
                <w:lang w:val="en-US" w:eastAsia="zh-CN" w:bidi="ar"/>
              </w:rPr>
              <w:t>套</w:t>
            </w:r>
          </w:p>
        </w:tc>
        <w:tc>
          <w:tcPr>
            <w:tcW w:w="1417" w:type="dxa"/>
            <w:vMerge w:val="continue"/>
            <w:tcBorders>
              <w:left w:val="single" w:color="000000" w:sz="4" w:space="0"/>
              <w:bottom w:val="single" w:color="000000" w:sz="4" w:space="0"/>
              <w:right w:val="single" w:color="000000" w:sz="4" w:space="0"/>
            </w:tcBorders>
            <w:vAlign w:val="center"/>
          </w:tcPr>
          <w:p>
            <w:pPr>
              <w:jc w:val="center"/>
              <w:rPr>
                <w:rFonts w:hint="eastAsia"/>
                <w:b w:val="0"/>
                <w:bCs w:val="0"/>
                <w:lang w:val="en-US" w:eastAsia="zh-CN"/>
              </w:rPr>
            </w:pPr>
          </w:p>
        </w:tc>
      </w:tr>
    </w:tbl>
    <w:p>
      <w:pPr>
        <w:rPr>
          <w:color w:val="FF0000"/>
        </w:rPr>
      </w:pPr>
      <w:r>
        <w:rPr>
          <w:rFonts w:hint="eastAsia"/>
          <w:color w:val="FF0000"/>
        </w:rPr>
        <w:t>备注：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1、</w:t>
      </w:r>
      <w:r>
        <w:rPr>
          <w:rFonts w:hint="eastAsia"/>
          <w:color w:val="FF0000"/>
        </w:rPr>
        <w:t>“备注”栏注明有“接受进口”或“允许进口”的产品允许投标人选用进口产品参与投标，但不排斥国内产品投标；未注明“接受进口”或“允许进口”的产品均不接受进口产品投标。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color w:val="FF0000"/>
        </w:rPr>
      </w:pPr>
      <w:r>
        <w:rPr>
          <w:rFonts w:hint="eastAsia"/>
          <w:color w:val="FF0000"/>
          <w:lang w:val="en-US" w:eastAsia="zh-CN"/>
        </w:rPr>
        <w:t>2、</w:t>
      </w:r>
      <w:r>
        <w:rPr>
          <w:rFonts w:hint="eastAsia"/>
          <w:color w:val="FF0000"/>
        </w:rPr>
        <w:t>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3、</w:t>
      </w:r>
      <w:r>
        <w:rPr>
          <w:rFonts w:hint="eastAsia"/>
          <w:color w:val="FF0000"/>
        </w:rPr>
        <w:t>如注明有单价控制金额的产品，投标人对该产品的报价不得超过控制金额，否则将作投标无效处理。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FF0000"/>
        </w:rPr>
      </w:pPr>
      <w:r>
        <w:rPr>
          <w:rFonts w:hint="eastAsia"/>
          <w:color w:val="FF0000"/>
          <w:lang w:val="en-US" w:eastAsia="zh-CN"/>
        </w:rPr>
        <w:t>4、</w:t>
      </w:r>
      <w:r>
        <w:rPr>
          <w:rFonts w:hint="eastAsia"/>
          <w:color w:val="FF0000"/>
          <w:lang w:eastAsia="zh-CN"/>
        </w:rPr>
        <w:t>参照</w:t>
      </w:r>
      <w:r>
        <w:rPr>
          <w:rFonts w:hint="eastAsia"/>
          <w:color w:val="FF0000"/>
        </w:rPr>
        <w:t>《政府采购货物和服务招标投标管理办法》（财政部令第87号）第三十一条规定，单一产品项目或非单一产品项目中的核心产品均应明确品牌，投标人未填报品牌的将作投标无效处理。</w:t>
      </w:r>
    </w:p>
    <w:p>
      <w:pPr>
        <w:pStyle w:val="5"/>
        <w:jc w:val="center"/>
        <w:outlineLvl w:val="2"/>
      </w:pPr>
      <w:bookmarkStart w:id="12" w:name="_Toc128884461"/>
      <w:r>
        <w:rPr>
          <w:rFonts w:hint="eastAsia"/>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rPr>
                <w:rFonts w:hint="eastAsia" w:eastAsiaTheme="minorEastAsia"/>
                <w:lang w:eastAsia="zh-CN"/>
              </w:rPr>
            </w:pPr>
            <w:r>
              <w:rPr>
                <w:rFonts w:hint="eastAsia"/>
              </w:rPr>
              <w:t>本项目招标文件中所有带★号条款</w:t>
            </w:r>
            <w:r>
              <w:rPr>
                <w:rFonts w:hint="eastAsia"/>
                <w:lang w:val="en-US" w:eastAsia="zh-CN"/>
              </w:rPr>
              <w:t>内容</w:t>
            </w:r>
          </w:p>
        </w:tc>
      </w:tr>
      <w:bookmarkEnd w:id="12"/>
    </w:tbl>
    <w:p>
      <w:pPr>
        <w:rPr>
          <w:rFonts w:hint="default"/>
          <w:lang w:val="en-US"/>
        </w:rPr>
      </w:pPr>
      <w:r>
        <w:rPr>
          <w:rFonts w:hint="eastAsia"/>
          <w:b/>
          <w:color w:val="FF0000"/>
        </w:rPr>
        <w:t>注</w:t>
      </w:r>
      <w:r>
        <w:rPr>
          <w:rFonts w:hint="eastAsia"/>
        </w:rPr>
        <w:t>：</w:t>
      </w: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pPr>
        <w:rPr>
          <w:b/>
          <w:color w:val="FF0000"/>
        </w:rPr>
      </w:pPr>
    </w:p>
    <w:p>
      <w:pPr>
        <w:keepNext/>
        <w:keepLines/>
        <w:tabs>
          <w:tab w:val="left" w:pos="1680"/>
        </w:tabs>
        <w:spacing w:before="260" w:afterLines="25"/>
        <w:jc w:val="center"/>
        <w:outlineLvl w:val="2"/>
        <w:rPr>
          <w:rFonts w:hint="eastAsia" w:ascii="Arial" w:hAnsi="Arial" w:eastAsia="宋体" w:cs="Times New Roman"/>
          <w:b/>
          <w:bCs/>
          <w:color w:val="000000" w:themeColor="text1"/>
          <w:sz w:val="32"/>
          <w:szCs w:val="32"/>
          <w:lang w:eastAsia="zh-CN"/>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四</w:t>
      </w:r>
      <w:r>
        <w:rPr>
          <w:rFonts w:hint="eastAsia" w:ascii="Arial" w:hAnsi="Arial" w:eastAsia="宋体" w:cs="Times New Roman"/>
          <w:b/>
          <w:bCs/>
          <w:color w:val="000000" w:themeColor="text1"/>
          <w:sz w:val="32"/>
          <w:szCs w:val="32"/>
          <w14:textFill>
            <w14:solidFill>
              <w14:schemeClr w14:val="tx1"/>
            </w14:solidFill>
          </w14:textFill>
        </w:rPr>
        <w:t>、商务和服务条款</w:t>
      </w:r>
      <w:r>
        <w:rPr>
          <w:rFonts w:hint="eastAsia" w:ascii="Arial" w:hAnsi="Arial" w:eastAsia="宋体" w:cs="Times New Roman"/>
          <w:b/>
          <w:bCs/>
          <w:color w:val="000000" w:themeColor="text1"/>
          <w:sz w:val="32"/>
          <w:szCs w:val="32"/>
          <w:lang w:val="en-US" w:eastAsia="zh-CN"/>
          <w14:textFill>
            <w14:solidFill>
              <w14:schemeClr w14:val="tx1"/>
            </w14:solidFill>
          </w14:textFill>
        </w:rPr>
        <w:t>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2" w:firstLineChars="200"/>
        <w:rPr>
          <w:b/>
          <w:szCs w:val="21"/>
        </w:rPr>
      </w:pPr>
      <w:r>
        <w:rPr>
          <w:b/>
          <w:szCs w:val="21"/>
        </w:rPr>
        <w:t>2</w:t>
      </w:r>
      <w:r>
        <w:rPr>
          <w:rFonts w:hint="eastAsia"/>
          <w:b/>
          <w:szCs w:val="21"/>
        </w:rPr>
        <w:t>、带★号条款为不可偏离条款，不作为评分准则中的评分内容</w:t>
      </w:r>
      <w:r>
        <w:rPr>
          <w:rFonts w:hint="eastAsia"/>
          <w:b/>
          <w:szCs w:val="21"/>
          <w:lang w:eastAsia="zh-CN"/>
        </w:rPr>
        <w:t>，</w:t>
      </w:r>
      <w:r>
        <w:rPr>
          <w:rFonts w:hint="eastAsia"/>
          <w:b/>
          <w:szCs w:val="21"/>
        </w:rPr>
        <w:t>如未响应或出现负偏离的，将作投标无效处理；带“</w:t>
      </w:r>
      <w:r>
        <w:t>▲</w:t>
      </w:r>
      <w:r>
        <w:rPr>
          <w:rFonts w:hint="eastAsia"/>
          <w:b/>
          <w:szCs w:val="21"/>
        </w:rPr>
        <w:t>”指标项为重要参数，负偏离时依相关评分准则内容作重点扣分处理。</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序号</w:t>
            </w:r>
          </w:p>
        </w:tc>
        <w:tc>
          <w:tcPr>
            <w:tcW w:w="162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目录</w:t>
            </w:r>
          </w:p>
        </w:tc>
        <w:tc>
          <w:tcPr>
            <w:tcW w:w="5594"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采购商务需求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pPr>
              <w:rPr>
                <w:rFonts w:ascii="Times New Roman" w:hAnsi="Times New Roman" w:eastAsia="宋体"/>
                <w:b/>
                <w:sz w:val="21"/>
              </w:rPr>
            </w:pPr>
            <w:r>
              <w:rPr>
                <w:rFonts w:hint="eastAsia" w:ascii="Times New Roman" w:hAnsi="Times New Roman" w:eastAsia="宋体"/>
                <w:b/>
                <w:sz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1</w:t>
            </w:r>
          </w:p>
        </w:tc>
        <w:tc>
          <w:tcPr>
            <w:tcW w:w="1620" w:type="dxa"/>
            <w:noWrap w:val="0"/>
            <w:vAlign w:val="center"/>
          </w:tcPr>
          <w:p>
            <w:pPr>
              <w:rPr>
                <w:rFonts w:ascii="Times New Roman" w:hAnsi="Times New Roman" w:eastAsia="宋体"/>
                <w:sz w:val="21"/>
              </w:rPr>
            </w:pPr>
            <w:r>
              <w:rPr>
                <w:rFonts w:hint="eastAsia" w:ascii="Times New Roman" w:hAnsi="Times New Roman" w:eastAsia="宋体"/>
                <w:sz w:val="21"/>
              </w:rPr>
              <w:t>免费保修期</w:t>
            </w:r>
          </w:p>
        </w:tc>
        <w:tc>
          <w:tcPr>
            <w:tcW w:w="5594" w:type="dxa"/>
            <w:noWrap w:val="0"/>
            <w:vAlign w:val="top"/>
          </w:tcPr>
          <w:p>
            <w:pPr>
              <w:rPr>
                <w:rFonts w:ascii="Times New Roman" w:hAnsi="Times New Roman" w:eastAsia="宋体"/>
                <w:b/>
                <w:sz w:val="21"/>
              </w:rPr>
            </w:pPr>
            <w:r>
              <w:rPr>
                <w:rFonts w:hint="eastAsia" w:ascii="Times New Roman" w:hAnsi="Times New Roman" w:eastAsia="宋体" w:cs="宋体"/>
                <w:b/>
                <w:bCs/>
                <w:color w:val="FF0000"/>
                <w:sz w:val="21"/>
                <w:szCs w:val="21"/>
                <w:highlight w:val="yellow"/>
              </w:rPr>
              <w:t>★</w:t>
            </w:r>
            <w:r>
              <w:rPr>
                <w:rFonts w:hint="eastAsia" w:ascii="Times New Roman" w:hAnsi="Times New Roman" w:eastAsia="宋体"/>
                <w:b/>
                <w:bCs/>
                <w:color w:val="FF0000"/>
                <w:sz w:val="21"/>
                <w:szCs w:val="21"/>
                <w:highlight w:val="yellow"/>
              </w:rPr>
              <w:t>货物免费保修期至少</w:t>
            </w:r>
            <w:r>
              <w:rPr>
                <w:rFonts w:hint="eastAsia" w:ascii="Times New Roman" w:hAnsi="Times New Roman" w:eastAsia="宋体"/>
                <w:b/>
                <w:bCs/>
                <w:color w:val="FF0000"/>
                <w:sz w:val="21"/>
                <w:szCs w:val="21"/>
                <w:highlight w:val="yellow"/>
                <w:u w:val="single"/>
              </w:rPr>
              <w:t xml:space="preserve">  3  </w:t>
            </w:r>
            <w:r>
              <w:rPr>
                <w:rFonts w:hint="eastAsia" w:ascii="Times New Roman" w:hAnsi="Times New Roman" w:eastAsia="宋体"/>
                <w:b/>
                <w:bCs/>
                <w:color w:val="FF0000"/>
                <w:sz w:val="21"/>
                <w:szCs w:val="21"/>
                <w:highlight w:val="yellow"/>
              </w:rPr>
              <w:t>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2</w:t>
            </w:r>
          </w:p>
        </w:tc>
        <w:tc>
          <w:tcPr>
            <w:tcW w:w="1620" w:type="dxa"/>
            <w:noWrap w:val="0"/>
            <w:vAlign w:val="top"/>
          </w:tcPr>
          <w:p>
            <w:pPr>
              <w:rPr>
                <w:rFonts w:ascii="Times New Roman" w:hAnsi="Times New Roman" w:eastAsia="宋体"/>
                <w:sz w:val="21"/>
              </w:rPr>
            </w:pPr>
            <w:r>
              <w:rPr>
                <w:rFonts w:hint="eastAsia" w:ascii="Times New Roman" w:hAnsi="Times New Roman" w:eastAsia="宋体"/>
                <w:sz w:val="21"/>
              </w:rPr>
              <w:t>维修响应及故障解决时间</w:t>
            </w:r>
          </w:p>
        </w:tc>
        <w:tc>
          <w:tcPr>
            <w:tcW w:w="5594" w:type="dxa"/>
            <w:noWrap w:val="0"/>
            <w:vAlign w:val="top"/>
          </w:tcPr>
          <w:p>
            <w:pPr>
              <w:rPr>
                <w:rFonts w:ascii="Times New Roman" w:hAnsi="Times New Roman" w:eastAsia="宋体"/>
                <w:b/>
                <w:sz w:val="21"/>
              </w:rPr>
            </w:pPr>
            <w:r>
              <w:rPr>
                <w:rFonts w:hint="eastAsia" w:ascii="Times New Roman" w:hAnsi="Times New Roman" w:eastAsia="宋体"/>
                <w:bCs/>
                <w:sz w:val="21"/>
                <w:szCs w:val="21"/>
              </w:rPr>
              <w:t>投标人承诺中标后，在保修期内，一旦发生质量问题，投标人保证在接到通知24小时内赶到现场进行修理或更换。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3</w:t>
            </w:r>
          </w:p>
        </w:tc>
        <w:tc>
          <w:tcPr>
            <w:tcW w:w="1620" w:type="dxa"/>
            <w:noWrap w:val="0"/>
            <w:vAlign w:val="center"/>
          </w:tcPr>
          <w:p>
            <w:pPr>
              <w:rPr>
                <w:rFonts w:ascii="Times New Roman" w:hAnsi="Times New Roman" w:eastAsia="宋体"/>
                <w:b/>
                <w:sz w:val="21"/>
              </w:rPr>
            </w:pPr>
            <w:r>
              <w:rPr>
                <w:rFonts w:hint="eastAsia" w:ascii="Times New Roman" w:hAnsi="Times New Roman" w:eastAsia="宋体"/>
                <w:sz w:val="21"/>
              </w:rPr>
              <w:t>其他</w:t>
            </w:r>
          </w:p>
        </w:tc>
        <w:tc>
          <w:tcPr>
            <w:tcW w:w="5594" w:type="dxa"/>
            <w:noWrap w:val="0"/>
            <w:vAlign w:val="center"/>
          </w:tcPr>
          <w:p>
            <w:pPr>
              <w:rPr>
                <w:rFonts w:ascii="Times New Roman" w:hAnsi="Times New Roman" w:eastAsia="宋体"/>
                <w:b/>
                <w:sz w:val="21"/>
              </w:rPr>
            </w:pPr>
            <w:r>
              <w:rPr>
                <w:rFonts w:hint="eastAsia" w:ascii="Times New Roman" w:hAnsi="Times New Roman" w:eastAsia="宋体"/>
                <w:bCs/>
                <w:sz w:val="21"/>
                <w:szCs w:val="21"/>
              </w:rPr>
              <w:t>投标人中标后，应按其投标文件中的承诺，进行其他售后服务工作。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474" w:type="dxa"/>
            <w:gridSpan w:val="3"/>
            <w:noWrap w:val="0"/>
            <w:vAlign w:val="top"/>
          </w:tcPr>
          <w:p>
            <w:pPr>
              <w:rPr>
                <w:rFonts w:ascii="Times New Roman" w:hAnsi="Times New Roman" w:eastAsia="宋体"/>
                <w:b/>
                <w:sz w:val="21"/>
              </w:rPr>
            </w:pPr>
            <w:r>
              <w:rPr>
                <w:rFonts w:hint="eastAsia" w:ascii="Times New Roman" w:hAnsi="Times New Roman" w:eastAsia="宋体"/>
                <w:b/>
                <w:sz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1</w:t>
            </w:r>
          </w:p>
        </w:tc>
        <w:tc>
          <w:tcPr>
            <w:tcW w:w="1620" w:type="dxa"/>
            <w:noWrap w:val="0"/>
            <w:vAlign w:val="top"/>
          </w:tcPr>
          <w:p>
            <w:pPr>
              <w:rPr>
                <w:rFonts w:ascii="Times New Roman" w:hAnsi="Times New Roman" w:eastAsia="宋体"/>
                <w:b/>
                <w:sz w:val="21"/>
              </w:rPr>
            </w:pPr>
            <w:r>
              <w:rPr>
                <w:rFonts w:hint="eastAsia" w:ascii="Times New Roman" w:hAnsi="Times New Roman" w:eastAsia="宋体"/>
                <w:bCs/>
                <w:sz w:val="21"/>
              </w:rPr>
              <w:t>响应时间</w:t>
            </w:r>
          </w:p>
        </w:tc>
        <w:tc>
          <w:tcPr>
            <w:tcW w:w="5594" w:type="dxa"/>
            <w:noWrap w:val="0"/>
            <w:vAlign w:val="top"/>
          </w:tcPr>
          <w:p>
            <w:pPr>
              <w:rPr>
                <w:rFonts w:ascii="Times New Roman" w:hAnsi="Times New Roman" w:eastAsia="宋体"/>
                <w:b/>
                <w:sz w:val="21"/>
              </w:rPr>
            </w:pPr>
            <w:r>
              <w:rPr>
                <w:rFonts w:hint="eastAsia" w:ascii="Times New Roman" w:hAnsi="Times New Roman" w:eastAsia="宋体" w:cs="宋体"/>
                <w:sz w:val="21"/>
              </w:rPr>
              <w:t>由生产厂家提供售后服务，</w:t>
            </w:r>
            <w:r>
              <w:rPr>
                <w:rFonts w:hint="eastAsia" w:ascii="Times New Roman" w:hAnsi="Times New Roman" w:eastAsia="宋体" w:cs="宋体"/>
                <w:kern w:val="0"/>
                <w:sz w:val="21"/>
                <w:u w:val="single"/>
              </w:rPr>
              <w:t xml:space="preserve"> 2 </w:t>
            </w:r>
            <w:r>
              <w:rPr>
                <w:rFonts w:hint="eastAsia" w:ascii="Times New Roman" w:hAnsi="Times New Roman" w:eastAsia="宋体" w:cs="宋体"/>
                <w:kern w:val="0"/>
                <w:sz w:val="21"/>
              </w:rPr>
              <w:t>小时内响应，</w:t>
            </w:r>
            <w:r>
              <w:rPr>
                <w:rFonts w:hint="eastAsia" w:ascii="Times New Roman" w:hAnsi="Times New Roman" w:eastAsia="宋体" w:cs="宋体"/>
                <w:kern w:val="0"/>
                <w:sz w:val="21"/>
                <w:u w:val="single"/>
              </w:rPr>
              <w:t xml:space="preserve"> 24 </w:t>
            </w:r>
            <w:r>
              <w:rPr>
                <w:rFonts w:hint="eastAsia" w:ascii="Times New Roman" w:hAnsi="Times New Roman" w:eastAsia="宋体" w:cs="宋体"/>
                <w:kern w:val="0"/>
                <w:sz w:val="21"/>
              </w:rPr>
              <w:t>小时内维修到位。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2</w:t>
            </w:r>
          </w:p>
        </w:tc>
        <w:tc>
          <w:tcPr>
            <w:tcW w:w="1620" w:type="dxa"/>
            <w:noWrap w:val="0"/>
            <w:vAlign w:val="top"/>
          </w:tcPr>
          <w:p>
            <w:pPr>
              <w:rPr>
                <w:rFonts w:ascii="Times New Roman" w:hAnsi="Times New Roman" w:eastAsia="宋体"/>
                <w:b/>
                <w:sz w:val="21"/>
              </w:rPr>
            </w:pPr>
            <w:r>
              <w:rPr>
                <w:rFonts w:hint="eastAsia" w:ascii="Times New Roman" w:hAnsi="Times New Roman" w:eastAsia="宋体" w:cs="宋体"/>
                <w:bCs/>
                <w:kern w:val="0"/>
                <w:sz w:val="21"/>
              </w:rPr>
              <w:t>优惠价格</w:t>
            </w:r>
          </w:p>
        </w:tc>
        <w:tc>
          <w:tcPr>
            <w:tcW w:w="5594" w:type="dxa"/>
            <w:noWrap w:val="0"/>
            <w:vAlign w:val="top"/>
          </w:tcPr>
          <w:p>
            <w:pPr>
              <w:rPr>
                <w:rFonts w:ascii="Times New Roman" w:hAnsi="Times New Roman" w:eastAsia="宋体"/>
                <w:b/>
                <w:sz w:val="21"/>
              </w:rPr>
            </w:pPr>
            <w:r>
              <w:rPr>
                <w:rFonts w:hint="eastAsia" w:ascii="Times New Roman" w:hAnsi="Times New Roman" w:eastAsia="宋体" w:cs="宋体"/>
                <w:sz w:val="21"/>
              </w:rPr>
              <w:t>采购人可与投标人就优惠价进行谈判，但优惠价不会高于投标人在投标文件中承诺的</w:t>
            </w:r>
            <w:r>
              <w:rPr>
                <w:rFonts w:hint="eastAsia" w:ascii="Times New Roman" w:hAnsi="Times New Roman" w:eastAsia="宋体" w:cs="宋体"/>
                <w:kern w:val="0"/>
                <w:sz w:val="21"/>
              </w:rPr>
              <w:t>消耗品、零配件</w:t>
            </w:r>
            <w:r>
              <w:rPr>
                <w:rFonts w:hint="eastAsia" w:ascii="Times New Roman" w:hAnsi="Times New Roman" w:eastAsia="宋体" w:cs="宋体"/>
                <w:sz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rFonts w:hint="eastAsia" w:ascii="Times New Roman" w:hAnsi="Times New Roman" w:eastAsia="宋体"/>
                <w:b/>
                <w:sz w:val="21"/>
              </w:rPr>
            </w:pPr>
            <w:r>
              <w:rPr>
                <w:rFonts w:hint="eastAsia" w:ascii="Times New Roman" w:hAnsi="Times New Roman" w:eastAsia="宋体"/>
                <w:b/>
                <w:sz w:val="21"/>
              </w:rPr>
              <w:t>3</w:t>
            </w:r>
          </w:p>
        </w:tc>
        <w:tc>
          <w:tcPr>
            <w:tcW w:w="1620" w:type="dxa"/>
            <w:noWrap w:val="0"/>
            <w:vAlign w:val="top"/>
          </w:tcPr>
          <w:p>
            <w:pPr>
              <w:rPr>
                <w:rFonts w:ascii="Times New Roman" w:hAnsi="Times New Roman" w:eastAsia="宋体"/>
                <w:b/>
                <w:sz w:val="21"/>
              </w:rPr>
            </w:pPr>
            <w:r>
              <w:rPr>
                <w:rFonts w:hint="eastAsia" w:ascii="Times New Roman" w:hAnsi="Times New Roman" w:eastAsia="宋体"/>
                <w:sz w:val="21"/>
              </w:rPr>
              <w:t>终身维修支持</w:t>
            </w:r>
          </w:p>
        </w:tc>
        <w:tc>
          <w:tcPr>
            <w:tcW w:w="5594" w:type="dxa"/>
            <w:noWrap w:val="0"/>
            <w:vAlign w:val="top"/>
          </w:tcPr>
          <w:p>
            <w:pPr>
              <w:rPr>
                <w:rFonts w:ascii="Times New Roman" w:hAnsi="Times New Roman" w:eastAsia="宋体"/>
                <w:b/>
                <w:sz w:val="21"/>
              </w:rPr>
            </w:pPr>
            <w:r>
              <w:rPr>
                <w:rFonts w:hint="eastAsia" w:ascii="Times New Roman" w:hAnsi="Times New Roman" w:eastAsia="宋体" w:cs="宋体"/>
                <w:b/>
                <w:bCs/>
                <w:color w:val="FF0000"/>
                <w:sz w:val="21"/>
                <w:szCs w:val="21"/>
                <w:highlight w:val="yellow"/>
              </w:rPr>
              <w:t>★响应供应商承诺中标后，在产品整个使用期内，支持维修与零配件备件，并按成本价标准收取维修及零件费用。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474" w:type="dxa"/>
            <w:gridSpan w:val="3"/>
            <w:noWrap w:val="0"/>
            <w:vAlign w:val="top"/>
          </w:tcPr>
          <w:p>
            <w:pPr>
              <w:rPr>
                <w:rFonts w:ascii="Times New Roman" w:hAnsi="Times New Roman" w:eastAsia="宋体"/>
                <w:b/>
                <w:sz w:val="21"/>
              </w:rPr>
            </w:pPr>
            <w:r>
              <w:rPr>
                <w:rFonts w:hint="eastAsia" w:ascii="Times New Roman" w:hAnsi="Times New Roman" w:eastAsia="宋体"/>
                <w:b/>
                <w:sz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jc w:val="center"/>
              <w:rPr>
                <w:rFonts w:ascii="Times New Roman" w:hAnsi="Times New Roman" w:eastAsia="宋体"/>
                <w:b/>
                <w:sz w:val="21"/>
              </w:rPr>
            </w:pPr>
            <w:r>
              <w:rPr>
                <w:rFonts w:hint="eastAsia" w:ascii="Times New Roman" w:hAnsi="Times New Roman" w:eastAsia="宋体"/>
                <w:b/>
                <w:sz w:val="21"/>
              </w:rPr>
              <w:t>1</w:t>
            </w:r>
          </w:p>
        </w:tc>
        <w:tc>
          <w:tcPr>
            <w:tcW w:w="1620" w:type="dxa"/>
            <w:vMerge w:val="restart"/>
            <w:noWrap w:val="0"/>
            <w:vAlign w:val="center"/>
          </w:tcPr>
          <w:p>
            <w:pPr>
              <w:jc w:val="center"/>
              <w:rPr>
                <w:rFonts w:ascii="Times New Roman" w:hAnsi="Times New Roman" w:eastAsia="宋体"/>
                <w:sz w:val="21"/>
              </w:rPr>
            </w:pPr>
            <w:r>
              <w:rPr>
                <w:rFonts w:hint="eastAsia" w:ascii="Times New Roman" w:hAnsi="Times New Roman" w:eastAsia="宋体"/>
                <w:sz w:val="21"/>
              </w:rPr>
              <w:t>关于交货</w:t>
            </w:r>
          </w:p>
        </w:tc>
        <w:tc>
          <w:tcPr>
            <w:tcW w:w="5594" w:type="dxa"/>
            <w:noWrap w:val="0"/>
            <w:vAlign w:val="top"/>
          </w:tcPr>
          <w:p>
            <w:pPr>
              <w:rPr>
                <w:rFonts w:ascii="Times New Roman" w:hAnsi="Times New Roman" w:eastAsia="宋体"/>
                <w:b/>
                <w:sz w:val="21"/>
              </w:rPr>
            </w:pPr>
            <w:r>
              <w:rPr>
                <w:rFonts w:hint="eastAsia" w:ascii="Times New Roman" w:hAnsi="Times New Roman" w:eastAsia="宋体"/>
                <w:bCs/>
                <w:sz w:val="21"/>
                <w:szCs w:val="21"/>
              </w:rPr>
              <w:t>1.1</w:t>
            </w:r>
            <w:r>
              <w:rPr>
                <w:rFonts w:hint="eastAsia" w:ascii="Times New Roman" w:hAnsi="Times New Roman" w:eastAsia="宋体" w:cs="宋体"/>
                <w:b/>
                <w:bCs/>
                <w:color w:val="FF0000"/>
                <w:sz w:val="21"/>
                <w:szCs w:val="21"/>
                <w:highlight w:val="yellow"/>
              </w:rPr>
              <w:t>★签订合同后    30    天（日历日）内。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noWrap w:val="0"/>
            <w:vAlign w:val="center"/>
          </w:tcPr>
          <w:p>
            <w:pPr>
              <w:jc w:val="center"/>
              <w:rPr>
                <w:rFonts w:ascii="Times New Roman" w:hAnsi="Times New Roman" w:eastAsia="宋体"/>
                <w:b/>
                <w:sz w:val="21"/>
              </w:rPr>
            </w:pPr>
          </w:p>
        </w:tc>
        <w:tc>
          <w:tcPr>
            <w:tcW w:w="1620" w:type="dxa"/>
            <w:vMerge w:val="continue"/>
            <w:noWrap w:val="0"/>
            <w:vAlign w:val="center"/>
          </w:tcPr>
          <w:p>
            <w:pPr>
              <w:jc w:val="center"/>
              <w:rPr>
                <w:rFonts w:ascii="Times New Roman" w:hAnsi="Times New Roman" w:eastAsia="宋体"/>
                <w:sz w:val="21"/>
              </w:rPr>
            </w:pPr>
          </w:p>
        </w:tc>
        <w:tc>
          <w:tcPr>
            <w:tcW w:w="5594" w:type="dxa"/>
            <w:noWrap w:val="0"/>
            <w:vAlign w:val="top"/>
          </w:tcPr>
          <w:p>
            <w:pPr>
              <w:rPr>
                <w:rFonts w:ascii="Times New Roman" w:hAnsi="Times New Roman" w:eastAsia="宋体"/>
                <w:bCs/>
                <w:sz w:val="21"/>
                <w:szCs w:val="21"/>
              </w:rPr>
            </w:pPr>
            <w:r>
              <w:rPr>
                <w:rFonts w:hint="eastAsia" w:ascii="Times New Roman" w:hAnsi="Times New Roman" w:eastAsia="宋体"/>
                <w:bCs/>
                <w:sz w:val="21"/>
                <w:szCs w:val="21"/>
              </w:rPr>
              <w:t>1.2投标人中标后，必须承担设备运输、安装调试、验收检测和提供设备操作说明书、图纸等其他类似的义务。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jc w:val="center"/>
              <w:rPr>
                <w:rFonts w:ascii="Times New Roman" w:hAnsi="Times New Roman" w:eastAsia="宋体"/>
                <w:b/>
                <w:sz w:val="21"/>
              </w:rPr>
            </w:pPr>
            <w:r>
              <w:rPr>
                <w:rFonts w:hint="eastAsia" w:ascii="Times New Roman" w:hAnsi="Times New Roman" w:eastAsia="宋体"/>
                <w:b/>
                <w:sz w:val="21"/>
              </w:rPr>
              <w:t>2</w:t>
            </w:r>
          </w:p>
        </w:tc>
        <w:tc>
          <w:tcPr>
            <w:tcW w:w="1620" w:type="dxa"/>
            <w:vMerge w:val="restart"/>
            <w:noWrap w:val="0"/>
            <w:vAlign w:val="center"/>
          </w:tcPr>
          <w:p>
            <w:pPr>
              <w:jc w:val="center"/>
              <w:rPr>
                <w:rFonts w:ascii="Times New Roman" w:hAnsi="Times New Roman" w:eastAsia="宋体"/>
                <w:sz w:val="21"/>
              </w:rPr>
            </w:pPr>
            <w:r>
              <w:rPr>
                <w:rFonts w:hint="eastAsia" w:ascii="Times New Roman" w:hAnsi="Times New Roman" w:eastAsia="宋体"/>
                <w:sz w:val="21"/>
              </w:rPr>
              <w:t>关于验收</w:t>
            </w:r>
          </w:p>
        </w:tc>
        <w:tc>
          <w:tcPr>
            <w:tcW w:w="5594" w:type="dxa"/>
            <w:noWrap w:val="0"/>
            <w:vAlign w:val="top"/>
          </w:tcPr>
          <w:p>
            <w:pPr>
              <w:spacing w:line="340" w:lineRule="exact"/>
              <w:rPr>
                <w:rFonts w:ascii="Times New Roman" w:hAnsi="Times New Roman" w:eastAsia="宋体"/>
                <w:bCs/>
                <w:sz w:val="21"/>
                <w:szCs w:val="21"/>
              </w:rPr>
            </w:pPr>
            <w:r>
              <w:rPr>
                <w:rFonts w:hint="eastAsia" w:ascii="Times New Roman" w:hAnsi="Times New Roman" w:eastAsia="宋体"/>
                <w:bCs/>
                <w:sz w:val="21"/>
                <w:szCs w:val="21"/>
              </w:rPr>
              <w:t>2.1投标人中标后，其货物经过双方检验认可后，签署验收报告，产品保修期自验收合格之日起算，由投标人提供产品保修文件。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ascii="Times New Roman" w:hAnsi="Times New Roman" w:eastAsia="宋体"/>
                <w:b/>
                <w:sz w:val="21"/>
              </w:rPr>
            </w:pPr>
          </w:p>
        </w:tc>
        <w:tc>
          <w:tcPr>
            <w:tcW w:w="1620" w:type="dxa"/>
            <w:vMerge w:val="continue"/>
            <w:noWrap w:val="0"/>
            <w:vAlign w:val="top"/>
          </w:tcPr>
          <w:p>
            <w:pPr>
              <w:rPr>
                <w:rFonts w:ascii="Times New Roman" w:hAnsi="Times New Roman" w:eastAsia="宋体"/>
                <w:b/>
                <w:sz w:val="21"/>
              </w:rPr>
            </w:pPr>
          </w:p>
        </w:tc>
        <w:tc>
          <w:tcPr>
            <w:tcW w:w="5594" w:type="dxa"/>
            <w:noWrap w:val="0"/>
            <w:vAlign w:val="top"/>
          </w:tcPr>
          <w:p>
            <w:pPr>
              <w:spacing w:line="340" w:lineRule="exact"/>
              <w:rPr>
                <w:rFonts w:ascii="Times New Roman" w:hAnsi="Times New Roman" w:eastAsia="宋体"/>
                <w:bCs/>
                <w:sz w:val="21"/>
                <w:szCs w:val="21"/>
              </w:rPr>
            </w:pPr>
            <w:r>
              <w:rPr>
                <w:rFonts w:hint="eastAsia" w:ascii="Times New Roman" w:hAnsi="Times New Roman" w:eastAsia="宋体"/>
                <w:bCs/>
                <w:sz w:val="21"/>
                <w:szCs w:val="21"/>
              </w:rPr>
              <w:t>2.2投标人中标后，当满足以下条件时，采购人才向投标人签发货物验收报告：</w:t>
            </w:r>
          </w:p>
          <w:p>
            <w:pPr>
              <w:tabs>
                <w:tab w:val="left" w:pos="1260"/>
              </w:tabs>
              <w:spacing w:line="340" w:lineRule="exact"/>
              <w:rPr>
                <w:rFonts w:ascii="Times New Roman" w:hAnsi="Times New Roman" w:eastAsia="宋体"/>
                <w:bCs/>
                <w:sz w:val="21"/>
                <w:szCs w:val="21"/>
              </w:rPr>
            </w:pPr>
            <w:r>
              <w:rPr>
                <w:rFonts w:ascii="Times New Roman" w:hAnsi="Times New Roman" w:eastAsia="宋体"/>
                <w:bCs/>
                <w:sz w:val="21"/>
                <w:szCs w:val="21"/>
              </w:rPr>
              <w:t>a</w:t>
            </w:r>
            <w:r>
              <w:rPr>
                <w:rFonts w:hint="eastAsia" w:ascii="Times New Roman" w:hAnsi="Times New Roman" w:eastAsia="宋体"/>
                <w:bCs/>
                <w:sz w:val="21"/>
                <w:szCs w:val="21"/>
              </w:rPr>
              <w:t>、投标人已按照合同规定提供了全部产品及完整的技术资料。</w:t>
            </w:r>
          </w:p>
          <w:p>
            <w:pPr>
              <w:tabs>
                <w:tab w:val="left" w:pos="1260"/>
              </w:tabs>
              <w:spacing w:line="340" w:lineRule="exact"/>
              <w:rPr>
                <w:rFonts w:ascii="Times New Roman" w:hAnsi="Times New Roman" w:eastAsia="宋体"/>
                <w:bCs/>
                <w:sz w:val="21"/>
                <w:szCs w:val="21"/>
              </w:rPr>
            </w:pPr>
            <w:r>
              <w:rPr>
                <w:rFonts w:ascii="Times New Roman" w:hAnsi="Times New Roman" w:eastAsia="宋体"/>
                <w:bCs/>
                <w:sz w:val="21"/>
                <w:szCs w:val="21"/>
              </w:rPr>
              <w:t>b</w:t>
            </w:r>
            <w:r>
              <w:rPr>
                <w:rFonts w:hint="eastAsia" w:ascii="Times New Roman" w:hAnsi="Times New Roman" w:eastAsia="宋体"/>
                <w:bCs/>
                <w:sz w:val="21"/>
                <w:szCs w:val="21"/>
              </w:rPr>
              <w:t>、货物符合采购文件技术规格书的要求，性能满足要求。</w:t>
            </w:r>
          </w:p>
          <w:p>
            <w:pPr>
              <w:tabs>
                <w:tab w:val="left" w:pos="1260"/>
              </w:tabs>
              <w:spacing w:line="340" w:lineRule="exact"/>
              <w:rPr>
                <w:rFonts w:ascii="Times New Roman" w:hAnsi="Times New Roman" w:eastAsia="宋体"/>
                <w:bCs/>
                <w:sz w:val="21"/>
                <w:szCs w:val="21"/>
              </w:rPr>
            </w:pPr>
            <w:r>
              <w:rPr>
                <w:rFonts w:ascii="Times New Roman" w:hAnsi="Times New Roman" w:eastAsia="宋体"/>
                <w:bCs/>
                <w:sz w:val="21"/>
                <w:szCs w:val="21"/>
              </w:rPr>
              <w:t>c</w:t>
            </w:r>
            <w:r>
              <w:rPr>
                <w:rFonts w:hint="eastAsia" w:ascii="Times New Roman" w:hAnsi="Times New Roman" w:eastAsia="宋体"/>
                <w:bCs/>
                <w:sz w:val="21"/>
                <w:szCs w:val="21"/>
              </w:rPr>
              <w:t>、货物具备产品合格证。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pPr>
              <w:jc w:val="center"/>
              <w:rPr>
                <w:rFonts w:hint="eastAsia" w:ascii="Times New Roman" w:hAnsi="Times New Roman" w:eastAsia="宋体"/>
                <w:bCs/>
                <w:sz w:val="21"/>
              </w:rPr>
            </w:pPr>
            <w:r>
              <w:rPr>
                <w:rFonts w:hint="eastAsia" w:ascii="Times New Roman" w:hAnsi="Times New Roman" w:eastAsia="宋体"/>
                <w:bCs/>
                <w:sz w:val="21"/>
              </w:rPr>
              <w:t>3</w:t>
            </w:r>
          </w:p>
        </w:tc>
        <w:tc>
          <w:tcPr>
            <w:tcW w:w="1620" w:type="dxa"/>
            <w:vMerge w:val="restart"/>
            <w:noWrap w:val="0"/>
            <w:vAlign w:val="center"/>
          </w:tcPr>
          <w:p>
            <w:pPr>
              <w:jc w:val="center"/>
              <w:rPr>
                <w:rFonts w:hint="eastAsia" w:ascii="Times New Roman" w:hAnsi="Times New Roman" w:eastAsia="宋体"/>
                <w:bCs/>
                <w:sz w:val="21"/>
              </w:rPr>
            </w:pPr>
            <w:r>
              <w:rPr>
                <w:rFonts w:hint="eastAsia" w:ascii="Times New Roman" w:hAnsi="Times New Roman" w:eastAsia="宋体"/>
                <w:bCs/>
                <w:sz w:val="21"/>
              </w:rPr>
              <w:t>违约责任</w:t>
            </w:r>
          </w:p>
        </w:tc>
        <w:tc>
          <w:tcPr>
            <w:tcW w:w="559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sz w:val="21"/>
              </w:rPr>
              <w:t>3.1如</w:t>
            </w:r>
            <w:r>
              <w:rPr>
                <w:rFonts w:hint="eastAsia" w:ascii="Times New Roman" w:hAnsi="Times New Roman" w:eastAsia="宋体"/>
                <w:bCs/>
                <w:sz w:val="21"/>
                <w:szCs w:val="21"/>
              </w:rPr>
              <w:t>投标人中标后</w:t>
            </w:r>
            <w:r>
              <w:rPr>
                <w:rFonts w:hint="eastAsia" w:ascii="Times New Roman" w:hAnsi="Times New Roman" w:eastAsia="宋体"/>
                <w:sz w:val="21"/>
              </w:rPr>
              <w:t>未按照投标文件中承诺的时间交货或提供服务，</w:t>
            </w:r>
            <w:r>
              <w:rPr>
                <w:rFonts w:hint="eastAsia" w:ascii="Times New Roman" w:hAnsi="Times New Roman" w:eastAsia="宋体"/>
                <w:bCs/>
                <w:sz w:val="21"/>
                <w:szCs w:val="21"/>
              </w:rPr>
              <w:t>投标人</w:t>
            </w:r>
            <w:r>
              <w:rPr>
                <w:rFonts w:hint="eastAsia" w:ascii="Times New Roman" w:hAnsi="Times New Roman" w:eastAsia="宋体"/>
                <w:sz w:val="21"/>
              </w:rPr>
              <w:t>应承担延期交货和延期服务的违约责任，并赔偿采购人因此造成的实际经济损失，采购人有权终止合同。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ascii="Times New Roman" w:hAnsi="Times New Roman" w:eastAsia="宋体"/>
                <w:bCs/>
                <w:sz w:val="21"/>
              </w:rPr>
            </w:pPr>
          </w:p>
        </w:tc>
        <w:tc>
          <w:tcPr>
            <w:tcW w:w="1620" w:type="dxa"/>
            <w:vMerge w:val="continue"/>
            <w:noWrap w:val="0"/>
            <w:vAlign w:val="center"/>
          </w:tcPr>
          <w:p>
            <w:pPr>
              <w:jc w:val="center"/>
              <w:rPr>
                <w:rFonts w:hint="eastAsia" w:ascii="Times New Roman" w:hAnsi="Times New Roman" w:eastAsia="宋体"/>
                <w:bCs/>
                <w:sz w:val="21"/>
              </w:rPr>
            </w:pPr>
          </w:p>
        </w:tc>
        <w:tc>
          <w:tcPr>
            <w:tcW w:w="559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cs="宋体"/>
                <w:bCs/>
                <w:sz w:val="21"/>
                <w:szCs w:val="21"/>
              </w:rPr>
              <w:t>3.2</w:t>
            </w:r>
            <w:r>
              <w:rPr>
                <w:rFonts w:hint="eastAsia" w:ascii="Times New Roman" w:hAnsi="Times New Roman" w:eastAsia="宋体"/>
                <w:bCs/>
                <w:sz w:val="21"/>
                <w:szCs w:val="21"/>
              </w:rPr>
              <w:t>投标人中标后</w:t>
            </w:r>
            <w:r>
              <w:rPr>
                <w:rFonts w:hint="eastAsia" w:ascii="Times New Roman" w:hAnsi="Times New Roman" w:eastAsia="宋体" w:cs="宋体"/>
                <w:bCs/>
                <w:sz w:val="21"/>
                <w:szCs w:val="21"/>
              </w:rPr>
              <w:t>所交设备的品种、型号、规格、质量、功能、技术参数等方面不能实质性满足采购文件要求的，采购人有权拒绝收货，</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 xml:space="preserve">向采购人偿付项目采购金额【20】% 的违约金并采取更换、补足等补救措施，致使逾期交付的，还应承担逾期交付的违约责任。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ascii="Times New Roman" w:hAnsi="Times New Roman" w:eastAsia="宋体"/>
                <w:bCs/>
                <w:sz w:val="21"/>
              </w:rPr>
            </w:pPr>
          </w:p>
        </w:tc>
        <w:tc>
          <w:tcPr>
            <w:tcW w:w="1620" w:type="dxa"/>
            <w:vMerge w:val="continue"/>
            <w:noWrap w:val="0"/>
            <w:vAlign w:val="center"/>
          </w:tcPr>
          <w:p>
            <w:pPr>
              <w:jc w:val="center"/>
              <w:rPr>
                <w:rFonts w:hint="eastAsia" w:ascii="Times New Roman" w:hAnsi="Times New Roman" w:eastAsia="宋体"/>
                <w:bCs/>
                <w:sz w:val="21"/>
              </w:rPr>
            </w:pPr>
          </w:p>
        </w:tc>
        <w:tc>
          <w:tcPr>
            <w:tcW w:w="559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cs="宋体"/>
                <w:bCs/>
                <w:sz w:val="21"/>
                <w:szCs w:val="21"/>
              </w:rPr>
              <w:t>3.3</w:t>
            </w:r>
            <w:r>
              <w:rPr>
                <w:rFonts w:hint="eastAsia" w:ascii="Times New Roman" w:hAnsi="Times New Roman" w:eastAsia="宋体"/>
                <w:bCs/>
                <w:sz w:val="21"/>
                <w:szCs w:val="21"/>
              </w:rPr>
              <w:t>投标人中标后</w:t>
            </w:r>
            <w:r>
              <w:rPr>
                <w:rFonts w:hint="eastAsia" w:ascii="Times New Roman" w:hAnsi="Times New Roman" w:eastAsia="宋体" w:cs="宋体"/>
                <w:bCs/>
                <w:sz w:val="21"/>
                <w:szCs w:val="21"/>
              </w:rPr>
              <w:t>不能交付设备的，</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向采购人偿付项目采购金额【20】%的违约金。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ascii="Times New Roman" w:hAnsi="Times New Roman" w:eastAsia="宋体"/>
                <w:bCs/>
                <w:sz w:val="21"/>
              </w:rPr>
            </w:pPr>
          </w:p>
        </w:tc>
        <w:tc>
          <w:tcPr>
            <w:tcW w:w="1620" w:type="dxa"/>
            <w:vMerge w:val="continue"/>
            <w:noWrap w:val="0"/>
            <w:vAlign w:val="top"/>
          </w:tcPr>
          <w:p>
            <w:pPr>
              <w:rPr>
                <w:rFonts w:hint="eastAsia" w:ascii="Times New Roman" w:hAnsi="Times New Roman" w:eastAsia="宋体"/>
                <w:bCs/>
                <w:sz w:val="21"/>
              </w:rPr>
            </w:pPr>
          </w:p>
        </w:tc>
        <w:tc>
          <w:tcPr>
            <w:tcW w:w="559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cs="宋体"/>
                <w:bCs/>
                <w:sz w:val="21"/>
                <w:szCs w:val="21"/>
              </w:rPr>
              <w:t>3.4</w:t>
            </w:r>
            <w:r>
              <w:rPr>
                <w:rFonts w:hint="eastAsia" w:ascii="Times New Roman" w:hAnsi="Times New Roman" w:eastAsia="宋体"/>
                <w:bCs/>
                <w:sz w:val="21"/>
                <w:szCs w:val="21"/>
              </w:rPr>
              <w:t>投标人中标后</w:t>
            </w:r>
            <w:r>
              <w:rPr>
                <w:rFonts w:hint="eastAsia" w:ascii="Times New Roman" w:hAnsi="Times New Roman" w:eastAsia="宋体" w:cs="宋体"/>
                <w:bCs/>
                <w:sz w:val="21"/>
                <w:szCs w:val="21"/>
              </w:rPr>
              <w:t>逾期交付货物的，每逾期1天，</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向采购人偿付项目采购金额的【5】‰的违约金。如</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逾期交货达</w:t>
            </w:r>
            <w:r>
              <w:rPr>
                <w:rFonts w:hint="eastAsia" w:ascii="Times New Roman" w:hAnsi="Times New Roman" w:eastAsia="宋体" w:cs="宋体"/>
                <w:bCs/>
                <w:sz w:val="21"/>
                <w:szCs w:val="21"/>
                <w:u w:val="single"/>
              </w:rPr>
              <w:t xml:space="preserve">  15  </w:t>
            </w:r>
            <w:r>
              <w:rPr>
                <w:rFonts w:hint="eastAsia" w:ascii="Times New Roman" w:hAnsi="Times New Roman" w:eastAsia="宋体" w:cs="宋体"/>
                <w:bCs/>
                <w:sz w:val="21"/>
                <w:szCs w:val="21"/>
              </w:rPr>
              <w:t>天，采购人有权解除合同。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ascii="Times New Roman" w:hAnsi="Times New Roman" w:eastAsia="宋体"/>
                <w:bCs/>
                <w:sz w:val="21"/>
              </w:rPr>
            </w:pPr>
          </w:p>
        </w:tc>
        <w:tc>
          <w:tcPr>
            <w:tcW w:w="1620" w:type="dxa"/>
            <w:vMerge w:val="continue"/>
            <w:noWrap w:val="0"/>
            <w:vAlign w:val="top"/>
          </w:tcPr>
          <w:p>
            <w:pPr>
              <w:rPr>
                <w:rFonts w:ascii="Times New Roman" w:hAnsi="Times New Roman" w:eastAsia="宋体"/>
                <w:bCs/>
                <w:sz w:val="21"/>
              </w:rPr>
            </w:pPr>
          </w:p>
        </w:tc>
        <w:tc>
          <w:tcPr>
            <w:tcW w:w="5594" w:type="dxa"/>
            <w:noWrap w:val="0"/>
            <w:vAlign w:val="top"/>
          </w:tcPr>
          <w:p>
            <w:pPr>
              <w:rPr>
                <w:rFonts w:hint="eastAsia" w:ascii="Times New Roman" w:hAnsi="Times New Roman" w:eastAsia="宋体" w:cs="宋体"/>
                <w:b/>
                <w:sz w:val="21"/>
              </w:rPr>
            </w:pPr>
            <w:r>
              <w:rPr>
                <w:rFonts w:hint="eastAsia" w:ascii="Times New Roman" w:hAnsi="Times New Roman" w:eastAsia="宋体" w:cs="宋体"/>
                <w:bCs/>
                <w:sz w:val="21"/>
              </w:rPr>
              <w:t>3.5</w:t>
            </w:r>
            <w:r>
              <w:rPr>
                <w:rFonts w:hint="eastAsia" w:ascii="Times New Roman" w:hAnsi="Times New Roman" w:eastAsia="宋体"/>
                <w:bCs/>
                <w:sz w:val="21"/>
                <w:szCs w:val="21"/>
              </w:rPr>
              <w:t>投标人中标后，在其</w:t>
            </w:r>
            <w:r>
              <w:rPr>
                <w:rFonts w:hint="eastAsia" w:ascii="Times New Roman" w:hAnsi="Times New Roman" w:eastAsia="宋体" w:cs="宋体"/>
                <w:bCs/>
                <w:sz w:val="21"/>
              </w:rPr>
              <w:t>承诺的或国家规定的质量保证期内（取两者中最长的期限），如经</w:t>
            </w:r>
            <w:r>
              <w:rPr>
                <w:rFonts w:hint="eastAsia" w:ascii="Times New Roman" w:hAnsi="Times New Roman" w:eastAsia="宋体"/>
                <w:bCs/>
                <w:sz w:val="21"/>
                <w:szCs w:val="21"/>
              </w:rPr>
              <w:t>投标人</w:t>
            </w:r>
            <w:r>
              <w:rPr>
                <w:rFonts w:hint="eastAsia" w:ascii="Times New Roman" w:hAnsi="Times New Roman" w:eastAsia="宋体" w:cs="宋体"/>
                <w:bCs/>
                <w:sz w:val="21"/>
              </w:rPr>
              <w:t>两次维修或更换，货物仍不能达到采购文件要求及投标文件承诺的质量标准，采购人有权退货，</w:t>
            </w:r>
            <w:r>
              <w:rPr>
                <w:rFonts w:hint="eastAsia" w:ascii="Times New Roman" w:hAnsi="Times New Roman" w:eastAsia="宋体"/>
                <w:bCs/>
                <w:sz w:val="21"/>
                <w:szCs w:val="21"/>
              </w:rPr>
              <w:t>投标人</w:t>
            </w:r>
            <w:r>
              <w:rPr>
                <w:rFonts w:hint="eastAsia" w:ascii="Times New Roman" w:hAnsi="Times New Roman" w:eastAsia="宋体" w:cs="宋体"/>
                <w:bCs/>
                <w:sz w:val="21"/>
              </w:rPr>
              <w:t>应退回全部货款并赔偿采购人因此遭受的损失。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pPr>
              <w:jc w:val="center"/>
              <w:rPr>
                <w:rFonts w:hint="eastAsia" w:ascii="Times New Roman" w:hAnsi="Times New Roman" w:eastAsia="宋体"/>
                <w:bCs/>
                <w:sz w:val="21"/>
              </w:rPr>
            </w:pPr>
          </w:p>
        </w:tc>
        <w:tc>
          <w:tcPr>
            <w:tcW w:w="1620" w:type="dxa"/>
            <w:vMerge w:val="continue"/>
            <w:noWrap w:val="0"/>
            <w:vAlign w:val="top"/>
          </w:tcPr>
          <w:p>
            <w:pPr>
              <w:rPr>
                <w:rFonts w:ascii="Times New Roman" w:hAnsi="Times New Roman" w:eastAsia="宋体"/>
                <w:bCs/>
                <w:sz w:val="21"/>
              </w:rPr>
            </w:pPr>
          </w:p>
        </w:tc>
        <w:tc>
          <w:tcPr>
            <w:tcW w:w="5594" w:type="dxa"/>
            <w:noWrap w:val="0"/>
            <w:vAlign w:val="top"/>
          </w:tcPr>
          <w:p>
            <w:pPr>
              <w:rPr>
                <w:rFonts w:hint="eastAsia" w:ascii="Times New Roman" w:hAnsi="Times New Roman" w:eastAsia="宋体" w:cs="宋体"/>
                <w:b/>
                <w:sz w:val="21"/>
              </w:rPr>
            </w:pPr>
            <w:r>
              <w:rPr>
                <w:rFonts w:hint="eastAsia" w:ascii="Times New Roman" w:hAnsi="Times New Roman" w:eastAsia="宋体" w:cs="宋体"/>
                <w:bCs/>
                <w:sz w:val="21"/>
              </w:rPr>
              <w:t>3.6</w:t>
            </w:r>
            <w:r>
              <w:rPr>
                <w:rFonts w:hint="eastAsia" w:ascii="Times New Roman" w:hAnsi="Times New Roman" w:eastAsia="宋体"/>
                <w:bCs/>
                <w:sz w:val="21"/>
                <w:szCs w:val="21"/>
              </w:rPr>
              <w:t>投标人中标后</w:t>
            </w:r>
            <w:r>
              <w:rPr>
                <w:rFonts w:hint="eastAsia" w:ascii="Times New Roman" w:hAnsi="Times New Roman" w:eastAsia="宋体" w:cs="宋体"/>
                <w:bCs/>
                <w:sz w:val="21"/>
              </w:rPr>
              <w:t>在承担上述一项或多项违约责任后，仍应继续履行合同规定的义务（采购人解除合同的除外）。采购人未能及时追究</w:t>
            </w:r>
            <w:r>
              <w:rPr>
                <w:rFonts w:hint="eastAsia" w:ascii="Times New Roman" w:hAnsi="Times New Roman" w:eastAsia="宋体"/>
                <w:bCs/>
                <w:sz w:val="21"/>
                <w:szCs w:val="21"/>
              </w:rPr>
              <w:t>投标人</w:t>
            </w:r>
            <w:r>
              <w:rPr>
                <w:rFonts w:hint="eastAsia" w:ascii="Times New Roman" w:hAnsi="Times New Roman" w:eastAsia="宋体" w:cs="宋体"/>
                <w:bCs/>
                <w:sz w:val="21"/>
              </w:rPr>
              <w:t>的任何一项违约责任并不表明采购人放弃追究</w:t>
            </w:r>
            <w:r>
              <w:rPr>
                <w:rFonts w:hint="eastAsia" w:ascii="Times New Roman" w:hAnsi="Times New Roman" w:eastAsia="宋体"/>
                <w:bCs/>
                <w:sz w:val="21"/>
                <w:szCs w:val="21"/>
              </w:rPr>
              <w:t>投标人</w:t>
            </w:r>
            <w:r>
              <w:rPr>
                <w:rFonts w:hint="eastAsia" w:ascii="Times New Roman" w:hAnsi="Times New Roman" w:eastAsia="宋体" w:cs="宋体"/>
                <w:bCs/>
                <w:sz w:val="21"/>
              </w:rPr>
              <w:t>该项或其他违约责任。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pPr>
              <w:jc w:val="center"/>
              <w:rPr>
                <w:rFonts w:hint="eastAsia" w:ascii="Times New Roman" w:hAnsi="Times New Roman" w:eastAsia="宋体"/>
                <w:bCs/>
                <w:sz w:val="21"/>
              </w:rPr>
            </w:pPr>
            <w:r>
              <w:rPr>
                <w:rFonts w:hint="eastAsia" w:ascii="Times New Roman" w:hAnsi="Times New Roman" w:eastAsia="宋体"/>
                <w:bCs/>
                <w:sz w:val="21"/>
              </w:rPr>
              <w:t>4</w:t>
            </w:r>
          </w:p>
        </w:tc>
        <w:tc>
          <w:tcPr>
            <w:tcW w:w="1620" w:type="dxa"/>
            <w:noWrap w:val="0"/>
            <w:vAlign w:val="top"/>
          </w:tcPr>
          <w:p>
            <w:pPr>
              <w:rPr>
                <w:rFonts w:hint="eastAsia" w:ascii="Times New Roman" w:hAnsi="Times New Roman" w:eastAsia="宋体"/>
                <w:bCs/>
                <w:sz w:val="21"/>
              </w:rPr>
            </w:pPr>
            <w:r>
              <w:rPr>
                <w:rFonts w:hint="eastAsia" w:ascii="Times New Roman" w:hAnsi="Times New Roman" w:eastAsia="宋体"/>
                <w:bCs/>
                <w:sz w:val="21"/>
              </w:rPr>
              <w:t>其他</w:t>
            </w:r>
          </w:p>
        </w:tc>
        <w:tc>
          <w:tcPr>
            <w:tcW w:w="5594" w:type="dxa"/>
            <w:noWrap w:val="0"/>
            <w:vAlign w:val="top"/>
          </w:tcPr>
          <w:p>
            <w:pPr>
              <w:rPr>
                <w:rFonts w:hint="eastAsia" w:ascii="Times New Roman" w:hAnsi="Times New Roman" w:eastAsia="宋体" w:cs="宋体"/>
                <w:bCs/>
                <w:sz w:val="21"/>
              </w:rPr>
            </w:pPr>
            <w:r>
              <w:rPr>
                <w:rFonts w:hint="eastAsia" w:ascii="Times New Roman" w:hAnsi="Times New Roman" w:eastAsia="宋体" w:cs="宋体"/>
                <w:bCs/>
                <w:sz w:val="21"/>
              </w:rPr>
              <w:t>投标人</w:t>
            </w:r>
            <w:r>
              <w:rPr>
                <w:rFonts w:hint="eastAsia" w:ascii="Times New Roman" w:hAnsi="Times New Roman" w:eastAsia="宋体"/>
                <w:bCs/>
                <w:sz w:val="21"/>
                <w:szCs w:val="21"/>
              </w:rPr>
              <w:t>中标后</w:t>
            </w:r>
            <w:r>
              <w:rPr>
                <w:rFonts w:hint="eastAsia" w:ascii="Times New Roman" w:hAnsi="Times New Roman" w:eastAsia="宋体" w:cs="宋体"/>
                <w:bCs/>
                <w:sz w:val="21"/>
              </w:rPr>
              <w:t>应按其投标文件中的承诺，进行其他售后服务工作。</w:t>
            </w:r>
          </w:p>
        </w:tc>
      </w:tr>
    </w:tbl>
    <w:p>
      <w:pPr>
        <w:widowControl/>
        <w:jc w:val="left"/>
        <w:rPr>
          <w:rFonts w:ascii="Arial" w:hAnsi="Arial" w:eastAsia="宋体" w:cs="Times New Roman"/>
          <w:szCs w:val="24"/>
        </w:rPr>
      </w:pPr>
    </w:p>
    <w:p>
      <w:pPr>
        <w:keepNext/>
        <w:keepLines/>
        <w:tabs>
          <w:tab w:val="left" w:pos="1680"/>
        </w:tabs>
        <w:spacing w:before="260"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lang w:val="en-US" w:eastAsia="zh-CN"/>
        </w:rPr>
        <w:t>五</w:t>
      </w:r>
      <w:r>
        <w:rPr>
          <w:rFonts w:hint="eastAsia" w:ascii="Arial" w:hAnsi="Arial" w:eastAsia="宋体" w:cs="Times New Roman"/>
          <w:b/>
          <w:bCs/>
          <w:sz w:val="32"/>
          <w:szCs w:val="32"/>
        </w:rPr>
        <w:t>、技术</w:t>
      </w:r>
      <w:r>
        <w:rPr>
          <w:rFonts w:hint="eastAsia" w:ascii="Arial" w:hAnsi="Arial" w:eastAsia="宋体" w:cs="Times New Roman"/>
          <w:b/>
          <w:bCs/>
          <w:sz w:val="32"/>
          <w:szCs w:val="32"/>
          <w:lang w:val="en-US" w:eastAsia="zh-CN"/>
        </w:rPr>
        <w:t>要求</w:t>
      </w:r>
      <w:r>
        <w:rPr>
          <w:rFonts w:hint="eastAsia" w:ascii="Arial" w:hAnsi="Arial" w:eastAsia="宋体" w:cs="Times New Roman"/>
          <w:b/>
          <w:bCs/>
          <w:sz w:val="32"/>
          <w:szCs w:val="32"/>
        </w:rPr>
        <w:t>部分</w:t>
      </w:r>
    </w:p>
    <w:p>
      <w:pPr>
        <w:widowControl/>
        <w:spacing w:line="360" w:lineRule="exact"/>
        <w:jc w:val="center"/>
        <w:rPr>
          <w:rFonts w:ascii="Times New Roman" w:hAnsi="Times New Roman"/>
          <w:b/>
          <w:kern w:val="0"/>
          <w:sz w:val="32"/>
          <w:szCs w:val="32"/>
        </w:rPr>
      </w:pPr>
      <w:r>
        <w:rPr>
          <w:rFonts w:hint="eastAsia" w:ascii="Times New Roman" w:hAnsi="Times New Roman"/>
          <w:b/>
          <w:kern w:val="0"/>
          <w:sz w:val="32"/>
          <w:szCs w:val="32"/>
          <w:highlight w:val="yellow"/>
        </w:rPr>
        <w:t>（技术参数详见《技术</w:t>
      </w:r>
      <w:r>
        <w:rPr>
          <w:rFonts w:hint="eastAsia" w:ascii="Times New Roman" w:hAnsi="Times New Roman"/>
          <w:b/>
          <w:kern w:val="0"/>
          <w:sz w:val="32"/>
          <w:szCs w:val="32"/>
          <w:highlight w:val="yellow"/>
          <w:lang w:eastAsia="zh-CN"/>
        </w:rPr>
        <w:t>规格</w:t>
      </w:r>
      <w:r>
        <w:rPr>
          <w:rFonts w:hint="eastAsia" w:ascii="Times New Roman" w:hAnsi="Times New Roman"/>
          <w:b/>
          <w:kern w:val="0"/>
          <w:sz w:val="32"/>
          <w:szCs w:val="32"/>
          <w:highlight w:val="yellow"/>
        </w:rPr>
        <w:t>偏离表》招标技术要求）</w:t>
      </w:r>
    </w:p>
    <w:p>
      <w:pPr>
        <w:outlineLvl w:val="9"/>
        <w:rPr>
          <w:rFonts w:hint="eastAsia"/>
          <w:sz w:val="28"/>
          <w:szCs w:val="28"/>
          <w:lang w:val="en-US" w:eastAsia="zh-CN"/>
        </w:rPr>
      </w:pPr>
    </w:p>
    <w:p>
      <w:pPr>
        <w:pStyle w:val="5"/>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rFonts w:hint="eastAsia" w:ascii="Arial" w:hAnsi="Arial" w:eastAsia="宋体" w:cs="Times New Roman"/>
          <w:b/>
          <w:bCs/>
          <w:kern w:val="2"/>
          <w:sz w:val="32"/>
          <w:szCs w:val="32"/>
          <w:lang w:val="en-US" w:eastAsia="zh-CN" w:bidi="ar-SA"/>
        </w:rPr>
      </w:pPr>
      <w:r>
        <w:rPr>
          <w:rFonts w:hint="eastAsia" w:ascii="Arial" w:hAnsi="Arial" w:eastAsia="宋体" w:cs="Times New Roman"/>
          <w:b/>
          <w:bCs/>
          <w:kern w:val="2"/>
          <w:sz w:val="32"/>
          <w:szCs w:val="32"/>
          <w:lang w:val="en-US" w:eastAsia="zh-CN" w:bidi="ar-SA"/>
        </w:rPr>
        <w:t>六、付款方式</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1、全部货物送到采购人指定地点、完成安装并验收合格后</w:t>
      </w:r>
      <w:r>
        <w:rPr>
          <w:rFonts w:hint="eastAsia" w:ascii="宋体" w:hAnsi="宋体" w:eastAsia="宋体" w:cs="宋体"/>
          <w:b w:val="0"/>
          <w:bCs w:val="0"/>
          <w:sz w:val="21"/>
          <w:szCs w:val="21"/>
          <w:u w:val="single"/>
        </w:rPr>
        <w:t xml:space="preserve">   30  </w:t>
      </w:r>
      <w:r>
        <w:rPr>
          <w:rFonts w:hint="eastAsia" w:ascii="宋体" w:hAnsi="宋体" w:eastAsia="宋体" w:cs="宋体"/>
          <w:b w:val="0"/>
          <w:bCs w:val="0"/>
          <w:sz w:val="21"/>
          <w:szCs w:val="21"/>
        </w:rPr>
        <w:t>个工作日内，采购人向中标供应商支付合同总价【100】%的款项</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乙方</w:t>
      </w:r>
      <w:r>
        <w:rPr>
          <w:rFonts w:hint="eastAsia" w:ascii="宋体" w:hAnsi="宋体" w:eastAsia="宋体" w:cs="宋体"/>
          <w:b w:val="0"/>
          <w:bCs w:val="0"/>
          <w:sz w:val="21"/>
          <w:szCs w:val="21"/>
          <w:lang w:eastAsia="zh-CN"/>
        </w:rPr>
        <w:t>应在甲方付款前</w:t>
      </w:r>
      <w:r>
        <w:rPr>
          <w:rFonts w:hint="eastAsia" w:ascii="宋体" w:hAnsi="宋体" w:eastAsia="宋体" w:cs="宋体"/>
          <w:b w:val="0"/>
          <w:bCs w:val="0"/>
          <w:sz w:val="21"/>
          <w:szCs w:val="21"/>
        </w:rPr>
        <w:t>开具符合税务规定且与金额相一致的发票；</w:t>
      </w:r>
    </w:p>
    <w:p>
      <w:pPr>
        <w:pStyle w:val="2"/>
        <w:rPr>
          <w:rFonts w:hint="eastAsia" w:ascii="宋体" w:hAnsi="宋体" w:eastAsia="宋体" w:cs="宋体"/>
          <w:b w:val="0"/>
          <w:bCs w:val="0"/>
          <w:sz w:val="21"/>
          <w:szCs w:val="21"/>
        </w:rPr>
      </w:pPr>
      <w:r>
        <w:rPr>
          <w:rFonts w:hint="eastAsia" w:ascii="宋体" w:hAnsi="宋体" w:eastAsia="宋体" w:cs="宋体"/>
          <w:b w:val="0"/>
          <w:bCs w:val="0"/>
          <w:sz w:val="21"/>
          <w:szCs w:val="21"/>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pPr>
        <w:rPr>
          <w:rFonts w:hint="eastAsia"/>
          <w:lang w:val="en-US" w:eastAsia="zh-CN"/>
        </w:rPr>
      </w:pPr>
    </w:p>
    <w:p>
      <w:pPr>
        <w:pStyle w:val="5"/>
        <w:keepNext/>
        <w:keepLines/>
        <w:pageBreakBefore w:val="0"/>
        <w:widowControl w:val="0"/>
        <w:kinsoku/>
        <w:wordWrap/>
        <w:overflowPunct/>
        <w:topLinePunct w:val="0"/>
        <w:autoSpaceDE/>
        <w:autoSpaceDN/>
        <w:bidi w:val="0"/>
        <w:adjustRightInd/>
        <w:snapToGrid/>
        <w:spacing w:before="120" w:beforeLines="50" w:after="120" w:afterLines="50" w:line="416" w:lineRule="auto"/>
        <w:jc w:val="center"/>
        <w:textAlignment w:val="auto"/>
        <w:outlineLvl w:val="2"/>
        <w:rPr>
          <w:rFonts w:hint="eastAsia" w:ascii="Arial" w:hAnsi="Arial" w:eastAsia="宋体" w:cs="Times New Roman"/>
          <w:b/>
          <w:bCs/>
          <w:kern w:val="2"/>
          <w:sz w:val="32"/>
          <w:szCs w:val="32"/>
          <w:lang w:val="en-US" w:eastAsia="zh-CN" w:bidi="ar-SA"/>
        </w:rPr>
      </w:pPr>
      <w:r>
        <w:rPr>
          <w:rFonts w:hint="eastAsia" w:ascii="Arial" w:hAnsi="Arial" w:eastAsia="宋体" w:cs="Times New Roman"/>
          <w:b/>
          <w:bCs/>
          <w:kern w:val="2"/>
          <w:sz w:val="32"/>
          <w:szCs w:val="32"/>
          <w:lang w:val="en-US" w:eastAsia="zh-CN" w:bidi="ar-SA"/>
        </w:rPr>
        <w:t>七、其他重要条款</w:t>
      </w:r>
    </w:p>
    <w:p>
      <w:pPr>
        <w:ind w:firstLine="420" w:firstLineChars="200"/>
        <w:rPr>
          <w:rFonts w:hint="eastAsia"/>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rFonts w:hint="eastAsia"/>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rFonts w:hint="eastAsia"/>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rFonts w:hint="eastAsia"/>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ind w:firstLine="420" w:firstLineChars="200"/>
        <w:rPr>
          <w:rFonts w:hint="eastAsia"/>
          <w:bCs/>
          <w:szCs w:val="21"/>
        </w:rPr>
      </w:pPr>
    </w:p>
    <w:p>
      <w:pPr>
        <w:ind w:firstLine="420" w:firstLineChars="200"/>
        <w:rPr>
          <w:rFonts w:hint="eastAsia"/>
          <w:bCs/>
          <w:szCs w:val="21"/>
        </w:rPr>
      </w:pPr>
    </w:p>
    <w:p>
      <w:pPr>
        <w:ind w:firstLine="420" w:firstLineChars="200"/>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pageBreakBefore w:val="0"/>
        <w:kinsoku/>
        <w:wordWrap/>
        <w:overflowPunct/>
        <w:topLinePunct w:val="0"/>
        <w:autoSpaceDE/>
        <w:autoSpaceDN/>
        <w:bidi w:val="0"/>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投标人在编辑投标文件时，在投标文件目录中属于本节点内容的必须在本节点中填写，填写到其他节点或附件的将可能导致投标无效，一切后果由供应商自行承担。</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投标文件正文必须编制于“正文”部分，投标文件附件必须编制于“附件”部分。</w:t>
      </w:r>
    </w:p>
    <w:p>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bookmarkStart w:id="13" w:name="_Hlk72257167"/>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政府集中采购机构公布投标文件正文时，如投标人误将涉及个人隐私的信息放入投标文件正文，相关后果由投标人自负；如投标人将必须放于投标文件正文）的内容放入投标文件附件，将作投标无效处理。</w:t>
      </w:r>
    </w:p>
    <w:p>
      <w:pPr>
        <w:pStyle w:val="2"/>
        <w:rPr>
          <w:rFonts w:hint="eastAsia"/>
        </w:rPr>
      </w:pPr>
    </w:p>
    <w:bookmarkEnd w:id="13"/>
    <w:p>
      <w:pPr>
        <w:pageBreakBefore w:val="0"/>
        <w:widowControl/>
        <w:kinsoku/>
        <w:wordWrap/>
        <w:overflowPunct/>
        <w:topLinePunct w:val="0"/>
        <w:autoSpaceDE/>
        <w:autoSpaceDN/>
        <w:bidi w:val="0"/>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ind w:firstLine="1200" w:firstLineChars="500"/>
        <w:outlineLvl w:val="0"/>
        <w:rPr>
          <w:rFonts w:ascii="宋体" w:hAnsi="宋体"/>
          <w:sz w:val="24"/>
        </w:rPr>
      </w:pPr>
      <w:bookmarkStart w:id="14" w:name="_Hlk72257771"/>
      <w:r>
        <w:rPr>
          <w:rFonts w:hint="eastAsia" w:ascii="宋体" w:hAnsi="宋体"/>
          <w:sz w:val="24"/>
        </w:rPr>
        <w:t>1.投标文件正文，主要包括以下内容：</w:t>
      </w:r>
    </w:p>
    <w:p>
      <w:pPr>
        <w:ind w:left="718" w:leftChars="342" w:firstLine="1417" w:firstLineChars="675"/>
        <w:rPr>
          <w:szCs w:val="21"/>
        </w:rPr>
      </w:pPr>
      <w:r>
        <w:rPr>
          <w:rFonts w:hint="eastAsia"/>
          <w:szCs w:val="21"/>
        </w:rPr>
        <w:t>（1）</w:t>
      </w:r>
      <w:bookmarkStart w:id="15" w:name="_Hlk72070784"/>
      <w:r>
        <w:rPr>
          <w:rFonts w:hint="eastAsia"/>
          <w:szCs w:val="21"/>
        </w:rPr>
        <w:t>投标函</w:t>
      </w:r>
      <w:bookmarkEnd w:id="15"/>
    </w:p>
    <w:p>
      <w:pPr>
        <w:ind w:left="718" w:leftChars="342" w:firstLine="1417" w:firstLineChars="675"/>
        <w:rPr>
          <w:szCs w:val="21"/>
        </w:rPr>
      </w:pPr>
      <w:r>
        <w:rPr>
          <w:rFonts w:hint="eastAsia"/>
          <w:szCs w:val="21"/>
        </w:rPr>
        <w:t>（2）</w:t>
      </w:r>
      <w:bookmarkStart w:id="16" w:name="_Hlk72062521"/>
      <w:r>
        <w:rPr>
          <w:rFonts w:hint="eastAsia"/>
          <w:szCs w:val="21"/>
        </w:rPr>
        <w:t>政府采购投标及履约承诺函</w:t>
      </w:r>
      <w:bookmarkEnd w:id="16"/>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17" w:name="_Hlk72257201"/>
      <w:r>
        <w:rPr>
          <w:rFonts w:hint="eastAsia"/>
          <w:szCs w:val="21"/>
        </w:rPr>
        <w:t>（</w:t>
      </w:r>
      <w:r>
        <w:rPr>
          <w:szCs w:val="21"/>
        </w:rPr>
        <w:t>4</w:t>
      </w:r>
      <w:r>
        <w:rPr>
          <w:rFonts w:hint="eastAsia"/>
          <w:szCs w:val="21"/>
        </w:rPr>
        <w:t>）项目详细报价</w:t>
      </w:r>
    </w:p>
    <w:bookmarkEnd w:id="17"/>
    <w:p>
      <w:pPr>
        <w:ind w:left="718" w:leftChars="342" w:firstLine="1627" w:firstLineChars="775"/>
        <w:rPr>
          <w:szCs w:val="21"/>
        </w:rPr>
      </w:pPr>
      <w:r>
        <w:rPr>
          <w:rFonts w:hint="eastAsia" w:ascii="宋体" w:hAnsi="宋体"/>
          <w:szCs w:val="21"/>
        </w:rPr>
        <w:t>…………</w:t>
      </w:r>
    </w:p>
    <w:p>
      <w:pPr>
        <w:ind w:firstLine="1200" w:firstLineChars="500"/>
        <w:outlineLvl w:val="0"/>
        <w:rPr>
          <w:rFonts w:ascii="宋体" w:hAnsi="宋体"/>
          <w:sz w:val="24"/>
        </w:rPr>
      </w:pPr>
      <w:r>
        <w:rPr>
          <w:rFonts w:hint="eastAsia" w:ascii="宋体" w:hAnsi="宋体"/>
          <w:sz w:val="24"/>
        </w:rPr>
        <w:t>2.投标文件附件：主要包括以下内容：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）技术要求偏离表</w:t>
      </w:r>
    </w:p>
    <w:p>
      <w:pPr>
        <w:ind w:left="718" w:leftChars="342" w:firstLine="1417" w:firstLineChars="675"/>
        <w:rPr>
          <w:szCs w:val="21"/>
        </w:rPr>
      </w:pPr>
      <w:r>
        <w:rPr>
          <w:rFonts w:hint="eastAsia"/>
          <w:szCs w:val="21"/>
        </w:rPr>
        <w:t>（</w:t>
      </w:r>
      <w:r>
        <w:rPr>
          <w:szCs w:val="21"/>
        </w:rPr>
        <w:t>5</w:t>
      </w:r>
      <w:r>
        <w:rPr>
          <w:rFonts w:hint="eastAsia"/>
          <w:szCs w:val="21"/>
        </w:rPr>
        <w:t>）商务要求偏离表</w:t>
      </w:r>
    </w:p>
    <w:p>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）投标人认为需要加以说明的其他内容</w:t>
      </w:r>
    </w:p>
    <w:p>
      <w:pPr>
        <w:ind w:left="718" w:leftChars="342" w:firstLine="1417" w:firstLineChars="675"/>
        <w:rPr>
          <w:rFonts w:ascii="宋体" w:hAnsi="宋体"/>
          <w:szCs w:val="21"/>
        </w:rPr>
      </w:pPr>
      <w:r>
        <w:rPr>
          <w:rFonts w:hint="eastAsia" w:ascii="宋体" w:hAnsi="宋体"/>
          <w:szCs w:val="21"/>
        </w:rPr>
        <w:t>…………</w:t>
      </w:r>
    </w:p>
    <w:p>
      <w:pPr>
        <w:pageBreakBefore w:val="0"/>
        <w:kinsoku/>
        <w:wordWrap/>
        <w:overflowPunct/>
        <w:topLinePunct w:val="0"/>
        <w:autoSpaceDE/>
        <w:autoSpaceDN/>
        <w:bidi w:val="0"/>
        <w:spacing w:line="320" w:lineRule="atLeast"/>
        <w:rPr>
          <w:rFonts w:ascii="宋体" w:hAnsi="宋体"/>
          <w:b/>
          <w:sz w:val="24"/>
          <w:szCs w:val="24"/>
        </w:rPr>
      </w:pPr>
      <w:r>
        <w:rPr>
          <w:rFonts w:hint="eastAsia" w:ascii="宋体" w:hAnsi="宋体"/>
          <w:b/>
          <w:sz w:val="24"/>
          <w:szCs w:val="24"/>
        </w:rPr>
        <w:t>备注：</w:t>
      </w:r>
    </w:p>
    <w:p>
      <w:pPr>
        <w:pageBreakBefore w:val="0"/>
        <w:kinsoku/>
        <w:wordWrap/>
        <w:overflowPunct/>
        <w:topLinePunct w:val="0"/>
        <w:autoSpaceDE/>
        <w:autoSpaceDN/>
        <w:bidi w:val="0"/>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Lines="25"/>
        <w:ind w:firstLine="482" w:firstLineChars="200"/>
        <w:rPr>
          <w:rFonts w:ascii="宋体" w:hAnsi="宋体" w:eastAsia="黑体" w:cs="Times New Roman"/>
          <w:bCs/>
          <w:kern w:val="44"/>
          <w:sz w:val="32"/>
          <w:szCs w:val="32"/>
        </w:rPr>
      </w:pPr>
      <w:bookmarkStart w:id="18" w:name="_Hlk72263559"/>
      <w:r>
        <w:rPr>
          <w:rFonts w:hint="eastAsia" w:ascii="宋体" w:hAnsi="宋体"/>
          <w:b/>
          <w:sz w:val="24"/>
          <w:szCs w:val="24"/>
        </w:rPr>
        <w:t>2.关于填写“开标一览表”的说明：“开标一览表”中除“投标总价”外，其他信息不作评审依据。</w:t>
      </w:r>
      <w:bookmarkEnd w:id="14"/>
      <w:bookmarkEnd w:id="18"/>
      <w:r>
        <w:rPr>
          <w:rFonts w:ascii="宋体" w:hAnsi="宋体" w:eastAsia="黑体" w:cs="Times New Roman"/>
          <w:bCs/>
          <w:kern w:val="44"/>
          <w:sz w:val="32"/>
          <w:szCs w:val="32"/>
        </w:rPr>
        <w:br w:type="page"/>
      </w:r>
    </w:p>
    <w:p>
      <w:pPr>
        <w:keepNext w:val="0"/>
        <w:keepLines w:val="0"/>
        <w:pageBreakBefore w:val="0"/>
        <w:widowControl/>
        <w:kinsoku/>
        <w:wordWrap/>
        <w:overflowPunct/>
        <w:topLinePunct w:val="0"/>
        <w:autoSpaceDE/>
        <w:autoSpaceDN/>
        <w:bidi w:val="0"/>
        <w:adjustRightInd/>
        <w:snapToGrid/>
        <w:jc w:val="left"/>
        <w:textAlignment w:val="auto"/>
        <w:outlineLvl w:val="1"/>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pPr>
        <w:pStyle w:val="5"/>
        <w:jc w:val="center"/>
        <w:rPr>
          <w:rFonts w:ascii="黑体" w:eastAsia="黑体"/>
          <w:b w:val="0"/>
          <w:sz w:val="24"/>
        </w:rPr>
      </w:pPr>
      <w:r>
        <w:rPr>
          <w:rFonts w:hint="eastAsia" w:ascii="黑体" w:eastAsia="黑体"/>
          <w:b w:val="0"/>
          <w:sz w:val="24"/>
        </w:rPr>
        <w:t>一、投标函</w:t>
      </w:r>
    </w:p>
    <w:p>
      <w:pPr>
        <w:spacing w:line="360" w:lineRule="auto"/>
        <w:rPr>
          <w:rFonts w:ascii="宋体" w:hAnsi="宋体"/>
          <w:szCs w:val="21"/>
        </w:rPr>
      </w:pPr>
      <w:bookmarkStart w:id="19"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20" w:name="_Hlk73818812"/>
      <w:r>
        <w:rPr>
          <w:rFonts w:hint="eastAsia"/>
          <w:szCs w:val="21"/>
        </w:rPr>
        <w:t>1、根据已收到贵单位的项目编号为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lang w:eastAsia="zh-CN"/>
        </w:rPr>
        <w:t>（</w:t>
      </w:r>
      <w:r>
        <w:rPr>
          <w:rFonts w:hint="eastAsia"/>
          <w:szCs w:val="21"/>
          <w:u w:val="thick"/>
        </w:rPr>
        <w:t>项目</w:t>
      </w:r>
      <w:r>
        <w:rPr>
          <w:rFonts w:hint="eastAsia"/>
          <w:szCs w:val="21"/>
          <w:u w:val="thick"/>
          <w:lang w:val="en-US" w:eastAsia="zh-CN"/>
        </w:rPr>
        <w:t>名称</w:t>
      </w:r>
      <w:r>
        <w:rPr>
          <w:rFonts w:hint="eastAsia"/>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21" w:name="_Hlk72263588"/>
      <w:r>
        <w:rPr>
          <w:rFonts w:hint="eastAsia"/>
          <w:szCs w:val="21"/>
        </w:rPr>
        <w:t>愿意按照招标文件要求承包上述项目并修补其任何缺陷。</w:t>
      </w:r>
      <w:bookmarkEnd w:id="21"/>
    </w:p>
    <w:p>
      <w:pPr>
        <w:ind w:firstLine="420" w:firstLineChars="200"/>
        <w:rPr>
          <w:rFonts w:ascii="宋体" w:hAnsi="宋体"/>
          <w:szCs w:val="21"/>
        </w:rPr>
      </w:pPr>
      <w:r>
        <w:rPr>
          <w:rFonts w:ascii="宋体" w:hAnsi="宋体"/>
          <w:szCs w:val="21"/>
        </w:rPr>
        <w:t>2</w:t>
      </w:r>
      <w:r>
        <w:rPr>
          <w:rFonts w:hint="eastAsia" w:ascii="宋体" w:hAnsi="宋体"/>
          <w:szCs w:val="21"/>
        </w:rPr>
        <w:t>、</w:t>
      </w:r>
      <w:bookmarkStart w:id="22" w:name="_Hlk73819847"/>
      <w:r>
        <w:rPr>
          <w:rFonts w:hint="eastAsia" w:ascii="宋体" w:hAnsi="宋体"/>
          <w:szCs w:val="21"/>
        </w:rPr>
        <w:t>投标价格见</w:t>
      </w:r>
      <w:r>
        <w:rPr>
          <w:rFonts w:hint="eastAsia"/>
          <w:szCs w:val="21"/>
        </w:rPr>
        <w:t>投标书编制软件中《开标一览表》中填写的投标总价。</w:t>
      </w:r>
      <w:bookmarkEnd w:id="22"/>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firstLine="0" w:firstLineChars="0"/>
        <w:rPr>
          <w:rFonts w:ascii="宋体" w:hAnsi="宋体"/>
          <w:b/>
          <w:szCs w:val="21"/>
        </w:rPr>
      </w:pPr>
      <w:r>
        <w:rPr>
          <w:rFonts w:hint="eastAsia" w:ascii="宋体" w:hAnsi="宋体"/>
          <w:szCs w:val="21"/>
        </w:rPr>
        <w:t>6、我单位理解贵单位将不受必须接受所收到的最低报价或其它任何投标文件的约束。</w:t>
      </w:r>
      <w:bookmarkEnd w:id="20"/>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rPr>
      </w:pPr>
    </w:p>
    <w:p>
      <w:pPr>
        <w:ind w:left="420" w:leftChars="200" w:firstLine="210" w:firstLineChars="100"/>
        <w:rPr>
          <w:rFonts w:hint="eastAsia"/>
          <w:szCs w:val="21"/>
        </w:rPr>
      </w:pPr>
      <w:r>
        <w:rPr>
          <w:rFonts w:hint="eastAsia"/>
          <w:szCs w:val="21"/>
        </w:rPr>
        <w:t>投标人：</w:t>
      </w:r>
      <w:r>
        <w:rPr>
          <w:rFonts w:hint="eastAsia"/>
          <w:szCs w:val="21"/>
          <w:u w:val="thick"/>
        </w:rPr>
        <w:t xml:space="preserve">                   </w:t>
      </w:r>
      <w:r>
        <w:rPr>
          <w:rFonts w:hint="eastAsia"/>
          <w:szCs w:val="21"/>
        </w:rPr>
        <w:t xml:space="preserve">  </w:t>
      </w:r>
      <w:r>
        <w:rPr>
          <w:rFonts w:hint="eastAsia"/>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rPr>
        <w:t>单位地址：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bookmarkEnd w:id="19"/>
    <w:p>
      <w:pPr>
        <w:rPr>
          <w:rFonts w:hint="eastAsia" w:ascii="黑体" w:eastAsia="黑体"/>
          <w:b w:val="0"/>
          <w:sz w:val="24"/>
        </w:rPr>
      </w:pPr>
      <w:r>
        <w:rPr>
          <w:rFonts w:hint="eastAsia" w:ascii="黑体" w:eastAsia="黑体"/>
          <w:b w:val="0"/>
          <w:sz w:val="24"/>
        </w:rPr>
        <w:br w:type="page"/>
      </w:r>
    </w:p>
    <w:p>
      <w:pPr>
        <w:pStyle w:val="5"/>
        <w:jc w:val="center"/>
        <w:rPr>
          <w:rFonts w:ascii="黑体" w:eastAsia="黑体"/>
          <w:b w:val="0"/>
          <w:sz w:val="24"/>
        </w:rPr>
      </w:pPr>
      <w:r>
        <w:rPr>
          <w:rFonts w:hint="eastAsia" w:ascii="黑体" w:eastAsia="黑体"/>
          <w:b w:val="0"/>
          <w:sz w:val="24"/>
        </w:rPr>
        <w:t>二、政府采购投标及履约承诺函</w:t>
      </w:r>
    </w:p>
    <w:p>
      <w:pPr>
        <w:rPr>
          <w:rFonts w:ascii="宋体" w:hAnsi="宋体"/>
          <w:color w:val="FF0000"/>
          <w:szCs w:val="21"/>
        </w:rPr>
      </w:pPr>
      <w:bookmarkStart w:id="23"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hint="eastAsia" w:ascii="宋体" w:hAnsi="宋体"/>
          <w:b/>
          <w:szCs w:val="21"/>
        </w:rPr>
      </w:pPr>
      <w:r>
        <w:rPr>
          <w:rFonts w:hint="eastAsia" w:ascii="宋体" w:hAnsi="宋体"/>
          <w:b w:val="0"/>
          <w:bCs/>
          <w:szCs w:val="21"/>
        </w:rPr>
        <w:t>1.我单位参与本项目所投标（响应）的货物、工程或服务，不存在侵犯知识产权的情况。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eastAsia="宋体"/>
          <w:lang w:val="en-US"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val="en-US" w:eastAsia="zh-CN"/>
        </w:rPr>
        <w:t xml:space="preserve"> </w:t>
      </w:r>
    </w:p>
    <w:p>
      <w:pPr>
        <w:ind w:firstLine="420" w:firstLineChars="200"/>
        <w:rPr>
          <w:rFonts w:hint="default" w:eastAsia="宋体"/>
          <w:color w:val="FF0000"/>
          <w:lang w:val="en-US" w:eastAsia="zh-CN"/>
        </w:rPr>
      </w:pPr>
      <w:r>
        <w:rPr>
          <w:rFonts w:hint="eastAsia"/>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w:t>
      </w:r>
      <w:bookmarkStart w:id="24" w:name="_Hlk72587269"/>
      <w:bookmarkStart w:id="25"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4"/>
      <w:r>
        <w:rPr>
          <w:rFonts w:hint="eastAsia" w:ascii="宋体" w:hAnsi="宋体"/>
          <w:szCs w:val="21"/>
        </w:rPr>
        <w:t>。</w:t>
      </w:r>
    </w:p>
    <w:bookmarkEnd w:id="25"/>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lang w:val="en-US" w:eastAsia="zh-CN"/>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lang w:eastAsia="zh-CN"/>
        </w:rPr>
        <w:t>（</w:t>
      </w:r>
      <w:r>
        <w:rPr>
          <w:rFonts w:hint="eastAsia"/>
        </w:rPr>
        <w:t>财库〔2023〕7号）</w:t>
      </w:r>
      <w:r>
        <w:rPr>
          <w:rFonts w:hint="eastAsia"/>
          <w:lang w:val="en-US" w:eastAsia="zh-CN"/>
        </w:rPr>
        <w:t>要求。若所投产品涉及国家强制性标准的，所投产品应符合国家强制性标准相关要求。</w:t>
      </w:r>
    </w:p>
    <w:p>
      <w:pPr>
        <w:ind w:firstLine="420" w:firstLineChars="200"/>
        <w:rPr>
          <w:rFonts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eastAsia="宋体" w:cs="宋体"/>
          <w:b/>
          <w:color w:val="FF0000"/>
          <w:kern w:val="0"/>
          <w:szCs w:val="21"/>
          <w:lang w:eastAsia="zh-CN"/>
        </w:rPr>
      </w:pPr>
      <w:r>
        <w:rPr>
          <w:rFonts w:hint="eastAsia" w:ascii="宋体" w:hAnsi="宋体"/>
          <w:b w:val="0"/>
          <w:bCs/>
        </w:rPr>
        <w:t>1</w:t>
      </w:r>
      <w:r>
        <w:rPr>
          <w:rFonts w:hint="eastAsia" w:ascii="宋体" w:hAnsi="宋体"/>
          <w:b w:val="0"/>
          <w:bCs/>
          <w:lang w:val="en-US" w:eastAsia="zh-CN"/>
        </w:rPr>
        <w:t>3</w:t>
      </w:r>
      <w:r>
        <w:rPr>
          <w:rFonts w:ascii="宋体" w:hAnsi="宋体"/>
          <w:b w:val="0"/>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hint="default" w:ascii="宋体" w:hAnsi="宋体"/>
          <w:b/>
          <w:szCs w:val="21"/>
          <w:lang w:val="en-US"/>
        </w:rPr>
      </w:pPr>
      <w:r>
        <w:rPr>
          <w:rFonts w:hint="eastAsia" w:ascii="宋体" w:hAnsi="宋体"/>
          <w:b/>
          <w:lang w:val="en-US"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bookmarkEnd w:id="23"/>
    <w:p>
      <w:pPr>
        <w:spacing w:before="60" w:beforeLines="25" w:after="60" w:afterLines="25"/>
        <w:jc w:val="right"/>
        <w:rPr>
          <w:rFonts w:hint="eastAsia" w:eastAsia="宋体"/>
          <w:color w:val="FF0000"/>
          <w:u w:val="none"/>
          <w:lang w:eastAsia="zh-CN"/>
        </w:rPr>
      </w:pPr>
      <w:r>
        <w:rPr>
          <w:rFonts w:hint="eastAsia"/>
          <w:color w:val="FF0000"/>
          <w:szCs w:val="21"/>
        </w:rPr>
        <w:t>投标人</w:t>
      </w:r>
      <w:r>
        <w:rPr>
          <w:rFonts w:hint="eastAsia"/>
          <w:color w:val="FF0000"/>
          <w:szCs w:val="21"/>
          <w:u w:val="none"/>
        </w:rPr>
        <w:t>：</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color w:val="FF0000"/>
          <w:szCs w:val="21"/>
          <w:u w:val="none"/>
          <w:lang w:val="en-US" w:eastAsia="zh-CN"/>
        </w:rPr>
        <w:t>.</w:t>
      </w:r>
    </w:p>
    <w:p>
      <w:pPr>
        <w:jc w:val="right"/>
        <w:rPr>
          <w:rFonts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color w:val="FF0000"/>
          <w:szCs w:val="21"/>
          <w:u w:val="thick"/>
          <w:lang w:val="en-US" w:eastAsia="zh-CN"/>
        </w:rPr>
        <w:t xml:space="preserve">    </w:t>
      </w:r>
      <w:r>
        <w:rPr>
          <w:rFonts w:hint="eastAsia"/>
          <w:color w:val="FF0000"/>
          <w:szCs w:val="21"/>
          <w:u w:val="thick"/>
        </w:rPr>
        <w:t xml:space="preserve">  </w:t>
      </w:r>
      <w:r>
        <w:rPr>
          <w:rFonts w:hint="eastAsia" w:ascii="宋体" w:hAnsi="宋体"/>
          <w:color w:val="FF0000"/>
          <w:szCs w:val="21"/>
        </w:rPr>
        <w:t>日</w:t>
      </w:r>
    </w:p>
    <w:p>
      <w:pPr>
        <w:ind w:firstLine="645"/>
        <w:rPr>
          <w:rFonts w:ascii="宋体" w:hAnsi="宋体"/>
          <w:szCs w:val="21"/>
        </w:rPr>
      </w:pPr>
    </w:p>
    <w:p>
      <w:pPr>
        <w:rPr>
          <w:rFonts w:ascii="宋体"/>
          <w:b/>
          <w:szCs w:val="21"/>
        </w:rPr>
      </w:pPr>
    </w:p>
    <w:p>
      <w:pPr>
        <w:ind w:firstLine="482" w:firstLineChars="200"/>
        <w:jc w:val="center"/>
        <w:rPr>
          <w:rFonts w:hAnsi="宋体"/>
          <w:b/>
          <w:bCs/>
          <w:sz w:val="24"/>
        </w:rPr>
      </w:pPr>
    </w:p>
    <w:p>
      <w:pPr>
        <w:rPr>
          <w:rFonts w:hint="eastAsia" w:ascii="黑体" w:eastAsia="黑体"/>
          <w:b w:val="0"/>
          <w:sz w:val="24"/>
          <w:szCs w:val="24"/>
        </w:rPr>
      </w:pPr>
      <w:r>
        <w:rPr>
          <w:rFonts w:hint="eastAsia" w:ascii="黑体" w:eastAsia="黑体"/>
          <w:b w:val="0"/>
          <w:sz w:val="24"/>
          <w:szCs w:val="24"/>
        </w:rPr>
        <w:br w:type="page"/>
      </w:r>
    </w:p>
    <w:p>
      <w:pPr>
        <w:pStyle w:val="5"/>
        <w:jc w:val="center"/>
        <w:rPr>
          <w:rFonts w:ascii="黑体" w:eastAsia="黑体"/>
          <w:b w:val="0"/>
          <w:sz w:val="24"/>
          <w:szCs w:val="24"/>
        </w:rPr>
      </w:pPr>
      <w:r>
        <w:rPr>
          <w:rFonts w:hint="eastAsia" w:ascii="黑体" w:eastAsia="黑体"/>
          <w:b w:val="0"/>
          <w:sz w:val="24"/>
          <w:szCs w:val="24"/>
        </w:rPr>
        <w:t>三、投标人情况及资格证明文件</w:t>
      </w:r>
    </w:p>
    <w:p>
      <w:pPr>
        <w:keepNext w:val="0"/>
        <w:keepLines w:val="0"/>
        <w:pageBreakBefore w:val="0"/>
        <w:widowControl w:val="0"/>
        <w:kinsoku/>
        <w:wordWrap/>
        <w:overflowPunct/>
        <w:topLinePunct w:val="0"/>
        <w:autoSpaceDE/>
        <w:autoSpaceDN/>
        <w:bidi w:val="0"/>
        <w:adjustRightInd/>
        <w:snapToGrid/>
        <w:textAlignment w:val="auto"/>
        <w:outlineLvl w:val="9"/>
        <w:rPr>
          <w:b/>
          <w:bCs/>
          <w:sz w:val="24"/>
        </w:rPr>
      </w:pPr>
    </w:p>
    <w:p>
      <w:pPr>
        <w:keepNext w:val="0"/>
        <w:keepLines w:val="0"/>
        <w:pageBreakBefore w:val="0"/>
        <w:widowControl w:val="0"/>
        <w:kinsoku/>
        <w:wordWrap/>
        <w:overflowPunct/>
        <w:topLinePunct w:val="0"/>
        <w:autoSpaceDE/>
        <w:autoSpaceDN/>
        <w:bidi w:val="0"/>
        <w:adjustRightInd/>
        <w:snapToGrid/>
        <w:ind w:firstLine="2640" w:firstLineChars="1100"/>
        <w:textAlignment w:val="auto"/>
        <w:outlineLvl w:val="9"/>
        <w:rPr>
          <w:rFonts w:ascii="黑体" w:hAnsi="宋体" w:eastAsia="黑体"/>
          <w:bCs/>
          <w:kern w:val="0"/>
          <w:sz w:val="24"/>
          <w:szCs w:val="32"/>
        </w:rPr>
      </w:pPr>
      <w:bookmarkStart w:id="26" w:name="_Hlk72257590"/>
      <w:r>
        <w:rPr>
          <w:rFonts w:hint="eastAsia" w:ascii="黑体" w:hAnsi="宋体" w:eastAsia="黑体"/>
          <w:bCs/>
          <w:kern w:val="0"/>
          <w:sz w:val="24"/>
          <w:szCs w:val="32"/>
        </w:rPr>
        <w:t>（一）投标人资格证明文件</w:t>
      </w:r>
    </w:p>
    <w:p>
      <w:pPr>
        <w:keepNext w:val="0"/>
        <w:keepLines w:val="0"/>
        <w:pageBreakBefore w:val="0"/>
        <w:widowControl w:val="0"/>
        <w:kinsoku/>
        <w:wordWrap/>
        <w:overflowPunct/>
        <w:topLinePunct w:val="0"/>
        <w:autoSpaceDE/>
        <w:autoSpaceDN/>
        <w:bidi w:val="0"/>
        <w:adjustRightInd/>
        <w:snapToGrid/>
        <w:spacing w:before="120" w:beforeLines="50"/>
        <w:ind w:firstLine="422" w:firstLineChars="200"/>
        <w:textAlignment w:val="auto"/>
        <w:outlineLvl w:val="9"/>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其中要求提供《政府采购投标及履约承诺函》且已在“二、政府采购投标及履约承诺函”章节中提供了，此处可不重复提供</w:t>
      </w:r>
      <w:r>
        <w:rPr>
          <w:rFonts w:hint="eastAsia"/>
          <w:b/>
          <w:bCs/>
          <w:color w:val="FF0000"/>
        </w:rPr>
        <w:t>。）</w:t>
      </w:r>
    </w:p>
    <w:p>
      <w:pPr>
        <w:keepNext w:val="0"/>
        <w:keepLines w:val="0"/>
        <w:pageBreakBefore w:val="0"/>
        <w:widowControl w:val="0"/>
        <w:kinsoku/>
        <w:wordWrap/>
        <w:overflowPunct/>
        <w:topLinePunct w:val="0"/>
        <w:autoSpaceDE/>
        <w:autoSpaceDN/>
        <w:bidi w:val="0"/>
        <w:adjustRightInd/>
        <w:snapToGrid/>
        <w:textAlignment w:val="auto"/>
        <w:outlineLvl w:val="9"/>
        <w:rPr>
          <w:b/>
          <w:bCs/>
          <w:sz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ascii="黑体" w:hAnsi="宋体" w:eastAsia="黑体"/>
          <w:bCs/>
          <w:kern w:val="0"/>
          <w:sz w:val="24"/>
          <w:szCs w:val="32"/>
        </w:rPr>
      </w:pPr>
      <w:bookmarkStart w:id="27" w:name="_Hlk72257908"/>
      <w:r>
        <w:rPr>
          <w:rFonts w:hint="eastAsia" w:ascii="黑体" w:hAnsi="宋体" w:eastAsia="黑体"/>
          <w:bCs/>
          <w:kern w:val="0"/>
          <w:sz w:val="24"/>
          <w:szCs w:val="32"/>
        </w:rPr>
        <w:t>（二）中小企业声明函、残疾人福利性单位声明函及监狱企业声明函</w:t>
      </w:r>
    </w:p>
    <w:bookmarkEnd w:id="26"/>
    <w:p>
      <w:pPr>
        <w:keepNext w:val="0"/>
        <w:keepLines w:val="0"/>
        <w:pageBreakBefore w:val="0"/>
        <w:widowControl w:val="0"/>
        <w:kinsoku/>
        <w:wordWrap/>
        <w:overflowPunct/>
        <w:topLinePunct w:val="0"/>
        <w:autoSpaceDE/>
        <w:autoSpaceDN/>
        <w:bidi w:val="0"/>
        <w:adjustRightInd/>
        <w:snapToGrid/>
        <w:jc w:val="left"/>
        <w:textAlignment w:val="auto"/>
        <w:outlineLvl w:val="9"/>
        <w:rPr>
          <w:rFonts w:ascii="黑体" w:hAnsi="宋体" w:eastAsia="黑体"/>
          <w:bCs/>
          <w:kern w:val="0"/>
          <w:sz w:val="24"/>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填写指引：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r>
        <w:rPr>
          <w:rFonts w:hint="eastAsia" w:ascii="黑体" w:hAnsi="黑体" w:eastAsia="黑体"/>
          <w:color w:val="FF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黑体" w:eastAsia="黑体"/>
          <w:color w:val="FF0000"/>
          <w:szCs w:val="21"/>
          <w:lang w:eastAsia="zh-CN"/>
        </w:rPr>
      </w:pPr>
      <w:r>
        <w:rPr>
          <w:rFonts w:hint="eastAsia" w:ascii="黑体" w:hAnsi="黑体" w:eastAsia="黑体"/>
          <w:color w:val="FF0000"/>
          <w:szCs w:val="21"/>
        </w:rPr>
        <w:t>(3)《统计上大中小微型企业划分办法(2017)》（国统字〔2017〕213 号）</w:t>
      </w:r>
      <w:r>
        <w:rPr>
          <w:rFonts w:hint="eastAsia" w:ascii="黑体" w:hAnsi="黑体" w:eastAsia="黑体"/>
          <w:color w:val="FF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黑体" w:eastAsia="黑体"/>
          <w:color w:val="FF0000"/>
          <w:szCs w:val="21"/>
          <w:lang w:eastAsia="zh-CN"/>
        </w:rPr>
      </w:pPr>
      <w:r>
        <w:rPr>
          <w:rFonts w:hint="eastAsia" w:ascii="黑体" w:hAnsi="黑体" w:eastAsia="黑体"/>
          <w:color w:val="FF0000"/>
          <w:szCs w:val="21"/>
        </w:rPr>
        <w:t>(4)《关于促进残疾人就业政府采购政策的通知》（财库〔2017〕141号）</w:t>
      </w:r>
      <w:r>
        <w:rPr>
          <w:rFonts w:hint="eastAsia" w:ascii="黑体" w:hAnsi="黑体" w:eastAsia="黑体"/>
          <w:color w:val="FF000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outlineLvl w:val="9"/>
        <w:rPr>
          <w:b/>
          <w:sz w:val="24"/>
        </w:rPr>
      </w:pPr>
      <w:r>
        <w:rPr>
          <w:b/>
          <w:sz w:val="24"/>
        </w:rPr>
        <w:t>中小企业声明函（货物）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pPr>
    </w:p>
    <w:p>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Theme="minorEastAsia" w:hAnsiTheme="minorEastAsia" w:eastAsiaTheme="minorEastAsia" w:cstheme="minorEastAsia"/>
          <w:i w:val="0"/>
          <w:iCs w:val="0"/>
          <w:sz w:val="21"/>
          <w:szCs w:val="21"/>
        </w:rPr>
      </w:pPr>
      <w:r>
        <w:rPr>
          <w:rFonts w:hint="eastAsia" w:asciiTheme="minorEastAsia" w:hAnsiTheme="minorEastAsia" w:eastAsia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的</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val="0"/>
          <w:iCs w:val="0"/>
          <w:sz w:val="21"/>
          <w:szCs w:val="21"/>
          <w:u w:val="single"/>
          <w:lang w:val="en-US" w:eastAsia="zh-CN"/>
        </w:rPr>
        <w:t xml:space="preserve">  </w:t>
      </w:r>
      <w:r>
        <w:rPr>
          <w:rFonts w:hint="eastAsia" w:asciiTheme="minorEastAsia" w:hAnsiTheme="minorEastAsia" w:eastAsiaTheme="minorEastAsia" w:cstheme="minorEastAsia"/>
          <w:i w:val="0"/>
          <w:iCs w:val="0"/>
          <w:sz w:val="21"/>
          <w:szCs w:val="21"/>
        </w:rPr>
        <w:t>采购活动，提供的货物全部由符合政策要求的中小企业制造。相关企业（含联合体中的中小企业、签订分包意向协议的中小企业）的具体情况如下：</w:t>
      </w:r>
    </w:p>
    <w:p>
      <w:pPr>
        <w:pStyle w:val="13"/>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pPr>
        <w:pStyle w:val="13"/>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pPr>
        <w:pStyle w:val="13"/>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pPr>
        <w:pStyle w:val="13"/>
        <w:ind w:firstLine="420" w:firstLineChars="200"/>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bCs/>
          <w:color w:val="FF0000"/>
          <w:kern w:val="0"/>
          <w:szCs w:val="21"/>
        </w:rPr>
      </w:pPr>
    </w:p>
    <w:p>
      <w:pPr>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2、残疾人福利性单位声明函（货物类）</w:t>
      </w:r>
    </w:p>
    <w:p>
      <w:pPr>
        <w:keepNext w:val="0"/>
        <w:keepLines w:val="0"/>
        <w:pageBreakBefore w:val="0"/>
        <w:widowControl w:val="0"/>
        <w:kinsoku/>
        <w:wordWrap/>
        <w:overflowPunct/>
        <w:topLinePunct w:val="0"/>
        <w:autoSpaceDE/>
        <w:autoSpaceDN/>
        <w:bidi w:val="0"/>
        <w:adjustRightInd/>
        <w:snapToGrid/>
        <w:textAlignment w:val="auto"/>
        <w:outlineLvl w:val="9"/>
        <w:rPr>
          <w:b/>
          <w:bCs/>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28" w:name="_Hlk73562331"/>
      <w:bookmarkStart w:id="29" w:name="_Hlk73562245"/>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bookmarkEnd w:id="28"/>
    </w:p>
    <w:bookmarkEnd w:id="29"/>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cstheme="minorBidi"/>
          <w:sz w:val="21"/>
          <w:szCs w:val="21"/>
        </w:rPr>
        <w:t>参加</w:t>
      </w:r>
      <w:r>
        <w:rPr>
          <w:rFonts w:ascii="宋体" w:hAnsi="宋体"/>
          <w:b/>
          <w:bCs/>
          <w:i/>
          <w:iCs/>
          <w:sz w:val="21"/>
          <w:szCs w:val="21"/>
          <w:u w:val="single"/>
        </w:rPr>
        <w:t>（</w:t>
      </w:r>
      <w:r>
        <w:rPr>
          <w:rFonts w:hint="eastAsia" w:ascii="宋体" w:hAnsi="宋体"/>
          <w:b/>
          <w:bCs/>
          <w:i/>
          <w:iCs/>
          <w:sz w:val="21"/>
          <w:szCs w:val="21"/>
          <w:u w:val="single"/>
        </w:rPr>
        <w:t>采购人</w:t>
      </w:r>
      <w:r>
        <w:rPr>
          <w:rFonts w:ascii="宋体" w:hAnsi="宋体"/>
          <w:b/>
          <w:bCs/>
          <w:i/>
          <w:iCs/>
          <w:sz w:val="21"/>
          <w:szCs w:val="21"/>
          <w:u w:val="single"/>
        </w:rPr>
        <w:t>名称）</w:t>
      </w:r>
      <w:r>
        <w:rPr>
          <w:rFonts w:ascii="宋体" w:hAnsi="宋体"/>
          <w:sz w:val="21"/>
          <w:szCs w:val="21"/>
        </w:rPr>
        <w:t>的</w:t>
      </w:r>
      <w:r>
        <w:rPr>
          <w:rFonts w:ascii="宋体" w:hAnsi="宋体"/>
          <w:b/>
          <w:bCs/>
          <w:i/>
          <w:iCs/>
          <w:sz w:val="21"/>
          <w:szCs w:val="21"/>
          <w:u w:val="single"/>
        </w:rPr>
        <w:t>（项目名称）</w:t>
      </w:r>
      <w:r>
        <w:rPr>
          <w:rFonts w:ascii="宋体" w:hAnsi="宋体"/>
          <w:sz w:val="21"/>
          <w:szCs w:val="21"/>
        </w:rPr>
        <w:t>采购活动，提供的货物全部由符合政策要求的</w:t>
      </w:r>
      <w:r>
        <w:rPr>
          <w:rFonts w:hint="eastAsia" w:ascii="宋体" w:hAnsi="宋体"/>
          <w:sz w:val="21"/>
          <w:szCs w:val="21"/>
        </w:rPr>
        <w:t>监狱企业</w:t>
      </w:r>
      <w:r>
        <w:rPr>
          <w:rFonts w:ascii="宋体" w:hAnsi="宋体"/>
          <w:sz w:val="21"/>
          <w:szCs w:val="21"/>
        </w:rPr>
        <w:t>制造。相关</w:t>
      </w:r>
      <w:r>
        <w:rPr>
          <w:rFonts w:hint="eastAsia" w:ascii="宋体" w:hAnsi="宋体"/>
          <w:sz w:val="21"/>
          <w:szCs w:val="21"/>
        </w:rPr>
        <w:t>监狱企业</w:t>
      </w:r>
      <w:r>
        <w:rPr>
          <w:rFonts w:ascii="宋体" w:hAnsi="宋体"/>
          <w:sz w:val="21"/>
          <w:szCs w:val="21"/>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1.</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2.</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宋体" w:hAnsi="宋体"/>
          <w:sz w:val="21"/>
          <w:szCs w:val="21"/>
        </w:rPr>
      </w:pPr>
      <w:r>
        <w:rPr>
          <w:rFonts w:ascii="宋体" w:hAnsi="宋体" w:cstheme="minorBidi"/>
          <w:sz w:val="21"/>
          <w:szCs w:val="21"/>
        </w:rPr>
        <w:t>本</w:t>
      </w:r>
      <w:r>
        <w:rPr>
          <w:rFonts w:hint="eastAsia" w:ascii="宋体" w:hAnsi="宋体" w:cstheme="minorBidi"/>
          <w:sz w:val="21"/>
          <w:szCs w:val="21"/>
        </w:rPr>
        <w:t>投标人</w:t>
      </w:r>
      <w:r>
        <w:rPr>
          <w:rFonts w:ascii="宋体" w:hAnsi="宋体"/>
          <w:sz w:val="21"/>
          <w:szCs w:val="21"/>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b/>
          <w:bCs/>
          <w:color w:val="FF0000"/>
          <w:sz w:val="21"/>
          <w:szCs w:val="21"/>
        </w:rPr>
      </w:pPr>
      <w:r>
        <w:rPr>
          <w:rFonts w:hint="eastAsia" w:ascii="宋体" w:hAnsi="宋体"/>
          <w:sz w:val="21"/>
          <w:szCs w:val="21"/>
        </w:rPr>
        <w:t>附：省级以上监狱管理局、戒毒管理局（含新疆生产建设兵团）出具的监狱企业证明文件。</w:t>
      </w:r>
      <w:bookmarkEnd w:id="27"/>
    </w:p>
    <w:p>
      <w:pPr>
        <w:keepNext/>
        <w:keepLines/>
        <w:pageBreakBefore/>
        <w:widowControl w:val="0"/>
        <w:kinsoku/>
        <w:wordWrap/>
        <w:overflowPunct/>
        <w:topLinePunct w:val="0"/>
        <w:autoSpaceDE/>
        <w:autoSpaceDN/>
        <w:bidi w:val="0"/>
        <w:adjustRightInd w:val="0"/>
        <w:snapToGrid w:val="0"/>
        <w:spacing w:line="360" w:lineRule="auto"/>
        <w:jc w:val="center"/>
        <w:textAlignment w:val="baseline"/>
        <w:outlineLvl w:val="2"/>
        <w:rPr>
          <w:rFonts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四、</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19"/>
        <w:gridCol w:w="679"/>
        <w:gridCol w:w="796"/>
        <w:gridCol w:w="883"/>
        <w:gridCol w:w="660"/>
        <w:gridCol w:w="462"/>
        <w:gridCol w:w="462"/>
        <w:gridCol w:w="657"/>
        <w:gridCol w:w="88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267"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货物名称</w:t>
            </w:r>
          </w:p>
        </w:tc>
        <w:tc>
          <w:tcPr>
            <w:tcW w:w="409"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highlight w:val="none"/>
              </w:rPr>
            </w:pPr>
            <w:r>
              <w:rPr>
                <w:rFonts w:hint="eastAsia" w:ascii="Arial" w:hAnsi="Arial" w:eastAsia="宋体" w:cs="Times New Roman"/>
                <w:szCs w:val="24"/>
                <w:highlight w:val="none"/>
                <w:lang w:val="en-US" w:eastAsia="zh-CN"/>
              </w:rPr>
              <w:t>品牌</w:t>
            </w:r>
          </w:p>
        </w:tc>
        <w:tc>
          <w:tcPr>
            <w:tcW w:w="478"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规格</w:t>
            </w:r>
            <w:r>
              <w:rPr>
                <w:rFonts w:hint="eastAsia" w:ascii="Arial" w:hAnsi="Arial" w:eastAsia="宋体" w:cs="Times New Roman"/>
                <w:szCs w:val="24"/>
                <w:highlight w:val="none"/>
                <w:lang w:val="en-US" w:eastAsia="zh-CN"/>
              </w:rPr>
              <w:t>/</w:t>
            </w:r>
            <w:r>
              <w:rPr>
                <w:rFonts w:hint="eastAsia" w:ascii="Arial" w:hAnsi="Arial" w:eastAsia="宋体" w:cs="Times New Roman"/>
                <w:szCs w:val="24"/>
                <w:highlight w:val="none"/>
              </w:rPr>
              <w:t>型号</w:t>
            </w:r>
          </w:p>
        </w:tc>
        <w:tc>
          <w:tcPr>
            <w:tcW w:w="529"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b/>
                <w:szCs w:val="24"/>
                <w:highlight w:val="none"/>
              </w:rPr>
            </w:pPr>
            <w:r>
              <w:rPr>
                <w:rFonts w:hint="eastAsia" w:ascii="Arial" w:hAnsi="Arial" w:eastAsia="宋体" w:cs="Times New Roman"/>
                <w:b w:val="0"/>
                <w:bCs/>
                <w:szCs w:val="24"/>
                <w:highlight w:val="none"/>
              </w:rPr>
              <w:t>制造商名称</w:t>
            </w:r>
          </w:p>
        </w:tc>
        <w:tc>
          <w:tcPr>
            <w:tcW w:w="395"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highlight w:val="none"/>
              </w:rPr>
            </w:pPr>
            <w:r>
              <w:rPr>
                <w:rFonts w:hint="eastAsia" w:ascii="Arial" w:hAnsi="Arial" w:eastAsia="宋体" w:cs="Times New Roman"/>
                <w:szCs w:val="24"/>
                <w:highlight w:val="none"/>
              </w:rPr>
              <w:t>原产地</w:t>
            </w:r>
          </w:p>
        </w:tc>
        <w:tc>
          <w:tcPr>
            <w:tcW w:w="282"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数量</w:t>
            </w:r>
          </w:p>
        </w:tc>
        <w:tc>
          <w:tcPr>
            <w:tcW w:w="282" w:type="pct"/>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Arial" w:hAnsi="Arial" w:eastAsia="宋体" w:cs="Times New Roman"/>
                <w:szCs w:val="24"/>
              </w:rPr>
            </w:pPr>
            <w:r>
              <w:rPr>
                <w:rFonts w:hint="eastAsia" w:ascii="Times New Roman" w:hAnsi="Times New Roman" w:eastAsia="宋体" w:cs="Times New Roman"/>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pPr>
              <w:spacing w:afterLines="25" w:line="300" w:lineRule="auto"/>
              <w:rPr>
                <w:rFonts w:ascii="Arial" w:hAnsi="Arial" w:eastAsia="宋体" w:cs="Times New Roman"/>
                <w:b/>
                <w:szCs w:val="24"/>
              </w:rPr>
            </w:pPr>
          </w:p>
        </w:tc>
        <w:tc>
          <w:tcPr>
            <w:tcW w:w="409" w:type="pct"/>
          </w:tcPr>
          <w:p>
            <w:pPr>
              <w:spacing w:afterLines="25" w:line="300" w:lineRule="auto"/>
              <w:rPr>
                <w:rFonts w:ascii="Arial" w:hAnsi="Arial" w:eastAsia="宋体" w:cs="Times New Roman"/>
                <w:szCs w:val="24"/>
              </w:rPr>
            </w:pPr>
          </w:p>
        </w:tc>
        <w:tc>
          <w:tcPr>
            <w:tcW w:w="478" w:type="pct"/>
          </w:tcPr>
          <w:p>
            <w:pPr>
              <w:spacing w:afterLines="25" w:line="300" w:lineRule="auto"/>
              <w:rPr>
                <w:rFonts w:ascii="Arial" w:hAnsi="Arial" w:eastAsia="宋体" w:cs="Times New Roman"/>
                <w:szCs w:val="24"/>
              </w:rPr>
            </w:pPr>
          </w:p>
        </w:tc>
        <w:tc>
          <w:tcPr>
            <w:tcW w:w="529" w:type="pct"/>
          </w:tcPr>
          <w:p>
            <w:pPr>
              <w:spacing w:afterLines="25" w:line="300" w:lineRule="auto"/>
              <w:rPr>
                <w:rFonts w:ascii="Arial" w:hAnsi="Arial" w:eastAsia="宋体" w:cs="Times New Roman"/>
                <w:szCs w:val="24"/>
              </w:rPr>
            </w:pPr>
          </w:p>
        </w:tc>
        <w:tc>
          <w:tcPr>
            <w:tcW w:w="395"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396" w:type="pct"/>
          </w:tcPr>
          <w:p>
            <w:pPr>
              <w:spacing w:afterLines="25" w:line="300" w:lineRule="auto"/>
              <w:rPr>
                <w:rFonts w:ascii="Arial" w:hAnsi="Arial" w:eastAsia="宋体" w:cs="Times New Roman"/>
                <w:szCs w:val="24"/>
              </w:rPr>
            </w:pPr>
          </w:p>
        </w:tc>
        <w:tc>
          <w:tcPr>
            <w:tcW w:w="527" w:type="pct"/>
          </w:tcPr>
          <w:p>
            <w:pPr>
              <w:spacing w:afterLines="25" w:line="300" w:lineRule="auto"/>
              <w:rPr>
                <w:rFonts w:ascii="Arial" w:hAnsi="Arial" w:eastAsia="宋体" w:cs="Times New Roman"/>
                <w:szCs w:val="24"/>
              </w:rPr>
            </w:pPr>
          </w:p>
        </w:tc>
        <w:tc>
          <w:tcPr>
            <w:tcW w:w="527" w:type="pct"/>
            <w:vMerge w:val="restart"/>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pPr>
              <w:spacing w:afterLines="25" w:line="300" w:lineRule="auto"/>
              <w:rPr>
                <w:rFonts w:ascii="Arial" w:hAnsi="Arial" w:eastAsia="宋体" w:cs="Times New Roman"/>
                <w:b/>
                <w:szCs w:val="24"/>
              </w:rPr>
            </w:pPr>
          </w:p>
        </w:tc>
        <w:tc>
          <w:tcPr>
            <w:tcW w:w="409" w:type="pct"/>
          </w:tcPr>
          <w:p>
            <w:pPr>
              <w:spacing w:afterLines="25" w:line="300" w:lineRule="auto"/>
              <w:rPr>
                <w:rFonts w:ascii="Arial" w:hAnsi="Arial" w:eastAsia="宋体" w:cs="Times New Roman"/>
                <w:szCs w:val="24"/>
              </w:rPr>
            </w:pPr>
          </w:p>
        </w:tc>
        <w:tc>
          <w:tcPr>
            <w:tcW w:w="478" w:type="pct"/>
          </w:tcPr>
          <w:p>
            <w:pPr>
              <w:spacing w:afterLines="25" w:line="300" w:lineRule="auto"/>
              <w:rPr>
                <w:rFonts w:ascii="Arial" w:hAnsi="Arial" w:eastAsia="宋体" w:cs="Times New Roman"/>
                <w:szCs w:val="24"/>
              </w:rPr>
            </w:pPr>
          </w:p>
        </w:tc>
        <w:tc>
          <w:tcPr>
            <w:tcW w:w="529" w:type="pct"/>
          </w:tcPr>
          <w:p>
            <w:pPr>
              <w:spacing w:afterLines="25" w:line="300" w:lineRule="auto"/>
              <w:rPr>
                <w:rFonts w:ascii="Arial" w:hAnsi="Arial" w:eastAsia="宋体" w:cs="Times New Roman"/>
                <w:szCs w:val="24"/>
              </w:rPr>
            </w:pPr>
          </w:p>
        </w:tc>
        <w:tc>
          <w:tcPr>
            <w:tcW w:w="395"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396" w:type="pct"/>
          </w:tcPr>
          <w:p>
            <w:pPr>
              <w:spacing w:afterLines="25" w:line="300" w:lineRule="auto"/>
              <w:rPr>
                <w:rFonts w:ascii="Arial" w:hAnsi="Arial" w:eastAsia="宋体" w:cs="Times New Roman"/>
                <w:szCs w:val="24"/>
              </w:rPr>
            </w:pPr>
          </w:p>
        </w:tc>
        <w:tc>
          <w:tcPr>
            <w:tcW w:w="527" w:type="pct"/>
          </w:tcPr>
          <w:p>
            <w:pPr>
              <w:spacing w:afterLines="25" w:line="300" w:lineRule="auto"/>
              <w:rPr>
                <w:rFonts w:ascii="Arial" w:hAnsi="Arial" w:eastAsia="宋体" w:cs="Times New Roman"/>
                <w:szCs w:val="24"/>
              </w:rPr>
            </w:pPr>
          </w:p>
        </w:tc>
        <w:tc>
          <w:tcPr>
            <w:tcW w:w="527"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pPr>
              <w:spacing w:afterLines="25" w:line="300" w:lineRule="auto"/>
              <w:rPr>
                <w:rFonts w:ascii="Arial" w:hAnsi="Arial" w:eastAsia="宋体" w:cs="Times New Roman"/>
                <w:b/>
                <w:szCs w:val="24"/>
              </w:rPr>
            </w:pPr>
          </w:p>
        </w:tc>
        <w:tc>
          <w:tcPr>
            <w:tcW w:w="409" w:type="pct"/>
          </w:tcPr>
          <w:p>
            <w:pPr>
              <w:spacing w:afterLines="25" w:line="300" w:lineRule="auto"/>
              <w:rPr>
                <w:rFonts w:ascii="Arial" w:hAnsi="Arial" w:eastAsia="宋体" w:cs="Times New Roman"/>
                <w:szCs w:val="24"/>
              </w:rPr>
            </w:pPr>
          </w:p>
        </w:tc>
        <w:tc>
          <w:tcPr>
            <w:tcW w:w="478" w:type="pct"/>
          </w:tcPr>
          <w:p>
            <w:pPr>
              <w:spacing w:afterLines="25" w:line="300" w:lineRule="auto"/>
              <w:rPr>
                <w:rFonts w:ascii="Arial" w:hAnsi="Arial" w:eastAsia="宋体" w:cs="Times New Roman"/>
                <w:szCs w:val="24"/>
              </w:rPr>
            </w:pPr>
          </w:p>
        </w:tc>
        <w:tc>
          <w:tcPr>
            <w:tcW w:w="529" w:type="pct"/>
          </w:tcPr>
          <w:p>
            <w:pPr>
              <w:spacing w:afterLines="25" w:line="300" w:lineRule="auto"/>
              <w:rPr>
                <w:rFonts w:ascii="Arial" w:hAnsi="Arial" w:eastAsia="宋体" w:cs="Times New Roman"/>
                <w:szCs w:val="24"/>
              </w:rPr>
            </w:pPr>
          </w:p>
        </w:tc>
        <w:tc>
          <w:tcPr>
            <w:tcW w:w="395"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396" w:type="pct"/>
          </w:tcPr>
          <w:p>
            <w:pPr>
              <w:spacing w:afterLines="25" w:line="300" w:lineRule="auto"/>
              <w:rPr>
                <w:rFonts w:ascii="Arial" w:hAnsi="Arial" w:eastAsia="宋体" w:cs="Times New Roman"/>
                <w:szCs w:val="24"/>
              </w:rPr>
            </w:pPr>
          </w:p>
        </w:tc>
        <w:tc>
          <w:tcPr>
            <w:tcW w:w="527" w:type="pct"/>
          </w:tcPr>
          <w:p>
            <w:pPr>
              <w:spacing w:afterLines="25" w:line="300" w:lineRule="auto"/>
              <w:rPr>
                <w:rFonts w:ascii="Arial" w:hAnsi="Arial" w:eastAsia="宋体" w:cs="Times New Roman"/>
                <w:szCs w:val="24"/>
              </w:rPr>
            </w:pPr>
          </w:p>
        </w:tc>
        <w:tc>
          <w:tcPr>
            <w:tcW w:w="527"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pPr>
              <w:spacing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pPr>
              <w:spacing w:afterLines="25" w:line="300" w:lineRule="auto"/>
              <w:rPr>
                <w:rFonts w:ascii="Arial" w:hAnsi="Arial" w:eastAsia="宋体" w:cs="Times New Roman"/>
                <w:b/>
                <w:szCs w:val="24"/>
              </w:rPr>
            </w:pPr>
          </w:p>
        </w:tc>
        <w:tc>
          <w:tcPr>
            <w:tcW w:w="409" w:type="pct"/>
          </w:tcPr>
          <w:p>
            <w:pPr>
              <w:spacing w:afterLines="25" w:line="300" w:lineRule="auto"/>
              <w:rPr>
                <w:rFonts w:ascii="Arial" w:hAnsi="Arial" w:eastAsia="宋体" w:cs="Times New Roman"/>
                <w:szCs w:val="24"/>
              </w:rPr>
            </w:pPr>
          </w:p>
        </w:tc>
        <w:tc>
          <w:tcPr>
            <w:tcW w:w="478" w:type="pct"/>
          </w:tcPr>
          <w:p>
            <w:pPr>
              <w:spacing w:afterLines="25" w:line="300" w:lineRule="auto"/>
              <w:rPr>
                <w:rFonts w:ascii="Arial" w:hAnsi="Arial" w:eastAsia="宋体" w:cs="Times New Roman"/>
                <w:szCs w:val="24"/>
              </w:rPr>
            </w:pPr>
          </w:p>
        </w:tc>
        <w:tc>
          <w:tcPr>
            <w:tcW w:w="529" w:type="pct"/>
          </w:tcPr>
          <w:p>
            <w:pPr>
              <w:spacing w:afterLines="25" w:line="300" w:lineRule="auto"/>
              <w:rPr>
                <w:rFonts w:ascii="Arial" w:hAnsi="Arial" w:eastAsia="宋体" w:cs="Times New Roman"/>
                <w:szCs w:val="24"/>
              </w:rPr>
            </w:pPr>
          </w:p>
        </w:tc>
        <w:tc>
          <w:tcPr>
            <w:tcW w:w="395"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282" w:type="pct"/>
          </w:tcPr>
          <w:p>
            <w:pPr>
              <w:spacing w:afterLines="25" w:line="300" w:lineRule="auto"/>
              <w:rPr>
                <w:rFonts w:ascii="Arial" w:hAnsi="Arial" w:eastAsia="宋体" w:cs="Times New Roman"/>
                <w:szCs w:val="24"/>
              </w:rPr>
            </w:pPr>
          </w:p>
        </w:tc>
        <w:tc>
          <w:tcPr>
            <w:tcW w:w="396" w:type="pct"/>
          </w:tcPr>
          <w:p>
            <w:pPr>
              <w:spacing w:afterLines="25" w:line="300" w:lineRule="auto"/>
              <w:rPr>
                <w:rFonts w:ascii="Arial" w:hAnsi="Arial" w:eastAsia="宋体" w:cs="Times New Roman"/>
                <w:szCs w:val="24"/>
              </w:rPr>
            </w:pPr>
          </w:p>
        </w:tc>
        <w:tc>
          <w:tcPr>
            <w:tcW w:w="527" w:type="pct"/>
          </w:tcPr>
          <w:p>
            <w:pPr>
              <w:spacing w:afterLines="25" w:line="300" w:lineRule="auto"/>
              <w:rPr>
                <w:rFonts w:ascii="Arial" w:hAnsi="Arial" w:eastAsia="宋体" w:cs="Times New Roman"/>
                <w:szCs w:val="24"/>
              </w:rPr>
            </w:pPr>
          </w:p>
        </w:tc>
        <w:tc>
          <w:tcPr>
            <w:tcW w:w="527" w:type="pct"/>
            <w:vMerge w:val="continue"/>
          </w:tcPr>
          <w:p>
            <w:pPr>
              <w:spacing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pPr>
              <w:spacing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w:t>
            </w:r>
            <w:r>
              <w:rPr>
                <w:rFonts w:hint="eastAsia" w:ascii="Arial" w:hAnsi="Arial" w:eastAsia="宋体" w:cs="Times New Roman"/>
                <w:szCs w:val="24"/>
                <w:lang w:val="en-US" w:eastAsia="zh-CN"/>
              </w:rPr>
              <w:t>以上各项之和；</w:t>
            </w:r>
            <w:r>
              <w:rPr>
                <w:rFonts w:hint="eastAsia" w:ascii="Arial" w:hAnsi="Arial" w:eastAsia="宋体" w:cs="Times New Roman"/>
                <w:szCs w:val="24"/>
              </w:rPr>
              <w:t>币种：人民币；单位：元）</w:t>
            </w:r>
          </w:p>
        </w:tc>
        <w:tc>
          <w:tcPr>
            <w:tcW w:w="2015" w:type="pct"/>
            <w:gridSpan w:val="5"/>
          </w:tcPr>
          <w:p>
            <w:pPr>
              <w:spacing w:afterLines="25" w:line="300" w:lineRule="auto"/>
              <w:rPr>
                <w:rFonts w:ascii="Arial" w:hAnsi="Arial" w:eastAsia="宋体" w:cs="Times New Roman"/>
                <w:szCs w:val="24"/>
              </w:rPr>
            </w:pPr>
          </w:p>
        </w:tc>
      </w:tr>
    </w:tbl>
    <w:p>
      <w:pPr>
        <w:snapToGrid w:val="0"/>
        <w:rPr>
          <w:rFonts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3.</w:t>
      </w:r>
      <w:r>
        <w:rPr>
          <w:rFonts w:hint="eastAsia" w:cs="Times New Roman" w:asciiTheme="minorEastAsia" w:hAnsiTheme="minorEastAsia"/>
          <w:b/>
          <w:szCs w:val="24"/>
        </w:rPr>
        <w:t>如所投货物属于定制类的非量产货物或无具体型号的货物，可以在“规格/型号”一栏仅填写规格信息而不填写型号信息（型号信息用“定制”描述即可）；</w:t>
      </w:r>
      <w:bookmarkStart w:id="30" w:name="_Hlk73646428"/>
      <w:r>
        <w:rPr>
          <w:rFonts w:hint="eastAsia" w:cs="Times New Roman" w:asciiTheme="minorEastAsia" w:hAnsiTheme="minorEastAsia"/>
          <w:b/>
          <w:szCs w:val="24"/>
        </w:rPr>
        <w:t>此类填写错误</w:t>
      </w:r>
      <w:r>
        <w:rPr>
          <w:rFonts w:hint="eastAsia" w:cs="Times New Roman" w:asciiTheme="minorEastAsia" w:hAnsiTheme="minorEastAsia"/>
          <w:b/>
          <w:szCs w:val="24"/>
          <w:lang w:val="en-US" w:eastAsia="zh-CN"/>
        </w:rPr>
        <w:t>或缺漏</w:t>
      </w:r>
      <w:r>
        <w:rPr>
          <w:rFonts w:hint="eastAsia" w:cs="Times New Roman" w:asciiTheme="minorEastAsia" w:hAnsiTheme="minorEastAsia"/>
          <w:b/>
          <w:szCs w:val="24"/>
        </w:rPr>
        <w:t>（所投货物为定制类的非量产货物但供应商却错误填报了型号）</w:t>
      </w:r>
      <w:r>
        <w:rPr>
          <w:rFonts w:hint="eastAsia" w:cs="Times New Roman" w:asciiTheme="minorEastAsia" w:hAnsiTheme="minorEastAsia"/>
          <w:b/>
          <w:szCs w:val="24"/>
          <w:lang w:val="en-US" w:eastAsia="zh-CN"/>
        </w:rPr>
        <w:t>可能带来</w:t>
      </w:r>
      <w:r>
        <w:rPr>
          <w:rFonts w:hint="eastAsia" w:cs="Times New Roman" w:asciiTheme="minorEastAsia" w:hAnsiTheme="minorEastAsia"/>
          <w:b/>
          <w:szCs w:val="24"/>
        </w:rPr>
        <w:t>的不利后果由供应商承担。</w:t>
      </w:r>
      <w:bookmarkEnd w:id="30"/>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4</w:t>
      </w:r>
      <w:r>
        <w:rPr>
          <w:rFonts w:hint="eastAsia" w:cs="Times New Roman" w:asciiTheme="minorEastAsia" w:hAnsiTheme="minorEastAsia"/>
          <w:b/>
          <w:szCs w:val="24"/>
        </w:rPr>
        <w:t>.</w:t>
      </w:r>
      <w:bookmarkStart w:id="31" w:name="_Hlk72074795"/>
      <w:r>
        <w:rPr>
          <w:rFonts w:hint="eastAsia" w:cs="Times New Roman" w:asciiTheme="minorEastAsia" w:hAnsiTheme="minorEastAsia"/>
          <w:b/>
          <w:szCs w:val="24"/>
        </w:rPr>
        <w:t>“原产地”是指该货物的实际生产加工地，而非品牌所在地</w:t>
      </w:r>
      <w:bookmarkEnd w:id="31"/>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5</w:t>
      </w:r>
      <w:r>
        <w:rPr>
          <w:rFonts w:hint="eastAsia" w:cs="Times New Roman" w:asciiTheme="minorEastAsia" w:hAnsiTheme="minorEastAsia"/>
          <w:b/>
          <w:szCs w:val="24"/>
        </w:rPr>
        <w:t>.所投货物均应填写制造商名称。“制造商”是指产品</w:t>
      </w:r>
      <w:r>
        <w:rPr>
          <w:rFonts w:hint="eastAsia" w:cs="Times New Roman" w:asciiTheme="minorEastAsia" w:hAnsiTheme="minorEastAsia"/>
          <w:b/>
          <w:szCs w:val="24"/>
          <w:lang w:val="en-US" w:eastAsia="zh-CN"/>
        </w:rPr>
        <w:t>制造</w:t>
      </w:r>
      <w:r>
        <w:rPr>
          <w:rFonts w:hint="eastAsia" w:cs="Times New Roman" w:asciiTheme="minorEastAsia" w:hAnsiTheme="minorEastAsia"/>
          <w:b/>
          <w:szCs w:val="24"/>
        </w:rPr>
        <w:t>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6</w:t>
      </w:r>
      <w:r>
        <w:rPr>
          <w:rFonts w:hint="eastAsia" w:cs="Times New Roman" w:asciiTheme="minorEastAsia" w:hAnsiTheme="minorEastAsia"/>
          <w:b/>
          <w:szCs w:val="24"/>
        </w:rPr>
        <w:t>.以上分项报价表的投标总价应当与开标一览表的投标总价一致。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7</w:t>
      </w:r>
      <w:r>
        <w:rPr>
          <w:rFonts w:hint="eastAsia" w:cs="Times New Roman" w:asciiTheme="minorEastAsia" w:hAnsiTheme="minorEastAsia"/>
          <w:b/>
          <w:szCs w:val="24"/>
        </w:rPr>
        <w:t>.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lang w:val="en-US" w:eastAsia="zh-CN"/>
        </w:rPr>
        <w:t>8</w:t>
      </w:r>
      <w:r>
        <w:rPr>
          <w:rFonts w:hint="eastAsia" w:cs="Times New Roman" w:asciiTheme="minorEastAsia" w:hAnsiTheme="minorEastAsia"/>
          <w:b/>
          <w:szCs w:val="24"/>
        </w:rPr>
        <w:t>.所有价格应按“招标文件”中规定的货币单位填写；投标总价应为以上各分项价格之和；投标总价和项目报价表中单个采购预算条目报价均不得超过对应的财政预算限额，否则将导致投标无效。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highlight w:val="none"/>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spacing w:afterLines="25" w:line="300" w:lineRule="auto"/>
        <w:rPr>
          <w:rFonts w:ascii="Arial" w:hAnsi="Arial" w:eastAsia="宋体" w:cs="Times New Roman"/>
          <w:b/>
          <w:szCs w:val="24"/>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w:t>
      </w:r>
      <w:r>
        <w:rPr>
          <w:rFonts w:hint="eastAsia" w:ascii="Arial" w:hAnsi="Arial" w:eastAsia="宋体" w:cs="Times New Roman"/>
          <w:b/>
          <w:sz w:val="24"/>
          <w:szCs w:val="24"/>
          <w:lang w:val="en-US" w:eastAsia="zh-CN"/>
        </w:rPr>
        <w:t>二</w:t>
      </w:r>
      <w:r>
        <w:rPr>
          <w:rFonts w:hint="eastAsia" w:ascii="Arial" w:hAnsi="Arial" w:eastAsia="宋体" w:cs="Times New Roman"/>
          <w:b/>
          <w:sz w:val="24"/>
          <w:szCs w:val="24"/>
        </w:rPr>
        <w:t>）可选配件报价清单（非项目需求要求的必备配件，此部分不包括在总报价内）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w:t>
      </w:r>
      <w:r>
        <w:rPr>
          <w:rFonts w:hint="eastAsia" w:hAnsi="宋体"/>
          <w:b/>
          <w:bCs/>
          <w:szCs w:val="21"/>
          <w:lang w:val="en-US" w:eastAsia="zh-CN"/>
        </w:rPr>
        <w:t>项目</w:t>
      </w:r>
      <w:r>
        <w:rPr>
          <w:rFonts w:hint="eastAsia" w:hAnsi="宋体"/>
          <w:b/>
          <w:bCs/>
          <w:szCs w:val="21"/>
        </w:rPr>
        <w:t>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wordWrap w:val="0"/>
        <w:spacing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pPr>
        <w:widowControl/>
        <w:jc w:val="left"/>
        <w:rPr>
          <w:rFonts w:hint="eastAsia" w:ascii="Arial" w:hAnsi="Arial" w:eastAsia="宋体" w:cs="Times New Roman"/>
          <w:b/>
          <w:sz w:val="24"/>
          <w:szCs w:val="24"/>
        </w:rPr>
      </w:pPr>
    </w:p>
    <w:p>
      <w:pPr>
        <w:keepNext/>
        <w:keepLines/>
        <w:pageBreakBefore/>
        <w:widowControl w:val="0"/>
        <w:kinsoku/>
        <w:wordWrap/>
        <w:overflowPunct/>
        <w:topLinePunct w:val="0"/>
        <w:autoSpaceDE/>
        <w:autoSpaceDN/>
        <w:bidi w:val="0"/>
        <w:adjustRightInd w:val="0"/>
        <w:snapToGrid w:val="0"/>
        <w:spacing w:line="360" w:lineRule="auto"/>
        <w:jc w:val="center"/>
        <w:textAlignment w:val="baseline"/>
        <w:outlineLvl w:val="2"/>
        <w:rPr>
          <w:rFonts w:ascii="宋体" w:hAnsi="宋体" w:eastAsia="宋体" w:cs="Times New Roman"/>
          <w:b/>
          <w:bCs/>
          <w:kern w:val="0"/>
          <w:sz w:val="24"/>
          <w:szCs w:val="20"/>
        </w:rPr>
      </w:pPr>
      <w:r>
        <w:rPr>
          <w:rFonts w:hint="eastAsia" w:asciiTheme="minorHAnsi" w:hAnsiTheme="minorHAnsi" w:eastAsiaTheme="minorEastAsia" w:cstheme="minorBidi"/>
          <w:b/>
          <w:bCs/>
          <w:color w:val="FF0000"/>
          <w:kern w:val="2"/>
          <w:sz w:val="24"/>
          <w:szCs w:val="22"/>
          <w:lang w:val="en-US" w:eastAsia="zh-CN" w:bidi="ar-SA"/>
        </w:rPr>
        <w:t>★</w:t>
      </w:r>
      <w:r>
        <w:rPr>
          <w:rFonts w:hint="eastAsia" w:ascii="黑体" w:eastAsia="黑体"/>
          <w:b w:val="0"/>
          <w:sz w:val="24"/>
          <w:szCs w:val="24"/>
          <w:lang w:eastAsia="zh-CN"/>
        </w:rPr>
        <w:t>五</w:t>
      </w:r>
      <w:r>
        <w:rPr>
          <w:rFonts w:hint="eastAsia" w:ascii="黑体" w:eastAsia="黑体"/>
          <w:b w:val="0"/>
          <w:sz w:val="24"/>
          <w:szCs w:val="24"/>
        </w:rPr>
        <w:t>、股东构成审查表</w:t>
      </w:r>
    </w:p>
    <w:p>
      <w:pPr>
        <w:keepNext/>
        <w:keepLines/>
        <w:pageBreakBefore w:val="0"/>
        <w:widowControl w:val="0"/>
        <w:numPr>
          <w:ilvl w:val="0"/>
          <w:numId w:val="3"/>
        </w:numPr>
        <w:kinsoku/>
        <w:wordWrap/>
        <w:overflowPunct/>
        <w:topLinePunct w:val="0"/>
        <w:autoSpaceDE/>
        <w:autoSpaceDN/>
        <w:bidi w:val="0"/>
        <w:adjustRightInd/>
        <w:snapToGrid/>
        <w:spacing w:before="0" w:after="0" w:line="360" w:lineRule="auto"/>
        <w:ind w:firstLine="0" w:firstLineChars="0"/>
        <w:textAlignment w:val="auto"/>
        <w:outlineLvl w:val="9"/>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https://amr.sz.gov.cn/outer/entSelect/gs.html”。</w:t>
      </w:r>
    </w:p>
    <w:p>
      <w:pPr>
        <w:keepNext/>
        <w:keepLines/>
        <w:pageBreakBefore w:val="0"/>
        <w:widowControl w:val="0"/>
        <w:numPr>
          <w:ilvl w:val="0"/>
          <w:numId w:val="3"/>
        </w:numPr>
        <w:kinsoku/>
        <w:wordWrap/>
        <w:overflowPunct/>
        <w:topLinePunct w:val="0"/>
        <w:autoSpaceDE/>
        <w:autoSpaceDN/>
        <w:bidi w:val="0"/>
        <w:adjustRightInd/>
        <w:snapToGrid/>
        <w:spacing w:before="0" w:after="0" w:line="360" w:lineRule="auto"/>
        <w:ind w:firstLine="0" w:firstLineChars="0"/>
        <w:textAlignment w:val="auto"/>
        <w:outlineLvl w:val="9"/>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sz w:val="21"/>
          <w:szCs w:val="24"/>
        </w:rPr>
        <w:t>提示：如果投标供应商存在单位负责人为同一人，或者存在直接控股、间接控股、管理关系等情形，将被纳入交易监管平台产生示警信息，由此产生的负面影响，由投标人自行承担。</w:t>
      </w:r>
    </w:p>
    <w:p>
      <w:pPr>
        <w:keepNext/>
        <w:keepLines/>
        <w:pageBreakBefore w:val="0"/>
        <w:widowControl w:val="0"/>
        <w:numPr>
          <w:ilvl w:val="0"/>
          <w:numId w:val="3"/>
        </w:numPr>
        <w:kinsoku/>
        <w:wordWrap/>
        <w:overflowPunct/>
        <w:topLinePunct w:val="0"/>
        <w:autoSpaceDE/>
        <w:autoSpaceDN/>
        <w:bidi w:val="0"/>
        <w:adjustRightInd/>
        <w:snapToGrid/>
        <w:spacing w:before="0" w:after="0" w:line="360" w:lineRule="auto"/>
        <w:ind w:firstLine="0" w:firstLineChars="0"/>
        <w:textAlignment w:val="auto"/>
        <w:outlineLvl w:val="9"/>
        <w:rPr>
          <w:rFonts w:hint="eastAsia" w:ascii="Times New Roman" w:hAnsi="Times New Roman" w:eastAsia="宋体" w:cs="Times New Roman"/>
          <w:b w:val="0"/>
          <w:bCs w:val="0"/>
          <w:sz w:val="21"/>
          <w:szCs w:val="24"/>
        </w:rPr>
      </w:pPr>
      <w:r>
        <w:rPr>
          <w:rFonts w:hint="eastAsia" w:ascii="Times New Roman" w:hAnsi="Times New Roman" w:cs="Times New Roman"/>
          <w:b w:val="0"/>
          <w:bCs w:val="0"/>
          <w:sz w:val="21"/>
          <w:szCs w:val="24"/>
          <w:lang w:val="en-US" w:eastAsia="zh-CN"/>
        </w:rPr>
        <w:t>股东构成审查表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widowControl w:val="0"/>
              <w:autoSpaceDE w:val="0"/>
              <w:autoSpaceDN w:val="0"/>
              <w:adjustRightInd w:val="0"/>
              <w:snapToGrid w:val="0"/>
              <w:ind w:firstLine="0" w:firstLineChars="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ind w:firstLine="0" w:firstLineChars="0"/>
              <w:jc w:val="left"/>
              <w:rPr>
                <w:rFonts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ind w:firstLine="0" w:firstLineChars="0"/>
              <w:jc w:val="left"/>
              <w:rPr>
                <w:rFonts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ind w:firstLine="0" w:firstLineChars="0"/>
              <w:jc w:val="left"/>
              <w:rPr>
                <w:rFonts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widowControl w:val="0"/>
              <w:autoSpaceDE w:val="0"/>
              <w:autoSpaceDN w:val="0"/>
              <w:adjustRightInd w:val="0"/>
              <w:snapToGrid w:val="0"/>
              <w:ind w:firstLine="0" w:firstLineChars="0"/>
              <w:jc w:val="left"/>
              <w:rPr>
                <w:rFonts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ind w:firstLine="0" w:firstLineChars="0"/>
              <w:jc w:val="left"/>
              <w:rPr>
                <w:rFonts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ind w:firstLine="0" w:firstLineChars="0"/>
              <w:jc w:val="left"/>
              <w:rPr>
                <w:rFonts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pPr>
              <w:widowControl w:val="0"/>
              <w:autoSpaceDE w:val="0"/>
              <w:autoSpaceDN w:val="0"/>
              <w:adjustRightInd w:val="0"/>
              <w:snapToGrid w:val="0"/>
              <w:ind w:firstLine="0" w:firstLineChars="0"/>
              <w:jc w:val="left"/>
              <w:rPr>
                <w:rFonts w:ascii="宋体" w:hAnsi="宋体" w:cs="Segoe UI Symbol"/>
                <w:color w:val="000000"/>
                <w:kern w:val="0"/>
                <w:szCs w:val="21"/>
              </w:rPr>
            </w:pPr>
            <w:r>
              <w:rPr>
                <w:rFonts w:hint="eastAsia" w:ascii="宋体" w:hAnsi="宋体" w:cs="Segoe UI Symbol"/>
                <w:color w:val="000000"/>
                <w:kern w:val="0"/>
                <w:szCs w:val="21"/>
              </w:rPr>
              <w:t>□否</w:t>
            </w:r>
          </w:p>
        </w:tc>
      </w:tr>
    </w:tbl>
    <w:p>
      <w:pPr>
        <w:widowControl w:val="0"/>
        <w:autoSpaceDE w:val="0"/>
        <w:autoSpaceDN w:val="0"/>
        <w:adjustRightInd w:val="0"/>
        <w:snapToGrid w:val="0"/>
        <w:ind w:firstLine="0" w:firstLineChars="0"/>
        <w:jc w:val="left"/>
        <w:rPr>
          <w:rFonts w:ascii="宋体" w:hAnsi="宋体"/>
          <w:b/>
          <w:bCs/>
          <w:color w:val="000000"/>
          <w:szCs w:val="21"/>
        </w:rPr>
      </w:pPr>
      <w:r>
        <w:rPr>
          <w:rFonts w:hint="eastAsia" w:ascii="宋体" w:hAnsi="宋体"/>
          <w:b/>
          <w:bCs/>
          <w:color w:val="000000"/>
          <w:szCs w:val="21"/>
        </w:rPr>
        <w:t>注：</w:t>
      </w:r>
    </w:p>
    <w:p>
      <w:pPr>
        <w:widowControl w:val="0"/>
        <w:autoSpaceDE w:val="0"/>
        <w:autoSpaceDN w:val="0"/>
        <w:adjustRightInd w:val="0"/>
        <w:snapToGrid w:val="0"/>
        <w:ind w:firstLine="0" w:firstLineChars="0"/>
        <w:jc w:val="left"/>
        <w:rPr>
          <w:rFonts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rPr>
          <w:rFonts w:hint="eastAsia"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bCs/>
          <w:color w:val="000000"/>
          <w:szCs w:val="21"/>
        </w:rPr>
      </w:pPr>
    </w:p>
    <w:p>
      <w:pPr>
        <w:keepNext w:val="0"/>
        <w:keepLines w:val="0"/>
        <w:pageBreakBefore w:val="0"/>
        <w:widowControl w:val="0"/>
        <w:kinsoku/>
        <w:wordWrap/>
        <w:overflowPunct/>
        <w:topLinePunct w:val="0"/>
        <w:autoSpaceDE/>
        <w:autoSpaceDN/>
        <w:bidi w:val="0"/>
        <w:adjustRightInd/>
        <w:snapToGrid/>
        <w:textAlignment w:val="auto"/>
        <w:outlineLvl w:val="9"/>
      </w:pPr>
      <w:r>
        <w:t xml:space="preserve"> </w:t>
      </w:r>
      <w:bookmarkStart w:id="32" w:name="_Hlk72260501"/>
      <w:r>
        <w:t xml:space="preserve"> </w:t>
      </w:r>
      <w:bookmarkEnd w:id="32"/>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eastAsia="黑体"/>
          <w:b w:val="0"/>
          <w:sz w:val="24"/>
          <w:szCs w:val="2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eastAsia="黑体"/>
          <w:b w:val="0"/>
          <w:sz w:val="24"/>
          <w:szCs w:val="24"/>
          <w:lang w:val="en-US" w:eastAsia="zh-CN"/>
        </w:rPr>
      </w:pPr>
    </w:p>
    <w:p>
      <w:pPr>
        <w:keepNext w:val="0"/>
        <w:keepLines w:val="0"/>
        <w:pageBreakBefore w:val="0"/>
        <w:kinsoku/>
        <w:wordWrap/>
        <w:overflowPunct/>
        <w:topLinePunct w:val="0"/>
        <w:autoSpaceDE/>
        <w:autoSpaceDN/>
        <w:bidi w:val="0"/>
        <w:adjustRightInd/>
        <w:snapToGrid/>
        <w:spacing w:line="480" w:lineRule="auto"/>
        <w:jc w:val="center"/>
        <w:textAlignment w:val="auto"/>
        <w:outlineLvl w:val="2"/>
        <w:rPr>
          <w:rFonts w:hint="eastAsia" w:ascii="黑体" w:eastAsia="黑体"/>
          <w:b w:val="0"/>
          <w:sz w:val="24"/>
          <w:szCs w:val="24"/>
          <w:lang w:val="en-US" w:eastAsia="zh-CN"/>
        </w:rPr>
      </w:pPr>
      <w:r>
        <w:rPr>
          <w:rFonts w:hint="eastAsia" w:ascii="黑体" w:eastAsia="黑体"/>
          <w:b w:val="0"/>
          <w:sz w:val="24"/>
          <w:szCs w:val="24"/>
          <w:lang w:val="en-US" w:eastAsia="zh-CN"/>
        </w:rPr>
        <w:t>六</w:t>
      </w:r>
      <w:r>
        <w:rPr>
          <w:rFonts w:hint="eastAsia" w:ascii="黑体" w:eastAsia="黑体"/>
          <w:b w:val="0"/>
          <w:sz w:val="24"/>
          <w:szCs w:val="24"/>
        </w:rPr>
        <w:t>、</w:t>
      </w:r>
      <w:r>
        <w:rPr>
          <w:rFonts w:hint="eastAsia" w:ascii="黑体" w:eastAsia="黑体"/>
          <w:b w:val="0"/>
          <w:sz w:val="24"/>
          <w:szCs w:val="24"/>
          <w:lang w:val="en-US" w:eastAsia="zh-CN"/>
        </w:rPr>
        <w:t>同类项目业绩</w:t>
      </w:r>
    </w:p>
    <w:p>
      <w:pPr>
        <w:widowControl/>
        <w:jc w:val="center"/>
        <w:rPr>
          <w:rFonts w:hint="eastAsia" w:ascii="Arial" w:hAnsi="Arial" w:eastAsia="宋体" w:cs="Times New Roman"/>
          <w:b/>
          <w:sz w:val="24"/>
          <w:szCs w:val="24"/>
        </w:rPr>
      </w:pPr>
    </w:p>
    <w:p>
      <w:pPr>
        <w:widowControl/>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widowControl/>
        <w:jc w:val="both"/>
        <w:rPr>
          <w:rFonts w:ascii="Arial" w:hAnsi="Arial" w:eastAsia="宋体" w:cs="Times New Roman"/>
          <w:szCs w:val="24"/>
        </w:rPr>
      </w:pPr>
      <w:r>
        <w:rPr>
          <w:rFonts w:ascii="Arial" w:hAnsi="Arial" w:eastAsia="宋体" w:cs="Times New Roman"/>
          <w:szCs w:val="24"/>
        </w:rPr>
        <w:br w:type="page"/>
      </w:r>
    </w:p>
    <w:p>
      <w:pPr>
        <w:keepNext w:val="0"/>
        <w:keepLines w:val="0"/>
        <w:pageBreakBefore w:val="0"/>
        <w:widowControl w:val="0"/>
        <w:kinsoku/>
        <w:wordWrap/>
        <w:overflowPunct/>
        <w:topLinePunct w:val="0"/>
        <w:autoSpaceDE/>
        <w:autoSpaceDN/>
        <w:bidi w:val="0"/>
        <w:adjustRightInd/>
        <w:snapToGrid/>
        <w:spacing w:afterLines="25" w:line="300" w:lineRule="auto"/>
        <w:textAlignment w:val="auto"/>
        <w:outlineLvl w:val="1"/>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pPr>
        <w:pStyle w:val="5"/>
        <w:jc w:val="center"/>
        <w:rPr>
          <w:rFonts w:ascii="黑体" w:eastAsia="黑体"/>
          <w:b w:val="0"/>
          <w:sz w:val="24"/>
        </w:rPr>
      </w:pPr>
      <w:r>
        <w:rPr>
          <w:rFonts w:hint="eastAsia" w:ascii="黑体" w:eastAsia="黑体"/>
          <w:b w:val="0"/>
          <w:sz w:val="24"/>
        </w:rPr>
        <w:t>一、</w:t>
      </w:r>
      <w:bookmarkStart w:id="33" w:name="_Hlk72092499"/>
      <w:r>
        <w:rPr>
          <w:rFonts w:hint="eastAsia" w:ascii="黑体" w:eastAsia="黑体"/>
          <w:b w:val="0"/>
          <w:sz w:val="24"/>
        </w:rPr>
        <w:t>法定代表人（负责人）证明书</w:t>
      </w:r>
      <w:bookmarkEnd w:id="33"/>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pPr>
        <w:numPr>
          <w:ilvl w:val="0"/>
          <w:numId w:val="4"/>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4"/>
        </w:numPr>
        <w:spacing w:line="360" w:lineRule="auto"/>
        <w:ind w:firstLine="420" w:firstLineChars="200"/>
        <w:rPr>
          <w:szCs w:val="21"/>
        </w:rPr>
      </w:pPr>
      <w:r>
        <w:rPr>
          <w:rFonts w:hint="eastAsia"/>
          <w:color w:val="auto"/>
          <w:szCs w:val="21"/>
          <w:lang w:eastAsia="zh-Hans"/>
        </w:rPr>
        <w:t>本项目投标授权代表为法定代表人（负责人）的，无需提供</w:t>
      </w:r>
      <w:r>
        <w:rPr>
          <w:rFonts w:hint="eastAsia"/>
          <w:color w:val="auto"/>
          <w:szCs w:val="21"/>
        </w:rPr>
        <w:t>《投标文件签署授权委托书》</w:t>
      </w:r>
      <w:r>
        <w:rPr>
          <w:rFonts w:hint="eastAsia"/>
          <w:color w:val="auto"/>
          <w:szCs w:val="21"/>
          <w:lang w:eastAsia="zh-Hans"/>
        </w:rPr>
        <w:t>。</w:t>
      </w:r>
    </w:p>
    <w:p>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pPr>
              <w:jc w:val="center"/>
              <w:rPr>
                <w:rFonts w:hint="eastAsia"/>
                <w:lang w:val="en-US" w:eastAsia="zh-CN"/>
              </w:rPr>
            </w:pPr>
            <w:r>
              <w:rPr>
                <w:rFonts w:hint="eastAsia"/>
                <w:lang w:val="en-US" w:eastAsia="zh-CN"/>
              </w:rPr>
              <w:t>证件扫描件正面</w:t>
            </w:r>
          </w:p>
          <w:p>
            <w:pPr>
              <w:pStyle w:val="2"/>
              <w:jc w:val="center"/>
              <w:rPr>
                <w:rFonts w:hint="eastAsia"/>
                <w:lang w:val="en-US" w:eastAsia="zh-CN"/>
              </w:rPr>
            </w:pPr>
          </w:p>
          <w:p>
            <w:pPr>
              <w:pStyle w:val="13"/>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2"/>
              <w:jc w:val="center"/>
              <w:rPr>
                <w:rFonts w:hint="eastAsia"/>
                <w:lang w:val="en-US" w:eastAsia="zh-CN"/>
              </w:rPr>
            </w:pPr>
          </w:p>
          <w:p>
            <w:pPr>
              <w:pStyle w:val="13"/>
              <w:jc w:val="center"/>
              <w:rPr>
                <w:rFonts w:hint="eastAsia"/>
                <w:sz w:val="24"/>
                <w:vertAlign w:val="baseline"/>
                <w:lang w:val="en-US" w:eastAsia="zh-CN"/>
              </w:rPr>
            </w:pPr>
          </w:p>
        </w:tc>
      </w:tr>
    </w:tbl>
    <w:p>
      <w:pPr>
        <w:rPr>
          <w:sz w:val="24"/>
        </w:rPr>
      </w:pPr>
    </w:p>
    <w:p>
      <w:pPr>
        <w:rPr>
          <w:rFonts w:hint="eastAsia" w:ascii="黑体" w:eastAsia="黑体"/>
          <w:b w:val="0"/>
          <w:sz w:val="24"/>
        </w:rPr>
      </w:pPr>
      <w:r>
        <w:rPr>
          <w:rFonts w:hint="eastAsia" w:ascii="黑体" w:eastAsia="黑体"/>
          <w:b w:val="0"/>
          <w:sz w:val="24"/>
        </w:rPr>
        <w:br w:type="page"/>
      </w:r>
    </w:p>
    <w:p>
      <w:pPr>
        <w:pStyle w:val="5"/>
        <w:spacing w:before="120" w:after="120"/>
        <w:jc w:val="center"/>
        <w:rPr>
          <w:rFonts w:ascii="黑体" w:eastAsia="黑体"/>
          <w:b w:val="0"/>
          <w:sz w:val="24"/>
        </w:rPr>
      </w:pPr>
      <w:r>
        <w:rPr>
          <w:rFonts w:hint="eastAsia" w:ascii="黑体" w:eastAsia="黑体"/>
          <w:b w:val="0"/>
          <w:sz w:val="24"/>
        </w:rPr>
        <w:t>二、投标文件签署授权委托书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1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13"/>
              <w:jc w:val="center"/>
              <w:rPr>
                <w:rFonts w:hint="eastAsia"/>
                <w:sz w:val="24"/>
                <w:vertAlign w:val="baseline"/>
                <w:lang w:val="en-US" w:eastAsia="zh-CN"/>
              </w:rPr>
            </w:pPr>
          </w:p>
        </w:tc>
      </w:tr>
    </w:tbl>
    <w:p>
      <w:pPr>
        <w:tabs>
          <w:tab w:val="left" w:pos="651"/>
        </w:tabs>
        <w:snapToGrid w:val="0"/>
        <w:jc w:val="center"/>
        <w:rPr>
          <w:rFonts w:hint="eastAsia" w:ascii="黑体" w:eastAsia="黑体"/>
          <w:b w:val="0"/>
          <w:kern w:val="0"/>
          <w:sz w:val="24"/>
          <w:szCs w:val="24"/>
        </w:rPr>
      </w:pPr>
    </w:p>
    <w:p>
      <w:pPr>
        <w:tabs>
          <w:tab w:val="left" w:pos="651"/>
        </w:tabs>
        <w:snapToGrid w:val="0"/>
        <w:jc w:val="center"/>
        <w:rPr>
          <w:rFonts w:hint="eastAsia" w:ascii="黑体" w:eastAsia="黑体"/>
          <w:b w:val="0"/>
          <w:kern w:val="0"/>
          <w:sz w:val="24"/>
          <w:szCs w:val="24"/>
        </w:rPr>
      </w:pPr>
    </w:p>
    <w:p>
      <w:pPr>
        <w:tabs>
          <w:tab w:val="left" w:pos="651"/>
        </w:tabs>
        <w:snapToGrid w:val="0"/>
        <w:jc w:val="center"/>
        <w:rPr>
          <w:rFonts w:hint="eastAsia" w:ascii="黑体" w:eastAsia="黑体"/>
          <w:b w:val="0"/>
          <w:kern w:val="0"/>
          <w:sz w:val="24"/>
          <w:szCs w:val="24"/>
        </w:rPr>
      </w:pPr>
    </w:p>
    <w:p>
      <w:pPr>
        <w:tabs>
          <w:tab w:val="left" w:pos="651"/>
        </w:tabs>
        <w:snapToGrid w:val="0"/>
        <w:jc w:val="center"/>
        <w:rPr>
          <w:rFonts w:hint="eastAsia" w:ascii="黑体" w:eastAsia="黑体"/>
          <w:b w:val="0"/>
          <w:kern w:val="0"/>
          <w:sz w:val="24"/>
          <w:szCs w:val="24"/>
        </w:rPr>
      </w:pPr>
    </w:p>
    <w:p>
      <w:pPr>
        <w:keepNext w:val="0"/>
        <w:keepLines w:val="0"/>
        <w:pageBreakBefore w:val="0"/>
        <w:widowControl w:val="0"/>
        <w:tabs>
          <w:tab w:val="left" w:pos="651"/>
        </w:tabs>
        <w:kinsoku/>
        <w:wordWrap/>
        <w:overflowPunct/>
        <w:topLinePunct w:val="0"/>
        <w:autoSpaceDE/>
        <w:autoSpaceDN/>
        <w:bidi w:val="0"/>
        <w:adjustRightInd/>
        <w:snapToGrid w:val="0"/>
        <w:jc w:val="center"/>
        <w:textAlignment w:val="auto"/>
        <w:outlineLvl w:val="2"/>
        <w:rPr>
          <w:rFonts w:ascii="宋体" w:hAnsi="宋体" w:eastAsia="宋体" w:cs="Times New Roman"/>
          <w:b/>
          <w:bCs/>
          <w:kern w:val="0"/>
          <w:sz w:val="24"/>
          <w:szCs w:val="20"/>
        </w:rPr>
      </w:pPr>
      <w:r>
        <w:rPr>
          <w:rFonts w:hint="eastAsia" w:ascii="黑体" w:eastAsia="黑体"/>
          <w:b w:val="0"/>
          <w:kern w:val="0"/>
          <w:sz w:val="24"/>
          <w:szCs w:val="24"/>
        </w:rPr>
        <w:t>三、</w:t>
      </w:r>
      <w:bookmarkStart w:id="34" w:name="_Hlk72092634"/>
      <w:r>
        <w:rPr>
          <w:rFonts w:hint="eastAsia" w:ascii="黑体" w:eastAsia="黑体"/>
          <w:b w:val="0"/>
          <w:kern w:val="0"/>
          <w:sz w:val="24"/>
          <w:szCs w:val="24"/>
        </w:rPr>
        <w:t>实质性条款响应情况表</w:t>
      </w:r>
      <w:bookmarkEnd w:id="34"/>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14"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1</w:t>
            </w:r>
          </w:p>
        </w:tc>
        <w:tc>
          <w:tcPr>
            <w:tcW w:w="3901" w:type="dxa"/>
            <w:vAlign w:val="center"/>
          </w:tcPr>
          <w:p>
            <w:pPr>
              <w:pageBreakBefore w:val="0"/>
              <w:kinsoku/>
              <w:overflowPunct/>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Times New Roman"/>
                <w:b/>
                <w:bCs/>
                <w:color w:val="FF0000"/>
                <w:kern w:val="0"/>
                <w:szCs w:val="21"/>
                <w:lang w:val="en-US" w:eastAsia="zh-CN"/>
              </w:rPr>
            </w:pPr>
            <w:r>
              <w:rPr>
                <w:rFonts w:hint="eastAsia" w:ascii="宋体" w:hAnsi="宋体" w:eastAsia="宋体" w:cs="宋体"/>
                <w:b/>
                <w:bCs/>
                <w:color w:val="FF0000"/>
                <w:kern w:val="0"/>
                <w:sz w:val="21"/>
                <w:szCs w:val="21"/>
                <w:highlight w:val="none"/>
              </w:rPr>
              <w:t>投标文件载明的交货期不超过招标文件规定的期限</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30" w:hRule="atLeast"/>
          <w:jc w:val="center"/>
        </w:trPr>
        <w:tc>
          <w:tcPr>
            <w:tcW w:w="602" w:type="dxa"/>
            <w:vAlign w:val="center"/>
          </w:tcPr>
          <w:p>
            <w:pPr>
              <w:spacing w:line="300" w:lineRule="auto"/>
              <w:jc w:val="center"/>
              <w:rPr>
                <w:rFonts w:hint="default"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2</w:t>
            </w:r>
          </w:p>
        </w:tc>
        <w:tc>
          <w:tcPr>
            <w:tcW w:w="3901" w:type="dxa"/>
            <w:vAlign w:val="center"/>
          </w:tcPr>
          <w:p>
            <w:pPr>
              <w:pageBreakBefore w:val="0"/>
              <w:kinsoku/>
              <w:overflowPunct/>
              <w:topLinePunct w:val="0"/>
              <w:autoSpaceDE/>
              <w:autoSpaceDN/>
              <w:bidi w:val="0"/>
              <w:adjustRightInd w:val="0"/>
              <w:snapToGrid w:val="0"/>
              <w:spacing w:beforeAutospacing="0" w:afterAutospacing="0" w:line="360" w:lineRule="auto"/>
              <w:ind w:left="0" w:leftChars="0" w:right="0" w:rightChars="0" w:firstLine="0" w:firstLineChars="0"/>
              <w:jc w:val="center"/>
              <w:rPr>
                <w:rFonts w:hint="eastAsia" w:ascii="宋体" w:hAnsi="宋体" w:eastAsia="宋体" w:cs="Times New Roman"/>
                <w:b/>
                <w:bCs/>
                <w:color w:val="FF0000"/>
                <w:kern w:val="0"/>
                <w:szCs w:val="21"/>
                <w:lang w:val="en-US" w:eastAsia="zh-CN"/>
              </w:rPr>
            </w:pPr>
            <w:r>
              <w:rPr>
                <w:rFonts w:hint="eastAsia" w:ascii="宋体" w:hAnsi="宋体" w:eastAsia="宋体" w:cs="宋体"/>
                <w:b/>
                <w:bCs/>
                <w:color w:val="FF0000"/>
                <w:kern w:val="0"/>
                <w:sz w:val="21"/>
                <w:szCs w:val="21"/>
                <w:highlight w:val="none"/>
              </w:rPr>
              <w:t>投标文件载明的免费保修期不低于招标文件规定的期限</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default" w:ascii="宋体" w:hAnsi="宋体" w:eastAsia="宋体" w:cs="Times New Roman"/>
                <w:b/>
                <w:color w:val="FF0000"/>
                <w:kern w:val="0"/>
                <w:szCs w:val="21"/>
                <w:lang w:val="en-US" w:eastAsia="zh-CN"/>
              </w:rPr>
            </w:pPr>
            <w:r>
              <w:rPr>
                <w:rFonts w:hint="eastAsia" w:ascii="宋体" w:hAnsi="宋体" w:eastAsia="宋体" w:cs="Times New Roman"/>
                <w:b/>
                <w:color w:val="FF0000"/>
                <w:kern w:val="0"/>
                <w:szCs w:val="21"/>
                <w:lang w:val="en-US" w:eastAsia="zh-CN"/>
              </w:rPr>
              <w:t>3</w:t>
            </w:r>
          </w:p>
        </w:tc>
        <w:tc>
          <w:tcPr>
            <w:tcW w:w="3901" w:type="dxa"/>
            <w:vAlign w:val="center"/>
          </w:tcPr>
          <w:p>
            <w:pPr>
              <w:adjustRightInd w:val="0"/>
              <w:snapToGrid w:val="0"/>
              <w:spacing w:line="360" w:lineRule="auto"/>
              <w:jc w:val="center"/>
              <w:rPr>
                <w:rFonts w:hint="eastAsia" w:ascii="宋体" w:hAnsi="宋体" w:eastAsia="宋体" w:cs="Times New Roman"/>
                <w:b/>
                <w:bCs/>
                <w:color w:val="FF0000"/>
                <w:kern w:val="0"/>
                <w:szCs w:val="21"/>
                <w:lang w:val="en-US" w:eastAsia="zh-CN"/>
              </w:rPr>
            </w:pPr>
            <w:r>
              <w:rPr>
                <w:rFonts w:hint="eastAsia" w:ascii="宋体" w:hAnsi="宋体" w:eastAsia="宋体" w:cs="宋体"/>
                <w:b/>
                <w:bCs/>
                <w:color w:val="FF0000"/>
                <w:kern w:val="0"/>
                <w:sz w:val="21"/>
                <w:szCs w:val="21"/>
                <w:highlight w:val="none"/>
                <w:lang w:eastAsia="zh-CN"/>
              </w:rPr>
              <w:t>招标文件中带“</w:t>
            </w:r>
            <w:r>
              <w:rPr>
                <w:rFonts w:hint="eastAsia" w:ascii="宋体" w:hAnsi="宋体" w:eastAsia="宋体" w:cs="宋体"/>
                <w:b/>
                <w:bCs/>
                <w:color w:val="FF0000"/>
                <w:szCs w:val="21"/>
                <w:highlight w:val="none"/>
              </w:rPr>
              <w:t>★</w:t>
            </w:r>
            <w:r>
              <w:rPr>
                <w:rFonts w:hint="eastAsia" w:ascii="宋体" w:hAnsi="宋体" w:eastAsia="宋体" w:cs="宋体"/>
                <w:b/>
                <w:bCs/>
                <w:color w:val="FF0000"/>
                <w:kern w:val="0"/>
                <w:sz w:val="21"/>
                <w:szCs w:val="21"/>
                <w:highlight w:val="none"/>
                <w:lang w:eastAsia="zh-CN"/>
              </w:rPr>
              <w:t>”的技术要求、商务需求或其他要求。</w:t>
            </w:r>
          </w:p>
        </w:tc>
        <w:tc>
          <w:tcPr>
            <w:tcW w:w="2176"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完全响应</w:t>
            </w:r>
          </w:p>
        </w:tc>
        <w:tc>
          <w:tcPr>
            <w:tcW w:w="1732" w:type="dxa"/>
            <w:vAlign w:val="center"/>
          </w:tcPr>
          <w:p>
            <w:pPr>
              <w:spacing w:line="300" w:lineRule="auto"/>
              <w:jc w:val="center"/>
              <w:rPr>
                <w:rFonts w:hint="eastAsia" w:ascii="宋体" w:hAnsi="宋体" w:eastAsia="宋体" w:cs="Times New Roman"/>
                <w:b/>
                <w:color w:val="auto"/>
                <w:kern w:val="0"/>
                <w:szCs w:val="21"/>
                <w:lang w:val="en-US" w:eastAsia="zh-CN"/>
              </w:rPr>
            </w:pPr>
            <w:r>
              <w:rPr>
                <w:rFonts w:hint="eastAsia" w:ascii="宋体" w:hAnsi="宋体" w:eastAsia="宋体" w:cs="Times New Roman"/>
                <w:b/>
                <w:color w:val="auto"/>
                <w:kern w:val="0"/>
                <w:szCs w:val="21"/>
                <w:lang w:val="en-US" w:eastAsia="zh-CN"/>
              </w:rPr>
              <w:t>无偏离</w:t>
            </w:r>
          </w:p>
        </w:tc>
        <w:tc>
          <w:tcPr>
            <w:tcW w:w="992" w:type="dxa"/>
            <w:vAlign w:val="center"/>
          </w:tcPr>
          <w:p>
            <w:pPr>
              <w:spacing w:line="300" w:lineRule="auto"/>
              <w:jc w:val="center"/>
              <w:rPr>
                <w:rFonts w:hint="eastAsia" w:ascii="宋体" w:hAnsi="宋体" w:eastAsia="宋体" w:cs="Times New Roman"/>
                <w:b/>
                <w:color w:val="FF0000"/>
                <w:kern w:val="0"/>
                <w:szCs w:val="21"/>
                <w:lang w:val="en-US" w:eastAsia="zh-CN"/>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2"/>
          <w:szCs w:val="22"/>
        </w:rPr>
      </w:pPr>
      <w:r>
        <w:rPr>
          <w:rFonts w:hint="eastAsia" w:ascii="宋体" w:hAnsi="宋体" w:eastAsia="宋体" w:cs="Times New Roman"/>
          <w:b/>
          <w:sz w:val="22"/>
          <w:szCs w:val="22"/>
        </w:rPr>
        <w:t>填写说明：</w:t>
      </w:r>
    </w:p>
    <w:p>
      <w:pPr>
        <w:spacing w:line="276" w:lineRule="auto"/>
        <w:ind w:firstLine="440" w:firstLineChars="200"/>
        <w:rPr>
          <w:rFonts w:ascii="宋体" w:hAnsi="宋体" w:cs="宋体"/>
          <w:bCs/>
          <w:sz w:val="22"/>
          <w:szCs w:val="22"/>
        </w:rPr>
      </w:pPr>
      <w:r>
        <w:rPr>
          <w:rFonts w:hint="eastAsia" w:ascii="宋体" w:hAnsi="宋体" w:cs="宋体"/>
          <w:bCs/>
          <w:sz w:val="22"/>
          <w:szCs w:val="22"/>
        </w:rPr>
        <w:t>1</w:t>
      </w:r>
      <w:r>
        <w:rPr>
          <w:rFonts w:hint="eastAsia" w:ascii="宋体" w:hAnsi="宋体" w:cs="宋体"/>
          <w:bCs/>
          <w:sz w:val="22"/>
          <w:szCs w:val="22"/>
          <w:lang w:eastAsia="zh-CN"/>
        </w:rPr>
        <w:t>、</w:t>
      </w:r>
      <w:r>
        <w:rPr>
          <w:rFonts w:hint="eastAsia" w:ascii="宋体" w:hAnsi="宋体" w:cs="宋体"/>
          <w:bCs/>
          <w:sz w:val="22"/>
          <w:szCs w:val="22"/>
        </w:rPr>
        <w:t>上表所列各项均为不可负偏离条款。</w:t>
      </w:r>
    </w:p>
    <w:p>
      <w:pPr>
        <w:spacing w:line="276" w:lineRule="auto"/>
        <w:ind w:firstLine="440" w:firstLineChars="200"/>
        <w:rPr>
          <w:rFonts w:ascii="宋体" w:hAnsi="宋体" w:cs="宋体"/>
          <w:bCs/>
          <w:sz w:val="22"/>
          <w:szCs w:val="22"/>
        </w:rPr>
      </w:pPr>
      <w:r>
        <w:rPr>
          <w:rFonts w:hint="eastAsia" w:ascii="宋体" w:hAnsi="宋体" w:cs="宋体"/>
          <w:bCs/>
          <w:sz w:val="22"/>
          <w:szCs w:val="22"/>
        </w:rPr>
        <w:t>2</w:t>
      </w:r>
      <w:r>
        <w:rPr>
          <w:rFonts w:hint="eastAsia" w:ascii="宋体" w:hAnsi="宋体" w:cs="宋体"/>
          <w:bCs/>
          <w:sz w:val="22"/>
          <w:szCs w:val="22"/>
          <w:lang w:eastAsia="zh-CN"/>
        </w:rPr>
        <w:t>、</w:t>
      </w:r>
      <w:r>
        <w:rPr>
          <w:rFonts w:hint="eastAsia" w:ascii="宋体" w:hAnsi="宋体" w:cs="宋体"/>
          <w:bCs/>
          <w:sz w:val="22"/>
          <w:szCs w:val="22"/>
        </w:rPr>
        <w:t>“投标</w:t>
      </w:r>
      <w:r>
        <w:rPr>
          <w:rFonts w:hint="eastAsia" w:ascii="宋体" w:hAnsi="宋体" w:cs="宋体"/>
          <w:bCs/>
          <w:sz w:val="22"/>
          <w:szCs w:val="22"/>
          <w:lang w:val="en-US" w:eastAsia="zh-CN"/>
        </w:rPr>
        <w:t>文件</w:t>
      </w:r>
      <w:r>
        <w:rPr>
          <w:rFonts w:hint="eastAsia" w:ascii="宋体" w:hAnsi="宋体" w:cs="宋体"/>
          <w:bCs/>
          <w:sz w:val="22"/>
          <w:szCs w:val="22"/>
        </w:rPr>
        <w:t>响应”一栏应当详细填写投标人自身响应情况，而不能不合理照搬照抄招标文件实质性条款具体内容。</w:t>
      </w:r>
      <w:r>
        <w:rPr>
          <w:rFonts w:hint="eastAsia" w:ascii="宋体" w:hAnsi="宋体" w:cs="宋体"/>
          <w:b/>
          <w:bCs/>
          <w:color w:val="auto"/>
          <w:sz w:val="22"/>
          <w:szCs w:val="22"/>
        </w:rPr>
        <w:t>如完全满足实质性条款具体内容可填写“完全响应”，除招标文件另有注明外，不强制要求逐条列出响应。</w:t>
      </w:r>
    </w:p>
    <w:p>
      <w:pPr>
        <w:spacing w:line="276" w:lineRule="auto"/>
        <w:ind w:firstLine="440" w:firstLineChars="200"/>
        <w:rPr>
          <w:rFonts w:ascii="宋体" w:hAnsi="宋体" w:cs="宋体"/>
          <w:bCs/>
          <w:sz w:val="22"/>
          <w:szCs w:val="22"/>
        </w:rPr>
      </w:pPr>
      <w:r>
        <w:rPr>
          <w:rFonts w:hint="eastAsia" w:ascii="宋体" w:hAnsi="宋体" w:cs="宋体"/>
          <w:bCs/>
          <w:sz w:val="22"/>
          <w:szCs w:val="22"/>
        </w:rPr>
        <w:t>3</w:t>
      </w:r>
      <w:r>
        <w:rPr>
          <w:rFonts w:hint="eastAsia" w:ascii="宋体" w:hAnsi="宋体" w:cs="宋体"/>
          <w:bCs/>
          <w:sz w:val="22"/>
          <w:szCs w:val="22"/>
          <w:lang w:eastAsia="zh-CN"/>
        </w:rPr>
        <w:t>、</w:t>
      </w:r>
      <w:r>
        <w:rPr>
          <w:rFonts w:hint="eastAsia" w:ascii="宋体" w:hAnsi="宋体" w:cs="宋体"/>
          <w:bCs/>
          <w:sz w:val="22"/>
          <w:szCs w:val="22"/>
        </w:rPr>
        <w:t>“偏离情况”一栏应填写</w:t>
      </w:r>
      <w:r>
        <w:rPr>
          <w:rFonts w:hint="eastAsia" w:ascii="宋体" w:hAnsi="宋体" w:cs="宋体"/>
          <w:b w:val="0"/>
          <w:bCs w:val="0"/>
          <w:sz w:val="22"/>
          <w:szCs w:val="22"/>
        </w:rPr>
        <w:t>“</w:t>
      </w:r>
      <w:r>
        <w:rPr>
          <w:rFonts w:hint="eastAsia" w:ascii="宋体" w:hAnsi="宋体" w:cs="宋体"/>
          <w:b/>
          <w:bCs/>
          <w:sz w:val="22"/>
          <w:szCs w:val="22"/>
        </w:rPr>
        <w:t>正偏离</w:t>
      </w:r>
      <w:r>
        <w:rPr>
          <w:rFonts w:hint="eastAsia" w:ascii="宋体" w:hAnsi="宋体" w:cs="宋体"/>
          <w:b w:val="0"/>
          <w:bCs w:val="0"/>
          <w:sz w:val="22"/>
          <w:szCs w:val="22"/>
        </w:rPr>
        <w:t>”</w:t>
      </w:r>
      <w:r>
        <w:rPr>
          <w:rFonts w:hint="eastAsia" w:ascii="宋体" w:hAnsi="宋体" w:cs="宋体"/>
          <w:b w:val="0"/>
          <w:bCs w:val="0"/>
          <w:sz w:val="22"/>
          <w:szCs w:val="22"/>
          <w:lang w:val="en-US" w:eastAsia="zh-CN"/>
        </w:rPr>
        <w:t>或</w:t>
      </w:r>
      <w:r>
        <w:rPr>
          <w:rFonts w:hint="eastAsia" w:ascii="宋体" w:hAnsi="宋体" w:cs="宋体"/>
          <w:b w:val="0"/>
          <w:bCs w:val="0"/>
          <w:sz w:val="22"/>
          <w:szCs w:val="22"/>
        </w:rPr>
        <w:t>“</w:t>
      </w:r>
      <w:r>
        <w:rPr>
          <w:rFonts w:hint="eastAsia" w:ascii="宋体" w:hAnsi="宋体" w:cs="宋体"/>
          <w:b/>
          <w:bCs/>
          <w:sz w:val="22"/>
          <w:szCs w:val="22"/>
        </w:rPr>
        <w:t>负偏离</w:t>
      </w:r>
      <w:r>
        <w:rPr>
          <w:rFonts w:hint="eastAsia" w:ascii="宋体" w:hAnsi="宋体" w:cs="宋体"/>
          <w:b w:val="0"/>
          <w:bCs w:val="0"/>
          <w:sz w:val="22"/>
          <w:szCs w:val="22"/>
        </w:rPr>
        <w:t>”或“</w:t>
      </w:r>
      <w:r>
        <w:rPr>
          <w:rFonts w:hint="eastAsia" w:ascii="宋体" w:hAnsi="宋体" w:cs="宋体"/>
          <w:b/>
          <w:bCs/>
          <w:sz w:val="22"/>
          <w:szCs w:val="22"/>
        </w:rPr>
        <w:t>无偏离</w:t>
      </w:r>
      <w:r>
        <w:rPr>
          <w:rFonts w:hint="eastAsia" w:ascii="宋体" w:hAnsi="宋体" w:cs="宋体"/>
          <w:b w:val="0"/>
          <w:bCs w:val="0"/>
          <w:sz w:val="22"/>
          <w:szCs w:val="22"/>
        </w:rPr>
        <w:t>”</w:t>
      </w:r>
      <w:r>
        <w:rPr>
          <w:rFonts w:hint="eastAsia" w:ascii="宋体" w:hAnsi="宋体" w:cs="宋体"/>
          <w:bCs/>
          <w:sz w:val="22"/>
          <w:szCs w:val="22"/>
        </w:rPr>
        <w:t>，“正偏离”表示“投标响应优于实质性条款具体内容要求”，“负偏离”表示“投标响应不满足实质性条款具体内容要求”，“无偏离”表示“投标响应与实质性条款具体内容要求一致”。</w:t>
      </w:r>
    </w:p>
    <w:p>
      <w:pPr>
        <w:spacing w:line="276" w:lineRule="auto"/>
        <w:ind w:firstLine="440" w:firstLineChars="200"/>
        <w:rPr>
          <w:rFonts w:ascii="宋体" w:hAnsi="宋体" w:cs="宋体"/>
          <w:bCs/>
          <w:sz w:val="22"/>
          <w:szCs w:val="22"/>
        </w:rPr>
      </w:pPr>
      <w:r>
        <w:rPr>
          <w:rFonts w:hint="eastAsia" w:ascii="宋体" w:hAnsi="宋体" w:cs="宋体"/>
          <w:bCs/>
          <w:sz w:val="22"/>
          <w:szCs w:val="22"/>
        </w:rPr>
        <w:t>4</w:t>
      </w:r>
      <w:r>
        <w:rPr>
          <w:rFonts w:hint="eastAsia" w:ascii="宋体" w:hAnsi="宋体" w:cs="宋体"/>
          <w:bCs/>
          <w:sz w:val="22"/>
          <w:szCs w:val="22"/>
          <w:lang w:eastAsia="zh-CN"/>
        </w:rPr>
        <w:t>、</w:t>
      </w:r>
      <w:r>
        <w:rPr>
          <w:rFonts w:hint="eastAsia" w:ascii="宋体" w:hAnsi="宋体" w:cs="宋体"/>
          <w:bCs/>
          <w:sz w:val="22"/>
          <w:szCs w:val="22"/>
        </w:rPr>
        <w:t>评审委员会有权对投标响应情况作出判断。</w:t>
      </w:r>
    </w:p>
    <w:p>
      <w:pPr>
        <w:spacing w:line="276" w:lineRule="auto"/>
        <w:ind w:firstLine="440" w:firstLineChars="200"/>
        <w:rPr>
          <w:rFonts w:ascii="宋体" w:hAnsi="宋体" w:cs="宋体"/>
          <w:bCs/>
          <w:sz w:val="22"/>
          <w:szCs w:val="22"/>
        </w:rPr>
      </w:pPr>
      <w:r>
        <w:rPr>
          <w:rFonts w:hint="eastAsia" w:ascii="宋体" w:hAnsi="宋体" w:cs="宋体"/>
          <w:bCs/>
          <w:sz w:val="22"/>
          <w:szCs w:val="22"/>
        </w:rPr>
        <w:t>5</w:t>
      </w:r>
      <w:r>
        <w:rPr>
          <w:rFonts w:hint="eastAsia" w:ascii="宋体" w:hAnsi="宋体" w:cs="宋体"/>
          <w:bCs/>
          <w:sz w:val="22"/>
          <w:szCs w:val="22"/>
          <w:lang w:eastAsia="zh-CN"/>
        </w:rPr>
        <w:t>、</w:t>
      </w:r>
      <w:r>
        <w:rPr>
          <w:rFonts w:hint="eastAsia" w:ascii="宋体" w:hAnsi="宋体" w:cs="宋体"/>
          <w:bCs/>
          <w:sz w:val="22"/>
          <w:szCs w:val="22"/>
        </w:rPr>
        <w:t>实质性响应条款“投标响应情况”与投标文件其它内容冲突的，以实质性响应条款“投标响应情况”为准。</w:t>
      </w:r>
    </w:p>
    <w:p>
      <w:pPr>
        <w:spacing w:line="276" w:lineRule="auto"/>
        <w:ind w:firstLine="440" w:firstLineChars="200"/>
        <w:rPr>
          <w:rFonts w:ascii="宋体" w:hAnsi="宋体" w:cs="宋体"/>
          <w:bCs/>
          <w:sz w:val="24"/>
          <w:szCs w:val="24"/>
        </w:rPr>
      </w:pPr>
      <w:r>
        <w:rPr>
          <w:rFonts w:hint="eastAsia" w:ascii="宋体" w:hAnsi="宋体" w:cs="宋体"/>
          <w:bCs/>
          <w:sz w:val="22"/>
          <w:szCs w:val="22"/>
        </w:rPr>
        <w:t>6</w:t>
      </w:r>
      <w:r>
        <w:rPr>
          <w:rFonts w:hint="eastAsia" w:ascii="宋体" w:hAnsi="宋体" w:cs="宋体"/>
          <w:bCs/>
          <w:sz w:val="22"/>
          <w:szCs w:val="22"/>
          <w:lang w:eastAsia="zh-CN"/>
        </w:rPr>
        <w:t>、</w:t>
      </w:r>
      <w:r>
        <w:rPr>
          <w:rFonts w:hint="eastAsia" w:ascii="宋体" w:hAnsi="宋体" w:cs="宋体"/>
          <w:bCs/>
          <w:sz w:val="22"/>
          <w:szCs w:val="22"/>
        </w:rPr>
        <w:t>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pStyle w:val="5"/>
        <w:jc w:val="center"/>
        <w:rPr>
          <w:sz w:val="24"/>
        </w:rPr>
      </w:pPr>
      <w:r>
        <w:rPr>
          <w:rFonts w:hint="eastAsia" w:ascii="黑体" w:eastAsia="黑体"/>
          <w:b w:val="0"/>
          <w:bCs w:val="0"/>
          <w:sz w:val="24"/>
          <w:szCs w:val="20"/>
          <w:lang w:eastAsia="zh-CN"/>
        </w:rPr>
        <w:t>四</w:t>
      </w:r>
      <w:r>
        <w:rPr>
          <w:rFonts w:hint="eastAsia" w:ascii="黑体" w:eastAsia="黑体"/>
          <w:b w:val="0"/>
          <w:bCs w:val="0"/>
          <w:sz w:val="24"/>
          <w:szCs w:val="20"/>
        </w:rPr>
        <w:t>、商务要求偏离表</w:t>
      </w:r>
    </w:p>
    <w:tbl>
      <w:tblPr>
        <w:tblStyle w:val="17"/>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72"/>
        <w:gridCol w:w="3424"/>
        <w:gridCol w:w="1809"/>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7"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序号</w:t>
            </w:r>
          </w:p>
        </w:tc>
        <w:tc>
          <w:tcPr>
            <w:tcW w:w="1172"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目录</w:t>
            </w:r>
          </w:p>
        </w:tc>
        <w:tc>
          <w:tcPr>
            <w:tcW w:w="3424"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采购商务需求</w:t>
            </w:r>
          </w:p>
        </w:tc>
        <w:tc>
          <w:tcPr>
            <w:tcW w:w="1809" w:type="dxa"/>
            <w:noWrap w:val="0"/>
            <w:vAlign w:val="center"/>
          </w:tcPr>
          <w:p>
            <w:pPr>
              <w:jc w:val="center"/>
              <w:rPr>
                <w:rFonts w:hint="eastAsia" w:ascii="Times New Roman" w:hAnsi="Times New Roman" w:eastAsia="宋体"/>
                <w:b/>
                <w:sz w:val="21"/>
              </w:rPr>
            </w:pPr>
            <w:r>
              <w:rPr>
                <w:rFonts w:hint="eastAsia"/>
                <w:b/>
                <w:lang w:val="en-US" w:eastAsia="zh-CN"/>
              </w:rPr>
              <w:t>投标商务响应</w:t>
            </w:r>
          </w:p>
        </w:tc>
        <w:tc>
          <w:tcPr>
            <w:tcW w:w="1315" w:type="dxa"/>
            <w:noWrap w:val="0"/>
            <w:vAlign w:val="center"/>
          </w:tcPr>
          <w:p>
            <w:pPr>
              <w:jc w:val="center"/>
              <w:rPr>
                <w:rFonts w:hint="eastAsia" w:ascii="Times New Roman" w:hAnsi="Times New Roman" w:eastAsia="宋体"/>
                <w:b/>
                <w:sz w:val="21"/>
              </w:rPr>
            </w:pPr>
            <w:r>
              <w:rPr>
                <w:rFonts w:hint="eastAsia"/>
                <w:b/>
                <w:lang w:val="en-US" w:eastAsia="zh-CN"/>
              </w:rPr>
              <w:t>偏离情况</w:t>
            </w:r>
          </w:p>
        </w:tc>
        <w:tc>
          <w:tcPr>
            <w:tcW w:w="1315" w:type="dxa"/>
            <w:noWrap w:val="0"/>
            <w:vAlign w:val="center"/>
          </w:tcPr>
          <w:p>
            <w:pPr>
              <w:jc w:val="center"/>
              <w:rPr>
                <w:rFonts w:hint="eastAsia" w:ascii="Times New Roman" w:hAnsi="Times New Roman" w:eastAsia="宋体"/>
                <w:b/>
                <w:sz w:val="21"/>
              </w:rPr>
            </w:pPr>
            <w:r>
              <w:rPr>
                <w:rFonts w:hint="eastAsia"/>
                <w:b/>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72" w:type="dxa"/>
            <w:gridSpan w:val="6"/>
            <w:noWrap w:val="0"/>
            <w:vAlign w:val="top"/>
          </w:tcPr>
          <w:p>
            <w:pPr>
              <w:rPr>
                <w:rFonts w:hint="eastAsia" w:ascii="Times New Roman" w:hAnsi="Times New Roman" w:eastAsia="宋体"/>
                <w:b/>
                <w:sz w:val="21"/>
              </w:rPr>
            </w:pPr>
            <w:r>
              <w:rPr>
                <w:rFonts w:hint="eastAsia" w:ascii="Times New Roman" w:hAnsi="Times New Roman" w:eastAsia="宋体"/>
                <w:b/>
                <w:sz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37"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1</w:t>
            </w:r>
          </w:p>
        </w:tc>
        <w:tc>
          <w:tcPr>
            <w:tcW w:w="1172" w:type="dxa"/>
            <w:noWrap w:val="0"/>
            <w:vAlign w:val="center"/>
          </w:tcPr>
          <w:p>
            <w:pPr>
              <w:rPr>
                <w:rFonts w:ascii="Times New Roman" w:hAnsi="Times New Roman" w:eastAsia="宋体"/>
                <w:sz w:val="21"/>
              </w:rPr>
            </w:pPr>
            <w:r>
              <w:rPr>
                <w:rFonts w:hint="eastAsia" w:ascii="Times New Roman" w:hAnsi="Times New Roman" w:eastAsia="宋体"/>
                <w:sz w:val="21"/>
              </w:rPr>
              <w:t>免费保修期</w:t>
            </w:r>
          </w:p>
        </w:tc>
        <w:tc>
          <w:tcPr>
            <w:tcW w:w="3424" w:type="dxa"/>
            <w:noWrap w:val="0"/>
            <w:vAlign w:val="top"/>
          </w:tcPr>
          <w:p>
            <w:pPr>
              <w:rPr>
                <w:rFonts w:ascii="Times New Roman" w:hAnsi="Times New Roman" w:eastAsia="宋体"/>
                <w:b/>
                <w:sz w:val="21"/>
              </w:rPr>
            </w:pPr>
            <w:r>
              <w:rPr>
                <w:rFonts w:hint="eastAsia" w:ascii="Times New Roman" w:hAnsi="Times New Roman" w:eastAsia="宋体" w:cs="宋体"/>
                <w:b/>
                <w:bCs/>
                <w:color w:val="FF0000"/>
                <w:sz w:val="21"/>
                <w:szCs w:val="21"/>
                <w:highlight w:val="yellow"/>
              </w:rPr>
              <w:t>★</w:t>
            </w:r>
            <w:r>
              <w:rPr>
                <w:rFonts w:hint="eastAsia" w:ascii="Times New Roman" w:hAnsi="Times New Roman" w:eastAsia="宋体"/>
                <w:b/>
                <w:bCs/>
                <w:color w:val="FF0000"/>
                <w:sz w:val="21"/>
                <w:szCs w:val="21"/>
                <w:highlight w:val="yellow"/>
              </w:rPr>
              <w:t>货物免费保修期至少</w:t>
            </w:r>
            <w:r>
              <w:rPr>
                <w:rFonts w:hint="eastAsia" w:ascii="Times New Roman" w:hAnsi="Times New Roman" w:eastAsia="宋体"/>
                <w:b/>
                <w:bCs/>
                <w:color w:val="FF0000"/>
                <w:sz w:val="21"/>
                <w:szCs w:val="21"/>
                <w:highlight w:val="yellow"/>
                <w:u w:val="single"/>
              </w:rPr>
              <w:t xml:space="preserve">  3  </w:t>
            </w:r>
            <w:r>
              <w:rPr>
                <w:rFonts w:hint="eastAsia" w:ascii="Times New Roman" w:hAnsi="Times New Roman" w:eastAsia="宋体"/>
                <w:b/>
                <w:bCs/>
                <w:color w:val="FF0000"/>
                <w:sz w:val="21"/>
                <w:szCs w:val="21"/>
                <w:highlight w:val="yellow"/>
              </w:rPr>
              <w:t>年，时间自最终验收合格并交付使用之日起计算。</w:t>
            </w:r>
          </w:p>
        </w:tc>
        <w:tc>
          <w:tcPr>
            <w:tcW w:w="1809" w:type="dxa"/>
            <w:noWrap w:val="0"/>
            <w:vAlign w:val="top"/>
          </w:tcPr>
          <w:p>
            <w:pPr>
              <w:rPr>
                <w:rFonts w:hint="eastAsia" w:ascii="Times New Roman" w:hAnsi="Times New Roman" w:eastAsia="宋体" w:cs="宋体"/>
                <w:b/>
                <w:bCs/>
                <w:color w:val="FF0000"/>
                <w:sz w:val="21"/>
                <w:szCs w:val="21"/>
                <w:highlight w:val="yellow"/>
              </w:rPr>
            </w:pPr>
          </w:p>
        </w:tc>
        <w:tc>
          <w:tcPr>
            <w:tcW w:w="1315" w:type="dxa"/>
            <w:noWrap w:val="0"/>
            <w:vAlign w:val="top"/>
          </w:tcPr>
          <w:p>
            <w:pPr>
              <w:rPr>
                <w:rFonts w:hint="eastAsia" w:ascii="Times New Roman" w:hAnsi="Times New Roman" w:eastAsia="宋体" w:cs="宋体"/>
                <w:b/>
                <w:bCs/>
                <w:color w:val="FF0000"/>
                <w:sz w:val="21"/>
                <w:szCs w:val="21"/>
                <w:highlight w:val="yellow"/>
              </w:rPr>
            </w:pPr>
          </w:p>
        </w:tc>
        <w:tc>
          <w:tcPr>
            <w:tcW w:w="1315" w:type="dxa"/>
            <w:noWrap w:val="0"/>
            <w:vAlign w:val="top"/>
          </w:tcPr>
          <w:p>
            <w:pPr>
              <w:rPr>
                <w:rFonts w:hint="eastAsia" w:ascii="Times New Roman" w:hAnsi="Times New Roman" w:eastAsia="宋体" w:cs="宋体"/>
                <w:b/>
                <w:bCs/>
                <w:color w:val="FF0000"/>
                <w:sz w:val="21"/>
                <w:szCs w:val="21"/>
                <w:highlight w:val="yellow"/>
              </w:rPr>
            </w:pPr>
            <w:r>
              <w:rPr>
                <w:rFonts w:hint="eastAsia" w:ascii="宋体" w:hAnsi="宋体" w:cs="宋体"/>
                <w:b/>
                <w:bCs/>
                <w:color w:val="FF0000"/>
                <w:szCs w:val="21"/>
              </w:rPr>
              <w:t>本条为实质性条款，若为负偏离作投标无效处理。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37"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2</w:t>
            </w:r>
          </w:p>
        </w:tc>
        <w:tc>
          <w:tcPr>
            <w:tcW w:w="1172" w:type="dxa"/>
            <w:noWrap w:val="0"/>
            <w:vAlign w:val="top"/>
          </w:tcPr>
          <w:p>
            <w:pPr>
              <w:rPr>
                <w:rFonts w:ascii="Times New Roman" w:hAnsi="Times New Roman" w:eastAsia="宋体"/>
                <w:sz w:val="21"/>
              </w:rPr>
            </w:pPr>
            <w:r>
              <w:rPr>
                <w:rFonts w:hint="eastAsia" w:ascii="Times New Roman" w:hAnsi="Times New Roman" w:eastAsia="宋体"/>
                <w:sz w:val="21"/>
              </w:rPr>
              <w:t>维修响应及故障解决时间</w:t>
            </w:r>
          </w:p>
        </w:tc>
        <w:tc>
          <w:tcPr>
            <w:tcW w:w="3424" w:type="dxa"/>
            <w:noWrap w:val="0"/>
            <w:vAlign w:val="top"/>
          </w:tcPr>
          <w:p>
            <w:pPr>
              <w:rPr>
                <w:rFonts w:ascii="Times New Roman" w:hAnsi="Times New Roman" w:eastAsia="宋体"/>
                <w:b/>
                <w:sz w:val="21"/>
              </w:rPr>
            </w:pPr>
            <w:r>
              <w:rPr>
                <w:rFonts w:hint="eastAsia" w:ascii="Times New Roman" w:hAnsi="Times New Roman" w:eastAsia="宋体"/>
                <w:bCs/>
                <w:sz w:val="21"/>
                <w:szCs w:val="21"/>
              </w:rPr>
              <w:t>投标人承诺中标后，在保修期内，一旦发生质量问题，投标人保证在接到通知24小时内赶到现场进行修理或更换。</w:t>
            </w:r>
          </w:p>
        </w:tc>
        <w:tc>
          <w:tcPr>
            <w:tcW w:w="1809" w:type="dxa"/>
            <w:noWrap w:val="0"/>
            <w:vAlign w:val="top"/>
          </w:tcPr>
          <w:p>
            <w:pPr>
              <w:rPr>
                <w:rFonts w:hint="eastAsia" w:ascii="Times New Roman" w:hAnsi="Times New Roman" w:eastAsia="宋体"/>
                <w:bCs/>
                <w:sz w:val="21"/>
                <w:szCs w:val="21"/>
              </w:rPr>
            </w:pPr>
          </w:p>
        </w:tc>
        <w:tc>
          <w:tcPr>
            <w:tcW w:w="1315" w:type="dxa"/>
            <w:noWrap w:val="0"/>
            <w:vAlign w:val="top"/>
          </w:tcPr>
          <w:p>
            <w:pPr>
              <w:rPr>
                <w:rFonts w:hint="eastAsia" w:ascii="Times New Roman" w:hAnsi="Times New Roman" w:eastAsia="宋体"/>
                <w:bCs/>
                <w:sz w:val="21"/>
                <w:szCs w:val="21"/>
              </w:rPr>
            </w:pPr>
          </w:p>
        </w:tc>
        <w:tc>
          <w:tcPr>
            <w:tcW w:w="1315" w:type="dxa"/>
            <w:noWrap w:val="0"/>
            <w:vAlign w:val="top"/>
          </w:tcPr>
          <w:p>
            <w:pPr>
              <w:rPr>
                <w:rFonts w:hint="eastAsia"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37"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3</w:t>
            </w:r>
          </w:p>
        </w:tc>
        <w:tc>
          <w:tcPr>
            <w:tcW w:w="1172" w:type="dxa"/>
            <w:noWrap w:val="0"/>
            <w:vAlign w:val="center"/>
          </w:tcPr>
          <w:p>
            <w:pPr>
              <w:rPr>
                <w:rFonts w:ascii="Times New Roman" w:hAnsi="Times New Roman" w:eastAsia="宋体"/>
                <w:b/>
                <w:sz w:val="21"/>
              </w:rPr>
            </w:pPr>
            <w:r>
              <w:rPr>
                <w:rFonts w:hint="eastAsia" w:ascii="Times New Roman" w:hAnsi="Times New Roman" w:eastAsia="宋体"/>
                <w:sz w:val="21"/>
              </w:rPr>
              <w:t>其他</w:t>
            </w:r>
          </w:p>
        </w:tc>
        <w:tc>
          <w:tcPr>
            <w:tcW w:w="3424" w:type="dxa"/>
            <w:noWrap w:val="0"/>
            <w:vAlign w:val="center"/>
          </w:tcPr>
          <w:p>
            <w:pPr>
              <w:rPr>
                <w:rFonts w:ascii="Times New Roman" w:hAnsi="Times New Roman" w:eastAsia="宋体"/>
                <w:b/>
                <w:sz w:val="21"/>
              </w:rPr>
            </w:pPr>
            <w:r>
              <w:rPr>
                <w:rFonts w:hint="eastAsia" w:ascii="Times New Roman" w:hAnsi="Times New Roman" w:eastAsia="宋体"/>
                <w:bCs/>
                <w:sz w:val="21"/>
                <w:szCs w:val="21"/>
              </w:rPr>
              <w:t>投标人中标后，应按其投标文件中的承诺，进行其他售后服务工作。</w:t>
            </w:r>
          </w:p>
        </w:tc>
        <w:tc>
          <w:tcPr>
            <w:tcW w:w="1809" w:type="dxa"/>
            <w:noWrap w:val="0"/>
            <w:vAlign w:val="center"/>
          </w:tcPr>
          <w:p>
            <w:pPr>
              <w:rPr>
                <w:rFonts w:hint="eastAsia" w:ascii="Times New Roman" w:hAnsi="Times New Roman" w:eastAsia="宋体"/>
                <w:bCs/>
                <w:sz w:val="21"/>
                <w:szCs w:val="21"/>
              </w:rPr>
            </w:pPr>
          </w:p>
        </w:tc>
        <w:tc>
          <w:tcPr>
            <w:tcW w:w="1315" w:type="dxa"/>
            <w:noWrap w:val="0"/>
            <w:vAlign w:val="center"/>
          </w:tcPr>
          <w:p>
            <w:pPr>
              <w:rPr>
                <w:rFonts w:hint="eastAsia" w:ascii="Times New Roman" w:hAnsi="Times New Roman" w:eastAsia="宋体"/>
                <w:bCs/>
                <w:sz w:val="21"/>
                <w:szCs w:val="21"/>
              </w:rPr>
            </w:pPr>
          </w:p>
        </w:tc>
        <w:tc>
          <w:tcPr>
            <w:tcW w:w="1315" w:type="dxa"/>
            <w:noWrap w:val="0"/>
            <w:vAlign w:val="center"/>
          </w:tcPr>
          <w:p>
            <w:pPr>
              <w:rPr>
                <w:rFonts w:hint="eastAsia"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672" w:type="dxa"/>
            <w:gridSpan w:val="6"/>
            <w:noWrap w:val="0"/>
            <w:vAlign w:val="top"/>
          </w:tcPr>
          <w:p>
            <w:pPr>
              <w:rPr>
                <w:rFonts w:hint="eastAsia" w:ascii="Times New Roman" w:hAnsi="Times New Roman" w:eastAsia="宋体"/>
                <w:b/>
                <w:sz w:val="21"/>
              </w:rPr>
            </w:pPr>
            <w:r>
              <w:rPr>
                <w:rFonts w:hint="eastAsia" w:ascii="Times New Roman" w:hAnsi="Times New Roman" w:eastAsia="宋体"/>
                <w:b/>
                <w:sz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1</w:t>
            </w:r>
          </w:p>
        </w:tc>
        <w:tc>
          <w:tcPr>
            <w:tcW w:w="1172" w:type="dxa"/>
            <w:noWrap w:val="0"/>
            <w:vAlign w:val="top"/>
          </w:tcPr>
          <w:p>
            <w:pPr>
              <w:rPr>
                <w:rFonts w:ascii="Times New Roman" w:hAnsi="Times New Roman" w:eastAsia="宋体"/>
                <w:b/>
                <w:sz w:val="21"/>
              </w:rPr>
            </w:pPr>
            <w:r>
              <w:rPr>
                <w:rFonts w:hint="eastAsia" w:ascii="Times New Roman" w:hAnsi="Times New Roman" w:eastAsia="宋体"/>
                <w:bCs/>
                <w:sz w:val="21"/>
              </w:rPr>
              <w:t>响应时间</w:t>
            </w:r>
          </w:p>
        </w:tc>
        <w:tc>
          <w:tcPr>
            <w:tcW w:w="3424" w:type="dxa"/>
            <w:noWrap w:val="0"/>
            <w:vAlign w:val="top"/>
          </w:tcPr>
          <w:p>
            <w:pPr>
              <w:rPr>
                <w:rFonts w:ascii="Times New Roman" w:hAnsi="Times New Roman" w:eastAsia="宋体"/>
                <w:b/>
                <w:sz w:val="21"/>
              </w:rPr>
            </w:pPr>
            <w:r>
              <w:rPr>
                <w:rFonts w:hint="eastAsia" w:ascii="Times New Roman" w:hAnsi="Times New Roman" w:eastAsia="宋体" w:cs="宋体"/>
                <w:sz w:val="21"/>
              </w:rPr>
              <w:t>由生产厂家提供售后服务，</w:t>
            </w:r>
            <w:r>
              <w:rPr>
                <w:rFonts w:hint="eastAsia" w:ascii="Times New Roman" w:hAnsi="Times New Roman" w:eastAsia="宋体" w:cs="宋体"/>
                <w:kern w:val="0"/>
                <w:sz w:val="21"/>
                <w:u w:val="single"/>
              </w:rPr>
              <w:t xml:space="preserve"> 2 </w:t>
            </w:r>
            <w:r>
              <w:rPr>
                <w:rFonts w:hint="eastAsia" w:ascii="Times New Roman" w:hAnsi="Times New Roman" w:eastAsia="宋体" w:cs="宋体"/>
                <w:kern w:val="0"/>
                <w:sz w:val="21"/>
              </w:rPr>
              <w:t>小时内响应，</w:t>
            </w:r>
            <w:r>
              <w:rPr>
                <w:rFonts w:hint="eastAsia" w:ascii="Times New Roman" w:hAnsi="Times New Roman" w:eastAsia="宋体" w:cs="宋体"/>
                <w:kern w:val="0"/>
                <w:sz w:val="21"/>
                <w:u w:val="single"/>
              </w:rPr>
              <w:t xml:space="preserve"> 24 </w:t>
            </w:r>
            <w:r>
              <w:rPr>
                <w:rFonts w:hint="eastAsia" w:ascii="Times New Roman" w:hAnsi="Times New Roman" w:eastAsia="宋体" w:cs="宋体"/>
                <w:kern w:val="0"/>
                <w:sz w:val="21"/>
              </w:rPr>
              <w:t>小时内维修到位。</w:t>
            </w:r>
          </w:p>
        </w:tc>
        <w:tc>
          <w:tcPr>
            <w:tcW w:w="1809" w:type="dxa"/>
            <w:noWrap w:val="0"/>
            <w:vAlign w:val="top"/>
          </w:tcPr>
          <w:p>
            <w:pPr>
              <w:rPr>
                <w:rFonts w:hint="eastAsia" w:ascii="Times New Roman" w:hAnsi="Times New Roman" w:eastAsia="宋体" w:cs="宋体"/>
                <w:sz w:val="21"/>
              </w:rPr>
            </w:pPr>
          </w:p>
        </w:tc>
        <w:tc>
          <w:tcPr>
            <w:tcW w:w="1315" w:type="dxa"/>
            <w:noWrap w:val="0"/>
            <w:vAlign w:val="top"/>
          </w:tcPr>
          <w:p>
            <w:pPr>
              <w:rPr>
                <w:rFonts w:hint="eastAsia" w:ascii="Times New Roman" w:hAnsi="Times New Roman" w:eastAsia="宋体" w:cs="宋体"/>
                <w:sz w:val="21"/>
              </w:rPr>
            </w:pPr>
          </w:p>
        </w:tc>
        <w:tc>
          <w:tcPr>
            <w:tcW w:w="1315" w:type="dxa"/>
            <w:noWrap w:val="0"/>
            <w:vAlign w:val="top"/>
          </w:tcPr>
          <w:p>
            <w:pPr>
              <w:rPr>
                <w:rFonts w:hint="eastAsia" w:ascii="Times New Roman" w:hAnsi="Times New Roman"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noWrap w:val="0"/>
            <w:vAlign w:val="center"/>
          </w:tcPr>
          <w:p>
            <w:pPr>
              <w:jc w:val="center"/>
              <w:rPr>
                <w:rFonts w:ascii="Times New Roman" w:hAnsi="Times New Roman" w:eastAsia="宋体"/>
                <w:b/>
                <w:sz w:val="21"/>
              </w:rPr>
            </w:pPr>
            <w:r>
              <w:rPr>
                <w:rFonts w:hint="eastAsia" w:ascii="Times New Roman" w:hAnsi="Times New Roman" w:eastAsia="宋体"/>
                <w:b/>
                <w:sz w:val="21"/>
              </w:rPr>
              <w:t>2</w:t>
            </w:r>
          </w:p>
        </w:tc>
        <w:tc>
          <w:tcPr>
            <w:tcW w:w="1172" w:type="dxa"/>
            <w:noWrap w:val="0"/>
            <w:vAlign w:val="top"/>
          </w:tcPr>
          <w:p>
            <w:pPr>
              <w:rPr>
                <w:rFonts w:ascii="Times New Roman" w:hAnsi="Times New Roman" w:eastAsia="宋体"/>
                <w:b/>
                <w:sz w:val="21"/>
              </w:rPr>
            </w:pPr>
            <w:r>
              <w:rPr>
                <w:rFonts w:hint="eastAsia" w:ascii="Times New Roman" w:hAnsi="Times New Roman" w:eastAsia="宋体" w:cs="宋体"/>
                <w:bCs/>
                <w:kern w:val="0"/>
                <w:sz w:val="21"/>
              </w:rPr>
              <w:t>优惠价格</w:t>
            </w:r>
          </w:p>
        </w:tc>
        <w:tc>
          <w:tcPr>
            <w:tcW w:w="3424" w:type="dxa"/>
            <w:noWrap w:val="0"/>
            <w:vAlign w:val="top"/>
          </w:tcPr>
          <w:p>
            <w:pPr>
              <w:rPr>
                <w:rFonts w:ascii="Times New Roman" w:hAnsi="Times New Roman" w:eastAsia="宋体"/>
                <w:b/>
                <w:sz w:val="21"/>
              </w:rPr>
            </w:pPr>
            <w:r>
              <w:rPr>
                <w:rFonts w:hint="eastAsia" w:ascii="Times New Roman" w:hAnsi="Times New Roman" w:eastAsia="宋体" w:cs="宋体"/>
                <w:sz w:val="21"/>
              </w:rPr>
              <w:t>采购人可与投标人就优惠价进行谈判，但优惠价不会高于投标人在投标文件中承诺的</w:t>
            </w:r>
            <w:r>
              <w:rPr>
                <w:rFonts w:hint="eastAsia" w:ascii="Times New Roman" w:hAnsi="Times New Roman" w:eastAsia="宋体" w:cs="宋体"/>
                <w:kern w:val="0"/>
                <w:sz w:val="21"/>
              </w:rPr>
              <w:t>消耗品、零配件</w:t>
            </w:r>
            <w:r>
              <w:rPr>
                <w:rFonts w:hint="eastAsia" w:ascii="Times New Roman" w:hAnsi="Times New Roman" w:eastAsia="宋体" w:cs="宋体"/>
                <w:sz w:val="21"/>
              </w:rPr>
              <w:t>报价。</w:t>
            </w:r>
          </w:p>
        </w:tc>
        <w:tc>
          <w:tcPr>
            <w:tcW w:w="1809" w:type="dxa"/>
            <w:noWrap w:val="0"/>
            <w:vAlign w:val="top"/>
          </w:tcPr>
          <w:p>
            <w:pPr>
              <w:rPr>
                <w:rFonts w:hint="eastAsia" w:ascii="Times New Roman" w:hAnsi="Times New Roman" w:eastAsia="宋体" w:cs="宋体"/>
                <w:sz w:val="21"/>
              </w:rPr>
            </w:pPr>
          </w:p>
        </w:tc>
        <w:tc>
          <w:tcPr>
            <w:tcW w:w="1315" w:type="dxa"/>
            <w:noWrap w:val="0"/>
            <w:vAlign w:val="top"/>
          </w:tcPr>
          <w:p>
            <w:pPr>
              <w:rPr>
                <w:rFonts w:hint="eastAsia" w:ascii="Times New Roman" w:hAnsi="Times New Roman" w:eastAsia="宋体" w:cs="宋体"/>
                <w:sz w:val="21"/>
              </w:rPr>
            </w:pPr>
          </w:p>
        </w:tc>
        <w:tc>
          <w:tcPr>
            <w:tcW w:w="1315" w:type="dxa"/>
            <w:noWrap w:val="0"/>
            <w:vAlign w:val="top"/>
          </w:tcPr>
          <w:p>
            <w:pPr>
              <w:rPr>
                <w:rFonts w:hint="eastAsia" w:ascii="Times New Roman" w:hAnsi="Times New Roman"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noWrap w:val="0"/>
            <w:vAlign w:val="center"/>
          </w:tcPr>
          <w:p>
            <w:pPr>
              <w:jc w:val="center"/>
              <w:rPr>
                <w:rFonts w:hint="eastAsia" w:ascii="Times New Roman" w:hAnsi="Times New Roman" w:eastAsia="宋体"/>
                <w:b/>
                <w:sz w:val="21"/>
              </w:rPr>
            </w:pPr>
            <w:r>
              <w:rPr>
                <w:rFonts w:hint="eastAsia" w:ascii="Times New Roman" w:hAnsi="Times New Roman" w:eastAsia="宋体"/>
                <w:b/>
                <w:sz w:val="21"/>
              </w:rPr>
              <w:t>3</w:t>
            </w:r>
          </w:p>
        </w:tc>
        <w:tc>
          <w:tcPr>
            <w:tcW w:w="1172" w:type="dxa"/>
            <w:noWrap w:val="0"/>
            <w:vAlign w:val="top"/>
          </w:tcPr>
          <w:p>
            <w:pPr>
              <w:rPr>
                <w:rFonts w:ascii="Times New Roman" w:hAnsi="Times New Roman" w:eastAsia="宋体"/>
                <w:b/>
                <w:sz w:val="21"/>
              </w:rPr>
            </w:pPr>
            <w:r>
              <w:rPr>
                <w:rFonts w:hint="eastAsia" w:ascii="Times New Roman" w:hAnsi="Times New Roman" w:eastAsia="宋体"/>
                <w:sz w:val="21"/>
              </w:rPr>
              <w:t>终身维修支持</w:t>
            </w:r>
          </w:p>
        </w:tc>
        <w:tc>
          <w:tcPr>
            <w:tcW w:w="3424" w:type="dxa"/>
            <w:noWrap w:val="0"/>
            <w:vAlign w:val="top"/>
          </w:tcPr>
          <w:p>
            <w:pPr>
              <w:rPr>
                <w:rFonts w:ascii="Times New Roman" w:hAnsi="Times New Roman" w:eastAsia="宋体"/>
                <w:b/>
                <w:sz w:val="21"/>
              </w:rPr>
            </w:pPr>
            <w:r>
              <w:rPr>
                <w:rFonts w:hint="eastAsia" w:ascii="Times New Roman" w:hAnsi="Times New Roman" w:eastAsia="宋体" w:cs="宋体"/>
                <w:b/>
                <w:bCs/>
                <w:color w:val="FF0000"/>
                <w:sz w:val="21"/>
                <w:szCs w:val="21"/>
                <w:highlight w:val="yellow"/>
              </w:rPr>
              <w:t>★响应供应商承诺中标后，在产品整个使用期内，支持维修与零配件备件，并按成本价标准收取维修及零件费用。</w:t>
            </w:r>
          </w:p>
        </w:tc>
        <w:tc>
          <w:tcPr>
            <w:tcW w:w="1809" w:type="dxa"/>
            <w:noWrap w:val="0"/>
            <w:vAlign w:val="top"/>
          </w:tcPr>
          <w:p>
            <w:pPr>
              <w:rPr>
                <w:rFonts w:hint="eastAsia" w:ascii="Times New Roman" w:hAnsi="Times New Roman" w:eastAsia="宋体" w:cs="宋体"/>
                <w:b/>
                <w:bCs/>
                <w:color w:val="FF0000"/>
                <w:sz w:val="21"/>
                <w:szCs w:val="21"/>
                <w:highlight w:val="yellow"/>
              </w:rPr>
            </w:pPr>
          </w:p>
        </w:tc>
        <w:tc>
          <w:tcPr>
            <w:tcW w:w="1315" w:type="dxa"/>
            <w:noWrap w:val="0"/>
            <w:vAlign w:val="top"/>
          </w:tcPr>
          <w:p>
            <w:pPr>
              <w:rPr>
                <w:rFonts w:hint="eastAsia" w:ascii="Times New Roman" w:hAnsi="Times New Roman" w:eastAsia="宋体" w:cs="宋体"/>
                <w:b/>
                <w:bCs/>
                <w:color w:val="FF0000"/>
                <w:sz w:val="21"/>
                <w:szCs w:val="21"/>
                <w:highlight w:val="yellow"/>
              </w:rPr>
            </w:pPr>
          </w:p>
        </w:tc>
        <w:tc>
          <w:tcPr>
            <w:tcW w:w="1315" w:type="dxa"/>
            <w:noWrap w:val="0"/>
            <w:vAlign w:val="top"/>
          </w:tcPr>
          <w:p>
            <w:pPr>
              <w:rPr>
                <w:rFonts w:hint="eastAsia" w:ascii="Times New Roman" w:hAnsi="Times New Roman" w:eastAsia="宋体" w:cs="宋体"/>
                <w:b/>
                <w:bCs/>
                <w:color w:val="FF0000"/>
                <w:sz w:val="21"/>
                <w:szCs w:val="21"/>
                <w:highlight w:val="yellow"/>
              </w:rPr>
            </w:pPr>
            <w:r>
              <w:rPr>
                <w:rFonts w:hint="eastAsia" w:ascii="宋体" w:hAnsi="宋体" w:cs="宋体"/>
                <w:b/>
                <w:bCs/>
                <w:color w:val="FF0000"/>
                <w:szCs w:val="21"/>
              </w:rPr>
              <w:t>本条为实质性条款，若为负偏离作投标无效处理。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672" w:type="dxa"/>
            <w:gridSpan w:val="6"/>
            <w:noWrap w:val="0"/>
            <w:vAlign w:val="top"/>
          </w:tcPr>
          <w:p>
            <w:pPr>
              <w:rPr>
                <w:rFonts w:hint="eastAsia" w:ascii="Times New Roman" w:hAnsi="Times New Roman" w:eastAsia="宋体"/>
                <w:b/>
                <w:sz w:val="21"/>
              </w:rPr>
            </w:pPr>
            <w:r>
              <w:rPr>
                <w:rFonts w:hint="eastAsia" w:ascii="Times New Roman" w:hAnsi="Times New Roman" w:eastAsia="宋体"/>
                <w:b/>
                <w:sz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restart"/>
            <w:noWrap w:val="0"/>
            <w:vAlign w:val="center"/>
          </w:tcPr>
          <w:p>
            <w:pPr>
              <w:jc w:val="center"/>
              <w:rPr>
                <w:rFonts w:ascii="Times New Roman" w:hAnsi="Times New Roman" w:eastAsia="宋体"/>
                <w:b/>
                <w:sz w:val="21"/>
              </w:rPr>
            </w:pPr>
            <w:r>
              <w:rPr>
                <w:rFonts w:hint="eastAsia" w:ascii="Times New Roman" w:hAnsi="Times New Roman" w:eastAsia="宋体"/>
                <w:b/>
                <w:sz w:val="21"/>
              </w:rPr>
              <w:t>1</w:t>
            </w:r>
          </w:p>
        </w:tc>
        <w:tc>
          <w:tcPr>
            <w:tcW w:w="1172" w:type="dxa"/>
            <w:vMerge w:val="restart"/>
            <w:noWrap w:val="0"/>
            <w:vAlign w:val="center"/>
          </w:tcPr>
          <w:p>
            <w:pPr>
              <w:jc w:val="center"/>
              <w:rPr>
                <w:rFonts w:ascii="Times New Roman" w:hAnsi="Times New Roman" w:eastAsia="宋体"/>
                <w:sz w:val="21"/>
              </w:rPr>
            </w:pPr>
            <w:r>
              <w:rPr>
                <w:rFonts w:hint="eastAsia" w:ascii="Times New Roman" w:hAnsi="Times New Roman" w:eastAsia="宋体"/>
                <w:sz w:val="21"/>
              </w:rPr>
              <w:t>关于交货</w:t>
            </w:r>
          </w:p>
        </w:tc>
        <w:tc>
          <w:tcPr>
            <w:tcW w:w="3424" w:type="dxa"/>
            <w:noWrap w:val="0"/>
            <w:vAlign w:val="top"/>
          </w:tcPr>
          <w:p>
            <w:pPr>
              <w:rPr>
                <w:rFonts w:ascii="Times New Roman" w:hAnsi="Times New Roman" w:eastAsia="宋体"/>
                <w:b/>
                <w:sz w:val="21"/>
              </w:rPr>
            </w:pPr>
            <w:r>
              <w:rPr>
                <w:rFonts w:hint="eastAsia" w:ascii="Times New Roman" w:hAnsi="Times New Roman" w:eastAsia="宋体"/>
                <w:bCs/>
                <w:sz w:val="21"/>
                <w:szCs w:val="21"/>
              </w:rPr>
              <w:t>1.1</w:t>
            </w:r>
            <w:r>
              <w:rPr>
                <w:rFonts w:hint="eastAsia" w:ascii="Times New Roman" w:hAnsi="Times New Roman" w:eastAsia="宋体" w:cs="宋体"/>
                <w:b/>
                <w:bCs/>
                <w:color w:val="FF0000"/>
                <w:sz w:val="21"/>
                <w:szCs w:val="21"/>
                <w:highlight w:val="yellow"/>
              </w:rPr>
              <w:t>★签订合同后    30    天（日历日）内。</w:t>
            </w:r>
          </w:p>
        </w:tc>
        <w:tc>
          <w:tcPr>
            <w:tcW w:w="1809" w:type="dxa"/>
            <w:noWrap w:val="0"/>
            <w:vAlign w:val="top"/>
          </w:tcPr>
          <w:p>
            <w:pPr>
              <w:rPr>
                <w:rFonts w:hint="eastAsia" w:ascii="Times New Roman" w:hAnsi="Times New Roman" w:eastAsia="宋体"/>
                <w:bCs/>
                <w:sz w:val="21"/>
                <w:szCs w:val="21"/>
              </w:rPr>
            </w:pPr>
          </w:p>
        </w:tc>
        <w:tc>
          <w:tcPr>
            <w:tcW w:w="1315" w:type="dxa"/>
            <w:noWrap w:val="0"/>
            <w:vAlign w:val="top"/>
          </w:tcPr>
          <w:p>
            <w:pPr>
              <w:rPr>
                <w:rFonts w:hint="eastAsia" w:ascii="Times New Roman" w:hAnsi="Times New Roman" w:eastAsia="宋体"/>
                <w:bCs/>
                <w:sz w:val="21"/>
                <w:szCs w:val="21"/>
              </w:rPr>
            </w:pPr>
          </w:p>
        </w:tc>
        <w:tc>
          <w:tcPr>
            <w:tcW w:w="1315" w:type="dxa"/>
            <w:noWrap w:val="0"/>
            <w:vAlign w:val="top"/>
          </w:tcPr>
          <w:p>
            <w:pPr>
              <w:rPr>
                <w:rFonts w:hint="eastAsia" w:ascii="Times New Roman" w:hAnsi="Times New Roman" w:eastAsia="宋体"/>
                <w:bCs/>
                <w:sz w:val="21"/>
                <w:szCs w:val="21"/>
              </w:rPr>
            </w:pPr>
            <w:r>
              <w:rPr>
                <w:rFonts w:hint="eastAsia" w:ascii="宋体" w:hAnsi="宋体" w:cs="宋体"/>
                <w:b/>
                <w:bCs/>
                <w:color w:val="FF0000"/>
                <w:szCs w:val="21"/>
              </w:rPr>
              <w:t>本条为实质性条款，若为负偏离作投标无效处理。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7" w:type="dxa"/>
            <w:vMerge w:val="continue"/>
            <w:noWrap w:val="0"/>
            <w:vAlign w:val="center"/>
          </w:tcPr>
          <w:p>
            <w:pPr>
              <w:jc w:val="center"/>
              <w:rPr>
                <w:rFonts w:ascii="Times New Roman" w:hAnsi="Times New Roman" w:eastAsia="宋体"/>
                <w:b/>
                <w:sz w:val="21"/>
              </w:rPr>
            </w:pPr>
          </w:p>
        </w:tc>
        <w:tc>
          <w:tcPr>
            <w:tcW w:w="1172" w:type="dxa"/>
            <w:vMerge w:val="continue"/>
            <w:noWrap w:val="0"/>
            <w:vAlign w:val="center"/>
          </w:tcPr>
          <w:p>
            <w:pPr>
              <w:jc w:val="center"/>
              <w:rPr>
                <w:rFonts w:ascii="Times New Roman" w:hAnsi="Times New Roman" w:eastAsia="宋体"/>
                <w:sz w:val="21"/>
              </w:rPr>
            </w:pPr>
          </w:p>
        </w:tc>
        <w:tc>
          <w:tcPr>
            <w:tcW w:w="3424" w:type="dxa"/>
            <w:noWrap w:val="0"/>
            <w:vAlign w:val="top"/>
          </w:tcPr>
          <w:p>
            <w:pPr>
              <w:rPr>
                <w:rFonts w:ascii="Times New Roman" w:hAnsi="Times New Roman" w:eastAsia="宋体"/>
                <w:bCs/>
                <w:sz w:val="21"/>
                <w:szCs w:val="21"/>
              </w:rPr>
            </w:pPr>
            <w:r>
              <w:rPr>
                <w:rFonts w:hint="eastAsia" w:ascii="Times New Roman" w:hAnsi="Times New Roman" w:eastAsia="宋体"/>
                <w:bCs/>
                <w:sz w:val="21"/>
                <w:szCs w:val="21"/>
              </w:rPr>
              <w:t>1.2投标人中标后，必须承担设备运输、安装调试、验收检测和提供设备操作说明书、图纸等其他类似的义务。</w:t>
            </w:r>
          </w:p>
        </w:tc>
        <w:tc>
          <w:tcPr>
            <w:tcW w:w="1809" w:type="dxa"/>
            <w:noWrap w:val="0"/>
            <w:vAlign w:val="top"/>
          </w:tcPr>
          <w:p>
            <w:pPr>
              <w:rPr>
                <w:rFonts w:hint="eastAsia" w:ascii="Times New Roman" w:hAnsi="Times New Roman" w:eastAsia="宋体"/>
                <w:bCs/>
                <w:sz w:val="21"/>
                <w:szCs w:val="21"/>
              </w:rPr>
            </w:pPr>
          </w:p>
        </w:tc>
        <w:tc>
          <w:tcPr>
            <w:tcW w:w="1315" w:type="dxa"/>
            <w:noWrap w:val="0"/>
            <w:vAlign w:val="top"/>
          </w:tcPr>
          <w:p>
            <w:pPr>
              <w:rPr>
                <w:rFonts w:hint="eastAsia" w:ascii="Times New Roman" w:hAnsi="Times New Roman" w:eastAsia="宋体"/>
                <w:bCs/>
                <w:sz w:val="21"/>
                <w:szCs w:val="21"/>
              </w:rPr>
            </w:pPr>
          </w:p>
        </w:tc>
        <w:tc>
          <w:tcPr>
            <w:tcW w:w="1315" w:type="dxa"/>
            <w:noWrap w:val="0"/>
            <w:vAlign w:val="top"/>
          </w:tcPr>
          <w:p>
            <w:pPr>
              <w:rPr>
                <w:rFonts w:hint="eastAsia"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restart"/>
            <w:noWrap w:val="0"/>
            <w:vAlign w:val="center"/>
          </w:tcPr>
          <w:p>
            <w:pPr>
              <w:jc w:val="center"/>
              <w:rPr>
                <w:rFonts w:ascii="Times New Roman" w:hAnsi="Times New Roman" w:eastAsia="宋体"/>
                <w:b/>
                <w:sz w:val="21"/>
              </w:rPr>
            </w:pPr>
            <w:r>
              <w:rPr>
                <w:rFonts w:hint="eastAsia" w:ascii="Times New Roman" w:hAnsi="Times New Roman" w:eastAsia="宋体"/>
                <w:b/>
                <w:sz w:val="21"/>
              </w:rPr>
              <w:t>2</w:t>
            </w:r>
          </w:p>
        </w:tc>
        <w:tc>
          <w:tcPr>
            <w:tcW w:w="1172" w:type="dxa"/>
            <w:vMerge w:val="restart"/>
            <w:noWrap w:val="0"/>
            <w:vAlign w:val="center"/>
          </w:tcPr>
          <w:p>
            <w:pPr>
              <w:jc w:val="center"/>
              <w:rPr>
                <w:rFonts w:ascii="Times New Roman" w:hAnsi="Times New Roman" w:eastAsia="宋体"/>
                <w:sz w:val="21"/>
              </w:rPr>
            </w:pPr>
            <w:r>
              <w:rPr>
                <w:rFonts w:hint="eastAsia" w:ascii="Times New Roman" w:hAnsi="Times New Roman" w:eastAsia="宋体"/>
                <w:sz w:val="21"/>
              </w:rPr>
              <w:t>关于验收</w:t>
            </w:r>
          </w:p>
        </w:tc>
        <w:tc>
          <w:tcPr>
            <w:tcW w:w="3424" w:type="dxa"/>
            <w:noWrap w:val="0"/>
            <w:vAlign w:val="top"/>
          </w:tcPr>
          <w:p>
            <w:pPr>
              <w:spacing w:line="340" w:lineRule="exact"/>
              <w:rPr>
                <w:rFonts w:ascii="Times New Roman" w:hAnsi="Times New Roman" w:eastAsia="宋体"/>
                <w:bCs/>
                <w:sz w:val="21"/>
                <w:szCs w:val="21"/>
              </w:rPr>
            </w:pPr>
            <w:r>
              <w:rPr>
                <w:rFonts w:hint="eastAsia" w:ascii="Times New Roman" w:hAnsi="Times New Roman" w:eastAsia="宋体"/>
                <w:bCs/>
                <w:sz w:val="21"/>
                <w:szCs w:val="21"/>
              </w:rPr>
              <w:t>2.1投标人中标后，其货物经过双方检验认可后，签署验收报告，产品保修期自验收合格之日起算，由投标人提供产品保修文件。</w:t>
            </w:r>
          </w:p>
        </w:tc>
        <w:tc>
          <w:tcPr>
            <w:tcW w:w="1809" w:type="dxa"/>
            <w:noWrap w:val="0"/>
            <w:vAlign w:val="top"/>
          </w:tcPr>
          <w:p>
            <w:pPr>
              <w:spacing w:line="340" w:lineRule="exact"/>
              <w:rPr>
                <w:rFonts w:hint="eastAsia" w:ascii="Times New Roman" w:hAnsi="Times New Roman" w:eastAsia="宋体"/>
                <w:bCs/>
                <w:sz w:val="21"/>
                <w:szCs w:val="21"/>
              </w:rPr>
            </w:pPr>
          </w:p>
        </w:tc>
        <w:tc>
          <w:tcPr>
            <w:tcW w:w="1315" w:type="dxa"/>
            <w:noWrap w:val="0"/>
            <w:vAlign w:val="top"/>
          </w:tcPr>
          <w:p>
            <w:pPr>
              <w:spacing w:line="340" w:lineRule="exact"/>
              <w:rPr>
                <w:rFonts w:hint="eastAsia" w:ascii="Times New Roman" w:hAnsi="Times New Roman" w:eastAsia="宋体"/>
                <w:bCs/>
                <w:sz w:val="21"/>
                <w:szCs w:val="21"/>
              </w:rPr>
            </w:pPr>
          </w:p>
        </w:tc>
        <w:tc>
          <w:tcPr>
            <w:tcW w:w="1315" w:type="dxa"/>
            <w:noWrap w:val="0"/>
            <w:vAlign w:val="top"/>
          </w:tcPr>
          <w:p>
            <w:pPr>
              <w:spacing w:line="340" w:lineRule="exact"/>
              <w:rPr>
                <w:rFonts w:hint="eastAsia"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continue"/>
            <w:noWrap w:val="0"/>
            <w:vAlign w:val="center"/>
          </w:tcPr>
          <w:p>
            <w:pPr>
              <w:jc w:val="center"/>
              <w:rPr>
                <w:rFonts w:ascii="Times New Roman" w:hAnsi="Times New Roman" w:eastAsia="宋体"/>
                <w:b/>
                <w:sz w:val="21"/>
              </w:rPr>
            </w:pPr>
          </w:p>
        </w:tc>
        <w:tc>
          <w:tcPr>
            <w:tcW w:w="1172" w:type="dxa"/>
            <w:vMerge w:val="continue"/>
            <w:noWrap w:val="0"/>
            <w:vAlign w:val="top"/>
          </w:tcPr>
          <w:p>
            <w:pPr>
              <w:rPr>
                <w:rFonts w:ascii="Times New Roman" w:hAnsi="Times New Roman" w:eastAsia="宋体"/>
                <w:b/>
                <w:sz w:val="21"/>
              </w:rPr>
            </w:pPr>
          </w:p>
        </w:tc>
        <w:tc>
          <w:tcPr>
            <w:tcW w:w="3424" w:type="dxa"/>
            <w:noWrap w:val="0"/>
            <w:vAlign w:val="top"/>
          </w:tcPr>
          <w:p>
            <w:pPr>
              <w:spacing w:line="340" w:lineRule="exact"/>
              <w:rPr>
                <w:rFonts w:ascii="Times New Roman" w:hAnsi="Times New Roman" w:eastAsia="宋体"/>
                <w:bCs/>
                <w:sz w:val="21"/>
                <w:szCs w:val="21"/>
              </w:rPr>
            </w:pPr>
            <w:r>
              <w:rPr>
                <w:rFonts w:hint="eastAsia" w:ascii="Times New Roman" w:hAnsi="Times New Roman" w:eastAsia="宋体"/>
                <w:bCs/>
                <w:sz w:val="21"/>
                <w:szCs w:val="21"/>
              </w:rPr>
              <w:t>2.2投标人中标后，当满足以下条件时，采购人才向投标人签发货物验收报告：</w:t>
            </w:r>
          </w:p>
          <w:p>
            <w:pPr>
              <w:tabs>
                <w:tab w:val="left" w:pos="1260"/>
              </w:tabs>
              <w:spacing w:line="340" w:lineRule="exact"/>
              <w:rPr>
                <w:rFonts w:ascii="Times New Roman" w:hAnsi="Times New Roman" w:eastAsia="宋体"/>
                <w:bCs/>
                <w:sz w:val="21"/>
                <w:szCs w:val="21"/>
              </w:rPr>
            </w:pPr>
            <w:r>
              <w:rPr>
                <w:rFonts w:ascii="Times New Roman" w:hAnsi="Times New Roman" w:eastAsia="宋体"/>
                <w:bCs/>
                <w:sz w:val="21"/>
                <w:szCs w:val="21"/>
              </w:rPr>
              <w:t>a</w:t>
            </w:r>
            <w:r>
              <w:rPr>
                <w:rFonts w:hint="eastAsia" w:ascii="Times New Roman" w:hAnsi="Times New Roman" w:eastAsia="宋体"/>
                <w:bCs/>
                <w:sz w:val="21"/>
                <w:szCs w:val="21"/>
              </w:rPr>
              <w:t>、投标人已按照合同规定提供了全部产品及完整的技术资料。</w:t>
            </w:r>
          </w:p>
          <w:p>
            <w:pPr>
              <w:tabs>
                <w:tab w:val="left" w:pos="1260"/>
              </w:tabs>
              <w:spacing w:line="340" w:lineRule="exact"/>
              <w:rPr>
                <w:rFonts w:ascii="Times New Roman" w:hAnsi="Times New Roman" w:eastAsia="宋体"/>
                <w:bCs/>
                <w:sz w:val="21"/>
                <w:szCs w:val="21"/>
              </w:rPr>
            </w:pPr>
            <w:r>
              <w:rPr>
                <w:rFonts w:ascii="Times New Roman" w:hAnsi="Times New Roman" w:eastAsia="宋体"/>
                <w:bCs/>
                <w:sz w:val="21"/>
                <w:szCs w:val="21"/>
              </w:rPr>
              <w:t>b</w:t>
            </w:r>
            <w:r>
              <w:rPr>
                <w:rFonts w:hint="eastAsia" w:ascii="Times New Roman" w:hAnsi="Times New Roman" w:eastAsia="宋体"/>
                <w:bCs/>
                <w:sz w:val="21"/>
                <w:szCs w:val="21"/>
              </w:rPr>
              <w:t>、货物符合采购文件技术规格书的要求，性能满足要求。</w:t>
            </w:r>
          </w:p>
          <w:p>
            <w:pPr>
              <w:tabs>
                <w:tab w:val="left" w:pos="1260"/>
              </w:tabs>
              <w:spacing w:line="340" w:lineRule="exact"/>
              <w:rPr>
                <w:rFonts w:ascii="Times New Roman" w:hAnsi="Times New Roman" w:eastAsia="宋体"/>
                <w:bCs/>
                <w:sz w:val="21"/>
                <w:szCs w:val="21"/>
              </w:rPr>
            </w:pPr>
            <w:r>
              <w:rPr>
                <w:rFonts w:ascii="Times New Roman" w:hAnsi="Times New Roman" w:eastAsia="宋体"/>
                <w:bCs/>
                <w:sz w:val="21"/>
                <w:szCs w:val="21"/>
              </w:rPr>
              <w:t>c</w:t>
            </w:r>
            <w:r>
              <w:rPr>
                <w:rFonts w:hint="eastAsia" w:ascii="Times New Roman" w:hAnsi="Times New Roman" w:eastAsia="宋体"/>
                <w:bCs/>
                <w:sz w:val="21"/>
                <w:szCs w:val="21"/>
              </w:rPr>
              <w:t>、货物具备产品合格证。</w:t>
            </w:r>
          </w:p>
        </w:tc>
        <w:tc>
          <w:tcPr>
            <w:tcW w:w="1809" w:type="dxa"/>
            <w:noWrap w:val="0"/>
            <w:vAlign w:val="top"/>
          </w:tcPr>
          <w:p>
            <w:pPr>
              <w:tabs>
                <w:tab w:val="left" w:pos="1260"/>
              </w:tabs>
              <w:spacing w:line="340" w:lineRule="exact"/>
              <w:rPr>
                <w:rFonts w:ascii="Times New Roman" w:hAnsi="Times New Roman" w:eastAsia="宋体"/>
                <w:bCs/>
                <w:sz w:val="21"/>
                <w:szCs w:val="21"/>
              </w:rPr>
            </w:pPr>
          </w:p>
        </w:tc>
        <w:tc>
          <w:tcPr>
            <w:tcW w:w="1315" w:type="dxa"/>
            <w:noWrap w:val="0"/>
            <w:vAlign w:val="top"/>
          </w:tcPr>
          <w:p>
            <w:pPr>
              <w:tabs>
                <w:tab w:val="left" w:pos="1260"/>
              </w:tabs>
              <w:spacing w:line="340" w:lineRule="exact"/>
              <w:rPr>
                <w:rFonts w:ascii="Times New Roman" w:hAnsi="Times New Roman" w:eastAsia="宋体"/>
                <w:bCs/>
                <w:sz w:val="21"/>
                <w:szCs w:val="21"/>
              </w:rPr>
            </w:pPr>
          </w:p>
        </w:tc>
        <w:tc>
          <w:tcPr>
            <w:tcW w:w="1315" w:type="dxa"/>
            <w:noWrap w:val="0"/>
            <w:vAlign w:val="top"/>
          </w:tcPr>
          <w:p>
            <w:pPr>
              <w:tabs>
                <w:tab w:val="left" w:pos="1260"/>
              </w:tabs>
              <w:spacing w:line="340" w:lineRule="exact"/>
              <w:rPr>
                <w:rFonts w:ascii="Times New Roman" w:hAnsi="Times New Roman" w:eastAsia="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restart"/>
            <w:noWrap w:val="0"/>
            <w:vAlign w:val="center"/>
          </w:tcPr>
          <w:p>
            <w:pPr>
              <w:jc w:val="center"/>
              <w:rPr>
                <w:rFonts w:hint="eastAsia" w:ascii="Times New Roman" w:hAnsi="Times New Roman" w:eastAsia="宋体"/>
                <w:bCs/>
                <w:sz w:val="21"/>
              </w:rPr>
            </w:pPr>
            <w:r>
              <w:rPr>
                <w:rFonts w:hint="eastAsia" w:ascii="Times New Roman" w:hAnsi="Times New Roman" w:eastAsia="宋体"/>
                <w:bCs/>
                <w:sz w:val="21"/>
              </w:rPr>
              <w:t>3</w:t>
            </w:r>
          </w:p>
        </w:tc>
        <w:tc>
          <w:tcPr>
            <w:tcW w:w="1172" w:type="dxa"/>
            <w:vMerge w:val="restart"/>
            <w:noWrap w:val="0"/>
            <w:vAlign w:val="center"/>
          </w:tcPr>
          <w:p>
            <w:pPr>
              <w:jc w:val="center"/>
              <w:rPr>
                <w:rFonts w:hint="eastAsia" w:ascii="Times New Roman" w:hAnsi="Times New Roman" w:eastAsia="宋体"/>
                <w:bCs/>
                <w:sz w:val="21"/>
              </w:rPr>
            </w:pPr>
            <w:r>
              <w:rPr>
                <w:rFonts w:hint="eastAsia" w:ascii="Times New Roman" w:hAnsi="Times New Roman" w:eastAsia="宋体"/>
                <w:bCs/>
                <w:sz w:val="21"/>
              </w:rPr>
              <w:t>违约责任</w:t>
            </w:r>
          </w:p>
        </w:tc>
        <w:tc>
          <w:tcPr>
            <w:tcW w:w="342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sz w:val="21"/>
              </w:rPr>
              <w:t>3.1如</w:t>
            </w:r>
            <w:r>
              <w:rPr>
                <w:rFonts w:hint="eastAsia" w:ascii="Times New Roman" w:hAnsi="Times New Roman" w:eastAsia="宋体"/>
                <w:bCs/>
                <w:sz w:val="21"/>
                <w:szCs w:val="21"/>
              </w:rPr>
              <w:t>投标人中标后</w:t>
            </w:r>
            <w:r>
              <w:rPr>
                <w:rFonts w:hint="eastAsia" w:ascii="Times New Roman" w:hAnsi="Times New Roman" w:eastAsia="宋体"/>
                <w:sz w:val="21"/>
              </w:rPr>
              <w:t>未按照投标文件中承诺的时间交货或提供服务，</w:t>
            </w:r>
            <w:r>
              <w:rPr>
                <w:rFonts w:hint="eastAsia" w:ascii="Times New Roman" w:hAnsi="Times New Roman" w:eastAsia="宋体"/>
                <w:bCs/>
                <w:sz w:val="21"/>
                <w:szCs w:val="21"/>
              </w:rPr>
              <w:t>投标人</w:t>
            </w:r>
            <w:r>
              <w:rPr>
                <w:rFonts w:hint="eastAsia" w:ascii="Times New Roman" w:hAnsi="Times New Roman" w:eastAsia="宋体"/>
                <w:sz w:val="21"/>
              </w:rPr>
              <w:t>应承担延期交货和延期服务的违约责任，并赔偿采购人因此造成的实际经济损失，采购人有权终止合同。</w:t>
            </w:r>
          </w:p>
        </w:tc>
        <w:tc>
          <w:tcPr>
            <w:tcW w:w="1809" w:type="dxa"/>
            <w:noWrap w:val="0"/>
            <w:vAlign w:val="top"/>
          </w:tcPr>
          <w:p>
            <w:pPr>
              <w:spacing w:line="340" w:lineRule="exact"/>
              <w:rPr>
                <w:rFonts w:hint="eastAsia" w:ascii="Times New Roman" w:hAnsi="Times New Roman" w:eastAsia="宋体"/>
                <w:sz w:val="21"/>
              </w:rPr>
            </w:pPr>
          </w:p>
        </w:tc>
        <w:tc>
          <w:tcPr>
            <w:tcW w:w="1315" w:type="dxa"/>
            <w:noWrap w:val="0"/>
            <w:vAlign w:val="top"/>
          </w:tcPr>
          <w:p>
            <w:pPr>
              <w:spacing w:line="340" w:lineRule="exact"/>
              <w:rPr>
                <w:rFonts w:hint="eastAsia" w:ascii="Times New Roman" w:hAnsi="Times New Roman" w:eastAsia="宋体"/>
                <w:sz w:val="21"/>
              </w:rPr>
            </w:pPr>
          </w:p>
        </w:tc>
        <w:tc>
          <w:tcPr>
            <w:tcW w:w="1315" w:type="dxa"/>
            <w:noWrap w:val="0"/>
            <w:vAlign w:val="top"/>
          </w:tcPr>
          <w:p>
            <w:pPr>
              <w:spacing w:line="340" w:lineRule="exact"/>
              <w:rPr>
                <w:rFonts w:hint="eastAsia" w:ascii="Times New Roman" w:hAnsi="Times New Roman"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continue"/>
            <w:noWrap w:val="0"/>
            <w:vAlign w:val="center"/>
          </w:tcPr>
          <w:p>
            <w:pPr>
              <w:jc w:val="center"/>
              <w:rPr>
                <w:rFonts w:hint="eastAsia" w:ascii="Times New Roman" w:hAnsi="Times New Roman" w:eastAsia="宋体"/>
                <w:bCs/>
                <w:sz w:val="21"/>
              </w:rPr>
            </w:pPr>
          </w:p>
        </w:tc>
        <w:tc>
          <w:tcPr>
            <w:tcW w:w="1172" w:type="dxa"/>
            <w:vMerge w:val="continue"/>
            <w:noWrap w:val="0"/>
            <w:vAlign w:val="center"/>
          </w:tcPr>
          <w:p>
            <w:pPr>
              <w:jc w:val="center"/>
              <w:rPr>
                <w:rFonts w:hint="eastAsia" w:ascii="Times New Roman" w:hAnsi="Times New Roman" w:eastAsia="宋体"/>
                <w:bCs/>
                <w:sz w:val="21"/>
              </w:rPr>
            </w:pPr>
          </w:p>
        </w:tc>
        <w:tc>
          <w:tcPr>
            <w:tcW w:w="342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cs="宋体"/>
                <w:bCs/>
                <w:sz w:val="21"/>
                <w:szCs w:val="21"/>
              </w:rPr>
              <w:t>3.2</w:t>
            </w:r>
            <w:r>
              <w:rPr>
                <w:rFonts w:hint="eastAsia" w:ascii="Times New Roman" w:hAnsi="Times New Roman" w:eastAsia="宋体"/>
                <w:bCs/>
                <w:sz w:val="21"/>
                <w:szCs w:val="21"/>
              </w:rPr>
              <w:t>投标人中标后</w:t>
            </w:r>
            <w:r>
              <w:rPr>
                <w:rFonts w:hint="eastAsia" w:ascii="Times New Roman" w:hAnsi="Times New Roman" w:eastAsia="宋体" w:cs="宋体"/>
                <w:bCs/>
                <w:sz w:val="21"/>
                <w:szCs w:val="21"/>
              </w:rPr>
              <w:t>所交设备的品种、型号、规格、质量、功能、技术参数等方面不能实质性满足采购文件要求的，采购人有权拒绝收货，</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 xml:space="preserve">向采购人偿付项目采购金额【20】% 的违约金并采取更换、补足等补救措施，致使逾期交付的，还应承担逾期交付的违约责任。 </w:t>
            </w:r>
          </w:p>
        </w:tc>
        <w:tc>
          <w:tcPr>
            <w:tcW w:w="1809" w:type="dxa"/>
            <w:noWrap w:val="0"/>
            <w:vAlign w:val="top"/>
          </w:tcPr>
          <w:p>
            <w:pPr>
              <w:spacing w:line="340" w:lineRule="exact"/>
              <w:rPr>
                <w:rFonts w:hint="eastAsia" w:ascii="Times New Roman" w:hAnsi="Times New Roman" w:eastAsia="宋体" w:cs="宋体"/>
                <w:bCs/>
                <w:sz w:val="21"/>
                <w:szCs w:val="21"/>
              </w:rPr>
            </w:pPr>
          </w:p>
        </w:tc>
        <w:tc>
          <w:tcPr>
            <w:tcW w:w="1315" w:type="dxa"/>
            <w:noWrap w:val="0"/>
            <w:vAlign w:val="top"/>
          </w:tcPr>
          <w:p>
            <w:pPr>
              <w:spacing w:line="340" w:lineRule="exact"/>
              <w:rPr>
                <w:rFonts w:hint="eastAsia" w:ascii="Times New Roman" w:hAnsi="Times New Roman" w:eastAsia="宋体" w:cs="宋体"/>
                <w:bCs/>
                <w:sz w:val="21"/>
                <w:szCs w:val="21"/>
              </w:rPr>
            </w:pPr>
          </w:p>
        </w:tc>
        <w:tc>
          <w:tcPr>
            <w:tcW w:w="1315" w:type="dxa"/>
            <w:noWrap w:val="0"/>
            <w:vAlign w:val="top"/>
          </w:tcPr>
          <w:p>
            <w:pPr>
              <w:spacing w:line="340" w:lineRule="exact"/>
              <w:rPr>
                <w:rFonts w:hint="eastAsia" w:ascii="Times New Roman" w:hAnsi="Times New Roman"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continue"/>
            <w:noWrap w:val="0"/>
            <w:vAlign w:val="center"/>
          </w:tcPr>
          <w:p>
            <w:pPr>
              <w:jc w:val="center"/>
              <w:rPr>
                <w:rFonts w:hint="eastAsia" w:ascii="Times New Roman" w:hAnsi="Times New Roman" w:eastAsia="宋体"/>
                <w:bCs/>
                <w:sz w:val="21"/>
              </w:rPr>
            </w:pPr>
          </w:p>
        </w:tc>
        <w:tc>
          <w:tcPr>
            <w:tcW w:w="1172" w:type="dxa"/>
            <w:vMerge w:val="continue"/>
            <w:noWrap w:val="0"/>
            <w:vAlign w:val="center"/>
          </w:tcPr>
          <w:p>
            <w:pPr>
              <w:jc w:val="center"/>
              <w:rPr>
                <w:rFonts w:hint="eastAsia" w:ascii="Times New Roman" w:hAnsi="Times New Roman" w:eastAsia="宋体"/>
                <w:bCs/>
                <w:sz w:val="21"/>
              </w:rPr>
            </w:pPr>
          </w:p>
        </w:tc>
        <w:tc>
          <w:tcPr>
            <w:tcW w:w="342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cs="宋体"/>
                <w:bCs/>
                <w:sz w:val="21"/>
                <w:szCs w:val="21"/>
              </w:rPr>
              <w:t>3.3</w:t>
            </w:r>
            <w:r>
              <w:rPr>
                <w:rFonts w:hint="eastAsia" w:ascii="Times New Roman" w:hAnsi="Times New Roman" w:eastAsia="宋体"/>
                <w:bCs/>
                <w:sz w:val="21"/>
                <w:szCs w:val="21"/>
              </w:rPr>
              <w:t>投标人中标后</w:t>
            </w:r>
            <w:r>
              <w:rPr>
                <w:rFonts w:hint="eastAsia" w:ascii="Times New Roman" w:hAnsi="Times New Roman" w:eastAsia="宋体" w:cs="宋体"/>
                <w:bCs/>
                <w:sz w:val="21"/>
                <w:szCs w:val="21"/>
              </w:rPr>
              <w:t>不能交付设备的，</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向采购人偿付项目采购金额【20】%的违约金。</w:t>
            </w:r>
          </w:p>
        </w:tc>
        <w:tc>
          <w:tcPr>
            <w:tcW w:w="1809" w:type="dxa"/>
            <w:noWrap w:val="0"/>
            <w:vAlign w:val="top"/>
          </w:tcPr>
          <w:p>
            <w:pPr>
              <w:spacing w:line="340" w:lineRule="exact"/>
              <w:rPr>
                <w:rFonts w:hint="eastAsia" w:ascii="Times New Roman" w:hAnsi="Times New Roman" w:eastAsia="宋体" w:cs="宋体"/>
                <w:bCs/>
                <w:sz w:val="21"/>
                <w:szCs w:val="21"/>
              </w:rPr>
            </w:pPr>
          </w:p>
        </w:tc>
        <w:tc>
          <w:tcPr>
            <w:tcW w:w="1315" w:type="dxa"/>
            <w:noWrap w:val="0"/>
            <w:vAlign w:val="top"/>
          </w:tcPr>
          <w:p>
            <w:pPr>
              <w:spacing w:line="340" w:lineRule="exact"/>
              <w:rPr>
                <w:rFonts w:hint="eastAsia" w:ascii="Times New Roman" w:hAnsi="Times New Roman" w:eastAsia="宋体" w:cs="宋体"/>
                <w:bCs/>
                <w:sz w:val="21"/>
                <w:szCs w:val="21"/>
              </w:rPr>
            </w:pPr>
          </w:p>
        </w:tc>
        <w:tc>
          <w:tcPr>
            <w:tcW w:w="1315" w:type="dxa"/>
            <w:noWrap w:val="0"/>
            <w:vAlign w:val="top"/>
          </w:tcPr>
          <w:p>
            <w:pPr>
              <w:spacing w:line="340" w:lineRule="exact"/>
              <w:rPr>
                <w:rFonts w:hint="eastAsia" w:ascii="Times New Roman" w:hAnsi="Times New Roman"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continue"/>
            <w:noWrap w:val="0"/>
            <w:vAlign w:val="center"/>
          </w:tcPr>
          <w:p>
            <w:pPr>
              <w:jc w:val="center"/>
              <w:rPr>
                <w:rFonts w:hint="eastAsia" w:ascii="Times New Roman" w:hAnsi="Times New Roman" w:eastAsia="宋体"/>
                <w:bCs/>
                <w:sz w:val="21"/>
              </w:rPr>
            </w:pPr>
          </w:p>
        </w:tc>
        <w:tc>
          <w:tcPr>
            <w:tcW w:w="1172" w:type="dxa"/>
            <w:vMerge w:val="continue"/>
            <w:noWrap w:val="0"/>
            <w:vAlign w:val="top"/>
          </w:tcPr>
          <w:p>
            <w:pPr>
              <w:rPr>
                <w:rFonts w:hint="eastAsia" w:ascii="Times New Roman" w:hAnsi="Times New Roman" w:eastAsia="宋体"/>
                <w:bCs/>
                <w:sz w:val="21"/>
              </w:rPr>
            </w:pPr>
          </w:p>
        </w:tc>
        <w:tc>
          <w:tcPr>
            <w:tcW w:w="3424" w:type="dxa"/>
            <w:noWrap w:val="0"/>
            <w:vAlign w:val="top"/>
          </w:tcPr>
          <w:p>
            <w:pPr>
              <w:spacing w:line="340" w:lineRule="exact"/>
              <w:rPr>
                <w:rFonts w:hint="eastAsia" w:ascii="Times New Roman" w:hAnsi="Times New Roman" w:eastAsia="宋体" w:cs="宋体"/>
                <w:bCs/>
                <w:sz w:val="21"/>
                <w:szCs w:val="21"/>
              </w:rPr>
            </w:pPr>
            <w:r>
              <w:rPr>
                <w:rFonts w:hint="eastAsia" w:ascii="Times New Roman" w:hAnsi="Times New Roman" w:eastAsia="宋体" w:cs="宋体"/>
                <w:bCs/>
                <w:sz w:val="21"/>
                <w:szCs w:val="21"/>
              </w:rPr>
              <w:t>3.4</w:t>
            </w:r>
            <w:r>
              <w:rPr>
                <w:rFonts w:hint="eastAsia" w:ascii="Times New Roman" w:hAnsi="Times New Roman" w:eastAsia="宋体"/>
                <w:bCs/>
                <w:sz w:val="21"/>
                <w:szCs w:val="21"/>
              </w:rPr>
              <w:t>投标人中标后</w:t>
            </w:r>
            <w:r>
              <w:rPr>
                <w:rFonts w:hint="eastAsia" w:ascii="Times New Roman" w:hAnsi="Times New Roman" w:eastAsia="宋体" w:cs="宋体"/>
                <w:bCs/>
                <w:sz w:val="21"/>
                <w:szCs w:val="21"/>
              </w:rPr>
              <w:t>逾期交付货物的，每逾期1天，</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向采购人偿付项目采购金额的【5】‰的违约金。如</w:t>
            </w:r>
            <w:r>
              <w:rPr>
                <w:rFonts w:hint="eastAsia" w:ascii="Times New Roman" w:hAnsi="Times New Roman" w:eastAsia="宋体"/>
                <w:bCs/>
                <w:sz w:val="21"/>
                <w:szCs w:val="21"/>
              </w:rPr>
              <w:t>投标人</w:t>
            </w:r>
            <w:r>
              <w:rPr>
                <w:rFonts w:hint="eastAsia" w:ascii="Times New Roman" w:hAnsi="Times New Roman" w:eastAsia="宋体" w:cs="宋体"/>
                <w:bCs/>
                <w:sz w:val="21"/>
                <w:szCs w:val="21"/>
              </w:rPr>
              <w:t>逾期交货达</w:t>
            </w:r>
            <w:r>
              <w:rPr>
                <w:rFonts w:hint="eastAsia" w:ascii="Times New Roman" w:hAnsi="Times New Roman" w:eastAsia="宋体" w:cs="宋体"/>
                <w:bCs/>
                <w:sz w:val="21"/>
                <w:szCs w:val="21"/>
                <w:u w:val="single"/>
              </w:rPr>
              <w:t xml:space="preserve">  15  </w:t>
            </w:r>
            <w:r>
              <w:rPr>
                <w:rFonts w:hint="eastAsia" w:ascii="Times New Roman" w:hAnsi="Times New Roman" w:eastAsia="宋体" w:cs="宋体"/>
                <w:bCs/>
                <w:sz w:val="21"/>
                <w:szCs w:val="21"/>
              </w:rPr>
              <w:t>天，采购人有权解除合同。</w:t>
            </w:r>
          </w:p>
        </w:tc>
        <w:tc>
          <w:tcPr>
            <w:tcW w:w="1809" w:type="dxa"/>
            <w:noWrap w:val="0"/>
            <w:vAlign w:val="top"/>
          </w:tcPr>
          <w:p>
            <w:pPr>
              <w:spacing w:line="340" w:lineRule="exact"/>
              <w:rPr>
                <w:rFonts w:hint="eastAsia" w:ascii="Times New Roman" w:hAnsi="Times New Roman" w:eastAsia="宋体" w:cs="宋体"/>
                <w:bCs/>
                <w:sz w:val="21"/>
                <w:szCs w:val="21"/>
              </w:rPr>
            </w:pPr>
          </w:p>
        </w:tc>
        <w:tc>
          <w:tcPr>
            <w:tcW w:w="1315" w:type="dxa"/>
            <w:noWrap w:val="0"/>
            <w:vAlign w:val="top"/>
          </w:tcPr>
          <w:p>
            <w:pPr>
              <w:spacing w:line="340" w:lineRule="exact"/>
              <w:rPr>
                <w:rFonts w:hint="eastAsia" w:ascii="Times New Roman" w:hAnsi="Times New Roman" w:eastAsia="宋体" w:cs="宋体"/>
                <w:bCs/>
                <w:sz w:val="21"/>
                <w:szCs w:val="21"/>
              </w:rPr>
            </w:pPr>
          </w:p>
        </w:tc>
        <w:tc>
          <w:tcPr>
            <w:tcW w:w="1315" w:type="dxa"/>
            <w:noWrap w:val="0"/>
            <w:vAlign w:val="top"/>
          </w:tcPr>
          <w:p>
            <w:pPr>
              <w:spacing w:line="340" w:lineRule="exact"/>
              <w:rPr>
                <w:rFonts w:hint="eastAsia" w:ascii="Times New Roman" w:hAnsi="Times New Roman"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continue"/>
            <w:noWrap w:val="0"/>
            <w:vAlign w:val="center"/>
          </w:tcPr>
          <w:p>
            <w:pPr>
              <w:jc w:val="center"/>
              <w:rPr>
                <w:rFonts w:hint="eastAsia" w:ascii="Times New Roman" w:hAnsi="Times New Roman" w:eastAsia="宋体"/>
                <w:bCs/>
                <w:sz w:val="21"/>
              </w:rPr>
            </w:pPr>
          </w:p>
        </w:tc>
        <w:tc>
          <w:tcPr>
            <w:tcW w:w="1172" w:type="dxa"/>
            <w:vMerge w:val="continue"/>
            <w:noWrap w:val="0"/>
            <w:vAlign w:val="top"/>
          </w:tcPr>
          <w:p>
            <w:pPr>
              <w:rPr>
                <w:rFonts w:ascii="Times New Roman" w:hAnsi="Times New Roman" w:eastAsia="宋体"/>
                <w:bCs/>
                <w:sz w:val="21"/>
              </w:rPr>
            </w:pPr>
          </w:p>
        </w:tc>
        <w:tc>
          <w:tcPr>
            <w:tcW w:w="3424" w:type="dxa"/>
            <w:noWrap w:val="0"/>
            <w:vAlign w:val="top"/>
          </w:tcPr>
          <w:p>
            <w:pPr>
              <w:rPr>
                <w:rFonts w:hint="eastAsia" w:ascii="Times New Roman" w:hAnsi="Times New Roman" w:eastAsia="宋体" w:cs="宋体"/>
                <w:b/>
                <w:sz w:val="21"/>
              </w:rPr>
            </w:pPr>
            <w:r>
              <w:rPr>
                <w:rFonts w:hint="eastAsia" w:ascii="Times New Roman" w:hAnsi="Times New Roman" w:eastAsia="宋体" w:cs="宋体"/>
                <w:bCs/>
                <w:sz w:val="21"/>
              </w:rPr>
              <w:t>3.5</w:t>
            </w:r>
            <w:r>
              <w:rPr>
                <w:rFonts w:hint="eastAsia" w:ascii="Times New Roman" w:hAnsi="Times New Roman" w:eastAsia="宋体"/>
                <w:bCs/>
                <w:sz w:val="21"/>
                <w:szCs w:val="21"/>
              </w:rPr>
              <w:t>投标人中标后，在其</w:t>
            </w:r>
            <w:r>
              <w:rPr>
                <w:rFonts w:hint="eastAsia" w:ascii="Times New Roman" w:hAnsi="Times New Roman" w:eastAsia="宋体" w:cs="宋体"/>
                <w:bCs/>
                <w:sz w:val="21"/>
              </w:rPr>
              <w:t>承诺的或国家规定的质量保证期内（取两者中最长的期限），如经</w:t>
            </w:r>
            <w:r>
              <w:rPr>
                <w:rFonts w:hint="eastAsia" w:ascii="Times New Roman" w:hAnsi="Times New Roman" w:eastAsia="宋体"/>
                <w:bCs/>
                <w:sz w:val="21"/>
                <w:szCs w:val="21"/>
              </w:rPr>
              <w:t>投标人</w:t>
            </w:r>
            <w:r>
              <w:rPr>
                <w:rFonts w:hint="eastAsia" w:ascii="Times New Roman" w:hAnsi="Times New Roman" w:eastAsia="宋体" w:cs="宋体"/>
                <w:bCs/>
                <w:sz w:val="21"/>
              </w:rPr>
              <w:t>两次维修或更换，货物仍不能达到采购文件要求及投标文件承诺的质量标准，采购人有权退货，</w:t>
            </w:r>
            <w:r>
              <w:rPr>
                <w:rFonts w:hint="eastAsia" w:ascii="Times New Roman" w:hAnsi="Times New Roman" w:eastAsia="宋体"/>
                <w:bCs/>
                <w:sz w:val="21"/>
                <w:szCs w:val="21"/>
              </w:rPr>
              <w:t>投标人</w:t>
            </w:r>
            <w:r>
              <w:rPr>
                <w:rFonts w:hint="eastAsia" w:ascii="Times New Roman" w:hAnsi="Times New Roman" w:eastAsia="宋体" w:cs="宋体"/>
                <w:bCs/>
                <w:sz w:val="21"/>
              </w:rPr>
              <w:t>应退回全部货款并赔偿采购人因此遭受的损失。</w:t>
            </w:r>
          </w:p>
        </w:tc>
        <w:tc>
          <w:tcPr>
            <w:tcW w:w="1809" w:type="dxa"/>
            <w:noWrap w:val="0"/>
            <w:vAlign w:val="top"/>
          </w:tcPr>
          <w:p>
            <w:pPr>
              <w:rPr>
                <w:rFonts w:hint="eastAsia" w:ascii="Times New Roman" w:hAnsi="Times New Roman" w:eastAsia="宋体" w:cs="宋体"/>
                <w:bCs/>
                <w:sz w:val="21"/>
              </w:rPr>
            </w:pPr>
          </w:p>
        </w:tc>
        <w:tc>
          <w:tcPr>
            <w:tcW w:w="1315" w:type="dxa"/>
            <w:noWrap w:val="0"/>
            <w:vAlign w:val="top"/>
          </w:tcPr>
          <w:p>
            <w:pPr>
              <w:rPr>
                <w:rFonts w:hint="eastAsia" w:ascii="Times New Roman" w:hAnsi="Times New Roman" w:eastAsia="宋体" w:cs="宋体"/>
                <w:bCs/>
                <w:sz w:val="21"/>
              </w:rPr>
            </w:pPr>
          </w:p>
        </w:tc>
        <w:tc>
          <w:tcPr>
            <w:tcW w:w="1315" w:type="dxa"/>
            <w:noWrap w:val="0"/>
            <w:vAlign w:val="top"/>
          </w:tcPr>
          <w:p>
            <w:pPr>
              <w:rPr>
                <w:rFonts w:hint="eastAsia" w:ascii="Times New Roman" w:hAnsi="Times New Roman" w:eastAsia="宋体" w:cs="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vMerge w:val="continue"/>
            <w:noWrap w:val="0"/>
            <w:vAlign w:val="center"/>
          </w:tcPr>
          <w:p>
            <w:pPr>
              <w:jc w:val="center"/>
              <w:rPr>
                <w:rFonts w:hint="eastAsia" w:ascii="Times New Roman" w:hAnsi="Times New Roman" w:eastAsia="宋体"/>
                <w:bCs/>
                <w:sz w:val="21"/>
              </w:rPr>
            </w:pPr>
          </w:p>
        </w:tc>
        <w:tc>
          <w:tcPr>
            <w:tcW w:w="1172" w:type="dxa"/>
            <w:vMerge w:val="continue"/>
            <w:noWrap w:val="0"/>
            <w:vAlign w:val="top"/>
          </w:tcPr>
          <w:p>
            <w:pPr>
              <w:rPr>
                <w:rFonts w:ascii="Times New Roman" w:hAnsi="Times New Roman" w:eastAsia="宋体"/>
                <w:bCs/>
                <w:sz w:val="21"/>
              </w:rPr>
            </w:pPr>
          </w:p>
        </w:tc>
        <w:tc>
          <w:tcPr>
            <w:tcW w:w="3424" w:type="dxa"/>
            <w:noWrap w:val="0"/>
            <w:vAlign w:val="top"/>
          </w:tcPr>
          <w:p>
            <w:pPr>
              <w:rPr>
                <w:rFonts w:hint="eastAsia" w:ascii="Times New Roman" w:hAnsi="Times New Roman" w:eastAsia="宋体" w:cs="宋体"/>
                <w:b/>
                <w:sz w:val="21"/>
              </w:rPr>
            </w:pPr>
            <w:r>
              <w:rPr>
                <w:rFonts w:hint="eastAsia" w:ascii="Times New Roman" w:hAnsi="Times New Roman" w:eastAsia="宋体" w:cs="宋体"/>
                <w:bCs/>
                <w:sz w:val="21"/>
              </w:rPr>
              <w:t>3.6</w:t>
            </w:r>
            <w:r>
              <w:rPr>
                <w:rFonts w:hint="eastAsia" w:ascii="Times New Roman" w:hAnsi="Times New Roman" w:eastAsia="宋体"/>
                <w:bCs/>
                <w:sz w:val="21"/>
                <w:szCs w:val="21"/>
              </w:rPr>
              <w:t>投标人中标后</w:t>
            </w:r>
            <w:r>
              <w:rPr>
                <w:rFonts w:hint="eastAsia" w:ascii="Times New Roman" w:hAnsi="Times New Roman" w:eastAsia="宋体" w:cs="宋体"/>
                <w:bCs/>
                <w:sz w:val="21"/>
              </w:rPr>
              <w:t>在承担上述一项或多项违约责任后，仍应继续履行合同规定的义务（采购人解除合同的除外）。采购人未能及时追究</w:t>
            </w:r>
            <w:r>
              <w:rPr>
                <w:rFonts w:hint="eastAsia" w:ascii="Times New Roman" w:hAnsi="Times New Roman" w:eastAsia="宋体"/>
                <w:bCs/>
                <w:sz w:val="21"/>
                <w:szCs w:val="21"/>
              </w:rPr>
              <w:t>投标人</w:t>
            </w:r>
            <w:r>
              <w:rPr>
                <w:rFonts w:hint="eastAsia" w:ascii="Times New Roman" w:hAnsi="Times New Roman" w:eastAsia="宋体" w:cs="宋体"/>
                <w:bCs/>
                <w:sz w:val="21"/>
              </w:rPr>
              <w:t>的任何一项违约责任并不表明采购人放弃追究</w:t>
            </w:r>
            <w:r>
              <w:rPr>
                <w:rFonts w:hint="eastAsia" w:ascii="Times New Roman" w:hAnsi="Times New Roman" w:eastAsia="宋体"/>
                <w:bCs/>
                <w:sz w:val="21"/>
                <w:szCs w:val="21"/>
              </w:rPr>
              <w:t>投标人</w:t>
            </w:r>
            <w:r>
              <w:rPr>
                <w:rFonts w:hint="eastAsia" w:ascii="Times New Roman" w:hAnsi="Times New Roman" w:eastAsia="宋体" w:cs="宋体"/>
                <w:bCs/>
                <w:sz w:val="21"/>
              </w:rPr>
              <w:t>该项或其他违约责任。</w:t>
            </w:r>
          </w:p>
        </w:tc>
        <w:tc>
          <w:tcPr>
            <w:tcW w:w="1809" w:type="dxa"/>
            <w:noWrap w:val="0"/>
            <w:vAlign w:val="top"/>
          </w:tcPr>
          <w:p>
            <w:pPr>
              <w:rPr>
                <w:rFonts w:hint="eastAsia" w:ascii="Times New Roman" w:hAnsi="Times New Roman" w:eastAsia="宋体" w:cs="宋体"/>
                <w:bCs/>
                <w:sz w:val="21"/>
              </w:rPr>
            </w:pPr>
          </w:p>
        </w:tc>
        <w:tc>
          <w:tcPr>
            <w:tcW w:w="1315" w:type="dxa"/>
            <w:noWrap w:val="0"/>
            <w:vAlign w:val="top"/>
          </w:tcPr>
          <w:p>
            <w:pPr>
              <w:rPr>
                <w:rFonts w:hint="eastAsia" w:ascii="Times New Roman" w:hAnsi="Times New Roman" w:eastAsia="宋体" w:cs="宋体"/>
                <w:bCs/>
                <w:sz w:val="21"/>
              </w:rPr>
            </w:pPr>
          </w:p>
        </w:tc>
        <w:tc>
          <w:tcPr>
            <w:tcW w:w="1315" w:type="dxa"/>
            <w:noWrap w:val="0"/>
            <w:vAlign w:val="top"/>
          </w:tcPr>
          <w:p>
            <w:pPr>
              <w:rPr>
                <w:rFonts w:hint="eastAsia" w:ascii="Times New Roman" w:hAnsi="Times New Roman" w:eastAsia="宋体" w:cs="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37" w:type="dxa"/>
            <w:noWrap w:val="0"/>
            <w:vAlign w:val="center"/>
          </w:tcPr>
          <w:p>
            <w:pPr>
              <w:jc w:val="center"/>
              <w:rPr>
                <w:rFonts w:hint="eastAsia" w:ascii="Times New Roman" w:hAnsi="Times New Roman" w:eastAsia="宋体"/>
                <w:bCs/>
                <w:sz w:val="21"/>
              </w:rPr>
            </w:pPr>
            <w:r>
              <w:rPr>
                <w:rFonts w:hint="eastAsia" w:ascii="Times New Roman" w:hAnsi="Times New Roman" w:eastAsia="宋体"/>
                <w:bCs/>
                <w:sz w:val="21"/>
              </w:rPr>
              <w:t>4</w:t>
            </w:r>
          </w:p>
        </w:tc>
        <w:tc>
          <w:tcPr>
            <w:tcW w:w="1172" w:type="dxa"/>
            <w:noWrap w:val="0"/>
            <w:vAlign w:val="top"/>
          </w:tcPr>
          <w:p>
            <w:pPr>
              <w:rPr>
                <w:rFonts w:hint="eastAsia" w:ascii="Times New Roman" w:hAnsi="Times New Roman" w:eastAsia="宋体"/>
                <w:bCs/>
                <w:sz w:val="21"/>
              </w:rPr>
            </w:pPr>
            <w:r>
              <w:rPr>
                <w:rFonts w:hint="eastAsia" w:ascii="Times New Roman" w:hAnsi="Times New Roman" w:eastAsia="宋体"/>
                <w:bCs/>
                <w:sz w:val="21"/>
              </w:rPr>
              <w:t>其他</w:t>
            </w:r>
          </w:p>
        </w:tc>
        <w:tc>
          <w:tcPr>
            <w:tcW w:w="3424" w:type="dxa"/>
            <w:noWrap w:val="0"/>
            <w:vAlign w:val="top"/>
          </w:tcPr>
          <w:p>
            <w:pPr>
              <w:rPr>
                <w:rFonts w:hint="eastAsia" w:ascii="Times New Roman" w:hAnsi="Times New Roman" w:eastAsia="宋体" w:cs="宋体"/>
                <w:bCs/>
                <w:sz w:val="21"/>
              </w:rPr>
            </w:pPr>
            <w:r>
              <w:rPr>
                <w:rFonts w:hint="eastAsia" w:ascii="Times New Roman" w:hAnsi="Times New Roman" w:eastAsia="宋体" w:cs="宋体"/>
                <w:bCs/>
                <w:sz w:val="21"/>
              </w:rPr>
              <w:t>投标人</w:t>
            </w:r>
            <w:r>
              <w:rPr>
                <w:rFonts w:hint="eastAsia" w:ascii="Times New Roman" w:hAnsi="Times New Roman" w:eastAsia="宋体"/>
                <w:bCs/>
                <w:sz w:val="21"/>
                <w:szCs w:val="21"/>
              </w:rPr>
              <w:t>中标后</w:t>
            </w:r>
            <w:r>
              <w:rPr>
                <w:rFonts w:hint="eastAsia" w:ascii="Times New Roman" w:hAnsi="Times New Roman" w:eastAsia="宋体" w:cs="宋体"/>
                <w:bCs/>
                <w:sz w:val="21"/>
              </w:rPr>
              <w:t>应按其投标文件中的承诺，进行其他售后服务工作。</w:t>
            </w:r>
          </w:p>
        </w:tc>
        <w:tc>
          <w:tcPr>
            <w:tcW w:w="1809" w:type="dxa"/>
            <w:noWrap w:val="0"/>
            <w:vAlign w:val="top"/>
          </w:tcPr>
          <w:p>
            <w:pPr>
              <w:rPr>
                <w:rFonts w:hint="eastAsia" w:ascii="Times New Roman" w:hAnsi="Times New Roman" w:eastAsia="宋体" w:cs="宋体"/>
                <w:bCs/>
                <w:sz w:val="21"/>
              </w:rPr>
            </w:pPr>
          </w:p>
        </w:tc>
        <w:tc>
          <w:tcPr>
            <w:tcW w:w="1315" w:type="dxa"/>
            <w:noWrap w:val="0"/>
            <w:vAlign w:val="top"/>
          </w:tcPr>
          <w:p>
            <w:pPr>
              <w:rPr>
                <w:rFonts w:hint="eastAsia" w:ascii="Times New Roman" w:hAnsi="Times New Roman" w:eastAsia="宋体" w:cs="宋体"/>
                <w:bCs/>
                <w:sz w:val="21"/>
              </w:rPr>
            </w:pPr>
          </w:p>
        </w:tc>
        <w:tc>
          <w:tcPr>
            <w:tcW w:w="1315" w:type="dxa"/>
            <w:noWrap w:val="0"/>
            <w:vAlign w:val="top"/>
          </w:tcPr>
          <w:p>
            <w:pPr>
              <w:rPr>
                <w:rFonts w:hint="eastAsia" w:ascii="Times New Roman" w:hAnsi="Times New Roman" w:eastAsia="宋体" w:cs="宋体"/>
                <w:bCs/>
                <w:sz w:val="21"/>
              </w:rPr>
            </w:pPr>
          </w:p>
        </w:tc>
      </w:tr>
    </w:tbl>
    <w:p>
      <w:pPr>
        <w:ind w:firstLine="420" w:firstLineChars="200"/>
        <w:rPr>
          <w:b w:val="0"/>
          <w:bCs/>
          <w:sz w:val="21"/>
          <w:szCs w:val="21"/>
        </w:rPr>
      </w:pPr>
      <w:r>
        <w:rPr>
          <w:rFonts w:hint="eastAsia"/>
          <w:b w:val="0"/>
          <w:bCs/>
          <w:sz w:val="21"/>
          <w:szCs w:val="21"/>
        </w:rPr>
        <w:t>《商务要求偏离表》编制指引：</w:t>
      </w:r>
    </w:p>
    <w:p>
      <w:pPr>
        <w:ind w:firstLine="420" w:firstLineChars="200"/>
        <w:rPr>
          <w:b w:val="0"/>
          <w:bCs/>
          <w:sz w:val="21"/>
          <w:szCs w:val="21"/>
        </w:rPr>
      </w:pPr>
      <w:r>
        <w:rPr>
          <w:rFonts w:hint="eastAsia"/>
          <w:b w:val="0"/>
          <w:bCs/>
          <w:sz w:val="21"/>
          <w:szCs w:val="21"/>
        </w:rPr>
        <w:t>1、商务要求偏离表的序号、商务需求项、招标商务要求等栏目对应“用户需求书”中的“商务要求”章节相关内容。</w:t>
      </w:r>
    </w:p>
    <w:p>
      <w:pPr>
        <w:ind w:firstLine="420" w:firstLineChars="200"/>
        <w:rPr>
          <w:b w:val="0"/>
          <w:bCs/>
          <w:sz w:val="21"/>
          <w:szCs w:val="21"/>
        </w:rPr>
      </w:pPr>
      <w:r>
        <w:rPr>
          <w:b w:val="0"/>
          <w:bCs/>
          <w:sz w:val="21"/>
          <w:szCs w:val="21"/>
        </w:rPr>
        <w:t>2</w:t>
      </w:r>
      <w:r>
        <w:rPr>
          <w:rFonts w:hint="eastAsia"/>
          <w:b w:val="0"/>
          <w:bCs/>
          <w:sz w:val="21"/>
          <w:szCs w:val="21"/>
        </w:rPr>
        <w:t>、“投标商务响应”一栏必须一一对照“招标商务要求”，详细填写自身响应情况，而不能不合理照搬照抄招标文件的商务要求，以体现具体响应情况。</w:t>
      </w:r>
    </w:p>
    <w:p>
      <w:pPr>
        <w:ind w:firstLine="420" w:firstLineChars="200"/>
        <w:rPr>
          <w:b w:val="0"/>
          <w:bCs/>
          <w:color w:val="FF0000"/>
          <w:sz w:val="21"/>
          <w:szCs w:val="21"/>
        </w:rPr>
      </w:pPr>
      <w:r>
        <w:rPr>
          <w:b w:val="0"/>
          <w:bCs/>
          <w:sz w:val="21"/>
          <w:szCs w:val="21"/>
        </w:rPr>
        <w:t>3</w:t>
      </w:r>
      <w:r>
        <w:rPr>
          <w:rFonts w:hint="eastAsia"/>
          <w:b w:val="0"/>
          <w:bCs/>
          <w:sz w:val="21"/>
          <w:szCs w:val="21"/>
        </w:rPr>
        <w:t>、“偏离情况”一栏填写如实填写“正偏离”、“负偏离”或“无偏离”，其中：“正偏离”表示“投标响应优于招标商务要求”，“负偏离”表示“投标响应不满足招标商务要求”，“无偏离”表示“投标响应与招标商务要求一致”。</w:t>
      </w:r>
    </w:p>
    <w:p>
      <w:pPr>
        <w:rPr>
          <w:rFonts w:hint="eastAsia"/>
          <w:b w:val="0"/>
          <w:bCs/>
          <w:sz w:val="21"/>
          <w:szCs w:val="21"/>
          <w:lang w:eastAsia="zh-CN"/>
        </w:rPr>
      </w:pPr>
      <w:r>
        <w:rPr>
          <w:rFonts w:hint="eastAsia"/>
          <w:b w:val="0"/>
          <w:bCs/>
          <w:sz w:val="21"/>
          <w:szCs w:val="21"/>
        </w:rPr>
        <w:t>“投标商务响应”对比“招标商务要求”存在响应不全（包括未响应整项招标商务要求或者未响应一项招标商务要求的部分内容），均视为“负偏离”</w:t>
      </w:r>
      <w:r>
        <w:rPr>
          <w:rFonts w:hint="eastAsia"/>
          <w:b w:val="0"/>
          <w:bCs/>
          <w:sz w:val="21"/>
          <w:szCs w:val="21"/>
          <w:lang w:eastAsia="zh-CN"/>
        </w:rPr>
        <w:t>。</w:t>
      </w:r>
    </w:p>
    <w:p>
      <w:pPr>
        <w:ind w:firstLine="420" w:firstLineChars="200"/>
        <w:rPr>
          <w:b w:val="0"/>
          <w:bCs/>
          <w:sz w:val="21"/>
          <w:szCs w:val="21"/>
        </w:rPr>
      </w:pPr>
      <w:r>
        <w:rPr>
          <w:rFonts w:hint="eastAsia"/>
          <w:b w:val="0"/>
          <w:bCs/>
          <w:sz w:val="21"/>
          <w:szCs w:val="21"/>
        </w:rPr>
        <w:t>4、带★号条款为不可偏离条款，如未响应或出现负偏离的，将作投标无效处理。</w:t>
      </w:r>
    </w:p>
    <w:p>
      <w:pPr>
        <w:widowControl/>
        <w:jc w:val="left"/>
        <w:rPr>
          <w:rFonts w:ascii="宋体" w:hAnsi="宋体" w:eastAsia="宋体" w:cs="Times New Roman"/>
          <w:color w:val="FF0000"/>
          <w:sz w:val="32"/>
          <w:szCs w:val="32"/>
        </w:rPr>
      </w:pPr>
      <w:r>
        <w:rPr>
          <w:rFonts w:ascii="宋体" w:hAnsi="宋体" w:eastAsia="宋体" w:cs="Times New Roman"/>
          <w:color w:val="FF0000"/>
          <w:sz w:val="32"/>
          <w:szCs w:val="32"/>
        </w:rPr>
        <w:br w:type="page"/>
      </w:r>
    </w:p>
    <w:p>
      <w:pPr>
        <w:pStyle w:val="5"/>
        <w:jc w:val="center"/>
        <w:rPr>
          <w:sz w:val="24"/>
        </w:rPr>
      </w:pPr>
      <w:r>
        <w:rPr>
          <w:rFonts w:hint="eastAsia" w:ascii="黑体" w:eastAsia="黑体"/>
          <w:b w:val="0"/>
          <w:sz w:val="24"/>
          <w:szCs w:val="24"/>
          <w:lang w:eastAsia="zh-CN"/>
        </w:rPr>
        <w:t>五</w:t>
      </w:r>
      <w:r>
        <w:rPr>
          <w:rFonts w:hint="eastAsia" w:ascii="黑体" w:eastAsia="黑体"/>
          <w:b w:val="0"/>
          <w:sz w:val="24"/>
          <w:szCs w:val="24"/>
        </w:rPr>
        <w:t>、技术</w:t>
      </w:r>
      <w:r>
        <w:rPr>
          <w:rFonts w:hint="eastAsia" w:ascii="黑体" w:eastAsia="黑体"/>
          <w:b w:val="0"/>
          <w:sz w:val="24"/>
          <w:szCs w:val="24"/>
          <w:lang w:val="en-US" w:eastAsia="zh-CN"/>
        </w:rPr>
        <w:t>规格</w:t>
      </w:r>
      <w:r>
        <w:rPr>
          <w:rFonts w:hint="eastAsia" w:ascii="黑体" w:eastAsia="黑体"/>
          <w:b w:val="0"/>
          <w:sz w:val="24"/>
          <w:szCs w:val="24"/>
        </w:rPr>
        <w:t>偏离表</w:t>
      </w:r>
    </w:p>
    <w:p>
      <w:pPr>
        <w:rPr>
          <w:rFonts w:ascii="宋体" w:hAnsi="宋体" w:eastAsia="宋体" w:cs="Times New Roman"/>
          <w:b/>
          <w:color w:val="FF0000"/>
          <w:szCs w:val="21"/>
          <w:highlight w:val="yellow"/>
        </w:rPr>
      </w:pPr>
      <w:bookmarkStart w:id="35" w:name="_Hlk72095977"/>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4、针对招标文件产品技术参数如涉及相关既定值、单向范围值、区间范围值的，投标技术参数响应方式举例说明如下：</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（1）涉及相关既定值的，例：招标技术参数要求值为“20L”，投标技术参数响应值与“20L”不一致的，均视为负偏离；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default" w:ascii="Calibri" w:hAnsi="Calibri" w:eastAsia="宋体" w:cs="Times New Roman"/>
          <w:color w:val="FF0000"/>
          <w:szCs w:val="21"/>
          <w:lang w:val="en-US" w:eastAsia="zh-CN"/>
        </w:rPr>
      </w:pPr>
      <w:r>
        <w:rPr>
          <w:rFonts w:hint="default" w:ascii="Calibri" w:hAnsi="Calibri" w:eastAsia="宋体" w:cs="Times New Roman"/>
          <w:color w:val="FF0000"/>
          <w:szCs w:val="21"/>
          <w:lang w:val="en-US"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7"/>
        <w:tblW w:w="8711"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0"/>
        <w:gridCol w:w="900"/>
        <w:gridCol w:w="3261"/>
        <w:gridCol w:w="1674"/>
        <w:gridCol w:w="1059"/>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326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招标技术要求</w:t>
            </w:r>
          </w:p>
        </w:tc>
        <w:tc>
          <w:tcPr>
            <w:tcW w:w="1674"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投标技术响应</w:t>
            </w:r>
          </w:p>
        </w:tc>
        <w:tc>
          <w:tcPr>
            <w:tcW w:w="1059"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偏离情况</w:t>
            </w:r>
          </w:p>
        </w:tc>
        <w:tc>
          <w:tcPr>
            <w:tcW w:w="1367"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奇妙树屋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（核心产品）</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1.整体尺寸：L560cmxW550cmxH500cm(±20cm）</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一、▲立柱规格：镀锌管立柱</w:t>
            </w:r>
            <w:r>
              <w:rPr>
                <w:rStyle w:val="41"/>
                <w:lang w:val="en-US" w:eastAsia="zh-CN" w:bidi="ar"/>
              </w:rPr>
              <w:t>≥</w:t>
            </w:r>
            <w:r>
              <w:rPr>
                <w:rStyle w:val="40"/>
                <w:lang w:val="en-US" w:eastAsia="zh-CN" w:bidi="ar"/>
              </w:rPr>
              <w:t>10mmx10mm壁厚为</w:t>
            </w:r>
            <w:r>
              <w:rPr>
                <w:rStyle w:val="41"/>
                <w:lang w:val="en-US" w:eastAsia="zh-CN" w:bidi="ar"/>
              </w:rPr>
              <w:t>≥</w:t>
            </w:r>
            <w:r>
              <w:rPr>
                <w:rStyle w:val="40"/>
                <w:lang w:val="en-US" w:eastAsia="zh-CN" w:bidi="ar"/>
              </w:rPr>
              <w:t>2.0mm；</w:t>
            </w:r>
            <w:r>
              <w:rPr>
                <w:rStyle w:val="39"/>
                <w:highlight w:val="yellow"/>
                <w:lang w:val="en-US" w:eastAsia="zh-CN" w:bidi="ar"/>
              </w:rPr>
              <w:t>（镀锌管需提供有标注CMA或CNAS认证的检测机构出具采用检验依据符合GB/T 10125-2021、GB/T6461-20021、中性盐雾(NSS)要求合格的检测报告）</w:t>
            </w:r>
            <w:r>
              <w:rPr>
                <w:rStyle w:val="41"/>
                <w:lang w:val="en-US" w:eastAsia="zh-CN" w:bidi="ar"/>
              </w:rPr>
              <w:t>。</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二、平台：台面采用的生态平台板，台面</w:t>
            </w:r>
            <w:r>
              <w:rPr>
                <w:rStyle w:val="41"/>
                <w:lang w:val="en-US" w:eastAsia="zh-CN" w:bidi="ar"/>
              </w:rPr>
              <w:t>≥</w:t>
            </w:r>
            <w:r>
              <w:rPr>
                <w:rStyle w:val="40"/>
                <w:lang w:val="en-US" w:eastAsia="zh-CN" w:bidi="ar"/>
              </w:rPr>
              <w:t>14*2.4cm、侧边采用</w:t>
            </w:r>
            <w:r>
              <w:rPr>
                <w:rStyle w:val="41"/>
                <w:lang w:val="en-US" w:eastAsia="zh-CN" w:bidi="ar"/>
              </w:rPr>
              <w:t>≥</w:t>
            </w:r>
            <w:r>
              <w:rPr>
                <w:rStyle w:val="40"/>
                <w:lang w:val="en-US" w:eastAsia="zh-CN" w:bidi="ar"/>
              </w:rPr>
              <w:t>11.5*1cm塑木+钣金；</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三、滑梯：滑梯由滑梯塑料块组成；</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（一）铁件：铁件表面处理：室外聚脂系 树脂粉体涂装烤漆。</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（二）PE板：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1.采用≥15mm厚度雕刻机进行切割图片造形，手工固定安装。</w:t>
            </w:r>
          </w:p>
        </w:tc>
        <w:tc>
          <w:tcPr>
            <w:tcW w:w="16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（三）烤漆：采用塑粉，铁件成品经机械、打磨抛光处理后。</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4"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（四）塑料：塑料无毒无味。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1.将原料完全融入颗粒中、粉磨机加工、滚塑工艺成型、工程塑料壁厚6MM以上，渗入抗紫外线，防静电以及防脱色元素安全、环保、不易老化低密度聚乙烯添加抗紫外线稳定剂及静电喷塑。</w:t>
            </w:r>
          </w:p>
        </w:tc>
        <w:tc>
          <w:tcPr>
            <w:tcW w:w="1674"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0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1367"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表面处理：模铸面</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0"/>
                <w:lang w:val="en-US" w:eastAsia="zh-CN" w:bidi="ar"/>
              </w:rPr>
            </w:pPr>
            <w:r>
              <w:rPr>
                <w:rStyle w:val="40"/>
                <w:lang w:val="en-US" w:eastAsia="zh-CN" w:bidi="ar"/>
              </w:rPr>
              <w:t>（五）五金配件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1.SUS不锈钢半圆头，T型平头螺丝表面处理：机械抛光；</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40"/>
                <w:lang w:val="en-US" w:eastAsia="zh-CN" w:bidi="ar"/>
              </w:rPr>
              <w:t>3.接触面之材料及结合角铁均经导圆角处理。</w:t>
            </w:r>
          </w:p>
        </w:tc>
        <w:tc>
          <w:tcPr>
            <w:tcW w:w="1674" w:type="dxa"/>
            <w:shd w:val="clear" w:color="auto" w:fill="auto"/>
            <w:vAlign w:val="top"/>
          </w:tcPr>
          <w:p>
            <w:pPr>
              <w:keepNext w:val="0"/>
              <w:keepLines w:val="0"/>
              <w:widowControl/>
              <w:suppressLineNumbers w:val="0"/>
              <w:jc w:val="both"/>
              <w:textAlignment w:val="top"/>
              <w:rPr>
                <w:rStyle w:val="40"/>
                <w:lang w:val="en-US" w:eastAsia="zh-CN" w:bidi="ar"/>
              </w:rPr>
            </w:pPr>
          </w:p>
        </w:tc>
        <w:tc>
          <w:tcPr>
            <w:tcW w:w="1059" w:type="dxa"/>
            <w:shd w:val="clear" w:color="auto" w:fill="auto"/>
            <w:vAlign w:val="top"/>
          </w:tcPr>
          <w:p>
            <w:pPr>
              <w:keepNext w:val="0"/>
              <w:keepLines w:val="0"/>
              <w:widowControl/>
              <w:suppressLineNumbers w:val="0"/>
              <w:jc w:val="both"/>
              <w:textAlignment w:val="top"/>
              <w:rPr>
                <w:rStyle w:val="40"/>
                <w:lang w:val="en-US" w:eastAsia="zh-CN" w:bidi="ar"/>
              </w:rPr>
            </w:pPr>
          </w:p>
        </w:tc>
        <w:tc>
          <w:tcPr>
            <w:tcW w:w="1367" w:type="dxa"/>
            <w:shd w:val="clear" w:color="auto" w:fill="auto"/>
            <w:vAlign w:val="top"/>
          </w:tcPr>
          <w:p>
            <w:pPr>
              <w:keepNext w:val="0"/>
              <w:keepLines w:val="0"/>
              <w:widowControl/>
              <w:suppressLineNumbers w:val="0"/>
              <w:jc w:val="both"/>
              <w:textAlignment w:val="top"/>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2</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安全寻呼扬声器</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一、尺寸：34</w:t>
            </w:r>
            <w:r>
              <w:rPr>
                <w:rStyle w:val="40"/>
                <w:lang w:val="en-US" w:eastAsia="zh-CN" w:bidi="ar"/>
              </w:rPr>
              <w:t>cm</w:t>
            </w:r>
            <w:r>
              <w:rPr>
                <w:rStyle w:val="41"/>
                <w:lang w:val="en-US" w:eastAsia="zh-CN" w:bidi="ar"/>
              </w:rPr>
              <w:t>x23</w:t>
            </w:r>
            <w:r>
              <w:rPr>
                <w:rStyle w:val="40"/>
                <w:lang w:val="en-US" w:eastAsia="zh-CN" w:bidi="ar"/>
              </w:rPr>
              <w:t>cm</w:t>
            </w:r>
            <w:r>
              <w:rPr>
                <w:rStyle w:val="41"/>
                <w:lang w:val="en-US" w:eastAsia="zh-CN" w:bidi="ar"/>
              </w:rPr>
              <w:t>x19</w:t>
            </w:r>
            <w:r>
              <w:rPr>
                <w:rStyle w:val="40"/>
                <w:lang w:val="en-US" w:eastAsia="zh-CN" w:bidi="ar"/>
              </w:rPr>
              <w:t>cm(±2cm）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1.采用功放与有源音箱一体化设计，内置麦克风无线接收模块，。</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2.输出额定功率≥ 2x40W。</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3.音箱灵敏度≥85dB，1W/1M。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4.信噪比≥83dB@额定功率、A计权。</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5.全频喇叭单元尺寸≥6.5英寸；高音喇叭单元尺寸≥3英寸。</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6.THD+N≤1%。</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7.声频响70Hz-18kHz。</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8.距离音箱10米处声压级≥75dB。</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9.具备≥1路电源开关、1路Audio in、1路Audio out、1路Mic in、1路USB 接口。USB接口可外接U盘设备对音箱固件进行升级。</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10.支持无线麦克风扩音接收，采用Wi-Fi射频2.4GHz与 5GHz双频段传输，有效避免环境中运营商U段（700MHz）的信号干扰。</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11.支持扩音和输入音源叠加输出，方便与录播等系统结合，或者通过串联功放支持更大环境扩音。</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12.无线麦克风集音频发射处理器、天线、电池、拾音麦克风于一体，配合一体化有源音箱，无需任何外接辅助设备即可实现本地扩声功能。</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13.采样率≥48KHz，16bit；扩音增益≥15dB；声频响100Hz-16kHz，底噪≤100uVrms，声信噪比≥60dB；配合一体化有源音箱，扩音延时≤35ms。</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14.用Wi-Fi射频频段传输，有效避免环境中运营商U段（700MHz）信号干扰。</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15.支持2.4GHz与5G双频段工作，信道数量≥26个。</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16.电续航时间≥5小时，满电状态可满足一天内7节课（45分钟/一节课）的高频授课，充电10分钟满足一节课（45分钟/一节课）授课时间。</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17.采用红外对码方式连接，避免连接到其他教室音箱。可在5S内快速完成与教学扩声音箱对码，无需繁琐操作。</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18.支持两个无线麦克风同时配对一个一体化有源音箱使用，实现两个麦克风混音输出进行扩音。</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19.具备Type-c外置麦克风接口，与充电接口复用。可搭配Type-C接口的麦克风进行使用，比如头戴式、挂耳式的外置麦克风。</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20.空旷无干扰的环境，无线传输有效距离≥15 米。</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21.一体化领夹设计，无需额外配件便可实现麦克风的领夹式使用。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41"/>
                <w:lang w:val="en-US" w:eastAsia="zh-CN" w:bidi="ar"/>
              </w:rPr>
              <w:t>22.外壳防火等级≥V1。</w:t>
            </w:r>
          </w:p>
        </w:tc>
        <w:tc>
          <w:tcPr>
            <w:tcW w:w="1674" w:type="dxa"/>
            <w:shd w:val="clear" w:color="auto" w:fill="auto"/>
            <w:vAlign w:val="top"/>
          </w:tcPr>
          <w:p>
            <w:pPr>
              <w:keepNext w:val="0"/>
              <w:keepLines w:val="0"/>
              <w:widowControl/>
              <w:suppressLineNumbers w:val="0"/>
              <w:jc w:val="both"/>
              <w:textAlignment w:val="top"/>
              <w:rPr>
                <w:rStyle w:val="41"/>
                <w:lang w:val="en-US" w:eastAsia="zh-CN" w:bidi="ar"/>
              </w:rPr>
            </w:pPr>
          </w:p>
        </w:tc>
        <w:tc>
          <w:tcPr>
            <w:tcW w:w="1059" w:type="dxa"/>
            <w:shd w:val="clear" w:color="auto" w:fill="auto"/>
            <w:vAlign w:val="top"/>
          </w:tcPr>
          <w:p>
            <w:pPr>
              <w:keepNext w:val="0"/>
              <w:keepLines w:val="0"/>
              <w:widowControl/>
              <w:suppressLineNumbers w:val="0"/>
              <w:jc w:val="both"/>
              <w:textAlignment w:val="top"/>
              <w:rPr>
                <w:rStyle w:val="41"/>
                <w:lang w:val="en-US" w:eastAsia="zh-CN" w:bidi="ar"/>
              </w:rPr>
            </w:pPr>
          </w:p>
        </w:tc>
        <w:tc>
          <w:tcPr>
            <w:tcW w:w="1367" w:type="dxa"/>
            <w:shd w:val="clear" w:color="auto" w:fill="auto"/>
            <w:vAlign w:val="top"/>
          </w:tcPr>
          <w:p>
            <w:pPr>
              <w:keepNext w:val="0"/>
              <w:keepLines w:val="0"/>
              <w:widowControl/>
              <w:suppressLineNumbers w:val="0"/>
              <w:jc w:val="both"/>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3</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飞阁流丹塔</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1.整体尺寸：L359cmxW340cmxH590cm(±30cm）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一、立柱规格：镀锌管立柱Φ≥114mm壁厚为≥2mm；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二、平台：台面采用≥14cm*2.4cm、侧边采用≥11.5cm*1cm塑木+钣金；</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68"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三、▲钻网：采用Φ≥14mm单股钢丝绳；最低抗拉强度1720N/mm²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，公称抗拉强度1770N/mm²</w:t>
            </w:r>
          </w:p>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39"/>
                <w:rFonts w:hint="eastAsia" w:ascii="宋体" w:hAnsi="宋体" w:eastAsia="宋体" w:cs="宋体"/>
                <w:i w:val="0"/>
                <w:iCs w:val="0"/>
                <w:color w:val="000000"/>
                <w:highlight w:val="yellow"/>
                <w:lang w:val="en-US" w:eastAsia="zh-CN" w:bidi="ar"/>
              </w:rPr>
              <w:t>（钢丝绳需提供有标注CMA或CNAS认证的检测机构出具采用检验依据符合GB/T 230.1-2018《洛氏硬度试验第1部分:试验方法》、GB/T 20118-2017《钢丝绳通用条件》要求合格的检测报告）</w:t>
            </w:r>
          </w:p>
        </w:tc>
        <w:tc>
          <w:tcPr>
            <w:tcW w:w="1674"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p>
        </w:tc>
        <w:tc>
          <w:tcPr>
            <w:tcW w:w="1059"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p>
        </w:tc>
        <w:tc>
          <w:tcPr>
            <w:tcW w:w="1367"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1.铁件：铁件表面处理：室外聚脂系( polyester/ TGIC system）树脂粉体涂装烤漆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（1）整体加工成型后进行除油、抛砂处理后表面再经过静电粉末喷涂表面光滑，抗紫外线能力强，色彩鲜艳，不易脱落，耐腐蚀。</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（2）所有的焊管、焊接部分采用二氧化碳弧焊。焊接部分达到国家有关标准。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2"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2.网绳：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（1）所用网绳</w:t>
            </w:r>
            <w:r>
              <w:rPr>
                <w:rStyle w:val="41"/>
                <w:rFonts w:hint="eastAsia"/>
                <w:lang w:val="en-US" w:eastAsia="zh-CN" w:bidi="ar"/>
              </w:rPr>
              <w:t>使用</w:t>
            </w:r>
            <w:r>
              <w:rPr>
                <w:rStyle w:val="41"/>
                <w:lang w:val="en-US" w:eastAsia="zh-CN" w:bidi="ar"/>
              </w:rPr>
              <w:t>聚丙烯航空单股钢丝绳，安全环保，耐用性好永不脱落，并而表面平滑。网类采用生产的直径14mm外层再覆变色锦纶編织绳，强度大，抗磨损，耐腐蚀，安全性能好，网缆编织采用专用铝合金连接扣连接，长期使用不变形。</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3.烤漆：采用塑粉，铁件成品经机械、打磨抛光处理后。</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4.</w:t>
            </w:r>
            <w:r>
              <w:rPr>
                <w:rStyle w:val="41"/>
                <w:rFonts w:hint="eastAsia"/>
                <w:lang w:val="en-US" w:eastAsia="zh-CN" w:bidi="ar"/>
              </w:rPr>
              <w:t>使用</w:t>
            </w:r>
            <w:r>
              <w:rPr>
                <w:rStyle w:val="41"/>
                <w:lang w:val="en-US" w:eastAsia="zh-CN" w:bidi="ar"/>
              </w:rPr>
              <w:t>有机玻璃</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5.五金配件：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（3）接触面之材料及结合角铁均经导圆角处理，五金零件为圆头处理且预防任意调整功能，以维护使用者及设施结构的安全。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4</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斑斓玻璃栈道</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1.尺寸：L230cmxW200cmxH430cm(±20cm）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一、立柱规格：镀锌管立柱Φ≥114mm壁厚为≥2.0mm；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二、平台：≥1.5mm有机玻璃；</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（一）铁件：铁件表面处理：室外聚脂系树脂粉体涂装烤漆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1.整体加工成型后经专业技术人员进行除油、抛砂处理后表面再经过静电粉末喷涂流水线高湿国化(塑粉采用户外环保聚酯粉末)，表面光滑，抗紫外线能力强，不易脱落，耐腐蚀。</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2.所有的焊管、焊接部分采用二氧化碳弧焊。焊接部分达到国家有关标准。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（二）▲烤漆：采用塑粉，铁件成品经机械、打磨抛光处理后。</w:t>
            </w:r>
            <w:r>
              <w:rPr>
                <w:rStyle w:val="39"/>
                <w:rFonts w:ascii="宋体" w:hAnsi="宋体" w:eastAsia="宋体" w:cs="宋体"/>
                <w:i w:val="0"/>
                <w:iCs w:val="0"/>
                <w:color w:val="000000"/>
                <w:highlight w:val="yellow"/>
                <w:lang w:val="en-US" w:eastAsia="zh-CN" w:bidi="ar"/>
              </w:rPr>
              <w:t>（塑粉需提供有标注CMA或CNAS认证的检测机构出具采用检验依据符合GB 6675.4-2014:4.1要求合格的检测报告）</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（三）五金配件：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3.接触面之材料及结合角铁均经导圆角处理，五金零件为圆头处理且预防任意调整功能，以维护使用者及设施结构的安全。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5</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波浪栈道</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1.尺寸：420cmx200cmx130cm(±20cm）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一、整体镀锌钢管：焊接采用氩弧焊及CO</w:t>
            </w:r>
            <w:r>
              <w:rPr>
                <w:rStyle w:val="41"/>
                <w:vertAlign w:val="subscript"/>
                <w:lang w:val="en-US" w:eastAsia="zh-CN" w:bidi="ar"/>
              </w:rPr>
              <w:t>2</w:t>
            </w:r>
            <w:r>
              <w:rPr>
                <w:rStyle w:val="41"/>
                <w:lang w:val="en-US" w:eastAsia="zh-CN" w:bidi="ar"/>
              </w:rPr>
              <w:t>气体保护焊，整体加工成型后经专业技术人员进行除油、磷化、抛砂处理后，表面再经过静电粉末喷涂流水线高温固化（塑粉采用户外环保聚酯粉末），表面光滑，抗紫外线能力强，不易脱落，耐腐蚀。</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二、烤漆：塑粉采用户外环保聚酯粉末，铁件成品经机械、打磨抛光处理。</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Style w:val="41"/>
                <w:lang w:val="en-US" w:eastAsia="zh-CN" w:bidi="ar"/>
              </w:rPr>
            </w:pPr>
            <w:r>
              <w:rPr>
                <w:rStyle w:val="41"/>
                <w:lang w:val="en-US" w:eastAsia="zh-CN" w:bidi="ar"/>
              </w:rPr>
              <w:t>三、五金配件：</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3.装饰：亚克力板</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6</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栈道全彩安全监管前端</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一、尺寸：Ø15cm × 11cm(±2</w:t>
            </w:r>
            <w:r>
              <w:rPr>
                <w:rStyle w:val="44"/>
                <w:rFonts w:eastAsia="宋体"/>
                <w:lang w:val="en-US" w:eastAsia="zh-CN" w:bidi="ar"/>
              </w:rPr>
              <w:t>cm</w:t>
            </w:r>
            <w:r>
              <w:rPr>
                <w:rStyle w:val="40"/>
                <w:lang w:val="en-US" w:eastAsia="zh-CN" w:bidi="ar"/>
              </w:rPr>
              <w:t>）</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1.内置GPU芯片、麦克风、扬声器。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2.在2560×1440下分辨力可达到1400线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支持红外补光，红外作用距离不低于30m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当智能分析行为是区域入侵、越界、进入区域、离开区域时，报警检测目标可以设置为人体、车辆、人体和车辆三种类别。</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3.需具备智能报警防干扰功能，当在设定的检测范围内出现光线明暗变化、篮球滚动、狗行走、树摇晃时，不触发报警。</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4.支持声音报警功能，报警声音类型不小于12种，并支持自定义语音，报警音量及重复次数可设置。</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5.可通过IE浏览器对智能算法或APP进行删除、导入、升级更新，更新过程中无需重启样机，视频画面不丢失。</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6.支持智能模块加载，加载过程中不需要重启样机，视频画面不丢失。</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7.支持人脸抓拍、smart事件、AI开放平台三个智能功能。（符合《GA/T 1127-2013安全防范视频监控摄像机通用技术要求》的要求）</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8.支持许可证导入检验，第三方智能APP只有在许可证有效期内才能正常导入使用。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9.支持硬件微引导程序OTP写入保护机制，uboot的FLASH存储空间应采用防篡改功能。若非法修改FLASH中的内容，可提示异常报错，uboot无法正常启动。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10.支持固件安全检验功能，摄像机uboot应采用加密存储，通过离线烧写存储器方式写入的uboot执行程序，不能被硬件微引导程序加载执行</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11.支持硬件微引导程序、uboot、OS、应用软件逐级校验功能，非法篡改的uboot、OS、应用软件固件包，不能通过命令行、浏览器、客户端方式进行升级。</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12.具有至少1个RJ45网络接口，1个音频输入接口、1个音频输出接口、1个报警输入接口、1个报警输出接口、1个SD卡卡槽。支持DC12V或POE供电。</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13.支持不低于IP66防尘防水。</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14.支持不低于IK10防护等级。</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7</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荡桥</w:t>
            </w: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1.尺寸：L230cmxW100cmxH90cm(±15cm）</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一、荡桥板：采用塑木组合而成。</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二、绳子：采用生产的直径≥16mm航海船用高强度缆绳，中芯不少于6股钢丝绳外套胶管，外层再覆以变色锦纶编织绳，强度大，抗磨损，耐腐蚀，安全性能好，网绳编织采用专用铝合金连接扣连接长期使用不变形。</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三、扶手：镀锌钢管：焊接采用氩弧焊及CO2气体保护焊，整体加工成型后经专业技术人员进行除油、磷化、抛砂处理后，表面再经过静电粉末喷涂流水线高温固化（塑粉采用户外环保聚酯粉末），表面光滑，抗紫外线能力强，色彩鲜艳，不易脱落，耐腐蚀。</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四、烤漆：塑粉采用户外环保聚酯粉末，铁件成品经机械、打磨抛光处理。</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Style w:val="41"/>
                <w:lang w:val="en-US" w:eastAsia="zh-CN" w:bidi="ar"/>
              </w:rPr>
            </w:pPr>
            <w:r>
              <w:rPr>
                <w:rStyle w:val="41"/>
                <w:lang w:val="en-US" w:eastAsia="zh-CN" w:bidi="ar"/>
              </w:rPr>
              <w:t>五、五金配件：</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 2.螺丝、帽套、垫片、链条均采用304不锈钢材质；</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8</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吊环</w:t>
            </w: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1.尺寸：L155cm(±6cm）</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一、整体镀锌钢管：焊接采用氩弧焊及CO2气体保护焊，整体加工成型后经专业技术人员进行除油、磷化、抛砂处理后，表面再经过静电粉末喷涂流水线高温固化（塑粉采用户外环保聚酯粉末），表面光滑，抗紫外线能力强，色彩鲜艳，不易脱落，耐腐蚀。</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二、烤漆：塑粉采用户外环保聚酯粉末，铁件成品经机械、打磨抛光处理。</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Style w:val="41"/>
                <w:lang w:val="en-US" w:eastAsia="zh-CN" w:bidi="ar"/>
              </w:rPr>
            </w:pPr>
            <w:r>
              <w:rPr>
                <w:rStyle w:val="41"/>
                <w:lang w:val="en-US" w:eastAsia="zh-CN" w:bidi="ar"/>
              </w:rPr>
              <w:t>三、五金配件：</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top"/>
          </w:tcPr>
          <w:p>
            <w:pPr>
              <w:keepNext w:val="0"/>
              <w:keepLines w:val="0"/>
              <w:widowControl/>
              <w:suppressLineNumbers w:val="0"/>
              <w:jc w:val="left"/>
              <w:textAlignment w:val="top"/>
              <w:rPr>
                <w:rStyle w:val="41"/>
                <w:lang w:val="en-US" w:eastAsia="zh-CN" w:bidi="ar"/>
              </w:rPr>
            </w:pPr>
          </w:p>
        </w:tc>
        <w:tc>
          <w:tcPr>
            <w:tcW w:w="1059" w:type="dxa"/>
            <w:shd w:val="clear" w:color="auto" w:fill="auto"/>
            <w:vAlign w:val="top"/>
          </w:tcPr>
          <w:p>
            <w:pPr>
              <w:keepNext w:val="0"/>
              <w:keepLines w:val="0"/>
              <w:widowControl/>
              <w:suppressLineNumbers w:val="0"/>
              <w:jc w:val="left"/>
              <w:textAlignment w:val="top"/>
              <w:rPr>
                <w:rStyle w:val="41"/>
                <w:lang w:val="en-US" w:eastAsia="zh-CN" w:bidi="ar"/>
              </w:rPr>
            </w:pPr>
          </w:p>
        </w:tc>
        <w:tc>
          <w:tcPr>
            <w:tcW w:w="1367" w:type="dxa"/>
            <w:shd w:val="clear" w:color="auto" w:fill="auto"/>
            <w:vAlign w:val="top"/>
          </w:tcPr>
          <w:p>
            <w:pPr>
              <w:keepNext w:val="0"/>
              <w:keepLines w:val="0"/>
              <w:widowControl/>
              <w:suppressLineNumbers w:val="0"/>
              <w:jc w:val="left"/>
              <w:textAlignment w:val="top"/>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9</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轮胎拓展</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1.尺寸：L220cmxW200cmxH300(±30cm）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采用直径≥16mm航海船用高强度缆绳，中芯不少于6股钢丝绳外套胶管，外层再覆以变色锦纶编织绳，强度大，抗磨损，耐腐蚀，安全性能好，网绳编织采用专用铝合金连接扣连接，，长期使用不变形。</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一、立柱规格：镀锌管立柱Φ≥114mmmm壁厚为≥2.0mmmm；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tc>
        <w:tc>
          <w:tcPr>
            <w:tcW w:w="900" w:type="dxa"/>
            <w:vMerge w:val="continue"/>
            <w:shd w:val="clear" w:color="auto" w:fill="auto"/>
            <w:vAlign w:val="center"/>
          </w:tcPr>
          <w:p/>
        </w:tc>
        <w:tc>
          <w:tcPr>
            <w:tcW w:w="3261" w:type="dxa"/>
            <w:shd w:val="clear" w:color="auto" w:fill="auto"/>
            <w:vAlign w:val="center"/>
          </w:tcPr>
          <w:p/>
        </w:tc>
        <w:tc>
          <w:tcPr>
            <w:tcW w:w="1674" w:type="dxa"/>
            <w:shd w:val="clear" w:color="auto" w:fill="auto"/>
            <w:vAlign w:val="center"/>
          </w:tcPr>
          <w:p/>
        </w:tc>
        <w:tc>
          <w:tcPr>
            <w:tcW w:w="1059" w:type="dxa"/>
            <w:shd w:val="clear" w:color="auto" w:fill="auto"/>
            <w:vAlign w:val="center"/>
          </w:tcPr>
          <w:p/>
        </w:tc>
        <w:tc>
          <w:tcPr>
            <w:tcW w:w="1367"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二、铁件：铁件表面处理：室外聚脂系 树脂粉体涂装烤漆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1.整体加工成型后经专业技术人员进行除油、抛砂处理后表面再经过静电粉末喷涂流水线高湿国化(塑粉采用户外环保聚酯粉末)，表面光滑，抗紫外线能力强，色彩鲜艳，不易脱落，耐腐蚀。</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2.所有的焊管、焊接部分采用二氧化碳弧焊。焊接部分达到国家有关标准。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三、烤漆：采用塑粉，铁件成品经机械、打磨抛光处理后。</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四、五金配件：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 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3.接触面之材料及结合角铁均经导圆角处理，五金零件为圆头处理且预防任意调整功能，以维护使用者及设施结构的安全。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10</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曲径曲折爬网</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1.尺寸：L270cmxW200cmxH380cm(±15cm）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一、立柱规格：镀锌管立柱≥10mm*10mm壁厚为≥2.0mm；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二、</w:t>
            </w:r>
            <w:r>
              <w:rPr>
                <w:rStyle w:val="40"/>
                <w:lang w:val="en-US" w:eastAsia="zh-CN" w:bidi="ar"/>
              </w:rPr>
              <w:t>▲</w:t>
            </w:r>
            <w:r>
              <w:rPr>
                <w:rStyle w:val="41"/>
                <w:lang w:val="en-US" w:eastAsia="zh-CN" w:bidi="ar"/>
              </w:rPr>
              <w:t>平台：</w:t>
            </w:r>
            <w:r>
              <w:rPr>
                <w:rStyle w:val="40"/>
                <w:lang w:val="en-US" w:eastAsia="zh-CN" w:bidi="ar"/>
              </w:rPr>
              <w:t>台面采用的生态平台板,</w:t>
            </w:r>
            <w:r>
              <w:rPr>
                <w:rStyle w:val="41"/>
                <w:lang w:val="en-US" w:eastAsia="zh-CN" w:bidi="ar"/>
              </w:rPr>
              <w:t>台面采用≥14cm*2.4cm、侧边采用≥11.5cm*1cm塑木+钣金；</w:t>
            </w:r>
          </w:p>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Style w:val="39"/>
                <w:rFonts w:ascii="宋体" w:hAnsi="宋体" w:eastAsia="宋体" w:cs="宋体"/>
                <w:i w:val="0"/>
                <w:iCs w:val="0"/>
                <w:color w:val="000000"/>
                <w:highlight w:val="yellow"/>
                <w:lang w:val="en-US" w:eastAsia="zh-CN" w:bidi="ar"/>
              </w:rPr>
              <w:t>（生态平台板需提供有标注CMA或CNAS认证的检测机构出具采用检验依据符合GB/T 24137-2009《木塑装饰板》、GB/T 35601-2017《绿色产品评价 人造板和木质地板》要求合格的检测报告）</w:t>
            </w:r>
            <w:r>
              <w:rPr>
                <w:rStyle w:val="39"/>
                <w:lang w:val="en-US" w:eastAsia="zh-CN" w:bidi="ar"/>
              </w:rPr>
              <w:t>。</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三、钻网：采用Φ≥14mm 单股钢丝绳；</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1.铁件：铁件表面处理：室外聚脂系 树脂粉体涂装烤漆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（1）整体加工成型后经专业技术人员进行除油、抛砂处理后表面再经过静电粉末喷涂流水线高湿国化(塑粉采用户外环保聚酯粉末)，表面光滑，抗紫外线能力强，色彩鲜艳，不易脱落，耐腐蚀。</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（2）所有的焊管、焊接部分采用二氧化碳弧焊。焊接部分达到国家有关标准。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3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2.网绳：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（1）所用网绳</w:t>
            </w:r>
            <w:r>
              <w:rPr>
                <w:rStyle w:val="41"/>
                <w:rFonts w:hint="eastAsia"/>
                <w:lang w:val="en-US" w:eastAsia="zh-CN" w:bidi="ar"/>
              </w:rPr>
              <w:t>采用</w:t>
            </w:r>
            <w:r>
              <w:rPr>
                <w:rStyle w:val="41"/>
                <w:lang w:val="en-US" w:eastAsia="zh-CN" w:bidi="ar"/>
              </w:rPr>
              <w:t>聚丙烯航空单股钢丝绳，安全环保，耐用性好不脱落，表面平滑。网类采用生产的直径≥14mm外层再覆变色锦纶編织绳，强度大，抗磨损，耐腐蚀，安全性能好，网缆编织采用专用铝合金连接扣连接，长期使用不变形。</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3.烤漆：采用塑粉，铁件成品经机械、打磨抛光处理后。</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4.有机玻璃：</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5.五金配件：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（3）接触面之材料及结合角铁均经导圆角处理，五金零件为圆头处理且预防任意调整功能，以维护使用者及设施结构的安全。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11</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城堡滑梯</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1.尺寸：L740cmxW820cmxH590cm(±20cm）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一、立柱规格：镀锌管立柱Φ≥114mmmm壁厚为≥2.0mmmm；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二、平台：台面采用≥14cm*2.4cmcm、侧边采用≥11.5cm*1cm塑木+钣金；</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三、</w:t>
            </w:r>
            <w:r>
              <w:rPr>
                <w:rStyle w:val="40"/>
                <w:lang w:val="en-US" w:eastAsia="zh-CN" w:bidi="ar"/>
              </w:rPr>
              <w:t>▲</w:t>
            </w:r>
            <w:r>
              <w:rPr>
                <w:rStyle w:val="41"/>
                <w:lang w:val="en-US" w:eastAsia="zh-CN" w:bidi="ar"/>
              </w:rPr>
              <w:t>滑梯：滑梯由滑梯塑料块组成；</w:t>
            </w:r>
            <w:r>
              <w:rPr>
                <w:rStyle w:val="39"/>
                <w:rFonts w:hint="eastAsia" w:ascii="宋体" w:hAnsi="宋体" w:eastAsia="宋体" w:cs="宋体"/>
                <w:i w:val="0"/>
                <w:iCs w:val="0"/>
                <w:color w:val="000000"/>
                <w:highlight w:val="yellow"/>
                <w:lang w:val="en-US" w:eastAsia="zh-CN" w:bidi="ar"/>
              </w:rPr>
              <w:t>（滑梯塑料块需提供有标注CMA或CNAS认证的检测机构出具采用检验依据符合GB 6675.4-2014《玩具安全 第4部分:特定元素的迁移》中项目检测要求合格的检测报告）</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1.铁件：铁件表面处理：室外聚脂系( polyester/ TGIC system） 树脂粉体涂装烤漆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（1）整体加工成型后经专业技术人员进行除油、抛砂处理后表面再经过静电粉末喷涂流水线高湿国化(塑粉采用户外环保聚酯粉末)，表面光滑，抗紫外线能力强，色彩鲜艳，不易脱落，耐腐蚀。</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（2）所有的焊管、焊接部分采用二氧化碳弧焊。焊接部分达到国家有关标准。</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2.网绳：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所用网绳均为聚丙烯航空单股钢丝绳，安全环保，表面平滑。网类采用生产的直径≥14mm外层再覆变色锦纶編织绳，强度大，抗磨损，耐腐蚀，安全性能好，网缆编织采用专用铝合金连接扣连接，长期使用不变形。</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3.烤漆：采用塑粉，铁件成品经机械、打磨抛光处理后。</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（3）接触面之材料及结合角铁均经导圆角处理，五金零件为圆头处理且预防任意调整功能，以维护使用者及设施结构的安全。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12</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乐高积木</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一、尺寸：L110cmxW14cmxH120cm(±5cm）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1.整体工程塑料：塑料粒子为工程塑料，低密度聚乙烯添加抗紫外线稳定剂及静电喷塑表面处理：模铸面。抗高温，耐低温，抗紫外线、防静电、防滑、防裂；安全环保；适合户外玩具的使用。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13</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数字华容道</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一、尺寸：L90cmxW110cm(±3cm）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1.ABS树脂又称丙烯腈-苯乙烯-丁二烯共聚物，有着强度高、耐腐蚀、耐高温易于加工成型的热塑型高分子材料。提高孩子门的思维能力和反应力。</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14</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钢琴音乐管</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一、尺寸：50cmx100cm(±5cm)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1.采用合金铝、能发出C大调自然音阶。</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15</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木凳</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一、尺寸：L80cmxW20cmxH30cm(±3cm）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实木：经专业技师进行压丶刨丶铣丶冲等处理后，表面进行防腐丶防火丶防蛀处理，后采用原子灰进行三次刮灰抹平，并打磨光滑，表面喷涂聚氨酯清漆。二次手刷底漆，二次面漆，成口经久耐用，色泽艳丽。</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（二）油漆：采用安全环保华润漆，木制成品经机械、打磨抛光，无结疤无飞边毛刺，凸显木材纹理，手感光滑。</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06"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Style w:val="41"/>
                <w:lang w:val="en-US" w:eastAsia="zh-CN" w:bidi="ar"/>
              </w:rPr>
            </w:pPr>
            <w:r>
              <w:rPr>
                <w:rStyle w:val="41"/>
                <w:lang w:val="en-US" w:eastAsia="zh-CN" w:bidi="ar"/>
              </w:rPr>
              <w:t>（三）五金配件：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1.SUS不锈钢半圆头，T型平头螺丝表面处理：机械抛光；</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2.螺丝、帽套、垫片、链条均采用304不锈钢材质；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16</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秋千</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一、尺寸：L100cmxW70cmxH190cm(±5cm）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1.编藤工艺采用天然藤材，其特点是藤茎坚韧、不易断、材质极好。藤制品采用了现代制作工艺，使其表面光洁、细腻，并具有防霉防蛀及环保的特点。</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17</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云梯攀爬</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一、尺寸：L180cmxW30cm(±5cm）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1.实木，经打磨后，外涂三层户外漆，起到防晒、防蛀、防裂，防腐、防水的作用。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2.绳网采用海上专用海缆绳材质，绳网直径≥12mm，户外使用强度大，耐牢度高，不易断裂。</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18</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抱球</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一、尺寸：直径25cm(±3cm),</w:t>
            </w:r>
            <w:r>
              <w:rPr>
                <w:rStyle w:val="40"/>
                <w:lang w:val="en-US" w:eastAsia="zh-CN" w:bidi="ar"/>
              </w:rPr>
              <w:t>绳子：L160cm</w:t>
            </w:r>
            <w:r>
              <w:rPr>
                <w:rStyle w:val="41"/>
                <w:lang w:val="en-US" w:eastAsia="zh-CN" w:bidi="ar"/>
              </w:rPr>
              <w:t>(±5cm)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w:t>
            </w:r>
            <w:r>
              <w:rPr>
                <w:rStyle w:val="41"/>
                <w:rFonts w:hint="eastAsia"/>
                <w:lang w:val="en-US" w:eastAsia="zh-CN" w:bidi="ar"/>
              </w:rPr>
              <w:t>使用</w:t>
            </w:r>
            <w:r>
              <w:rPr>
                <w:rStyle w:val="41"/>
                <w:lang w:val="en-US" w:eastAsia="zh-CN" w:bidi="ar"/>
              </w:rPr>
              <w:t>高强度绳子和橡胶皮</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tc>
        <w:tc>
          <w:tcPr>
            <w:tcW w:w="900" w:type="dxa"/>
            <w:vMerge w:val="continue"/>
            <w:shd w:val="clear" w:color="auto" w:fill="auto"/>
            <w:vAlign w:val="center"/>
          </w:tcPr>
          <w:p/>
        </w:tc>
        <w:tc>
          <w:tcPr>
            <w:tcW w:w="3261" w:type="dxa"/>
            <w:shd w:val="clear" w:color="auto" w:fill="auto"/>
            <w:vAlign w:val="center"/>
          </w:tcPr>
          <w:p/>
        </w:tc>
        <w:tc>
          <w:tcPr>
            <w:tcW w:w="1674" w:type="dxa"/>
            <w:shd w:val="clear" w:color="auto" w:fill="auto"/>
            <w:vAlign w:val="center"/>
          </w:tcPr>
          <w:p/>
        </w:tc>
        <w:tc>
          <w:tcPr>
            <w:tcW w:w="1059" w:type="dxa"/>
            <w:shd w:val="clear" w:color="auto" w:fill="auto"/>
            <w:vAlign w:val="center"/>
          </w:tcPr>
          <w:p/>
        </w:tc>
        <w:tc>
          <w:tcPr>
            <w:tcW w:w="1367"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19</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拳击袋</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一、尺寸：L15cmxH70cm(±3cm);</w:t>
            </w:r>
            <w:r>
              <w:rPr>
                <w:rStyle w:val="40"/>
                <w:lang w:val="en-US" w:eastAsia="zh-CN" w:bidi="ar"/>
              </w:rPr>
              <w:t>绳子：L110cm</w:t>
            </w:r>
            <w:r>
              <w:rPr>
                <w:rStyle w:val="41"/>
                <w:lang w:val="en-US" w:eastAsia="zh-CN" w:bidi="ar"/>
              </w:rPr>
              <w:t>(±5cm)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1.高强度绳子和橡胶皮</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20</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望远镜</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一、尺寸：40cm(±3cm）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1塑料件：塑料粒子为工程塑料，低密度聚乙烯(IDP)添加抗紫外线稳定剂及静电喷塑( powder coat)表面处理：模铸面。抗高温，耐低温，抗紫外线、防静电、防滑、防裂；安全环保；适合户外玩具的使用。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21</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扣件爬网</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一、尺寸：270cm</w:t>
            </w:r>
            <w:r>
              <w:rPr>
                <w:rStyle w:val="47"/>
                <w:lang w:val="en-US" w:eastAsia="zh-CN" w:bidi="ar"/>
              </w:rPr>
              <w:t>×</w:t>
            </w:r>
            <w:r>
              <w:rPr>
                <w:rStyle w:val="41"/>
                <w:lang w:val="en-US" w:eastAsia="zh-CN" w:bidi="ar"/>
              </w:rPr>
              <w:t>120cm(±10cm）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tc>
        <w:tc>
          <w:tcPr>
            <w:tcW w:w="900" w:type="dxa"/>
            <w:vMerge w:val="continue"/>
            <w:shd w:val="clear" w:color="auto" w:fill="auto"/>
            <w:vAlign w:val="center"/>
          </w:tcPr>
          <w:p/>
        </w:tc>
        <w:tc>
          <w:tcPr>
            <w:tcW w:w="3261" w:type="dxa"/>
            <w:shd w:val="clear" w:color="auto" w:fill="auto"/>
            <w:vAlign w:val="center"/>
          </w:tcPr>
          <w:p/>
        </w:tc>
        <w:tc>
          <w:tcPr>
            <w:tcW w:w="1674" w:type="dxa"/>
            <w:shd w:val="clear" w:color="auto" w:fill="auto"/>
            <w:vAlign w:val="center"/>
          </w:tcPr>
          <w:p/>
        </w:tc>
        <w:tc>
          <w:tcPr>
            <w:tcW w:w="1059" w:type="dxa"/>
            <w:shd w:val="clear" w:color="auto" w:fill="auto"/>
            <w:vAlign w:val="center"/>
          </w:tcPr>
          <w:p/>
        </w:tc>
        <w:tc>
          <w:tcPr>
            <w:tcW w:w="1367" w:type="dxa"/>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lang w:val="en-US" w:eastAsia="zh-CN" w:bidi="ar"/>
              </w:rPr>
              <w:t>1</w:t>
            </w:r>
            <w:r>
              <w:rPr>
                <w:rStyle w:val="41"/>
                <w:lang w:val="en-US" w:eastAsia="zh-CN" w:bidi="ar"/>
              </w:rPr>
              <w:t>.六股钢丝绳：采用中直径≥16mm航海船用高强度缆绳，中芯不少于6股钢丝绳外套胶管，外层再覆以变色锦纶编织绳，强度大，抗磨损，耐腐蚀，安全性能好，网绳编织采用专用铝合金连接扣连接长期使用不变形。</w:t>
            </w:r>
          </w:p>
        </w:tc>
        <w:tc>
          <w:tcPr>
            <w:tcW w:w="1674"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lang w:val="en-US" w:eastAsia="zh-CN" w:bidi="ar"/>
              </w:rPr>
              <w:t>2</w:t>
            </w:r>
            <w:r>
              <w:rPr>
                <w:rStyle w:val="41"/>
                <w:lang w:val="en-US" w:eastAsia="zh-CN" w:bidi="ar"/>
              </w:rPr>
              <w:t>.此绳锁扣壁厚≥2.5mm，单个重量0.07kgs， 不易破损.用双重紧锁工艺，牢固不脱落.</w:t>
            </w:r>
          </w:p>
        </w:tc>
        <w:tc>
          <w:tcPr>
            <w:tcW w:w="1674"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lang w:val="en-US" w:eastAsia="zh-CN" w:bidi="ar"/>
              </w:rPr>
              <w:t>3</w:t>
            </w:r>
            <w:r>
              <w:rPr>
                <w:rStyle w:val="41"/>
                <w:lang w:val="en-US" w:eastAsia="zh-CN" w:bidi="ar"/>
              </w:rPr>
              <w:t>.锁头可360度自由旋转，在安装的时候无需先整理摆好绳子位置.</w:t>
            </w:r>
          </w:p>
        </w:tc>
        <w:tc>
          <w:tcPr>
            <w:tcW w:w="1674" w:type="dxa"/>
            <w:shd w:val="clear" w:color="auto" w:fill="auto"/>
            <w:vAlign w:val="center"/>
          </w:tcPr>
          <w:p>
            <w:pPr>
              <w:keepNext w:val="0"/>
              <w:keepLines w:val="0"/>
              <w:widowControl/>
              <w:suppressLineNumbers w:val="0"/>
              <w:jc w:val="left"/>
              <w:textAlignment w:val="center"/>
              <w:rPr>
                <w:rStyle w:val="41"/>
                <w:rFonts w:hint="eastAsia"/>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rFonts w:hint="eastAsia"/>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rFonts w:hint="eastAsia"/>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rFonts w:hint="eastAsia"/>
                <w:lang w:val="en-US" w:eastAsia="zh-CN" w:bidi="ar"/>
              </w:rPr>
              <w:t>4</w:t>
            </w:r>
            <w:r>
              <w:rPr>
                <w:rStyle w:val="41"/>
                <w:lang w:val="en-US" w:eastAsia="zh-CN" w:bidi="ar"/>
              </w:rPr>
              <w:t>.不锈钢材料铸造，绳索内部</w:t>
            </w:r>
            <w:r>
              <w:rPr>
                <w:rStyle w:val="41"/>
                <w:rFonts w:hint="eastAsia"/>
                <w:lang w:val="en-US" w:eastAsia="zh-CN" w:bidi="ar"/>
              </w:rPr>
              <w:t>采用</w:t>
            </w:r>
            <w:r>
              <w:rPr>
                <w:rStyle w:val="41"/>
                <w:lang w:val="en-US" w:eastAsia="zh-CN" w:bidi="ar"/>
              </w:rPr>
              <w:t>不锈钢铁丝。</w:t>
            </w:r>
          </w:p>
        </w:tc>
        <w:tc>
          <w:tcPr>
            <w:tcW w:w="1674"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rFonts w:hint="default"/>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restart"/>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1"/>
                <w:szCs w:val="21"/>
                <w:u w:val="none"/>
              </w:rPr>
            </w:pPr>
            <w:r>
              <w:rPr>
                <w:rFonts w:hint="default" w:ascii="Calibri" w:hAnsi="Calibri" w:eastAsia="宋体" w:cs="Calibri"/>
                <w:b/>
                <w:bCs/>
                <w:i w:val="0"/>
                <w:iCs w:val="0"/>
                <w:color w:val="000000"/>
                <w:kern w:val="0"/>
                <w:sz w:val="21"/>
                <w:szCs w:val="21"/>
                <w:u w:val="none"/>
                <w:lang w:val="en-US" w:eastAsia="zh-CN" w:bidi="ar"/>
              </w:rPr>
              <w:t>22</w:t>
            </w:r>
          </w:p>
        </w:tc>
        <w:tc>
          <w:tcPr>
            <w:tcW w:w="90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1"/>
                <w:lang w:val="en-US" w:eastAsia="zh-CN" w:bidi="ar"/>
              </w:rPr>
              <w:t>防爆行为监视管理设备</w:t>
            </w: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一、尺寸：Ø13cm</w:t>
            </w:r>
            <w:r>
              <w:rPr>
                <w:rStyle w:val="47"/>
                <w:lang w:val="en-US" w:eastAsia="zh-CN" w:bidi="ar"/>
              </w:rPr>
              <w:t>×</w:t>
            </w:r>
            <w:r>
              <w:rPr>
                <w:rStyle w:val="41"/>
                <w:lang w:val="en-US" w:eastAsia="zh-CN" w:bidi="ar"/>
              </w:rPr>
              <w:t>12 cm(±2cm）</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1.具有400万像素 CMOS传感器。</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2.水平分辨力不小于1400TVL。</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3.需支持三码流技术，支持主码流2560x1440@30fps、第三码流1920x1080@30fps和子码流704x480@30fps输出。</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4.支持H.264、H.265、MJPEG视频编码格式，且具有High Profile编码能力。</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5.水平旋转范围不小于0°~340°，垂直旋转范围不小于0°~75°。</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6.支持IP68防护等级，IK10防暴等级。最低照度彩色：0.001 lx，黑白:0.0001 lx，亮度等级不小于11级。</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7.需支持本地SD卡存储，最大支持128G，并支持存储卡可使用时长显示。GA/T 1127-2013《安全防范视频监控摄像机通用技术要求》</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0"/>
                <w:lang w:val="en-US" w:eastAsia="zh-CN" w:bidi="ar"/>
              </w:rPr>
              <w:t>▲</w:t>
            </w:r>
            <w:r>
              <w:rPr>
                <w:rStyle w:val="41"/>
                <w:lang w:val="en-US" w:eastAsia="zh-CN" w:bidi="ar"/>
              </w:rPr>
              <w:t>8.支持对存储卡进行读写锁定，锁定后的存储卡在移动终端需要密码才能访问。</w:t>
            </w:r>
            <w:r>
              <w:rPr>
                <w:rStyle w:val="39"/>
                <w:rFonts w:hint="eastAsia" w:ascii="宋体" w:hAnsi="宋体" w:eastAsia="宋体" w:cs="宋体"/>
                <w:i w:val="0"/>
                <w:iCs w:val="0"/>
                <w:color w:val="000000"/>
                <w:highlight w:val="yellow"/>
                <w:lang w:val="en-US" w:eastAsia="zh-CN" w:bidi="ar"/>
              </w:rPr>
              <w:t>（需提供有标注CMA或CNAS认证的检测机构出具采用检验依据符合GA/T 1128-2013《安全防范视频监控高清晰度摄像机测量方法》要求合格的检测报告）</w:t>
            </w:r>
          </w:p>
        </w:tc>
        <w:tc>
          <w:tcPr>
            <w:tcW w:w="1674"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0"/>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9.摄像机能够在-40~60摄氏度环境下稳定工作。</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10.同一静止场景相同图像质量下，设备在H.265编码方式时，开启智能编码功能和不开启智能编码相比，码率节约1/2。</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11.具有抗丢包（10%）处理能力。</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12.当使用一个账户登录，密码输入错误达到5次时，该账户会被锁定一段时间。</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13.设置密码时，需可以自动提示密码复杂度为高、中、低。</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14.支持多问题验证密保功能，当忘记密码时，允许通过正确匹配密保问题，重新设置管理员密码。</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15.需支持DC12V与POE供电，且能在DC12V±30%范围内变化时可以正常工作。</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450" w:type="dxa"/>
            <w:vMerge w:val="continue"/>
            <w:shd w:val="clear" w:color="auto" w:fill="auto"/>
            <w:vAlign w:val="center"/>
          </w:tcPr>
          <w:p>
            <w:pPr>
              <w:jc w:val="center"/>
              <w:rPr>
                <w:rFonts w:hint="default" w:ascii="Calibri" w:hAnsi="Calibri" w:eastAsia="宋体" w:cs="Calibri"/>
                <w:b/>
                <w:bCs/>
                <w:i w:val="0"/>
                <w:iCs w:val="0"/>
                <w:color w:val="000000"/>
                <w:sz w:val="21"/>
                <w:szCs w:val="21"/>
                <w:u w:val="none"/>
              </w:rPr>
            </w:pPr>
          </w:p>
        </w:tc>
        <w:tc>
          <w:tcPr>
            <w:tcW w:w="900" w:type="dxa"/>
            <w:vMerge w:val="continue"/>
            <w:shd w:val="clear" w:color="auto" w:fill="auto"/>
            <w:vAlign w:val="center"/>
          </w:tcPr>
          <w:p>
            <w:pPr>
              <w:jc w:val="center"/>
              <w:rPr>
                <w:rFonts w:hint="eastAsia" w:ascii="宋体" w:hAnsi="宋体" w:eastAsia="宋体" w:cs="宋体"/>
                <w:i w:val="0"/>
                <w:iCs w:val="0"/>
                <w:color w:val="000000"/>
                <w:sz w:val="21"/>
                <w:szCs w:val="21"/>
                <w:u w:val="none"/>
              </w:rPr>
            </w:pPr>
          </w:p>
        </w:tc>
        <w:tc>
          <w:tcPr>
            <w:tcW w:w="32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1"/>
                <w:lang w:val="en-US" w:eastAsia="zh-CN" w:bidi="ar"/>
              </w:rPr>
              <w:t>16.防爆标志：Ex db ⅡC T6 Gb/Ex tb ⅢC T80℃ Db</w:t>
            </w:r>
          </w:p>
        </w:tc>
        <w:tc>
          <w:tcPr>
            <w:tcW w:w="1674"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059" w:type="dxa"/>
            <w:shd w:val="clear" w:color="auto" w:fill="auto"/>
            <w:vAlign w:val="center"/>
          </w:tcPr>
          <w:p>
            <w:pPr>
              <w:keepNext w:val="0"/>
              <w:keepLines w:val="0"/>
              <w:widowControl/>
              <w:suppressLineNumbers w:val="0"/>
              <w:jc w:val="left"/>
              <w:textAlignment w:val="center"/>
              <w:rPr>
                <w:rStyle w:val="41"/>
                <w:lang w:val="en-US" w:eastAsia="zh-CN" w:bidi="ar"/>
              </w:rPr>
            </w:pPr>
          </w:p>
        </w:tc>
        <w:tc>
          <w:tcPr>
            <w:tcW w:w="1367" w:type="dxa"/>
            <w:shd w:val="clear" w:color="auto" w:fill="auto"/>
            <w:vAlign w:val="center"/>
          </w:tcPr>
          <w:p>
            <w:pPr>
              <w:keepNext w:val="0"/>
              <w:keepLines w:val="0"/>
              <w:widowControl/>
              <w:suppressLineNumbers w:val="0"/>
              <w:jc w:val="left"/>
              <w:textAlignment w:val="center"/>
              <w:rPr>
                <w:rStyle w:val="41"/>
                <w:lang w:val="en-US" w:eastAsia="zh-CN" w:bidi="ar"/>
              </w:rPr>
            </w:pPr>
          </w:p>
        </w:tc>
      </w:tr>
    </w:tbl>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sz w:val="21"/>
          <w:szCs w:val="21"/>
        </w:rPr>
      </w:pPr>
    </w:p>
    <w:p>
      <w:pPr>
        <w:keepNext w:val="0"/>
        <w:keepLines w:val="0"/>
        <w:pageBreakBefore w:val="0"/>
        <w:kinsoku/>
        <w:wordWrap/>
        <w:overflowPunct/>
        <w:topLinePunct w:val="0"/>
        <w:autoSpaceDE/>
        <w:autoSpaceDN/>
        <w:bidi w:val="0"/>
        <w:adjustRightInd/>
        <w:snapToGrid/>
        <w:spacing w:beforeAutospacing="0" w:afterAutospacing="0"/>
        <w:textAlignment w:val="auto"/>
        <w:rPr>
          <w:sz w:val="21"/>
          <w:szCs w:val="21"/>
        </w:rPr>
      </w:pPr>
      <w:r>
        <w:rPr>
          <w:rFonts w:hint="eastAsia"/>
          <w:sz w:val="21"/>
          <w:szCs w:val="21"/>
        </w:rPr>
        <w:t>证明资料【如有的话，提供的证明资料应统一编号（排序），格式自定】</w:t>
      </w:r>
      <w:bookmarkEnd w:id="35"/>
      <w:r>
        <w:rPr>
          <w:rFonts w:hint="eastAsia"/>
          <w:sz w:val="21"/>
          <w:szCs w:val="21"/>
        </w:rPr>
        <w:t>：</w:t>
      </w:r>
    </w:p>
    <w:p>
      <w:pPr>
        <w:keepNext w:val="0"/>
        <w:keepLines w:val="0"/>
        <w:pageBreakBefore w:val="0"/>
        <w:kinsoku/>
        <w:wordWrap/>
        <w:overflowPunct/>
        <w:topLinePunct w:val="0"/>
        <w:autoSpaceDE/>
        <w:autoSpaceDN/>
        <w:bidi w:val="0"/>
        <w:adjustRightInd/>
        <w:snapToGrid/>
        <w:spacing w:beforeAutospacing="0" w:afterAutospacing="0"/>
        <w:textAlignment w:val="auto"/>
        <w:rPr>
          <w:b/>
          <w:sz w:val="21"/>
          <w:szCs w:val="21"/>
        </w:rPr>
      </w:pP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《技术要求偏离表》编制指引：</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outlineLvl w:val="9"/>
        <w:rPr>
          <w:b w:val="0"/>
          <w:bCs/>
          <w:sz w:val="21"/>
          <w:szCs w:val="21"/>
        </w:rPr>
      </w:pPr>
      <w:r>
        <w:rPr>
          <w:rFonts w:hint="eastAsia"/>
          <w:b w:val="0"/>
          <w:bCs/>
          <w:sz w:val="21"/>
          <w:szCs w:val="21"/>
        </w:rPr>
        <w:t>1、技术要求偏离表的序号、货物名称、招标技术要求等栏目</w:t>
      </w:r>
      <w:bookmarkStart w:id="36" w:name="_Hlk72094407"/>
      <w:r>
        <w:rPr>
          <w:rFonts w:hint="eastAsia"/>
          <w:b w:val="0"/>
          <w:bCs/>
          <w:sz w:val="21"/>
          <w:szCs w:val="21"/>
        </w:rPr>
        <w:t>对应“用户需求书”中的“技术要求”章节</w:t>
      </w:r>
      <w:bookmarkEnd w:id="36"/>
      <w:r>
        <w:rPr>
          <w:rFonts w:hint="eastAsia"/>
          <w:b w:val="0"/>
          <w:bCs/>
          <w:sz w:val="21"/>
          <w:szCs w:val="21"/>
        </w:rPr>
        <w:t>相关内容。</w:t>
      </w:r>
    </w:p>
    <w:p>
      <w:pPr>
        <w:pStyle w:val="14"/>
        <w:keepNext w:val="0"/>
        <w:keepLines w:val="0"/>
        <w:pageBreakBefore w:val="0"/>
        <w:widowControl/>
        <w:kinsoku/>
        <w:wordWrap/>
        <w:overflowPunct/>
        <w:topLinePunct w:val="0"/>
        <w:autoSpaceDE/>
        <w:autoSpaceDN/>
        <w:bidi w:val="0"/>
        <w:adjustRightInd/>
        <w:snapToGrid/>
        <w:spacing w:beforeAutospacing="0" w:afterAutospacing="0"/>
        <w:ind w:firstLine="420" w:firstLineChars="200"/>
        <w:jc w:val="both"/>
        <w:textAlignment w:val="auto"/>
        <w:outlineLvl w:val="9"/>
        <w:rPr>
          <w:rFonts w:hint="eastAsia" w:ascii="Times New Roman" w:hAnsi="Times New Roman" w:eastAsia="宋体" w:cs="Times New Roman"/>
          <w:b w:val="0"/>
          <w:bCs/>
          <w:color w:val="FF0000"/>
          <w:kern w:val="2"/>
          <w:sz w:val="21"/>
          <w:szCs w:val="21"/>
          <w:lang w:val="en-US" w:eastAsia="zh-CN"/>
        </w:rPr>
      </w:pPr>
      <w:r>
        <w:rPr>
          <w:b w:val="0"/>
          <w:bCs/>
          <w:sz w:val="21"/>
          <w:szCs w:val="21"/>
        </w:rPr>
        <w:t>2</w:t>
      </w:r>
      <w:r>
        <w:rPr>
          <w:rFonts w:hint="eastAsia"/>
          <w:b w:val="0"/>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 w:val="0"/>
          <w:bCs/>
          <w:color w:val="FF0000"/>
          <w:kern w:val="2"/>
          <w:sz w:val="21"/>
          <w:szCs w:val="21"/>
          <w:u w:val="none"/>
          <w:lang w:val="en-US" w:eastAsia="zh-CN"/>
        </w:rPr>
        <w:t>“投标技术响应”必须与</w:t>
      </w:r>
      <w:r>
        <w:rPr>
          <w:rFonts w:hint="eastAsia" w:cs="Times New Roman"/>
          <w:b w:val="0"/>
          <w:bCs/>
          <w:color w:val="FF0000"/>
          <w:kern w:val="2"/>
          <w:sz w:val="21"/>
          <w:szCs w:val="21"/>
          <w:u w:val="none"/>
          <w:lang w:val="en-US" w:eastAsia="zh-CN"/>
        </w:rPr>
        <w:t>所投产品</w:t>
      </w:r>
      <w:r>
        <w:rPr>
          <w:rFonts w:hint="eastAsia" w:ascii="Times New Roman" w:hAnsi="Times New Roman" w:eastAsia="宋体" w:cs="Times New Roman"/>
          <w:b w:val="0"/>
          <w:bCs/>
          <w:color w:val="FF0000"/>
          <w:kern w:val="2"/>
          <w:sz w:val="21"/>
          <w:szCs w:val="21"/>
          <w:u w:val="none"/>
          <w:lang w:val="en-US" w:eastAsia="zh-CN"/>
        </w:rPr>
        <w:t>客观实际保持一致，响应不实且情节严重的，经查实，将依法记入供应商诚信档案或受到行政处罚。</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u w:val="none"/>
          <w:lang w:val="en-US" w:eastAsia="zh-CN" w:bidi="ar-SA"/>
        </w:rPr>
      </w:pPr>
      <w:r>
        <w:rPr>
          <w:b w:val="0"/>
          <w:bCs/>
          <w:sz w:val="21"/>
          <w:szCs w:val="21"/>
        </w:rPr>
        <w:t>3</w:t>
      </w:r>
      <w:r>
        <w:rPr>
          <w:rFonts w:hint="eastAsia"/>
          <w:b w:val="0"/>
          <w:bCs/>
          <w:sz w:val="21"/>
          <w:szCs w:val="21"/>
        </w:rPr>
        <w:t>、</w:t>
      </w:r>
      <w:bookmarkStart w:id="37" w:name="_Hlk72158270"/>
      <w:r>
        <w:rPr>
          <w:rFonts w:hint="eastAsia"/>
          <w:b w:val="0"/>
          <w:bCs/>
          <w:sz w:val="21"/>
          <w:szCs w:val="21"/>
        </w:rPr>
        <w:t>“偏离情况”</w:t>
      </w:r>
      <w:bookmarkEnd w:id="37"/>
      <w:r>
        <w:rPr>
          <w:rFonts w:hint="eastAsia"/>
          <w:b w:val="0"/>
          <w:bCs/>
          <w:sz w:val="21"/>
          <w:szCs w:val="21"/>
        </w:rPr>
        <w:t>一栏填写如实填写“正偏离”、“负偏离”或“无偏离”，其中：</w:t>
      </w:r>
      <w:bookmarkStart w:id="38" w:name="_Hlk72093866"/>
      <w:r>
        <w:rPr>
          <w:rFonts w:hint="eastAsia"/>
          <w:b w:val="0"/>
          <w:bCs/>
          <w:sz w:val="21"/>
          <w:szCs w:val="21"/>
        </w:rPr>
        <w:t>“正偏离”表示“投标响应优于招标技术要求”，“负偏离”表示“投标响应不满足招标技术要求”，“无偏离”表示“投标响应与招标技术要求一致”</w:t>
      </w:r>
      <w:bookmarkEnd w:id="38"/>
      <w:r>
        <w:rPr>
          <w:rFonts w:hint="eastAsia"/>
          <w:b w:val="0"/>
          <w:bCs/>
          <w:sz w:val="21"/>
          <w:szCs w:val="21"/>
        </w:rPr>
        <w:t>。“投标技术响应”对比“招标技术要求”存在响应不全（包括未响应整项招标技术要求或者未响应一项招标技术要求的部分内容），均视为“负偏离”。带★号条款为不可</w:t>
      </w:r>
      <w:r>
        <w:rPr>
          <w:rFonts w:hint="eastAsia"/>
          <w:b w:val="0"/>
          <w:bCs/>
          <w:sz w:val="21"/>
          <w:szCs w:val="21"/>
          <w:lang w:val="en-US" w:eastAsia="zh-CN"/>
        </w:rPr>
        <w:t>负</w:t>
      </w:r>
      <w:r>
        <w:rPr>
          <w:rFonts w:hint="eastAsia"/>
          <w:b w:val="0"/>
          <w:bCs/>
          <w:sz w:val="21"/>
          <w:szCs w:val="21"/>
        </w:rPr>
        <w:t>偏离条款，不作为评分准则中的评分内容</w:t>
      </w:r>
      <w:r>
        <w:rPr>
          <w:rFonts w:hint="eastAsia" w:eastAsia="宋体"/>
          <w:b w:val="0"/>
          <w:bCs/>
          <w:sz w:val="21"/>
          <w:szCs w:val="21"/>
          <w:lang w:eastAsia="zh-CN"/>
        </w:rPr>
        <w:t>，</w:t>
      </w:r>
      <w:r>
        <w:rPr>
          <w:rFonts w:hint="eastAsia"/>
          <w:b w:val="0"/>
          <w:bCs/>
          <w:sz w:val="21"/>
          <w:szCs w:val="21"/>
        </w:rPr>
        <w:t>如未响应或出现负偏离的，将</w:t>
      </w:r>
      <w:r>
        <w:rPr>
          <w:rFonts w:hint="eastAsia"/>
          <w:b w:val="0"/>
          <w:bCs/>
          <w:sz w:val="21"/>
          <w:szCs w:val="21"/>
          <w:lang w:val="en-US" w:eastAsia="zh-CN"/>
        </w:rPr>
        <w:t>做</w:t>
      </w:r>
      <w:r>
        <w:rPr>
          <w:rFonts w:hint="eastAsia"/>
          <w:b w:val="0"/>
          <w:bCs/>
          <w:sz w:val="21"/>
          <w:szCs w:val="21"/>
        </w:rPr>
        <w:t>投标无效处理</w:t>
      </w:r>
      <w:r>
        <w:rPr>
          <w:rFonts w:hint="eastAsia"/>
          <w:b w:val="0"/>
          <w:bCs/>
          <w:sz w:val="21"/>
          <w:szCs w:val="21"/>
          <w:lang w:val="en-US" w:eastAsia="zh-CN"/>
        </w:rPr>
        <w:t>。</w:t>
      </w:r>
      <w:r>
        <w:rPr>
          <w:rFonts w:hint="eastAsia" w:ascii="Times New Roman" w:hAnsi="Times New Roman" w:eastAsia="宋体" w:cs="Times New Roman"/>
          <w:b w:val="0"/>
          <w:bCs/>
          <w:color w:val="FF0000"/>
          <w:kern w:val="2"/>
          <w:sz w:val="21"/>
          <w:szCs w:val="21"/>
          <w:u w:val="none"/>
          <w:lang w:val="en-US" w:eastAsia="zh-CN" w:bidi="ar-SA"/>
        </w:rPr>
        <w:t>“偏离情况”必须与所投产品客观实际保持一致，响应不实且情节严重的，经查实，将依法记入供应商诚信档案或受到行政处罚。</w:t>
      </w:r>
    </w:p>
    <w:p>
      <w:pPr>
        <w:ind w:firstLine="420" w:firstLineChars="200"/>
        <w:rPr>
          <w:b w:val="0"/>
          <w:bCs/>
          <w:sz w:val="21"/>
          <w:szCs w:val="21"/>
        </w:rPr>
      </w:pPr>
      <w:r>
        <w:rPr>
          <w:b w:val="0"/>
          <w:bCs/>
          <w:sz w:val="21"/>
          <w:szCs w:val="21"/>
        </w:rPr>
        <w:t>4</w:t>
      </w:r>
      <w:r>
        <w:rPr>
          <w:rFonts w:hint="eastAsia"/>
          <w:b w:val="0"/>
          <w:bCs/>
          <w:sz w:val="21"/>
          <w:szCs w:val="21"/>
        </w:rPr>
        <w:t>、未要求提供证明资料的招标技术要求，可以不提供证明资料（如实响应即可）。</w:t>
      </w:r>
    </w:p>
    <w:p>
      <w:pPr>
        <w:ind w:firstLine="420" w:firstLineChars="200"/>
        <w:rPr>
          <w:b w:val="0"/>
          <w:bCs/>
          <w:sz w:val="21"/>
          <w:szCs w:val="21"/>
        </w:rPr>
      </w:pPr>
      <w:r>
        <w:rPr>
          <w:rFonts w:hint="eastAsia"/>
          <w:b w:val="0"/>
          <w:bCs/>
          <w:sz w:val="21"/>
          <w:szCs w:val="21"/>
        </w:rPr>
        <w:t>5、</w:t>
      </w:r>
      <w:bookmarkStart w:id="39" w:name="_Hlk72096106"/>
      <w:r>
        <w:rPr>
          <w:rFonts w:hint="eastAsia"/>
          <w:b w:val="0"/>
          <w:bCs/>
          <w:sz w:val="21"/>
          <w:szCs w:val="21"/>
        </w:rPr>
        <w:t>证明资料条款响应要求</w:t>
      </w:r>
      <w:bookmarkEnd w:id="39"/>
      <w:r>
        <w:rPr>
          <w:rFonts w:hint="eastAsia"/>
          <w:b w:val="0"/>
          <w:bCs/>
          <w:sz w:val="21"/>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0" w:name="_Hlk73558782"/>
      <w:r>
        <w:rPr>
          <w:rFonts w:hint="eastAsia"/>
          <w:b w:val="0"/>
          <w:bCs/>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1" w:name="_Hlk73558164"/>
      <w:r>
        <w:rPr>
          <w:rFonts w:hint="eastAsia"/>
          <w:b w:val="0"/>
          <w:bCs/>
          <w:sz w:val="21"/>
          <w:szCs w:val="21"/>
        </w:rPr>
        <w:t>且投标人在“偏离情况”一栏响应为“正偏离”或“无偏离”的，经评审委员会认定，将判定为负偏离。</w:t>
      </w:r>
      <w:bookmarkEnd w:id="40"/>
      <w:bookmarkEnd w:id="41"/>
    </w:p>
    <w:p>
      <w:pPr>
        <w:ind w:firstLine="420" w:firstLineChars="200"/>
        <w:rPr>
          <w:b w:val="0"/>
          <w:bCs/>
          <w:sz w:val="21"/>
          <w:szCs w:val="21"/>
        </w:rPr>
      </w:pPr>
      <w:r>
        <w:rPr>
          <w:rFonts w:hint="eastAsia"/>
          <w:b w:val="0"/>
          <w:bCs/>
          <w:sz w:val="21"/>
          <w:szCs w:val="21"/>
        </w:rPr>
        <w:t>6、</w:t>
      </w:r>
      <w:bookmarkStart w:id="42" w:name="_Hlk72096137"/>
      <w:r>
        <w:rPr>
          <w:rFonts w:hint="eastAsia"/>
          <w:b w:val="0"/>
          <w:bCs/>
          <w:sz w:val="21"/>
          <w:szCs w:val="21"/>
        </w:rPr>
        <w:t>表后“证明资料”部分内容的编制</w:t>
      </w:r>
      <w:bookmarkEnd w:id="42"/>
      <w:r>
        <w:rPr>
          <w:rFonts w:hint="eastAsia"/>
          <w:b w:val="0"/>
          <w:bCs/>
          <w:sz w:val="21"/>
          <w:szCs w:val="21"/>
        </w:rPr>
        <w:t>：提供的所有证明资料应当统一编号（排序），且证明资料的编号（顺序）、数量和名称（形式）均应与“说明”一栏所填内容保持一致（一一对应），以便评审委员会查看。</w:t>
      </w:r>
      <w:bookmarkStart w:id="43" w:name="_Hlk73558180"/>
      <w:r>
        <w:rPr>
          <w:rFonts w:hint="eastAsia"/>
          <w:b w:val="0"/>
          <w:bCs/>
          <w:sz w:val="21"/>
          <w:szCs w:val="21"/>
        </w:rPr>
        <w:t>未按照招标文件要求在表后放置证明材料的供应商将承担不利后果，经评审委员会认定，相关技术要求将判定为负偏离。</w:t>
      </w:r>
      <w:bookmarkEnd w:id="43"/>
    </w:p>
    <w:p>
      <w:pPr>
        <w:ind w:firstLine="420" w:firstLineChars="200"/>
        <w:rPr>
          <w:b w:val="0"/>
          <w:bCs/>
          <w:sz w:val="21"/>
          <w:szCs w:val="21"/>
        </w:rPr>
      </w:pPr>
      <w:r>
        <w:rPr>
          <w:rFonts w:hint="eastAsia"/>
          <w:b w:val="0"/>
          <w:bCs/>
          <w:sz w:val="21"/>
          <w:szCs w:val="21"/>
        </w:rPr>
        <w:t>7、</w:t>
      </w:r>
      <w:bookmarkStart w:id="44" w:name="_Hlk72096176"/>
      <w:r>
        <w:rPr>
          <w:rFonts w:hint="eastAsia"/>
          <w:b w:val="0"/>
          <w:bCs/>
          <w:sz w:val="21"/>
          <w:szCs w:val="21"/>
        </w:rPr>
        <w:t>证明资料的形式及其它具体要求</w:t>
      </w:r>
      <w:bookmarkEnd w:id="44"/>
      <w:r>
        <w:rPr>
          <w:rFonts w:hint="eastAsia"/>
          <w:b w:val="0"/>
          <w:bCs/>
          <w:sz w:val="21"/>
          <w:szCs w:val="21"/>
        </w:rPr>
        <w:t>：</w:t>
      </w:r>
    </w:p>
    <w:p>
      <w:pPr>
        <w:ind w:firstLine="420" w:firstLineChars="200"/>
        <w:rPr>
          <w:b w:val="0"/>
          <w:bCs/>
          <w:sz w:val="21"/>
          <w:szCs w:val="21"/>
        </w:rPr>
      </w:pPr>
      <w:r>
        <w:rPr>
          <w:rFonts w:hint="eastAsia"/>
          <w:b w:val="0"/>
          <w:bCs/>
          <w:sz w:val="21"/>
          <w:szCs w:val="21"/>
        </w:rPr>
        <w:t>（1）除照片、图片（截图）及不需加盖公章的文字说明（技术说明）外，其它证明资料均要求为原件扫描件；</w:t>
      </w:r>
    </w:p>
    <w:p>
      <w:pPr>
        <w:ind w:firstLine="420" w:firstLineChars="200"/>
        <w:rPr>
          <w:b w:val="0"/>
          <w:bCs/>
          <w:sz w:val="21"/>
          <w:szCs w:val="21"/>
        </w:rPr>
      </w:pPr>
      <w:r>
        <w:rPr>
          <w:rFonts w:hint="eastAsia"/>
          <w:b w:val="0"/>
          <w:bCs/>
          <w:sz w:val="21"/>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val="0"/>
          <w:bCs/>
          <w:sz w:val="21"/>
          <w:szCs w:val="21"/>
        </w:rPr>
      </w:pPr>
      <w:r>
        <w:rPr>
          <w:rFonts w:hint="eastAsia"/>
          <w:b w:val="0"/>
          <w:bCs/>
          <w:sz w:val="21"/>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val="0"/>
          <w:bCs/>
          <w:sz w:val="21"/>
          <w:szCs w:val="21"/>
        </w:rPr>
      </w:pPr>
      <w:r>
        <w:rPr>
          <w:rFonts w:hint="eastAsia"/>
          <w:b w:val="0"/>
          <w:bCs/>
          <w:sz w:val="21"/>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val="0"/>
          <w:bCs/>
          <w:sz w:val="21"/>
          <w:szCs w:val="21"/>
        </w:rPr>
      </w:pPr>
      <w:r>
        <w:rPr>
          <w:rFonts w:hint="eastAsia"/>
          <w:b w:val="0"/>
          <w:bCs/>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val="0"/>
          <w:bCs/>
          <w:sz w:val="21"/>
          <w:szCs w:val="21"/>
        </w:rPr>
      </w:pPr>
      <w:r>
        <w:rPr>
          <w:rFonts w:hint="eastAsia"/>
          <w:b w:val="0"/>
          <w:bCs/>
          <w:sz w:val="21"/>
          <w:szCs w:val="21"/>
        </w:rPr>
        <w:t>其它证明资料的形式要求参照以上要求执行；</w:t>
      </w:r>
    </w:p>
    <w:p>
      <w:pPr>
        <w:ind w:firstLine="420" w:firstLineChars="200"/>
        <w:rPr>
          <w:b w:val="0"/>
          <w:bCs/>
          <w:sz w:val="21"/>
          <w:szCs w:val="21"/>
        </w:rPr>
      </w:pPr>
      <w:r>
        <w:rPr>
          <w:rFonts w:hint="eastAsia"/>
          <w:b w:val="0"/>
          <w:bCs/>
          <w:sz w:val="21"/>
          <w:szCs w:val="21"/>
        </w:rPr>
        <w:t>（4）证明资料均要求原件备查。</w:t>
      </w:r>
    </w:p>
    <w:p>
      <w:pPr>
        <w:ind w:firstLine="420" w:firstLineChars="200"/>
        <w:rPr>
          <w:b w:val="0"/>
          <w:bCs/>
          <w:sz w:val="21"/>
          <w:szCs w:val="21"/>
        </w:rPr>
      </w:pPr>
      <w:r>
        <w:rPr>
          <w:rFonts w:hint="eastAsia"/>
          <w:b w:val="0"/>
          <w:bCs/>
          <w:sz w:val="21"/>
          <w:szCs w:val="21"/>
        </w:rPr>
        <w:t>8、其它注意事项：</w:t>
      </w:r>
    </w:p>
    <w:p>
      <w:pPr>
        <w:ind w:firstLine="420" w:firstLineChars="200"/>
        <w:rPr>
          <w:b w:val="0"/>
          <w:bCs/>
          <w:sz w:val="21"/>
          <w:szCs w:val="21"/>
        </w:rPr>
      </w:pPr>
      <w:r>
        <w:rPr>
          <w:rFonts w:hint="eastAsia"/>
          <w:b w:val="0"/>
          <w:bCs/>
          <w:sz w:val="21"/>
          <w:szCs w:val="21"/>
        </w:rPr>
        <w:t>（1）评审委员会有权对投标人的响应情况作出判断（评审结论）；</w:t>
      </w:r>
    </w:p>
    <w:p>
      <w:pPr>
        <w:ind w:firstLine="420" w:firstLineChars="200"/>
        <w:rPr>
          <w:b w:val="0"/>
          <w:bCs/>
          <w:sz w:val="21"/>
          <w:szCs w:val="21"/>
        </w:rPr>
      </w:pPr>
      <w:r>
        <w:rPr>
          <w:rFonts w:hint="eastAsia"/>
          <w:b w:val="0"/>
          <w:bCs/>
          <w:sz w:val="21"/>
          <w:szCs w:val="21"/>
        </w:rPr>
        <w:t>（2）</w:t>
      </w:r>
      <w:bookmarkStart w:id="45" w:name="_Hlk72158213"/>
      <w:r>
        <w:rPr>
          <w:rFonts w:hint="eastAsia"/>
          <w:b w:val="0"/>
          <w:bCs/>
          <w:sz w:val="21"/>
          <w:szCs w:val="21"/>
        </w:rPr>
        <w:t>评审委员会有权对以谋取中标为目的的技术规格模糊响应（如有意不合理照搬照抄招标文件的技术要求）或虚假响应予以认定，并视情况经政府集中采购机构报主管部门进行处理。</w:t>
      </w:r>
      <w:bookmarkEnd w:id="45"/>
    </w:p>
    <w:p>
      <w:pPr>
        <w:ind w:firstLine="482" w:firstLineChars="200"/>
        <w:rPr>
          <w:b/>
          <w:sz w:val="24"/>
        </w:rPr>
      </w:pPr>
    </w:p>
    <w:p>
      <w:pPr>
        <w:ind w:firstLine="482" w:firstLineChars="200"/>
        <w:rPr>
          <w:rFonts w:hint="eastAsia"/>
          <w:b/>
          <w:sz w:val="24"/>
        </w:rPr>
      </w:pPr>
    </w:p>
    <w:p>
      <w:pPr>
        <w:ind w:firstLine="482" w:firstLineChars="200"/>
        <w:rPr>
          <w:rFonts w:hint="eastAsia"/>
          <w:b/>
          <w:sz w:val="24"/>
        </w:rPr>
      </w:pPr>
    </w:p>
    <w:p>
      <w:pPr>
        <w:rPr>
          <w:sz w:val="24"/>
        </w:rPr>
      </w:pPr>
      <w:r>
        <w:rPr>
          <w:rFonts w:ascii="宋体" w:hAnsi="宋体" w:eastAsia="宋体" w:cs="Times New Roman"/>
          <w:color w:val="FF0000"/>
          <w:sz w:val="32"/>
          <w:szCs w:val="32"/>
        </w:rPr>
        <w:br w:type="page"/>
      </w:r>
    </w:p>
    <w:p>
      <w:pPr>
        <w:keepNext w:val="0"/>
        <w:keepLines w:val="0"/>
        <w:pageBreakBefore w:val="0"/>
        <w:widowControl/>
        <w:kinsoku/>
        <w:wordWrap/>
        <w:overflowPunct/>
        <w:topLinePunct w:val="0"/>
        <w:autoSpaceDE/>
        <w:autoSpaceDN/>
        <w:bidi w:val="0"/>
        <w:adjustRightInd/>
        <w:snapToGrid/>
        <w:jc w:val="center"/>
        <w:textAlignment w:val="auto"/>
        <w:outlineLvl w:val="2"/>
        <w:rPr>
          <w:rFonts w:ascii="黑体" w:hAnsi="宋体" w:eastAsia="黑体"/>
          <w:kern w:val="0"/>
          <w:sz w:val="24"/>
          <w:szCs w:val="20"/>
        </w:rPr>
      </w:pPr>
      <w:r>
        <w:rPr>
          <w:rFonts w:hint="eastAsia" w:ascii="黑体" w:eastAsia="黑体"/>
          <w:b w:val="0"/>
          <w:bCs w:val="0"/>
          <w:sz w:val="24"/>
          <w:szCs w:val="20"/>
          <w:highlight w:val="none"/>
          <w:lang w:val="en-US" w:eastAsia="zh-CN"/>
        </w:rPr>
        <w:t>六</w:t>
      </w:r>
      <w:r>
        <w:rPr>
          <w:rFonts w:hint="eastAsia" w:ascii="黑体" w:eastAsia="黑体"/>
          <w:b w:val="0"/>
          <w:bCs w:val="0"/>
          <w:sz w:val="24"/>
          <w:szCs w:val="20"/>
          <w:highlight w:val="none"/>
        </w:rPr>
        <w:t>、</w:t>
      </w:r>
      <w:r>
        <w:rPr>
          <w:rFonts w:hint="eastAsia" w:ascii="黑体" w:hAnsi="宋体" w:eastAsia="黑体"/>
          <w:kern w:val="0"/>
          <w:sz w:val="24"/>
          <w:szCs w:val="20"/>
          <w:highlight w:val="none"/>
        </w:rPr>
        <w:t>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6"/>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wordWrap/>
        <w:autoSpaceDE w:val="0"/>
        <w:autoSpaceDN w:val="0"/>
        <w:spacing w:line="400" w:lineRule="exact"/>
        <w:ind w:right="1414" w:firstLine="480" w:firstLineChars="200"/>
        <w:jc w:val="right"/>
        <w:rPr>
          <w:rFonts w:eastAsiaTheme="minorEastAsia"/>
          <w:kern w:val="0"/>
          <w:sz w:val="24"/>
        </w:rPr>
      </w:pPr>
    </w:p>
    <w:p>
      <w:pPr>
        <w:widowControl/>
        <w:wordWrap/>
        <w:autoSpaceDE w:val="0"/>
        <w:autoSpaceDN w:val="0"/>
        <w:spacing w:line="400" w:lineRule="exact"/>
        <w:ind w:right="1414" w:firstLine="480" w:firstLineChars="200"/>
        <w:jc w:val="right"/>
        <w:rPr>
          <w:rFonts w:eastAsiaTheme="minorEastAsia"/>
          <w:kern w:val="0"/>
          <w:sz w:val="24"/>
        </w:rPr>
      </w:pPr>
    </w:p>
    <w:p>
      <w:pPr>
        <w:widowControl/>
        <w:wordWrap/>
        <w:autoSpaceDE w:val="0"/>
        <w:autoSpaceDN w:val="0"/>
        <w:spacing w:line="400" w:lineRule="exact"/>
        <w:ind w:right="1414" w:firstLine="480" w:firstLineChars="200"/>
        <w:jc w:val="left"/>
        <w:rPr>
          <w:rFonts w:eastAsiaTheme="minorEastAsia"/>
          <w:kern w:val="0"/>
          <w:sz w:val="24"/>
        </w:rPr>
      </w:pP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outlineLvl w:val="2"/>
        <w:rPr>
          <w:rFonts w:hint="eastAsia" w:ascii="黑体" w:hAnsi="黑体" w:eastAsia="黑体" w:cs="黑体"/>
          <w:lang w:val="en-US" w:eastAsia="zh-CN"/>
        </w:rPr>
      </w:pPr>
      <w:r>
        <w:rPr>
          <w:rFonts w:hint="eastAsia" w:ascii="黑体" w:hAnsi="黑体" w:eastAsia="黑体" w:cs="黑体"/>
          <w:kern w:val="2"/>
          <w:sz w:val="24"/>
          <w:szCs w:val="24"/>
          <w:lang w:val="en-US" w:eastAsia="zh-CN" w:bidi="ar-SA"/>
        </w:rPr>
        <w:t>七、</w:t>
      </w:r>
      <w:r>
        <w:rPr>
          <w:rFonts w:hint="eastAsia" w:ascii="黑体" w:hAnsi="黑体" w:eastAsia="黑体" w:cs="黑体"/>
          <w:sz w:val="24"/>
          <w:szCs w:val="24"/>
          <w:lang w:val="en-US" w:eastAsia="zh-CN"/>
        </w:rPr>
        <w:t>技术保障措施</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outlineLvl w:val="2"/>
        <w:rPr>
          <w:rFonts w:ascii="黑体" w:hAnsi="宋体" w:eastAsia="黑体"/>
          <w:kern w:val="0"/>
          <w:sz w:val="24"/>
          <w:szCs w:val="20"/>
        </w:rPr>
      </w:pPr>
      <w:r>
        <w:rPr>
          <w:rFonts w:hint="eastAsia" w:ascii="黑体" w:hAnsi="宋体" w:eastAsia="黑体" w:cstheme="minorBidi"/>
          <w:kern w:val="0"/>
          <w:sz w:val="24"/>
          <w:szCs w:val="20"/>
          <w:lang w:val="en-US" w:eastAsia="zh-CN" w:bidi="ar-SA"/>
        </w:rPr>
        <w:t>八、项目实施方案</w:t>
      </w:r>
    </w:p>
    <w:p>
      <w:pPr>
        <w:rPr>
          <w:rFonts w:hint="eastAsia" w:ascii="黑体" w:hAnsi="宋体" w:eastAsia="黑体" w:cstheme="minorBidi"/>
          <w:kern w:val="0"/>
          <w:sz w:val="24"/>
          <w:szCs w:val="20"/>
          <w:lang w:val="en-US" w:eastAsia="zh-CN" w:bidi="ar-SA"/>
        </w:rPr>
      </w:pPr>
      <w:r>
        <w:rPr>
          <w:rFonts w:hint="eastAsia" w:ascii="黑体" w:hAnsi="宋体" w:eastAsia="黑体" w:cstheme="minorBidi"/>
          <w:kern w:val="0"/>
          <w:sz w:val="24"/>
          <w:szCs w:val="20"/>
          <w:lang w:val="en-US" w:eastAsia="zh-CN" w:bidi="ar-SA"/>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outlineLvl w:val="2"/>
        <w:rPr>
          <w:rFonts w:hint="eastAsia" w:ascii="黑体" w:hAnsi="黑体" w:eastAsia="黑体" w:cs="黑体"/>
          <w:kern w:val="0"/>
          <w:sz w:val="24"/>
          <w:szCs w:val="20"/>
          <w:lang w:val="en-US" w:eastAsia="zh-CN"/>
        </w:rPr>
      </w:pPr>
      <w:r>
        <w:rPr>
          <w:rFonts w:hint="eastAsia" w:ascii="黑体" w:hAnsi="宋体" w:eastAsia="黑体" w:cstheme="minorBidi"/>
          <w:kern w:val="0"/>
          <w:sz w:val="24"/>
          <w:szCs w:val="20"/>
          <w:lang w:val="en-US" w:eastAsia="zh-CN" w:bidi="ar-SA"/>
        </w:rPr>
        <w:t>九、</w:t>
      </w:r>
      <w:r>
        <w:rPr>
          <w:rFonts w:hint="eastAsia" w:ascii="黑体" w:hAnsi="黑体" w:eastAsia="黑体" w:cs="黑体"/>
          <w:kern w:val="0"/>
          <w:sz w:val="24"/>
          <w:szCs w:val="20"/>
          <w:lang w:val="en-US" w:eastAsia="zh-CN"/>
        </w:rPr>
        <w:t>现场勘察</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outlineLvl w:val="2"/>
        <w:rPr>
          <w:rFonts w:ascii="黑体" w:hAnsi="宋体" w:eastAsia="黑体"/>
          <w:kern w:val="0"/>
          <w:sz w:val="24"/>
          <w:szCs w:val="20"/>
        </w:rPr>
      </w:pPr>
      <w:r>
        <w:rPr>
          <w:rFonts w:hint="eastAsia" w:ascii="黑体" w:hAnsi="宋体" w:eastAsia="黑体" w:cstheme="minorBidi"/>
          <w:kern w:val="0"/>
          <w:sz w:val="24"/>
          <w:szCs w:val="20"/>
          <w:lang w:val="en-US" w:eastAsia="zh-CN" w:bidi="ar-SA"/>
        </w:rPr>
        <w:t>十、</w:t>
      </w:r>
      <w:r>
        <w:rPr>
          <w:rFonts w:hint="eastAsia" w:ascii="黑体" w:hAnsi="黑体" w:eastAsia="黑体" w:cs="黑体"/>
          <w:kern w:val="0"/>
          <w:sz w:val="24"/>
          <w:szCs w:val="20"/>
        </w:rPr>
        <w:t>投标人认为需要加</w:t>
      </w:r>
      <w:r>
        <w:rPr>
          <w:rFonts w:hint="eastAsia" w:ascii="黑体" w:hAnsi="宋体" w:eastAsia="黑体"/>
          <w:kern w:val="0"/>
          <w:sz w:val="24"/>
          <w:szCs w:val="20"/>
        </w:rPr>
        <w:t>以说明的其他内容（格式自定）</w:t>
      </w: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spacing w:afterLines="25" w:line="300" w:lineRule="auto"/>
        <w:rPr>
          <w:rFonts w:hint="eastAsia" w:ascii="Arial" w:hAnsi="Arial" w:eastAsia="宋体" w:cs="Times New Roman"/>
          <w:sz w:val="24"/>
          <w:szCs w:val="2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46" w:name="_Hlk72574405"/>
      <w:r>
        <w:rPr>
          <w:rFonts w:hint="eastAsia"/>
          <w:b/>
          <w:sz w:val="24"/>
        </w:rPr>
        <w:t>（仅供参考，具体以项目需求及采购结果为准）</w:t>
      </w:r>
      <w:bookmarkEnd w:id="46"/>
    </w:p>
    <w:p>
      <w:pPr>
        <w:snapToGrid w:val="0"/>
        <w:spacing w:line="300" w:lineRule="auto"/>
        <w:jc w:val="center"/>
        <w:rPr>
          <w:rFonts w:ascii="仿宋" w:hAnsi="仿宋" w:eastAsia="仿宋" w:cs="Times New Roman"/>
          <w:sz w:val="28"/>
          <w:szCs w:val="28"/>
        </w:rPr>
      </w:pP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政府采购货物买卖合同</w:t>
      </w:r>
    </w:p>
    <w:p>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rPr>
          <w:rFonts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p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pPr>
        <w:ind w:firstLine="640" w:firstLineChars="200"/>
        <w:rPr>
          <w:rFonts w:hint="default" w:eastAsia="黑体"/>
          <w:sz w:val="44"/>
          <w:szCs w:val="44"/>
          <w:lang w:val="en-US"/>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w:t>
      </w:r>
    </w:p>
    <w:p>
      <w:pPr>
        <w:keepNext/>
        <w:keepLines/>
        <w:widowControl w:val="0"/>
        <w:adjustRightInd w:val="0"/>
        <w:snapToGrid w:val="0"/>
        <w:spacing w:beforeLines="0" w:line="400" w:lineRule="exact"/>
        <w:jc w:val="both"/>
        <w:outlineLvl w:val="1"/>
        <w:rPr>
          <w:rFonts w:hint="eastAsia" w:ascii="黑体" w:hAnsi="华文中宋" w:eastAsia="黑体" w:cs="Times New Roman"/>
          <w:b w:val="0"/>
          <w:bCs w:val="0"/>
          <w:kern w:val="2"/>
          <w:sz w:val="28"/>
          <w:szCs w:val="28"/>
          <w:lang w:val="en-US" w:eastAsia="zh-CN" w:bidi="ar-SA"/>
        </w:rPr>
      </w:pPr>
      <w:bookmarkStart w:id="47" w:name="_Toc22209"/>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政府采购合同协议书</w:t>
      </w:r>
      <w:bookmarkEnd w:id="47"/>
    </w:p>
    <w:p>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beforeLines="0" w:line="400" w:lineRule="exact"/>
        <w:rPr>
          <w:rFonts w:hint="default" w:eastAsia="宋体"/>
          <w:lang w:val="en-US" w:eastAsia="zh-CN"/>
        </w:rPr>
      </w:pP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pPr>
        <w:numPr>
          <w:ilvl w:val="0"/>
          <w:numId w:val="5"/>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pPr>
        <w:widowControl w:val="0"/>
        <w:numPr>
          <w:ilvl w:val="0"/>
          <w:numId w:val="6"/>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（注：关键部件是指财政部会同有关部门发布的政府采购需求标准规定的需要通过国家有关部门指定的测评机构开展的安全可靠测评的软硬件，如CPU芯片、操作系统、数据库等。）</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）政府采购组织形式：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）政府采购方式：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pPr>
        <w:numPr>
          <w:ilvl w:val="0"/>
          <w:numId w:val="5"/>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5"/>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5"/>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pPr>
        <w:numPr>
          <w:ilvl w:val="0"/>
          <w:numId w:val="7"/>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）政府采购合同专用条款</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）政府采购合同通用条款</w:t>
      </w:r>
    </w:p>
    <w:p>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5"/>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pPr>
        <w:rPr>
          <w:rFonts w:hint="eastAsia" w:eastAsia="宋体"/>
        </w:rPr>
      </w:pPr>
      <w:r>
        <w:rPr>
          <w:rFonts w:hint="eastAsia" w:eastAsia="宋体"/>
        </w:rPr>
        <w:br w:type="page"/>
      </w:r>
    </w:p>
    <w:p>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pPr>
        <w:keepNext w:val="0"/>
        <w:keepLines w:val="0"/>
        <w:pageBreakBefore w:val="0"/>
        <w:widowControl w:val="0"/>
        <w:kinsoku/>
        <w:wordWrap/>
        <w:overflowPunct/>
        <w:topLinePunct w:val="0"/>
        <w:autoSpaceDE/>
        <w:autoSpaceDN/>
        <w:bidi w:val="0"/>
        <w:adjustRightInd/>
        <w:snapToGrid/>
        <w:ind w:firstLine="527" w:firstLineChars="250"/>
        <w:textAlignment w:val="auto"/>
        <w:outlineLvl w:val="9"/>
        <w:rPr>
          <w:rFonts w:ascii="宋体" w:hAnsi="宋体"/>
          <w:b/>
          <w:szCs w:val="21"/>
        </w:rPr>
      </w:pPr>
    </w:p>
    <w:p>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bookmarkStart w:id="48" w:name="_Toc27624"/>
      <w:r>
        <w:rPr>
          <w:rFonts w:hint="eastAsia" w:ascii="黑体" w:hAnsi="黑体" w:eastAsia="黑体" w:cs="Times New Roman"/>
          <w:b w:val="0"/>
          <w:bCs w:val="0"/>
          <w:kern w:val="2"/>
          <w:sz w:val="28"/>
          <w:szCs w:val="28"/>
          <w:lang w:val="en-US" w:eastAsia="zh-CN" w:bidi="ar-SA"/>
        </w:rPr>
        <w:t>第二节 政府采购合同通用条款</w:t>
      </w:r>
      <w:bookmarkEnd w:id="48"/>
    </w:p>
    <w:p>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（1）采购人（以下称甲方）是指使用财政性资金，通过政府采购方式向供应商购买货物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方）是指参加政府采购活动并且中标（成交），向采购人提供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政府采购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政府采购合同专用条款</w:t>
      </w:r>
      <w:r>
        <w:rPr>
          <w:rFonts w:hint="eastAsia" w:ascii="宋体" w:hAnsi="宋体" w:eastAsia="宋体"/>
          <w:szCs w:val="21"/>
          <w:lang w:eastAsia="zh-CN"/>
        </w:rPr>
        <w:t>，</w:t>
      </w:r>
      <w:r>
        <w:rPr>
          <w:rFonts w:hint="eastAsia" w:ascii="宋体" w:hAnsi="宋体" w:eastAsia="宋体"/>
          <w:szCs w:val="21"/>
        </w:rPr>
        <w:t>政府采购合同通用条款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以一个供应商的身份共同参加政府采购的主体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eastAsia="宋体"/>
          <w:b/>
          <w:bCs/>
          <w:color w:val="000000"/>
          <w:szCs w:val="21"/>
          <w:highlight w:val="none"/>
        </w:rPr>
        <w:t>政府采购合同专用条款</w:t>
      </w:r>
      <w:r>
        <w:rPr>
          <w:rFonts w:hint="eastAsia" w:ascii="宋体" w:hAnsi="宋体" w:eastAsia="宋体"/>
          <w:color w:val="000000"/>
          <w:szCs w:val="21"/>
          <w:highlight w:val="none"/>
        </w:rPr>
        <w:t>】。</w:t>
      </w:r>
    </w:p>
    <w:p>
      <w:pPr>
        <w:numPr>
          <w:ilvl w:val="0"/>
          <w:numId w:val="8"/>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【政府采购合同专用条款】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pPr>
        <w:numPr>
          <w:ilvl w:val="0"/>
          <w:numId w:val="9"/>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eastAsia="宋体"/>
          <w:color w:val="000000"/>
          <w:szCs w:val="21"/>
          <w:highlight w:val="none"/>
        </w:rPr>
        <w:t>约定顺序履行合同义务；如果没有先后顺序的，应当同时履行。</w:t>
      </w:r>
    </w:p>
    <w:p>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【政府采购合同专用条款】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【政府采购合同专用条款】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规定的响应时间内以合理的速度免费维修或更换有缺陷的货物或部件。</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49"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9"/>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pPr>
        <w:keepNext/>
        <w:keepLines/>
        <w:widowControl w:val="0"/>
        <w:spacing w:line="400" w:lineRule="exact"/>
        <w:ind w:firstLine="420" w:firstLineChars="200"/>
        <w:jc w:val="both"/>
        <w:outlineLvl w:val="1"/>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s="Times New Roman"/>
          <w:b w:val="0"/>
          <w:bCs w:val="0"/>
          <w:color w:val="auto"/>
          <w:kern w:val="2"/>
          <w:sz w:val="21"/>
          <w:szCs w:val="21"/>
          <w:highlight w:val="none"/>
          <w:lang w:val="en-US" w:eastAsia="zh-CN" w:bidi="ar-SA"/>
        </w:rPr>
        <w:t>12.2 对于满足合同约定支付条件的，甲方</w:t>
      </w:r>
      <w:r>
        <w:rPr>
          <w:rFonts w:hint="eastAsia" w:ascii="宋体" w:hAnsi="宋体" w:eastAsia="宋体" w:cs="Times New Roman"/>
          <w:b w:val="0"/>
          <w:bCs w:val="0"/>
          <w:i w:val="0"/>
          <w:iCs w:val="0"/>
          <w:caps w:val="0"/>
          <w:color w:val="auto"/>
          <w:spacing w:val="0"/>
          <w:kern w:val="2"/>
          <w:sz w:val="21"/>
          <w:szCs w:val="21"/>
          <w:highlight w:val="none"/>
          <w:shd w:val="clear"/>
          <w:vertAlign w:val="baseline"/>
          <w:lang w:val="en-US" w:eastAsia="zh-CN" w:bidi="ar-SA"/>
        </w:rPr>
        <w:t>原则上应当自收到发票后10个工作日内</w:t>
      </w:r>
      <w:r>
        <w:rPr>
          <w:rFonts w:hint="eastAsia" w:ascii="宋体" w:hAnsi="宋体" w:eastAsia="宋体" w:cs="Times New Roman"/>
          <w:b w:val="0"/>
          <w:bCs w:val="0"/>
          <w:color w:val="auto"/>
          <w:kern w:val="2"/>
          <w:sz w:val="21"/>
          <w:szCs w:val="21"/>
          <w:highlight w:val="none"/>
          <w:lang w:val="en-US" w:eastAsia="zh-CN" w:bidi="ar-SA"/>
        </w:rPr>
        <w:t>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color w:val="auto"/>
          <w:kern w:val="2"/>
          <w:sz w:val="21"/>
          <w:szCs w:val="21"/>
          <w:highlight w:val="none"/>
          <w:lang w:val="en-US" w:eastAsia="zh-CN" w:bidi="ar-SA"/>
        </w:rPr>
        <w:t>政府采购合同专用条款</w:t>
      </w:r>
      <w:r>
        <w:rPr>
          <w:rFonts w:hint="eastAsia" w:ascii="宋体" w:hAnsi="宋体" w:eastAsia="宋体" w:cs="Times New Roman"/>
          <w:b w:val="0"/>
          <w:bCs w:val="0"/>
          <w:color w:val="auto"/>
          <w:kern w:val="2"/>
          <w:sz w:val="21"/>
          <w:szCs w:val="21"/>
          <w:highlight w:val="none"/>
          <w:lang w:val="en-US" w:eastAsia="zh-CN" w:bidi="ar-SA"/>
        </w:rPr>
        <w:t>】中约定。</w:t>
      </w:r>
    </w:p>
    <w:p>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规定支付。</w:t>
      </w:r>
    </w:p>
    <w:p>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【政府采购合同专用条款】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规定由乙方提供的其他服务。</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【政府采购合同专用条款】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【政府采购合同专用条款】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规定的逾期付款利息。</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【政府采购合同专用条款】</w:t>
      </w:r>
      <w:r>
        <w:rPr>
          <w:rFonts w:hint="eastAsia" w:ascii="宋体" w:hAnsi="宋体" w:eastAsia="宋体"/>
          <w:color w:val="auto"/>
          <w:szCs w:val="21"/>
          <w:highlight w:val="none"/>
        </w:rPr>
        <w:t>规定执行。</w:t>
      </w:r>
    </w:p>
    <w:p>
      <w:pPr>
        <w:numPr>
          <w:ilvl w:val="0"/>
          <w:numId w:val="1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政府采购合同履行中，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政府采购合同继续履行将损害国家利益和社会公共利益的，双方当事人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乙方执行政府采购政策向中小企业依法分包的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【政府采购合同专用条款】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政府采购政策</w:t>
      </w:r>
    </w:p>
    <w:p>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pPr>
        <w:numPr>
          <w:ilvl w:val="0"/>
          <w:numId w:val="11"/>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【政府采购合同专用条款】</w:t>
      </w:r>
      <w:r>
        <w:rPr>
          <w:rFonts w:hint="eastAsia" w:ascii="宋体" w:hAnsi="宋体" w:eastAsia="宋体"/>
          <w:bCs/>
          <w:color w:val="auto"/>
          <w:szCs w:val="21"/>
          <w:highlight w:val="none"/>
        </w:rPr>
        <w:t>。</w:t>
      </w:r>
    </w:p>
    <w:p>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50" w:name="_Toc20313"/>
    </w:p>
    <w:p>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政府采购合同专用条款</w:t>
      </w:r>
      <w:bookmarkEnd w:id="50"/>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pPr>
              <w:adjustRightInd w:val="0"/>
              <w:snapToGrid w:val="0"/>
              <w:jc w:val="left"/>
              <w:rPr>
                <w:rFonts w:ascii="宋体" w:hAnsi="宋体" w:eastAsia="宋体" w:cs="Times New Roman"/>
                <w:kern w:val="2"/>
                <w:sz w:val="21"/>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pPr>
              <w:rPr>
                <w:rFonts w:hint="eastAsia"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pPr>
              <w:adjustRightInd w:val="0"/>
              <w:snapToGrid w:val="0"/>
              <w:jc w:val="left"/>
              <w:rPr>
                <w:rFonts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ascii="宋体" w:hAnsi="宋体" w:eastAsia="宋体"/>
                <w:szCs w:val="21"/>
              </w:rPr>
            </w:pPr>
            <w:r>
              <w:rPr>
                <w:rFonts w:hint="eastAsia" w:ascii="宋体" w:hAnsi="宋体" w:eastAsia="宋体"/>
                <w:szCs w:val="21"/>
              </w:rPr>
              <w:t>第二节</w:t>
            </w:r>
          </w:p>
          <w:p>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pPr>
              <w:adjustRightInd w:val="0"/>
              <w:snapToGrid w:val="0"/>
              <w:jc w:val="left"/>
              <w:rPr>
                <w:rFonts w:hint="default" w:ascii="宋体" w:hAnsi="宋体" w:eastAsia="宋体"/>
                <w:szCs w:val="21"/>
                <w:lang w:val="en-US" w:eastAsia="zh-CN"/>
              </w:rPr>
            </w:pPr>
          </w:p>
        </w:tc>
      </w:tr>
    </w:tbl>
    <w:p>
      <w:pPr>
        <w:rPr>
          <w:rFonts w:eastAsia="宋体"/>
        </w:rPr>
      </w:pPr>
    </w:p>
    <w:p>
      <w:pPr>
        <w:widowControl/>
        <w:jc w:val="left"/>
        <w:rPr>
          <w:rFonts w:ascii="Arial" w:hAnsi="Arial" w:eastAsia="宋体" w:cs="Times New Roman"/>
          <w:color w:val="FF0000"/>
          <w:szCs w:val="24"/>
        </w:rPr>
      </w:pPr>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30"/>
        <w:keepNext/>
        <w:keepLines/>
        <w:numPr>
          <w:ilvl w:val="0"/>
          <w:numId w:val="12"/>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51" w:name="_Hlk72399513"/>
      <w:r>
        <w:rPr>
          <w:rFonts w:hint="eastAsia" w:asciiTheme="majorHAnsi" w:hAnsiTheme="majorHAnsi" w:eastAsiaTheme="majorEastAsia" w:cstheme="majorBidi"/>
          <w:b/>
          <w:bCs/>
          <w:sz w:val="28"/>
          <w:szCs w:val="28"/>
        </w:rPr>
        <w:t>总则</w:t>
      </w:r>
    </w:p>
    <w:bookmarkEnd w:id="51"/>
    <w:p>
      <w:pPr>
        <w:rPr>
          <w:rFonts w:ascii="黑体" w:hAnsi="宋体" w:eastAsia="黑体"/>
          <w:sz w:val="24"/>
        </w:rPr>
      </w:pPr>
      <w:bookmarkStart w:id="52"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3" w:name="_Hlk72399729"/>
      <w:r>
        <w:rPr>
          <w:rFonts w:hint="eastAsia" w:ascii="宋体" w:hAnsi="宋体"/>
          <w:szCs w:val="21"/>
        </w:rPr>
        <w:t>如有需要，政府集中采购机构可以对通用条款的内容进行补充。</w:t>
      </w:r>
      <w:bookmarkEnd w:id="53"/>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w:t>
      </w:r>
      <w:r>
        <w:rPr>
          <w:rFonts w:hint="eastAsia" w:ascii="宋体" w:hAnsi="宋体"/>
          <w:szCs w:val="21"/>
          <w:lang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eastAsia="zh-CN"/>
        </w:rPr>
        <w:t>龙华</w:t>
      </w:r>
      <w:r>
        <w:rPr>
          <w:rFonts w:hint="eastAsia" w:ascii="宋体" w:hAnsi="宋体"/>
          <w:b/>
          <w:bCs/>
          <w:color w:val="FF0000"/>
          <w:szCs w:val="21"/>
        </w:rPr>
        <w:t>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eastAsia="zh-CN"/>
        </w:rPr>
        <w:t>龙华</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54"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5"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4"/>
    <w:p>
      <w:pPr>
        <w:ind w:firstLine="411" w:firstLineChars="196"/>
        <w:rPr>
          <w:rFonts w:ascii="宋体" w:hAnsi="宋体"/>
        </w:rPr>
      </w:pPr>
    </w:p>
    <w:p>
      <w:pPr>
        <w:pStyle w:val="4"/>
        <w:numPr>
          <w:ilvl w:val="0"/>
          <w:numId w:val="13"/>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6"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outlineLvl w:val="0"/>
        <w:rPr>
          <w:rFonts w:ascii="宋体" w:hAnsi="宋体"/>
          <w:szCs w:val="21"/>
        </w:rPr>
      </w:pPr>
      <w:r>
        <w:rPr>
          <w:rFonts w:hint="eastAsia" w:ascii="宋体" w:hAnsi="宋体"/>
          <w:szCs w:val="21"/>
        </w:rPr>
        <w:t>第一章  招标公告</w:t>
      </w:r>
    </w:p>
    <w:p>
      <w:pPr>
        <w:ind w:left="630" w:leftChars="300" w:firstLine="411" w:firstLineChars="196"/>
        <w:outlineLvl w:val="0"/>
        <w:rPr>
          <w:rFonts w:ascii="宋体" w:hAnsi="宋体"/>
          <w:szCs w:val="21"/>
        </w:rPr>
      </w:pPr>
      <w:r>
        <w:rPr>
          <w:rFonts w:hint="eastAsia" w:ascii="宋体" w:hAnsi="宋体"/>
          <w:szCs w:val="21"/>
        </w:rPr>
        <w:t>第二章  对通用条款的补充内容及其他关键信息</w:t>
      </w:r>
    </w:p>
    <w:p>
      <w:pPr>
        <w:ind w:left="630" w:leftChars="300" w:firstLine="411" w:firstLineChars="196"/>
        <w:outlineLvl w:val="0"/>
        <w:rPr>
          <w:rFonts w:ascii="宋体" w:hAnsi="宋体"/>
          <w:szCs w:val="21"/>
        </w:rPr>
      </w:pPr>
      <w:r>
        <w:rPr>
          <w:rFonts w:hint="eastAsia" w:ascii="宋体" w:hAnsi="宋体"/>
          <w:szCs w:val="21"/>
        </w:rPr>
        <w:t>第三章  用户需求书</w:t>
      </w:r>
    </w:p>
    <w:p>
      <w:pPr>
        <w:ind w:left="630" w:leftChars="300" w:firstLine="411" w:firstLineChars="196"/>
        <w:outlineLvl w:val="0"/>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outlineLvl w:val="0"/>
        <w:rPr>
          <w:rFonts w:ascii="宋体" w:hAnsi="宋体"/>
          <w:szCs w:val="21"/>
        </w:rPr>
      </w:pPr>
      <w:r>
        <w:rPr>
          <w:rFonts w:hint="eastAsia" w:ascii="宋体" w:hAnsi="宋体"/>
          <w:szCs w:val="21"/>
        </w:rPr>
        <w:t>第五章  合同条款及格式</w:t>
      </w:r>
    </w:p>
    <w:p>
      <w:pPr>
        <w:ind w:left="420" w:leftChars="200" w:firstLine="413" w:firstLineChars="196"/>
        <w:outlineLvl w:val="0"/>
        <w:rPr>
          <w:rFonts w:ascii="宋体" w:hAnsi="宋体"/>
          <w:b/>
          <w:szCs w:val="21"/>
        </w:rPr>
      </w:pPr>
      <w:r>
        <w:rPr>
          <w:rFonts w:hint="eastAsia" w:ascii="宋体" w:hAnsi="宋体"/>
          <w:b/>
          <w:szCs w:val="21"/>
        </w:rPr>
        <w:t>第二册  通用条款</w:t>
      </w:r>
    </w:p>
    <w:p>
      <w:pPr>
        <w:ind w:left="630" w:leftChars="300" w:firstLine="411" w:firstLineChars="196"/>
        <w:outlineLvl w:val="0"/>
        <w:rPr>
          <w:rFonts w:ascii="宋体" w:hAnsi="宋体"/>
          <w:szCs w:val="21"/>
        </w:rPr>
      </w:pPr>
      <w:r>
        <w:rPr>
          <w:rFonts w:hint="eastAsia" w:ascii="宋体" w:hAnsi="宋体"/>
          <w:szCs w:val="21"/>
        </w:rPr>
        <w:t>第一章  总则</w:t>
      </w:r>
    </w:p>
    <w:p>
      <w:pPr>
        <w:ind w:left="630" w:leftChars="300" w:firstLine="411" w:firstLineChars="196"/>
        <w:outlineLvl w:val="0"/>
        <w:rPr>
          <w:rFonts w:ascii="宋体" w:hAnsi="宋体"/>
          <w:szCs w:val="21"/>
        </w:rPr>
      </w:pPr>
      <w:r>
        <w:rPr>
          <w:rFonts w:hint="eastAsia" w:ascii="宋体" w:hAnsi="宋体"/>
          <w:szCs w:val="21"/>
        </w:rPr>
        <w:t>第二章  招标文件</w:t>
      </w:r>
    </w:p>
    <w:p>
      <w:pPr>
        <w:ind w:left="630" w:leftChars="300" w:firstLine="411" w:firstLineChars="196"/>
        <w:outlineLvl w:val="0"/>
        <w:rPr>
          <w:rFonts w:ascii="宋体" w:hAnsi="宋体"/>
          <w:szCs w:val="21"/>
        </w:rPr>
      </w:pPr>
      <w:r>
        <w:rPr>
          <w:rFonts w:hint="eastAsia" w:ascii="宋体" w:hAnsi="宋体"/>
          <w:szCs w:val="21"/>
        </w:rPr>
        <w:t>第三章  投标文件的编制</w:t>
      </w:r>
    </w:p>
    <w:p>
      <w:pPr>
        <w:ind w:left="630" w:leftChars="300" w:firstLine="411" w:firstLineChars="196"/>
        <w:outlineLvl w:val="0"/>
        <w:rPr>
          <w:rFonts w:ascii="宋体" w:hAnsi="宋体"/>
          <w:szCs w:val="21"/>
        </w:rPr>
      </w:pPr>
      <w:r>
        <w:rPr>
          <w:rFonts w:hint="eastAsia" w:ascii="宋体" w:hAnsi="宋体"/>
          <w:szCs w:val="21"/>
        </w:rPr>
        <w:t>第四章  投标文件的递交</w:t>
      </w:r>
    </w:p>
    <w:p>
      <w:pPr>
        <w:ind w:left="630" w:leftChars="300" w:firstLine="411" w:firstLineChars="196"/>
        <w:outlineLvl w:val="0"/>
        <w:rPr>
          <w:rFonts w:ascii="宋体" w:hAnsi="宋体"/>
          <w:szCs w:val="21"/>
        </w:rPr>
      </w:pPr>
      <w:r>
        <w:rPr>
          <w:rFonts w:hint="eastAsia" w:ascii="宋体" w:hAnsi="宋体"/>
          <w:szCs w:val="21"/>
        </w:rPr>
        <w:t>第五章  开标</w:t>
      </w:r>
    </w:p>
    <w:p>
      <w:pPr>
        <w:ind w:left="630" w:leftChars="300" w:firstLine="411" w:firstLineChars="196"/>
        <w:outlineLvl w:val="0"/>
        <w:rPr>
          <w:rFonts w:ascii="宋体" w:hAnsi="宋体"/>
          <w:szCs w:val="21"/>
        </w:rPr>
      </w:pPr>
      <w:r>
        <w:rPr>
          <w:rFonts w:hint="eastAsia" w:ascii="宋体" w:hAnsi="宋体"/>
          <w:szCs w:val="21"/>
        </w:rPr>
        <w:t>第六章  评审要求</w:t>
      </w:r>
    </w:p>
    <w:p>
      <w:pPr>
        <w:ind w:left="630" w:leftChars="300" w:firstLine="411" w:firstLineChars="196"/>
        <w:outlineLvl w:val="0"/>
        <w:rPr>
          <w:rFonts w:ascii="宋体" w:hAnsi="宋体"/>
          <w:szCs w:val="21"/>
        </w:rPr>
      </w:pPr>
      <w:r>
        <w:rPr>
          <w:rFonts w:hint="eastAsia" w:ascii="宋体" w:hAnsi="宋体"/>
          <w:szCs w:val="21"/>
        </w:rPr>
        <w:t>第七章  评审程序及评审方法</w:t>
      </w:r>
    </w:p>
    <w:p>
      <w:pPr>
        <w:ind w:left="630" w:leftChars="300" w:firstLine="411" w:firstLineChars="196"/>
        <w:outlineLvl w:val="0"/>
        <w:rPr>
          <w:rFonts w:ascii="宋体" w:hAnsi="宋体"/>
          <w:szCs w:val="21"/>
        </w:rPr>
      </w:pPr>
      <w:r>
        <w:rPr>
          <w:rFonts w:hint="eastAsia" w:ascii="宋体" w:hAnsi="宋体"/>
          <w:szCs w:val="21"/>
        </w:rPr>
        <w:t>第八章  定标及公示</w:t>
      </w:r>
    </w:p>
    <w:p>
      <w:pPr>
        <w:ind w:left="630" w:leftChars="300" w:firstLine="411" w:firstLineChars="196"/>
        <w:outlineLvl w:val="0"/>
        <w:rPr>
          <w:rFonts w:ascii="宋体" w:hAnsi="宋体"/>
          <w:szCs w:val="21"/>
        </w:rPr>
      </w:pPr>
      <w:r>
        <w:rPr>
          <w:rFonts w:hint="eastAsia" w:ascii="宋体" w:hAnsi="宋体"/>
          <w:szCs w:val="21"/>
        </w:rPr>
        <w:t>第九章  公开招标失败的后续处理</w:t>
      </w:r>
    </w:p>
    <w:p>
      <w:pPr>
        <w:ind w:left="630" w:leftChars="300" w:firstLine="411" w:firstLineChars="196"/>
        <w:outlineLvl w:val="0"/>
        <w:rPr>
          <w:rFonts w:ascii="宋体" w:hAnsi="宋体"/>
          <w:szCs w:val="21"/>
        </w:rPr>
      </w:pPr>
      <w:r>
        <w:rPr>
          <w:rFonts w:hint="eastAsia" w:ascii="宋体" w:hAnsi="宋体"/>
          <w:szCs w:val="21"/>
        </w:rPr>
        <w:t>第十章  合同的授予与备案</w:t>
      </w:r>
    </w:p>
    <w:p>
      <w:pPr>
        <w:ind w:left="630" w:leftChars="300" w:firstLine="411" w:firstLineChars="196"/>
        <w:outlineLvl w:val="0"/>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6"/>
    </w:p>
    <w:p>
      <w:pPr>
        <w:rPr>
          <w:rFonts w:ascii="宋体" w:hAnsi="宋体"/>
          <w:szCs w:val="21"/>
        </w:rPr>
      </w:pPr>
    </w:p>
    <w:p>
      <w:pPr>
        <w:pStyle w:val="4"/>
        <w:numPr>
          <w:ilvl w:val="0"/>
          <w:numId w:val="13"/>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57"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7"/>
    <w:p>
      <w:pPr>
        <w:rPr>
          <w:rFonts w:ascii="黑体" w:hAnsi="宋体" w:eastAsia="黑体"/>
          <w:sz w:val="24"/>
        </w:rPr>
      </w:pPr>
      <w:r>
        <w:rPr>
          <w:rFonts w:hint="eastAsia" w:ascii="黑体" w:hAnsi="宋体" w:eastAsia="黑体"/>
          <w:sz w:val="24"/>
        </w:rPr>
        <w:t>15．</w:t>
      </w:r>
      <w:bookmarkStart w:id="58"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8"/>
    <w:p>
      <w:pPr>
        <w:rPr>
          <w:rFonts w:ascii="黑体" w:hAnsi="宋体" w:eastAsia="黑体"/>
          <w:sz w:val="24"/>
        </w:rPr>
      </w:pPr>
      <w:r>
        <w:rPr>
          <w:rFonts w:hint="eastAsia" w:ascii="黑体" w:hAnsi="宋体" w:eastAsia="黑体"/>
          <w:sz w:val="24"/>
        </w:rPr>
        <w:t>18．</w:t>
      </w:r>
      <w:bookmarkStart w:id="59"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9"/>
    <w:p>
      <w:pPr>
        <w:rPr>
          <w:rFonts w:ascii="黑体" w:hAnsi="宋体" w:eastAsia="黑体"/>
          <w:sz w:val="24"/>
        </w:rPr>
      </w:pPr>
      <w:r>
        <w:rPr>
          <w:rFonts w:hint="eastAsia" w:ascii="黑体" w:hAnsi="宋体" w:eastAsia="黑体"/>
          <w:sz w:val="24"/>
        </w:rPr>
        <w:t>19．</w:t>
      </w:r>
      <w:bookmarkStart w:id="60"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1"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1"/>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60"/>
    <w:p>
      <w:pPr>
        <w:ind w:firstLine="411" w:firstLineChars="196"/>
        <w:rPr>
          <w:rFonts w:ascii="宋体" w:hAnsi="宋体"/>
          <w:szCs w:val="21"/>
        </w:rPr>
      </w:pPr>
      <w:bookmarkStart w:id="62"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2"/>
    <w:p>
      <w:pPr>
        <w:rPr>
          <w:rFonts w:ascii="黑体" w:hAnsi="宋体" w:eastAsia="黑体"/>
          <w:sz w:val="24"/>
        </w:rPr>
      </w:pPr>
      <w:r>
        <w:rPr>
          <w:rFonts w:hint="eastAsia" w:ascii="黑体" w:hAnsi="宋体" w:eastAsia="黑体"/>
          <w:sz w:val="24"/>
        </w:rPr>
        <w:t>21．</w:t>
      </w:r>
      <w:bookmarkStart w:id="63"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3"/>
    <w:p>
      <w:pPr>
        <w:rPr>
          <w:rFonts w:ascii="黑体" w:hAnsi="宋体" w:eastAsia="黑体"/>
          <w:sz w:val="24"/>
        </w:rPr>
      </w:pPr>
      <w:r>
        <w:rPr>
          <w:rFonts w:hint="eastAsia" w:ascii="黑体" w:hAnsi="宋体" w:eastAsia="黑体"/>
          <w:sz w:val="24"/>
        </w:rPr>
        <w:t>23．</w:t>
      </w:r>
      <w:bookmarkStart w:id="64"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64"/>
    </w:p>
    <w:p>
      <w:pPr>
        <w:ind w:firstLine="411" w:firstLineChars="196"/>
        <w:rPr>
          <w:rFonts w:ascii="宋体" w:hAnsi="宋体"/>
          <w:szCs w:val="21"/>
        </w:rPr>
      </w:pPr>
    </w:p>
    <w:p>
      <w:pPr>
        <w:pStyle w:val="4"/>
        <w:numPr>
          <w:ilvl w:val="0"/>
          <w:numId w:val="13"/>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65" w:name="_Hlk72405459"/>
      <w:r>
        <w:rPr>
          <w:rFonts w:hint="eastAsia" w:ascii="黑体" w:hAnsi="宋体" w:eastAsia="黑体"/>
          <w:sz w:val="24"/>
        </w:rPr>
        <w:t>24．投标文件的保密</w:t>
      </w:r>
    </w:p>
    <w:p>
      <w:pPr>
        <w:ind w:firstLine="411" w:firstLineChars="196"/>
        <w:rPr>
          <w:rFonts w:hint="eastAsia" w:ascii="宋体" w:hAnsi="宋体" w:eastAsiaTheme="minorEastAsia"/>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w:t>
      </w:r>
      <w:r>
        <w:rPr>
          <w:rFonts w:hint="eastAsia" w:ascii="宋体" w:hAnsi="宋体"/>
          <w:lang w:eastAsia="zh-CN"/>
        </w:rPr>
        <w:t>政府采购</w:t>
      </w:r>
      <w:r>
        <w:rPr>
          <w:rFonts w:hint="eastAsia" w:ascii="宋体" w:hAnsi="宋体"/>
        </w:rPr>
        <w:t>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65"/>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66"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6"/>
    <w:p>
      <w:pPr>
        <w:pStyle w:val="4"/>
        <w:numPr>
          <w:ilvl w:val="0"/>
          <w:numId w:val="13"/>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w:t>
      </w:r>
      <w:r>
        <w:rPr>
          <w:rFonts w:hint="eastAsia" w:ascii="宋体" w:hAnsi="宋体"/>
          <w:lang w:eastAsia="zh-CN"/>
        </w:rPr>
        <w:t>政府采购</w:t>
      </w:r>
      <w:r>
        <w:rPr>
          <w:rFonts w:hint="eastAsia" w:ascii="宋体" w:hAnsi="宋体"/>
        </w:rPr>
        <w:t>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4"/>
        <w:numPr>
          <w:ilvl w:val="0"/>
          <w:numId w:val="13"/>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67"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7"/>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4"/>
        <w:numPr>
          <w:ilvl w:val="0"/>
          <w:numId w:val="13"/>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8"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8"/>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9" w:name="_Toc73521581"/>
      <w:bookmarkStart w:id="70" w:name="_Toc100052400"/>
      <w:bookmarkStart w:id="71" w:name="_Toc73517673"/>
      <w:bookmarkStart w:id="72" w:name="_Toc73518151"/>
      <w:bookmarkStart w:id="73" w:name="_Toc73521669"/>
      <w:r>
        <w:rPr>
          <w:rFonts w:hint="eastAsia" w:ascii="黑体" w:hAnsi="宋体" w:eastAsia="黑体"/>
          <w:sz w:val="24"/>
        </w:rPr>
        <w:t>34．错误的修正</w:t>
      </w:r>
      <w:bookmarkEnd w:id="69"/>
      <w:bookmarkEnd w:id="70"/>
      <w:bookmarkEnd w:id="71"/>
      <w:bookmarkEnd w:id="72"/>
      <w:bookmarkEnd w:id="73"/>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bookmarkStart w:id="74" w:name="_Hlk72438142"/>
      <w:r>
        <w:rPr>
          <w:rFonts w:hint="eastAsia" w:ascii="宋体" w:hAnsi="宋体"/>
          <w:b/>
          <w:bCs/>
          <w:szCs w:val="21"/>
        </w:rPr>
        <w:t>37.1.1最低价法</w:t>
      </w:r>
    </w:p>
    <w:p>
      <w:pPr>
        <w:ind w:firstLine="411" w:firstLineChars="196"/>
        <w:rPr>
          <w:rFonts w:hint="eastAsia" w:ascii="ˎ̥" w:hAnsi="ˎ̥"/>
          <w:lang w:eastAsia="zh-CN"/>
        </w:rPr>
      </w:pPr>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w:t>
      </w:r>
      <w:r>
        <w:rPr>
          <w:rFonts w:hint="eastAsia" w:ascii="ˎ̥" w:hAnsi="ˎ̥"/>
        </w:rPr>
        <w:t>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r>
        <w:rPr>
          <w:rFonts w:hint="eastAsia" w:ascii="ˎ̥" w:hAnsi="ˎ̥"/>
          <w:lang w:eastAsia="zh-CN"/>
        </w:rPr>
        <w:t>。</w:t>
      </w:r>
    </w:p>
    <w:p>
      <w:pPr>
        <w:ind w:firstLine="411" w:firstLineChars="196"/>
        <w:rPr>
          <w:rFonts w:ascii="ˎ̥" w:hAnsi="ˎ̥"/>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ˎ̥" w:hAnsi="ˎ̥"/>
        </w:rPr>
        <w:t>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74"/>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4"/>
        <w:numPr>
          <w:ilvl w:val="0"/>
          <w:numId w:val="13"/>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75"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eastAsiaTheme="minorEastAsia"/>
          <w:lang w:eastAsia="zh-CN"/>
        </w:rPr>
      </w:pPr>
      <w:r>
        <w:rPr>
          <w:rFonts w:hint="eastAsia" w:ascii="ˎ̥" w:hAnsi="ˎ̥" w:eastAsiaTheme="minorEastAsia"/>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ˎ̥" w:hAnsi="ˎ̥" w:eastAsiaTheme="minorEastAsia"/>
          <w:lang w:eastAsia="zh-CN"/>
        </w:rPr>
      </w:pPr>
      <w:r>
        <w:rPr>
          <w:rFonts w:hint="eastAsia" w:ascii="ˎ̥" w:hAnsi="ˎ̥" w:eastAsiaTheme="minorEastAsia"/>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76"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77"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6"/>
      <w:bookmarkEnd w:id="77"/>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75"/>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78"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w:t>
      </w:r>
      <w:r>
        <w:rPr>
          <w:rFonts w:hint="eastAsia" w:ascii="宋体" w:hAnsi="宋体"/>
          <w:b/>
          <w:bCs/>
          <w:lang w:eastAsia="zh-CN"/>
        </w:rPr>
        <w:t>政府采购</w:t>
      </w:r>
      <w:r>
        <w:rPr>
          <w:rFonts w:hint="eastAsia" w:ascii="宋体" w:hAnsi="宋体"/>
          <w:b/>
          <w:bCs/>
        </w:rPr>
        <w:t>自行采购系统</w:t>
      </w:r>
      <w:r>
        <w:rPr>
          <w:rFonts w:hint="eastAsia" w:ascii="宋体" w:hAnsi="宋体"/>
          <w:b/>
          <w:bCs/>
          <w:szCs w:val="21"/>
        </w:rPr>
        <w:t>（https://zxcg.szggzy.com/home/index.html）</w:t>
      </w:r>
      <w:r>
        <w:rPr>
          <w:rFonts w:hint="eastAsia" w:ascii="宋体" w:hAnsi="宋体"/>
          <w:szCs w:val="21"/>
        </w:rPr>
        <w:t>上发布中标结果公告。</w:t>
      </w:r>
      <w:bookmarkEnd w:id="78"/>
      <w:bookmarkStart w:id="79"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9"/>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0" w:name="_Hlk72438863"/>
      <w:r>
        <w:rPr>
          <w:rFonts w:hint="eastAsia" w:ascii="宋体" w:hAnsi="宋体"/>
          <w:szCs w:val="21"/>
        </w:rPr>
        <w:t>中标公告公布以后无异常的情况下,中标供应商和采购人可自行</w:t>
      </w:r>
      <w:r>
        <w:rPr>
          <w:rFonts w:hint="eastAsia" w:ascii="宋体" w:hAnsi="宋体"/>
          <w:szCs w:val="21"/>
          <w:lang w:eastAsia="zh-CN"/>
        </w:rPr>
        <w:t>登录</w:t>
      </w:r>
      <w:r>
        <w:rPr>
          <w:rFonts w:hint="eastAsia" w:ascii="宋体" w:hAnsi="宋体"/>
          <w:b/>
          <w:bCs/>
          <w:szCs w:val="21"/>
        </w:rPr>
        <w:t>“</w:t>
      </w:r>
      <w:r>
        <w:rPr>
          <w:rFonts w:hint="eastAsia" w:ascii="宋体" w:hAnsi="宋体"/>
        </w:rPr>
        <w:t>深圳</w:t>
      </w:r>
      <w:r>
        <w:rPr>
          <w:rFonts w:hint="eastAsia" w:ascii="宋体" w:hAnsi="宋体"/>
          <w:lang w:eastAsia="zh-CN"/>
        </w:rPr>
        <w:t>政府采购</w:t>
      </w:r>
      <w:r>
        <w:rPr>
          <w:rFonts w:hint="eastAsia" w:ascii="宋体" w:hAnsi="宋体"/>
        </w:rPr>
        <w:t>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0"/>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81" w:name="_Hlk71407340"/>
      <w:r>
        <w:rPr>
          <w:rFonts w:hint="eastAsia" w:ascii="宋体" w:hAnsi="宋体"/>
          <w:szCs w:val="21"/>
        </w:rPr>
        <w:t>41.3因质疑投诉或其它原因导致项目结果变更或采购终止的，政府集中采购机构有权吊销中标通知书。</w:t>
      </w:r>
    </w:p>
    <w:bookmarkEnd w:id="81"/>
    <w:p>
      <w:pPr>
        <w:ind w:firstLine="411" w:firstLineChars="196"/>
        <w:rPr>
          <w:rFonts w:ascii="宋体" w:hAnsi="宋体"/>
          <w:szCs w:val="21"/>
        </w:rPr>
      </w:pPr>
    </w:p>
    <w:p>
      <w:pPr>
        <w:pStyle w:val="4"/>
        <w:numPr>
          <w:ilvl w:val="0"/>
          <w:numId w:val="13"/>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4"/>
        <w:numPr>
          <w:ilvl w:val="0"/>
          <w:numId w:val="13"/>
        </w:numPr>
        <w:spacing w:before="120" w:beforeLines="50" w:after="120" w:afterLines="50"/>
        <w:ind w:left="562" w:hanging="562"/>
        <w:rPr>
          <w:sz w:val="28"/>
          <w:szCs w:val="28"/>
        </w:rPr>
      </w:pPr>
      <w:bookmarkStart w:id="82" w:name="_Hlk72439043"/>
      <w:r>
        <w:rPr>
          <w:rFonts w:hint="eastAsia"/>
          <w:sz w:val="28"/>
          <w:szCs w:val="28"/>
        </w:rPr>
        <w:t>合同的授予与备案</w:t>
      </w:r>
      <w:bookmarkEnd w:id="82"/>
    </w:p>
    <w:p>
      <w:pPr>
        <w:rPr>
          <w:rFonts w:ascii="黑体" w:hAnsi="宋体" w:eastAsia="黑体"/>
          <w:sz w:val="24"/>
        </w:rPr>
      </w:pPr>
      <w:bookmarkStart w:id="83" w:name="_Toc100052408"/>
      <w:bookmarkStart w:id="84" w:name="_Toc73521586"/>
      <w:bookmarkStart w:id="85" w:name="_Toc73518157"/>
      <w:bookmarkStart w:id="86" w:name="_Toc73517679"/>
      <w:bookmarkStart w:id="87" w:name="_Toc73521674"/>
      <w:bookmarkStart w:id="88" w:name="_Hlk72439088"/>
      <w:r>
        <w:rPr>
          <w:rFonts w:hint="eastAsia" w:ascii="黑体" w:hAnsi="宋体" w:eastAsia="黑体"/>
          <w:sz w:val="24"/>
        </w:rPr>
        <w:t>43．合同授予标准</w:t>
      </w:r>
      <w:bookmarkEnd w:id="83"/>
      <w:bookmarkEnd w:id="84"/>
      <w:bookmarkEnd w:id="85"/>
      <w:bookmarkEnd w:id="86"/>
      <w:bookmarkEnd w:id="87"/>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9" w:name="_Toc73521675"/>
      <w:bookmarkStart w:id="90" w:name="_Toc73518158"/>
      <w:bookmarkStart w:id="91" w:name="_Toc100052409"/>
      <w:bookmarkStart w:id="92" w:name="_Toc73517680"/>
      <w:bookmarkStart w:id="93" w:name="_Toc73521587"/>
      <w:r>
        <w:rPr>
          <w:rFonts w:hint="eastAsia" w:ascii="黑体" w:hAnsi="宋体" w:eastAsia="黑体"/>
          <w:sz w:val="24"/>
        </w:rPr>
        <w:t>44．</w:t>
      </w:r>
      <w:bookmarkEnd w:id="89"/>
      <w:bookmarkEnd w:id="90"/>
      <w:bookmarkEnd w:id="91"/>
      <w:bookmarkEnd w:id="92"/>
      <w:bookmarkEnd w:id="93"/>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94" w:name="_Toc73518160"/>
      <w:bookmarkStart w:id="95" w:name="_Toc73517682"/>
      <w:bookmarkStart w:id="96" w:name="_Toc73521589"/>
      <w:bookmarkStart w:id="97" w:name="_Toc100052410"/>
      <w:bookmarkStart w:id="98" w:name="_Toc73521677"/>
      <w:r>
        <w:rPr>
          <w:rFonts w:hint="eastAsia" w:ascii="黑体" w:hAnsi="宋体" w:eastAsia="黑体"/>
          <w:sz w:val="24"/>
        </w:rPr>
        <w:t>45．合同的签订</w:t>
      </w:r>
      <w:bookmarkEnd w:id="94"/>
      <w:bookmarkEnd w:id="95"/>
      <w:bookmarkEnd w:id="96"/>
      <w:bookmarkEnd w:id="97"/>
      <w:bookmarkEnd w:id="98"/>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9" w:name="_Toc100052411"/>
      <w:bookmarkStart w:id="100" w:name="_Toc73518161"/>
      <w:bookmarkStart w:id="101" w:name="_Toc73517683"/>
      <w:bookmarkStart w:id="102" w:name="_Toc73521678"/>
      <w:bookmarkStart w:id="103" w:name="_Toc73521590"/>
      <w:r>
        <w:rPr>
          <w:rFonts w:hint="eastAsia" w:ascii="黑体" w:hAnsi="宋体" w:eastAsia="黑体"/>
          <w:sz w:val="24"/>
        </w:rPr>
        <w:t>46．履约担保</w:t>
      </w:r>
      <w:bookmarkEnd w:id="99"/>
      <w:bookmarkEnd w:id="100"/>
      <w:bookmarkEnd w:id="101"/>
      <w:bookmarkEnd w:id="102"/>
      <w:bookmarkEnd w:id="103"/>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4" w:name="_Hlk72440769"/>
      <w:r>
        <w:rPr>
          <w:rFonts w:hint="eastAsia" w:ascii="宋体" w:hAnsi="宋体"/>
          <w:szCs w:val="21"/>
        </w:rPr>
        <w:t>政府集中采购机构或采购人不予退还其交纳的谈判保证金，情节严重的，并由主管部门</w:t>
      </w:r>
      <w:bookmarkEnd w:id="104"/>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8"/>
    <w:p>
      <w:pPr>
        <w:pStyle w:val="4"/>
        <w:numPr>
          <w:ilvl w:val="0"/>
          <w:numId w:val="13"/>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105" w:name="_Hlk75374941"/>
      <w:r>
        <w:rPr>
          <w:rFonts w:hint="eastAsia" w:ascii="宋体" w:hAnsi="宋体"/>
          <w:szCs w:val="21"/>
        </w:rPr>
        <w:t>以联合体形式参与的，质疑应当由组成联合体的所有成员共同提出</w:t>
      </w:r>
      <w:bookmarkEnd w:id="105"/>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52"/>
    </w:p>
    <w:p>
      <w:pPr>
        <w:rPr>
          <w:b/>
          <w:color w:val="FF0000"/>
          <w:sz w:val="52"/>
          <w:szCs w:val="52"/>
        </w:rPr>
      </w:pPr>
    </w:p>
    <w:p>
      <w:pPr>
        <w:rPr>
          <w:rFonts w:ascii="宋体" w:hAnsi="宋体" w:eastAsia="黑体" w:cs="Times New Roman"/>
          <w:b/>
          <w:bCs/>
          <w:color w:val="0000FF"/>
          <w:kern w:val="44"/>
          <w:sz w:val="36"/>
          <w:szCs w:val="4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FA85D9"/>
    <w:multiLevelType w:val="singleLevel"/>
    <w:tmpl w:val="65FA85D9"/>
    <w:lvl w:ilvl="0" w:tentative="0">
      <w:start w:val="1"/>
      <w:numFmt w:val="decimal"/>
      <w:lvlText w:val="%1."/>
      <w:lvlJc w:val="left"/>
      <w:pPr>
        <w:ind w:left="425" w:hanging="425"/>
      </w:pPr>
      <w:rPr>
        <w:rFonts w:hint="default"/>
      </w:rPr>
    </w:lvl>
  </w:abstractNum>
  <w:abstractNum w:abstractNumId="11">
    <w:nsid w:val="7A0F6431"/>
    <w:multiLevelType w:val="singleLevel"/>
    <w:tmpl w:val="7A0F6431"/>
    <w:lvl w:ilvl="0" w:tentative="0">
      <w:start w:val="1"/>
      <w:numFmt w:val="decimal"/>
      <w:suff w:val="space"/>
      <w:lvlText w:val="%1."/>
      <w:lvlJc w:val="left"/>
    </w:lvl>
  </w:abstractNum>
  <w:abstractNum w:abstractNumId="12">
    <w:nsid w:val="7B8A85E6"/>
    <w:multiLevelType w:val="singleLevel"/>
    <w:tmpl w:val="7B8A85E6"/>
    <w:lvl w:ilvl="0" w:tentative="0">
      <w:start w:val="1"/>
      <w:numFmt w:val="decimal"/>
      <w:suff w:val="nothing"/>
      <w:lvlText w:val="%1、"/>
      <w:lvlJc w:val="left"/>
    </w:lvl>
  </w:abstractNum>
  <w:num w:numId="1">
    <w:abstractNumId w:val="10"/>
  </w:num>
  <w:num w:numId="2">
    <w:abstractNumId w:val="0"/>
  </w:num>
  <w:num w:numId="3">
    <w:abstractNumId w:val="12"/>
  </w:num>
  <w:num w:numId="4">
    <w:abstractNumId w:val="1"/>
  </w:num>
  <w:num w:numId="5">
    <w:abstractNumId w:val="11"/>
  </w:num>
  <w:num w:numId="6">
    <w:abstractNumId w:val="3"/>
  </w:num>
  <w:num w:numId="7">
    <w:abstractNumId w:val="7"/>
  </w:num>
  <w:num w:numId="8">
    <w:abstractNumId w:val="5"/>
  </w:num>
  <w:num w:numId="9">
    <w:abstractNumId w:val="4"/>
  </w:num>
  <w:num w:numId="10">
    <w:abstractNumId w:val="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NDBiZWE5ZjUxMjJkYWIwOTZhOWE4NzYzM2EyYzg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0FF"/>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76E33"/>
    <w:rsid w:val="00280C2F"/>
    <w:rsid w:val="002823CE"/>
    <w:rsid w:val="00285DE2"/>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89"/>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3A9"/>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1C5070"/>
    <w:rsid w:val="012C1C02"/>
    <w:rsid w:val="014063FE"/>
    <w:rsid w:val="01721FEB"/>
    <w:rsid w:val="01722330"/>
    <w:rsid w:val="01CA5CC8"/>
    <w:rsid w:val="02226211"/>
    <w:rsid w:val="0293255D"/>
    <w:rsid w:val="02D20C1F"/>
    <w:rsid w:val="02E25F12"/>
    <w:rsid w:val="030516AD"/>
    <w:rsid w:val="03631B64"/>
    <w:rsid w:val="038A3F97"/>
    <w:rsid w:val="03993BA4"/>
    <w:rsid w:val="03A66B69"/>
    <w:rsid w:val="03BD528B"/>
    <w:rsid w:val="03D73B16"/>
    <w:rsid w:val="03E017D2"/>
    <w:rsid w:val="042C4F6C"/>
    <w:rsid w:val="04446205"/>
    <w:rsid w:val="047255F5"/>
    <w:rsid w:val="048C54B6"/>
    <w:rsid w:val="049A4077"/>
    <w:rsid w:val="05130EC4"/>
    <w:rsid w:val="05452235"/>
    <w:rsid w:val="05A21435"/>
    <w:rsid w:val="05C82C12"/>
    <w:rsid w:val="06127C3D"/>
    <w:rsid w:val="06215480"/>
    <w:rsid w:val="062E1176"/>
    <w:rsid w:val="063E255E"/>
    <w:rsid w:val="065D710A"/>
    <w:rsid w:val="069468A4"/>
    <w:rsid w:val="06D86E6E"/>
    <w:rsid w:val="06DD20DC"/>
    <w:rsid w:val="06E710CA"/>
    <w:rsid w:val="06E94E42"/>
    <w:rsid w:val="07101435"/>
    <w:rsid w:val="072B0FB7"/>
    <w:rsid w:val="07724E37"/>
    <w:rsid w:val="07770B93"/>
    <w:rsid w:val="07B37245"/>
    <w:rsid w:val="07EC1177"/>
    <w:rsid w:val="08A54D99"/>
    <w:rsid w:val="08E33B14"/>
    <w:rsid w:val="09B4074E"/>
    <w:rsid w:val="09B47989"/>
    <w:rsid w:val="09CB6A81"/>
    <w:rsid w:val="09E446EB"/>
    <w:rsid w:val="0A0106F5"/>
    <w:rsid w:val="0A522CFE"/>
    <w:rsid w:val="0A537E82"/>
    <w:rsid w:val="0A670558"/>
    <w:rsid w:val="0AD27591"/>
    <w:rsid w:val="0AD375CF"/>
    <w:rsid w:val="0B5051F9"/>
    <w:rsid w:val="0B5C3158"/>
    <w:rsid w:val="0B692A81"/>
    <w:rsid w:val="0B845139"/>
    <w:rsid w:val="0B913B41"/>
    <w:rsid w:val="0B9510F4"/>
    <w:rsid w:val="0BB023D2"/>
    <w:rsid w:val="0BC027C4"/>
    <w:rsid w:val="0BC750CE"/>
    <w:rsid w:val="0BE16F32"/>
    <w:rsid w:val="0C204376"/>
    <w:rsid w:val="0C254A1B"/>
    <w:rsid w:val="0C526FE5"/>
    <w:rsid w:val="0C6875C2"/>
    <w:rsid w:val="0C882EAF"/>
    <w:rsid w:val="0CA77331"/>
    <w:rsid w:val="0CB16402"/>
    <w:rsid w:val="0CEC0DE7"/>
    <w:rsid w:val="0D0227BA"/>
    <w:rsid w:val="0D605732"/>
    <w:rsid w:val="0D844388"/>
    <w:rsid w:val="0DEB17F3"/>
    <w:rsid w:val="0DEE34CD"/>
    <w:rsid w:val="0E0B7D94"/>
    <w:rsid w:val="0E230C39"/>
    <w:rsid w:val="0E4F6576"/>
    <w:rsid w:val="0E607F86"/>
    <w:rsid w:val="0E8A0CB9"/>
    <w:rsid w:val="0E9C279A"/>
    <w:rsid w:val="0EB421D9"/>
    <w:rsid w:val="0F123DD7"/>
    <w:rsid w:val="0F142273"/>
    <w:rsid w:val="0F5B4403"/>
    <w:rsid w:val="0F5D008C"/>
    <w:rsid w:val="0FD3114F"/>
    <w:rsid w:val="0FEE5EBF"/>
    <w:rsid w:val="108300B5"/>
    <w:rsid w:val="108654B0"/>
    <w:rsid w:val="108C64EF"/>
    <w:rsid w:val="10BE733F"/>
    <w:rsid w:val="10CA1840"/>
    <w:rsid w:val="10D97CD5"/>
    <w:rsid w:val="10F04DE5"/>
    <w:rsid w:val="10FC5772"/>
    <w:rsid w:val="10FF367B"/>
    <w:rsid w:val="11093651"/>
    <w:rsid w:val="113444BF"/>
    <w:rsid w:val="11662604"/>
    <w:rsid w:val="11796EDC"/>
    <w:rsid w:val="119D5A3B"/>
    <w:rsid w:val="12635AA8"/>
    <w:rsid w:val="127840D2"/>
    <w:rsid w:val="12900790"/>
    <w:rsid w:val="12900868"/>
    <w:rsid w:val="12A65CC1"/>
    <w:rsid w:val="134F24D1"/>
    <w:rsid w:val="13634D12"/>
    <w:rsid w:val="13961EAE"/>
    <w:rsid w:val="13AA7707"/>
    <w:rsid w:val="13E66943"/>
    <w:rsid w:val="13FF3EF7"/>
    <w:rsid w:val="144E2788"/>
    <w:rsid w:val="14806439"/>
    <w:rsid w:val="148A7C64"/>
    <w:rsid w:val="149C1746"/>
    <w:rsid w:val="14BB1F5D"/>
    <w:rsid w:val="14E4477F"/>
    <w:rsid w:val="14ED7807"/>
    <w:rsid w:val="152F0567"/>
    <w:rsid w:val="1573770B"/>
    <w:rsid w:val="15BD1BCA"/>
    <w:rsid w:val="16105DC5"/>
    <w:rsid w:val="16730284"/>
    <w:rsid w:val="16753FFC"/>
    <w:rsid w:val="16B965DF"/>
    <w:rsid w:val="16E66D61"/>
    <w:rsid w:val="171750B3"/>
    <w:rsid w:val="1741793A"/>
    <w:rsid w:val="1743234C"/>
    <w:rsid w:val="17933E49"/>
    <w:rsid w:val="17966F3F"/>
    <w:rsid w:val="179901BE"/>
    <w:rsid w:val="17996410"/>
    <w:rsid w:val="17C077E1"/>
    <w:rsid w:val="17C24EE1"/>
    <w:rsid w:val="17C27715"/>
    <w:rsid w:val="17C57205"/>
    <w:rsid w:val="17E4768B"/>
    <w:rsid w:val="17FC3BA5"/>
    <w:rsid w:val="182513C0"/>
    <w:rsid w:val="18397E11"/>
    <w:rsid w:val="185145F5"/>
    <w:rsid w:val="18C34CC5"/>
    <w:rsid w:val="194505FE"/>
    <w:rsid w:val="19687E48"/>
    <w:rsid w:val="196B1CEA"/>
    <w:rsid w:val="198E1EAE"/>
    <w:rsid w:val="1A24288D"/>
    <w:rsid w:val="1B1B5294"/>
    <w:rsid w:val="1B356450"/>
    <w:rsid w:val="1B434F04"/>
    <w:rsid w:val="1B4B03FB"/>
    <w:rsid w:val="1B9C14FB"/>
    <w:rsid w:val="1BEB4F4B"/>
    <w:rsid w:val="1BEF4851"/>
    <w:rsid w:val="1BFE3C79"/>
    <w:rsid w:val="1C2C01A7"/>
    <w:rsid w:val="1C4F3541"/>
    <w:rsid w:val="1C58030E"/>
    <w:rsid w:val="1C584649"/>
    <w:rsid w:val="1C6C716E"/>
    <w:rsid w:val="1C792E22"/>
    <w:rsid w:val="1CB57848"/>
    <w:rsid w:val="1CBF2475"/>
    <w:rsid w:val="1D2D5631"/>
    <w:rsid w:val="1D345E0F"/>
    <w:rsid w:val="1D880AB9"/>
    <w:rsid w:val="1DB9452C"/>
    <w:rsid w:val="1DE33F41"/>
    <w:rsid w:val="1DE71C83"/>
    <w:rsid w:val="1DF561F6"/>
    <w:rsid w:val="1DF919B7"/>
    <w:rsid w:val="1E151104"/>
    <w:rsid w:val="1E206809"/>
    <w:rsid w:val="1E5A29B0"/>
    <w:rsid w:val="1E6E4153"/>
    <w:rsid w:val="1E71779F"/>
    <w:rsid w:val="1E8A6AB3"/>
    <w:rsid w:val="1EFB3211"/>
    <w:rsid w:val="1F103EA9"/>
    <w:rsid w:val="1F1D7927"/>
    <w:rsid w:val="1F784B5D"/>
    <w:rsid w:val="1FB14636"/>
    <w:rsid w:val="1FC0311B"/>
    <w:rsid w:val="1FCA3C17"/>
    <w:rsid w:val="1FDB296A"/>
    <w:rsid w:val="1FE909DC"/>
    <w:rsid w:val="1FF42436"/>
    <w:rsid w:val="20277FAC"/>
    <w:rsid w:val="204333BD"/>
    <w:rsid w:val="20457135"/>
    <w:rsid w:val="20631369"/>
    <w:rsid w:val="20755F4B"/>
    <w:rsid w:val="209E05F3"/>
    <w:rsid w:val="20AF152F"/>
    <w:rsid w:val="212A69C6"/>
    <w:rsid w:val="21431371"/>
    <w:rsid w:val="2149055F"/>
    <w:rsid w:val="21513626"/>
    <w:rsid w:val="215C64E4"/>
    <w:rsid w:val="215D225D"/>
    <w:rsid w:val="218F687E"/>
    <w:rsid w:val="219537A4"/>
    <w:rsid w:val="21C36564"/>
    <w:rsid w:val="21DF0EC4"/>
    <w:rsid w:val="21E37042"/>
    <w:rsid w:val="228D0920"/>
    <w:rsid w:val="22A90D9B"/>
    <w:rsid w:val="23290736"/>
    <w:rsid w:val="23362D65"/>
    <w:rsid w:val="236E5E5F"/>
    <w:rsid w:val="2378337E"/>
    <w:rsid w:val="239A32F4"/>
    <w:rsid w:val="23A61C99"/>
    <w:rsid w:val="23C5440E"/>
    <w:rsid w:val="23F031FD"/>
    <w:rsid w:val="23F30C56"/>
    <w:rsid w:val="24266C7C"/>
    <w:rsid w:val="244A2F6C"/>
    <w:rsid w:val="246A64EC"/>
    <w:rsid w:val="247D346D"/>
    <w:rsid w:val="248E0882"/>
    <w:rsid w:val="24AB04CD"/>
    <w:rsid w:val="24B85FE4"/>
    <w:rsid w:val="24D67678"/>
    <w:rsid w:val="252E63EA"/>
    <w:rsid w:val="25451EF3"/>
    <w:rsid w:val="25493224"/>
    <w:rsid w:val="256533FF"/>
    <w:rsid w:val="25714E00"/>
    <w:rsid w:val="25E847EB"/>
    <w:rsid w:val="267047E0"/>
    <w:rsid w:val="26FB772B"/>
    <w:rsid w:val="270F7B55"/>
    <w:rsid w:val="273B6B9C"/>
    <w:rsid w:val="27427F2B"/>
    <w:rsid w:val="27857F9B"/>
    <w:rsid w:val="2795721C"/>
    <w:rsid w:val="27A641C3"/>
    <w:rsid w:val="27A6670B"/>
    <w:rsid w:val="27C546B8"/>
    <w:rsid w:val="280C2A6F"/>
    <w:rsid w:val="282633A8"/>
    <w:rsid w:val="284461F5"/>
    <w:rsid w:val="286F1880"/>
    <w:rsid w:val="28A10C81"/>
    <w:rsid w:val="28EC2844"/>
    <w:rsid w:val="29114058"/>
    <w:rsid w:val="29272E34"/>
    <w:rsid w:val="29632EAD"/>
    <w:rsid w:val="29745A9F"/>
    <w:rsid w:val="29895F6F"/>
    <w:rsid w:val="29995DFC"/>
    <w:rsid w:val="29AC6F9B"/>
    <w:rsid w:val="29B91807"/>
    <w:rsid w:val="29E821D3"/>
    <w:rsid w:val="29F75268"/>
    <w:rsid w:val="2A930A9D"/>
    <w:rsid w:val="2A967EB2"/>
    <w:rsid w:val="2AD417E1"/>
    <w:rsid w:val="2B065713"/>
    <w:rsid w:val="2B2871E7"/>
    <w:rsid w:val="2BA9299F"/>
    <w:rsid w:val="2BE35819"/>
    <w:rsid w:val="2BF832AE"/>
    <w:rsid w:val="2BFE65C2"/>
    <w:rsid w:val="2C02412C"/>
    <w:rsid w:val="2C1665B8"/>
    <w:rsid w:val="2C295297"/>
    <w:rsid w:val="2C2B4513"/>
    <w:rsid w:val="2C6E17C2"/>
    <w:rsid w:val="2C8C39F6"/>
    <w:rsid w:val="2D2E322F"/>
    <w:rsid w:val="2D393B7E"/>
    <w:rsid w:val="2D7F69DE"/>
    <w:rsid w:val="2DB16F26"/>
    <w:rsid w:val="2DB3388B"/>
    <w:rsid w:val="2DCA6ECC"/>
    <w:rsid w:val="2E81569C"/>
    <w:rsid w:val="2E815E80"/>
    <w:rsid w:val="2E954277"/>
    <w:rsid w:val="2EDF69A7"/>
    <w:rsid w:val="2EE03E4D"/>
    <w:rsid w:val="2F054538"/>
    <w:rsid w:val="2F1A79DF"/>
    <w:rsid w:val="2F1E59C3"/>
    <w:rsid w:val="2F2A413F"/>
    <w:rsid w:val="2F363171"/>
    <w:rsid w:val="30311375"/>
    <w:rsid w:val="30473F91"/>
    <w:rsid w:val="306058C5"/>
    <w:rsid w:val="30B023A9"/>
    <w:rsid w:val="30C714A1"/>
    <w:rsid w:val="311772A4"/>
    <w:rsid w:val="312F34BF"/>
    <w:rsid w:val="31B92B8B"/>
    <w:rsid w:val="324D032D"/>
    <w:rsid w:val="3257574A"/>
    <w:rsid w:val="32683EB7"/>
    <w:rsid w:val="32C72FD5"/>
    <w:rsid w:val="32CC40EF"/>
    <w:rsid w:val="32EA3943"/>
    <w:rsid w:val="32FB3683"/>
    <w:rsid w:val="32FD564D"/>
    <w:rsid w:val="33082D45"/>
    <w:rsid w:val="3328091C"/>
    <w:rsid w:val="33884F17"/>
    <w:rsid w:val="338F3097"/>
    <w:rsid w:val="33A51F6D"/>
    <w:rsid w:val="33A53CC9"/>
    <w:rsid w:val="33C06DA7"/>
    <w:rsid w:val="33D11655"/>
    <w:rsid w:val="342509B8"/>
    <w:rsid w:val="34297F29"/>
    <w:rsid w:val="34316DF1"/>
    <w:rsid w:val="349D38D4"/>
    <w:rsid w:val="34AE6BFF"/>
    <w:rsid w:val="34CA3E45"/>
    <w:rsid w:val="34D34153"/>
    <w:rsid w:val="352B64A2"/>
    <w:rsid w:val="35393530"/>
    <w:rsid w:val="35495969"/>
    <w:rsid w:val="356E5B3C"/>
    <w:rsid w:val="3584428E"/>
    <w:rsid w:val="359758E5"/>
    <w:rsid w:val="359D5EEA"/>
    <w:rsid w:val="35BA1D81"/>
    <w:rsid w:val="35D02BA5"/>
    <w:rsid w:val="35E8637E"/>
    <w:rsid w:val="35FC7E3E"/>
    <w:rsid w:val="363C3B17"/>
    <w:rsid w:val="36474247"/>
    <w:rsid w:val="365612FD"/>
    <w:rsid w:val="3677309A"/>
    <w:rsid w:val="36F40B16"/>
    <w:rsid w:val="36FD6674"/>
    <w:rsid w:val="3702282A"/>
    <w:rsid w:val="370C52DF"/>
    <w:rsid w:val="370C5E5F"/>
    <w:rsid w:val="374B6987"/>
    <w:rsid w:val="374D6BA3"/>
    <w:rsid w:val="375A306E"/>
    <w:rsid w:val="376B54F8"/>
    <w:rsid w:val="37CE1367"/>
    <w:rsid w:val="37D746BF"/>
    <w:rsid w:val="37DF5322"/>
    <w:rsid w:val="38C84008"/>
    <w:rsid w:val="38CA5FD2"/>
    <w:rsid w:val="38EB0F04"/>
    <w:rsid w:val="391F53C4"/>
    <w:rsid w:val="39411452"/>
    <w:rsid w:val="397B72CC"/>
    <w:rsid w:val="397C49C3"/>
    <w:rsid w:val="39B22FFA"/>
    <w:rsid w:val="39C15930"/>
    <w:rsid w:val="3A173499"/>
    <w:rsid w:val="3A30022F"/>
    <w:rsid w:val="3A371445"/>
    <w:rsid w:val="3A886145"/>
    <w:rsid w:val="3A8D72B7"/>
    <w:rsid w:val="3AB900AC"/>
    <w:rsid w:val="3AC52EF5"/>
    <w:rsid w:val="3B007A89"/>
    <w:rsid w:val="3B027CA5"/>
    <w:rsid w:val="3B2E2848"/>
    <w:rsid w:val="3B5D4EDB"/>
    <w:rsid w:val="3B81506E"/>
    <w:rsid w:val="3B9E1C59"/>
    <w:rsid w:val="3BA6272A"/>
    <w:rsid w:val="3BB22833"/>
    <w:rsid w:val="3BE27C97"/>
    <w:rsid w:val="3BE473AB"/>
    <w:rsid w:val="3C5C1637"/>
    <w:rsid w:val="3C9A513B"/>
    <w:rsid w:val="3CCD2793"/>
    <w:rsid w:val="3CE332F8"/>
    <w:rsid w:val="3CFA57E4"/>
    <w:rsid w:val="3D0221DE"/>
    <w:rsid w:val="3D104871"/>
    <w:rsid w:val="3D1C4DF6"/>
    <w:rsid w:val="3D1E60DF"/>
    <w:rsid w:val="3DE2008C"/>
    <w:rsid w:val="3DE2791A"/>
    <w:rsid w:val="3E151A9D"/>
    <w:rsid w:val="3E375EB7"/>
    <w:rsid w:val="3E38205E"/>
    <w:rsid w:val="3E9571B9"/>
    <w:rsid w:val="3EA47C68"/>
    <w:rsid w:val="3ED03C16"/>
    <w:rsid w:val="3EEB27FE"/>
    <w:rsid w:val="3F3423F7"/>
    <w:rsid w:val="3F8E1B07"/>
    <w:rsid w:val="40161AFD"/>
    <w:rsid w:val="403326AF"/>
    <w:rsid w:val="408B6047"/>
    <w:rsid w:val="40924E65"/>
    <w:rsid w:val="40A73A4F"/>
    <w:rsid w:val="40AF442B"/>
    <w:rsid w:val="40E165AE"/>
    <w:rsid w:val="411C75E7"/>
    <w:rsid w:val="41540B2E"/>
    <w:rsid w:val="415B7067"/>
    <w:rsid w:val="415E333C"/>
    <w:rsid w:val="418F600A"/>
    <w:rsid w:val="419B5FD1"/>
    <w:rsid w:val="419E1DAA"/>
    <w:rsid w:val="420D5851"/>
    <w:rsid w:val="42476991"/>
    <w:rsid w:val="424B3CDF"/>
    <w:rsid w:val="426D19F0"/>
    <w:rsid w:val="42D31F27"/>
    <w:rsid w:val="42D33CD5"/>
    <w:rsid w:val="42FC5208"/>
    <w:rsid w:val="432860EA"/>
    <w:rsid w:val="43341596"/>
    <w:rsid w:val="436F7EA2"/>
    <w:rsid w:val="43860D47"/>
    <w:rsid w:val="43ED0DC6"/>
    <w:rsid w:val="43FB4652"/>
    <w:rsid w:val="43FF1225"/>
    <w:rsid w:val="445F4788"/>
    <w:rsid w:val="44B32884"/>
    <w:rsid w:val="44E73A68"/>
    <w:rsid w:val="45223845"/>
    <w:rsid w:val="45290298"/>
    <w:rsid w:val="45B44292"/>
    <w:rsid w:val="45B51211"/>
    <w:rsid w:val="45BD6D52"/>
    <w:rsid w:val="45EF52CA"/>
    <w:rsid w:val="46276812"/>
    <w:rsid w:val="462A4554"/>
    <w:rsid w:val="46517D32"/>
    <w:rsid w:val="46753001"/>
    <w:rsid w:val="46821C9A"/>
    <w:rsid w:val="46E51A75"/>
    <w:rsid w:val="47145AF6"/>
    <w:rsid w:val="472924B7"/>
    <w:rsid w:val="47762C36"/>
    <w:rsid w:val="477C0DDF"/>
    <w:rsid w:val="480212E4"/>
    <w:rsid w:val="482B73A4"/>
    <w:rsid w:val="48C04CFB"/>
    <w:rsid w:val="48FF5824"/>
    <w:rsid w:val="49266FC3"/>
    <w:rsid w:val="492B03C7"/>
    <w:rsid w:val="493C6A78"/>
    <w:rsid w:val="49425710"/>
    <w:rsid w:val="49484270"/>
    <w:rsid w:val="498E5824"/>
    <w:rsid w:val="49974D32"/>
    <w:rsid w:val="49DE053E"/>
    <w:rsid w:val="4A575FAC"/>
    <w:rsid w:val="4A625D30"/>
    <w:rsid w:val="4A767D68"/>
    <w:rsid w:val="4A887AB1"/>
    <w:rsid w:val="4B2D1B5B"/>
    <w:rsid w:val="4B475260"/>
    <w:rsid w:val="4B4C2876"/>
    <w:rsid w:val="4B99684D"/>
    <w:rsid w:val="4B9E1324"/>
    <w:rsid w:val="4BBF201F"/>
    <w:rsid w:val="4BE17463"/>
    <w:rsid w:val="4C340CEB"/>
    <w:rsid w:val="4C3B6274"/>
    <w:rsid w:val="4CA26BF2"/>
    <w:rsid w:val="4CB4058E"/>
    <w:rsid w:val="4CEE1E37"/>
    <w:rsid w:val="4D145F92"/>
    <w:rsid w:val="4D2D6AE5"/>
    <w:rsid w:val="4D330192"/>
    <w:rsid w:val="4D461C73"/>
    <w:rsid w:val="4D484755"/>
    <w:rsid w:val="4E092CA1"/>
    <w:rsid w:val="4E4156DB"/>
    <w:rsid w:val="4E93713A"/>
    <w:rsid w:val="4ECE0172"/>
    <w:rsid w:val="4EFD1898"/>
    <w:rsid w:val="4F1456D4"/>
    <w:rsid w:val="4F9905AE"/>
    <w:rsid w:val="4FC33F25"/>
    <w:rsid w:val="4FD001C7"/>
    <w:rsid w:val="4FFF6109"/>
    <w:rsid w:val="500B71A4"/>
    <w:rsid w:val="502E60F8"/>
    <w:rsid w:val="50334005"/>
    <w:rsid w:val="503D2397"/>
    <w:rsid w:val="505E4B9C"/>
    <w:rsid w:val="50A30487"/>
    <w:rsid w:val="50A43053"/>
    <w:rsid w:val="50DD1804"/>
    <w:rsid w:val="51726ECF"/>
    <w:rsid w:val="51A52CE0"/>
    <w:rsid w:val="51F91CDB"/>
    <w:rsid w:val="52195EFA"/>
    <w:rsid w:val="529674E9"/>
    <w:rsid w:val="52D23907"/>
    <w:rsid w:val="535D3873"/>
    <w:rsid w:val="53876B42"/>
    <w:rsid w:val="54153BAB"/>
    <w:rsid w:val="543E18F6"/>
    <w:rsid w:val="546808AF"/>
    <w:rsid w:val="546B1FBF"/>
    <w:rsid w:val="54863FD2"/>
    <w:rsid w:val="54996B2C"/>
    <w:rsid w:val="550A7A2A"/>
    <w:rsid w:val="554A7E27"/>
    <w:rsid w:val="555E1B24"/>
    <w:rsid w:val="556A04C9"/>
    <w:rsid w:val="559E5653"/>
    <w:rsid w:val="55AB3C2F"/>
    <w:rsid w:val="55EC35D4"/>
    <w:rsid w:val="560E77BA"/>
    <w:rsid w:val="56383CF3"/>
    <w:rsid w:val="56455CD4"/>
    <w:rsid w:val="565C42B5"/>
    <w:rsid w:val="56987A2E"/>
    <w:rsid w:val="56AE76A6"/>
    <w:rsid w:val="56D4209E"/>
    <w:rsid w:val="56DB2C2D"/>
    <w:rsid w:val="56E4418B"/>
    <w:rsid w:val="57064221"/>
    <w:rsid w:val="571322F4"/>
    <w:rsid w:val="5773022F"/>
    <w:rsid w:val="57770C7B"/>
    <w:rsid w:val="58016415"/>
    <w:rsid w:val="580A1AEF"/>
    <w:rsid w:val="58776655"/>
    <w:rsid w:val="58B74216"/>
    <w:rsid w:val="58C16652"/>
    <w:rsid w:val="59070E1D"/>
    <w:rsid w:val="590752B6"/>
    <w:rsid w:val="591F15CA"/>
    <w:rsid w:val="596D67DA"/>
    <w:rsid w:val="59760D08"/>
    <w:rsid w:val="599E6993"/>
    <w:rsid w:val="59AC5554"/>
    <w:rsid w:val="5A564466"/>
    <w:rsid w:val="5A902780"/>
    <w:rsid w:val="5A9F4737"/>
    <w:rsid w:val="5AAE2C06"/>
    <w:rsid w:val="5AE8436A"/>
    <w:rsid w:val="5AF80325"/>
    <w:rsid w:val="5AF947C9"/>
    <w:rsid w:val="5B6339F0"/>
    <w:rsid w:val="5BF6561B"/>
    <w:rsid w:val="5BFA4C14"/>
    <w:rsid w:val="5C026F64"/>
    <w:rsid w:val="5C1B42CB"/>
    <w:rsid w:val="5C2A6C04"/>
    <w:rsid w:val="5C3543D2"/>
    <w:rsid w:val="5C406532"/>
    <w:rsid w:val="5C7C5B98"/>
    <w:rsid w:val="5CCC1D5B"/>
    <w:rsid w:val="5CE36031"/>
    <w:rsid w:val="5CEE2074"/>
    <w:rsid w:val="5DB26EB1"/>
    <w:rsid w:val="5DBA559D"/>
    <w:rsid w:val="5DFE3EA4"/>
    <w:rsid w:val="5E465887"/>
    <w:rsid w:val="5E473A9D"/>
    <w:rsid w:val="5E8425FB"/>
    <w:rsid w:val="5EE50BC0"/>
    <w:rsid w:val="5F181B76"/>
    <w:rsid w:val="5F463D55"/>
    <w:rsid w:val="5F7C7862"/>
    <w:rsid w:val="5FD4389C"/>
    <w:rsid w:val="5FEC48FC"/>
    <w:rsid w:val="6013374F"/>
    <w:rsid w:val="6018265A"/>
    <w:rsid w:val="60B116A2"/>
    <w:rsid w:val="60B42F40"/>
    <w:rsid w:val="60B7767B"/>
    <w:rsid w:val="60E63D3F"/>
    <w:rsid w:val="61312676"/>
    <w:rsid w:val="61696F59"/>
    <w:rsid w:val="61D672CA"/>
    <w:rsid w:val="61E63AF5"/>
    <w:rsid w:val="62547254"/>
    <w:rsid w:val="626A2DAC"/>
    <w:rsid w:val="62784498"/>
    <w:rsid w:val="63293771"/>
    <w:rsid w:val="63786F38"/>
    <w:rsid w:val="637C7D45"/>
    <w:rsid w:val="639808F7"/>
    <w:rsid w:val="63D27D5F"/>
    <w:rsid w:val="645F2960"/>
    <w:rsid w:val="64654C7D"/>
    <w:rsid w:val="64BD496D"/>
    <w:rsid w:val="64BE25DF"/>
    <w:rsid w:val="64C44758"/>
    <w:rsid w:val="64F93617"/>
    <w:rsid w:val="655D3BA6"/>
    <w:rsid w:val="65655387"/>
    <w:rsid w:val="657A1239"/>
    <w:rsid w:val="659A6BA8"/>
    <w:rsid w:val="65FE7BFD"/>
    <w:rsid w:val="66834ABD"/>
    <w:rsid w:val="669748D6"/>
    <w:rsid w:val="66E63727"/>
    <w:rsid w:val="66EC6F90"/>
    <w:rsid w:val="66F2031E"/>
    <w:rsid w:val="67027686"/>
    <w:rsid w:val="6753346D"/>
    <w:rsid w:val="67AA7E58"/>
    <w:rsid w:val="67AB0BF9"/>
    <w:rsid w:val="68006CAC"/>
    <w:rsid w:val="68077DF9"/>
    <w:rsid w:val="6833204F"/>
    <w:rsid w:val="68382663"/>
    <w:rsid w:val="686314D3"/>
    <w:rsid w:val="6888718C"/>
    <w:rsid w:val="68E5527F"/>
    <w:rsid w:val="690B3390"/>
    <w:rsid w:val="69A578CA"/>
    <w:rsid w:val="69C44584"/>
    <w:rsid w:val="6A23204C"/>
    <w:rsid w:val="6A7343B6"/>
    <w:rsid w:val="6AB029CA"/>
    <w:rsid w:val="6AB40090"/>
    <w:rsid w:val="6ADE7537"/>
    <w:rsid w:val="6AE34B4E"/>
    <w:rsid w:val="6B0C2013"/>
    <w:rsid w:val="6B1F6200"/>
    <w:rsid w:val="6B483AD7"/>
    <w:rsid w:val="6B4A3375"/>
    <w:rsid w:val="6B692EFE"/>
    <w:rsid w:val="6B825FC3"/>
    <w:rsid w:val="6B8359E9"/>
    <w:rsid w:val="6C613F7C"/>
    <w:rsid w:val="6C806253"/>
    <w:rsid w:val="6C9D30AD"/>
    <w:rsid w:val="6CF748E0"/>
    <w:rsid w:val="6CFD77D6"/>
    <w:rsid w:val="6D15191A"/>
    <w:rsid w:val="6D7D3037"/>
    <w:rsid w:val="6D934609"/>
    <w:rsid w:val="6DAE50AD"/>
    <w:rsid w:val="6DD11CEE"/>
    <w:rsid w:val="6DDA2238"/>
    <w:rsid w:val="6E0E1EE1"/>
    <w:rsid w:val="6E5A21EA"/>
    <w:rsid w:val="6E646100"/>
    <w:rsid w:val="6EB8009F"/>
    <w:rsid w:val="6EC72090"/>
    <w:rsid w:val="6F834B73"/>
    <w:rsid w:val="6F857F81"/>
    <w:rsid w:val="6FBF7463"/>
    <w:rsid w:val="6FC62348"/>
    <w:rsid w:val="6FE10E18"/>
    <w:rsid w:val="6FEA2D4D"/>
    <w:rsid w:val="6FEC14A9"/>
    <w:rsid w:val="6FEC6252"/>
    <w:rsid w:val="702E23C7"/>
    <w:rsid w:val="70A15EF2"/>
    <w:rsid w:val="70CB230C"/>
    <w:rsid w:val="70FD6193"/>
    <w:rsid w:val="710F33E9"/>
    <w:rsid w:val="71874A5E"/>
    <w:rsid w:val="71E60A7F"/>
    <w:rsid w:val="720251A8"/>
    <w:rsid w:val="72160AE6"/>
    <w:rsid w:val="721E46BD"/>
    <w:rsid w:val="72267932"/>
    <w:rsid w:val="72271FEC"/>
    <w:rsid w:val="72655E48"/>
    <w:rsid w:val="726F541D"/>
    <w:rsid w:val="72824C4C"/>
    <w:rsid w:val="728A3B01"/>
    <w:rsid w:val="72D93738"/>
    <w:rsid w:val="73434202"/>
    <w:rsid w:val="734819F2"/>
    <w:rsid w:val="735B7378"/>
    <w:rsid w:val="735D46E9"/>
    <w:rsid w:val="737A608E"/>
    <w:rsid w:val="73A806E2"/>
    <w:rsid w:val="73BC418E"/>
    <w:rsid w:val="741D2E7E"/>
    <w:rsid w:val="742323BE"/>
    <w:rsid w:val="74A16CBA"/>
    <w:rsid w:val="74B463CC"/>
    <w:rsid w:val="74CB28DA"/>
    <w:rsid w:val="74D53759"/>
    <w:rsid w:val="74DF348D"/>
    <w:rsid w:val="74F33BDF"/>
    <w:rsid w:val="752B5D11"/>
    <w:rsid w:val="752C70F1"/>
    <w:rsid w:val="75387844"/>
    <w:rsid w:val="753903C8"/>
    <w:rsid w:val="75564C30"/>
    <w:rsid w:val="75CC2E8E"/>
    <w:rsid w:val="75DC4AB5"/>
    <w:rsid w:val="75DE1906"/>
    <w:rsid w:val="75EF406B"/>
    <w:rsid w:val="76125D2B"/>
    <w:rsid w:val="76391AC6"/>
    <w:rsid w:val="765B7C8E"/>
    <w:rsid w:val="76707B96"/>
    <w:rsid w:val="76726D86"/>
    <w:rsid w:val="768D36C7"/>
    <w:rsid w:val="76C3504D"/>
    <w:rsid w:val="76EC79CF"/>
    <w:rsid w:val="770422FE"/>
    <w:rsid w:val="772E6EB3"/>
    <w:rsid w:val="7746449A"/>
    <w:rsid w:val="775546DD"/>
    <w:rsid w:val="778C3E77"/>
    <w:rsid w:val="77E31CE9"/>
    <w:rsid w:val="78376C25"/>
    <w:rsid w:val="78746DE5"/>
    <w:rsid w:val="78936256"/>
    <w:rsid w:val="78A72AF0"/>
    <w:rsid w:val="790F6B0E"/>
    <w:rsid w:val="79134850"/>
    <w:rsid w:val="79200163"/>
    <w:rsid w:val="79261AEA"/>
    <w:rsid w:val="7956473D"/>
    <w:rsid w:val="79670836"/>
    <w:rsid w:val="798624FA"/>
    <w:rsid w:val="798661F3"/>
    <w:rsid w:val="799314ED"/>
    <w:rsid w:val="79EE2C15"/>
    <w:rsid w:val="7AA46F38"/>
    <w:rsid w:val="7B467F1D"/>
    <w:rsid w:val="7B5C0124"/>
    <w:rsid w:val="7BA7772C"/>
    <w:rsid w:val="7BAF448F"/>
    <w:rsid w:val="7BC97448"/>
    <w:rsid w:val="7C0924C9"/>
    <w:rsid w:val="7C0A708B"/>
    <w:rsid w:val="7C507B69"/>
    <w:rsid w:val="7C603012"/>
    <w:rsid w:val="7C711A95"/>
    <w:rsid w:val="7C81665C"/>
    <w:rsid w:val="7C8D4919"/>
    <w:rsid w:val="7CBA4FE2"/>
    <w:rsid w:val="7CD24A22"/>
    <w:rsid w:val="7D2F777E"/>
    <w:rsid w:val="7D5F0561"/>
    <w:rsid w:val="7D60202E"/>
    <w:rsid w:val="7D6458CE"/>
    <w:rsid w:val="7D853355"/>
    <w:rsid w:val="7D8555F0"/>
    <w:rsid w:val="7D9029B9"/>
    <w:rsid w:val="7D916095"/>
    <w:rsid w:val="7DB14637"/>
    <w:rsid w:val="7DC51E91"/>
    <w:rsid w:val="7E141A72"/>
    <w:rsid w:val="7E703977"/>
    <w:rsid w:val="7E963DC6"/>
    <w:rsid w:val="7EF02F3D"/>
    <w:rsid w:val="7F1B1599"/>
    <w:rsid w:val="7F1D7B2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autoRedefine/>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1"/>
    <w:next w:val="1"/>
    <w:link w:val="32"/>
    <w:autoRedefine/>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6"/>
    <w:next w:val="1"/>
    <w:autoRedefine/>
    <w:qFormat/>
    <w:uiPriority w:val="9"/>
    <w:pPr>
      <w:spacing w:before="260" w:after="260" w:line="240" w:lineRule="auto"/>
      <w:outlineLvl w:val="2"/>
    </w:pPr>
    <w:rPr>
      <w:rFonts w:ascii="宋体" w:hAnsi="宋体" w:eastAsia="宋体"/>
      <w:szCs w:val="32"/>
    </w:rPr>
  </w:style>
  <w:style w:type="paragraph" w:styleId="6">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360" w:lineRule="auto"/>
    </w:pPr>
    <w:rPr>
      <w:b/>
      <w:bCs/>
      <w:sz w:val="24"/>
    </w:rPr>
  </w:style>
  <w:style w:type="paragraph" w:styleId="7">
    <w:name w:val="Normal Indent"/>
    <w:basedOn w:val="1"/>
    <w:autoRedefine/>
    <w:qFormat/>
    <w:uiPriority w:val="0"/>
    <w:pPr>
      <w:ind w:firstLine="420"/>
    </w:pPr>
    <w:rPr>
      <w:szCs w:val="20"/>
    </w:rPr>
  </w:style>
  <w:style w:type="paragraph" w:styleId="8">
    <w:name w:val="Document Map"/>
    <w:basedOn w:val="1"/>
    <w:link w:val="31"/>
    <w:autoRedefine/>
    <w:semiHidden/>
    <w:unhideWhenUsed/>
    <w:qFormat/>
    <w:uiPriority w:val="99"/>
    <w:rPr>
      <w:rFonts w:ascii="宋体" w:eastAsia="宋体"/>
      <w:sz w:val="18"/>
      <w:szCs w:val="18"/>
    </w:rPr>
  </w:style>
  <w:style w:type="paragraph" w:styleId="9">
    <w:name w:val="annotation text"/>
    <w:basedOn w:val="1"/>
    <w:link w:val="33"/>
    <w:autoRedefine/>
    <w:unhideWhenUsed/>
    <w:qFormat/>
    <w:uiPriority w:val="99"/>
    <w:pPr>
      <w:jc w:val="left"/>
    </w:p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6"/>
    <w:autoRedefine/>
    <w:unhideWhenUsed/>
    <w:qFormat/>
    <w:uiPriority w:val="99"/>
    <w:pPr>
      <w:tabs>
        <w:tab w:val="center" w:pos="4153"/>
        <w:tab w:val="right" w:pos="8306"/>
      </w:tabs>
      <w:snapToGrid w:val="0"/>
      <w:jc w:val="left"/>
    </w:pPr>
    <w:rPr>
      <w:sz w:val="18"/>
      <w:szCs w:val="18"/>
    </w:rPr>
  </w:style>
  <w:style w:type="paragraph" w:styleId="12">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next w:val="2"/>
    <w:autoRedefine/>
    <w:qFormat/>
    <w:uiPriority w:val="0"/>
    <w:pPr>
      <w:spacing w:line="360" w:lineRule="auto"/>
    </w:pPr>
    <w:rPr>
      <w:sz w:val="24"/>
    </w:rPr>
  </w:style>
  <w:style w:type="paragraph" w:styleId="14">
    <w:name w:val="Normal (Web)"/>
    <w:basedOn w:val="1"/>
    <w:link w:val="28"/>
    <w:autoRedefine/>
    <w:qFormat/>
    <w:uiPriority w:val="99"/>
    <w:pPr>
      <w:widowControl/>
      <w:spacing w:before="100" w:beforeAutospacing="1" w:afterAutospacing="1"/>
      <w:jc w:val="left"/>
    </w:pPr>
    <w:rPr>
      <w:rFonts w:ascii="宋体" w:hAnsi="宋体"/>
      <w:sz w:val="24"/>
      <w:szCs w:val="24"/>
    </w:rPr>
  </w:style>
  <w:style w:type="paragraph" w:styleId="15">
    <w:name w:val="annotation subject"/>
    <w:basedOn w:val="9"/>
    <w:next w:val="9"/>
    <w:link w:val="35"/>
    <w:autoRedefine/>
    <w:semiHidden/>
    <w:unhideWhenUsed/>
    <w:qFormat/>
    <w:uiPriority w:val="99"/>
    <w:rPr>
      <w:b/>
      <w:bCs/>
    </w:rPr>
  </w:style>
  <w:style w:type="paragraph" w:styleId="16">
    <w:name w:val="Body Text First Indent"/>
    <w:basedOn w:val="2"/>
    <w:autoRedefine/>
    <w:qFormat/>
    <w:uiPriority w:val="99"/>
    <w:pPr>
      <w:tabs>
        <w:tab w:val="left" w:pos="567"/>
      </w:tabs>
      <w:ind w:firstLine="420" w:firstLineChars="1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autoRedefine/>
    <w:qFormat/>
    <w:uiPriority w:val="0"/>
    <w:rPr>
      <w:b/>
      <w:bCs/>
    </w:rPr>
  </w:style>
  <w:style w:type="character" w:styleId="21">
    <w:name w:val="FollowedHyperlink"/>
    <w:basedOn w:val="19"/>
    <w:autoRedefine/>
    <w:semiHidden/>
    <w:unhideWhenUsed/>
    <w:qFormat/>
    <w:uiPriority w:val="99"/>
    <w:rPr>
      <w:color w:val="800080" w:themeColor="followedHyperlink"/>
      <w:u w:val="single"/>
      <w14:textFill>
        <w14:solidFill>
          <w14:schemeClr w14:val="folHlink"/>
        </w14:solidFill>
      </w14:textFill>
    </w:rPr>
  </w:style>
  <w:style w:type="character" w:styleId="22">
    <w:name w:val="Hyperlink"/>
    <w:basedOn w:val="19"/>
    <w:autoRedefine/>
    <w:unhideWhenUsed/>
    <w:qFormat/>
    <w:uiPriority w:val="99"/>
    <w:rPr>
      <w:color w:val="0000FF" w:themeColor="hyperlink"/>
      <w:u w:val="single"/>
      <w14:textFill>
        <w14:solidFill>
          <w14:schemeClr w14:val="hlink"/>
        </w14:solidFill>
      </w14:textFill>
    </w:rPr>
  </w:style>
  <w:style w:type="character" w:styleId="23">
    <w:name w:val="annotation reference"/>
    <w:basedOn w:val="19"/>
    <w:autoRedefine/>
    <w:semiHidden/>
    <w:unhideWhenUsed/>
    <w:qFormat/>
    <w:uiPriority w:val="99"/>
    <w:rPr>
      <w:sz w:val="21"/>
      <w:szCs w:val="21"/>
    </w:rPr>
  </w:style>
  <w:style w:type="paragraph" w:customStyle="1" w:styleId="24">
    <w:name w:val="样式 行距: 1.5 倍行距 首行缩进:  2 字符"/>
    <w:basedOn w:val="1"/>
    <w:autoRedefine/>
    <w:unhideWhenUsed/>
    <w:qFormat/>
    <w:uiPriority w:val="0"/>
    <w:pPr>
      <w:adjustRightInd w:val="0"/>
      <w:snapToGrid w:val="0"/>
      <w:spacing w:line="460" w:lineRule="exact"/>
    </w:pPr>
    <w:rPr>
      <w:sz w:val="24"/>
      <w:szCs w:val="24"/>
    </w:rPr>
  </w:style>
  <w:style w:type="character" w:customStyle="1" w:styleId="25">
    <w:name w:val="页眉 Char"/>
    <w:basedOn w:val="19"/>
    <w:link w:val="12"/>
    <w:autoRedefine/>
    <w:semiHidden/>
    <w:qFormat/>
    <w:uiPriority w:val="99"/>
    <w:rPr>
      <w:sz w:val="18"/>
      <w:szCs w:val="18"/>
    </w:rPr>
  </w:style>
  <w:style w:type="character" w:customStyle="1" w:styleId="26">
    <w:name w:val="页脚 Char"/>
    <w:basedOn w:val="19"/>
    <w:link w:val="11"/>
    <w:autoRedefine/>
    <w:qFormat/>
    <w:uiPriority w:val="99"/>
    <w:rPr>
      <w:sz w:val="18"/>
      <w:szCs w:val="18"/>
    </w:rPr>
  </w:style>
  <w:style w:type="character" w:customStyle="1" w:styleId="27">
    <w:name w:val="批注框文本 Char"/>
    <w:basedOn w:val="19"/>
    <w:link w:val="10"/>
    <w:autoRedefine/>
    <w:semiHidden/>
    <w:qFormat/>
    <w:uiPriority w:val="99"/>
    <w:rPr>
      <w:sz w:val="18"/>
      <w:szCs w:val="18"/>
    </w:rPr>
  </w:style>
  <w:style w:type="character" w:customStyle="1" w:styleId="28">
    <w:name w:val="普通(网站) Char"/>
    <w:link w:val="14"/>
    <w:autoRedefine/>
    <w:qFormat/>
    <w:uiPriority w:val="99"/>
    <w:rPr>
      <w:rFonts w:ascii="宋体" w:hAnsi="宋体"/>
      <w:sz w:val="24"/>
      <w:szCs w:val="24"/>
    </w:rPr>
  </w:style>
  <w:style w:type="character" w:customStyle="1" w:styleId="29">
    <w:name w:val="标题 1 Char"/>
    <w:basedOn w:val="19"/>
    <w:link w:val="3"/>
    <w:autoRedefine/>
    <w:qFormat/>
    <w:uiPriority w:val="0"/>
    <w:rPr>
      <w:rFonts w:ascii="Arial" w:hAnsi="Arial" w:eastAsia="宋体" w:cs="Times New Roman"/>
      <w:b/>
      <w:bCs/>
      <w:kern w:val="44"/>
      <w:sz w:val="44"/>
      <w:szCs w:val="44"/>
    </w:rPr>
  </w:style>
  <w:style w:type="paragraph" w:styleId="30">
    <w:name w:val="List Paragraph"/>
    <w:basedOn w:val="1"/>
    <w:autoRedefine/>
    <w:qFormat/>
    <w:uiPriority w:val="34"/>
    <w:pPr>
      <w:ind w:firstLine="420" w:firstLineChars="200"/>
    </w:pPr>
  </w:style>
  <w:style w:type="character" w:customStyle="1" w:styleId="31">
    <w:name w:val="文档结构图 Char"/>
    <w:basedOn w:val="19"/>
    <w:link w:val="8"/>
    <w:autoRedefine/>
    <w:semiHidden/>
    <w:qFormat/>
    <w:uiPriority w:val="99"/>
    <w:rPr>
      <w:rFonts w:ascii="宋体" w:eastAsia="宋体"/>
      <w:sz w:val="18"/>
      <w:szCs w:val="18"/>
    </w:rPr>
  </w:style>
  <w:style w:type="character" w:customStyle="1" w:styleId="32">
    <w:name w:val="标题 2 Char"/>
    <w:basedOn w:val="19"/>
    <w:link w:val="4"/>
    <w:autoRedefine/>
    <w:semiHidden/>
    <w:qFormat/>
    <w:uiPriority w:val="9"/>
    <w:rPr>
      <w:rFonts w:asciiTheme="majorHAnsi" w:hAnsiTheme="majorHAnsi" w:eastAsiaTheme="majorEastAsia" w:cstheme="majorBidi"/>
      <w:b/>
      <w:bCs/>
      <w:sz w:val="32"/>
      <w:szCs w:val="32"/>
    </w:rPr>
  </w:style>
  <w:style w:type="character" w:customStyle="1" w:styleId="33">
    <w:name w:val="批注文字 Char"/>
    <w:basedOn w:val="19"/>
    <w:link w:val="9"/>
    <w:autoRedefine/>
    <w:qFormat/>
    <w:uiPriority w:val="99"/>
  </w:style>
  <w:style w:type="character" w:customStyle="1" w:styleId="34">
    <w:name w:val="标题 3 Char"/>
    <w:autoRedefine/>
    <w:qFormat/>
    <w:uiPriority w:val="0"/>
    <w:rPr>
      <w:rFonts w:ascii="黑体" w:eastAsia="黑体"/>
      <w:bCs/>
      <w:sz w:val="30"/>
    </w:rPr>
  </w:style>
  <w:style w:type="character" w:customStyle="1" w:styleId="35">
    <w:name w:val="批注主题 Char"/>
    <w:basedOn w:val="33"/>
    <w:link w:val="15"/>
    <w:autoRedefine/>
    <w:semiHidden/>
    <w:qFormat/>
    <w:uiPriority w:val="99"/>
    <w:rPr>
      <w:b/>
      <w:bCs/>
    </w:rPr>
  </w:style>
  <w:style w:type="table" w:customStyle="1" w:styleId="36">
    <w:name w:val="网格型1"/>
    <w:basedOn w:val="17"/>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Table Paragraph"/>
    <w:autoRedefine/>
    <w:qFormat/>
    <w:uiPriority w:val="1"/>
    <w:pPr>
      <w:widowControl w:val="0"/>
      <w:jc w:val="both"/>
    </w:pPr>
    <w:rPr>
      <w:rFonts w:ascii="宋体" w:hAnsi="宋体" w:eastAsia="宋体" w:cs="宋体"/>
      <w:kern w:val="2"/>
      <w:sz w:val="21"/>
      <w:szCs w:val="24"/>
      <w:lang w:val="zh-CN" w:eastAsia="zh-CN" w:bidi="zh-CN"/>
    </w:rPr>
  </w:style>
  <w:style w:type="paragraph" w:customStyle="1" w:styleId="38">
    <w:name w:val="正文-公1"/>
    <w:basedOn w:val="1"/>
    <w:next w:val="12"/>
    <w:autoRedefine/>
    <w:qFormat/>
    <w:uiPriority w:val="0"/>
    <w:pPr>
      <w:ind w:firstLine="200" w:firstLineChars="200"/>
    </w:pPr>
    <w:rPr>
      <w:color w:val="000000"/>
    </w:rPr>
  </w:style>
  <w:style w:type="character" w:customStyle="1" w:styleId="39">
    <w:name w:val="font11"/>
    <w:basedOn w:val="19"/>
    <w:autoRedefine/>
    <w:qFormat/>
    <w:uiPriority w:val="0"/>
    <w:rPr>
      <w:rFonts w:hint="eastAsia" w:ascii="宋体" w:hAnsi="宋体" w:eastAsia="宋体" w:cs="宋体"/>
      <w:b/>
      <w:bCs/>
      <w:color w:val="000000"/>
      <w:sz w:val="21"/>
      <w:szCs w:val="21"/>
      <w:u w:val="none"/>
    </w:rPr>
  </w:style>
  <w:style w:type="character" w:customStyle="1" w:styleId="40">
    <w:name w:val="font31"/>
    <w:basedOn w:val="19"/>
    <w:autoRedefine/>
    <w:qFormat/>
    <w:uiPriority w:val="0"/>
    <w:rPr>
      <w:rFonts w:hint="eastAsia" w:ascii="宋体" w:hAnsi="宋体" w:eastAsia="宋体" w:cs="宋体"/>
      <w:color w:val="000000"/>
      <w:sz w:val="21"/>
      <w:szCs w:val="21"/>
      <w:u w:val="none"/>
    </w:rPr>
  </w:style>
  <w:style w:type="character" w:customStyle="1" w:styleId="41">
    <w:name w:val="font41"/>
    <w:basedOn w:val="19"/>
    <w:autoRedefine/>
    <w:qFormat/>
    <w:uiPriority w:val="0"/>
    <w:rPr>
      <w:rFonts w:hint="eastAsia" w:ascii="宋体" w:hAnsi="宋体" w:eastAsia="宋体" w:cs="宋体"/>
      <w:color w:val="0C0C0C"/>
      <w:sz w:val="21"/>
      <w:szCs w:val="21"/>
      <w:u w:val="none"/>
    </w:rPr>
  </w:style>
  <w:style w:type="character" w:customStyle="1" w:styleId="42">
    <w:name w:val="font81"/>
    <w:basedOn w:val="19"/>
    <w:autoRedefine/>
    <w:qFormat/>
    <w:uiPriority w:val="0"/>
    <w:rPr>
      <w:rFonts w:hint="eastAsia" w:ascii="宋体" w:hAnsi="宋体" w:eastAsia="宋体" w:cs="宋体"/>
      <w:b/>
      <w:bCs/>
      <w:color w:val="0C0C0C"/>
      <w:sz w:val="21"/>
      <w:szCs w:val="21"/>
      <w:u w:val="none"/>
    </w:rPr>
  </w:style>
  <w:style w:type="character" w:customStyle="1" w:styleId="43">
    <w:name w:val="font91"/>
    <w:basedOn w:val="19"/>
    <w:autoRedefine/>
    <w:qFormat/>
    <w:uiPriority w:val="0"/>
    <w:rPr>
      <w:rFonts w:hint="eastAsia" w:ascii="宋体" w:hAnsi="宋体" w:eastAsia="宋体" w:cs="宋体"/>
      <w:b/>
      <w:bCs/>
      <w:color w:val="FF0000"/>
      <w:sz w:val="21"/>
      <w:szCs w:val="21"/>
      <w:u w:val="none"/>
    </w:rPr>
  </w:style>
  <w:style w:type="character" w:customStyle="1" w:styleId="44">
    <w:name w:val="font61"/>
    <w:basedOn w:val="19"/>
    <w:autoRedefine/>
    <w:qFormat/>
    <w:uiPriority w:val="0"/>
    <w:rPr>
      <w:rFonts w:hint="default" w:ascii="Calibri" w:hAnsi="Calibri" w:cs="Calibri"/>
      <w:b/>
      <w:bCs/>
      <w:color w:val="FF0000"/>
      <w:sz w:val="21"/>
      <w:szCs w:val="21"/>
      <w:u w:val="none"/>
    </w:rPr>
  </w:style>
  <w:style w:type="character" w:customStyle="1" w:styleId="45">
    <w:name w:val="font51"/>
    <w:basedOn w:val="19"/>
    <w:autoRedefine/>
    <w:qFormat/>
    <w:uiPriority w:val="0"/>
    <w:rPr>
      <w:rFonts w:hint="eastAsia" w:ascii="宋体" w:hAnsi="宋体" w:eastAsia="宋体" w:cs="宋体"/>
      <w:color w:val="000000"/>
      <w:sz w:val="20"/>
      <w:szCs w:val="20"/>
      <w:u w:val="none"/>
    </w:rPr>
  </w:style>
  <w:style w:type="character" w:customStyle="1" w:styleId="46">
    <w:name w:val="font101"/>
    <w:basedOn w:val="19"/>
    <w:autoRedefine/>
    <w:qFormat/>
    <w:uiPriority w:val="0"/>
    <w:rPr>
      <w:rFonts w:hint="default" w:ascii="Calibri" w:hAnsi="Calibri" w:cs="Calibri"/>
      <w:color w:val="000000"/>
      <w:sz w:val="21"/>
      <w:szCs w:val="21"/>
      <w:u w:val="none"/>
    </w:rPr>
  </w:style>
  <w:style w:type="character" w:customStyle="1" w:styleId="47">
    <w:name w:val="font71"/>
    <w:basedOn w:val="19"/>
    <w:autoRedefine/>
    <w:qFormat/>
    <w:uiPriority w:val="0"/>
    <w:rPr>
      <w:rFonts w:hint="eastAsia" w:ascii="宋体" w:hAnsi="宋体" w:eastAsia="宋体" w:cs="宋体"/>
      <w:color w:val="000000"/>
      <w:sz w:val="21"/>
      <w:szCs w:val="21"/>
      <w:u w:val="none"/>
    </w:rPr>
  </w:style>
  <w:style w:type="character" w:customStyle="1" w:styleId="48">
    <w:name w:val="font112"/>
    <w:basedOn w:val="19"/>
    <w:autoRedefine/>
    <w:qFormat/>
    <w:uiPriority w:val="0"/>
    <w:rPr>
      <w:rFonts w:hint="eastAsia" w:ascii="宋体" w:hAnsi="宋体" w:eastAsia="宋体" w:cs="宋体"/>
      <w:b/>
      <w:bCs/>
      <w:color w:val="000000"/>
      <w:sz w:val="21"/>
      <w:szCs w:val="21"/>
      <w:u w:val="none"/>
    </w:rPr>
  </w:style>
  <w:style w:type="character" w:customStyle="1" w:styleId="49">
    <w:name w:val="font12"/>
    <w:basedOn w:val="19"/>
    <w:autoRedefine/>
    <w:qFormat/>
    <w:uiPriority w:val="0"/>
    <w:rPr>
      <w:rFonts w:hint="eastAsia" w:ascii="宋体" w:hAnsi="宋体" w:eastAsia="宋体" w:cs="宋体"/>
      <w:b/>
      <w:bCs/>
      <w:color w:val="000000"/>
      <w:sz w:val="21"/>
      <w:szCs w:val="21"/>
      <w:u w:val="none"/>
    </w:rPr>
  </w:style>
  <w:style w:type="character" w:customStyle="1" w:styleId="50">
    <w:name w:val="font111"/>
    <w:basedOn w:val="19"/>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81</Pages>
  <Words>56483</Words>
  <Characters>60092</Characters>
  <Lines>1</Lines>
  <Paragraphs>1</Paragraphs>
  <TotalTime>12</TotalTime>
  <ScaleCrop>false</ScaleCrop>
  <LinksUpToDate>false</LinksUpToDate>
  <CharactersWithSpaces>63713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胡丹妮</cp:lastModifiedBy>
  <cp:lastPrinted>2021-01-15T01:17:00Z</cp:lastPrinted>
  <dcterms:modified xsi:type="dcterms:W3CDTF">2024-09-27T09:32:59Z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6A5F2239CFB848F19EF80EDF9CDDD65E_13</vt:lpwstr>
  </property>
</Properties>
</file>