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56"/>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pPr>
        <w:pStyle w:val="18"/>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p>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21"/>
        <w:tblW w:w="8174" w:type="dxa"/>
        <w:jc w:val="center"/>
        <w:tblCellSpacing w:w="0" w:type="dxa"/>
        <w:tblLayout w:type="autofit"/>
        <w:tblCellMar>
          <w:top w:w="36" w:type="dxa"/>
          <w:left w:w="36" w:type="dxa"/>
          <w:bottom w:w="36" w:type="dxa"/>
          <w:right w:w="36" w:type="dxa"/>
        </w:tblCellMar>
      </w:tblPr>
      <w:tblGrid>
        <w:gridCol w:w="2186"/>
        <w:gridCol w:w="5988"/>
      </w:tblGrid>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项目编号：</w:t>
            </w:r>
          </w:p>
        </w:tc>
        <w:tc>
          <w:tcPr>
            <w:tcW w:w="5988" w:type="dxa"/>
            <w:vAlign w:val="center"/>
          </w:tcPr>
          <w:p>
            <w:pPr>
              <w:rPr>
                <w:rFonts w:hint="eastAsia" w:eastAsiaTheme="minorEastAsia"/>
                <w:sz w:val="30"/>
                <w:szCs w:val="30"/>
                <w:lang w:eastAsia="zh-CN"/>
              </w:rPr>
            </w:pPr>
            <w:r>
              <w:rPr>
                <w:rFonts w:hint="eastAsia" w:asciiTheme="minorEastAsia" w:hAnsiTheme="minorEastAsia"/>
                <w:sz w:val="30"/>
                <w:szCs w:val="30"/>
                <w:lang w:val="en-US" w:eastAsia="zh-CN"/>
              </w:rPr>
              <w:t>LHAZXCG-2025-00093</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项目名称：</w:t>
            </w:r>
          </w:p>
        </w:tc>
        <w:tc>
          <w:tcPr>
            <w:tcW w:w="5988" w:type="dxa"/>
            <w:vAlign w:val="center"/>
          </w:tcPr>
          <w:p>
            <w:pPr>
              <w:rPr>
                <w:rFonts w:hint="default" w:eastAsiaTheme="minorEastAsia"/>
                <w:sz w:val="30"/>
                <w:szCs w:val="30"/>
                <w:lang w:val="en-US" w:eastAsia="zh-CN"/>
              </w:rPr>
            </w:pPr>
            <w:r>
              <w:rPr>
                <w:rFonts w:hint="default" w:eastAsiaTheme="minorEastAsia"/>
                <w:sz w:val="30"/>
                <w:szCs w:val="30"/>
                <w:lang w:val="en-US" w:eastAsia="zh-CN"/>
              </w:rPr>
              <w:t>深圳市龙华区教育局教育系统安全隐患排查治理服务</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包</w:t>
            </w:r>
            <w:r>
              <w:rPr>
                <w:rFonts w:hint="eastAsia"/>
                <w:sz w:val="30"/>
                <w:szCs w:val="30"/>
                <w:lang w:val="en-US" w:eastAsia="zh-CN"/>
              </w:rPr>
              <w:t xml:space="preserve">    </w:t>
            </w:r>
            <w:r>
              <w:rPr>
                <w:sz w:val="30"/>
                <w:szCs w:val="30"/>
              </w:rPr>
              <w:t>号：</w:t>
            </w:r>
          </w:p>
        </w:tc>
        <w:tc>
          <w:tcPr>
            <w:tcW w:w="5988" w:type="dxa"/>
            <w:vAlign w:val="center"/>
          </w:tcPr>
          <w:p>
            <w:pPr>
              <w:rPr>
                <w:sz w:val="30"/>
                <w:szCs w:val="30"/>
              </w:rPr>
            </w:pPr>
            <w:r>
              <w:rPr>
                <w:sz w:val="30"/>
                <w:szCs w:val="30"/>
              </w:rPr>
              <w:t>A</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项目类型：</w:t>
            </w:r>
          </w:p>
        </w:tc>
        <w:tc>
          <w:tcPr>
            <w:tcW w:w="5988" w:type="dxa"/>
            <w:vAlign w:val="center"/>
          </w:tcPr>
          <w:p>
            <w:pPr>
              <w:rPr>
                <w:sz w:val="30"/>
                <w:szCs w:val="30"/>
              </w:rPr>
            </w:pPr>
            <w:r>
              <w:rPr>
                <w:rFonts w:hint="eastAsia"/>
                <w:sz w:val="30"/>
                <w:szCs w:val="30"/>
                <w:lang w:val="en-US" w:eastAsia="zh-CN"/>
              </w:rPr>
              <w:t>服务</w:t>
            </w:r>
            <w:r>
              <w:rPr>
                <w:sz w:val="30"/>
                <w:szCs w:val="30"/>
              </w:rPr>
              <w:t>类</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采购方式：</w:t>
            </w:r>
          </w:p>
        </w:tc>
        <w:tc>
          <w:tcPr>
            <w:tcW w:w="5988" w:type="dxa"/>
            <w:vAlign w:val="center"/>
          </w:tcPr>
          <w:p>
            <w:pPr>
              <w:rPr>
                <w:sz w:val="30"/>
                <w:szCs w:val="30"/>
              </w:rPr>
            </w:pPr>
            <w:r>
              <w:rPr>
                <w:sz w:val="30"/>
                <w:szCs w:val="30"/>
              </w:rPr>
              <w:t>公开招标</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货币类型：</w:t>
            </w:r>
          </w:p>
        </w:tc>
        <w:tc>
          <w:tcPr>
            <w:tcW w:w="5988" w:type="dxa"/>
            <w:vAlign w:val="center"/>
          </w:tcPr>
          <w:p>
            <w:pPr>
              <w:rPr>
                <w:sz w:val="30"/>
                <w:szCs w:val="30"/>
              </w:rPr>
            </w:pPr>
            <w:r>
              <w:rPr>
                <w:sz w:val="30"/>
                <w:szCs w:val="30"/>
              </w:rPr>
              <w:t>人民币</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评标方法：</w:t>
            </w:r>
          </w:p>
        </w:tc>
        <w:tc>
          <w:tcPr>
            <w:tcW w:w="5988" w:type="dxa"/>
            <w:vAlign w:val="center"/>
          </w:tcPr>
          <w:p>
            <w:pPr>
              <w:rPr>
                <w:sz w:val="30"/>
                <w:szCs w:val="30"/>
              </w:rPr>
            </w:pPr>
            <w:r>
              <w:rPr>
                <w:rFonts w:ascii="宋体" w:hAnsi="宋体" w:cs="宋体"/>
                <w:kern w:val="0"/>
                <w:sz w:val="30"/>
                <w:szCs w:val="30"/>
                <w:lang w:bidi="ar"/>
              </w:rPr>
              <w:t>综合评分法</w:t>
            </w:r>
          </w:p>
        </w:tc>
      </w:tr>
    </w:tbl>
    <w:p>
      <w:pPr>
        <w:tabs>
          <w:tab w:val="left" w:pos="2790"/>
        </w:tabs>
        <w:snapToGrid w:val="0"/>
        <w:spacing w:line="440" w:lineRule="exact"/>
        <w:jc w:val="left"/>
        <w:rPr>
          <w:rFonts w:asciiTheme="minorEastAsia" w:hAnsiTheme="minorEastAsia"/>
          <w:sz w:val="30"/>
          <w:szCs w:val="30"/>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资格性审查表</w:t>
      </w:r>
    </w:p>
    <w:tbl>
      <w:tblPr>
        <w:tblStyle w:val="21"/>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ascii="宋体" w:hAnsi="宋体" w:eastAsia="宋体" w:cs="宋体"/>
                <w:szCs w:val="21"/>
              </w:rPr>
            </w:pPr>
            <w:r>
              <w:rPr>
                <w:rFonts w:ascii="宋体" w:hAnsi="宋体" w:eastAsia="宋体" w:cs="宋体"/>
                <w:kern w:val="0"/>
                <w:szCs w:val="21"/>
              </w:rPr>
              <w:t>投标人不</w:t>
            </w:r>
            <w:r>
              <w:rPr>
                <w:rFonts w:hint="eastAsia" w:ascii="宋体" w:hAnsi="宋体" w:eastAsia="宋体" w:cs="宋体"/>
                <w:kern w:val="0"/>
                <w:szCs w:val="21"/>
              </w:rPr>
              <w:t>符合</w:t>
            </w:r>
            <w:r>
              <w:rPr>
                <w:rFonts w:ascii="宋体" w:hAnsi="宋体" w:eastAsia="宋体" w:cs="宋体"/>
                <w:kern w:val="0"/>
                <w:szCs w:val="21"/>
              </w:rPr>
              <w:t>资格要求，或未提交相应的资格证明资料（详见招标公告</w:t>
            </w:r>
            <w:r>
              <w:rPr>
                <w:rFonts w:hint="eastAsia" w:ascii="宋体" w:hAnsi="宋体" w:eastAsia="宋体" w:cs="Times New Roman"/>
                <w:szCs w:val="21"/>
              </w:rPr>
              <w:t>投标人资格要求，即申请人的资格要求</w:t>
            </w:r>
            <w:r>
              <w:rPr>
                <w:rFonts w:ascii="宋体" w:hAnsi="宋体" w:eastAsia="宋体" w:cs="宋体"/>
                <w:kern w:val="0"/>
                <w:szCs w:val="21"/>
              </w:rPr>
              <w:t>）。</w:t>
            </w:r>
          </w:p>
        </w:tc>
      </w:tr>
    </w:tbl>
    <w:p>
      <w:pPr>
        <w:tabs>
          <w:tab w:val="left" w:pos="2790"/>
        </w:tabs>
        <w:snapToGrid w:val="0"/>
        <w:jc w:val="center"/>
        <w:rPr>
          <w:rFonts w:hint="eastAsia" w:ascii="黑体" w:hAnsi="黑体" w:eastAsia="黑体" w:cs="Times New Roman"/>
          <w:sz w:val="40"/>
          <w:szCs w:val="40"/>
          <w:lang w:eastAsia="zh-CN"/>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符合性审查表</w:t>
      </w:r>
    </w:p>
    <w:tbl>
      <w:tblPr>
        <w:tblStyle w:val="21"/>
        <w:tblW w:w="94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7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序号</w:t>
            </w:r>
          </w:p>
        </w:tc>
        <w:tc>
          <w:tcPr>
            <w:tcW w:w="870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1</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b/>
                <w:highlight w:val="yellow"/>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2</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3</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4</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5</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6</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7</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8</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9</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10</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宋体" w:hAnsi="宋体" w:eastAsia="宋体"/>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Calibri" w:hAnsi="Calibri" w:eastAsia="宋体" w:cs="Times New Roman"/>
                <w:lang w:val="en-US" w:eastAsia="zh-CN"/>
              </w:rPr>
            </w:pPr>
            <w:r>
              <w:rPr>
                <w:rFonts w:hint="eastAsia" w:ascii="Calibri" w:hAnsi="Calibri" w:eastAsia="宋体" w:cs="Times New Roman"/>
              </w:rPr>
              <w:t>1</w:t>
            </w:r>
            <w:r>
              <w:rPr>
                <w:rFonts w:hint="eastAsia" w:ascii="Calibri" w:hAnsi="Calibri" w:eastAsia="宋体" w:cs="Times New Roman"/>
                <w:lang w:val="en-US" w:eastAsia="zh-CN"/>
              </w:rPr>
              <w:t>1</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宋体" w:hAnsi="宋体" w:eastAsia="宋体"/>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Calibri" w:hAnsi="Calibri" w:eastAsia="宋体" w:cs="Times New Roman"/>
                <w:lang w:val="en-US" w:eastAsia="zh-CN"/>
              </w:rPr>
            </w:pPr>
            <w:r>
              <w:rPr>
                <w:rFonts w:hint="eastAsia" w:ascii="Calibri" w:hAnsi="Calibri" w:eastAsia="宋体" w:cs="Times New Roman"/>
              </w:rPr>
              <w:t>1</w:t>
            </w:r>
            <w:r>
              <w:rPr>
                <w:rFonts w:hint="eastAsia" w:ascii="Calibri" w:hAnsi="Calibri" w:eastAsia="宋体" w:cs="Times New Roman"/>
                <w:lang w:val="en-US" w:eastAsia="zh-CN"/>
              </w:rPr>
              <w:t>2</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szCs w:val="21"/>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Calibri" w:hAnsi="Calibri" w:eastAsia="宋体" w:cs="Times New Roman"/>
                <w:lang w:val="en-US" w:eastAsia="zh-CN"/>
              </w:rPr>
            </w:pPr>
            <w:r>
              <w:rPr>
                <w:rFonts w:hint="eastAsia" w:ascii="Calibri" w:hAnsi="Calibri" w:eastAsia="宋体" w:cs="Times New Roman"/>
              </w:rPr>
              <w:t>1</w:t>
            </w:r>
            <w:r>
              <w:rPr>
                <w:rFonts w:hint="eastAsia" w:ascii="Calibri" w:hAnsi="Calibri" w:eastAsia="宋体" w:cs="Times New Roman"/>
                <w:lang w:val="en-US" w:eastAsia="zh-CN"/>
              </w:rPr>
              <w:t>3</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highlight w:val="yellow"/>
              </w:rPr>
            </w:pPr>
            <w:r>
              <w:rPr>
                <w:rFonts w:hint="eastAsia"/>
              </w:rPr>
              <w:t>法律、法规、规章、规范性文件规定的其他情形。</w:t>
            </w:r>
          </w:p>
        </w:tc>
      </w:tr>
    </w:tbl>
    <w:p>
      <w:pPr>
        <w:pStyle w:val="18"/>
        <w:keepNext w:val="0"/>
        <w:keepLines w:val="0"/>
        <w:pageBreakBefore w:val="0"/>
        <w:widowControl/>
        <w:kinsoku/>
        <w:wordWrap/>
        <w:overflowPunct/>
        <w:topLinePunct w:val="0"/>
        <w:autoSpaceDE/>
        <w:autoSpaceDN/>
        <w:bidi w:val="0"/>
        <w:adjustRightInd/>
        <w:snapToGrid/>
        <w:jc w:val="center"/>
        <w:textAlignment w:val="auto"/>
        <w:outlineLvl w:val="0"/>
        <w:rPr>
          <w:rFonts w:ascii="黑体" w:eastAsia="黑体"/>
          <w:sz w:val="40"/>
          <w:szCs w:val="40"/>
        </w:rPr>
      </w:pPr>
      <w:r>
        <w:rPr>
          <w:rFonts w:hint="eastAsia" w:ascii="黑体" w:hAnsi="黑体" w:eastAsia="黑体"/>
          <w:sz w:val="40"/>
          <w:szCs w:val="40"/>
        </w:rPr>
        <w:t>评标信息</w:t>
      </w:r>
    </w:p>
    <w:tbl>
      <w:tblPr>
        <w:tblStyle w:val="21"/>
        <w:tblW w:w="9068"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476"/>
        <w:gridCol w:w="428"/>
        <w:gridCol w:w="1526"/>
        <w:gridCol w:w="937"/>
        <w:gridCol w:w="570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68" w:type="dxa"/>
            <w:gridSpan w:val="5"/>
            <w:shd w:val="clear" w:color="auto" w:fill="auto"/>
            <w:vAlign w:val="center"/>
          </w:tcPr>
          <w:p>
            <w:pPr>
              <w:jc w:val="left"/>
              <w:rPr>
                <w:rFonts w:ascii="宋体"/>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68"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Cs w:val="21"/>
                <w:lang w:eastAsia="zh-CN"/>
              </w:rPr>
            </w:pPr>
            <w:r>
              <w:rPr>
                <w:szCs w:val="21"/>
              </w:rPr>
              <w:t>综合评分法，</w:t>
            </w:r>
            <w:r>
              <w:rPr>
                <w:rFonts w:hint="eastAsia"/>
                <w:szCs w:val="21"/>
              </w:rPr>
              <w:t>是指投标文件满足招标文件全部实质性要求，且按照评审因素的量化指标评审得分</w:t>
            </w:r>
            <w:r>
              <w:rPr>
                <w:rFonts w:hint="eastAsia"/>
                <w:szCs w:val="21"/>
                <w:lang w:val="en-US" w:eastAsia="zh-CN"/>
              </w:rPr>
              <w:t>排名前列</w:t>
            </w:r>
            <w:r>
              <w:rPr>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Cs w:val="21"/>
              </w:rPr>
            </w:pPr>
            <w:r>
              <w:rPr>
                <w:szCs w:val="21"/>
              </w:rPr>
              <w:t>价格分计算方法：</w:t>
            </w:r>
          </w:p>
          <w:p>
            <w:pPr>
              <w:pStyle w:val="1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 xml:space="preserve">采用低价优先法计算，即满足招标文件要求且投标价格最低的投标报价为评标基准价，其价格分为满分。其他投标人的价格分统一按照下列公式计算： </w:t>
            </w:r>
            <w:r>
              <w:rPr>
                <w:kern w:val="2"/>
                <w:sz w:val="21"/>
                <w:szCs w:val="21"/>
              </w:rPr>
              <w:br w:type="textWrapping"/>
            </w:r>
            <w:r>
              <w:rPr>
                <w:kern w:val="2"/>
                <w:sz w:val="21"/>
                <w:szCs w:val="21"/>
              </w:rPr>
              <w:t xml:space="preserve">投标报价得分=(评标基准价／投标报价)×100 </w:t>
            </w:r>
            <w:r>
              <w:rPr>
                <w:kern w:val="2"/>
                <w:sz w:val="21"/>
                <w:szCs w:val="21"/>
              </w:rPr>
              <w:br w:type="textWrapping"/>
            </w:r>
            <w:r>
              <w:rPr>
                <w:kern w:val="2"/>
                <w:sz w:val="21"/>
                <w:szCs w:val="21"/>
              </w:rPr>
              <w:t xml:space="preserve">评标总得分＝F1×A1＋F2×A2＋……＋Fn×An </w:t>
            </w:r>
            <w:r>
              <w:rPr>
                <w:kern w:val="2"/>
                <w:sz w:val="21"/>
                <w:szCs w:val="21"/>
              </w:rPr>
              <w:br w:type="textWrapping"/>
            </w:r>
            <w:r>
              <w:rPr>
                <w:kern w:val="2"/>
                <w:sz w:val="21"/>
                <w:szCs w:val="21"/>
              </w:rPr>
              <w:t xml:space="preserve">F1、F2……Fn分别为各项评审因素的得分； </w:t>
            </w:r>
            <w:r>
              <w:rPr>
                <w:kern w:val="2"/>
                <w:sz w:val="21"/>
                <w:szCs w:val="21"/>
              </w:rPr>
              <w:br w:type="textWrapping"/>
            </w:r>
            <w:r>
              <w:rPr>
                <w:kern w:val="2"/>
                <w:sz w:val="21"/>
                <w:szCs w:val="21"/>
              </w:rPr>
              <w:t xml:space="preserve">A1、A2、……An 分别为各项评审因素所占的权重(A1＋A2＋……＋An＝1)。 </w:t>
            </w:r>
            <w:r>
              <w:rPr>
                <w:kern w:val="2"/>
                <w:sz w:val="21"/>
                <w:szCs w:val="21"/>
              </w:rPr>
              <w:br w:type="textWrapping"/>
            </w:r>
            <w:r>
              <w:rPr>
                <w:kern w:val="2"/>
                <w:sz w:val="21"/>
                <w:szCs w:val="21"/>
              </w:rPr>
              <w:t>评标过程中，不得去掉报价中的最高报价和最低报价。</w:t>
            </w:r>
          </w:p>
          <w:p>
            <w:pPr>
              <w:pStyle w:val="1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pPr>
            <w:r>
              <w:rPr>
                <w:rFonts w:hint="eastAsia"/>
                <w:kern w:val="2"/>
                <w:sz w:val="21"/>
                <w:szCs w:val="21"/>
              </w:rPr>
              <w:t>因落实政府采购政策进行价格调整的，以调整后的价格计算评标基准价和投标报价。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891"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评分项</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权重</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246" w:hRule="atLeast"/>
          <w:tblCellSpacing w:w="0" w:type="dxa"/>
          <w:jc w:val="center"/>
        </w:trPr>
        <w:tc>
          <w:tcPr>
            <w:tcW w:w="476"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2891"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价格</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p>
        </w:tc>
        <w:tc>
          <w:tcPr>
            <w:tcW w:w="2891"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技术部分</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64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52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评分因素</w:t>
            </w:r>
          </w:p>
        </w:tc>
        <w:tc>
          <w:tcPr>
            <w:tcW w:w="937"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w:t>
            </w:r>
          </w:p>
        </w:tc>
        <w:tc>
          <w:tcPr>
            <w:tcW w:w="570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499" w:hRule="atLeast"/>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eastAsia" w:asciiTheme="minorEastAsia" w:hAnsiTheme="minorEastAsia" w:eastAsiaTheme="minorEastAsia" w:cstheme="minorEastAsia"/>
                <w:sz w:val="21"/>
                <w:szCs w:val="21"/>
                <w:highlight w:val="none"/>
              </w:rPr>
            </w:pPr>
            <w:r>
              <w:rPr>
                <w:rFonts w:hint="eastAsia" w:ascii="宋体" w:hAnsi="宋体"/>
                <w:szCs w:val="21"/>
              </w:rPr>
              <w:t>1</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360" w:lineRule="auto"/>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cs="宋体"/>
                <w:szCs w:val="21"/>
              </w:rPr>
              <w:t>服务方案</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szCs w:val="21"/>
              </w:rPr>
              <w:t>9</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考察内容：</w:t>
            </w:r>
            <w:r>
              <w:rPr>
                <w:rFonts w:hint="eastAsia" w:ascii="宋体" w:hAnsi="宋体" w:eastAsia="宋体" w:cs="宋体"/>
                <w:color w:val="auto"/>
                <w:sz w:val="21"/>
                <w:szCs w:val="21"/>
                <w:lang w:val="en-US" w:eastAsia="zh-CN"/>
              </w:rPr>
              <w:t xml:space="preserve"> </w:t>
            </w:r>
          </w:p>
          <w:p>
            <w:pPr>
              <w:snapToGrid w:val="0"/>
              <w:spacing w:line="360" w:lineRule="exact"/>
              <w:rPr>
                <w:rFonts w:hint="eastAsia" w:ascii="宋体" w:hAnsi="宋体" w:cs="宋体"/>
                <w:color w:val="auto"/>
                <w:szCs w:val="21"/>
                <w:shd w:val="clear" w:color="auto"/>
              </w:rPr>
            </w:pPr>
            <w:r>
              <w:rPr>
                <w:rFonts w:hint="eastAsia" w:ascii="宋体" w:hAnsi="宋体" w:cs="宋体"/>
                <w:szCs w:val="21"/>
              </w:rPr>
              <w:t>投标人提供的项目服务方案内容包括：①现状了解度； ②</w:t>
            </w:r>
            <w:r>
              <w:rPr>
                <w:rFonts w:hint="eastAsia" w:ascii="宋体" w:hAnsi="宋体"/>
                <w:szCs w:val="21"/>
              </w:rPr>
              <w:t>学校安全隐患排查重点</w:t>
            </w:r>
            <w:r>
              <w:rPr>
                <w:rFonts w:hint="eastAsia" w:ascii="宋体" w:hAnsi="宋体" w:cs="宋体"/>
                <w:szCs w:val="21"/>
              </w:rPr>
              <w:t>； ③工作流程与计划。</w:t>
            </w:r>
          </w:p>
          <w:p>
            <w:pPr>
              <w:spacing w:line="360" w:lineRule="exac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评审标准：</w:t>
            </w:r>
            <w:r>
              <w:rPr>
                <w:rFonts w:hint="eastAsia" w:ascii="宋体" w:hAnsi="宋体" w:eastAsia="宋体" w:cs="宋体"/>
                <w:b/>
                <w:bCs/>
                <w:color w:val="auto"/>
                <w:sz w:val="21"/>
                <w:szCs w:val="21"/>
                <w:lang w:val="en-US" w:eastAsia="zh-CN"/>
              </w:rPr>
              <w:br w:type="textWrapping"/>
            </w:r>
            <w:r>
              <w:rPr>
                <w:rFonts w:hint="eastAsia" w:ascii="宋体" w:hAnsi="宋体"/>
                <w:color w:val="auto"/>
                <w:szCs w:val="21"/>
                <w:shd w:val="clear" w:color="auto"/>
              </w:rPr>
              <w:t>满足以上3项的得50分，满足以上2项的得30分，满足以上1项的得10分。其他情况不得分。</w:t>
            </w:r>
          </w:p>
          <w:p>
            <w:pPr>
              <w:spacing w:line="360" w:lineRule="exact"/>
              <w:rPr>
                <w:rFonts w:hint="eastAsia" w:ascii="宋体" w:hAnsi="宋体"/>
                <w:szCs w:val="21"/>
              </w:rPr>
            </w:pPr>
            <w:r>
              <w:rPr>
                <w:rFonts w:ascii="宋体" w:hAnsi="宋体"/>
                <w:szCs w:val="21"/>
              </w:rPr>
              <w:t>在此基础上：</w:t>
            </w:r>
          </w:p>
          <w:p>
            <w:pPr>
              <w:spacing w:line="360" w:lineRule="exact"/>
              <w:rPr>
                <w:rFonts w:hint="eastAsia" w:ascii="宋体" w:hAnsi="宋体"/>
                <w:szCs w:val="21"/>
              </w:rPr>
            </w:pPr>
            <w:r>
              <w:rPr>
                <w:rFonts w:ascii="宋体" w:hAnsi="宋体" w:cs="宋体"/>
                <w:szCs w:val="21"/>
              </w:rPr>
              <w:t>(1)</w:t>
            </w:r>
            <w:r>
              <w:rPr>
                <w:rFonts w:ascii="宋体" w:hAnsi="宋体"/>
                <w:szCs w:val="21"/>
              </w:rPr>
              <w:t>投标文件响应内容全面；</w:t>
            </w:r>
          </w:p>
          <w:p>
            <w:pPr>
              <w:spacing w:line="360" w:lineRule="exact"/>
              <w:rPr>
                <w:rFonts w:hint="eastAsia" w:ascii="宋体" w:hAnsi="宋体"/>
                <w:szCs w:val="21"/>
              </w:rPr>
            </w:pPr>
            <w:r>
              <w:rPr>
                <w:rFonts w:ascii="宋体" w:hAnsi="宋体" w:cs="宋体"/>
                <w:szCs w:val="21"/>
              </w:rPr>
              <w:t>(2)</w:t>
            </w:r>
            <w:r>
              <w:rPr>
                <w:rFonts w:ascii="宋体" w:hAnsi="宋体"/>
                <w:szCs w:val="21"/>
              </w:rPr>
              <w:t>投标文件响应内容具体；</w:t>
            </w:r>
          </w:p>
          <w:p>
            <w:pPr>
              <w:spacing w:line="360" w:lineRule="exact"/>
              <w:rPr>
                <w:rFonts w:hint="eastAsia" w:ascii="宋体" w:hAnsi="宋体"/>
                <w:szCs w:val="21"/>
              </w:rPr>
            </w:pPr>
            <w:r>
              <w:rPr>
                <w:rFonts w:ascii="宋体" w:hAnsi="宋体" w:cs="宋体"/>
                <w:szCs w:val="21"/>
              </w:rPr>
              <w:t>(3)</w:t>
            </w:r>
            <w:r>
              <w:rPr>
                <w:rFonts w:ascii="宋体" w:hAnsi="宋体"/>
                <w:szCs w:val="21"/>
              </w:rPr>
              <w:t>投标文件响应内容针对性强：</w:t>
            </w:r>
          </w:p>
          <w:p>
            <w:pPr>
              <w:spacing w:line="360" w:lineRule="exact"/>
              <w:rPr>
                <w:rFonts w:hint="eastAsia" w:ascii="宋体" w:hAnsi="宋体"/>
                <w:szCs w:val="21"/>
              </w:rPr>
            </w:pPr>
            <w:r>
              <w:rPr>
                <w:rFonts w:ascii="宋体" w:hAnsi="宋体" w:cs="宋体"/>
                <w:szCs w:val="21"/>
              </w:rPr>
              <w:t>(4)</w:t>
            </w:r>
            <w:r>
              <w:rPr>
                <w:rFonts w:ascii="宋体" w:hAnsi="宋体"/>
                <w:szCs w:val="21"/>
              </w:rPr>
              <w:t>投标文件响应内容科学合理；</w:t>
            </w:r>
          </w:p>
          <w:p>
            <w:pPr>
              <w:spacing w:line="360" w:lineRule="exact"/>
              <w:rPr>
                <w:rFonts w:hint="eastAsia" w:ascii="宋体" w:hAnsi="宋体"/>
                <w:szCs w:val="21"/>
              </w:rPr>
            </w:pPr>
            <w:r>
              <w:rPr>
                <w:rFonts w:ascii="宋体" w:hAnsi="宋体" w:cs="宋体"/>
                <w:szCs w:val="21"/>
              </w:rPr>
              <w:t>(5)</w:t>
            </w:r>
            <w:r>
              <w:rPr>
                <w:rFonts w:ascii="宋体" w:hAnsi="宋体"/>
                <w:szCs w:val="21"/>
              </w:rPr>
              <w:t>投标文件响应内容可操作性强。</w:t>
            </w:r>
          </w:p>
          <w:p>
            <w:pPr>
              <w:spacing w:line="360" w:lineRule="exact"/>
              <w:rPr>
                <w:rFonts w:hint="eastAsia" w:ascii="宋体" w:hAnsi="宋体"/>
                <w:szCs w:val="21"/>
              </w:rPr>
            </w:pPr>
            <w:r>
              <w:rPr>
                <w:rFonts w:ascii="宋体" w:hAnsi="宋体"/>
                <w:szCs w:val="21"/>
              </w:rPr>
              <w:t>优评分标准：满足以上五项要求的评价为优，</w:t>
            </w:r>
            <w:r>
              <w:rPr>
                <w:rFonts w:hint="eastAsia" w:ascii="宋体" w:hAnsi="宋体"/>
                <w:szCs w:val="21"/>
              </w:rPr>
              <w:t>加</w:t>
            </w:r>
            <w:r>
              <w:rPr>
                <w:rFonts w:hint="eastAsia" w:ascii="宋体" w:hAnsi="宋体" w:cs="宋体"/>
                <w:szCs w:val="21"/>
              </w:rPr>
              <w:t>50分</w:t>
            </w:r>
            <w:r>
              <w:rPr>
                <w:rFonts w:ascii="宋体" w:hAnsi="宋体"/>
                <w:szCs w:val="21"/>
              </w:rPr>
              <w:t>；</w:t>
            </w:r>
          </w:p>
          <w:p>
            <w:pPr>
              <w:spacing w:line="360" w:lineRule="exact"/>
              <w:rPr>
                <w:rFonts w:hint="eastAsia" w:ascii="宋体" w:hAnsi="宋体"/>
                <w:szCs w:val="21"/>
              </w:rPr>
            </w:pPr>
            <w:r>
              <w:rPr>
                <w:rFonts w:ascii="宋体" w:hAnsi="宋体"/>
                <w:szCs w:val="21"/>
              </w:rPr>
              <w:t>良评分标准：满足以上四项要求的评价为良，</w:t>
            </w:r>
            <w:r>
              <w:rPr>
                <w:rFonts w:hint="eastAsia" w:ascii="宋体" w:hAnsi="宋体"/>
                <w:szCs w:val="21"/>
              </w:rPr>
              <w:t>加</w:t>
            </w:r>
            <w:r>
              <w:rPr>
                <w:rFonts w:hint="eastAsia" w:ascii="宋体" w:hAnsi="宋体" w:cs="宋体"/>
                <w:szCs w:val="21"/>
              </w:rPr>
              <w:t>30分</w:t>
            </w:r>
            <w:r>
              <w:rPr>
                <w:rFonts w:ascii="宋体" w:hAnsi="宋体"/>
                <w:szCs w:val="21"/>
              </w:rPr>
              <w:t>；</w:t>
            </w:r>
          </w:p>
          <w:p>
            <w:pPr>
              <w:spacing w:line="360" w:lineRule="exact"/>
              <w:rPr>
                <w:rFonts w:hint="eastAsia" w:ascii="宋体" w:hAnsi="宋体"/>
                <w:szCs w:val="21"/>
              </w:rPr>
            </w:pPr>
            <w:r>
              <w:rPr>
                <w:rFonts w:ascii="宋体" w:hAnsi="宋体"/>
                <w:szCs w:val="21"/>
              </w:rPr>
              <w:t>中评分标准：满足以上三项要求的评价为中，</w:t>
            </w:r>
            <w:r>
              <w:rPr>
                <w:rFonts w:hint="eastAsia" w:ascii="宋体" w:hAnsi="宋体"/>
                <w:szCs w:val="21"/>
              </w:rPr>
              <w:t>加</w:t>
            </w:r>
            <w:r>
              <w:rPr>
                <w:rFonts w:hint="eastAsia" w:ascii="宋体" w:hAnsi="宋体" w:cs="宋体"/>
                <w:szCs w:val="21"/>
              </w:rPr>
              <w:t>10分</w:t>
            </w:r>
            <w:r>
              <w:rPr>
                <w:rFonts w:ascii="宋体" w:hAnsi="宋体"/>
                <w:szCs w:val="21"/>
              </w:rPr>
              <w:t>；</w:t>
            </w:r>
          </w:p>
          <w:p>
            <w:pPr>
              <w:spacing w:line="360" w:lineRule="exact"/>
              <w:jc w:val="left"/>
              <w:rPr>
                <w:rFonts w:hint="eastAsia" w:asciiTheme="minorEastAsia" w:hAnsiTheme="minorEastAsia" w:eastAsiaTheme="minorEastAsia" w:cstheme="minorEastAsia"/>
                <w:kern w:val="2"/>
                <w:sz w:val="21"/>
                <w:szCs w:val="21"/>
                <w:highlight w:val="none"/>
                <w:lang w:val="en-US" w:eastAsia="zh-CN" w:bidi="ar-SA"/>
              </w:rPr>
            </w:pPr>
            <w:r>
              <w:rPr>
                <w:rFonts w:ascii="宋体" w:hAnsi="宋体"/>
                <w:szCs w:val="21"/>
              </w:rPr>
              <w:t>差评分标准：上述情况之外的，评差，不</w:t>
            </w:r>
            <w:r>
              <w:rPr>
                <w:rFonts w:hint="eastAsia" w:ascii="宋体" w:hAnsi="宋体"/>
                <w:szCs w:val="21"/>
              </w:rPr>
              <w:t>加</w:t>
            </w:r>
            <w:r>
              <w:rPr>
                <w:rFonts w:ascii="宋体" w:hAnsi="宋体"/>
                <w:szCs w:val="21"/>
              </w:rPr>
              <w:t>分。</w:t>
            </w:r>
            <w:r>
              <w:rPr>
                <w:rFonts w:ascii="宋体" w:hAnsi="宋体"/>
                <w:szCs w:val="21"/>
              </w:rPr>
              <w:br w:type="textWrapping"/>
            </w:r>
            <w:r>
              <w:rPr>
                <w:rFonts w:hint="eastAsia" w:ascii="宋体" w:hAnsi="宋体" w:eastAsia="宋体" w:cs="宋体"/>
                <w:b w:val="0"/>
                <w:bCs w:val="0"/>
                <w:color w:val="auto"/>
                <w:sz w:val="21"/>
                <w:szCs w:val="21"/>
                <w:lang w:val="en-US" w:eastAsia="zh-CN"/>
              </w:rPr>
              <w:t>未提供方案不得分。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restart"/>
            <w:tcBorders>
              <w:top w:val="single" w:color="000000" w:sz="8" w:space="0"/>
              <w:left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eastAsia" w:asciiTheme="minorEastAsia" w:hAnsiTheme="minorEastAsia" w:eastAsiaTheme="minorEastAsia" w:cstheme="minorEastAsia"/>
                <w:sz w:val="21"/>
                <w:szCs w:val="21"/>
                <w:highlight w:val="none"/>
              </w:rPr>
            </w:pPr>
            <w:r>
              <w:rPr>
                <w:rFonts w:hint="eastAsia" w:ascii="宋体" w:hAnsi="宋体"/>
                <w:szCs w:val="21"/>
              </w:rPr>
              <w:t>2</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Theme="minorEastAsia" w:hAnsiTheme="minorEastAsia" w:eastAsiaTheme="minorEastAsia" w:cstheme="minorEastAsia"/>
                <w:b/>
                <w:sz w:val="21"/>
                <w:szCs w:val="21"/>
                <w:highlight w:val="none"/>
              </w:rPr>
            </w:pPr>
            <w:r>
              <w:rPr>
                <w:rFonts w:hint="eastAsia" w:ascii="宋体" w:hAnsi="宋体" w:cs="宋体"/>
                <w:szCs w:val="21"/>
              </w:rPr>
              <w:t>质量保障措施及方案</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Theme="minorEastAsia" w:hAnsiTheme="minorEastAsia" w:eastAsiaTheme="minorEastAsia" w:cstheme="minorEastAsia"/>
                <w:sz w:val="21"/>
                <w:szCs w:val="21"/>
                <w:highlight w:val="none"/>
                <w:lang w:val="en-US" w:eastAsia="zh-CN"/>
              </w:rPr>
            </w:pPr>
            <w:r>
              <w:rPr>
                <w:rFonts w:hint="eastAsia" w:ascii="宋体" w:hAnsi="宋体"/>
                <w:szCs w:val="21"/>
              </w:rPr>
              <w:t>9</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考察内容：</w:t>
            </w:r>
            <w:r>
              <w:rPr>
                <w:rFonts w:hint="eastAsia" w:ascii="宋体" w:hAnsi="宋体" w:eastAsia="宋体" w:cs="宋体"/>
                <w:color w:val="auto"/>
                <w:sz w:val="21"/>
                <w:szCs w:val="21"/>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针对本项目需求，投标人需提供项目方案中包括：质量保障措施及方案。</w:t>
            </w:r>
            <w:r>
              <w:rPr>
                <w:rFonts w:hint="eastAsia" w:ascii="宋体" w:hAnsi="宋体" w:eastAsia="宋体" w:cs="宋体"/>
                <w:color w:val="auto"/>
                <w:sz w:val="21"/>
                <w:szCs w:val="21"/>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 xml:space="preserve">评审标准： </w:t>
            </w:r>
          </w:p>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考察以上方案，全部具有得50分，其他不得分。 </w:t>
            </w:r>
          </w:p>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在此基础上，专家根据各供应商的具体响应内容按照量化的评审因素指标进一步评审：</w:t>
            </w:r>
          </w:p>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1、评价为优（方案完善，工作内容和安排考虑周到，流程合理）的加50分； </w:t>
            </w:r>
          </w:p>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2、评价为良（方案较完善，工作内容和安排考虑较周到，流程较合理）的加30分；</w:t>
            </w:r>
          </w:p>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3、评价为中（方案一般，工作内容和安排考虑基本周到，流程一般）的加20分；</w:t>
            </w:r>
          </w:p>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4、评价为差（方案不完善，工作内容和安排考虑欠周到）的不加分。 </w:t>
            </w:r>
          </w:p>
          <w:p>
            <w:pPr>
              <w:rPr>
                <w:rFonts w:hint="eastAsia" w:asciiTheme="minorEastAsia" w:hAnsiTheme="minorEastAsia" w:eastAsiaTheme="minorEastAsia" w:cstheme="minorEastAsia"/>
                <w:sz w:val="21"/>
                <w:szCs w:val="21"/>
                <w:highlight w:val="none"/>
              </w:rPr>
            </w:pPr>
            <w:r>
              <w:rPr>
                <w:rFonts w:hint="eastAsia" w:ascii="宋体" w:hAnsi="宋体" w:eastAsia="宋体" w:cs="宋体"/>
                <w:b w:val="0"/>
                <w:bCs w:val="0"/>
                <w:color w:val="auto"/>
                <w:sz w:val="21"/>
                <w:szCs w:val="21"/>
                <w:lang w:val="en-US" w:eastAsia="zh-CN"/>
              </w:rPr>
              <w:t>未提供方案不得分。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宋体" w:hAnsi="宋体"/>
                <w:szCs w:val="21"/>
              </w:rPr>
              <w:t>3</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Theme="minorEastAsia" w:hAnsiTheme="minorEastAsia" w:eastAsiaTheme="minorEastAsia" w:cstheme="minorEastAsia"/>
                <w:b w:val="0"/>
                <w:bCs w:val="0"/>
                <w:sz w:val="21"/>
                <w:szCs w:val="21"/>
                <w:highlight w:val="none"/>
              </w:rPr>
            </w:pPr>
            <w:r>
              <w:rPr>
                <w:rFonts w:hint="eastAsia" w:ascii="宋体" w:hAnsi="宋体" w:cs="宋体"/>
                <w:szCs w:val="21"/>
              </w:rPr>
              <w:t>项目重点难点分析、应对措施及相关的合理化建议</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Theme="minorEastAsia" w:hAnsiTheme="minorEastAsia" w:eastAsiaTheme="minorEastAsia" w:cstheme="minorEastAsia"/>
                <w:sz w:val="21"/>
                <w:szCs w:val="21"/>
                <w:highlight w:val="none"/>
                <w:lang w:val="en-US" w:eastAsia="zh-CN"/>
              </w:rPr>
            </w:pPr>
            <w:r>
              <w:rPr>
                <w:rFonts w:hint="eastAsia" w:ascii="宋体" w:hAnsi="宋体"/>
                <w:szCs w:val="21"/>
              </w:rPr>
              <w:t>7</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shd w:val="clear" w:color="auto" w:fill="FFFFFF"/>
              <w:spacing w:line="360" w:lineRule="exact"/>
              <w:rPr>
                <w:rFonts w:hint="eastAsia" w:ascii="宋体" w:hAnsi="宋体"/>
                <w:b/>
                <w:bCs/>
                <w:color w:val="000000"/>
                <w:shd w:val="clear" w:color="auto" w:fill="FFFFFF"/>
              </w:rPr>
            </w:pPr>
            <w:r>
              <w:rPr>
                <w:rFonts w:hint="eastAsia" w:ascii="宋体" w:hAnsi="宋体" w:eastAsia="宋体" w:cs="宋体"/>
                <w:b/>
                <w:bCs/>
                <w:color w:val="auto"/>
                <w:sz w:val="21"/>
                <w:szCs w:val="21"/>
                <w:lang w:val="en-US" w:eastAsia="zh-CN"/>
              </w:rPr>
              <w:t>考察内容：</w:t>
            </w:r>
          </w:p>
          <w:p>
            <w:pPr>
              <w:spacing w:line="360" w:lineRule="exact"/>
              <w:rPr>
                <w:rFonts w:hint="eastAsia" w:ascii="宋体" w:hAnsi="宋体"/>
                <w:szCs w:val="21"/>
              </w:rPr>
            </w:pPr>
            <w:r>
              <w:rPr>
                <w:rFonts w:ascii="宋体" w:hAnsi="宋体"/>
                <w:szCs w:val="21"/>
              </w:rPr>
              <w:t>投标人提供的</w:t>
            </w:r>
            <w:r>
              <w:rPr>
                <w:rFonts w:hint="eastAsia" w:ascii="宋体" w:hAnsi="宋体"/>
                <w:szCs w:val="21"/>
              </w:rPr>
              <w:t>项目重点难点分析、应对措施及相关的合理化建议</w:t>
            </w:r>
            <w:r>
              <w:rPr>
                <w:rFonts w:ascii="宋体" w:hAnsi="宋体"/>
                <w:szCs w:val="21"/>
              </w:rPr>
              <w:t>包含</w:t>
            </w:r>
            <w:r>
              <w:rPr>
                <w:rFonts w:hint="eastAsia" w:ascii="宋体" w:hAnsi="宋体"/>
                <w:szCs w:val="21"/>
              </w:rPr>
              <w:t>：①项目重点难点分析；②应对措施；③相关的合理化建议。</w:t>
            </w:r>
            <w:r>
              <w:rPr>
                <w:rFonts w:hint="eastAsia" w:ascii="宋体" w:hAnsi="宋体"/>
                <w:szCs w:val="21"/>
                <w:lang w:val="en-US" w:eastAsia="zh-CN"/>
              </w:rPr>
              <w:t>}</w:t>
            </w:r>
            <w:r>
              <w:rPr>
                <w:rFonts w:hint="eastAsia" w:ascii="宋体" w:hAnsi="宋体"/>
                <w:szCs w:val="21"/>
                <w:lang w:val="en-US" w:eastAsia="zh-CN"/>
              </w:rPr>
              <w:br w:type="textWrapping"/>
            </w:r>
            <w:r>
              <w:rPr>
                <w:rFonts w:hint="eastAsia" w:ascii="宋体" w:hAnsi="宋体" w:eastAsia="宋体" w:cs="宋体"/>
                <w:b/>
                <w:bCs/>
                <w:color w:val="auto"/>
                <w:sz w:val="21"/>
                <w:szCs w:val="21"/>
                <w:lang w:val="en-US" w:eastAsia="zh-CN"/>
              </w:rPr>
              <w:t>评审标准：</w:t>
            </w:r>
            <w:r>
              <w:rPr>
                <w:rFonts w:hint="eastAsia" w:ascii="宋体" w:hAnsi="宋体" w:eastAsia="宋体" w:cs="宋体"/>
                <w:b/>
                <w:bCs/>
                <w:color w:val="auto"/>
                <w:sz w:val="21"/>
                <w:szCs w:val="21"/>
                <w:lang w:val="en-US" w:eastAsia="zh-CN"/>
              </w:rPr>
              <w:br w:type="textWrapping"/>
            </w:r>
            <w:r>
              <w:rPr>
                <w:rFonts w:hint="eastAsia" w:ascii="宋体" w:hAnsi="宋体"/>
                <w:szCs w:val="21"/>
              </w:rPr>
              <w:t>满足以上3项的得50分，满足以上2项的得30分，满足以上1项的得10分。其他情况不得分。</w:t>
            </w:r>
          </w:p>
          <w:p>
            <w:pPr>
              <w:spacing w:line="360" w:lineRule="exact"/>
              <w:rPr>
                <w:rFonts w:hint="eastAsia" w:ascii="宋体" w:hAnsi="宋体"/>
                <w:szCs w:val="21"/>
              </w:rPr>
            </w:pPr>
            <w:r>
              <w:rPr>
                <w:rFonts w:ascii="宋体" w:hAnsi="宋体"/>
                <w:szCs w:val="21"/>
              </w:rPr>
              <w:t>在此基础上：</w:t>
            </w:r>
          </w:p>
          <w:p>
            <w:pPr>
              <w:spacing w:line="360" w:lineRule="exact"/>
              <w:rPr>
                <w:rFonts w:hint="eastAsia" w:ascii="宋体" w:hAnsi="宋体"/>
                <w:szCs w:val="21"/>
              </w:rPr>
            </w:pPr>
            <w:r>
              <w:rPr>
                <w:rFonts w:ascii="宋体" w:hAnsi="宋体"/>
                <w:szCs w:val="21"/>
              </w:rPr>
              <w:t>(1)投标文件响应内容全面；</w:t>
            </w:r>
          </w:p>
          <w:p>
            <w:pPr>
              <w:spacing w:line="360" w:lineRule="exact"/>
              <w:rPr>
                <w:rFonts w:hint="eastAsia" w:ascii="宋体" w:hAnsi="宋体"/>
                <w:szCs w:val="21"/>
              </w:rPr>
            </w:pPr>
            <w:r>
              <w:rPr>
                <w:rFonts w:ascii="宋体" w:hAnsi="宋体"/>
                <w:szCs w:val="21"/>
              </w:rPr>
              <w:t>(2)投标文件响应内容具体；</w:t>
            </w:r>
          </w:p>
          <w:p>
            <w:pPr>
              <w:spacing w:line="360" w:lineRule="exact"/>
              <w:rPr>
                <w:rFonts w:hint="eastAsia" w:ascii="宋体" w:hAnsi="宋体"/>
                <w:szCs w:val="21"/>
              </w:rPr>
            </w:pPr>
            <w:r>
              <w:rPr>
                <w:rFonts w:ascii="宋体" w:hAnsi="宋体"/>
                <w:szCs w:val="21"/>
              </w:rPr>
              <w:t>(3)投标文件响应内容针对性强：</w:t>
            </w:r>
          </w:p>
          <w:p>
            <w:pPr>
              <w:spacing w:line="360" w:lineRule="exact"/>
              <w:rPr>
                <w:rFonts w:hint="eastAsia" w:ascii="宋体" w:hAnsi="宋体"/>
                <w:szCs w:val="21"/>
              </w:rPr>
            </w:pPr>
            <w:r>
              <w:rPr>
                <w:rFonts w:ascii="宋体" w:hAnsi="宋体"/>
                <w:szCs w:val="21"/>
              </w:rPr>
              <w:t>(4)投标文件响应内容科学合理；</w:t>
            </w:r>
          </w:p>
          <w:p>
            <w:pPr>
              <w:spacing w:line="360" w:lineRule="exact"/>
              <w:rPr>
                <w:rFonts w:hint="eastAsia" w:ascii="宋体" w:hAnsi="宋体"/>
                <w:szCs w:val="21"/>
              </w:rPr>
            </w:pPr>
            <w:r>
              <w:rPr>
                <w:rFonts w:ascii="宋体" w:hAnsi="宋体"/>
                <w:szCs w:val="21"/>
              </w:rPr>
              <w:t>(5)投标文件响应内容可操作性强。</w:t>
            </w:r>
          </w:p>
          <w:p>
            <w:pPr>
              <w:spacing w:line="360" w:lineRule="exact"/>
              <w:rPr>
                <w:rFonts w:hint="eastAsia" w:ascii="宋体" w:hAnsi="宋体"/>
                <w:szCs w:val="21"/>
              </w:rPr>
            </w:pPr>
            <w:r>
              <w:rPr>
                <w:rFonts w:ascii="宋体" w:hAnsi="宋体"/>
                <w:szCs w:val="21"/>
              </w:rPr>
              <w:t>优评分标准：满足以上五项要求的评价为优，</w:t>
            </w:r>
            <w:r>
              <w:rPr>
                <w:rFonts w:hint="eastAsia" w:ascii="宋体" w:hAnsi="宋体"/>
                <w:szCs w:val="21"/>
              </w:rPr>
              <w:t>加5</w:t>
            </w:r>
            <w:r>
              <w:rPr>
                <w:rFonts w:ascii="宋体" w:hAnsi="宋体"/>
                <w:szCs w:val="21"/>
              </w:rPr>
              <w:t>0</w:t>
            </w:r>
            <w:r>
              <w:rPr>
                <w:rFonts w:hint="eastAsia" w:ascii="宋体" w:hAnsi="宋体"/>
                <w:szCs w:val="21"/>
              </w:rPr>
              <w:t>分</w:t>
            </w:r>
            <w:r>
              <w:rPr>
                <w:rFonts w:ascii="宋体" w:hAnsi="宋体"/>
                <w:szCs w:val="21"/>
              </w:rPr>
              <w:t>；</w:t>
            </w:r>
          </w:p>
          <w:p>
            <w:pPr>
              <w:spacing w:line="360" w:lineRule="exact"/>
              <w:rPr>
                <w:rFonts w:hint="eastAsia" w:ascii="宋体" w:hAnsi="宋体"/>
                <w:szCs w:val="21"/>
              </w:rPr>
            </w:pPr>
            <w:r>
              <w:rPr>
                <w:rFonts w:ascii="宋体" w:hAnsi="宋体"/>
                <w:szCs w:val="21"/>
              </w:rPr>
              <w:t>良评分标准：满足以上四项要求的评价为良，</w:t>
            </w:r>
            <w:r>
              <w:rPr>
                <w:rFonts w:hint="eastAsia" w:ascii="宋体" w:hAnsi="宋体"/>
                <w:szCs w:val="21"/>
              </w:rPr>
              <w:t>加3</w:t>
            </w:r>
            <w:r>
              <w:rPr>
                <w:rFonts w:ascii="宋体" w:hAnsi="宋体"/>
                <w:szCs w:val="21"/>
              </w:rPr>
              <w:t>0</w:t>
            </w:r>
            <w:r>
              <w:rPr>
                <w:rFonts w:hint="eastAsia" w:ascii="宋体" w:hAnsi="宋体"/>
                <w:szCs w:val="21"/>
              </w:rPr>
              <w:t>分</w:t>
            </w:r>
            <w:r>
              <w:rPr>
                <w:rFonts w:ascii="宋体" w:hAnsi="宋体"/>
                <w:szCs w:val="21"/>
              </w:rPr>
              <w:t>；</w:t>
            </w:r>
          </w:p>
          <w:p>
            <w:pPr>
              <w:spacing w:line="360" w:lineRule="exact"/>
              <w:rPr>
                <w:rFonts w:hint="eastAsia" w:ascii="宋体" w:hAnsi="宋体"/>
                <w:szCs w:val="21"/>
              </w:rPr>
            </w:pPr>
            <w:r>
              <w:rPr>
                <w:rFonts w:ascii="宋体" w:hAnsi="宋体"/>
                <w:szCs w:val="21"/>
              </w:rPr>
              <w:t>中评分标准：满足以上三项要求的评价为中，</w:t>
            </w:r>
            <w:r>
              <w:rPr>
                <w:rFonts w:hint="eastAsia" w:ascii="宋体" w:hAnsi="宋体"/>
                <w:szCs w:val="21"/>
              </w:rPr>
              <w:t>加1</w:t>
            </w:r>
            <w:r>
              <w:rPr>
                <w:rFonts w:ascii="宋体" w:hAnsi="宋体"/>
                <w:szCs w:val="21"/>
              </w:rPr>
              <w:t>0</w:t>
            </w:r>
            <w:r>
              <w:rPr>
                <w:rFonts w:hint="eastAsia" w:ascii="宋体" w:hAnsi="宋体"/>
                <w:szCs w:val="21"/>
              </w:rPr>
              <w:t>分</w:t>
            </w:r>
            <w:r>
              <w:rPr>
                <w:rFonts w:ascii="宋体" w:hAnsi="宋体"/>
                <w:szCs w:val="21"/>
              </w:rPr>
              <w:t>；</w:t>
            </w:r>
          </w:p>
          <w:p>
            <w:pPr>
              <w:spacing w:line="360" w:lineRule="exact"/>
              <w:rPr>
                <w:rFonts w:hint="eastAsia" w:asciiTheme="minorEastAsia" w:hAnsiTheme="minorEastAsia" w:eastAsiaTheme="minorEastAsia" w:cstheme="minorEastAsia"/>
                <w:sz w:val="21"/>
                <w:szCs w:val="21"/>
                <w:highlight w:val="none"/>
              </w:rPr>
            </w:pPr>
            <w:r>
              <w:rPr>
                <w:rFonts w:ascii="宋体" w:hAnsi="宋体"/>
                <w:szCs w:val="21"/>
              </w:rPr>
              <w:t>差评分标准：上述情况之外的，评差，不</w:t>
            </w:r>
            <w:r>
              <w:rPr>
                <w:rFonts w:hint="eastAsia" w:ascii="宋体" w:hAnsi="宋体"/>
                <w:szCs w:val="21"/>
              </w:rPr>
              <w:t>加</w:t>
            </w:r>
            <w:r>
              <w:rPr>
                <w:rFonts w:ascii="宋体" w:hAnsi="宋体"/>
                <w:szCs w:val="21"/>
              </w:rPr>
              <w:t>分。</w:t>
            </w:r>
            <w:r>
              <w:rPr>
                <w:rFonts w:ascii="宋体" w:hAnsi="宋体"/>
                <w:szCs w:val="21"/>
              </w:rPr>
              <w:br w:type="textWrapping"/>
            </w:r>
            <w:r>
              <w:rPr>
                <w:rFonts w:hint="eastAsia" w:ascii="宋体" w:hAnsi="宋体" w:eastAsia="宋体" w:cs="宋体"/>
                <w:b w:val="0"/>
                <w:bCs w:val="0"/>
                <w:color w:val="auto"/>
                <w:sz w:val="21"/>
                <w:szCs w:val="21"/>
                <w:lang w:val="en-US" w:eastAsia="zh-CN"/>
              </w:rPr>
              <w:t>未提供方案不得分。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宋体" w:hAnsi="宋体"/>
                <w:szCs w:val="21"/>
              </w:rPr>
              <w:t>4</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Theme="minorEastAsia" w:hAnsiTheme="minorEastAsia" w:eastAsiaTheme="minorEastAsia" w:cstheme="minorEastAsia"/>
                <w:b w:val="0"/>
                <w:bCs w:val="0"/>
                <w:sz w:val="21"/>
                <w:szCs w:val="21"/>
                <w:highlight w:val="none"/>
              </w:rPr>
            </w:pPr>
            <w:r>
              <w:rPr>
                <w:rFonts w:hint="eastAsia" w:ascii="宋体" w:hAnsi="宋体" w:cs="宋体"/>
                <w:szCs w:val="21"/>
              </w:rPr>
              <w:t>拟安排项目负责人情况（仅限一人，质量负责人、项目团队除外）</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Theme="minorEastAsia" w:hAnsiTheme="minorEastAsia" w:eastAsiaTheme="minorEastAsia" w:cstheme="minorEastAsia"/>
                <w:sz w:val="21"/>
                <w:szCs w:val="21"/>
                <w:highlight w:val="none"/>
                <w:lang w:val="en-US" w:eastAsia="zh-CN"/>
              </w:rPr>
            </w:pPr>
            <w:r>
              <w:rPr>
                <w:rFonts w:hint="eastAsia" w:ascii="宋体" w:hAnsi="宋体"/>
                <w:szCs w:val="21"/>
              </w:rPr>
              <w:t>13</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numPr>
                <w:ilvl w:val="0"/>
                <w:numId w:val="0"/>
              </w:numPr>
              <w:snapToGrid w:val="0"/>
              <w:spacing w:line="360" w:lineRule="exact"/>
              <w:rPr>
                <w:rFonts w:hint="eastAsia" w:asciiTheme="minorEastAsia" w:hAnsiTheme="minorEastAsia" w:cstheme="minorEastAsia"/>
                <w:b/>
                <w:bCs/>
                <w:szCs w:val="21"/>
              </w:rPr>
            </w:pPr>
            <w:r>
              <w:rPr>
                <w:rFonts w:hint="eastAsia" w:asciiTheme="minorEastAsia" w:hAnsiTheme="minorEastAsia" w:cstheme="minorEastAsia"/>
                <w:b/>
                <w:bCs/>
                <w:szCs w:val="21"/>
                <w:lang w:val="en-US" w:eastAsia="zh-CN"/>
              </w:rPr>
              <w:t>考察内容</w:t>
            </w:r>
            <w:r>
              <w:rPr>
                <w:rFonts w:hint="eastAsia" w:asciiTheme="minorEastAsia" w:hAnsiTheme="minorEastAsia" w:cstheme="minorEastAsia"/>
                <w:b/>
                <w:bCs/>
                <w:szCs w:val="21"/>
              </w:rPr>
              <w:t>：</w:t>
            </w:r>
          </w:p>
          <w:p>
            <w:pPr>
              <w:spacing w:line="360" w:lineRule="exact"/>
              <w:rPr>
                <w:rFonts w:hint="default" w:ascii="宋体" w:hAnsi="宋体" w:cstheme="minorBidi"/>
                <w:szCs w:val="21"/>
              </w:rPr>
            </w:pPr>
            <w:r>
              <w:rPr>
                <w:rFonts w:hint="default" w:ascii="宋体" w:hAnsi="宋体" w:cstheme="minorBidi"/>
                <w:szCs w:val="21"/>
              </w:rPr>
              <w:t>拟安排的项目负责人(限1人)为投标人自有员工（以社保为准），否则该项不得分。</w:t>
            </w:r>
          </w:p>
          <w:p>
            <w:pPr>
              <w:spacing w:line="360" w:lineRule="exact"/>
              <w:rPr>
                <w:rFonts w:hint="default" w:ascii="宋体" w:hAnsi="宋体" w:cstheme="minorBidi"/>
                <w:szCs w:val="21"/>
              </w:rPr>
            </w:pPr>
            <w:r>
              <w:rPr>
                <w:rFonts w:hint="default" w:ascii="宋体" w:hAnsi="宋体" w:cstheme="minorBidi"/>
                <w:szCs w:val="21"/>
              </w:rPr>
              <w:t>（1）具有本科</w:t>
            </w:r>
            <w:r>
              <w:rPr>
                <w:rFonts w:hint="eastAsia" w:ascii="宋体" w:hAnsi="宋体" w:cstheme="minorBidi"/>
                <w:szCs w:val="21"/>
                <w:lang w:val="en-US" w:eastAsia="zh-CN"/>
              </w:rPr>
              <w:t>或</w:t>
            </w:r>
            <w:r>
              <w:rPr>
                <w:rFonts w:hint="default" w:ascii="宋体" w:hAnsi="宋体" w:cstheme="minorBidi"/>
                <w:szCs w:val="21"/>
              </w:rPr>
              <w:t>以上学历，得30分；</w:t>
            </w:r>
          </w:p>
          <w:p>
            <w:pPr>
              <w:spacing w:line="360" w:lineRule="exact"/>
              <w:rPr>
                <w:rFonts w:hint="default" w:ascii="宋体" w:hAnsi="宋体" w:eastAsiaTheme="minorEastAsia" w:cstheme="minorBidi"/>
                <w:szCs w:val="21"/>
                <w:lang w:val="en-US" w:eastAsia="zh-CN"/>
              </w:rPr>
            </w:pPr>
            <w:r>
              <w:rPr>
                <w:rFonts w:hint="default" w:ascii="宋体" w:hAnsi="宋体" w:cstheme="minorBidi"/>
                <w:szCs w:val="21"/>
              </w:rPr>
              <w:t>（2）</w:t>
            </w:r>
            <w:r>
              <w:rPr>
                <w:rFonts w:hint="default" w:ascii="宋体" w:hAnsi="宋体" w:cstheme="minorBidi"/>
                <w:szCs w:val="21"/>
                <w:shd w:val="clear"/>
              </w:rPr>
              <w:t>具有人力资源和社会保障部门</w:t>
            </w:r>
            <w:r>
              <w:rPr>
                <w:rFonts w:hint="default" w:ascii="宋体" w:hAnsi="宋体" w:cstheme="minorBidi"/>
                <w:szCs w:val="21"/>
                <w:shd w:val="clear"/>
                <w:lang w:val="en-US" w:eastAsia="zh-CN"/>
              </w:rPr>
              <w:t>或</w:t>
            </w:r>
            <w:r>
              <w:rPr>
                <w:rFonts w:hint="default" w:ascii="宋体" w:hAnsi="宋体" w:cstheme="minorBidi"/>
                <w:szCs w:val="21"/>
                <w:shd w:val="clear"/>
              </w:rPr>
              <w:t>原国家安全生产监督管理总局</w:t>
            </w:r>
            <w:r>
              <w:rPr>
                <w:rFonts w:hint="default" w:ascii="宋体" w:hAnsi="宋体"/>
                <w:szCs w:val="21"/>
                <w:lang w:val="en-US" w:eastAsia="zh-CN"/>
              </w:rPr>
              <w:t>或经人社部门备案的职称评审委员会</w:t>
            </w:r>
            <w:r>
              <w:rPr>
                <w:rFonts w:hint="default" w:ascii="宋体" w:hAnsi="宋体" w:cstheme="minorBidi"/>
                <w:szCs w:val="21"/>
                <w:shd w:val="clear"/>
              </w:rPr>
              <w:t>颁发的安全工程专业高级工程师职称，得70分；</w:t>
            </w:r>
            <w:r>
              <w:rPr>
                <w:rFonts w:hint="default" w:ascii="宋体" w:hAnsi="宋体" w:cstheme="minorBidi"/>
                <w:szCs w:val="21"/>
                <w:shd w:val="clear"/>
              </w:rPr>
              <w:br w:type="textWrapping"/>
            </w:r>
            <w:r>
              <w:rPr>
                <w:rFonts w:hint="eastAsia" w:ascii="宋体" w:hAnsi="宋体" w:cstheme="minorBidi"/>
                <w:szCs w:val="21"/>
                <w:shd w:val="clear"/>
                <w:lang w:val="en-US" w:eastAsia="zh-CN"/>
              </w:rPr>
              <w:t>以上最高累计得100分。</w:t>
            </w:r>
          </w:p>
          <w:p>
            <w:pPr>
              <w:snapToGrid w:val="0"/>
              <w:spacing w:line="360" w:lineRule="exact"/>
              <w:rPr>
                <w:rFonts w:hint="eastAsia" w:asciiTheme="minorEastAsia" w:hAnsiTheme="minorEastAsia" w:cstheme="minorEastAsia"/>
                <w:b/>
                <w:bCs/>
                <w:szCs w:val="21"/>
              </w:rPr>
            </w:pPr>
            <w:r>
              <w:rPr>
                <w:rFonts w:hint="eastAsia" w:asciiTheme="minorEastAsia" w:hAnsiTheme="minorEastAsia" w:cstheme="minorEastAsia"/>
                <w:b/>
                <w:bCs/>
                <w:szCs w:val="21"/>
              </w:rPr>
              <w:t>证明文件：</w:t>
            </w:r>
          </w:p>
          <w:p>
            <w:pPr>
              <w:wordWrap w:val="0"/>
              <w:topLinePunct/>
              <w:spacing w:line="360" w:lineRule="exact"/>
              <w:rPr>
                <w:rFonts w:hint="eastAsia" w:asciiTheme="minorEastAsia" w:hAnsiTheme="minorEastAsia" w:cstheme="minorEastAsia"/>
                <w:szCs w:val="21"/>
              </w:rPr>
            </w:pPr>
            <w:r>
              <w:rPr>
                <w:rFonts w:hint="eastAsia" w:asciiTheme="minorEastAsia" w:hAnsiTheme="minorEastAsia" w:cstheme="minorEastAsia"/>
                <w:szCs w:val="21"/>
              </w:rPr>
              <w:t>（1）提供通过投标人为项目负责人缴纳的载有社保部门公章的近3个月(2025.7-2025.9)个人社保证明。不接受补缴社保和已退休人员。如投标人注册成立时间不足三个月的，可提供承诺函（格式自拟）。未按要求提供或提供不清晰导致专家无法判断的，该项不得分。</w:t>
            </w:r>
          </w:p>
          <w:p>
            <w:pPr>
              <w:wordWrap w:val="0"/>
              <w:topLinePunct/>
              <w:spacing w:line="360" w:lineRule="exact"/>
              <w:rPr>
                <w:rFonts w:hint="eastAsia" w:asciiTheme="minorEastAsia" w:hAnsiTheme="minorEastAsia" w:cstheme="minorEastAsia"/>
                <w:szCs w:val="21"/>
              </w:rPr>
            </w:pPr>
            <w:r>
              <w:rPr>
                <w:rFonts w:hint="eastAsia" w:asciiTheme="minorEastAsia" w:hAnsiTheme="minorEastAsia" w:cstheme="minorEastAsia"/>
                <w:szCs w:val="21"/>
              </w:rPr>
              <w:t>（2）提供学历证书毕业证书扫描件。同时提供学信网（https://www.chsi.com.cn/）查询截图。2001年之前毕业的可不提供学信网查询截图。</w:t>
            </w:r>
          </w:p>
          <w:p>
            <w:pPr>
              <w:wordWrap w:val="0"/>
              <w:topLinePunct/>
              <w:spacing w:line="360" w:lineRule="exact"/>
              <w:rPr>
                <w:rFonts w:hint="eastAsia" w:asciiTheme="minorEastAsia" w:hAnsiTheme="minorEastAsia" w:cstheme="minorEastAsia"/>
                <w:szCs w:val="21"/>
              </w:rPr>
            </w:pPr>
            <w:r>
              <w:rPr>
                <w:rFonts w:hint="eastAsia" w:asciiTheme="minorEastAsia" w:hAnsiTheme="minorEastAsia" w:cstheme="minorEastAsia"/>
                <w:szCs w:val="21"/>
              </w:rPr>
              <w:t>（3）提供工程师职称证书扫描件。</w:t>
            </w:r>
          </w:p>
          <w:p>
            <w:pPr>
              <w:wordWrap w:val="0"/>
              <w:topLinePunct/>
              <w:spacing w:line="360" w:lineRule="exact"/>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szCs w:val="21"/>
              </w:rPr>
              <w:t>（4）以上证明材料未按要求提供或提供不清晰、不完整导致专家无法判断的不得分。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eastAsia" w:ascii="宋体" w:hAnsi="宋体"/>
                <w:szCs w:val="21"/>
              </w:rPr>
            </w:pPr>
            <w:r>
              <w:rPr>
                <w:rFonts w:hint="eastAsia" w:ascii="宋体" w:hAnsi="宋体"/>
                <w:szCs w:val="21"/>
              </w:rPr>
              <w:t>5</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szCs w:val="21"/>
              </w:rPr>
            </w:pPr>
            <w:r>
              <w:rPr>
                <w:rFonts w:hint="eastAsia" w:ascii="宋体" w:hAnsi="宋体" w:cs="宋体"/>
                <w:szCs w:val="21"/>
              </w:rPr>
              <w:t>拟安排项目质量负责人情况（仅限一人，</w:t>
            </w:r>
            <w:r>
              <w:rPr>
                <w:rFonts w:hint="eastAsia" w:ascii="宋体" w:hAnsi="宋体"/>
                <w:szCs w:val="21"/>
              </w:rPr>
              <w:t>项目负责人、项目团队除外</w:t>
            </w:r>
            <w:r>
              <w:rPr>
                <w:rFonts w:hint="eastAsia" w:ascii="宋体" w:hAnsi="宋体" w:cs="宋体"/>
                <w:szCs w:val="21"/>
              </w:rPr>
              <w:t>）</w:t>
            </w:r>
          </w:p>
          <w:p>
            <w:pPr>
              <w:jc w:val="left"/>
              <w:rPr>
                <w:rFonts w:hint="eastAsia" w:ascii="宋体" w:hAnsi="宋体" w:cs="宋体"/>
                <w:szCs w:val="21"/>
              </w:rPr>
            </w:pP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szCs w:val="21"/>
              </w:rPr>
            </w:pPr>
            <w:r>
              <w:rPr>
                <w:rFonts w:hint="eastAsia" w:ascii="宋体" w:hAnsi="宋体"/>
                <w:szCs w:val="21"/>
              </w:rPr>
              <w:t>13</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numPr>
                <w:ilvl w:val="0"/>
                <w:numId w:val="0"/>
              </w:numPr>
              <w:snapToGrid w:val="0"/>
              <w:spacing w:line="360" w:lineRule="exact"/>
              <w:rPr>
                <w:rFonts w:hint="eastAsia" w:asciiTheme="minorEastAsia" w:hAnsiTheme="minorEastAsia" w:cstheme="minorEastAsia"/>
                <w:b/>
                <w:bCs/>
                <w:szCs w:val="21"/>
              </w:rPr>
            </w:pPr>
            <w:r>
              <w:rPr>
                <w:rFonts w:hint="eastAsia" w:asciiTheme="minorEastAsia" w:hAnsiTheme="minorEastAsia" w:cstheme="minorEastAsia"/>
                <w:b/>
                <w:bCs/>
                <w:szCs w:val="21"/>
                <w:lang w:val="en-US" w:eastAsia="zh-CN"/>
              </w:rPr>
              <w:t>考察内容</w:t>
            </w:r>
            <w:r>
              <w:rPr>
                <w:rFonts w:hint="eastAsia" w:asciiTheme="minorEastAsia" w:hAnsiTheme="minorEastAsia" w:cstheme="minorEastAsia"/>
                <w:b/>
                <w:bCs/>
                <w:szCs w:val="21"/>
              </w:rPr>
              <w:t>：</w:t>
            </w:r>
          </w:p>
          <w:p>
            <w:pPr>
              <w:spacing w:line="360" w:lineRule="exact"/>
              <w:rPr>
                <w:rFonts w:hint="eastAsia" w:asciiTheme="minorEastAsia" w:hAnsiTheme="minorEastAsia" w:cstheme="minorEastAsia"/>
                <w:szCs w:val="21"/>
              </w:rPr>
            </w:pPr>
            <w:r>
              <w:rPr>
                <w:rFonts w:hint="eastAsia" w:asciiTheme="minorEastAsia" w:hAnsiTheme="minorEastAsia" w:cstheme="minorEastAsia"/>
                <w:szCs w:val="21"/>
              </w:rPr>
              <w:t>拟安排的质量负责人(限1人)为投标人自有员工（以社保为准），否则该项不得分。</w:t>
            </w:r>
          </w:p>
          <w:p>
            <w:pPr>
              <w:spacing w:line="360" w:lineRule="exact"/>
              <w:rPr>
                <w:rFonts w:hint="eastAsia" w:asciiTheme="minorEastAsia" w:hAnsiTheme="minorEastAsia" w:cstheme="minorEastAsia"/>
                <w:b/>
                <w:bCs/>
                <w:szCs w:val="21"/>
              </w:rPr>
            </w:pPr>
            <w:r>
              <w:rPr>
                <w:rFonts w:hint="eastAsia" w:asciiTheme="minorEastAsia" w:hAnsiTheme="minorEastAsia" w:cstheme="minorEastAsia"/>
                <w:szCs w:val="21"/>
              </w:rPr>
              <w:t>具有安全工程</w:t>
            </w:r>
            <w:r>
              <w:rPr>
                <w:rFonts w:hint="eastAsia" w:asciiTheme="minorEastAsia" w:hAnsiTheme="minorEastAsia" w:cstheme="minorEastAsia"/>
                <w:szCs w:val="21"/>
                <w:lang w:val="en-US" w:eastAsia="zh-CN"/>
              </w:rPr>
              <w:t>类</w:t>
            </w:r>
            <w:r>
              <w:rPr>
                <w:rFonts w:hint="eastAsia" w:asciiTheme="minorEastAsia" w:hAnsiTheme="minorEastAsia" w:cstheme="minorEastAsia"/>
                <w:szCs w:val="21"/>
                <w:shd w:val="clear" w:color="auto"/>
              </w:rPr>
              <w:t>专业本</w:t>
            </w:r>
            <w:r>
              <w:rPr>
                <w:rFonts w:hint="eastAsia" w:asciiTheme="minorEastAsia" w:hAnsiTheme="minorEastAsia" w:cstheme="minorEastAsia"/>
                <w:szCs w:val="21"/>
              </w:rPr>
              <w:t>科</w:t>
            </w:r>
            <w:r>
              <w:rPr>
                <w:rFonts w:hint="eastAsia" w:asciiTheme="minorEastAsia" w:hAnsiTheme="minorEastAsia" w:cstheme="minorEastAsia"/>
                <w:szCs w:val="21"/>
                <w:lang w:val="en-US" w:eastAsia="zh-CN"/>
              </w:rPr>
              <w:t>或</w:t>
            </w:r>
            <w:r>
              <w:rPr>
                <w:rFonts w:hint="eastAsia" w:asciiTheme="minorEastAsia" w:hAnsiTheme="minorEastAsia" w:cstheme="minorEastAsia"/>
                <w:szCs w:val="21"/>
              </w:rPr>
              <w:t>以上学历，得100分</w:t>
            </w: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否则不得分。</w:t>
            </w:r>
            <w:r>
              <w:rPr>
                <w:rFonts w:hint="eastAsia" w:asciiTheme="minorEastAsia" w:hAnsiTheme="minorEastAsia" w:cstheme="minorEastAsia"/>
                <w:szCs w:val="21"/>
                <w:lang w:val="en-US" w:eastAsia="zh-CN"/>
              </w:rPr>
              <w:br w:type="textWrapping"/>
            </w:r>
            <w:r>
              <w:rPr>
                <w:rFonts w:hint="eastAsia" w:asciiTheme="minorEastAsia" w:hAnsiTheme="minorEastAsia" w:cstheme="minorEastAsia"/>
                <w:b/>
                <w:bCs/>
                <w:szCs w:val="21"/>
              </w:rPr>
              <w:t>证明文件：</w:t>
            </w:r>
          </w:p>
          <w:p>
            <w:pPr>
              <w:wordWrap w:val="0"/>
              <w:topLinePunct/>
              <w:spacing w:line="360" w:lineRule="exact"/>
              <w:rPr>
                <w:rFonts w:hint="eastAsia" w:asciiTheme="minorEastAsia" w:hAnsiTheme="minorEastAsia" w:cstheme="minorEastAsia"/>
                <w:szCs w:val="21"/>
              </w:rPr>
            </w:pPr>
            <w:r>
              <w:rPr>
                <w:rFonts w:hint="eastAsia" w:asciiTheme="minorEastAsia" w:hAnsiTheme="minorEastAsia" w:cstheme="minorEastAsia"/>
                <w:szCs w:val="21"/>
              </w:rPr>
              <w:t>（1）提供通过投标人为项目负责人缴纳的载有社保部门公章的近3个月(2025.7-2025.9)个人社保证明。不接受补缴社保和已退休返聘人员。如投标人注册成立时间不足三个月的，可提供承诺函（格式自拟）。</w:t>
            </w:r>
          </w:p>
          <w:p>
            <w:pPr>
              <w:wordWrap w:val="0"/>
              <w:topLinePunct/>
              <w:spacing w:line="360" w:lineRule="exact"/>
              <w:rPr>
                <w:rFonts w:hint="eastAsia" w:asciiTheme="minorEastAsia" w:hAnsiTheme="minorEastAsia" w:cstheme="minorEastAsia"/>
                <w:szCs w:val="21"/>
              </w:rPr>
            </w:pPr>
            <w:r>
              <w:rPr>
                <w:rFonts w:hint="eastAsia" w:asciiTheme="minorEastAsia" w:hAnsiTheme="minorEastAsia" w:cstheme="minorEastAsia"/>
                <w:szCs w:val="21"/>
              </w:rPr>
              <w:t>（2）提供学历证书毕业证书扫描件。同时提供学信网（https://www.chsi.com.cn/）查询截图。2001年之前毕业的可不提供学信网查询截图。</w:t>
            </w:r>
          </w:p>
          <w:p>
            <w:pPr>
              <w:spacing w:line="360" w:lineRule="exact"/>
              <w:rPr>
                <w:rFonts w:hint="eastAsia" w:asciiTheme="minorEastAsia" w:hAnsiTheme="minorEastAsia" w:cstheme="minorEastAsia"/>
                <w:szCs w:val="21"/>
              </w:rPr>
            </w:pPr>
            <w:r>
              <w:rPr>
                <w:rFonts w:hint="eastAsia" w:asciiTheme="minorEastAsia" w:hAnsiTheme="minorEastAsia" w:cstheme="minorEastAsia"/>
                <w:szCs w:val="21"/>
              </w:rPr>
              <w:t>（3）以上证明材料未按要求提供或提供不清晰、不完整导致专家无法判断的不得分。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cstheme="minorEastAsia"/>
                <w:b w:val="0"/>
                <w:bCs w:val="0"/>
                <w:sz w:val="21"/>
                <w:szCs w:val="21"/>
                <w:highlight w:val="none"/>
                <w:lang w:val="en-US" w:eastAsia="zh-CN"/>
              </w:rPr>
              <w:t>6</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Theme="minorEastAsia" w:hAnsiTheme="minorEastAsia" w:eastAsiaTheme="minorEastAsia" w:cstheme="minorEastAsia"/>
                <w:b w:val="0"/>
                <w:bCs w:val="0"/>
                <w:sz w:val="21"/>
                <w:szCs w:val="21"/>
                <w:highlight w:val="none"/>
              </w:rPr>
            </w:pPr>
            <w:r>
              <w:rPr>
                <w:rFonts w:hint="eastAsia" w:ascii="宋体" w:hAnsi="宋体"/>
                <w:szCs w:val="21"/>
              </w:rPr>
              <w:t>项目团队（项目负责人、项目质量负责人除外）情况</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Theme="minorEastAsia" w:hAnsiTheme="minorEastAsia" w:eastAsiaTheme="minorEastAsia" w:cstheme="minorEastAsia"/>
                <w:sz w:val="21"/>
                <w:szCs w:val="21"/>
                <w:highlight w:val="none"/>
                <w:lang w:val="en-US" w:eastAsia="zh-CN"/>
              </w:rPr>
            </w:pPr>
            <w:r>
              <w:rPr>
                <w:rFonts w:hint="eastAsia" w:ascii="宋体" w:hAnsi="宋体"/>
                <w:szCs w:val="21"/>
              </w:rPr>
              <w:t>13</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numPr>
                <w:ilvl w:val="0"/>
                <w:numId w:val="0"/>
              </w:numPr>
              <w:snapToGrid w:val="0"/>
              <w:spacing w:line="360" w:lineRule="exact"/>
              <w:rPr>
                <w:rFonts w:hint="eastAsia" w:asciiTheme="minorEastAsia" w:hAnsiTheme="minorEastAsia" w:cstheme="minorEastAsia"/>
                <w:b/>
                <w:bCs/>
                <w:szCs w:val="21"/>
              </w:rPr>
            </w:pPr>
            <w:r>
              <w:rPr>
                <w:rFonts w:hint="eastAsia" w:asciiTheme="minorEastAsia" w:hAnsiTheme="minorEastAsia" w:cstheme="minorEastAsia"/>
                <w:b/>
                <w:bCs/>
                <w:szCs w:val="21"/>
                <w:lang w:val="en-US" w:eastAsia="zh-CN"/>
              </w:rPr>
              <w:t>考察内容</w:t>
            </w:r>
            <w:r>
              <w:rPr>
                <w:rFonts w:hint="eastAsia" w:asciiTheme="minorEastAsia" w:hAnsiTheme="minorEastAsia" w:cstheme="minorEastAsia"/>
                <w:b/>
                <w:bCs/>
                <w:szCs w:val="21"/>
              </w:rPr>
              <w:t>：</w:t>
            </w:r>
          </w:p>
          <w:p>
            <w:pPr>
              <w:spacing w:line="360" w:lineRule="exact"/>
              <w:rPr>
                <w:rFonts w:hint="eastAsia" w:asciiTheme="minorEastAsia" w:hAnsiTheme="minorEastAsia" w:cstheme="minorEastAsia"/>
                <w:szCs w:val="21"/>
              </w:rPr>
            </w:pPr>
            <w:r>
              <w:rPr>
                <w:rFonts w:hint="eastAsia" w:asciiTheme="minorEastAsia" w:hAnsiTheme="minorEastAsia" w:cstheme="minorEastAsia"/>
                <w:szCs w:val="21"/>
              </w:rPr>
              <w:t>拟安排的团队人员(最低限6人)为投标人自有员工（以社保为准，已退休人员返聘人员不能超过2人），否则该项不得分。</w:t>
            </w:r>
          </w:p>
          <w:p>
            <w:pPr>
              <w:snapToGrid w:val="0"/>
              <w:spacing w:line="360" w:lineRule="exact"/>
              <w:rPr>
                <w:rFonts w:hint="eastAsia" w:asciiTheme="minorEastAsia" w:hAnsiTheme="minorEastAsia" w:cstheme="minorEastAsia"/>
                <w:szCs w:val="21"/>
              </w:rPr>
            </w:pPr>
            <w:r>
              <w:rPr>
                <w:rFonts w:hint="eastAsia" w:asciiTheme="minorEastAsia" w:hAnsiTheme="minorEastAsia" w:cstheme="minorEastAsia"/>
                <w:szCs w:val="21"/>
              </w:rPr>
              <w:t>（1）具有专科</w:t>
            </w:r>
            <w:r>
              <w:rPr>
                <w:rFonts w:hint="eastAsia" w:asciiTheme="minorEastAsia" w:hAnsiTheme="minorEastAsia" w:cstheme="minorEastAsia"/>
                <w:szCs w:val="21"/>
                <w:lang w:val="en-US" w:eastAsia="zh-CN"/>
              </w:rPr>
              <w:t>或</w:t>
            </w:r>
            <w:r>
              <w:rPr>
                <w:rFonts w:hint="eastAsia" w:asciiTheme="minorEastAsia" w:hAnsiTheme="minorEastAsia" w:cstheme="minorEastAsia"/>
                <w:szCs w:val="21"/>
              </w:rPr>
              <w:t>以上学历，每提供1名得16分，最高得80分；</w:t>
            </w:r>
          </w:p>
          <w:p>
            <w:pPr>
              <w:pStyle w:val="10"/>
              <w:spacing w:line="360" w:lineRule="auto"/>
              <w:rPr>
                <w:rFonts w:hint="eastAsia" w:asciiTheme="minorEastAsia" w:hAnsiTheme="minorEastAsia" w:cstheme="minorEastAsia"/>
                <w:szCs w:val="21"/>
              </w:rPr>
            </w:pPr>
            <w:r>
              <w:rPr>
                <w:rFonts w:hint="eastAsia" w:asciiTheme="minorEastAsia" w:hAnsiTheme="minorEastAsia" w:cstheme="minorEastAsia"/>
                <w:szCs w:val="21"/>
              </w:rPr>
              <w:t>（2）具有安全工程</w:t>
            </w:r>
            <w:r>
              <w:rPr>
                <w:rFonts w:hint="eastAsia" w:asciiTheme="minorEastAsia" w:hAnsiTheme="minorEastAsia" w:cstheme="minorEastAsia"/>
                <w:szCs w:val="21"/>
                <w:lang w:val="en-US" w:eastAsia="zh-CN"/>
              </w:rPr>
              <w:t>类</w:t>
            </w:r>
            <w:r>
              <w:rPr>
                <w:rFonts w:hint="eastAsia" w:asciiTheme="minorEastAsia" w:hAnsiTheme="minorEastAsia" w:cstheme="minorEastAsia"/>
                <w:szCs w:val="21"/>
              </w:rPr>
              <w:t>专业本科</w:t>
            </w:r>
            <w:r>
              <w:rPr>
                <w:rFonts w:hint="eastAsia" w:asciiTheme="minorEastAsia" w:hAnsiTheme="minorEastAsia" w:cstheme="minorEastAsia"/>
                <w:szCs w:val="21"/>
                <w:lang w:val="en-US" w:eastAsia="zh-CN"/>
              </w:rPr>
              <w:t>或</w:t>
            </w:r>
            <w:r>
              <w:rPr>
                <w:rFonts w:hint="eastAsia" w:asciiTheme="minorEastAsia" w:hAnsiTheme="minorEastAsia" w:cstheme="minorEastAsia"/>
                <w:szCs w:val="21"/>
              </w:rPr>
              <w:t>以上学历，同时具有人力资源和社会保障部门</w:t>
            </w:r>
            <w:r>
              <w:rPr>
                <w:rFonts w:hint="eastAsia" w:asciiTheme="minorEastAsia" w:hAnsiTheme="minorEastAsia" w:cstheme="minorEastAsia"/>
                <w:szCs w:val="21"/>
                <w:shd w:val="clear"/>
              </w:rPr>
              <w:t>或省级职称改革领导小组办公室</w:t>
            </w:r>
            <w:r>
              <w:rPr>
                <w:rFonts w:hint="eastAsia" w:asciiTheme="minorEastAsia" w:hAnsiTheme="minorEastAsia" w:cstheme="minorEastAsia"/>
                <w:szCs w:val="21"/>
                <w:lang w:val="en-US" w:eastAsia="zh-CN"/>
              </w:rPr>
              <w:t>或经人社部门备案的职称评审委员会</w:t>
            </w:r>
            <w:r>
              <w:rPr>
                <w:rFonts w:hint="eastAsia" w:asciiTheme="minorEastAsia" w:hAnsiTheme="minorEastAsia" w:cstheme="minorEastAsia"/>
                <w:szCs w:val="21"/>
                <w:shd w:val="clear"/>
              </w:rPr>
              <w:t>颁发的</w:t>
            </w:r>
            <w:r>
              <w:rPr>
                <w:rFonts w:hint="eastAsia" w:asciiTheme="minorEastAsia" w:hAnsiTheme="minorEastAsia" w:cstheme="minorEastAsia"/>
                <w:szCs w:val="21"/>
              </w:rPr>
              <w:t>高级工程师职称证书，每提供1名得20分，最高得20分；</w:t>
            </w:r>
          </w:p>
          <w:p>
            <w:pPr>
              <w:snapToGrid w:val="0"/>
              <w:spacing w:line="360" w:lineRule="auto"/>
              <w:rPr>
                <w:rFonts w:hint="eastAsia" w:asciiTheme="minorEastAsia" w:hAnsiTheme="minorEastAsia" w:cstheme="minorEastAsia"/>
                <w:b/>
                <w:bCs/>
                <w:szCs w:val="21"/>
              </w:rPr>
            </w:pPr>
            <w:r>
              <w:rPr>
                <w:rFonts w:hint="eastAsia" w:asciiTheme="minorEastAsia" w:hAnsiTheme="minorEastAsia" w:cstheme="minorEastAsia"/>
                <w:szCs w:val="21"/>
              </w:rPr>
              <w:t>同一人不重复计分。</w:t>
            </w:r>
            <w:r>
              <w:rPr>
                <w:rFonts w:hint="eastAsia" w:asciiTheme="minorEastAsia" w:hAnsiTheme="minorEastAsia" w:cstheme="minorEastAsia"/>
                <w:szCs w:val="21"/>
              </w:rPr>
              <w:br w:type="textWrapping"/>
            </w:r>
            <w:r>
              <w:rPr>
                <w:rFonts w:hint="eastAsia" w:asciiTheme="minorEastAsia" w:hAnsiTheme="minorEastAsia" w:cstheme="minorEastAsia"/>
                <w:szCs w:val="21"/>
                <w:lang w:val="en-US" w:eastAsia="zh-CN"/>
              </w:rPr>
              <w:t>以上最高累计得100分。</w:t>
            </w:r>
            <w:r>
              <w:rPr>
                <w:rFonts w:hint="eastAsia" w:asciiTheme="minorEastAsia" w:hAnsiTheme="minorEastAsia" w:cstheme="minorEastAsia"/>
                <w:szCs w:val="21"/>
                <w:lang w:val="en-US" w:eastAsia="zh-CN"/>
              </w:rPr>
              <w:br w:type="textWrapping"/>
            </w:r>
            <w:r>
              <w:rPr>
                <w:rFonts w:hint="eastAsia" w:asciiTheme="minorEastAsia" w:hAnsiTheme="minorEastAsia" w:cstheme="minorEastAsia"/>
                <w:b/>
                <w:bCs/>
                <w:szCs w:val="21"/>
              </w:rPr>
              <w:t>证明文件：</w:t>
            </w:r>
          </w:p>
          <w:p>
            <w:pPr>
              <w:wordWrap w:val="0"/>
              <w:topLinePunct/>
              <w:spacing w:line="360" w:lineRule="exact"/>
              <w:rPr>
                <w:rFonts w:hint="eastAsia" w:asciiTheme="minorEastAsia" w:hAnsiTheme="minorEastAsia" w:cstheme="minorEastAsia"/>
                <w:szCs w:val="21"/>
              </w:rPr>
            </w:pPr>
            <w:r>
              <w:rPr>
                <w:rFonts w:hint="eastAsia" w:asciiTheme="minorEastAsia" w:hAnsiTheme="minorEastAsia" w:cstheme="minorEastAsia"/>
                <w:szCs w:val="21"/>
              </w:rPr>
              <w:t>（1）提供通过投标人为项目负责人缴纳的载有社保部门公章的近3个月(2025.7-2025.9)的个人社保证明。不接受补缴社保。已退休返聘人员提供返聘协议，如投标人注册成立时间不足3个月的，可提供承诺函（格式自拟）。</w:t>
            </w:r>
          </w:p>
          <w:p>
            <w:pPr>
              <w:wordWrap w:val="0"/>
              <w:topLinePunct/>
              <w:spacing w:line="360" w:lineRule="exact"/>
              <w:rPr>
                <w:rFonts w:hint="eastAsia" w:asciiTheme="minorEastAsia" w:hAnsiTheme="minorEastAsia" w:cstheme="minorEastAsia"/>
                <w:szCs w:val="21"/>
              </w:rPr>
            </w:pPr>
            <w:r>
              <w:rPr>
                <w:rFonts w:hint="eastAsia" w:asciiTheme="minorEastAsia" w:hAnsiTheme="minorEastAsia" w:cstheme="minorEastAsia"/>
                <w:szCs w:val="21"/>
              </w:rPr>
              <w:t>（2）提供学历证书毕业证书扫描件，同时提供学信网（https://www.chsi.com.cn/）查询截图。2001年之前毕业的可不提供学信网查询截图。</w:t>
            </w:r>
          </w:p>
          <w:p>
            <w:pPr>
              <w:pStyle w:val="4"/>
              <w:wordWrap w:val="0"/>
              <w:topLinePunct/>
              <w:spacing w:before="0" w:after="0" w:line="36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（3）提供工程师职称证书扫描件。</w:t>
            </w:r>
          </w:p>
          <w:p>
            <w:pPr>
              <w:pStyle w:val="4"/>
              <w:wordWrap w:val="0"/>
              <w:topLinePunct/>
              <w:spacing w:before="0" w:after="0" w:line="360" w:lineRule="exact"/>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sz w:val="21"/>
                <w:szCs w:val="21"/>
              </w:rPr>
              <w:t>（4）以上证明材料未按要求提供或提供不清晰、不完整导致专家无法判断的不得分。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w:t>
            </w:r>
          </w:p>
        </w:tc>
        <w:tc>
          <w:tcPr>
            <w:tcW w:w="2891"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商务</w:t>
            </w:r>
            <w:r>
              <w:rPr>
                <w:rFonts w:hint="eastAsia" w:asciiTheme="minorEastAsia" w:hAnsiTheme="minorEastAsia" w:eastAsiaTheme="minorEastAsia" w:cstheme="minorEastAsia"/>
                <w:b/>
                <w:bCs/>
                <w:sz w:val="21"/>
                <w:szCs w:val="21"/>
              </w:rPr>
              <w:t>部分</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52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评分因素</w:t>
            </w:r>
          </w:p>
        </w:tc>
        <w:tc>
          <w:tcPr>
            <w:tcW w:w="937"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w:t>
            </w:r>
          </w:p>
        </w:tc>
        <w:tc>
          <w:tcPr>
            <w:tcW w:w="570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bidi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Cs w:val="21"/>
                <w:highlight w:val="none"/>
              </w:rPr>
              <w:t>1</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Theme="minorEastAsia" w:hAnsiTheme="minorEastAsia" w:eastAsiaTheme="minorEastAsia" w:cstheme="minorEastAsia"/>
                <w:sz w:val="21"/>
                <w:szCs w:val="21"/>
                <w:highlight w:val="none"/>
              </w:rPr>
            </w:pPr>
            <w:r>
              <w:rPr>
                <w:rFonts w:hint="eastAsia" w:ascii="宋体" w:hAnsi="宋体"/>
                <w:szCs w:val="21"/>
              </w:rPr>
              <w:t>投标人通过相关认证情况</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Theme="minorEastAsia" w:hAnsiTheme="minorEastAsia" w:eastAsiaTheme="minorEastAsia" w:cstheme="minorEastAsia"/>
                <w:sz w:val="21"/>
                <w:szCs w:val="21"/>
                <w:highlight w:val="none"/>
                <w:lang w:val="en-US" w:eastAsia="zh-CN"/>
              </w:rPr>
            </w:pPr>
            <w:r>
              <w:rPr>
                <w:rFonts w:hint="eastAsia" w:ascii="宋体" w:hAnsi="宋体"/>
                <w:szCs w:val="21"/>
              </w:rPr>
              <w:t>6</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snapToGrid w:val="0"/>
              <w:spacing w:line="360" w:lineRule="exact"/>
              <w:rPr>
                <w:rFonts w:hint="eastAsia" w:ascii="宋体" w:hAnsi="宋体" w:cs="宋体"/>
                <w:b/>
                <w:bCs/>
                <w:szCs w:val="21"/>
              </w:rPr>
            </w:pPr>
            <w:r>
              <w:rPr>
                <w:rFonts w:hint="eastAsia" w:ascii="宋体" w:hAnsi="宋体" w:cs="宋体"/>
                <w:b/>
                <w:bCs/>
                <w:szCs w:val="21"/>
                <w:lang w:val="en-US" w:eastAsia="zh-CN"/>
              </w:rPr>
              <w:t>考察内容</w:t>
            </w:r>
            <w:r>
              <w:rPr>
                <w:rFonts w:hint="eastAsia" w:ascii="宋体" w:hAnsi="宋体" w:cs="宋体"/>
                <w:b/>
                <w:bCs/>
                <w:szCs w:val="21"/>
              </w:rPr>
              <w:t>：</w:t>
            </w:r>
          </w:p>
          <w:p>
            <w:pPr>
              <w:snapToGrid w:val="0"/>
              <w:spacing w:line="360" w:lineRule="exact"/>
              <w:rPr>
                <w:rFonts w:hint="eastAsia" w:ascii="宋体" w:hAnsi="宋体"/>
                <w:szCs w:val="21"/>
              </w:rPr>
            </w:pPr>
            <w:r>
              <w:rPr>
                <w:rFonts w:hint="eastAsia" w:ascii="宋体" w:hAnsi="宋体"/>
                <w:szCs w:val="21"/>
              </w:rPr>
              <w:t>投标人具有质量管理体系认证、环境管理体系认证、职业健康安全管理体系认证，每提供1项得34分，最高得100分。</w:t>
            </w:r>
          </w:p>
          <w:p>
            <w:pPr>
              <w:snapToGrid w:val="0"/>
              <w:spacing w:line="360" w:lineRule="exact"/>
              <w:rPr>
                <w:rFonts w:hint="eastAsia" w:ascii="宋体" w:hAnsi="宋体" w:cs="宋体"/>
                <w:b/>
                <w:bCs/>
                <w:szCs w:val="21"/>
              </w:rPr>
            </w:pPr>
            <w:r>
              <w:rPr>
                <w:rFonts w:hint="eastAsia" w:ascii="宋体" w:hAnsi="宋体" w:cs="宋体"/>
                <w:b/>
                <w:bCs/>
                <w:szCs w:val="21"/>
              </w:rPr>
              <w:t>证明文件：</w:t>
            </w:r>
          </w:p>
          <w:p>
            <w:pPr>
              <w:spacing w:line="360" w:lineRule="exact"/>
              <w:jc w:val="left"/>
              <w:rPr>
                <w:rFonts w:hint="eastAsia" w:ascii="宋体" w:hAnsi="宋体" w:eastAsia="宋体" w:cs="宋体"/>
                <w:color w:val="000000"/>
                <w:sz w:val="21"/>
                <w:szCs w:val="21"/>
                <w:highlight w:val="none"/>
              </w:rPr>
            </w:pPr>
            <w:r>
              <w:rPr>
                <w:rFonts w:hint="eastAsia" w:ascii="宋体" w:hAnsi="宋体"/>
                <w:szCs w:val="21"/>
              </w:rPr>
              <w:t>投标人提供有效期内的认证证书扫描件和全国认证认可信息公共服务平台（认</w:t>
            </w:r>
            <w:r>
              <w:rPr>
                <w:rFonts w:ascii="宋体" w:hAnsi="宋体"/>
                <w:szCs w:val="21"/>
              </w:rPr>
              <w:t>e</w:t>
            </w:r>
            <w:r>
              <w:rPr>
                <w:rFonts w:hint="eastAsia" w:ascii="宋体" w:hAnsi="宋体"/>
                <w:szCs w:val="21"/>
              </w:rPr>
              <w:t>云）（</w:t>
            </w:r>
            <w:r>
              <w:rPr>
                <w:rFonts w:ascii="宋体" w:hAnsi="宋体"/>
                <w:szCs w:val="21"/>
              </w:rPr>
              <w:t>http://cx.cnca.cn/</w:t>
            </w:r>
            <w:r>
              <w:rPr>
                <w:rFonts w:hint="eastAsia" w:ascii="宋体" w:hAnsi="宋体"/>
                <w:szCs w:val="21"/>
              </w:rPr>
              <w:t>）的认证信息截图（体现网站信息），未提供或提供不清晰导致专家无法判断的不得分。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bidi w:val="0"/>
              <w:spacing w:line="360" w:lineRule="exact"/>
              <w:jc w:val="center"/>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2</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szCs w:val="21"/>
              </w:rPr>
            </w:pPr>
            <w:r>
              <w:rPr>
                <w:rFonts w:hint="eastAsia" w:ascii="宋体" w:hAnsi="宋体"/>
                <w:szCs w:val="21"/>
              </w:rPr>
              <w:t>服务网点</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eastAsiaTheme="minorEastAsia"/>
                <w:szCs w:val="21"/>
                <w:lang w:eastAsia="zh-CN"/>
              </w:rPr>
            </w:pPr>
            <w:r>
              <w:rPr>
                <w:rFonts w:hint="eastAsia" w:ascii="宋体" w:hAnsi="宋体"/>
                <w:szCs w:val="21"/>
              </w:rPr>
              <w:t>3</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hd w:val="clear" w:color="auto" w:fill="FFFFFF"/>
              <w:spacing w:line="360" w:lineRule="exact"/>
              <w:rPr>
                <w:rFonts w:hint="eastAsia" w:ascii="宋体" w:hAnsi="宋体"/>
                <w:b/>
                <w:bCs/>
                <w:color w:val="000000"/>
                <w:shd w:val="clear" w:color="auto" w:fill="FFFFFF"/>
              </w:rPr>
            </w:pPr>
            <w:r>
              <w:rPr>
                <w:rFonts w:hint="eastAsia" w:ascii="宋体" w:hAnsi="宋体"/>
                <w:b/>
                <w:bCs/>
                <w:color w:val="000000"/>
                <w:shd w:val="clear" w:color="auto" w:fill="FFFFFF"/>
                <w:lang w:val="en-US" w:eastAsia="zh-CN"/>
              </w:rPr>
              <w:t>考察内容</w:t>
            </w:r>
            <w:r>
              <w:rPr>
                <w:rFonts w:hint="eastAsia" w:ascii="宋体" w:hAnsi="宋体"/>
                <w:b/>
                <w:bCs/>
                <w:color w:val="000000"/>
                <w:shd w:val="clear" w:color="auto" w:fill="FFFFFF"/>
              </w:rPr>
              <w:t>：</w:t>
            </w:r>
          </w:p>
          <w:p>
            <w:pPr>
              <w:spacing w:line="360" w:lineRule="exact"/>
              <w:jc w:val="left"/>
              <w:rPr>
                <w:rFonts w:hint="eastAsia" w:ascii="宋体" w:hAnsi="宋体"/>
                <w:szCs w:val="21"/>
              </w:rPr>
            </w:pPr>
            <w:r>
              <w:rPr>
                <w:rFonts w:hint="eastAsia" w:ascii="宋体" w:hAnsi="宋体"/>
                <w:szCs w:val="21"/>
              </w:rPr>
              <w:t>（1）投标人在深圳市内设有常驻服务机构的，得100分；</w:t>
            </w:r>
          </w:p>
          <w:p>
            <w:pPr>
              <w:spacing w:line="360" w:lineRule="exact"/>
              <w:jc w:val="left"/>
              <w:rPr>
                <w:rFonts w:hint="eastAsia" w:ascii="宋体" w:hAnsi="宋体"/>
                <w:szCs w:val="21"/>
              </w:rPr>
            </w:pPr>
            <w:r>
              <w:rPr>
                <w:rFonts w:hint="eastAsia" w:ascii="宋体" w:hAnsi="宋体"/>
                <w:szCs w:val="21"/>
              </w:rPr>
              <w:t>（2）投标人承诺中标后在深圳市范围内设有常驻服务机构的得100分（承诺函格式自拟）。</w:t>
            </w:r>
          </w:p>
          <w:p>
            <w:pPr>
              <w:spacing w:line="360" w:lineRule="exact"/>
              <w:jc w:val="left"/>
              <w:rPr>
                <w:rFonts w:hint="eastAsia" w:ascii="宋体" w:hAnsi="宋体"/>
                <w:szCs w:val="21"/>
              </w:rPr>
            </w:pPr>
            <w:r>
              <w:rPr>
                <w:rFonts w:hint="eastAsia" w:ascii="宋体" w:hAnsi="宋体"/>
                <w:szCs w:val="21"/>
              </w:rPr>
              <w:t>以上不可累计得分。</w:t>
            </w:r>
          </w:p>
          <w:p>
            <w:pPr>
              <w:spacing w:line="360" w:lineRule="exact"/>
              <w:rPr>
                <w:rFonts w:hint="eastAsia" w:ascii="宋体" w:hAnsi="宋体"/>
                <w:b/>
                <w:bCs/>
              </w:rPr>
            </w:pPr>
            <w:r>
              <w:rPr>
                <w:rFonts w:hint="eastAsia" w:ascii="宋体" w:hAnsi="宋体"/>
                <w:b/>
                <w:bCs/>
              </w:rPr>
              <w:t>证明文件：</w:t>
            </w:r>
          </w:p>
          <w:p>
            <w:pPr>
              <w:spacing w:line="36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szCs w:val="21"/>
              </w:rPr>
              <w:t>投标人提供服务机构的营业执照或办公场所的房产证明或租赁合同扫描件；或提供符合上述要求的承诺函。</w:t>
            </w:r>
            <w:r>
              <w:rPr>
                <w:rFonts w:hint="eastAsia" w:ascii="宋体" w:hAnsi="宋体" w:eastAsia="宋体" w:cs="宋体"/>
                <w:szCs w:val="21"/>
              </w:rPr>
              <w:br w:type="textWrapping"/>
            </w:r>
            <w:r>
              <w:rPr>
                <w:rFonts w:hint="eastAsia" w:ascii="宋体" w:hAnsi="宋体" w:eastAsia="宋体" w:cs="宋体"/>
                <w:szCs w:val="21"/>
              </w:rPr>
              <w:t>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bidi w:val="0"/>
              <w:spacing w:line="360" w:lineRule="exact"/>
              <w:jc w:val="center"/>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3</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szCs w:val="21"/>
              </w:rPr>
            </w:pPr>
            <w:r>
              <w:rPr>
                <w:rFonts w:hint="eastAsia" w:ascii="宋体" w:hAnsi="宋体"/>
                <w:szCs w:val="21"/>
              </w:rPr>
              <w:t>同类项目业绩</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szCs w:val="21"/>
              </w:rPr>
            </w:pPr>
            <w:r>
              <w:rPr>
                <w:rFonts w:hint="eastAsia" w:ascii="宋体" w:hAnsi="宋体"/>
                <w:szCs w:val="21"/>
              </w:rPr>
              <w:t>12</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shd w:val="clear" w:color="auto" w:fill="FFFFFF"/>
              <w:spacing w:line="360" w:lineRule="exact"/>
              <w:rPr>
                <w:rFonts w:hint="eastAsia" w:ascii="宋体" w:hAnsi="宋体"/>
                <w:b/>
                <w:bCs/>
                <w:color w:val="000000"/>
                <w:shd w:val="clear" w:color="auto" w:fill="FFFFFF"/>
              </w:rPr>
            </w:pPr>
            <w:r>
              <w:rPr>
                <w:rFonts w:hint="eastAsia" w:ascii="宋体" w:hAnsi="宋体"/>
                <w:b/>
                <w:bCs/>
                <w:color w:val="000000"/>
                <w:shd w:val="clear" w:color="auto" w:fill="FFFFFF"/>
                <w:lang w:val="en-US" w:eastAsia="zh-CN"/>
              </w:rPr>
              <w:t>考察内容</w:t>
            </w:r>
            <w:r>
              <w:rPr>
                <w:rFonts w:hint="eastAsia" w:ascii="宋体" w:hAnsi="宋体"/>
                <w:b/>
                <w:bCs/>
                <w:color w:val="000000"/>
                <w:shd w:val="clear" w:color="auto" w:fill="FFFFFF"/>
              </w:rPr>
              <w:t>：</w:t>
            </w:r>
          </w:p>
          <w:p>
            <w:pPr>
              <w:snapToGrid w:val="0"/>
              <w:spacing w:line="360" w:lineRule="exact"/>
              <w:rPr>
                <w:rFonts w:hint="eastAsia" w:ascii="宋体" w:hAnsi="宋体" w:cs="宋体"/>
                <w:szCs w:val="21"/>
              </w:rPr>
            </w:pPr>
            <w:r>
              <w:rPr>
                <w:rFonts w:hint="eastAsia" w:ascii="宋体" w:hAnsi="宋体" w:cs="宋体"/>
                <w:szCs w:val="21"/>
              </w:rPr>
              <w:t>投标人自2021年1月1日至本项目开标之日（以合同签订日期为准）已完成</w:t>
            </w:r>
            <w:r>
              <w:rPr>
                <w:rFonts w:hint="eastAsia" w:ascii="宋体" w:hAnsi="宋体"/>
                <w:szCs w:val="21"/>
              </w:rPr>
              <w:t>具有行政机关或事业单位的安全技术服务类项目经验，每提供一项得</w:t>
            </w:r>
            <w:r>
              <w:rPr>
                <w:rFonts w:hint="eastAsia" w:ascii="宋体" w:hAnsi="宋体"/>
                <w:szCs w:val="21"/>
                <w:lang w:val="en-US" w:eastAsia="zh-CN"/>
              </w:rPr>
              <w:t>17</w:t>
            </w:r>
            <w:r>
              <w:rPr>
                <w:rFonts w:hint="eastAsia" w:ascii="宋体" w:hAnsi="宋体"/>
                <w:szCs w:val="21"/>
              </w:rPr>
              <w:t>分，最高得</w:t>
            </w:r>
            <w:r>
              <w:rPr>
                <w:rFonts w:hint="eastAsia" w:ascii="宋体" w:hAnsi="宋体"/>
                <w:szCs w:val="21"/>
                <w:lang w:val="en-US" w:eastAsia="zh-CN"/>
              </w:rPr>
              <w:t>100</w:t>
            </w:r>
            <w:r>
              <w:rPr>
                <w:rFonts w:hint="eastAsia" w:ascii="宋体" w:hAnsi="宋体"/>
                <w:szCs w:val="21"/>
              </w:rPr>
              <w:t>分。</w:t>
            </w:r>
            <w:r>
              <w:rPr>
                <w:rFonts w:ascii="宋体" w:hAnsi="宋体" w:cs="宋体"/>
                <w:szCs w:val="21"/>
              </w:rPr>
              <w:t xml:space="preserve"> </w:t>
            </w:r>
          </w:p>
          <w:p>
            <w:pPr>
              <w:snapToGrid w:val="0"/>
              <w:spacing w:line="360" w:lineRule="exact"/>
              <w:rPr>
                <w:rFonts w:hint="eastAsia" w:ascii="宋体" w:hAnsi="宋体" w:cs="宋体"/>
                <w:b/>
                <w:bCs/>
                <w:szCs w:val="21"/>
              </w:rPr>
            </w:pPr>
            <w:r>
              <w:rPr>
                <w:rFonts w:hint="eastAsia" w:ascii="宋体" w:hAnsi="宋体" w:cs="宋体"/>
                <w:b/>
                <w:bCs/>
                <w:szCs w:val="21"/>
              </w:rPr>
              <w:t>证明文件：</w:t>
            </w:r>
          </w:p>
          <w:p>
            <w:pPr>
              <w:spacing w:line="360" w:lineRule="exact"/>
              <w:jc w:val="left"/>
              <w:rPr>
                <w:rFonts w:hint="eastAsia" w:ascii="宋体" w:hAnsi="宋体" w:eastAsia="宋体" w:cs="宋体"/>
                <w:color w:val="000000"/>
                <w:sz w:val="21"/>
                <w:szCs w:val="21"/>
                <w:highlight w:val="none"/>
                <w:lang w:val="en-US" w:eastAsia="zh-CN"/>
              </w:rPr>
            </w:pPr>
            <w:r>
              <w:rPr>
                <w:rFonts w:hint="eastAsia" w:ascii="宋体" w:hAnsi="宋体" w:cs="宋体"/>
                <w:szCs w:val="21"/>
              </w:rPr>
              <w:t>投标人提供项目合同关键页（至少显示服务事项和签订页）。项目正在服务期间的不得分。未按要求提供或提供不清晰导致专家无法辨别的不得分。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w:t>
            </w:r>
          </w:p>
        </w:tc>
        <w:tc>
          <w:tcPr>
            <w:tcW w:w="2891"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其他部分</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color w:val="0000FF"/>
                <w:sz w:val="21"/>
                <w:szCs w:val="21"/>
              </w:rPr>
            </w:pPr>
          </w:p>
        </w:tc>
        <w:tc>
          <w:tcPr>
            <w:tcW w:w="428"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52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评分因素</w:t>
            </w:r>
          </w:p>
        </w:tc>
        <w:tc>
          <w:tcPr>
            <w:tcW w:w="937"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w:t>
            </w:r>
          </w:p>
        </w:tc>
        <w:tc>
          <w:tcPr>
            <w:tcW w:w="570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color w:val="0000FF"/>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诚信情况</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pStyle w:val="11"/>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jc w:val="center"/>
        <w:rPr>
          <w:b/>
          <w:sz w:val="84"/>
          <w:szCs w:val="84"/>
        </w:rPr>
      </w:pPr>
    </w:p>
    <w:p>
      <w:pPr>
        <w:rPr>
          <w:b/>
          <w:sz w:val="84"/>
          <w:szCs w:val="84"/>
        </w:rPr>
      </w:pPr>
      <w:r>
        <w:rPr>
          <w:b/>
          <w:sz w:val="84"/>
          <w:szCs w:val="84"/>
        </w:rPr>
        <w:br w:type="page"/>
      </w:r>
    </w:p>
    <w:p>
      <w:pPr>
        <w:pStyle w:val="17"/>
        <w:rPr>
          <w:b/>
          <w:sz w:val="84"/>
          <w:szCs w:val="84"/>
        </w:rPr>
      </w:pPr>
    </w:p>
    <w:p>
      <w:pPr>
        <w:pStyle w:val="17"/>
        <w:rPr>
          <w:rFonts w:hint="eastAsia"/>
          <w:b/>
          <w:sz w:val="120"/>
          <w:szCs w:val="120"/>
        </w:rPr>
      </w:pPr>
      <w:bookmarkStart w:id="0" w:name="_Hlk71465316"/>
    </w:p>
    <w:p>
      <w:pPr>
        <w:jc w:val="center"/>
        <w:rPr>
          <w:b/>
          <w:sz w:val="120"/>
          <w:szCs w:val="120"/>
        </w:rPr>
      </w:pPr>
      <w:r>
        <w:rPr>
          <w:rFonts w:hint="eastAsia"/>
          <w:b/>
          <w:sz w:val="120"/>
          <w:szCs w:val="120"/>
          <w:lang w:eastAsia="zh-CN"/>
        </w:rPr>
        <w:t>自行</w:t>
      </w:r>
      <w:r>
        <w:rPr>
          <w:rFonts w:hint="eastAsia"/>
          <w:b/>
          <w:sz w:val="120"/>
          <w:szCs w:val="120"/>
        </w:rPr>
        <w:t>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w:t>
      </w:r>
      <w:r>
        <w:rPr>
          <w:rFonts w:hint="eastAsia"/>
          <w:b/>
          <w:sz w:val="52"/>
          <w:szCs w:val="52"/>
          <w:lang w:val="en-US" w:eastAsia="zh-CN"/>
        </w:rPr>
        <w:t>服务</w:t>
      </w:r>
      <w:r>
        <w:rPr>
          <w:rFonts w:hint="eastAsia"/>
          <w:b/>
          <w:sz w:val="52"/>
          <w:szCs w:val="52"/>
        </w:rPr>
        <w:t>类）</w:t>
      </w:r>
    </w:p>
    <w:p/>
    <w:p/>
    <w:p/>
    <w:p/>
    <w:p/>
    <w:p/>
    <w:p/>
    <w:p/>
    <w:p/>
    <w:p/>
    <w:p>
      <w:pPr>
        <w:pStyle w:val="11"/>
      </w:pPr>
    </w:p>
    <w:p>
      <w:pPr>
        <w:pStyle w:val="17"/>
      </w:pPr>
    </w:p>
    <w:p>
      <w:pPr>
        <w:pStyle w:val="17"/>
      </w:pPr>
    </w:p>
    <w:p>
      <w:pPr>
        <w:pStyle w:val="17"/>
      </w:pPr>
    </w:p>
    <w:p/>
    <w:p/>
    <w:p>
      <w:pPr>
        <w:jc w:val="center"/>
        <w:rPr>
          <w:b/>
          <w:sz w:val="44"/>
          <w:szCs w:val="44"/>
        </w:rPr>
      </w:pPr>
      <w:r>
        <w:rPr>
          <w:rFonts w:hint="eastAsia" w:ascii="宋体" w:hAnsi="宋体"/>
          <w:b/>
          <w:sz w:val="44"/>
          <w:szCs w:val="44"/>
        </w:rPr>
        <w:t>深圳公共资源交易中心</w:t>
      </w:r>
    </w:p>
    <w:p>
      <w:pPr>
        <w:jc w:val="center"/>
        <w:rPr>
          <w:b/>
          <w:sz w:val="44"/>
          <w:szCs w:val="44"/>
        </w:rPr>
      </w:pPr>
      <w:r>
        <w:rPr>
          <w:rFonts w:hint="eastAsia" w:ascii="宋体" w:hAnsi="宋体"/>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ascii="宋体" w:hAnsi="宋体"/>
          <w:b/>
          <w:sz w:val="44"/>
          <w:szCs w:val="44"/>
        </w:rPr>
        <w:t>）</w:t>
      </w:r>
    </w:p>
    <w:bookmarkEnd w:id="0"/>
    <w:p>
      <w:pPr>
        <w:keepNext w:val="0"/>
        <w:keepLines w:val="0"/>
        <w:pageBreakBefore w:val="0"/>
        <w:widowControl w:val="0"/>
        <w:kinsoku/>
        <w:wordWrap/>
        <w:overflowPunct/>
        <w:topLinePunct w:val="0"/>
        <w:autoSpaceDE/>
        <w:autoSpaceDN/>
        <w:bidi w:val="0"/>
        <w:adjustRightInd/>
        <w:snapToGrid/>
        <w:jc w:val="center"/>
        <w:textAlignment w:val="auto"/>
        <w:outlineLvl w:val="9"/>
        <w:rPr>
          <w:b/>
          <w:color w:val="FF0000"/>
          <w:sz w:val="28"/>
          <w:szCs w:val="28"/>
        </w:rPr>
      </w:pPr>
      <w:r>
        <w:rPr>
          <w:rFonts w:hint="eastAsia"/>
          <w:b/>
          <w:color w:val="FF0000"/>
          <w:sz w:val="52"/>
          <w:szCs w:val="52"/>
        </w:rPr>
        <w:br w:type="page"/>
      </w:r>
    </w:p>
    <w:p>
      <w:pPr>
        <w:keepNext w:val="0"/>
        <w:keepLines w:val="0"/>
        <w:pageBreakBefore w:val="0"/>
        <w:widowControl w:val="0"/>
        <w:kinsoku/>
        <w:wordWrap/>
        <w:overflowPunct/>
        <w:topLinePunct w:val="0"/>
        <w:autoSpaceDE/>
        <w:autoSpaceDN/>
        <w:bidi w:val="0"/>
        <w:adjustRightInd/>
        <w:snapToGrid/>
        <w:ind w:firstLine="3654" w:firstLineChars="1300"/>
        <w:textAlignment w:val="auto"/>
        <w:outlineLvl w:val="0"/>
        <w:rPr>
          <w:rFonts w:ascii="宋体" w:hAnsi="宋体"/>
          <w:color w:val="FF0000"/>
          <w:szCs w:val="21"/>
        </w:rPr>
      </w:pPr>
      <w:bookmarkStart w:id="1" w:name="_Hlk73564573"/>
      <w:r>
        <w:rPr>
          <w:rFonts w:hint="eastAsia" w:ascii="宋体" w:hAnsi="宋体" w:eastAsia="黑体"/>
          <w:b/>
          <w:bCs/>
          <w:color w:val="FF0000"/>
          <w:kern w:val="44"/>
          <w:sz w:val="28"/>
          <w:szCs w:val="44"/>
        </w:rPr>
        <w:t>警示条款</w:t>
      </w:r>
    </w:p>
    <w:bookmarkEnd w:id="1"/>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一、</w:t>
      </w:r>
      <w:r>
        <w:rPr>
          <w:rFonts w:hint="eastAsia" w:ascii="宋体" w:hAnsi="宋体" w:eastAsia="宋体" w:cs="宋体"/>
          <w:b/>
          <w:bCs/>
          <w:color w:val="FF0000"/>
          <w:sz w:val="21"/>
          <w:szCs w:val="21"/>
        </w:rPr>
        <w:t>《深圳经济特区政府采购条例》第五十七条</w:t>
      </w:r>
      <w:r>
        <w:rPr>
          <w:rFonts w:hint="eastAsia" w:ascii="宋体" w:hAnsi="宋体" w:eastAsia="宋体" w:cs="宋体"/>
          <w:color w:val="FF0000"/>
          <w:sz w:val="21"/>
          <w:szCs w:val="21"/>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（一）在采购活动中应当回避而未回避的；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（二）未按本条例规定签订、履行采购合同，造成严重后果的；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（三）隐瞒真实情况，提供虚假资料的；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（四）以非法手段排斥其他供应商参与竞争的；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（五）与其他采购参加人串通投标的；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（六）恶意投诉的；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（七）向采购项目相关人行贿或者提供其他不当利益的；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（八）阻碍、抗拒主管部门监督检查的；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（九）其他违反本条例规定的行为。</w:t>
      </w:r>
    </w:p>
    <w:p>
      <w:pPr>
        <w:keepNext w:val="0"/>
        <w:keepLines w:val="0"/>
        <w:pageBreakBefore w:val="0"/>
        <w:widowControl w:val="0"/>
        <w:kinsoku/>
        <w:wordWrap/>
        <w:overflowPunct/>
        <w:topLinePunct w:val="0"/>
        <w:autoSpaceDE/>
        <w:autoSpaceDN/>
        <w:bidi w:val="0"/>
        <w:adjustRightInd/>
        <w:snapToGrid w:val="0"/>
        <w:spacing w:line="240" w:lineRule="exact"/>
        <w:ind w:firstLine="422" w:firstLineChars="200"/>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二、《深圳经济特区政府采购条例实施细则》第七十五条</w:t>
      </w:r>
      <w:r>
        <w:rPr>
          <w:rFonts w:hint="eastAsia" w:ascii="宋体" w:hAnsi="宋体" w:eastAsia="宋体" w:cs="宋体"/>
          <w:b/>
          <w:bCs/>
          <w:color w:val="FF0000"/>
          <w:sz w:val="21"/>
          <w:szCs w:val="21"/>
          <w:lang w:val="en-US" w:eastAsia="zh-CN"/>
        </w:rPr>
        <w:t xml:space="preserve"> </w:t>
      </w:r>
      <w:r>
        <w:rPr>
          <w:rFonts w:hint="eastAsia" w:ascii="宋体" w:hAnsi="宋体" w:eastAsia="宋体" w:cs="宋体"/>
          <w:color w:val="FF0000"/>
          <w:sz w:val="21"/>
          <w:szCs w:val="21"/>
        </w:rPr>
        <w:t>供应商有下列情形</w:t>
      </w:r>
      <w:r>
        <w:rPr>
          <w:rFonts w:hint="eastAsia" w:ascii="宋体" w:hAnsi="宋体" w:eastAsia="宋体" w:cs="宋体"/>
          <w:color w:val="FF0000"/>
          <w:sz w:val="21"/>
          <w:szCs w:val="21"/>
          <w:lang w:val="en-US" w:eastAsia="zh-CN"/>
        </w:rPr>
        <w:t>之一</w:t>
      </w:r>
      <w:r>
        <w:rPr>
          <w:rFonts w:hint="eastAsia" w:ascii="宋体" w:hAnsi="宋体" w:eastAsia="宋体" w:cs="宋体"/>
          <w:color w:val="FF0000"/>
          <w:sz w:val="21"/>
          <w:szCs w:val="21"/>
        </w:rPr>
        <w:t>的，属于采购条例所称的串通投标行为，按照采购条例第五十七条有关规定处理：（一）投标供应商之间相互约定给予未中标的供应商利益补偿</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（二）不同投标供应商的法定代表人、主要经营负责人、项目投标授权代表人、项目负责人、主要技术人员为同一人、属同一单位或者在同一单位缴纳社会保险</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（三）不同投标供应商的投标文件由同一单位或者同一人编制，或者由同一人分阶段参与编制的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（四）不同投标供应商的投标文件或部分投标文件相互混装</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（五）不同投标供应商的投标文件内容存在非正常一致</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（六）由同一单位工作人员为两家以上（含两家）供应商进行同一项投标活动的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（七）主管部门依照法律、法规认定的其他情形。</w:t>
      </w:r>
    </w:p>
    <w:p>
      <w:pPr>
        <w:keepNext w:val="0"/>
        <w:keepLines w:val="0"/>
        <w:pageBreakBefore w:val="0"/>
        <w:widowControl w:val="0"/>
        <w:kinsoku/>
        <w:wordWrap/>
        <w:overflowPunct/>
        <w:topLinePunct w:val="0"/>
        <w:autoSpaceDE/>
        <w:autoSpaceDN/>
        <w:bidi w:val="0"/>
        <w:adjustRightInd/>
        <w:snapToGrid w:val="0"/>
        <w:spacing w:line="240" w:lineRule="exact"/>
        <w:ind w:firstLine="422" w:firstLineChars="200"/>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三、《深圳经济特区政府采购条例实施细则》第七十七条</w:t>
      </w:r>
      <w:r>
        <w:rPr>
          <w:rFonts w:hint="eastAsia" w:ascii="宋体" w:hAnsi="宋体" w:eastAsia="宋体" w:cs="宋体"/>
          <w:b/>
          <w:bCs/>
          <w:color w:val="FF0000"/>
          <w:sz w:val="21"/>
          <w:szCs w:val="21"/>
          <w:lang w:val="en-US" w:eastAsia="zh-CN"/>
        </w:rPr>
        <w:t xml:space="preserve"> </w:t>
      </w:r>
      <w:r>
        <w:rPr>
          <w:rFonts w:hint="eastAsia" w:ascii="宋体" w:hAnsi="宋体" w:eastAsia="宋体" w:cs="宋体"/>
          <w:color w:val="FF0000"/>
          <w:sz w:val="21"/>
          <w:szCs w:val="21"/>
        </w:rPr>
        <w:t>供应商有下列情形之一的，属于隐瞒真实情况，提供虚假资料，按照采购条例第五十七</w:t>
      </w:r>
      <w:r>
        <w:rPr>
          <w:rFonts w:hint="eastAsia" w:ascii="宋体" w:hAnsi="宋体" w:eastAsia="宋体" w:cs="宋体"/>
          <w:color w:val="FF0000"/>
          <w:sz w:val="21"/>
          <w:szCs w:val="21"/>
          <w:lang w:val="en-US" w:eastAsia="zh-CN"/>
        </w:rPr>
        <w:t>条</w:t>
      </w:r>
      <w:r>
        <w:rPr>
          <w:rFonts w:hint="eastAsia" w:ascii="宋体" w:hAnsi="宋体" w:eastAsia="宋体" w:cs="宋体"/>
          <w:color w:val="FF0000"/>
          <w:sz w:val="21"/>
          <w:szCs w:val="21"/>
        </w:rPr>
        <w:t>的有关规定处理：（一）通过转让或者租借等方式从其他单位获取资格或者资质证书投标的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（二）由其他单位或者其他单位负责人在投标供应商编制的投标文件上加盖印章或者签字的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（三）项目负责人或者主要技术人员不是本单位人员的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（四）投标保证金不是从投标供应商基本账户转出的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（五）其他隐瞒真实情况、提供虚假资料的行为。</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投标供应商不能提供项目负责人或者主要技术人员的劳动合同、社会保险等劳动关系证明材料的，视为存在前款第（三）项规定的情形。</w:t>
      </w:r>
    </w:p>
    <w:p>
      <w:pPr>
        <w:keepNext w:val="0"/>
        <w:keepLines w:val="0"/>
        <w:pageBreakBefore w:val="0"/>
        <w:widowControl w:val="0"/>
        <w:kinsoku/>
        <w:wordWrap/>
        <w:overflowPunct/>
        <w:topLinePunct w:val="0"/>
        <w:autoSpaceDE/>
        <w:autoSpaceDN/>
        <w:bidi w:val="0"/>
        <w:adjustRightInd/>
        <w:snapToGrid w:val="0"/>
        <w:spacing w:line="240" w:lineRule="exact"/>
        <w:ind w:firstLine="422" w:firstLineChars="200"/>
        <w:textAlignment w:val="auto"/>
        <w:rPr>
          <w:rFonts w:hint="eastAsia" w:ascii="宋体" w:hAnsi="宋体" w:eastAsia="宋体" w:cs="宋体"/>
          <w:b/>
          <w:color w:val="FF0000"/>
          <w:sz w:val="21"/>
          <w:szCs w:val="21"/>
        </w:rPr>
      </w:pPr>
      <w:r>
        <w:rPr>
          <w:rFonts w:hint="eastAsia" w:ascii="宋体" w:hAnsi="宋体" w:eastAsia="宋体" w:cs="宋体"/>
          <w:b/>
          <w:color w:val="FF0000"/>
          <w:sz w:val="21"/>
          <w:szCs w:val="21"/>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lang w:val="en-US"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jc w:val="left"/>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sz w:val="21"/>
          <w:szCs w:val="21"/>
        </w:rPr>
        <w:t>取消参与本市政府采购资格</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依法吊销其营业</w:t>
      </w:r>
      <w:r>
        <w:rPr>
          <w:rFonts w:hint="eastAsia" w:ascii="宋体" w:hAnsi="宋体" w:eastAsia="宋体" w:cs="宋体"/>
          <w:color w:val="FF0000"/>
          <w:sz w:val="21"/>
          <w:szCs w:val="21"/>
          <w:lang w:val="en-US" w:eastAsia="zh-CN"/>
        </w:rPr>
        <w:t>执照等行政处罚，</w:t>
      </w:r>
      <w:r>
        <w:rPr>
          <w:rFonts w:hint="eastAsia" w:ascii="宋体" w:hAnsi="宋体" w:eastAsia="宋体" w:cs="宋体"/>
          <w:color w:val="FF0000"/>
          <w:sz w:val="21"/>
          <w:szCs w:val="21"/>
        </w:rPr>
        <w:t>构成犯罪的，依法追究刑事责任</w:t>
      </w:r>
      <w:r>
        <w:rPr>
          <w:rFonts w:hint="eastAsia" w:ascii="宋体" w:hAnsi="宋体" w:eastAsia="宋体" w:cs="宋体"/>
          <w:b w:val="0"/>
          <w:bCs/>
          <w:color w:val="FF0000"/>
          <w:sz w:val="21"/>
          <w:szCs w:val="21"/>
          <w:lang w:val="en-US" w:eastAsia="zh-CN"/>
        </w:rPr>
        <w:t>，请各供应商独立编制、上传投标文件，妥善保管和使用电子秘钥。</w:t>
      </w:r>
    </w:p>
    <w:p>
      <w:pPr>
        <w:pStyle w:val="17"/>
        <w:rPr>
          <w:rFonts w:hint="eastAsia"/>
        </w:rPr>
      </w:pPr>
      <w:r>
        <w:rPr>
          <w:rFonts w:hint="eastAsia"/>
        </w:rPr>
        <w:br w:type="textWrapping"/>
      </w: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pPr>
        <w:rPr>
          <w:b/>
          <w:sz w:val="24"/>
          <w:szCs w:val="24"/>
        </w:rPr>
      </w:pPr>
      <w:r>
        <w:rPr>
          <w:rFonts w:hint="eastAsia"/>
          <w:b/>
          <w:sz w:val="24"/>
          <w:szCs w:val="24"/>
        </w:rPr>
        <w:t>第一册  专用条款</w:t>
      </w:r>
    </w:p>
    <w:p>
      <w:pPr>
        <w:ind w:left="630" w:leftChars="300" w:firstLine="472" w:firstLineChars="196"/>
        <w:rPr>
          <w:b/>
          <w:sz w:val="24"/>
          <w:szCs w:val="24"/>
        </w:rPr>
      </w:pPr>
      <w:r>
        <w:rPr>
          <w:rFonts w:hint="eastAsia"/>
          <w:b/>
          <w:sz w:val="24"/>
          <w:szCs w:val="24"/>
        </w:rPr>
        <w:tab/>
      </w:r>
      <w:r>
        <w:rPr>
          <w:rFonts w:hint="eastAsia" w:ascii="宋体" w:hAnsi="宋体"/>
          <w:szCs w:val="21"/>
        </w:rPr>
        <w:t>关键信息</w:t>
      </w:r>
    </w:p>
    <w:p>
      <w:pPr>
        <w:ind w:left="630" w:leftChars="300" w:firstLine="411" w:firstLineChars="196"/>
        <w:rPr>
          <w:rFonts w:ascii="宋体" w:hAnsi="宋体"/>
          <w:szCs w:val="21"/>
        </w:rPr>
      </w:pPr>
      <w:r>
        <w:rPr>
          <w:rFonts w:hint="eastAsia" w:ascii="宋体" w:hAnsi="宋体"/>
          <w:szCs w:val="21"/>
        </w:rPr>
        <w:t>第一章  招标公告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411" w:firstLineChars="196"/>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411" w:firstLineChars="196"/>
        <w:rPr>
          <w:rFonts w:ascii="宋体" w:hAnsi="宋体"/>
          <w:szCs w:val="21"/>
        </w:rPr>
      </w:pPr>
      <w:r>
        <w:rPr>
          <w:rFonts w:hint="eastAsia" w:ascii="宋体" w:hAnsi="宋体"/>
          <w:szCs w:val="21"/>
        </w:rPr>
        <w:t>第五章  合同条款及格式</w:t>
      </w:r>
    </w:p>
    <w:p>
      <w:pPr>
        <w:rPr>
          <w:b/>
          <w:sz w:val="24"/>
        </w:rPr>
      </w:pPr>
    </w:p>
    <w:p>
      <w:pPr>
        <w:rPr>
          <w:b/>
          <w:sz w:val="24"/>
          <w:szCs w:val="24"/>
        </w:rPr>
      </w:pPr>
      <w:r>
        <w:rPr>
          <w:rFonts w:hint="eastAsia"/>
          <w:b/>
          <w:sz w:val="24"/>
          <w:szCs w:val="24"/>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r>
        <w:rPr>
          <w:rFonts w:hint="eastAsia"/>
        </w:rPr>
        <w:t xml:space="preserve">          第十一章  质疑处理</w:t>
      </w:r>
    </w:p>
    <w:p/>
    <w:p/>
    <w:p>
      <w:pPr>
        <w:widowControl/>
        <w:jc w:val="left"/>
        <w:rPr>
          <w:rFonts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第一册  专用条款</w:t>
      </w: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2" w:name="OLE_LINK9"/>
      <w:r>
        <w:rPr>
          <w:rFonts w:hint="eastAsia" w:ascii="宋体" w:hAnsi="宋体" w:cs="宋体"/>
          <w:color w:val="FF0000"/>
          <w:kern w:val="0"/>
          <w:szCs w:val="21"/>
        </w:rPr>
        <w:t>本项</w:t>
      </w:r>
      <w:bookmarkStart w:id="3" w:name="OLE_LINK8"/>
      <w:r>
        <w:rPr>
          <w:rFonts w:hint="eastAsia" w:ascii="宋体" w:hAnsi="宋体" w:cs="宋体"/>
          <w:color w:val="FF0000"/>
          <w:kern w:val="0"/>
          <w:szCs w:val="21"/>
        </w:rPr>
        <w:t>目不接受联合体投标</w:t>
      </w:r>
      <w:bookmarkEnd w:id="3"/>
      <w:r>
        <w:rPr>
          <w:rFonts w:hint="eastAsia" w:ascii="宋体" w:hAnsi="宋体" w:cs="宋体"/>
          <w:color w:val="FF0000"/>
          <w:kern w:val="0"/>
          <w:szCs w:val="21"/>
          <w:lang w:val="en-US" w:eastAsia="zh-CN"/>
        </w:rPr>
        <w:t>，</w:t>
      </w:r>
      <w:bookmarkStart w:id="4"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4"/>
      <w:r>
        <w:rPr>
          <w:rFonts w:hint="eastAsia" w:ascii="宋体" w:hAnsi="宋体" w:cs="宋体"/>
          <w:color w:val="FF0000"/>
          <w:kern w:val="0"/>
          <w:szCs w:val="21"/>
        </w:rPr>
        <w:t>；</w:t>
      </w:r>
      <w:bookmarkEnd w:id="2"/>
    </w:p>
    <w:p>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630" w:firstLineChars="300"/>
        <w:rPr>
          <w:rFonts w:hint="eastAsia" w:ascii="宋体" w:hAnsi="宋体" w:cs="宋体"/>
          <w:kern w:val="0"/>
          <w:szCs w:val="21"/>
          <w:highlight w:val="none"/>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.本项目是（否）专门面向中小企业采购：</w:t>
      </w:r>
      <w:r>
        <w:rPr>
          <w:rFonts w:hint="eastAsia" w:ascii="宋体" w:hAnsi="宋体" w:cs="宋体"/>
          <w:kern w:val="0"/>
          <w:szCs w:val="21"/>
          <w:highlight w:val="none"/>
          <w:lang w:val="en-US" w:eastAsia="zh-CN"/>
        </w:rPr>
        <w:t>否</w:t>
      </w:r>
      <w:r>
        <w:rPr>
          <w:rFonts w:hint="eastAsia" w:ascii="宋体" w:hAnsi="宋体" w:cs="宋体"/>
          <w:kern w:val="0"/>
          <w:szCs w:val="21"/>
          <w:highlight w:val="none"/>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Theme="minorEastAsia" w:hAnsiTheme="minorEastAsia" w:eastAsiaTheme="minorEastAsia" w:cstheme="minorEastAsia"/>
          <w:sz w:val="24"/>
          <w:szCs w:val="24"/>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pPr>
        <w:snapToGrid w:val="0"/>
        <w:spacing w:line="300" w:lineRule="auto"/>
        <w:ind w:firstLine="480" w:firstLineChars="200"/>
        <w:rPr>
          <w:rFonts w:ascii="Arial" w:hAnsi="Arial" w:eastAsia="宋体" w:cs="Times New Roman"/>
          <w:sz w:val="24"/>
          <w:szCs w:val="24"/>
        </w:rPr>
      </w:pPr>
    </w:p>
    <w:p>
      <w:pPr>
        <w:spacing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pPr>
        <w:widowControl/>
        <w:jc w:val="left"/>
        <w:rPr>
          <w:rFonts w:ascii="Arial" w:hAnsi="Arial" w:eastAsia="宋体" w:cs="Times New Roman"/>
          <w:b/>
          <w:color w:val="FF0000"/>
          <w:sz w:val="32"/>
          <w:szCs w:val="32"/>
        </w:rPr>
      </w:pPr>
    </w:p>
    <w:p>
      <w:pPr>
        <w:rPr>
          <w:rFonts w:hint="eastAsia" w:ascii="宋体" w:hAnsi="宋体" w:eastAsia="宋体" w:cs="Times New Roman"/>
          <w:b/>
          <w:bCs/>
          <w:kern w:val="0"/>
          <w:sz w:val="28"/>
          <w:szCs w:val="28"/>
        </w:rPr>
      </w:pPr>
    </w:p>
    <w:p>
      <w:pPr>
        <w:keepNext/>
        <w:keepLines/>
        <w:spacing w:before="260" w:after="260" w:line="416" w:lineRule="auto"/>
        <w:jc w:val="center"/>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5" w:name="_Hlk71926094"/>
      <w:r>
        <w:rPr>
          <w:rFonts w:hint="eastAsia" w:ascii="宋体" w:hAnsi="宋体" w:eastAsia="宋体" w:cs="Times New Roman"/>
          <w:b/>
          <w:bCs/>
          <w:kern w:val="0"/>
          <w:sz w:val="28"/>
          <w:szCs w:val="28"/>
        </w:rPr>
        <w:t>对通用条款的补充内容及其他关键信息</w:t>
      </w:r>
      <w:bookmarkEnd w:id="5"/>
    </w:p>
    <w:p>
      <w:pPr>
        <w:keepNext/>
        <w:keepLines/>
        <w:adjustRightInd w:val="0"/>
        <w:spacing w:beforeLines="50" w:afterLines="50"/>
        <w:jc w:val="center"/>
        <w:textAlignment w:val="baseline"/>
        <w:outlineLvl w:val="2"/>
        <w:rPr>
          <w:rFonts w:ascii="宋体" w:hAnsi="宋体" w:eastAsia="宋体" w:cs="Times New Roman"/>
          <w:b/>
          <w:bCs/>
          <w:kern w:val="0"/>
          <w:sz w:val="24"/>
          <w:szCs w:val="24"/>
        </w:rPr>
      </w:pPr>
      <w:bookmarkStart w:id="6" w:name="_Toc73521547"/>
      <w:bookmarkStart w:id="7" w:name="_Toc73517639"/>
      <w:bookmarkStart w:id="8" w:name="_Toc60560625"/>
      <w:bookmarkStart w:id="9" w:name="_Toc73521635"/>
      <w:bookmarkStart w:id="10" w:name="_Toc73518117"/>
      <w:bookmarkStart w:id="11" w:name="_Toc60631620"/>
      <w:bookmarkStart w:id="12" w:name="_Toc101074876"/>
      <w:bookmarkStart w:id="13" w:name="_Toc100052364"/>
      <w:r>
        <w:rPr>
          <w:rFonts w:hint="eastAsia" w:ascii="宋体" w:hAnsi="宋体" w:eastAsia="宋体" w:cs="Times New Roman"/>
          <w:b/>
          <w:bCs/>
          <w:kern w:val="0"/>
          <w:sz w:val="24"/>
          <w:szCs w:val="24"/>
        </w:rPr>
        <w:t>一、对通用条款的补充内容</w:t>
      </w:r>
    </w:p>
    <w:bookmarkEnd w:id="6"/>
    <w:bookmarkEnd w:id="7"/>
    <w:bookmarkEnd w:id="8"/>
    <w:bookmarkEnd w:id="9"/>
    <w:bookmarkEnd w:id="10"/>
    <w:bookmarkEnd w:id="11"/>
    <w:bookmarkEnd w:id="12"/>
    <w:bookmarkEnd w:id="13"/>
    <w:tbl>
      <w:tblPr>
        <w:tblStyle w:val="21"/>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highlight w:val="none"/>
              </w:rPr>
            </w:pPr>
            <w:r>
              <w:rPr>
                <w:rFonts w:hint="eastAsia" w:ascii="宋体" w:hAnsi="宋体"/>
                <w:b/>
                <w:bCs/>
                <w:highlight w:val="none"/>
              </w:rPr>
              <w:t>通用条款序号</w:t>
            </w:r>
          </w:p>
        </w:tc>
        <w:tc>
          <w:tcPr>
            <w:tcW w:w="1755" w:type="dxa"/>
            <w:vAlign w:val="center"/>
          </w:tcPr>
          <w:p>
            <w:pPr>
              <w:jc w:val="center"/>
              <w:rPr>
                <w:rFonts w:ascii="宋体" w:hAnsi="宋体"/>
                <w:b/>
                <w:bCs/>
                <w:highlight w:val="none"/>
              </w:rPr>
            </w:pPr>
            <w:r>
              <w:rPr>
                <w:rFonts w:hint="eastAsia" w:ascii="宋体" w:hAnsi="宋体"/>
                <w:b/>
                <w:bCs/>
                <w:highlight w:val="none"/>
              </w:rPr>
              <w:t>涉及事项</w:t>
            </w:r>
          </w:p>
        </w:tc>
        <w:tc>
          <w:tcPr>
            <w:tcW w:w="6795" w:type="dxa"/>
            <w:vAlign w:val="center"/>
          </w:tcPr>
          <w:p>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1755" w:type="dxa"/>
            <w:vAlign w:val="center"/>
          </w:tcPr>
          <w:p>
            <w:pPr>
              <w:jc w:val="center"/>
              <w:rPr>
                <w:highlight w:val="none"/>
              </w:rPr>
            </w:pPr>
            <w:r>
              <w:rPr>
                <w:rFonts w:hint="eastAsia"/>
                <w:highlight w:val="none"/>
              </w:rPr>
              <w:t>采购人</w:t>
            </w:r>
          </w:p>
        </w:tc>
        <w:tc>
          <w:tcPr>
            <w:tcW w:w="6795" w:type="dxa"/>
            <w:vAlign w:val="center"/>
          </w:tcPr>
          <w:p>
            <w:pPr>
              <w:jc w:val="left"/>
              <w:rPr>
                <w:rFonts w:ascii="宋体" w:hAnsi="宋体"/>
                <w:highlight w:val="none"/>
              </w:rPr>
            </w:pPr>
            <w:r>
              <w:rPr>
                <w:rFonts w:hint="eastAsia" w:ascii="宋体" w:hAnsi="宋体"/>
              </w:rPr>
              <w:t>深圳市龙华区教育局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1755" w:type="dxa"/>
            <w:vAlign w:val="center"/>
          </w:tcPr>
          <w:p>
            <w:pPr>
              <w:jc w:val="center"/>
              <w:rPr>
                <w:rFonts w:ascii="宋体" w:hAnsi="宋体"/>
                <w:highlight w:val="none"/>
              </w:rPr>
            </w:pPr>
            <w:r>
              <w:rPr>
                <w:rFonts w:hint="eastAsia" w:ascii="宋体" w:hAnsi="宋体"/>
                <w:highlight w:val="none"/>
              </w:rPr>
              <w:t>政府集中采购机构</w:t>
            </w:r>
          </w:p>
        </w:tc>
        <w:tc>
          <w:tcPr>
            <w:tcW w:w="6795" w:type="dxa"/>
            <w:vAlign w:val="center"/>
          </w:tcPr>
          <w:p>
            <w:pPr>
              <w:jc w:val="left"/>
              <w:rPr>
                <w:rFonts w:ascii="宋体" w:hAnsi="宋体"/>
                <w:highlight w:val="none"/>
              </w:rPr>
            </w:pPr>
            <w:r>
              <w:rPr>
                <w:rFonts w:hint="eastAsia" w:ascii="宋体" w:hAnsi="宋体" w:eastAsia="宋体" w:cs="Arial"/>
                <w:szCs w:val="21"/>
                <w:highlight w:val="none"/>
              </w:rPr>
              <w:t>本文件所述的“政府集中采购机构”</w:t>
            </w:r>
            <w:r>
              <w:rPr>
                <w:rFonts w:ascii="宋体" w:hAnsi="宋体" w:eastAsia="宋体" w:cs="Arial"/>
                <w:szCs w:val="21"/>
                <w:highlight w:val="none"/>
              </w:rPr>
              <w:t>指</w:t>
            </w:r>
            <w:r>
              <w:rPr>
                <w:rFonts w:hint="eastAsia" w:ascii="宋体" w:hAnsi="宋体" w:eastAsia="宋体" w:cs="Arial"/>
                <w:b/>
                <w:bCs/>
                <w:szCs w:val="21"/>
                <w:highlight w:val="none"/>
              </w:rPr>
              <w:t>深圳公共资源交易中心</w:t>
            </w:r>
            <w:r>
              <w:rPr>
                <w:rFonts w:hint="eastAsia" w:ascii="Arial" w:hAnsi="Arial" w:eastAsia="宋体" w:cs="Times New Roman"/>
                <w:szCs w:val="24"/>
                <w:highlight w:val="none"/>
              </w:rPr>
              <w:t>。本项目具体由深圳公共资源交易中心（深圳交易集团有限公司</w:t>
            </w:r>
            <w:r>
              <w:rPr>
                <w:rFonts w:hint="eastAsia" w:ascii="Arial" w:hAnsi="Arial" w:eastAsia="宋体" w:cs="Times New Roman"/>
                <w:szCs w:val="24"/>
                <w:highlight w:val="none"/>
                <w:lang w:eastAsia="zh-CN"/>
              </w:rPr>
              <w:t>龙华</w:t>
            </w:r>
            <w:r>
              <w:rPr>
                <w:rFonts w:hint="eastAsia" w:ascii="Arial" w:hAnsi="Arial" w:eastAsia="宋体" w:cs="Times New Roman"/>
                <w:szCs w:val="24"/>
                <w:highlight w:val="none"/>
              </w:rPr>
              <w:t>分公司）执行</w:t>
            </w:r>
            <w:r>
              <w:rPr>
                <w:rFonts w:hint="eastAsia" w:ascii="Arial" w:hAnsi="Arial" w:eastAsia="宋体" w:cs="Times New Roman"/>
                <w:bCs/>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5</w:t>
            </w:r>
            <w:r>
              <w:rPr>
                <w:rFonts w:ascii="宋体" w:hAnsi="宋体"/>
                <w:highlight w:val="none"/>
              </w:rPr>
              <w:t>.3</w:t>
            </w:r>
          </w:p>
        </w:tc>
        <w:tc>
          <w:tcPr>
            <w:tcW w:w="1755" w:type="dxa"/>
            <w:vAlign w:val="center"/>
          </w:tcPr>
          <w:p>
            <w:pPr>
              <w:jc w:val="center"/>
              <w:rPr>
                <w:rFonts w:ascii="宋体" w:hAnsi="宋体"/>
                <w:highlight w:val="none"/>
              </w:rPr>
            </w:pPr>
            <w:r>
              <w:rPr>
                <w:rFonts w:hint="eastAsia" w:ascii="宋体" w:hAnsi="宋体"/>
                <w:highlight w:val="none"/>
              </w:rPr>
              <w:t>联合体投标</w:t>
            </w:r>
          </w:p>
        </w:tc>
        <w:tc>
          <w:tcPr>
            <w:tcW w:w="6795" w:type="dxa"/>
            <w:vAlign w:val="center"/>
          </w:tcPr>
          <w:p>
            <w:pPr>
              <w:jc w:val="left"/>
              <w:rPr>
                <w:rFonts w:hint="default" w:ascii="Arial" w:hAnsi="Arial" w:eastAsia="宋体" w:cs="Times New Roman"/>
                <w:szCs w:val="24"/>
                <w:highlight w:val="none"/>
                <w:lang w:val="en-US" w:eastAsia="zh-CN"/>
              </w:rPr>
            </w:pPr>
            <w:r>
              <w:rPr>
                <w:rFonts w:hint="eastAsia" w:ascii="Arial" w:hAnsi="Arial" w:eastAsia="宋体" w:cs="Times New Roman"/>
                <w:szCs w:val="24"/>
                <w:highlight w:val="none"/>
                <w:lang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9</w:t>
            </w:r>
          </w:p>
        </w:tc>
        <w:tc>
          <w:tcPr>
            <w:tcW w:w="1755" w:type="dxa"/>
            <w:vAlign w:val="center"/>
          </w:tcPr>
          <w:p>
            <w:pPr>
              <w:jc w:val="center"/>
              <w:rPr>
                <w:rFonts w:ascii="宋体" w:hAnsi="宋体"/>
                <w:highlight w:val="none"/>
              </w:rPr>
            </w:pPr>
            <w:r>
              <w:rPr>
                <w:rFonts w:hint="eastAsia" w:ascii="宋体" w:hAnsi="宋体"/>
                <w:highlight w:val="none"/>
              </w:rPr>
              <w:t>踏勘现场</w:t>
            </w:r>
          </w:p>
        </w:tc>
        <w:tc>
          <w:tcPr>
            <w:tcW w:w="6795" w:type="dxa"/>
            <w:vAlign w:val="center"/>
          </w:tcPr>
          <w:p>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1755" w:type="dxa"/>
            <w:vAlign w:val="center"/>
          </w:tcPr>
          <w:p>
            <w:pPr>
              <w:jc w:val="center"/>
              <w:rPr>
                <w:rFonts w:ascii="宋体" w:hAnsi="宋体"/>
                <w:highlight w:val="none"/>
              </w:rPr>
            </w:pPr>
            <w:r>
              <w:rPr>
                <w:rFonts w:hint="eastAsia" w:ascii="宋体" w:hAnsi="宋体"/>
                <w:highlight w:val="none"/>
              </w:rPr>
              <w:t>标前会议</w:t>
            </w:r>
          </w:p>
        </w:tc>
        <w:tc>
          <w:tcPr>
            <w:tcW w:w="6795" w:type="dxa"/>
            <w:vAlign w:val="center"/>
          </w:tcPr>
          <w:p>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1755" w:type="dxa"/>
            <w:vAlign w:val="center"/>
          </w:tcPr>
          <w:p>
            <w:pPr>
              <w:jc w:val="center"/>
              <w:rPr>
                <w:rFonts w:ascii="宋体" w:hAnsi="宋体"/>
                <w:highlight w:val="none"/>
              </w:rPr>
            </w:pPr>
            <w:r>
              <w:rPr>
                <w:rFonts w:hint="eastAsia" w:ascii="宋体" w:hAnsi="宋体"/>
                <w:highlight w:val="none"/>
              </w:rPr>
              <w:t>招标文件的澄清和修改</w:t>
            </w:r>
          </w:p>
        </w:tc>
        <w:tc>
          <w:tcPr>
            <w:tcW w:w="6795" w:type="dxa"/>
            <w:vAlign w:val="center"/>
          </w:tcPr>
          <w:p>
            <w:pPr>
              <w:jc w:val="left"/>
              <w:rPr>
                <w:rFonts w:hint="eastAsia" w:ascii="宋体" w:hAnsi="宋体"/>
                <w:highlight w:val="none"/>
                <w:lang w:eastAsia="zh-CN"/>
              </w:rPr>
            </w:pPr>
            <w:r>
              <w:rPr>
                <w:rFonts w:hint="eastAsia" w:ascii="宋体" w:hAnsi="宋体"/>
                <w:highlight w:val="none"/>
                <w:lang w:eastAsia="zh-CN"/>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1755" w:type="dxa"/>
            <w:vAlign w:val="center"/>
          </w:tcPr>
          <w:p>
            <w:pPr>
              <w:jc w:val="center"/>
              <w:rPr>
                <w:rFonts w:ascii="宋体" w:hAnsi="宋体"/>
                <w:highlight w:val="none"/>
              </w:rPr>
            </w:pPr>
            <w:r>
              <w:rPr>
                <w:rFonts w:hint="eastAsia" w:ascii="宋体" w:hAnsi="宋体"/>
                <w:highlight w:val="none"/>
              </w:rPr>
              <w:t>投标有效期</w:t>
            </w:r>
          </w:p>
        </w:tc>
        <w:tc>
          <w:tcPr>
            <w:tcW w:w="6795" w:type="dxa"/>
            <w:vAlign w:val="center"/>
          </w:tcPr>
          <w:p>
            <w:pPr>
              <w:jc w:val="left"/>
              <w:rPr>
                <w:rFonts w:hint="eastAsia" w:ascii="宋体" w:hAnsi="宋体"/>
                <w:highlight w:val="none"/>
              </w:rPr>
            </w:pPr>
            <w:r>
              <w:rPr>
                <w:rFonts w:hint="eastAsia" w:ascii="宋体" w:hAnsi="宋体"/>
                <w:highlight w:val="none"/>
              </w:rPr>
              <w:t>120日历天（从投标截止之日算起）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1755" w:type="dxa"/>
            <w:vAlign w:val="center"/>
          </w:tcPr>
          <w:p>
            <w:pPr>
              <w:jc w:val="center"/>
              <w:rPr>
                <w:rFonts w:ascii="宋体" w:hAnsi="宋体"/>
                <w:highlight w:val="none"/>
              </w:rPr>
            </w:pPr>
            <w:r>
              <w:rPr>
                <w:rFonts w:hint="eastAsia" w:ascii="宋体" w:hAnsi="宋体"/>
                <w:highlight w:val="none"/>
              </w:rPr>
              <w:t>投标人的替代方案</w:t>
            </w:r>
          </w:p>
        </w:tc>
        <w:tc>
          <w:tcPr>
            <w:tcW w:w="6795" w:type="dxa"/>
            <w:vAlign w:val="center"/>
          </w:tcPr>
          <w:p>
            <w:pPr>
              <w:jc w:val="left"/>
              <w:rPr>
                <w:rFonts w:hint="eastAsia" w:ascii="宋体" w:hAnsi="宋体"/>
                <w:highlight w:val="none"/>
              </w:rPr>
            </w:pPr>
            <w:r>
              <w:rPr>
                <w:rFonts w:hint="eastAsia" w:ascii="宋体" w:hAnsi="宋体"/>
                <w:highlight w:val="none"/>
                <w:lang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1755" w:type="dxa"/>
            <w:vAlign w:val="center"/>
          </w:tcPr>
          <w:p>
            <w:pPr>
              <w:jc w:val="center"/>
              <w:rPr>
                <w:rFonts w:ascii="宋体" w:hAnsi="宋体"/>
                <w:highlight w:val="none"/>
              </w:rPr>
            </w:pPr>
            <w:r>
              <w:rPr>
                <w:rFonts w:hint="eastAsia" w:ascii="宋体" w:hAnsi="宋体"/>
                <w:highlight w:val="none"/>
              </w:rPr>
              <w:t>投标文件的大小</w:t>
            </w:r>
          </w:p>
        </w:tc>
        <w:tc>
          <w:tcPr>
            <w:tcW w:w="6795" w:type="dxa"/>
            <w:vAlign w:val="center"/>
          </w:tcPr>
          <w:p>
            <w:pPr>
              <w:jc w:val="left"/>
              <w:rPr>
                <w:rFonts w:hint="eastAsia" w:ascii="宋体" w:hAnsi="宋体"/>
                <w:highlight w:val="none"/>
              </w:rPr>
            </w:pPr>
            <w:r>
              <w:rPr>
                <w:rFonts w:hint="eastAsia" w:ascii="宋体" w:hAnsi="宋体"/>
                <w:highlight w:val="none"/>
                <w:lang w:eastAsia="zh-CN"/>
              </w:rPr>
              <w:t>投标文件大小不得超过</w:t>
            </w:r>
            <w:r>
              <w:rPr>
                <w:rFonts w:hint="eastAsia" w:ascii="宋体" w:hAnsi="宋体"/>
                <w:highlight w:val="none"/>
                <w:lang w:val="en-US" w:eastAsia="zh-CN"/>
              </w:rPr>
              <w:t>1</w:t>
            </w:r>
            <w:r>
              <w:rPr>
                <w:rFonts w:hint="eastAsia" w:ascii="宋体" w:hAnsi="宋体"/>
                <w:highlight w:val="none"/>
                <w:lang w:eastAsia="zh-CN"/>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1755" w:type="dxa"/>
            <w:vAlign w:val="center"/>
          </w:tcPr>
          <w:p>
            <w:pPr>
              <w:jc w:val="center"/>
              <w:rPr>
                <w:rFonts w:ascii="宋体" w:hAnsi="宋体"/>
                <w:highlight w:val="none"/>
              </w:rPr>
            </w:pPr>
            <w:bookmarkStart w:id="14" w:name="_Hlk71664860"/>
            <w:r>
              <w:rPr>
                <w:rFonts w:hint="eastAsia" w:ascii="宋体" w:hAnsi="宋体"/>
                <w:highlight w:val="none"/>
              </w:rPr>
              <w:t>样品、现场演示、方案讲解</w:t>
            </w:r>
            <w:bookmarkEnd w:id="14"/>
          </w:p>
        </w:tc>
        <w:tc>
          <w:tcPr>
            <w:tcW w:w="6795" w:type="dxa"/>
            <w:vAlign w:val="center"/>
          </w:tcPr>
          <w:p>
            <w:pPr>
              <w:jc w:val="left"/>
              <w:rPr>
                <w:rFonts w:ascii="宋体" w:hAnsi="宋体"/>
                <w:highlight w:val="none"/>
              </w:rPr>
            </w:pPr>
            <w:r>
              <w:rPr>
                <w:rFonts w:hint="eastAsia" w:ascii="宋体" w:hAnsi="宋体"/>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1755" w:type="dxa"/>
            <w:vAlign w:val="center"/>
          </w:tcPr>
          <w:p>
            <w:pPr>
              <w:jc w:val="center"/>
              <w:rPr>
                <w:rFonts w:ascii="宋体" w:hAnsi="宋体"/>
                <w:highlight w:val="none"/>
              </w:rPr>
            </w:pPr>
            <w:r>
              <w:rPr>
                <w:rFonts w:hint="eastAsia" w:ascii="宋体" w:hAnsi="宋体"/>
                <w:highlight w:val="none"/>
              </w:rPr>
              <w:t>评审方法</w:t>
            </w:r>
          </w:p>
        </w:tc>
        <w:tc>
          <w:tcPr>
            <w:tcW w:w="6795" w:type="dxa"/>
            <w:vAlign w:val="center"/>
          </w:tcPr>
          <w:p>
            <w:pPr>
              <w:jc w:val="left"/>
              <w:rPr>
                <w:rFonts w:ascii="宋体" w:hAnsi="宋体"/>
                <w:highlight w:val="none"/>
              </w:rPr>
            </w:pPr>
            <w:r>
              <w:rPr>
                <w:rFonts w:ascii="宋体" w:hAnsi="宋体"/>
                <w:b/>
                <w:bCs/>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1755" w:type="dxa"/>
            <w:vAlign w:val="center"/>
          </w:tcPr>
          <w:p>
            <w:pPr>
              <w:jc w:val="center"/>
              <w:rPr>
                <w:rFonts w:ascii="宋体" w:hAnsi="宋体"/>
                <w:highlight w:val="none"/>
              </w:rPr>
            </w:pPr>
            <w:r>
              <w:rPr>
                <w:rFonts w:hint="eastAsia" w:ascii="宋体" w:hAnsi="宋体"/>
                <w:highlight w:val="none"/>
              </w:rPr>
              <w:t>定标方法</w:t>
            </w:r>
          </w:p>
        </w:tc>
        <w:tc>
          <w:tcPr>
            <w:tcW w:w="6795" w:type="dxa"/>
            <w:vAlign w:val="center"/>
          </w:tcPr>
          <w:p>
            <w:pPr>
              <w:jc w:val="left"/>
              <w:rPr>
                <w:rFonts w:hint="eastAsia" w:ascii="宋体" w:hAnsi="宋体"/>
                <w:b/>
                <w:bCs/>
                <w:highlight w:val="none"/>
              </w:rPr>
            </w:pPr>
            <w:r>
              <w:rPr>
                <w:rFonts w:hint="eastAsia" w:ascii="宋体" w:hAnsi="宋体" w:eastAsia="宋体" w:cs="Times New Roman"/>
                <w:b/>
                <w:bCs/>
                <w:szCs w:val="21"/>
                <w:highlight w:val="none"/>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1755" w:type="dxa"/>
            <w:vAlign w:val="center"/>
          </w:tcPr>
          <w:p>
            <w:pPr>
              <w:jc w:val="center"/>
              <w:rPr>
                <w:rFonts w:ascii="宋体" w:hAnsi="宋体"/>
                <w:highlight w:val="none"/>
              </w:rPr>
            </w:pPr>
            <w:r>
              <w:rPr>
                <w:rFonts w:hint="eastAsia" w:ascii="宋体" w:hAnsi="宋体"/>
                <w:highlight w:val="none"/>
              </w:rPr>
              <w:t>履约担保</w:t>
            </w:r>
          </w:p>
        </w:tc>
        <w:tc>
          <w:tcPr>
            <w:tcW w:w="6795" w:type="dxa"/>
            <w:vAlign w:val="center"/>
          </w:tcPr>
          <w:p>
            <w:pPr>
              <w:jc w:val="left"/>
              <w:rPr>
                <w:rFonts w:ascii="宋体" w:hAnsi="宋体"/>
                <w:highlight w:val="none"/>
              </w:rPr>
            </w:pPr>
            <w:r>
              <w:rPr>
                <w:rFonts w:hint="eastAsia" w:ascii="宋体" w:hAnsi="宋体"/>
                <w:highlight w:val="none"/>
              </w:rPr>
              <w:t>不需要</w:t>
            </w:r>
          </w:p>
        </w:tc>
      </w:tr>
    </w:tbl>
    <w:p>
      <w:pPr>
        <w:widowControl/>
        <w:jc w:val="center"/>
        <w:rPr>
          <w:szCs w:val="21"/>
        </w:rPr>
      </w:pPr>
      <w:r>
        <w:rPr>
          <w:rFonts w:hint="eastAsia"/>
          <w:szCs w:val="21"/>
        </w:rPr>
        <w:t>备注：本表是通用条款相关条款的补充和明确，如与通用条款内容相冲突的，以本表为准。</w:t>
      </w:r>
    </w:p>
    <w:p>
      <w:pPr>
        <w:keepNext/>
        <w:keepLines/>
        <w:adjustRightInd w:val="0"/>
        <w:spacing w:beforeLines="50" w:afterLines="50"/>
        <w:jc w:val="center"/>
        <w:textAlignment w:val="baseline"/>
        <w:outlineLvl w:val="2"/>
        <w:rPr>
          <w:rFonts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pPr>
        <w:tabs>
          <w:tab w:val="left" w:pos="720"/>
        </w:tabs>
        <w:rPr>
          <w:rFonts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pPr>
        <w:tabs>
          <w:tab w:val="left" w:pos="720"/>
        </w:tabs>
      </w:pPr>
      <w:r>
        <w:rPr>
          <w:rFonts w:hint="eastAsia" w:ascii="黑体" w:hAnsi="宋体" w:eastAsia="黑体"/>
          <w:bCs/>
          <w:sz w:val="24"/>
          <w:lang w:val="en-US" w:eastAsia="zh-CN"/>
        </w:rPr>
        <w:t>1、评标定标信息</w:t>
      </w:r>
    </w:p>
    <w:p>
      <w:pPr>
        <w:jc w:val="center"/>
      </w:pPr>
      <w:r>
        <w:rPr>
          <w:rFonts w:hint="eastAsia"/>
          <w:b/>
        </w:rPr>
        <w:t>非评定分离项目</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3235" w:type="dxa"/>
          </w:tcPr>
          <w:p>
            <w:pPr>
              <w:jc w:val="center"/>
              <w:rPr>
                <w:rFonts w:hint="default" w:eastAsia="宋体"/>
                <w:lang w:val="en-US" w:eastAsia="zh-CN"/>
              </w:rPr>
            </w:pPr>
            <w:r>
              <w:rPr>
                <w:rFonts w:hint="eastAsia"/>
              </w:rPr>
              <w:sym w:font="Wingdings" w:char="00FE"/>
            </w:r>
            <w:r>
              <w:rPr>
                <w:rFonts w:hint="eastAsia"/>
              </w:rPr>
              <w:t>综合评分法</w:t>
            </w:r>
          </w:p>
        </w:tc>
        <w:tc>
          <w:tcPr>
            <w:tcW w:w="2450" w:type="dxa"/>
          </w:tcPr>
          <w:p>
            <w:pPr>
              <w:jc w:val="center"/>
              <w:rPr>
                <w:rFonts w:hint="eastAsia"/>
              </w:rPr>
            </w:pPr>
            <w:r>
              <w:rPr>
                <w:rFonts w:hint="eastAsia" w:ascii="Times New Roman" w:eastAsia="宋体"/>
                <w:lang w:val="en-US" w:eastAsia="zh-CN"/>
              </w:rPr>
              <w:sym w:font="Wingdings" w:char="00A8"/>
            </w:r>
            <w:r>
              <w:rPr>
                <w:rFonts w:hint="eastAsia" w:ascii="Times New Roman" w:eastAsia="宋体"/>
                <w:lang w:val="en-US" w:eastAsia="zh-CN"/>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3235" w:type="dxa"/>
          </w:tcPr>
          <w:p>
            <w:pPr>
              <w:jc w:val="center"/>
              <w:rPr>
                <w:rFonts w:hint="default" w:eastAsia="宋体"/>
                <w:lang w:val="en-US" w:eastAsia="zh-CN"/>
              </w:rPr>
            </w:pPr>
            <w:r>
              <w:rPr>
                <w:rFonts w:hint="eastAsia" w:eastAsia="宋体"/>
                <w:lang w:val="en-US" w:eastAsia="zh-CN"/>
              </w:rPr>
              <w:t>4</w:t>
            </w:r>
          </w:p>
        </w:tc>
        <w:tc>
          <w:tcPr>
            <w:tcW w:w="2450" w:type="dxa"/>
          </w:tcPr>
          <w:p>
            <w:pPr>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3235" w:type="dxa"/>
          </w:tcPr>
          <w:p>
            <w:pPr>
              <w:jc w:val="center"/>
              <w:rPr>
                <w:rFonts w:hint="eastAsia" w:eastAsiaTheme="minorEastAsia"/>
                <w:lang w:val="en-US" w:eastAsia="zh-CN"/>
              </w:rPr>
            </w:pPr>
            <w:r>
              <w:rPr>
                <w:rFonts w:hint="eastAsia"/>
                <w:lang w:val="en-US" w:eastAsia="zh-CN"/>
              </w:rPr>
              <w:t>2</w:t>
            </w:r>
          </w:p>
        </w:tc>
        <w:tc>
          <w:tcPr>
            <w:tcW w:w="2450" w:type="dxa"/>
          </w:tcPr>
          <w:p>
            <w:pPr>
              <w:jc w:val="center"/>
              <w:rPr>
                <w:rFonts w:hint="eastAsia"/>
              </w:rPr>
            </w:pPr>
            <w:r>
              <w:rPr>
                <w:rFonts w:hint="eastAsia"/>
              </w:rPr>
              <w:t>1</w:t>
            </w:r>
          </w:p>
        </w:tc>
      </w:tr>
    </w:tbl>
    <w:p>
      <w:pPr>
        <w:pStyle w:val="17"/>
      </w:pPr>
    </w:p>
    <w:p>
      <w:pPr>
        <w:tabs>
          <w:tab w:val="left" w:pos="720"/>
        </w:tabs>
        <w:rPr>
          <w:rFonts w:ascii="黑体" w:hAnsi="宋体" w:eastAsia="黑体"/>
          <w:sz w:val="24"/>
        </w:rPr>
      </w:pPr>
    </w:p>
    <w:p>
      <w:pPr>
        <w:tabs>
          <w:tab w:val="left" w:pos="720"/>
        </w:tabs>
        <w:rPr>
          <w:rFonts w:ascii="黑体" w:hAnsi="宋体" w:eastAsia="黑体"/>
          <w:sz w:val="24"/>
        </w:rPr>
      </w:pPr>
      <w:r>
        <w:rPr>
          <w:rFonts w:hint="eastAsia" w:ascii="黑体" w:hAnsi="宋体" w:eastAsia="黑体"/>
          <w:sz w:val="24"/>
        </w:rPr>
        <w:t>（二）其他事项</w:t>
      </w:r>
    </w:p>
    <w:p>
      <w:pPr>
        <w:tabs>
          <w:tab w:val="left" w:pos="720"/>
        </w:tabs>
        <w:rPr>
          <w:rFonts w:ascii="黑体" w:hAnsi="宋体" w:eastAsia="黑体"/>
          <w:sz w:val="24"/>
        </w:rPr>
      </w:pPr>
      <w:r>
        <w:rPr>
          <w:rFonts w:hint="eastAsia" w:ascii="黑体" w:hAnsi="宋体" w:eastAsia="黑体"/>
          <w:sz w:val="24"/>
        </w:rPr>
        <w:t>1、关于享受优惠政策的主体、价格扣除比例及采购标的所属行业</w:t>
      </w:r>
    </w:p>
    <w:p>
      <w:pPr>
        <w:ind w:firstLine="420" w:firstLineChars="200"/>
        <w:rPr>
          <w:rFonts w:hint="default" w:eastAsia="宋体"/>
          <w:lang w:val="en-US" w:eastAsia="zh-CN"/>
        </w:rPr>
      </w:pPr>
      <w:bookmarkStart w:id="15" w:name="OLE_LINK5"/>
      <w:bookmarkStart w:id="16" w:name="OLE_LINK6"/>
      <w:r>
        <w:rPr>
          <w:rFonts w:hint="eastAsia"/>
        </w:rPr>
        <w:t>（1）</w:t>
      </w:r>
      <w:r>
        <w:rPr>
          <w:rFonts w:hint="eastAsia" w:ascii="Times New Roman" w:eastAsia="宋体"/>
          <w:lang w:val="en-US" w:eastAsia="zh-CN"/>
        </w:rPr>
        <w:t>专门面向中小企业采购的项目，不再执行价格扣除比例。</w:t>
      </w:r>
    </w:p>
    <w:p>
      <w:pPr>
        <w:ind w:firstLine="420" w:firstLineChars="200"/>
      </w:pPr>
      <w:r>
        <w:rPr>
          <w:rFonts w:hint="eastAsia"/>
        </w:rPr>
        <w:t>（</w:t>
      </w:r>
      <w:r>
        <w:rPr>
          <w:rFonts w:hint="eastAsia"/>
          <w:lang w:val="en-US" w:eastAsia="zh-CN"/>
        </w:rPr>
        <w:t>2</w:t>
      </w:r>
      <w:r>
        <w:rPr>
          <w:rFonts w:hint="eastAsia"/>
        </w:rPr>
        <w:t>）</w:t>
      </w:r>
      <w:r>
        <w:rPr>
          <w:rFonts w:hint="eastAsia" w:ascii="Times New Roman" w:eastAsia="宋体"/>
          <w:lang w:val="en-US" w:eastAsia="zh-CN"/>
        </w:rPr>
        <w:t>非专门面向中小企业采购的项目，应执行价格扣除比例：</w:t>
      </w:r>
      <w:r>
        <w:rPr>
          <w:rFonts w:hint="eastAsia"/>
          <w:lang w:val="en-US" w:eastAsia="zh-CN"/>
        </w:rPr>
        <w:t>供应商</w:t>
      </w:r>
      <w:r>
        <w:rPr>
          <w:rFonts w:hint="eastAsia"/>
        </w:rPr>
        <w:t>提供的服务全部由优惠主体承接，则对其投标总价给予</w:t>
      </w:r>
      <w:r>
        <w:rPr>
          <w:rFonts w:hint="eastAsia"/>
          <w:color w:val="FF0000"/>
          <w:u w:val="single"/>
          <w:lang w:val="en-US" w:eastAsia="zh-CN"/>
        </w:rPr>
        <w:t>10</w:t>
      </w:r>
      <w:r>
        <w:rPr>
          <w:color w:val="FF0000"/>
          <w:u w:val="single"/>
        </w:rPr>
        <w:t xml:space="preserve"> %</w:t>
      </w:r>
      <w:r>
        <w:rPr>
          <w:rFonts w:hint="eastAsia"/>
        </w:rPr>
        <w:t>的扣除，用扣除后的价格参与评审。满足多项优惠政策的企业，不重复享受多项价格扣除政策。</w:t>
      </w:r>
    </w:p>
    <w:bookmarkEnd w:id="15"/>
    <w:p>
      <w:pPr>
        <w:ind w:firstLine="420" w:firstLineChars="200"/>
        <w:rPr>
          <w:rFonts w:hint="eastAsia"/>
        </w:rPr>
      </w:pPr>
      <w:r>
        <w:rPr>
          <w:rFonts w:hint="eastAsia"/>
        </w:rPr>
        <w:t>备注：（a）</w:t>
      </w:r>
      <w:r>
        <w:rPr>
          <w:rFonts w:hint="eastAsia" w:ascii="Times New Roman" w:eastAsia="宋体"/>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bookmarkEnd w:id="16"/>
    <w:p>
      <w:pPr>
        <w:numPr>
          <w:ilvl w:val="0"/>
          <w:numId w:val="1"/>
        </w:numPr>
        <w:ind w:firstLine="420" w:firstLineChars="200"/>
        <w:rPr>
          <w:rFonts w:hint="eastAsia"/>
          <w:sz w:val="21"/>
          <w:szCs w:val="21"/>
        </w:rPr>
      </w:pPr>
      <w:r>
        <w:rPr>
          <w:rFonts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pP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rFonts w:hint="eastAsia"/>
          <w:sz w:val="21"/>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pPr>
        <w:ind w:firstLine="420" w:firstLineChars="200"/>
        <w:rPr>
          <w:rFonts w:hint="eastAsia" w:asciiTheme="minorEastAsia" w:hAnsiTheme="minorEastAsia" w:eastAsiaTheme="minorEastAsia" w:cstheme="minorEastAsia"/>
          <w:sz w:val="21"/>
          <w:szCs w:val="21"/>
        </w:rPr>
      </w:pPr>
      <w:r>
        <w:rPr>
          <w:rFonts w:hint="eastAsia"/>
        </w:rPr>
        <w:t>（</w:t>
      </w:r>
      <w:r>
        <w:rPr>
          <w:rFonts w:hint="eastAsia"/>
          <w:lang w:val="en-US" w:eastAsia="zh-CN"/>
        </w:rPr>
        <w:t>5</w:t>
      </w:r>
      <w:r>
        <w:rPr>
          <w:rFonts w:hint="eastAsia"/>
        </w:rPr>
        <w:t>）享受价格扣除获得政府采购合同的，小微企业不得将合同分包给大中型企业。</w:t>
      </w:r>
    </w:p>
    <w:p>
      <w:pPr>
        <w:tabs>
          <w:tab w:val="left" w:pos="720"/>
        </w:tabs>
        <w:ind w:firstLine="420" w:firstLineChars="200"/>
        <w:rPr>
          <w:rFonts w:ascii="宋体" w:hAnsi="宋体"/>
          <w:bCs/>
        </w:rPr>
      </w:pPr>
    </w:p>
    <w:p>
      <w:pPr>
        <w:spacing w:line="360" w:lineRule="auto"/>
        <w:rPr>
          <w:rFonts w:ascii="宋体" w:hAnsi="宋体" w:eastAsia="宋体" w:cs="宋体"/>
          <w:b/>
          <w:bCs/>
          <w:szCs w:val="24"/>
        </w:rPr>
      </w:pPr>
      <w:r>
        <w:rPr>
          <w:rFonts w:hint="eastAsia" w:ascii="宋体" w:hAnsi="宋体" w:eastAsia="宋体" w:cs="宋体"/>
          <w:b/>
          <w:bCs/>
          <w:szCs w:val="24"/>
        </w:rPr>
        <w:t>2.关于政府采购订单融资政策</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eastAsia="宋体" w:cs="Times New Roman"/>
          <w:b/>
          <w:szCs w:val="24"/>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tabs>
          <w:tab w:val="left" w:pos="720"/>
        </w:tabs>
        <w:rPr>
          <w:rFonts w:ascii="黑体" w:hAnsi="宋体" w:eastAsia="黑体"/>
          <w:sz w:val="24"/>
        </w:rPr>
      </w:pPr>
    </w:p>
    <w:p>
      <w:pPr>
        <w:tabs>
          <w:tab w:val="left" w:pos="720"/>
        </w:tabs>
        <w:rPr>
          <w:rFonts w:hint="eastAsia" w:ascii="宋体" w:hAnsi="宋体"/>
          <w:b/>
          <w:bCs/>
          <w:color w:val="FF0000"/>
          <w:lang w:eastAsia="zh-CN"/>
        </w:rPr>
      </w:pPr>
      <w:r>
        <w:rPr>
          <w:rFonts w:hint="eastAsia" w:ascii="宋体" w:hAnsi="宋体"/>
          <w:b/>
          <w:bCs/>
          <w:color w:val="FF0000"/>
        </w:rPr>
        <w:t>3、</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lang w:eastAsia="zh-CN"/>
        </w:rPr>
        <w:t>。</w:t>
      </w:r>
    </w:p>
    <w:p>
      <w:pPr>
        <w:widowControl/>
        <w:ind w:firstLine="420"/>
        <w:jc w:val="left"/>
        <w:rPr>
          <w:rFonts w:hint="eastAsia" w:ascii="宋体" w:hAnsi="宋体"/>
          <w:color w:val="FF0000"/>
          <w:szCs w:val="21"/>
        </w:rPr>
      </w:pPr>
      <w:r>
        <w:rPr>
          <w:rFonts w:hint="eastAsia" w:ascii="宋体" w:hAnsi="宋体"/>
          <w:color w:val="FF0000"/>
          <w:szCs w:val="21"/>
        </w:rPr>
        <w:t>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供应商在领取《中标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通知书》之前须向深圳公共资源交易中心（深圳交易集团有限公司</w:t>
      </w:r>
      <w:r>
        <w:rPr>
          <w:rFonts w:hint="eastAsia" w:ascii="宋体" w:hAnsi="宋体"/>
          <w:color w:val="FF0000"/>
          <w:szCs w:val="21"/>
          <w:lang w:val="en-US" w:eastAsia="zh-CN"/>
        </w:rPr>
        <w:t>宝安</w:t>
      </w:r>
      <w:r>
        <w:rPr>
          <w:rFonts w:hint="eastAsia" w:ascii="宋体" w:hAnsi="宋体"/>
          <w:color w:val="FF0000"/>
          <w:szCs w:val="21"/>
        </w:rPr>
        <w:t>分公司）交纳代理服务费。若因中标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供应商交纳代理服务费所产生的时间影响到合同签订的，由中标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供应商自行承担责任。代理服务费标准参照</w:t>
      </w:r>
      <w:r>
        <w:rPr>
          <w:rFonts w:hint="eastAsia" w:ascii="宋体" w:hAnsi="宋体"/>
          <w:color w:val="FF0000"/>
          <w:szCs w:val="21"/>
          <w:lang w:val="en-US" w:eastAsia="zh-CN"/>
        </w:rPr>
        <w:t>下列</w:t>
      </w:r>
      <w:r>
        <w:rPr>
          <w:rFonts w:hint="eastAsia" w:ascii="宋体" w:hAnsi="宋体"/>
          <w:color w:val="FF0000"/>
          <w:szCs w:val="21"/>
        </w:rPr>
        <w:t>标准收取。本项目类型为</w:t>
      </w:r>
      <w:r>
        <w:rPr>
          <w:rFonts w:hint="eastAsia" w:ascii="宋体" w:hAnsi="宋体"/>
          <w:b/>
          <w:bCs/>
          <w:color w:val="FF0000"/>
          <w:szCs w:val="21"/>
          <w:u w:val="single"/>
          <w:lang w:val="en-US" w:eastAsia="zh-CN"/>
        </w:rPr>
        <w:t>服务</w:t>
      </w:r>
      <w:r>
        <w:rPr>
          <w:rFonts w:hint="eastAsia" w:ascii="宋体" w:hAnsi="宋体"/>
          <w:b/>
          <w:bCs/>
          <w:color w:val="FF0000"/>
          <w:szCs w:val="21"/>
          <w:u w:val="single"/>
        </w:rPr>
        <w:t>采购</w:t>
      </w:r>
      <w:r>
        <w:rPr>
          <w:rFonts w:hint="eastAsia" w:ascii="宋体" w:hAnsi="宋体"/>
          <w:color w:val="FF0000"/>
          <w:szCs w:val="21"/>
        </w:rPr>
        <w:t>：</w:t>
      </w:r>
    </w:p>
    <w:p>
      <w:pPr>
        <w:widowControl/>
        <w:ind w:firstLine="420"/>
        <w:jc w:val="left"/>
        <w:rPr>
          <w:rFonts w:hint="eastAsia" w:ascii="宋体" w:hAnsi="宋体"/>
          <w:color w:val="FF0000"/>
          <w:szCs w:val="21"/>
        </w:rPr>
      </w:pPr>
      <w:r>
        <w:rPr>
          <w:rFonts w:hint="eastAsia" w:ascii="宋体" w:hAnsi="宋体"/>
          <w:color w:val="FF0000"/>
          <w:szCs w:val="21"/>
        </w:rPr>
        <w:t>（</w:t>
      </w:r>
      <w:r>
        <w:rPr>
          <w:rFonts w:hint="eastAsia" w:ascii="宋体" w:hAnsi="宋体"/>
          <w:color w:val="FF0000"/>
          <w:szCs w:val="21"/>
          <w:lang w:val="en-US" w:eastAsia="zh-CN"/>
        </w:rPr>
        <w:t>1</w:t>
      </w:r>
      <w:r>
        <w:rPr>
          <w:rFonts w:hint="eastAsia" w:ascii="宋体" w:hAnsi="宋体"/>
          <w:color w:val="FF0000"/>
          <w:szCs w:val="21"/>
        </w:rPr>
        <w:t>）代理服务费以《中标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通知书》确定的中标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金额作为计算基数，按差额定率累进法计算。</w:t>
      </w:r>
    </w:p>
    <w:p>
      <w:pPr>
        <w:widowControl/>
        <w:ind w:firstLine="420"/>
        <w:jc w:val="left"/>
        <w:rPr>
          <w:rFonts w:hint="eastAsia" w:ascii="宋体" w:hAnsi="宋体"/>
          <w:color w:val="FF0000"/>
          <w:szCs w:val="21"/>
        </w:rPr>
      </w:pPr>
      <w:r>
        <w:rPr>
          <w:rFonts w:hint="eastAsia" w:ascii="宋体" w:hAnsi="宋体"/>
          <w:color w:val="FF0000"/>
          <w:szCs w:val="21"/>
        </w:rPr>
        <w:t>（</w:t>
      </w:r>
      <w:r>
        <w:rPr>
          <w:rFonts w:hint="eastAsia" w:ascii="宋体" w:hAnsi="宋体"/>
          <w:color w:val="FF0000"/>
          <w:szCs w:val="21"/>
          <w:lang w:val="en-US" w:eastAsia="zh-CN"/>
        </w:rPr>
        <w:t>2</w:t>
      </w:r>
      <w:r>
        <w:rPr>
          <w:rFonts w:hint="eastAsia" w:ascii="宋体" w:hAnsi="宋体"/>
          <w:color w:val="FF0000"/>
          <w:szCs w:val="21"/>
        </w:rPr>
        <w:t>）中标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金额的各部分费率如下表：</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金额</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r>
    </w:tbl>
    <w:p>
      <w:pPr>
        <w:widowControl/>
        <w:ind w:firstLine="420"/>
        <w:jc w:val="left"/>
        <w:rPr>
          <w:rFonts w:hint="eastAsia" w:ascii="宋体" w:hAnsi="宋体"/>
          <w:color w:val="FF0000"/>
          <w:szCs w:val="21"/>
        </w:rPr>
      </w:pPr>
      <w:r>
        <w:rPr>
          <w:rFonts w:hint="eastAsia" w:ascii="宋体" w:hAnsi="宋体"/>
          <w:color w:val="FF0000"/>
          <w:szCs w:val="21"/>
        </w:rPr>
        <w:t xml:space="preserve">备注：1.每宗交易代理服务费不低于 </w:t>
      </w:r>
      <w:r>
        <w:rPr>
          <w:rFonts w:hint="eastAsia" w:ascii="宋体" w:hAnsi="宋体"/>
          <w:color w:val="FF0000"/>
          <w:szCs w:val="21"/>
          <w:lang w:val="en-US" w:eastAsia="zh-CN"/>
        </w:rPr>
        <w:t>5</w:t>
      </w:r>
      <w:r>
        <w:rPr>
          <w:rFonts w:hint="eastAsia" w:ascii="宋体" w:hAnsi="宋体"/>
          <w:color w:val="FF0000"/>
          <w:szCs w:val="21"/>
        </w:rPr>
        <w:t>000 元；</w:t>
      </w:r>
    </w:p>
    <w:p>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r>
        <w:rPr>
          <w:rFonts w:hint="eastAsia" w:ascii="宋体" w:hAnsi="宋体"/>
          <w:color w:val="FF0000"/>
          <w:szCs w:val="21"/>
          <w:lang w:eastAsia="zh-CN"/>
        </w:rPr>
        <w:t>。</w:t>
      </w:r>
    </w:p>
    <w:p>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pPr>
        <w:widowControl/>
        <w:ind w:firstLine="420"/>
        <w:jc w:val="left"/>
        <w:rPr>
          <w:rFonts w:hint="eastAsia" w:ascii="宋体" w:hAnsi="宋体"/>
          <w:color w:val="FF0000"/>
          <w:szCs w:val="21"/>
        </w:rPr>
      </w:pP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）中标（成交）供应商成交后，必须按规定采用银行对公转账方式向深圳交易集团有限公司直接交纳代理服务费，交纳信息及要求按照缴款（付款）通知书执行。</w:t>
      </w:r>
    </w:p>
    <w:p>
      <w:pPr>
        <w:pStyle w:val="17"/>
        <w:rPr>
          <w:rFonts w:hint="eastAsia" w:ascii="宋体" w:hAnsi="宋体"/>
          <w:color w:val="FF0000"/>
          <w:szCs w:val="21"/>
        </w:rPr>
      </w:pPr>
    </w:p>
    <w:p>
      <w:pPr>
        <w:pStyle w:val="17"/>
        <w:rPr>
          <w:rFonts w:hint="eastAsia" w:ascii="宋体" w:hAnsi="宋体"/>
          <w:color w:val="FF0000"/>
          <w:szCs w:val="21"/>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pPr>
        <w:keepNext/>
        <w:keepLines/>
        <w:tabs>
          <w:tab w:val="left" w:pos="1680"/>
        </w:tabs>
        <w:spacing w:before="260" w:afterLines="25"/>
        <w:jc w:val="both"/>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21"/>
        <w:tblW w:w="8931" w:type="dxa"/>
        <w:jc w:val="center"/>
        <w:tblLayout w:type="fixed"/>
        <w:tblCellMar>
          <w:top w:w="15" w:type="dxa"/>
          <w:left w:w="15" w:type="dxa"/>
          <w:bottom w:w="15" w:type="dxa"/>
          <w:right w:w="15" w:type="dxa"/>
        </w:tblCellMar>
      </w:tblPr>
      <w:tblGrid>
        <w:gridCol w:w="710"/>
        <w:gridCol w:w="2693"/>
        <w:gridCol w:w="2906"/>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pPr>
              <w:jc w:val="center"/>
              <w:rPr>
                <w:b w:val="0"/>
                <w:bCs w:val="0"/>
              </w:rPr>
            </w:pPr>
            <w:r>
              <w:rPr>
                <w:rFonts w:hint="eastAsia"/>
                <w:b w:val="0"/>
                <w:bCs w:val="0"/>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pPr>
              <w:jc w:val="center"/>
              <w:rPr>
                <w:rFonts w:hint="default" w:eastAsiaTheme="minorEastAsia"/>
                <w:b w:val="0"/>
                <w:bCs w:val="0"/>
                <w:lang w:val="en-US" w:eastAsia="zh-CN"/>
              </w:rPr>
            </w:pPr>
            <w:r>
              <w:rPr>
                <w:rFonts w:hint="eastAsia"/>
                <w:b w:val="0"/>
                <w:bCs w:val="0"/>
                <w:lang w:val="en-US" w:eastAsia="zh-CN"/>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rPr>
                <w:b w:val="0"/>
                <w:bCs w:val="0"/>
              </w:rPr>
            </w:pPr>
            <w:r>
              <w:rPr>
                <w:rFonts w:hint="eastAsia"/>
                <w:b w:val="0"/>
                <w:bCs w:val="0"/>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rPr>
                <w:rFonts w:hint="default" w:eastAsia="宋体"/>
                <w:lang w:val="en-US" w:eastAsia="zh-CN"/>
              </w:rPr>
            </w:pPr>
            <w:r>
              <w:rPr>
                <w:rFonts w:hint="default" w:eastAsia="宋体"/>
                <w:lang w:val="en-US" w:eastAsia="zh-CN"/>
              </w:rPr>
              <w:t>财政预算限额</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1</w:t>
            </w:r>
          </w:p>
        </w:tc>
        <w:tc>
          <w:tcPr>
            <w:tcW w:w="2693"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Theme="minorEastAsia" w:hAnsiTheme="minorEastAsia" w:eastAsiaTheme="minorEastAsia"/>
                <w:b w:val="0"/>
                <w:bCs w:val="0"/>
                <w:sz w:val="24"/>
                <w:szCs w:val="24"/>
                <w:highlight w:val="none"/>
                <w:lang w:eastAsia="zh-CN"/>
              </w:rPr>
            </w:pPr>
            <w:r>
              <w:rPr>
                <w:rFonts w:hint="eastAsia" w:asciiTheme="minorEastAsia" w:hAnsiTheme="minorEastAsia"/>
                <w:b w:val="0"/>
                <w:bCs w:val="0"/>
                <w:sz w:val="24"/>
                <w:szCs w:val="24"/>
                <w:highlight w:val="none"/>
                <w:lang w:val="en-US" w:eastAsia="zh-CN"/>
              </w:rPr>
              <w:t xml:space="preserve">LHAZXCG-2025-00093 </w:t>
            </w:r>
          </w:p>
        </w:tc>
        <w:tc>
          <w:tcPr>
            <w:tcW w:w="29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Theme="minorEastAsia"/>
                <w:b w:val="0"/>
                <w:bCs w:val="0"/>
                <w:highlight w:val="none"/>
                <w:lang w:eastAsia="zh-CN"/>
              </w:rPr>
            </w:pPr>
            <w:r>
              <w:rPr>
                <w:rFonts w:hint="eastAsia"/>
                <w:b w:val="0"/>
                <w:bCs w:val="0"/>
                <w:highlight w:val="none"/>
                <w:lang w:val="en-US" w:eastAsia="zh-CN"/>
              </w:rPr>
              <w:t>深圳市龙华区教育局教育系统安全隐患排查治理服务</w:t>
            </w:r>
          </w:p>
        </w:tc>
        <w:tc>
          <w:tcPr>
            <w:tcW w:w="2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spacing w:line="240" w:lineRule="auto"/>
              <w:jc w:val="center"/>
              <w:textAlignment w:val="auto"/>
              <w:rPr>
                <w:rFonts w:hint="default" w:asciiTheme="minorEastAsia" w:hAnsiTheme="minorEastAsia" w:eastAsiaTheme="minorEastAsia"/>
                <w:b w:val="0"/>
                <w:bCs w:val="0"/>
                <w:sz w:val="24"/>
                <w:szCs w:val="24"/>
                <w:highlight w:val="none"/>
                <w:lang w:val="en-US" w:eastAsia="zh-CN"/>
              </w:rPr>
            </w:pPr>
            <w:r>
              <w:rPr>
                <w:rFonts w:hint="default" w:asciiTheme="minorEastAsia" w:hAnsiTheme="minorEastAsia" w:eastAsiaTheme="minorEastAsia"/>
                <w:b w:val="0"/>
                <w:bCs w:val="0"/>
                <w:sz w:val="24"/>
                <w:szCs w:val="24"/>
                <w:highlight w:val="none"/>
                <w:lang w:val="en-US" w:eastAsia="zh-CN"/>
              </w:rPr>
              <w:t>964,000.00</w:t>
            </w:r>
          </w:p>
        </w:tc>
      </w:tr>
    </w:tbl>
    <w:p>
      <w:pPr>
        <w:keepNext/>
        <w:keepLines/>
        <w:tabs>
          <w:tab w:val="left" w:pos="1680"/>
        </w:tabs>
        <w:spacing w:before="260" w:after="60" w:afterLines="25" w:line="540" w:lineRule="exact"/>
        <w:outlineLvl w:val="2"/>
        <w:rPr>
          <w:rFonts w:ascii="Arial" w:hAnsi="Arial" w:eastAsia="宋体" w:cs="Times New Roman"/>
          <w:b/>
          <w:sz w:val="32"/>
          <w:szCs w:val="32"/>
        </w:rPr>
      </w:pPr>
      <w:bookmarkStart w:id="17" w:name="_Toc128884461"/>
      <w:r>
        <w:rPr>
          <w:rFonts w:hint="eastAsia" w:ascii="Arial" w:hAnsi="Arial" w:eastAsia="宋体" w:cs="Times New Roman"/>
          <w:b/>
          <w:sz w:val="32"/>
          <w:szCs w:val="32"/>
        </w:rPr>
        <w:t>二、项目清单</w:t>
      </w:r>
    </w:p>
    <w:tbl>
      <w:tblPr>
        <w:tblStyle w:val="21"/>
        <w:tblW w:w="5106" w:type="pct"/>
        <w:jc w:val="center"/>
        <w:tblLayout w:type="fixed"/>
        <w:tblCellMar>
          <w:top w:w="0" w:type="dxa"/>
          <w:left w:w="108" w:type="dxa"/>
          <w:bottom w:w="0" w:type="dxa"/>
          <w:right w:w="108" w:type="dxa"/>
        </w:tblCellMar>
      </w:tblPr>
      <w:tblGrid>
        <w:gridCol w:w="696"/>
        <w:gridCol w:w="1274"/>
        <w:gridCol w:w="886"/>
        <w:gridCol w:w="675"/>
        <w:gridCol w:w="719"/>
        <w:gridCol w:w="902"/>
        <w:gridCol w:w="1455"/>
        <w:gridCol w:w="1061"/>
        <w:gridCol w:w="1042"/>
      </w:tblGrid>
      <w:tr>
        <w:tblPrEx>
          <w:tblCellMar>
            <w:top w:w="0" w:type="dxa"/>
            <w:left w:w="108" w:type="dxa"/>
            <w:bottom w:w="0" w:type="dxa"/>
            <w:right w:w="108" w:type="dxa"/>
          </w:tblCellMar>
        </w:tblPrEx>
        <w:trPr>
          <w:trHeight w:val="285"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标段</w:t>
            </w:r>
          </w:p>
        </w:tc>
        <w:tc>
          <w:tcPr>
            <w:tcW w:w="731"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服务事项</w:t>
            </w:r>
          </w:p>
          <w:p>
            <w:pPr>
              <w:widowControl/>
              <w:spacing w:line="2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名称</w:t>
            </w:r>
          </w:p>
        </w:tc>
        <w:tc>
          <w:tcPr>
            <w:tcW w:w="50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分项</w:t>
            </w:r>
          </w:p>
        </w:tc>
        <w:tc>
          <w:tcPr>
            <w:tcW w:w="387"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数量</w:t>
            </w:r>
          </w:p>
        </w:tc>
        <w:tc>
          <w:tcPr>
            <w:tcW w:w="41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检查</w:t>
            </w:r>
          </w:p>
          <w:p>
            <w:pPr>
              <w:widowControl/>
              <w:spacing w:line="2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次数</w:t>
            </w:r>
          </w:p>
        </w:tc>
        <w:tc>
          <w:tcPr>
            <w:tcW w:w="135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单价限额（元）</w:t>
            </w:r>
          </w:p>
        </w:tc>
        <w:tc>
          <w:tcPr>
            <w:tcW w:w="609"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项目金额（元）</w:t>
            </w:r>
          </w:p>
        </w:tc>
        <w:tc>
          <w:tcPr>
            <w:tcW w:w="59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Theme="minorEastAsia" w:hAnsiTheme="minorEastAsia" w:cstheme="minorEastAsia"/>
                <w:b/>
                <w:bCs/>
                <w:szCs w:val="21"/>
              </w:rPr>
            </w:pPr>
            <w:r>
              <w:rPr>
                <w:rFonts w:hint="eastAsia" w:asciiTheme="minorEastAsia" w:hAnsiTheme="minorEastAsia" w:cstheme="minorEastAsia"/>
                <w:b/>
                <w:bCs/>
                <w:kern w:val="0"/>
                <w:szCs w:val="21"/>
                <w:lang w:bidi="ar"/>
              </w:rPr>
              <w:t>财政预算限额（元）</w:t>
            </w:r>
          </w:p>
        </w:tc>
      </w:tr>
      <w:tr>
        <w:tblPrEx>
          <w:tblCellMar>
            <w:top w:w="0" w:type="dxa"/>
            <w:left w:w="108" w:type="dxa"/>
            <w:bottom w:w="0" w:type="dxa"/>
            <w:right w:w="108" w:type="dxa"/>
          </w:tblCellMar>
        </w:tblPrEx>
        <w:trPr>
          <w:trHeight w:val="102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color w:val="000000"/>
                <w:szCs w:val="21"/>
              </w:rPr>
            </w:pPr>
          </w:p>
        </w:tc>
        <w:tc>
          <w:tcPr>
            <w:tcW w:w="731" w:type="pct"/>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color w:val="000000"/>
                <w:szCs w:val="21"/>
              </w:rPr>
            </w:pP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color w:val="000000"/>
                <w:szCs w:val="21"/>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color w:val="000000"/>
                <w:szCs w:val="21"/>
              </w:rPr>
            </w:pPr>
          </w:p>
        </w:tc>
        <w:tc>
          <w:tcPr>
            <w:tcW w:w="413"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60" w:lineRule="exact"/>
              <w:jc w:val="center"/>
              <w:rPr>
                <w:rFonts w:hint="eastAsia" w:asciiTheme="minorEastAsia" w:hAnsiTheme="minorEastAsia" w:cstheme="minorEastAsia"/>
                <w:color w:val="000000"/>
                <w:szCs w:val="21"/>
              </w:rPr>
            </w:pP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单价</w:t>
            </w:r>
          </w:p>
        </w:tc>
        <w:tc>
          <w:tcPr>
            <w:tcW w:w="835"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单项总额（单价乘以数量乘以次数）</w:t>
            </w:r>
          </w:p>
        </w:tc>
        <w:tc>
          <w:tcPr>
            <w:tcW w:w="609" w:type="pct"/>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b/>
                <w:bCs/>
                <w:szCs w:val="21"/>
              </w:rPr>
            </w:pPr>
          </w:p>
        </w:tc>
        <w:tc>
          <w:tcPr>
            <w:tcW w:w="598" w:type="pct"/>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b/>
                <w:bCs/>
                <w:color w:val="FF0000"/>
                <w:szCs w:val="21"/>
              </w:rPr>
            </w:pPr>
          </w:p>
        </w:tc>
      </w:tr>
      <w:tr>
        <w:tblPrEx>
          <w:tblCellMar>
            <w:top w:w="0" w:type="dxa"/>
            <w:left w:w="108" w:type="dxa"/>
            <w:bottom w:w="0" w:type="dxa"/>
            <w:right w:w="108" w:type="dxa"/>
          </w:tblCellMar>
        </w:tblPrEx>
        <w:trPr>
          <w:trHeight w:val="860" w:hRule="atLeast"/>
          <w:jc w:val="center"/>
        </w:trPr>
        <w:tc>
          <w:tcPr>
            <w:tcW w:w="399"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A</w:t>
            </w:r>
          </w:p>
        </w:tc>
        <w:tc>
          <w:tcPr>
            <w:tcW w:w="731"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龙华区教育系统安全隐患排查治理服务</w:t>
            </w:r>
          </w:p>
        </w:tc>
        <w:tc>
          <w:tcPr>
            <w:tcW w:w="508"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学校</w:t>
            </w:r>
          </w:p>
        </w:tc>
        <w:tc>
          <w:tcPr>
            <w:tcW w:w="387"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58</w:t>
            </w:r>
          </w:p>
        </w:tc>
        <w:tc>
          <w:tcPr>
            <w:tcW w:w="413"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2000</w:t>
            </w:r>
          </w:p>
        </w:tc>
        <w:tc>
          <w:tcPr>
            <w:tcW w:w="8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232000</w:t>
            </w:r>
          </w:p>
        </w:tc>
        <w:tc>
          <w:tcPr>
            <w:tcW w:w="609"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color w:val="000000"/>
                <w:kern w:val="0"/>
                <w:szCs w:val="21"/>
                <w:lang w:bidi="ar"/>
              </w:rPr>
              <w:t>484000</w:t>
            </w:r>
          </w:p>
        </w:tc>
        <w:tc>
          <w:tcPr>
            <w:tcW w:w="59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964000</w:t>
            </w:r>
          </w:p>
        </w:tc>
      </w:tr>
      <w:tr>
        <w:tblPrEx>
          <w:tblCellMar>
            <w:top w:w="0" w:type="dxa"/>
            <w:left w:w="108" w:type="dxa"/>
            <w:bottom w:w="0" w:type="dxa"/>
            <w:right w:w="108" w:type="dxa"/>
          </w:tblCellMar>
        </w:tblPrEx>
        <w:trPr>
          <w:trHeight w:val="540" w:hRule="atLeast"/>
          <w:jc w:val="center"/>
        </w:trPr>
        <w:tc>
          <w:tcPr>
            <w:tcW w:w="399" w:type="pct"/>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color w:val="000000"/>
                <w:szCs w:val="21"/>
              </w:rPr>
            </w:pPr>
          </w:p>
        </w:tc>
        <w:tc>
          <w:tcPr>
            <w:tcW w:w="731" w:type="pct"/>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color w:val="000000"/>
                <w:szCs w:val="21"/>
              </w:rPr>
            </w:pPr>
          </w:p>
        </w:tc>
        <w:tc>
          <w:tcPr>
            <w:tcW w:w="508"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幼儿园</w:t>
            </w:r>
          </w:p>
        </w:tc>
        <w:tc>
          <w:tcPr>
            <w:tcW w:w="387"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126</w:t>
            </w:r>
          </w:p>
        </w:tc>
        <w:tc>
          <w:tcPr>
            <w:tcW w:w="413"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1000</w:t>
            </w:r>
          </w:p>
        </w:tc>
        <w:tc>
          <w:tcPr>
            <w:tcW w:w="8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252000</w:t>
            </w:r>
          </w:p>
        </w:tc>
        <w:tc>
          <w:tcPr>
            <w:tcW w:w="609" w:type="pct"/>
            <w:vMerge w:val="continue"/>
            <w:tcBorders>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szCs w:val="21"/>
              </w:rPr>
            </w:pPr>
          </w:p>
        </w:tc>
        <w:tc>
          <w:tcPr>
            <w:tcW w:w="598" w:type="pct"/>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color w:val="000000"/>
                <w:szCs w:val="21"/>
              </w:rPr>
            </w:pPr>
          </w:p>
        </w:tc>
      </w:tr>
      <w:tr>
        <w:tblPrEx>
          <w:tblCellMar>
            <w:top w:w="0" w:type="dxa"/>
            <w:left w:w="108" w:type="dxa"/>
            <w:bottom w:w="0" w:type="dxa"/>
            <w:right w:w="108" w:type="dxa"/>
          </w:tblCellMar>
        </w:tblPrEx>
        <w:trPr>
          <w:trHeight w:val="858" w:hRule="atLeast"/>
          <w:jc w:val="center"/>
        </w:trPr>
        <w:tc>
          <w:tcPr>
            <w:tcW w:w="399" w:type="pct"/>
            <w:vMerge w:val="restart"/>
            <w:tcBorders>
              <w:top w:val="single" w:color="000000" w:sz="4" w:space="0"/>
              <w:left w:val="single" w:color="000000" w:sz="4" w:space="0"/>
              <w:right w:val="single" w:color="000000" w:sz="4" w:space="0"/>
            </w:tcBorders>
            <w:vAlign w:val="center"/>
          </w:tcPr>
          <w:p>
            <w:pPr>
              <w:spacing w:line="260" w:lineRule="exact"/>
              <w:jc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B</w:t>
            </w:r>
          </w:p>
        </w:tc>
        <w:tc>
          <w:tcPr>
            <w:tcW w:w="731" w:type="pct"/>
            <w:vMerge w:val="restart"/>
            <w:tcBorders>
              <w:top w:val="single" w:color="000000" w:sz="4" w:space="0"/>
              <w:left w:val="single" w:color="000000" w:sz="4" w:space="0"/>
              <w:right w:val="single" w:color="000000" w:sz="4" w:space="0"/>
            </w:tcBorders>
            <w:vAlign w:val="center"/>
          </w:tcPr>
          <w:p>
            <w:pPr>
              <w:spacing w:line="260" w:lineRule="exact"/>
              <w:jc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龙华区教育系统安全隐患排查治理服务</w:t>
            </w:r>
          </w:p>
        </w:tc>
        <w:tc>
          <w:tcPr>
            <w:tcW w:w="508"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学校</w:t>
            </w:r>
          </w:p>
        </w:tc>
        <w:tc>
          <w:tcPr>
            <w:tcW w:w="387"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57</w:t>
            </w:r>
          </w:p>
        </w:tc>
        <w:tc>
          <w:tcPr>
            <w:tcW w:w="413"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2000</w:t>
            </w:r>
          </w:p>
        </w:tc>
        <w:tc>
          <w:tcPr>
            <w:tcW w:w="8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228000</w:t>
            </w:r>
          </w:p>
        </w:tc>
        <w:tc>
          <w:tcPr>
            <w:tcW w:w="609"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Theme="minorEastAsia" w:hAnsiTheme="minorEastAsia" w:cstheme="minorEastAsia"/>
                <w:szCs w:val="21"/>
              </w:rPr>
            </w:pPr>
            <w:r>
              <w:rPr>
                <w:rFonts w:hint="eastAsia" w:asciiTheme="minorEastAsia" w:hAnsiTheme="minorEastAsia" w:cstheme="minorEastAsia"/>
                <w:color w:val="000000"/>
                <w:kern w:val="0"/>
                <w:szCs w:val="21"/>
                <w:lang w:bidi="ar"/>
              </w:rPr>
              <w:t>480000</w:t>
            </w:r>
          </w:p>
        </w:tc>
        <w:tc>
          <w:tcPr>
            <w:tcW w:w="598" w:type="pct"/>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color w:val="000000"/>
                <w:szCs w:val="21"/>
              </w:rPr>
            </w:pPr>
          </w:p>
        </w:tc>
      </w:tr>
      <w:tr>
        <w:tblPrEx>
          <w:tblCellMar>
            <w:top w:w="0" w:type="dxa"/>
            <w:left w:w="108" w:type="dxa"/>
            <w:bottom w:w="0" w:type="dxa"/>
            <w:right w:w="108" w:type="dxa"/>
          </w:tblCellMar>
        </w:tblPrEx>
        <w:trPr>
          <w:trHeight w:val="540" w:hRule="atLeast"/>
          <w:jc w:val="center"/>
        </w:trPr>
        <w:tc>
          <w:tcPr>
            <w:tcW w:w="399" w:type="pct"/>
            <w:vMerge w:val="continue"/>
            <w:tcBorders>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color w:val="000000"/>
                <w:szCs w:val="21"/>
              </w:rPr>
            </w:pPr>
          </w:p>
        </w:tc>
        <w:tc>
          <w:tcPr>
            <w:tcW w:w="731" w:type="pct"/>
            <w:vMerge w:val="continue"/>
            <w:tcBorders>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color w:val="000000"/>
                <w:szCs w:val="21"/>
              </w:rPr>
            </w:pPr>
          </w:p>
        </w:tc>
        <w:tc>
          <w:tcPr>
            <w:tcW w:w="508"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幼儿园</w:t>
            </w:r>
          </w:p>
        </w:tc>
        <w:tc>
          <w:tcPr>
            <w:tcW w:w="387"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126</w:t>
            </w:r>
          </w:p>
        </w:tc>
        <w:tc>
          <w:tcPr>
            <w:tcW w:w="413"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1000</w:t>
            </w:r>
          </w:p>
        </w:tc>
        <w:tc>
          <w:tcPr>
            <w:tcW w:w="8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252000</w:t>
            </w:r>
          </w:p>
        </w:tc>
        <w:tc>
          <w:tcPr>
            <w:tcW w:w="609" w:type="pct"/>
            <w:vMerge w:val="continue"/>
            <w:tcBorders>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b/>
                <w:bCs/>
                <w:color w:val="FF0000"/>
                <w:szCs w:val="21"/>
              </w:rPr>
            </w:pPr>
          </w:p>
        </w:tc>
        <w:tc>
          <w:tcPr>
            <w:tcW w:w="598" w:type="pct"/>
            <w:vMerge w:val="continue"/>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color w:val="000000"/>
                <w:szCs w:val="21"/>
              </w:rPr>
            </w:pPr>
          </w:p>
        </w:tc>
      </w:tr>
      <w:tr>
        <w:tblPrEx>
          <w:tblCellMar>
            <w:top w:w="0" w:type="dxa"/>
            <w:left w:w="108" w:type="dxa"/>
            <w:bottom w:w="0" w:type="dxa"/>
            <w:right w:w="108" w:type="dxa"/>
          </w:tblCellMar>
        </w:tblPrEx>
        <w:trPr>
          <w:trHeight w:val="540" w:hRule="atLeast"/>
          <w:jc w:val="center"/>
        </w:trPr>
        <w:tc>
          <w:tcPr>
            <w:tcW w:w="2956" w:type="pct"/>
            <w:gridSpan w:val="6"/>
            <w:tcBorders>
              <w:left w:val="single" w:color="000000" w:sz="4" w:space="0"/>
              <w:bottom w:val="single" w:color="000000" w:sz="4" w:space="0"/>
              <w:right w:val="single" w:color="000000" w:sz="4" w:space="0"/>
            </w:tcBorders>
            <w:vAlign w:val="center"/>
          </w:tcPr>
          <w:p>
            <w:pPr>
              <w:widowControl/>
              <w:spacing w:line="260" w:lineRule="exact"/>
              <w:jc w:val="center"/>
              <w:textAlignment w:val="top"/>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合计</w:t>
            </w:r>
          </w:p>
        </w:tc>
        <w:tc>
          <w:tcPr>
            <w:tcW w:w="8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Theme="minorEastAsia" w:hAnsiTheme="minorEastAsia" w:cstheme="minorEastAsia"/>
                <w:color w:val="000000"/>
                <w:kern w:val="0"/>
                <w:szCs w:val="21"/>
                <w:lang w:bidi="ar"/>
              </w:rPr>
            </w:pPr>
          </w:p>
        </w:tc>
        <w:tc>
          <w:tcPr>
            <w:tcW w:w="609" w:type="pct"/>
            <w:tcBorders>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cstheme="minorEastAsia"/>
                <w:b/>
                <w:bCs/>
                <w:color w:val="FF0000"/>
                <w:szCs w:val="21"/>
              </w:rPr>
            </w:pPr>
            <w:r>
              <w:rPr>
                <w:rFonts w:hint="eastAsia" w:asciiTheme="minorEastAsia" w:hAnsiTheme="minorEastAsia" w:cstheme="minorEastAsia"/>
                <w:color w:val="000000"/>
                <w:kern w:val="0"/>
                <w:szCs w:val="21"/>
                <w:lang w:bidi="ar"/>
              </w:rPr>
              <w:t>964000</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60" w:lineRule="exact"/>
              <w:jc w:val="center"/>
              <w:rPr>
                <w:rFonts w:hint="eastAsia" w:asciiTheme="minorEastAsia" w:hAnsiTheme="minorEastAsia" w:cstheme="minorEastAsia"/>
                <w:color w:val="000000"/>
                <w:szCs w:val="21"/>
              </w:rPr>
            </w:pPr>
          </w:p>
        </w:tc>
      </w:tr>
    </w:tbl>
    <w:p>
      <w:pPr>
        <w:spacing w:line="300" w:lineRule="exact"/>
        <w:ind w:firstLine="432" w:firstLineChars="200"/>
        <w:rPr>
          <w:rFonts w:hint="eastAsia" w:ascii="宋体" w:hAnsi="宋体" w:cs="宋体"/>
          <w:spacing w:val="8"/>
          <w:sz w:val="20"/>
          <w:szCs w:val="20"/>
        </w:rPr>
      </w:pPr>
    </w:p>
    <w:p>
      <w:pPr>
        <w:spacing w:line="300" w:lineRule="exact"/>
        <w:rPr>
          <w:b/>
          <w:bCs/>
          <w:color w:val="FF0000"/>
        </w:rPr>
      </w:pPr>
      <w:r>
        <w:rPr>
          <w:rFonts w:hint="eastAsia"/>
          <w:b/>
          <w:bCs/>
          <w:color w:val="FF0000"/>
        </w:rPr>
        <w:t>本次采购项目共确定2家中标供应商。定标办法如下：</w:t>
      </w:r>
    </w:p>
    <w:p>
      <w:pPr>
        <w:spacing w:line="300" w:lineRule="exact"/>
        <w:rPr>
          <w:b/>
          <w:bCs/>
          <w:color w:val="FF0000"/>
        </w:rPr>
      </w:pPr>
      <w:r>
        <w:rPr>
          <w:rFonts w:hint="eastAsia"/>
          <w:b/>
          <w:bCs/>
          <w:color w:val="FF0000"/>
        </w:rPr>
        <w:t>（1）当合格投标人少于N+2名（N为该包需确定的中标候选供应商或中标供应商数量），公开招标失败，政府集中采购机构将按《深圳经济特区政府采购条例》重新组织采购。</w:t>
      </w:r>
    </w:p>
    <w:p>
      <w:pPr>
        <w:spacing w:line="300" w:lineRule="exact"/>
        <w:rPr>
          <w:b/>
          <w:bCs/>
          <w:color w:val="FF0000"/>
        </w:rPr>
      </w:pPr>
      <w:r>
        <w:rPr>
          <w:rFonts w:hint="eastAsia"/>
          <w:b/>
          <w:bCs/>
          <w:color w:val="FF0000"/>
        </w:rPr>
        <w:t>（2）当合格投标人大于等于N+2名时，依据综合评分法，按综合得分从高到低进行排名。</w:t>
      </w:r>
    </w:p>
    <w:p>
      <w:pPr>
        <w:spacing w:line="300" w:lineRule="exact"/>
        <w:rPr>
          <w:b/>
          <w:bCs/>
          <w:color w:val="FF0000"/>
        </w:rPr>
      </w:pPr>
      <w:r>
        <w:rPr>
          <w:rFonts w:hint="eastAsia"/>
          <w:b/>
          <w:bCs/>
          <w:color w:val="FF0000"/>
        </w:rPr>
        <w:t>（3）综合排名第一为A标段中标供应商，综合排名第二为B标段中标供应商。</w:t>
      </w:r>
    </w:p>
    <w:p>
      <w:pPr>
        <w:keepNext/>
        <w:keepLines/>
        <w:tabs>
          <w:tab w:val="left" w:pos="1680"/>
        </w:tabs>
        <w:spacing w:before="260" w:afterLines="25"/>
        <w:jc w:val="both"/>
        <w:outlineLvl w:val="2"/>
        <w:rPr>
          <w:rFonts w:hint="eastAsia" w:ascii="Arial" w:hAnsi="Arial" w:eastAsia="宋体" w:cs="Times New Roman"/>
          <w:b/>
          <w:sz w:val="32"/>
          <w:szCs w:val="32"/>
        </w:rPr>
      </w:pPr>
      <w:r>
        <w:rPr>
          <w:rFonts w:hint="eastAsia" w:ascii="Arial" w:hAnsi="Arial" w:eastAsia="宋体" w:cs="Times New Roman"/>
          <w:b/>
          <w:sz w:val="32"/>
          <w:szCs w:val="32"/>
        </w:rPr>
        <w:t>三、实质性条款</w:t>
      </w:r>
    </w:p>
    <w:tbl>
      <w:tblPr>
        <w:tblStyle w:val="21"/>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8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r>
              <w:rPr>
                <w:rFonts w:hint="eastAsia"/>
              </w:rPr>
              <w:t>序号</w:t>
            </w:r>
          </w:p>
        </w:tc>
        <w:tc>
          <w:tcPr>
            <w:tcW w:w="8159" w:type="dxa"/>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jc w:val="center"/>
            </w:pPr>
            <w:r>
              <w:rPr>
                <w:rFonts w:hint="eastAsia"/>
              </w:rPr>
              <w:t>1</w:t>
            </w:r>
          </w:p>
        </w:tc>
        <w:tc>
          <w:tcPr>
            <w:tcW w:w="8159" w:type="dxa"/>
          </w:tcPr>
          <w:p>
            <w:pPr>
              <w:jc w:val="center"/>
            </w:pPr>
            <w:r>
              <w:rPr>
                <w:rFonts w:hint="eastAsia" w:ascii="宋体" w:hAnsi="宋体" w:cs="宋体"/>
                <w:b/>
              </w:rPr>
              <w:t>本项目第三章用户需求书全部内容</w:t>
            </w:r>
            <w:r>
              <w:rPr>
                <w:rFonts w:hint="eastAsia" w:ascii="宋体" w:hAnsi="宋体" w:cs="宋体"/>
                <w:b/>
                <w:lang w:eastAsia="zh-CN"/>
              </w:rPr>
              <w:t>（</w:t>
            </w:r>
            <w:r>
              <w:rPr>
                <w:rFonts w:hint="eastAsia" w:ascii="宋体" w:hAnsi="宋体" w:cs="宋体"/>
                <w:b/>
                <w:lang w:val="en-US" w:eastAsia="zh-CN"/>
              </w:rPr>
              <w:t>不包含：</w:t>
            </w:r>
            <w:r>
              <w:rPr>
                <w:rFonts w:hint="eastAsia" w:ascii="宋体" w:hAnsi="宋体" w:cs="宋体"/>
                <w:b/>
                <w:lang w:eastAsia="zh-CN"/>
              </w:rPr>
              <w:t>项目人员需求</w:t>
            </w:r>
            <w:r>
              <w:rPr>
                <w:rFonts w:hint="eastAsia" w:ascii="宋体" w:hAnsi="宋体" w:cs="宋体"/>
                <w:b/>
                <w:lang w:val="en-US" w:eastAsia="zh-CN"/>
              </w:rPr>
              <w:t>中的</w:t>
            </w:r>
            <w:r>
              <w:rPr>
                <w:rFonts w:hint="eastAsia" w:ascii="宋体" w:hAnsi="宋体" w:eastAsia="宋体" w:cs="宋体"/>
                <w:color w:val="000000" w:themeColor="text1"/>
                <w:szCs w:val="21"/>
                <w14:textFill>
                  <w14:solidFill>
                    <w14:schemeClr w14:val="tx1"/>
                  </w14:solidFill>
                </w14:textFill>
              </w:rPr>
              <w:t>人员可偏离条件</w:t>
            </w:r>
            <w:r>
              <w:rPr>
                <w:rFonts w:hint="eastAsia" w:ascii="宋体" w:hAnsi="宋体" w:cs="宋体"/>
                <w:b/>
                <w:lang w:eastAsia="zh-CN"/>
              </w:rPr>
              <w:t>）</w:t>
            </w:r>
          </w:p>
        </w:tc>
      </w:tr>
      <w:bookmarkEnd w:id="17"/>
    </w:tbl>
    <w:p>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keepNext/>
        <w:keepLines/>
        <w:tabs>
          <w:tab w:val="left" w:pos="1680"/>
        </w:tabs>
        <w:spacing w:before="260" w:after="60" w:afterLines="25" w:line="540" w:lineRule="exact"/>
        <w:outlineLvl w:val="2"/>
        <w:rPr>
          <w:rFonts w:ascii="Arial" w:hAnsi="Arial" w:eastAsia="宋体" w:cs="Times New Roman"/>
          <w:b/>
          <w:sz w:val="32"/>
          <w:szCs w:val="32"/>
        </w:rPr>
      </w:pPr>
      <w:r>
        <w:rPr>
          <w:rFonts w:hint="eastAsia" w:ascii="Arial" w:hAnsi="Arial" w:eastAsia="宋体" w:cs="Times New Roman"/>
          <w:b/>
          <w:sz w:val="32"/>
          <w:szCs w:val="32"/>
        </w:rPr>
        <w:t>四、服务需求内容表述</w:t>
      </w:r>
    </w:p>
    <w:p>
      <w:pPr>
        <w:spacing w:line="540" w:lineRule="exact"/>
        <w:rPr>
          <w:rFonts w:hint="eastAsia" w:asciiTheme="minorEastAsia" w:hAnsiTheme="minorEastAsia" w:cstheme="minorEastAsia"/>
          <w:b/>
          <w:bCs/>
          <w:szCs w:val="21"/>
        </w:rPr>
      </w:pPr>
      <w:r>
        <w:rPr>
          <w:rFonts w:hint="eastAsia" w:asciiTheme="minorEastAsia" w:hAnsiTheme="minorEastAsia" w:cstheme="minorEastAsia"/>
          <w:b/>
          <w:bCs/>
          <w:szCs w:val="21"/>
        </w:rPr>
        <w:t>（一）项目概况</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为提高我区校园安全管理水平，提升校园安全风险隐患排查能力，切实履行教育行政部门监管职责，压实学校安全管理主体责任，我局拟采购2家具备相应资质的专业安全技术服务供应商，对龙华区辖区内的367所办学单位（学校115所，幼儿园252所，具体以实际数为准）开展校园安全隐患排查治理服务工作。</w:t>
      </w:r>
    </w:p>
    <w:p>
      <w:pPr>
        <w:spacing w:line="540" w:lineRule="exact"/>
        <w:rPr>
          <w:rFonts w:hint="eastAsia" w:asciiTheme="minorEastAsia" w:hAnsiTheme="minorEastAsia" w:cstheme="minorEastAsia"/>
          <w:b/>
          <w:bCs/>
          <w:szCs w:val="21"/>
        </w:rPr>
      </w:pPr>
      <w:r>
        <w:rPr>
          <w:rFonts w:hint="eastAsia" w:asciiTheme="minorEastAsia" w:hAnsiTheme="minorEastAsia" w:cstheme="minorEastAsia"/>
          <w:b/>
          <w:bCs/>
          <w:szCs w:val="21"/>
        </w:rPr>
        <w:t>（二）项目工作目标及服务内容</w:t>
      </w:r>
    </w:p>
    <w:p>
      <w:pPr>
        <w:adjustRightInd w:val="0"/>
        <w:snapToGrid w:val="0"/>
        <w:spacing w:line="560" w:lineRule="exact"/>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1.工作目标</w:t>
      </w:r>
    </w:p>
    <w:p>
      <w:pPr>
        <w:pStyle w:val="8"/>
        <w:spacing w:before="60" w:beforeLines="25" w:after="60" w:afterLines="25" w:line="540" w:lineRule="exact"/>
        <w:rPr>
          <w:rFonts w:hint="eastAsia" w:asciiTheme="minorEastAsia" w:hAnsiTheme="minorEastAsia" w:cstheme="minorEastAsia"/>
          <w:szCs w:val="21"/>
        </w:rPr>
      </w:pPr>
      <w:r>
        <w:rPr>
          <w:rFonts w:hint="eastAsia" w:asciiTheme="minorEastAsia" w:hAnsiTheme="minorEastAsia" w:cstheme="minorEastAsia"/>
          <w:szCs w:val="21"/>
        </w:rPr>
        <w:t>准确把握校园安全管理的特点和规律，坚持问题意识、问题导向、目标导向，逐步夯实隐患排查整改闭环管理的校园安全工作基础，增强安全隐患排查整改能力，为持续稳定提升我区校园安全管理水平提供支撑和保障。</w:t>
      </w:r>
    </w:p>
    <w:p>
      <w:pPr>
        <w:adjustRightInd w:val="0"/>
        <w:snapToGrid w:val="0"/>
        <w:spacing w:line="560" w:lineRule="exact"/>
        <w:ind w:firstLine="422" w:firstLineChars="200"/>
        <w:rPr>
          <w:rFonts w:hint="eastAsia" w:asciiTheme="minorEastAsia" w:hAnsiTheme="minorEastAsia" w:cstheme="minorEastAsia"/>
          <w:b/>
          <w:bCs/>
          <w:szCs w:val="21"/>
        </w:rPr>
      </w:pPr>
      <w:r>
        <w:rPr>
          <w:rFonts w:hint="eastAsia" w:asciiTheme="minorEastAsia" w:hAnsiTheme="minorEastAsia" w:cstheme="minorEastAsia"/>
          <w:b/>
          <w:bCs/>
          <w:szCs w:val="21"/>
        </w:rPr>
        <w:t>2.服务内容</w:t>
      </w:r>
    </w:p>
    <w:p>
      <w:pPr>
        <w:pStyle w:val="13"/>
        <w:adjustRightInd w:val="0"/>
        <w:snapToGrid w:val="0"/>
        <w:spacing w:line="560" w:lineRule="exact"/>
        <w:ind w:left="640" w:firstLine="0"/>
        <w:rPr>
          <w:rFonts w:hint="eastAsia" w:asciiTheme="minorEastAsia" w:hAnsiTheme="minorEastAsia" w:cstheme="minorEastAsia"/>
          <w:sz w:val="21"/>
          <w:szCs w:val="21"/>
        </w:rPr>
      </w:pPr>
      <w:r>
        <w:rPr>
          <w:rFonts w:hint="eastAsia" w:asciiTheme="minorEastAsia" w:hAnsiTheme="minorEastAsia" w:cstheme="minorEastAsia"/>
          <w:sz w:val="21"/>
          <w:szCs w:val="21"/>
        </w:rPr>
        <w:t>（1）制定工作方案</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供应商中标后，在10个工作日内选派熟悉学校安全特点的专家成立项目组，制定安全隐患排查工作方案，明确职责分工，工作目标、工作内容、工作成果及工作进度等。</w:t>
      </w:r>
    </w:p>
    <w:p>
      <w:pPr>
        <w:pStyle w:val="13"/>
        <w:adjustRightInd w:val="0"/>
        <w:snapToGrid w:val="0"/>
        <w:spacing w:line="560" w:lineRule="exact"/>
        <w:ind w:left="0" w:firstLine="640"/>
        <w:rPr>
          <w:rFonts w:hint="eastAsia" w:asciiTheme="minorEastAsia" w:hAnsiTheme="minorEastAsia" w:cstheme="minorEastAsia"/>
          <w:sz w:val="21"/>
          <w:szCs w:val="21"/>
        </w:rPr>
      </w:pPr>
      <w:r>
        <w:rPr>
          <w:rFonts w:hint="eastAsia" w:asciiTheme="minorEastAsia" w:hAnsiTheme="minorEastAsia" w:cstheme="minorEastAsia"/>
          <w:sz w:val="21"/>
          <w:szCs w:val="21"/>
        </w:rPr>
        <w:t>（2）协助修订、完善校园安全检查表。</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依据国家、省市安全相关文件，《深圳市学校安全管理条例》、《中小学校、幼儿园消防安全十项规定》、《教育系统重大事故隐患判定指南》等要求，修订、完善龙华区教育系统校园安全检查表，包括消防安全、校舍安全、食品安全、实验室与危化品安全、校车交通、电气安全、治安反恐、卫生防疫、宿舍安全、燃气安全、运动安全、电动车安全、有限空间安全、特种设备安全、防灾减灾、应急管理、校园安全风险分级管控和隐患排查治理（一图三清单）等，形成《龙华区教育系统学校安全隐患检查表》和《龙华区教育系统幼儿园安全隐患检查表》。</w:t>
      </w:r>
    </w:p>
    <w:p>
      <w:pPr>
        <w:adjustRightInd w:val="0"/>
        <w:snapToGrid w:val="0"/>
        <w:spacing w:line="5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（3）协助修订、完善年度安全工作考核细则</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依据龙华区教育局2025年安全工作考核细则，修订《</w:t>
      </w:r>
      <w:r>
        <w:rPr>
          <w:rFonts w:asciiTheme="minorEastAsia" w:hAnsiTheme="minorEastAsia" w:cstheme="minorEastAsia"/>
          <w:bCs w:val="0"/>
          <w:szCs w:val="21"/>
        </w:rPr>
        <w:t>深圳市龙华区</w:t>
      </w:r>
      <w:r>
        <w:rPr>
          <w:rFonts w:hint="eastAsia" w:asciiTheme="minorEastAsia" w:hAnsiTheme="minorEastAsia" w:cstheme="minorEastAsia"/>
          <w:bCs w:val="0"/>
          <w:szCs w:val="21"/>
        </w:rPr>
        <w:t>中小学2025-</w:t>
      </w:r>
      <w:r>
        <w:rPr>
          <w:rFonts w:asciiTheme="minorEastAsia" w:hAnsiTheme="minorEastAsia" w:cstheme="minorEastAsia"/>
          <w:bCs w:val="0"/>
          <w:szCs w:val="21"/>
        </w:rPr>
        <w:t>202</w:t>
      </w:r>
      <w:r>
        <w:rPr>
          <w:rFonts w:hint="eastAsia" w:asciiTheme="minorEastAsia" w:hAnsiTheme="minorEastAsia" w:cstheme="minorEastAsia"/>
          <w:bCs w:val="0"/>
          <w:szCs w:val="21"/>
        </w:rPr>
        <w:t>6年度</w:t>
      </w:r>
      <w:r>
        <w:rPr>
          <w:rFonts w:asciiTheme="minorEastAsia" w:hAnsiTheme="minorEastAsia" w:cstheme="minorEastAsia"/>
          <w:bCs w:val="0"/>
          <w:szCs w:val="21"/>
        </w:rPr>
        <w:t>安全工作考核细则</w:t>
      </w:r>
      <w:r>
        <w:rPr>
          <w:rFonts w:hint="eastAsia" w:asciiTheme="minorEastAsia" w:hAnsiTheme="minorEastAsia" w:cstheme="minorEastAsia"/>
          <w:bCs w:val="0"/>
          <w:szCs w:val="21"/>
        </w:rPr>
        <w:t>》和《</w:t>
      </w:r>
      <w:r>
        <w:rPr>
          <w:rFonts w:asciiTheme="minorEastAsia" w:hAnsiTheme="minorEastAsia" w:cstheme="minorEastAsia"/>
          <w:bCs w:val="0"/>
          <w:szCs w:val="21"/>
        </w:rPr>
        <w:t>深圳市龙华区幼儿园</w:t>
      </w:r>
      <w:r>
        <w:rPr>
          <w:rFonts w:hint="eastAsia" w:asciiTheme="minorEastAsia" w:hAnsiTheme="minorEastAsia" w:cstheme="minorEastAsia"/>
          <w:bCs w:val="0"/>
          <w:szCs w:val="21"/>
        </w:rPr>
        <w:t>2025-</w:t>
      </w:r>
      <w:r>
        <w:rPr>
          <w:rFonts w:asciiTheme="minorEastAsia" w:hAnsiTheme="minorEastAsia" w:cstheme="minorEastAsia"/>
          <w:bCs w:val="0"/>
          <w:szCs w:val="21"/>
        </w:rPr>
        <w:t>202</w:t>
      </w:r>
      <w:r>
        <w:rPr>
          <w:rFonts w:hint="eastAsia" w:asciiTheme="minorEastAsia" w:hAnsiTheme="minorEastAsia" w:cstheme="minorEastAsia"/>
          <w:bCs w:val="0"/>
          <w:szCs w:val="21"/>
        </w:rPr>
        <w:t>6</w:t>
      </w:r>
      <w:r>
        <w:rPr>
          <w:rFonts w:asciiTheme="minorEastAsia" w:hAnsiTheme="minorEastAsia" w:cstheme="minorEastAsia"/>
          <w:bCs w:val="0"/>
          <w:szCs w:val="21"/>
        </w:rPr>
        <w:t>年</w:t>
      </w:r>
      <w:r>
        <w:rPr>
          <w:rFonts w:hint="eastAsia" w:asciiTheme="minorEastAsia" w:hAnsiTheme="minorEastAsia" w:cstheme="minorEastAsia"/>
          <w:bCs w:val="0"/>
          <w:szCs w:val="21"/>
        </w:rPr>
        <w:t>度</w:t>
      </w:r>
      <w:r>
        <w:rPr>
          <w:rFonts w:asciiTheme="minorEastAsia" w:hAnsiTheme="minorEastAsia" w:cstheme="minorEastAsia"/>
          <w:bCs w:val="0"/>
          <w:szCs w:val="21"/>
        </w:rPr>
        <w:t>安全工作考核细则</w:t>
      </w:r>
      <w:r>
        <w:rPr>
          <w:rFonts w:hint="eastAsia" w:asciiTheme="minorEastAsia" w:hAnsiTheme="minorEastAsia" w:cstheme="minorEastAsia"/>
          <w:bCs w:val="0"/>
          <w:szCs w:val="21"/>
        </w:rPr>
        <w:t>》。</w:t>
      </w:r>
    </w:p>
    <w:p>
      <w:pPr>
        <w:pStyle w:val="13"/>
        <w:adjustRightInd w:val="0"/>
        <w:snapToGrid w:val="0"/>
        <w:spacing w:line="560" w:lineRule="exact"/>
        <w:ind w:left="0" w:firstLine="640"/>
        <w:rPr>
          <w:rFonts w:hint="eastAsia" w:asciiTheme="minorEastAsia" w:hAnsiTheme="minorEastAsia" w:cstheme="minorEastAsia"/>
          <w:sz w:val="21"/>
          <w:szCs w:val="21"/>
        </w:rPr>
      </w:pPr>
      <w:r>
        <w:rPr>
          <w:rFonts w:hint="eastAsia" w:asciiTheme="minorEastAsia" w:hAnsiTheme="minorEastAsia" w:cstheme="minorEastAsia"/>
          <w:sz w:val="21"/>
          <w:szCs w:val="21"/>
        </w:rPr>
        <w:t>（4）协助开展校园安全隐患排查治理。</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1）第一学期，中标的两家供应商依据《龙华区教育系统学校安全隐患检查表》和《龙华区教育系统幼儿园安全隐患检查表》对龙华区所有中小学和幼儿园（含职校）进行全面安全隐患排查一次。</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2）第二学期，中标的两家供应商依据《</w:t>
      </w:r>
      <w:r>
        <w:rPr>
          <w:rFonts w:asciiTheme="minorEastAsia" w:hAnsiTheme="minorEastAsia" w:cstheme="minorEastAsia"/>
          <w:bCs w:val="0"/>
          <w:szCs w:val="21"/>
        </w:rPr>
        <w:t>深圳市龙华区</w:t>
      </w:r>
      <w:r>
        <w:rPr>
          <w:rFonts w:hint="eastAsia" w:asciiTheme="minorEastAsia" w:hAnsiTheme="minorEastAsia" w:cstheme="minorEastAsia"/>
          <w:bCs w:val="0"/>
          <w:szCs w:val="21"/>
        </w:rPr>
        <w:t>中小学2025-</w:t>
      </w:r>
      <w:r>
        <w:rPr>
          <w:rFonts w:asciiTheme="minorEastAsia" w:hAnsiTheme="minorEastAsia" w:cstheme="minorEastAsia"/>
          <w:bCs w:val="0"/>
          <w:szCs w:val="21"/>
        </w:rPr>
        <w:t>202</w:t>
      </w:r>
      <w:r>
        <w:rPr>
          <w:rFonts w:hint="eastAsia" w:asciiTheme="minorEastAsia" w:hAnsiTheme="minorEastAsia" w:cstheme="minorEastAsia"/>
          <w:bCs w:val="0"/>
          <w:szCs w:val="21"/>
        </w:rPr>
        <w:t>6年度</w:t>
      </w:r>
      <w:r>
        <w:rPr>
          <w:rFonts w:asciiTheme="minorEastAsia" w:hAnsiTheme="minorEastAsia" w:cstheme="minorEastAsia"/>
          <w:bCs w:val="0"/>
          <w:szCs w:val="21"/>
        </w:rPr>
        <w:t>安全工作考核细则</w:t>
      </w:r>
      <w:r>
        <w:rPr>
          <w:rFonts w:hint="eastAsia" w:asciiTheme="minorEastAsia" w:hAnsiTheme="minorEastAsia" w:cstheme="minorEastAsia"/>
          <w:bCs w:val="0"/>
          <w:szCs w:val="21"/>
        </w:rPr>
        <w:t>》和《</w:t>
      </w:r>
      <w:r>
        <w:rPr>
          <w:rFonts w:asciiTheme="minorEastAsia" w:hAnsiTheme="minorEastAsia" w:cstheme="minorEastAsia"/>
          <w:bCs w:val="0"/>
          <w:szCs w:val="21"/>
        </w:rPr>
        <w:t>深圳市龙华区幼儿园</w:t>
      </w:r>
      <w:r>
        <w:rPr>
          <w:rFonts w:hint="eastAsia" w:asciiTheme="minorEastAsia" w:hAnsiTheme="minorEastAsia" w:cstheme="minorEastAsia"/>
          <w:bCs w:val="0"/>
          <w:szCs w:val="21"/>
        </w:rPr>
        <w:t>2025-</w:t>
      </w:r>
      <w:r>
        <w:rPr>
          <w:rFonts w:asciiTheme="minorEastAsia" w:hAnsiTheme="minorEastAsia" w:cstheme="minorEastAsia"/>
          <w:bCs w:val="0"/>
          <w:szCs w:val="21"/>
        </w:rPr>
        <w:t>202</w:t>
      </w:r>
      <w:r>
        <w:rPr>
          <w:rFonts w:hint="eastAsia" w:asciiTheme="minorEastAsia" w:hAnsiTheme="minorEastAsia" w:cstheme="minorEastAsia"/>
          <w:bCs w:val="0"/>
          <w:szCs w:val="21"/>
        </w:rPr>
        <w:t>6</w:t>
      </w:r>
      <w:r>
        <w:rPr>
          <w:rFonts w:asciiTheme="minorEastAsia" w:hAnsiTheme="minorEastAsia" w:cstheme="minorEastAsia"/>
          <w:bCs w:val="0"/>
          <w:szCs w:val="21"/>
        </w:rPr>
        <w:t>年</w:t>
      </w:r>
      <w:r>
        <w:rPr>
          <w:rFonts w:hint="eastAsia" w:asciiTheme="minorEastAsia" w:hAnsiTheme="minorEastAsia" w:cstheme="minorEastAsia"/>
          <w:bCs w:val="0"/>
          <w:szCs w:val="21"/>
        </w:rPr>
        <w:t>度</w:t>
      </w:r>
      <w:r>
        <w:rPr>
          <w:rFonts w:asciiTheme="minorEastAsia" w:hAnsiTheme="minorEastAsia" w:cstheme="minorEastAsia"/>
          <w:bCs w:val="0"/>
          <w:szCs w:val="21"/>
        </w:rPr>
        <w:t>安全工作考核细则</w:t>
      </w:r>
      <w:r>
        <w:rPr>
          <w:rFonts w:hint="eastAsia" w:asciiTheme="minorEastAsia" w:hAnsiTheme="minorEastAsia" w:cstheme="minorEastAsia"/>
          <w:bCs w:val="0"/>
          <w:szCs w:val="21"/>
        </w:rPr>
        <w:t>》对龙华区所有中小学和幼儿园进行年度安全工作考核一次。</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3）检查当日，检查组应将所查学校（幼儿园）形成校园安全隐患排查表，电子档提交龙华区教育局，由龙华区教育局利用腾讯文档在线收集学校隐患的整改照片。检查组在现场检查出隐患问题时，须向学校安全管理人员讲解隐患情况、提出科学的整改措施，并按照固定格式出具“一校一报”。</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4）每周出具周报或月报。对每周或当月的检查进度、隐患数量、隐患类别、隐患分级情况进行总结，上报教育局，及时掌握项目动态。</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5）统计、分析、总结。现场隐患排查工作完成后，汇总学校检查资料，梳理出各校园共性问题、专门问题和重大问题，分析产生的原因，提出整改建议及管理措施。两家中标供应商分别出具龙华区教育系统安全隐患排查报告，每学期由两家供应商出具安全隐患排查汇总报告。</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（5）协助完成临时性校园安全专项检查项目。</w:t>
      </w:r>
    </w:p>
    <w:p>
      <w:pPr>
        <w:pStyle w:val="8"/>
        <w:spacing w:before="60" w:beforeLines="25" w:after="60" w:afterLines="25" w:line="540" w:lineRule="exact"/>
        <w:rPr>
          <w:rFonts w:hint="eastAsia" w:asciiTheme="minorEastAsia" w:hAnsiTheme="minorEastAsia" w:cstheme="minorEastAsia"/>
          <w:szCs w:val="21"/>
        </w:rPr>
      </w:pPr>
      <w:r>
        <w:rPr>
          <w:rFonts w:hint="eastAsia" w:asciiTheme="minorEastAsia" w:hAnsiTheme="minorEastAsia" w:cstheme="minorEastAsia"/>
          <w:szCs w:val="21"/>
        </w:rPr>
        <w:t>根据实际情况，协助完成临时性安全检查任务。</w:t>
      </w:r>
    </w:p>
    <w:p>
      <w:pPr>
        <w:spacing w:line="540" w:lineRule="exact"/>
        <w:rPr>
          <w:rFonts w:hint="eastAsia" w:asciiTheme="minorEastAsia" w:hAnsiTheme="minorEastAsia" w:cstheme="minorEastAsia"/>
          <w:b/>
          <w:bCs/>
          <w:szCs w:val="21"/>
        </w:rPr>
      </w:pPr>
      <w:r>
        <w:rPr>
          <w:rFonts w:hint="eastAsia" w:asciiTheme="minorEastAsia" w:hAnsiTheme="minorEastAsia" w:cstheme="minorEastAsia"/>
          <w:b/>
          <w:bCs/>
          <w:szCs w:val="21"/>
        </w:rPr>
        <w:t>（三）</w:t>
      </w:r>
      <w:r>
        <w:rPr>
          <w:rFonts w:hint="eastAsia" w:asciiTheme="minorEastAsia" w:hAnsiTheme="minorEastAsia" w:cstheme="minorEastAsia"/>
          <w:b/>
          <w:bCs/>
          <w:szCs w:val="21"/>
          <w:lang w:val="zh-CN"/>
        </w:rPr>
        <w:t>服务</w:t>
      </w:r>
      <w:r>
        <w:rPr>
          <w:rFonts w:hint="eastAsia" w:asciiTheme="minorEastAsia" w:hAnsiTheme="minorEastAsia" w:cstheme="minorEastAsia"/>
          <w:b/>
          <w:bCs/>
          <w:szCs w:val="21"/>
        </w:rPr>
        <w:t>要求</w:t>
      </w:r>
    </w:p>
    <w:p>
      <w:pPr>
        <w:adjustRightInd w:val="0"/>
        <w:snapToGrid w:val="0"/>
        <w:spacing w:line="5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1.本项目服务团队</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中标供应商必须以项目负责人为核心，负责整个项目的实施方案、服务进度、服务质量，项目负责人随时陪同教育局到校园开展校园安全检查工作。</w:t>
      </w:r>
    </w:p>
    <w:p>
      <w:r>
        <w:rPr>
          <w:rFonts w:hint="eastAsia" w:asciiTheme="minorEastAsia" w:hAnsiTheme="minorEastAsia" w:cstheme="minorEastAsia"/>
          <w:szCs w:val="21"/>
        </w:rPr>
        <w:t>2. 项目人员需求</w:t>
      </w:r>
    </w:p>
    <w:tbl>
      <w:tblPr>
        <w:tblStyle w:val="21"/>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327"/>
        <w:gridCol w:w="1026"/>
        <w:gridCol w:w="3044"/>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4" w:type="dxa"/>
            <w:vAlign w:val="center"/>
          </w:tcPr>
          <w:p>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1327" w:type="dxa"/>
            <w:vAlign w:val="center"/>
          </w:tcPr>
          <w:p>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人员类别</w:t>
            </w:r>
          </w:p>
        </w:tc>
        <w:tc>
          <w:tcPr>
            <w:tcW w:w="1026" w:type="dxa"/>
            <w:vAlign w:val="center"/>
          </w:tcPr>
          <w:p>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数量</w:t>
            </w:r>
          </w:p>
        </w:tc>
        <w:tc>
          <w:tcPr>
            <w:tcW w:w="3044" w:type="dxa"/>
            <w:vAlign w:val="center"/>
          </w:tcPr>
          <w:p>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人员必须具备条件</w:t>
            </w:r>
          </w:p>
        </w:tc>
        <w:tc>
          <w:tcPr>
            <w:tcW w:w="2547" w:type="dxa"/>
            <w:vAlign w:val="center"/>
          </w:tcPr>
          <w:p>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人员可偏离条件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574" w:type="dxa"/>
            <w:vAlign w:val="center"/>
          </w:tcPr>
          <w:p>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327" w:type="dxa"/>
            <w:vAlign w:val="center"/>
          </w:tcPr>
          <w:p>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项目负责人</w:t>
            </w:r>
          </w:p>
        </w:tc>
        <w:tc>
          <w:tcPr>
            <w:tcW w:w="1026" w:type="dxa"/>
            <w:vAlign w:val="center"/>
          </w:tcPr>
          <w:p>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3044" w:type="dxa"/>
            <w:shd w:val="clear" w:color="auto" w:fill="auto"/>
            <w:vAlign w:val="center"/>
          </w:tcPr>
          <w:p>
            <w:pPr>
              <w:pStyle w:val="8"/>
              <w:numPr>
                <w:ilvl w:val="0"/>
                <w:numId w:val="2"/>
              </w:numPr>
              <w:shd w:val="clear" w:color="auto" w:fill="FFFFFF"/>
              <w:tabs>
                <w:tab w:val="left" w:pos="426"/>
              </w:tabs>
              <w:adjustRightInd w:val="0"/>
              <w:snapToGrid w:val="0"/>
              <w:ind w:firstLine="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自有员工；</w:t>
            </w:r>
          </w:p>
          <w:p>
            <w:pPr>
              <w:pStyle w:val="8"/>
              <w:numPr>
                <w:ilvl w:val="0"/>
                <w:numId w:val="2"/>
              </w:numPr>
              <w:shd w:val="clear" w:color="auto" w:fill="FFFFFF"/>
              <w:tabs>
                <w:tab w:val="left" w:pos="426"/>
              </w:tabs>
              <w:adjustRightInd w:val="0"/>
              <w:snapToGrid w:val="0"/>
              <w:ind w:firstLine="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具有注册安全工程师职业资格证书【注册单位必须为投标人单位，投标人须提供人员证书扫描件，原件备查】</w:t>
            </w:r>
          </w:p>
        </w:tc>
        <w:tc>
          <w:tcPr>
            <w:tcW w:w="2547" w:type="dxa"/>
            <w:shd w:val="clear" w:color="auto" w:fill="auto"/>
            <w:vAlign w:val="center"/>
          </w:tcPr>
          <w:p>
            <w:pPr>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（1）具有本科及以上学历；</w:t>
            </w:r>
          </w:p>
          <w:p>
            <w:pPr>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（2）具有人力资源和社会保障部门</w:t>
            </w:r>
            <w:r>
              <w:rPr>
                <w:rFonts w:hint="eastAsia" w:ascii="宋体" w:hAnsi="宋体" w:eastAsia="宋体"/>
                <w:color w:val="000000" w:themeColor="text1"/>
                <w:szCs w:val="21"/>
                <w:shd w:val="clear" w:color="auto"/>
                <w14:textFill>
                  <w14:solidFill>
                    <w14:schemeClr w14:val="tx1"/>
                  </w14:solidFill>
                </w14:textFill>
              </w:rPr>
              <w:t>或</w:t>
            </w:r>
            <w:r>
              <w:rPr>
                <w:rFonts w:hint="eastAsia" w:asciiTheme="minorEastAsia" w:hAnsiTheme="minorEastAsia" w:cstheme="minorEastAsia"/>
                <w:szCs w:val="21"/>
                <w:shd w:val="clear" w:color="auto"/>
              </w:rPr>
              <w:t>原国家安全生产监督管理总局</w:t>
            </w:r>
            <w:r>
              <w:rPr>
                <w:rFonts w:hint="eastAsia" w:ascii="宋体" w:hAnsi="宋体" w:eastAsia="宋体"/>
                <w:color w:val="000000" w:themeColor="text1"/>
                <w:szCs w:val="21"/>
                <w14:textFill>
                  <w14:solidFill>
                    <w14:schemeClr w14:val="tx1"/>
                  </w14:solidFill>
                </w14:textFill>
              </w:rPr>
              <w:t>颁发的安全工程专业高级工程师职称</w:t>
            </w:r>
            <w:r>
              <w:rPr>
                <w:rFonts w:hint="eastAsia" w:ascii="宋体" w:hAnsi="宋体" w:eastAsia="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574" w:type="dxa"/>
            <w:vAlign w:val="center"/>
          </w:tcPr>
          <w:p>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327" w:type="dxa"/>
            <w:vAlign w:val="center"/>
          </w:tcPr>
          <w:p>
            <w:pPr>
              <w:jc w:val="cente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项目质量</w:t>
            </w:r>
            <w:r>
              <w:rPr>
                <w:rFonts w:hint="eastAsia" w:ascii="宋体" w:hAnsi="宋体" w:eastAsia="宋体" w:cs="宋体"/>
                <w:bCs/>
                <w:color w:val="000000" w:themeColor="text1"/>
                <w:szCs w:val="21"/>
                <w14:textFill>
                  <w14:solidFill>
                    <w14:schemeClr w14:val="tx1"/>
                  </w14:solidFill>
                </w14:textFill>
              </w:rPr>
              <w:t>负责人</w:t>
            </w:r>
          </w:p>
        </w:tc>
        <w:tc>
          <w:tcPr>
            <w:tcW w:w="1026" w:type="dxa"/>
            <w:vAlign w:val="center"/>
          </w:tcPr>
          <w:p>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3044" w:type="dxa"/>
            <w:shd w:val="clear" w:color="auto" w:fill="auto"/>
            <w:vAlign w:val="center"/>
          </w:tcPr>
          <w:p>
            <w:pPr>
              <w:pStyle w:val="8"/>
              <w:ind w:firstLine="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1、自有员工；</w:t>
            </w:r>
          </w:p>
          <w:p>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w:t>
            </w:r>
            <w:r>
              <w:rPr>
                <w:rFonts w:hint="eastAsia" w:ascii="宋体" w:hAnsi="宋体" w:eastAsia="宋体"/>
                <w:bCs/>
                <w:color w:val="000000" w:themeColor="text1"/>
                <w:szCs w:val="21"/>
                <w14:textFill>
                  <w14:solidFill>
                    <w14:schemeClr w14:val="tx1"/>
                  </w14:solidFill>
                </w14:textFill>
              </w:rPr>
              <w:t>具有注册安全工程师职业资格证书</w:t>
            </w:r>
            <w:r>
              <w:rPr>
                <w:rFonts w:hint="eastAsia" w:ascii="宋体" w:hAnsi="宋体" w:eastAsia="宋体" w:cs="宋体"/>
                <w:bCs/>
                <w:color w:val="000000" w:themeColor="text1"/>
                <w:szCs w:val="21"/>
                <w14:textFill>
                  <w14:solidFill>
                    <w14:schemeClr w14:val="tx1"/>
                  </w14:solidFill>
                </w14:textFill>
              </w:rPr>
              <w:t>【投标人须提供人员证书扫描件，原件备查】</w:t>
            </w:r>
          </w:p>
          <w:p>
            <w:pPr>
              <w:rPr>
                <w:rFonts w:hint="eastAsia" w:ascii="宋体" w:hAnsi="宋体" w:eastAsia="宋体"/>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3、具有一级注册消防工程师职业资格证书</w:t>
            </w:r>
            <w:r>
              <w:rPr>
                <w:rFonts w:hint="eastAsia" w:ascii="宋体" w:hAnsi="宋体" w:eastAsia="宋体" w:cs="宋体"/>
                <w:bCs/>
                <w:color w:val="000000" w:themeColor="text1"/>
                <w:szCs w:val="21"/>
                <w:shd w:val="clear" w:color="auto"/>
                <w14:textFill>
                  <w14:solidFill>
                    <w14:schemeClr w14:val="tx1"/>
                  </w14:solidFill>
                </w14:textFill>
              </w:rPr>
              <w:t>【投标人须提供人员证书扫描件，原件备查】</w:t>
            </w:r>
            <w:r>
              <w:rPr>
                <w:rFonts w:hint="eastAsia" w:ascii="宋体" w:hAnsi="宋体" w:eastAsia="宋体"/>
                <w:bCs/>
                <w:color w:val="000000" w:themeColor="text1"/>
                <w:szCs w:val="21"/>
                <w14:textFill>
                  <w14:solidFill>
                    <w14:schemeClr w14:val="tx1"/>
                  </w14:solidFill>
                </w14:textFill>
              </w:rPr>
              <w:t>。</w:t>
            </w:r>
          </w:p>
        </w:tc>
        <w:tc>
          <w:tcPr>
            <w:tcW w:w="2547" w:type="dxa"/>
            <w:shd w:val="clear" w:color="auto" w:fill="auto"/>
            <w:vAlign w:val="center"/>
          </w:tcPr>
          <w:p>
            <w:pPr>
              <w:jc w:val="left"/>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具有安全工程本科及以上学历</w:t>
            </w:r>
            <w:r>
              <w:rPr>
                <w:rFonts w:hint="eastAsia" w:ascii="宋体" w:hAnsi="宋体"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9" w:hRule="atLeast"/>
        </w:trPr>
        <w:tc>
          <w:tcPr>
            <w:tcW w:w="574" w:type="dxa"/>
            <w:vAlign w:val="center"/>
          </w:tcPr>
          <w:p>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327" w:type="dxa"/>
            <w:vAlign w:val="center"/>
          </w:tcPr>
          <w:p>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项目团队</w:t>
            </w:r>
          </w:p>
        </w:tc>
        <w:tc>
          <w:tcPr>
            <w:tcW w:w="1026" w:type="dxa"/>
            <w:vAlign w:val="center"/>
          </w:tcPr>
          <w:p>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w:t>
            </w:r>
          </w:p>
        </w:tc>
        <w:tc>
          <w:tcPr>
            <w:tcW w:w="3044" w:type="dxa"/>
            <w:shd w:val="clear" w:color="auto" w:fill="auto"/>
            <w:vAlign w:val="center"/>
          </w:tcPr>
          <w:p>
            <w:pPr>
              <w:pStyle w:val="11"/>
              <w:spacing w:line="240" w:lineRule="auto"/>
              <w:rPr>
                <w:rFonts w:hint="eastAsia" w:ascii="宋体" w:hAnsi="宋体" w:eastAsia="宋体"/>
                <w:b w:val="0"/>
                <w:color w:val="000000" w:themeColor="text1"/>
                <w:kern w:val="0"/>
                <w:sz w:val="21"/>
                <w:szCs w:val="21"/>
                <w14:textFill>
                  <w14:solidFill>
                    <w14:schemeClr w14:val="tx1"/>
                  </w14:solidFill>
                </w14:textFill>
              </w:rPr>
            </w:pPr>
            <w:r>
              <w:rPr>
                <w:rFonts w:hint="eastAsia" w:ascii="宋体" w:hAnsi="宋体" w:eastAsia="宋体" w:cs="宋体"/>
                <w:b w:val="0"/>
                <w:color w:val="000000" w:themeColor="text1"/>
                <w:kern w:val="0"/>
                <w:sz w:val="21"/>
                <w:szCs w:val="21"/>
                <w14:textFill>
                  <w14:solidFill>
                    <w14:schemeClr w14:val="tx1"/>
                  </w14:solidFill>
                </w14:textFill>
              </w:rPr>
              <w:t>1、自有员工</w:t>
            </w:r>
            <w:r>
              <w:rPr>
                <w:rFonts w:hint="eastAsia" w:ascii="宋体" w:hAnsi="宋体" w:eastAsia="宋体" w:cs="宋体"/>
                <w:b w:val="0"/>
                <w:color w:val="000000" w:themeColor="text1"/>
                <w:kern w:val="0"/>
                <w:sz w:val="21"/>
                <w:szCs w:val="21"/>
                <w:shd w:val="clear" w:color="auto"/>
                <w14:textFill>
                  <w14:solidFill>
                    <w14:schemeClr w14:val="tx1"/>
                  </w14:solidFill>
                </w14:textFill>
              </w:rPr>
              <w:t>（已退休返聘人员不超过2人）；</w:t>
            </w:r>
          </w:p>
          <w:p>
            <w:pPr>
              <w:pStyle w:val="11"/>
              <w:spacing w:line="240" w:lineRule="auto"/>
              <w:rPr>
                <w:rFonts w:hint="eastAsia" w:ascii="宋体" w:hAnsi="宋体" w:eastAsia="宋体"/>
                <w:b w:val="0"/>
                <w:color w:val="000000" w:themeColor="text1"/>
                <w:sz w:val="21"/>
                <w:szCs w:val="21"/>
                <w14:textFill>
                  <w14:solidFill>
                    <w14:schemeClr w14:val="tx1"/>
                  </w14:solidFill>
                </w14:textFill>
              </w:rPr>
            </w:pPr>
            <w:r>
              <w:rPr>
                <w:rFonts w:hint="eastAsia" w:ascii="宋体" w:hAnsi="宋体" w:eastAsia="宋体" w:cs="宋体"/>
                <w:b w:val="0"/>
                <w:color w:val="000000" w:themeColor="text1"/>
                <w:kern w:val="0"/>
                <w:sz w:val="21"/>
                <w:szCs w:val="21"/>
                <w14:textFill>
                  <w14:solidFill>
                    <w14:schemeClr w14:val="tx1"/>
                  </w14:solidFill>
                </w14:textFill>
              </w:rPr>
              <w:t>2、至少</w:t>
            </w:r>
            <w:r>
              <w:rPr>
                <w:rFonts w:hint="eastAsia" w:ascii="宋体" w:hAnsi="宋体" w:eastAsia="宋体"/>
                <w:b w:val="0"/>
                <w:color w:val="000000" w:themeColor="text1"/>
                <w:kern w:val="0"/>
                <w:sz w:val="21"/>
                <w:szCs w:val="21"/>
                <w14:textFill>
                  <w14:solidFill>
                    <w14:schemeClr w14:val="tx1"/>
                  </w14:solidFill>
                </w14:textFill>
              </w:rPr>
              <w:t>1</w:t>
            </w:r>
            <w:r>
              <w:rPr>
                <w:rFonts w:hint="eastAsia" w:ascii="宋体" w:hAnsi="宋体" w:eastAsia="宋体" w:cs="宋体"/>
                <w:b w:val="0"/>
                <w:color w:val="000000" w:themeColor="text1"/>
                <w:kern w:val="0"/>
                <w:sz w:val="21"/>
                <w:szCs w:val="21"/>
                <w14:textFill>
                  <w14:solidFill>
                    <w14:schemeClr w14:val="tx1"/>
                  </w14:solidFill>
                </w14:textFill>
              </w:rPr>
              <w:t>人</w:t>
            </w:r>
            <w:r>
              <w:rPr>
                <w:rFonts w:hint="eastAsia" w:ascii="宋体" w:hAnsi="宋体" w:eastAsia="宋体" w:cs="宋体"/>
                <w:b w:val="0"/>
                <w:color w:val="000000" w:themeColor="text1"/>
                <w:sz w:val="21"/>
                <w:szCs w:val="21"/>
                <w14:textFill>
                  <w14:solidFill>
                    <w14:schemeClr w14:val="tx1"/>
                  </w14:solidFill>
                </w14:textFill>
              </w:rPr>
              <w:t>具有注册安全工程师职业资格证书【注册单位必须为投标人单位，投标人须提供人员证书扫描件，原件备查】</w:t>
            </w:r>
          </w:p>
          <w:p>
            <w:pPr>
              <w:pStyle w:val="11"/>
              <w:spacing w:line="240" w:lineRule="auto"/>
              <w:rPr>
                <w:rFonts w:hint="eastAsia" w:ascii="宋体" w:hAnsi="宋体" w:eastAsia="宋体"/>
                <w:b w:val="0"/>
                <w:color w:val="000000" w:themeColor="text1"/>
                <w:sz w:val="21"/>
                <w:szCs w:val="21"/>
                <w14:textFill>
                  <w14:solidFill>
                    <w14:schemeClr w14:val="tx1"/>
                  </w14:solidFill>
                </w14:textFill>
              </w:rPr>
            </w:pPr>
            <w:r>
              <w:rPr>
                <w:rFonts w:hint="eastAsia" w:ascii="宋体" w:hAnsi="宋体" w:eastAsia="宋体"/>
                <w:b w:val="0"/>
                <w:color w:val="000000" w:themeColor="text1"/>
                <w:sz w:val="21"/>
                <w:szCs w:val="21"/>
                <w14:textFill>
                  <w14:solidFill>
                    <w14:schemeClr w14:val="tx1"/>
                  </w14:solidFill>
                </w14:textFill>
              </w:rPr>
              <w:t>3、至少1人同时具有注册安全工程师职业资格证书和一级消防工程师职业资格证书【注册安全工程师注册单位必须为投标人单位，投标人须提供人员</w:t>
            </w:r>
            <w:r>
              <w:rPr>
                <w:rFonts w:hint="eastAsia" w:ascii="宋体" w:hAnsi="宋体" w:eastAsia="宋体"/>
                <w:b w:val="0"/>
                <w:color w:val="000000" w:themeColor="text1"/>
                <w:sz w:val="21"/>
                <w:szCs w:val="21"/>
                <w:shd w:val="clear" w:color="auto"/>
                <w14:textFill>
                  <w14:solidFill>
                    <w14:schemeClr w14:val="tx1"/>
                  </w14:solidFill>
                </w14:textFill>
              </w:rPr>
              <w:t>相关</w:t>
            </w:r>
            <w:r>
              <w:rPr>
                <w:rFonts w:hint="eastAsia" w:ascii="宋体" w:hAnsi="宋体" w:eastAsia="宋体"/>
                <w:b w:val="0"/>
                <w:color w:val="000000" w:themeColor="text1"/>
                <w:sz w:val="21"/>
                <w:szCs w:val="21"/>
                <w14:textFill>
                  <w14:solidFill>
                    <w14:schemeClr w14:val="tx1"/>
                  </w14:solidFill>
                </w14:textFill>
              </w:rPr>
              <w:t>证书扫描件，原件备查】</w:t>
            </w:r>
          </w:p>
          <w:p>
            <w:pPr>
              <w:pStyle w:val="11"/>
              <w:spacing w:line="240" w:lineRule="auto"/>
              <w:rPr>
                <w:rFonts w:hint="eastAsia" w:ascii="宋体" w:hAnsi="宋体" w:eastAsia="宋体"/>
                <w:szCs w:val="21"/>
              </w:rPr>
            </w:pPr>
            <w:r>
              <w:rPr>
                <w:rFonts w:hint="eastAsia" w:ascii="宋体" w:hAnsi="宋体" w:eastAsia="宋体"/>
                <w:b w:val="0"/>
                <w:color w:val="000000" w:themeColor="text1"/>
                <w:sz w:val="21"/>
                <w:szCs w:val="21"/>
                <w14:textFill>
                  <w14:solidFill>
                    <w14:schemeClr w14:val="tx1"/>
                  </w14:solidFill>
                </w14:textFill>
              </w:rPr>
              <w:t>4、至少1人同时具有注册安全工程师职业资格证书和一级安全评价师证书【投标人须提供人员</w:t>
            </w:r>
            <w:r>
              <w:rPr>
                <w:rFonts w:hint="eastAsia" w:ascii="宋体" w:hAnsi="宋体" w:eastAsia="宋体"/>
                <w:b w:val="0"/>
                <w:color w:val="000000" w:themeColor="text1"/>
                <w:sz w:val="21"/>
                <w:szCs w:val="21"/>
                <w:shd w:val="clear" w:color="auto"/>
                <w14:textFill>
                  <w14:solidFill>
                    <w14:schemeClr w14:val="tx1"/>
                  </w14:solidFill>
                </w14:textFill>
              </w:rPr>
              <w:t>相关</w:t>
            </w:r>
            <w:r>
              <w:rPr>
                <w:rFonts w:hint="eastAsia" w:ascii="宋体" w:hAnsi="宋体" w:eastAsia="宋体"/>
                <w:b w:val="0"/>
                <w:color w:val="000000" w:themeColor="text1"/>
                <w:sz w:val="21"/>
                <w:szCs w:val="21"/>
                <w14:textFill>
                  <w14:solidFill>
                    <w14:schemeClr w14:val="tx1"/>
                  </w14:solidFill>
                </w14:textFill>
              </w:rPr>
              <w:t>证书扫描件，原件备查】</w:t>
            </w:r>
          </w:p>
        </w:tc>
        <w:tc>
          <w:tcPr>
            <w:tcW w:w="2547" w:type="dxa"/>
            <w:shd w:val="clear" w:color="auto" w:fill="auto"/>
            <w:vAlign w:val="center"/>
          </w:tcPr>
          <w:p>
            <w:pPr>
              <w:jc w:val="left"/>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olor w:val="000000" w:themeColor="text1"/>
                <w:szCs w:val="21"/>
                <w14:textFill>
                  <w14:solidFill>
                    <w14:schemeClr w14:val="tx1"/>
                  </w14:solidFill>
                </w14:textFill>
              </w:rPr>
              <w:t>具有专科及以上学历</w:t>
            </w:r>
            <w:r>
              <w:rPr>
                <w:rFonts w:hint="eastAsia" w:ascii="宋体" w:hAnsi="宋体" w:eastAsia="宋体" w:cs="宋体"/>
                <w:color w:val="000000" w:themeColor="text1"/>
                <w:szCs w:val="21"/>
                <w14:textFill>
                  <w14:solidFill>
                    <w14:schemeClr w14:val="tx1"/>
                  </w14:solidFill>
                </w14:textFill>
              </w:rPr>
              <w:t>；</w:t>
            </w:r>
          </w:p>
          <w:p>
            <w:pPr>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具有</w:t>
            </w:r>
            <w:r>
              <w:rPr>
                <w:rFonts w:hint="eastAsia" w:ascii="宋体" w:hAnsi="宋体" w:eastAsia="宋体"/>
                <w:color w:val="000000" w:themeColor="text1"/>
                <w:szCs w:val="21"/>
                <w:shd w:val="clear" w:color="auto"/>
                <w14:textFill>
                  <w14:solidFill>
                    <w14:schemeClr w14:val="tx1"/>
                  </w14:solidFill>
                </w14:textFill>
              </w:rPr>
              <w:t>安全工</w:t>
            </w:r>
            <w:r>
              <w:rPr>
                <w:rFonts w:hint="eastAsia" w:ascii="宋体" w:hAnsi="宋体" w:eastAsia="宋体"/>
                <w:color w:val="000000" w:themeColor="text1"/>
                <w:szCs w:val="21"/>
                <w14:textFill>
                  <w14:solidFill>
                    <w14:schemeClr w14:val="tx1"/>
                  </w14:solidFill>
                </w14:textFill>
              </w:rPr>
              <w:t>程本科及以上学历，同时具有人力资源和社会保障部门</w:t>
            </w:r>
            <w:r>
              <w:rPr>
                <w:rFonts w:hint="eastAsia" w:ascii="宋体" w:hAnsi="宋体" w:eastAsia="宋体"/>
                <w:color w:val="000000" w:themeColor="text1"/>
                <w:szCs w:val="21"/>
                <w:shd w:val="clear" w:color="auto"/>
                <w14:textFill>
                  <w14:solidFill>
                    <w14:schemeClr w14:val="tx1"/>
                  </w14:solidFill>
                </w14:textFill>
              </w:rPr>
              <w:t>或</w:t>
            </w:r>
            <w:r>
              <w:rPr>
                <w:rFonts w:hint="eastAsia" w:asciiTheme="minorEastAsia" w:hAnsiTheme="minorEastAsia" w:cstheme="minorEastAsia"/>
                <w:szCs w:val="21"/>
                <w:shd w:val="clear" w:color="auto"/>
              </w:rPr>
              <w:t>省级职称改革领导小组办公室</w:t>
            </w:r>
            <w:r>
              <w:rPr>
                <w:rFonts w:hint="eastAsia" w:ascii="宋体" w:hAnsi="宋体" w:eastAsia="宋体"/>
                <w:color w:val="000000" w:themeColor="text1"/>
                <w:szCs w:val="21"/>
                <w:shd w:val="clear" w:color="auto"/>
                <w14:textFill>
                  <w14:solidFill>
                    <w14:schemeClr w14:val="tx1"/>
                  </w14:solidFill>
                </w14:textFill>
              </w:rPr>
              <w:t>颁发的高级工程师职</w:t>
            </w:r>
            <w:r>
              <w:rPr>
                <w:rFonts w:hint="eastAsia" w:ascii="宋体" w:hAnsi="宋体" w:eastAsia="宋体"/>
                <w:color w:val="000000" w:themeColor="text1"/>
                <w:szCs w:val="21"/>
                <w14:textFill>
                  <w14:solidFill>
                    <w14:schemeClr w14:val="tx1"/>
                  </w14:solidFill>
                </w14:textFill>
              </w:rPr>
              <w:t>称证书</w:t>
            </w:r>
            <w:r>
              <w:rPr>
                <w:rFonts w:hint="eastAsia" w:ascii="宋体" w:hAnsi="宋体" w:eastAsia="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01" w:type="dxa"/>
            <w:gridSpan w:val="2"/>
            <w:vAlign w:val="center"/>
          </w:tcPr>
          <w:p>
            <w:pPr>
              <w:jc w:val="center"/>
              <w:rPr>
                <w:rFonts w:hint="eastAsia" w:ascii="宋体" w:hAnsi="宋体" w:eastAsia="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总计</w:t>
            </w:r>
          </w:p>
        </w:tc>
        <w:tc>
          <w:tcPr>
            <w:tcW w:w="1026" w:type="dxa"/>
            <w:vAlign w:val="center"/>
          </w:tcPr>
          <w:p>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8</w:t>
            </w:r>
          </w:p>
        </w:tc>
        <w:tc>
          <w:tcPr>
            <w:tcW w:w="3044" w:type="dxa"/>
            <w:vAlign w:val="center"/>
          </w:tcPr>
          <w:p>
            <w:pPr>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b/>
                <w:bCs/>
                <w:color w:val="FF0000"/>
                <w:szCs w:val="21"/>
                <w:highlight w:val="yellow"/>
                <w:lang w:val="en-US" w:eastAsia="zh-CN"/>
              </w:rPr>
              <w:t>以上人员投标时提供以上证书，或提供中标后提供以上人员证书承诺函（格式自拟）</w:t>
            </w:r>
          </w:p>
        </w:tc>
        <w:tc>
          <w:tcPr>
            <w:tcW w:w="2547" w:type="dxa"/>
            <w:vAlign w:val="center"/>
          </w:tcPr>
          <w:p>
            <w:pPr>
              <w:jc w:val="center"/>
              <w:rPr>
                <w:rFonts w:hint="eastAsia" w:ascii="宋体" w:hAnsi="宋体" w:eastAsia="宋体"/>
                <w:bCs/>
                <w:color w:val="000000" w:themeColor="text1"/>
                <w:szCs w:val="21"/>
                <w14:textFill>
                  <w14:solidFill>
                    <w14:schemeClr w14:val="tx1"/>
                  </w14:solidFill>
                </w14:textFill>
              </w:rPr>
            </w:pPr>
          </w:p>
        </w:tc>
      </w:tr>
    </w:tbl>
    <w:p>
      <w:pPr>
        <w:spacing w:line="540" w:lineRule="exact"/>
        <w:rPr>
          <w:rFonts w:hint="eastAsia" w:asciiTheme="minorEastAsia" w:hAnsiTheme="minorEastAsia" w:cstheme="minorEastAsia"/>
          <w:b/>
          <w:bCs/>
          <w:szCs w:val="21"/>
        </w:rPr>
      </w:pPr>
      <w:r>
        <w:rPr>
          <w:rFonts w:hint="eastAsia" w:asciiTheme="minorEastAsia" w:hAnsiTheme="minorEastAsia" w:cstheme="minorEastAsia"/>
          <w:b/>
          <w:bCs/>
          <w:szCs w:val="21"/>
        </w:rPr>
        <w:t>（四）服务质量要求</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1.每学期隐患排查前制定工作方案，交区教育局安全管理科备案，安全管理科进行不定时抽查，抽查是否按时进场，以及服务质量情况等。</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2.每次服务工作人员不少于2人，其中至少一名为工程师（注册安全工程师或一级注册消防工程师等），保障服务时间，确保服务质量。</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3.每到一家学校，中标供应商的两名符合要求的服务人员和被服务单位至少一人同框在有被服务单位logo或者名称等拍照存档，确保每次到场。</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4.供应商一旦中标，禁止供应商和服务人员在服务过程中主动延伸或诱导产生其他安全服务类项目，一经发现或校园举报查证属实，按违约计。</w:t>
      </w:r>
    </w:p>
    <w:p>
      <w:pPr>
        <w:spacing w:line="540" w:lineRule="exact"/>
        <w:rPr>
          <w:rFonts w:hint="eastAsia" w:asciiTheme="minorEastAsia" w:hAnsiTheme="minorEastAsia" w:cstheme="minorEastAsia"/>
          <w:b/>
          <w:bCs/>
          <w:szCs w:val="21"/>
        </w:rPr>
      </w:pPr>
      <w:r>
        <w:rPr>
          <w:rFonts w:hint="eastAsia" w:asciiTheme="minorEastAsia" w:hAnsiTheme="minorEastAsia" w:cstheme="minorEastAsia"/>
          <w:b/>
          <w:bCs/>
          <w:szCs w:val="21"/>
        </w:rPr>
        <w:t>（五）服务时间</w:t>
      </w:r>
    </w:p>
    <w:p>
      <w:pPr>
        <w:adjustRightInd w:val="0"/>
        <w:snapToGrid w:val="0"/>
        <w:spacing w:line="5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1.每周一至周五，上午9:00-12:00，下午2:00-6:00；</w:t>
      </w:r>
    </w:p>
    <w:p>
      <w:pPr>
        <w:pStyle w:val="59"/>
        <w:adjustRightInd w:val="0"/>
        <w:snapToGrid w:val="0"/>
        <w:spacing w:line="560" w:lineRule="exact"/>
        <w:ind w:firstLine="420"/>
        <w:rPr>
          <w:rFonts w:hint="eastAsia" w:asciiTheme="minorEastAsia" w:hAnsiTheme="minorEastAsia" w:cstheme="minorEastAsia"/>
          <w:szCs w:val="21"/>
        </w:rPr>
      </w:pPr>
      <w:r>
        <w:rPr>
          <w:rFonts w:hint="eastAsia" w:asciiTheme="minorEastAsia" w:hAnsiTheme="minorEastAsia" w:cstheme="minorEastAsia"/>
          <w:szCs w:val="21"/>
        </w:rPr>
        <w:t>2.如遇特殊情况需进行特别保障的（周六，周日工作任务），中标方需无条件进行保障。</w:t>
      </w:r>
    </w:p>
    <w:p>
      <w:pPr>
        <w:spacing w:line="540" w:lineRule="exact"/>
        <w:rPr>
          <w:rFonts w:hint="eastAsia" w:asciiTheme="minorEastAsia" w:hAnsiTheme="minorEastAsia" w:cstheme="minorEastAsia"/>
          <w:b/>
          <w:bCs/>
          <w:szCs w:val="21"/>
        </w:rPr>
      </w:pPr>
      <w:r>
        <w:rPr>
          <w:rFonts w:hint="eastAsia" w:asciiTheme="minorEastAsia" w:hAnsiTheme="minorEastAsia" w:cstheme="minorEastAsia"/>
          <w:b/>
          <w:bCs/>
          <w:szCs w:val="21"/>
        </w:rPr>
        <w:t>（六）工作成果及验收</w:t>
      </w:r>
    </w:p>
    <w:p>
      <w:pPr>
        <w:adjustRightInd w:val="0"/>
        <w:snapToGrid w:val="0"/>
        <w:spacing w:line="5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1.工作成果</w:t>
      </w:r>
    </w:p>
    <w:p>
      <w:pPr>
        <w:widowControl/>
        <w:spacing w:line="560" w:lineRule="exact"/>
        <w:ind w:firstLine="420" w:firstLineChars="200"/>
        <w:jc w:val="left"/>
        <w:rPr>
          <w:rFonts w:hint="eastAsia" w:asciiTheme="minorEastAsia" w:hAnsiTheme="minorEastAsia" w:cstheme="minorEastAsia"/>
          <w:szCs w:val="21"/>
        </w:rPr>
      </w:pPr>
      <w:r>
        <w:rPr>
          <w:rFonts w:hint="eastAsia" w:asciiTheme="minorEastAsia" w:hAnsiTheme="minorEastAsia" w:cstheme="minorEastAsia"/>
          <w:szCs w:val="21"/>
        </w:rPr>
        <w:t>（1）《龙华区教育系统学校安全隐患检查表》。</w:t>
      </w:r>
    </w:p>
    <w:p>
      <w:pPr>
        <w:widowControl/>
        <w:spacing w:line="560" w:lineRule="exact"/>
        <w:ind w:firstLine="420" w:firstLineChars="200"/>
        <w:jc w:val="left"/>
        <w:rPr>
          <w:rFonts w:hint="eastAsia" w:asciiTheme="minorEastAsia" w:hAnsiTheme="minorEastAsia" w:cstheme="minorEastAsia"/>
          <w:szCs w:val="21"/>
        </w:rPr>
      </w:pPr>
      <w:r>
        <w:rPr>
          <w:rFonts w:hint="eastAsia" w:asciiTheme="minorEastAsia" w:hAnsiTheme="minorEastAsia" w:cstheme="minorEastAsia"/>
          <w:szCs w:val="21"/>
        </w:rPr>
        <w:t>（2）《龙华区教育系统幼儿园安全隐患检查表》。</w:t>
      </w:r>
    </w:p>
    <w:p>
      <w:pPr>
        <w:adjustRightInd w:val="0"/>
        <w:snapToGrid w:val="0"/>
        <w:spacing w:line="5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r>
        <w:rPr>
          <w:rFonts w:asciiTheme="minorEastAsia" w:hAnsiTheme="minorEastAsia" w:cstheme="minorEastAsia"/>
          <w:szCs w:val="21"/>
        </w:rPr>
        <w:t>深圳市龙华区</w:t>
      </w:r>
      <w:r>
        <w:rPr>
          <w:rFonts w:hint="eastAsia" w:asciiTheme="minorEastAsia" w:hAnsiTheme="minorEastAsia" w:cstheme="minorEastAsia"/>
          <w:szCs w:val="21"/>
        </w:rPr>
        <w:t>中小学2025-</w:t>
      </w:r>
      <w:r>
        <w:rPr>
          <w:rFonts w:asciiTheme="minorEastAsia" w:hAnsiTheme="minorEastAsia" w:cstheme="minorEastAsia"/>
          <w:szCs w:val="21"/>
        </w:rPr>
        <w:t>202</w:t>
      </w:r>
      <w:r>
        <w:rPr>
          <w:rFonts w:hint="eastAsia" w:asciiTheme="minorEastAsia" w:hAnsiTheme="minorEastAsia" w:cstheme="minorEastAsia"/>
          <w:szCs w:val="21"/>
        </w:rPr>
        <w:t>6年度</w:t>
      </w:r>
      <w:r>
        <w:rPr>
          <w:rFonts w:asciiTheme="minorEastAsia" w:hAnsiTheme="minorEastAsia" w:cstheme="minorEastAsia"/>
          <w:szCs w:val="21"/>
        </w:rPr>
        <w:t>安全工作考核细则</w:t>
      </w:r>
      <w:r>
        <w:rPr>
          <w:rFonts w:hint="eastAsia" w:asciiTheme="minorEastAsia" w:hAnsiTheme="minorEastAsia" w:cstheme="minorEastAsia"/>
          <w:szCs w:val="21"/>
        </w:rPr>
        <w:t>》。</w:t>
      </w:r>
    </w:p>
    <w:p>
      <w:pPr>
        <w:adjustRightInd w:val="0"/>
        <w:snapToGrid w:val="0"/>
        <w:spacing w:line="5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w:t>
      </w:r>
      <w:r>
        <w:rPr>
          <w:rFonts w:asciiTheme="minorEastAsia" w:hAnsiTheme="minorEastAsia" w:cstheme="minorEastAsia"/>
          <w:szCs w:val="21"/>
        </w:rPr>
        <w:t>深圳市龙华区幼儿园</w:t>
      </w:r>
      <w:r>
        <w:rPr>
          <w:rFonts w:hint="eastAsia" w:asciiTheme="minorEastAsia" w:hAnsiTheme="minorEastAsia" w:cstheme="minorEastAsia"/>
          <w:szCs w:val="21"/>
        </w:rPr>
        <w:t>2025-</w:t>
      </w:r>
      <w:r>
        <w:rPr>
          <w:rFonts w:asciiTheme="minorEastAsia" w:hAnsiTheme="minorEastAsia" w:cstheme="minorEastAsia"/>
          <w:szCs w:val="21"/>
        </w:rPr>
        <w:t>202</w:t>
      </w:r>
      <w:r>
        <w:rPr>
          <w:rFonts w:hint="eastAsia" w:asciiTheme="minorEastAsia" w:hAnsiTheme="minorEastAsia" w:cstheme="minorEastAsia"/>
          <w:szCs w:val="21"/>
        </w:rPr>
        <w:t>6</w:t>
      </w:r>
      <w:r>
        <w:rPr>
          <w:rFonts w:asciiTheme="minorEastAsia" w:hAnsiTheme="minorEastAsia" w:cstheme="minorEastAsia"/>
          <w:szCs w:val="21"/>
        </w:rPr>
        <w:t>年</w:t>
      </w:r>
      <w:r>
        <w:rPr>
          <w:rFonts w:hint="eastAsia" w:asciiTheme="minorEastAsia" w:hAnsiTheme="minorEastAsia" w:cstheme="minorEastAsia"/>
          <w:szCs w:val="21"/>
        </w:rPr>
        <w:t>度</w:t>
      </w:r>
      <w:r>
        <w:rPr>
          <w:rFonts w:asciiTheme="minorEastAsia" w:hAnsiTheme="minorEastAsia" w:cstheme="minorEastAsia"/>
          <w:szCs w:val="21"/>
        </w:rPr>
        <w:t>安全工作考核细则</w:t>
      </w:r>
      <w:r>
        <w:rPr>
          <w:rFonts w:hint="eastAsia" w:asciiTheme="minorEastAsia" w:hAnsiTheme="minorEastAsia" w:cstheme="minorEastAsia"/>
          <w:szCs w:val="21"/>
        </w:rPr>
        <w:t>》。</w:t>
      </w:r>
    </w:p>
    <w:p>
      <w:pPr>
        <w:adjustRightInd w:val="0"/>
        <w:snapToGrid w:val="0"/>
        <w:spacing w:line="5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（5）377所校园安全隐患排查表。</w:t>
      </w:r>
    </w:p>
    <w:p>
      <w:pPr>
        <w:adjustRightInd w:val="0"/>
        <w:snapToGrid w:val="0"/>
        <w:spacing w:line="5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（6）377所校园“一校一报”。</w:t>
      </w:r>
    </w:p>
    <w:p>
      <w:pPr>
        <w:adjustRightInd w:val="0"/>
        <w:snapToGrid w:val="0"/>
        <w:spacing w:line="5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（7）检查周报或月报。</w:t>
      </w:r>
    </w:p>
    <w:p>
      <w:pPr>
        <w:adjustRightInd w:val="0"/>
        <w:snapToGrid w:val="0"/>
        <w:spacing w:line="5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（8）每学期龙华区教育系统安全隐患排查报告和每学期安全隐患排查汇总报告。</w:t>
      </w:r>
    </w:p>
    <w:p>
      <w:pPr>
        <w:adjustRightInd w:val="0"/>
        <w:snapToGrid w:val="0"/>
        <w:spacing w:line="5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2.中标人在项目实施中和项目完成后，还须向采购人提交以上所有成果电子版。</w:t>
      </w:r>
    </w:p>
    <w:p>
      <w:pPr>
        <w:adjustRightInd w:val="0"/>
        <w:snapToGrid w:val="0"/>
        <w:spacing w:line="560" w:lineRule="exact"/>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3.采购人在收到中标人提交的资料、成果后，应当及时组织验收。验收不合格的，应当及时书面通知中标人补正，因补正而发生的费用，由中标人承担。</w:t>
      </w:r>
    </w:p>
    <w:p>
      <w:pPr>
        <w:spacing w:line="540" w:lineRule="exact"/>
        <w:rPr>
          <w:rFonts w:hint="eastAsia" w:asciiTheme="minorEastAsia" w:hAnsiTheme="minorEastAsia" w:cstheme="minorEastAsia"/>
          <w:b/>
          <w:bCs/>
          <w:szCs w:val="21"/>
        </w:rPr>
      </w:pPr>
      <w:r>
        <w:rPr>
          <w:rFonts w:hint="eastAsia" w:asciiTheme="minorEastAsia" w:hAnsiTheme="minorEastAsia" w:cstheme="minorEastAsia"/>
          <w:b/>
          <w:bCs/>
          <w:szCs w:val="21"/>
        </w:rPr>
        <w:t>（七）违约处置事项</w:t>
      </w:r>
    </w:p>
    <w:p>
      <w:pPr>
        <w:pStyle w:val="8"/>
        <w:spacing w:before="60" w:beforeLines="25" w:after="60" w:afterLines="25" w:line="540" w:lineRule="exact"/>
        <w:rPr>
          <w:rFonts w:hint="eastAsia" w:asciiTheme="minorEastAsia" w:hAnsiTheme="minorEastAsia" w:cstheme="minorEastAsia"/>
          <w:szCs w:val="21"/>
        </w:rPr>
      </w:pPr>
      <w:r>
        <w:rPr>
          <w:rFonts w:hint="eastAsia" w:asciiTheme="minorEastAsia" w:hAnsiTheme="minorEastAsia" w:cstheme="minorEastAsia"/>
          <w:szCs w:val="21"/>
        </w:rPr>
        <w:t>1. 乙方未按照要求提工程师和服务人员（其中组长必须具有注册安全工程师职业资 格）， 甲方有权终止提出异议并要求整改，若乙方拒不整改， 甲方有权终止合同。</w:t>
      </w:r>
    </w:p>
    <w:p>
      <w:pPr>
        <w:pStyle w:val="8"/>
        <w:spacing w:before="60" w:beforeLines="25" w:after="60" w:afterLines="25" w:line="540" w:lineRule="exact"/>
        <w:rPr>
          <w:rFonts w:hint="eastAsia" w:asciiTheme="minorEastAsia" w:hAnsiTheme="minorEastAsia" w:cstheme="minorEastAsia"/>
          <w:szCs w:val="21"/>
        </w:rPr>
      </w:pPr>
      <w:r>
        <w:rPr>
          <w:rFonts w:hint="eastAsia" w:asciiTheme="minorEastAsia" w:hAnsiTheme="minorEastAsia" w:cstheme="minorEastAsia"/>
          <w:szCs w:val="21"/>
        </w:rPr>
        <w:t>2.未按规定时间内完成任务或未在规定的时间内完成服务报告的，每日对中标供应 商处以千分之五的罚款。</w:t>
      </w:r>
    </w:p>
    <w:p>
      <w:pPr>
        <w:pStyle w:val="8"/>
        <w:spacing w:before="60" w:beforeLines="25" w:after="60" w:afterLines="25" w:line="540" w:lineRule="exact"/>
        <w:rPr>
          <w:rFonts w:hint="eastAsia" w:asciiTheme="minorEastAsia" w:hAnsiTheme="minorEastAsia" w:cstheme="minorEastAsia"/>
          <w:szCs w:val="21"/>
        </w:rPr>
      </w:pPr>
      <w:r>
        <w:rPr>
          <w:rFonts w:hint="eastAsia" w:asciiTheme="minorEastAsia" w:hAnsiTheme="minorEastAsia" w:cstheme="minorEastAsia"/>
          <w:szCs w:val="21"/>
        </w:rPr>
        <w:t>3.未在规定的时间内开展工作，每日对中标供应商处以千分之三的罚款。</w:t>
      </w:r>
    </w:p>
    <w:p>
      <w:pPr>
        <w:pStyle w:val="8"/>
        <w:spacing w:before="60" w:beforeLines="25" w:after="60" w:afterLines="25" w:line="540" w:lineRule="exact"/>
        <w:rPr>
          <w:rFonts w:hint="eastAsia" w:asciiTheme="minorEastAsia" w:hAnsiTheme="minorEastAsia" w:cstheme="minorEastAsia"/>
          <w:szCs w:val="21"/>
        </w:rPr>
      </w:pPr>
      <w:r>
        <w:rPr>
          <w:rFonts w:hint="eastAsia" w:asciiTheme="minorEastAsia" w:hAnsiTheme="minorEastAsia" w:cstheme="minorEastAsia"/>
          <w:szCs w:val="21"/>
        </w:rPr>
        <w:t>4.中标供应商未按照采购文件确定的事项签订政府采购合同的，处以采购金额百分</w:t>
      </w:r>
      <w:bookmarkStart w:id="88" w:name="_GoBack"/>
      <w:bookmarkEnd w:id="88"/>
      <w:r>
        <w:rPr>
          <w:rFonts w:hint="eastAsia" w:asciiTheme="minorEastAsia" w:hAnsiTheme="minorEastAsia" w:cstheme="minorEastAsia"/>
          <w:szCs w:val="21"/>
        </w:rPr>
        <w:t>之五以上百分之十以下的罚款。</w:t>
      </w:r>
    </w:p>
    <w:p>
      <w:pPr>
        <w:pStyle w:val="8"/>
        <w:spacing w:before="60" w:beforeLines="25" w:after="60" w:afterLines="25" w:line="540" w:lineRule="exact"/>
        <w:rPr>
          <w:rFonts w:hint="eastAsia" w:asciiTheme="minorEastAsia" w:hAnsiTheme="minorEastAsia" w:cstheme="minorEastAsia"/>
          <w:szCs w:val="21"/>
        </w:rPr>
      </w:pPr>
      <w:r>
        <w:rPr>
          <w:rFonts w:hint="eastAsia" w:asciiTheme="minorEastAsia" w:hAnsiTheme="minorEastAsia" w:cstheme="minorEastAsia"/>
          <w:szCs w:val="21"/>
        </w:rPr>
        <w:t>5.中标的供应商不得约定变更、中止或者终止合同。</w:t>
      </w:r>
    </w:p>
    <w:p>
      <w:pPr>
        <w:keepNext/>
        <w:keepLines/>
        <w:tabs>
          <w:tab w:val="left" w:pos="1680"/>
        </w:tabs>
        <w:spacing w:before="260" w:after="60" w:afterLines="25" w:line="540" w:lineRule="exact"/>
        <w:outlineLvl w:val="2"/>
        <w:rPr>
          <w:rFonts w:ascii="Arial" w:hAnsi="Arial" w:eastAsia="宋体" w:cs="Times New Roman"/>
          <w:b/>
          <w:sz w:val="32"/>
          <w:szCs w:val="32"/>
        </w:rPr>
      </w:pPr>
      <w:r>
        <w:rPr>
          <w:rFonts w:hint="eastAsia" w:ascii="Arial" w:hAnsi="Arial" w:eastAsia="宋体" w:cs="Times New Roman"/>
          <w:b/>
          <w:sz w:val="32"/>
          <w:szCs w:val="32"/>
        </w:rPr>
        <w:t>五、服务期限</w:t>
      </w:r>
    </w:p>
    <w:p>
      <w:pPr>
        <w:pStyle w:val="8"/>
        <w:spacing w:before="60" w:beforeLines="25" w:after="60" w:afterLines="25" w:line="540" w:lineRule="exact"/>
        <w:rPr>
          <w:rFonts w:hint="eastAsia" w:ascii="宋体" w:hAnsi="宋体"/>
          <w:szCs w:val="21"/>
        </w:rPr>
      </w:pPr>
      <w:r>
        <w:rPr>
          <w:rFonts w:hint="eastAsia" w:ascii="宋体" w:hAnsi="宋体"/>
          <w:szCs w:val="21"/>
        </w:rPr>
        <w:t>本项目服务期限为自合同签订之日至2026年6月30日止（因学校放暑假、学校暑期工程施工等特殊情况甲方需要乙方延时的，双方可协商延长服务期限）。</w:t>
      </w:r>
    </w:p>
    <w:p>
      <w:pPr>
        <w:keepNext/>
        <w:keepLines/>
        <w:tabs>
          <w:tab w:val="left" w:pos="1680"/>
        </w:tabs>
        <w:spacing w:before="260" w:after="60" w:afterLines="25" w:line="540" w:lineRule="exact"/>
        <w:outlineLvl w:val="2"/>
        <w:rPr>
          <w:rFonts w:ascii="Arial" w:hAnsi="Arial" w:eastAsia="宋体" w:cs="Times New Roman"/>
          <w:b/>
          <w:sz w:val="32"/>
          <w:szCs w:val="32"/>
        </w:rPr>
      </w:pPr>
      <w:r>
        <w:rPr>
          <w:rFonts w:hint="eastAsia" w:ascii="Arial" w:hAnsi="Arial" w:eastAsia="宋体" w:cs="Times New Roman"/>
          <w:b/>
          <w:sz w:val="32"/>
          <w:szCs w:val="32"/>
        </w:rPr>
        <w:t>六、付款方式</w:t>
      </w:r>
    </w:p>
    <w:p>
      <w:pPr>
        <w:pStyle w:val="8"/>
        <w:spacing w:before="60" w:beforeLines="25" w:after="60" w:afterLines="25" w:line="540" w:lineRule="exact"/>
        <w:rPr>
          <w:rFonts w:hint="eastAsia" w:ascii="宋体" w:hAnsi="宋体"/>
          <w:szCs w:val="21"/>
        </w:rPr>
      </w:pPr>
      <w:r>
        <w:rPr>
          <w:rFonts w:hint="eastAsia" w:ascii="宋体" w:hAnsi="宋体"/>
          <w:szCs w:val="21"/>
        </w:rPr>
        <w:t>1.合同签订后</w:t>
      </w:r>
      <w:r>
        <w:rPr>
          <w:rFonts w:hint="eastAsia" w:ascii="宋体" w:hAnsi="宋体"/>
          <w:szCs w:val="21"/>
          <w:u w:val="single"/>
        </w:rPr>
        <w:t xml:space="preserve"> 30 </w:t>
      </w:r>
      <w:r>
        <w:rPr>
          <w:rFonts w:hint="eastAsia" w:ascii="宋体" w:hAnsi="宋体"/>
          <w:szCs w:val="21"/>
        </w:rPr>
        <w:t>个工作日内，采购人向中标供应商支付合同总价</w:t>
      </w:r>
      <w:r>
        <w:rPr>
          <w:rFonts w:hint="eastAsia" w:ascii="宋体" w:hAnsi="宋体"/>
          <w:color w:val="FF0000"/>
          <w:szCs w:val="21"/>
        </w:rPr>
        <w:t>【50】%</w:t>
      </w:r>
      <w:r>
        <w:rPr>
          <w:rFonts w:hint="eastAsia" w:ascii="宋体" w:hAnsi="宋体"/>
          <w:szCs w:val="21"/>
        </w:rPr>
        <w:t>的款项；</w:t>
      </w:r>
    </w:p>
    <w:p>
      <w:pPr>
        <w:pStyle w:val="8"/>
        <w:spacing w:before="60" w:beforeLines="25" w:after="60" w:afterLines="25" w:line="540" w:lineRule="exact"/>
        <w:rPr>
          <w:rFonts w:hint="eastAsia" w:ascii="宋体" w:hAnsi="宋体"/>
          <w:szCs w:val="21"/>
        </w:rPr>
      </w:pPr>
      <w:r>
        <w:rPr>
          <w:rFonts w:hint="eastAsia" w:ascii="宋体" w:hAnsi="宋体"/>
          <w:szCs w:val="21"/>
        </w:rPr>
        <w:t>2.全部服务经采购人验收合格后</w:t>
      </w:r>
      <w:r>
        <w:rPr>
          <w:rFonts w:hint="eastAsia" w:ascii="宋体" w:hAnsi="宋体"/>
          <w:szCs w:val="21"/>
          <w:u w:val="single"/>
        </w:rPr>
        <w:t xml:space="preserve"> 30 </w:t>
      </w:r>
      <w:r>
        <w:rPr>
          <w:rFonts w:hint="eastAsia" w:ascii="宋体" w:hAnsi="宋体"/>
          <w:szCs w:val="21"/>
        </w:rPr>
        <w:t>个工作日内，采购人向中标供应商支付合同总价【50】%的款项；</w:t>
      </w:r>
    </w:p>
    <w:p>
      <w:pPr>
        <w:pStyle w:val="8"/>
        <w:spacing w:before="60" w:beforeLines="25" w:after="60" w:afterLines="25" w:line="540" w:lineRule="exact"/>
        <w:rPr>
          <w:rFonts w:hint="eastAsia" w:asciiTheme="minorEastAsia" w:hAnsiTheme="minorEastAsia" w:cstheme="minorEastAsia"/>
          <w:sz w:val="24"/>
          <w:szCs w:val="24"/>
        </w:rPr>
      </w:pPr>
      <w:r>
        <w:rPr>
          <w:rFonts w:hint="eastAsia" w:ascii="宋体" w:hAnsi="宋体"/>
          <w:szCs w:val="21"/>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keepNext/>
        <w:keepLines/>
        <w:tabs>
          <w:tab w:val="left" w:pos="1680"/>
        </w:tabs>
        <w:spacing w:before="260" w:after="60" w:afterLines="25" w:line="540" w:lineRule="exact"/>
        <w:outlineLvl w:val="2"/>
        <w:rPr>
          <w:rFonts w:ascii="Arial" w:hAnsi="Arial" w:eastAsia="宋体" w:cs="Times New Roman"/>
          <w:b/>
          <w:sz w:val="32"/>
          <w:szCs w:val="32"/>
        </w:rPr>
      </w:pPr>
      <w:r>
        <w:rPr>
          <w:rFonts w:hint="eastAsia" w:ascii="Arial" w:hAnsi="Arial" w:eastAsia="宋体" w:cs="Times New Roman"/>
          <w:b/>
          <w:sz w:val="32"/>
          <w:szCs w:val="32"/>
        </w:rPr>
        <w:t>七、其他重要条款</w:t>
      </w:r>
    </w:p>
    <w:p>
      <w:pPr>
        <w:spacing w:line="540" w:lineRule="exact"/>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8"/>
        <w:spacing w:before="60" w:beforeLines="25" w:after="60" w:afterLines="25" w:line="540" w:lineRule="exact"/>
        <w:ind w:firstLine="392" w:firstLineChars="187"/>
        <w:rPr>
          <w:rFonts w:hint="eastAsia"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spacing w:line="540" w:lineRule="exact"/>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540" w:lineRule="exact"/>
        <w:ind w:firstLine="420" w:firstLineChars="200"/>
        <w:rPr>
          <w:bCs/>
          <w:szCs w:val="21"/>
        </w:rPr>
      </w:pPr>
      <w:r>
        <w:rPr>
          <w:rFonts w:hint="eastAsia" w:ascii="Times New Roman" w:eastAsia="宋体"/>
          <w:bCs/>
          <w:szCs w:val="21"/>
        </w:rPr>
        <w:t>4</w:t>
      </w:r>
      <w:r>
        <w:rPr>
          <w:rFonts w:hint="eastAsia"/>
          <w:bCs/>
          <w:szCs w:val="21"/>
        </w:rPr>
        <w:t>、除政府采购合同继续履行将损害国家利益和社会公共利益外，双方当事人不得擅自变更、中止或者终止合同。</w:t>
      </w:r>
    </w:p>
    <w:p>
      <w:pPr>
        <w:spacing w:line="540" w:lineRule="exact"/>
        <w:ind w:firstLine="420" w:firstLineChars="200"/>
        <w:rPr>
          <w:rFonts w:eastAsia="宋体"/>
          <w:bCs/>
          <w:szCs w:val="21"/>
        </w:rPr>
      </w:pPr>
      <w:r>
        <w:rPr>
          <w:rFonts w:hint="eastAsia" w:ascii="Times New Roman" w:eastAsia="宋体"/>
          <w:bCs/>
          <w:szCs w:val="21"/>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rPr>
        <w:t>。</w:t>
      </w:r>
    </w:p>
    <w:p>
      <w:pPr>
        <w:rPr>
          <w:rFonts w:hint="eastAsia" w:ascii="宋体" w:hAnsi="宋体" w:eastAsia="宋体" w:cs="Times New Roman"/>
          <w:b/>
          <w:bCs/>
          <w:kern w:val="0"/>
          <w:sz w:val="28"/>
          <w:szCs w:val="28"/>
        </w:rPr>
      </w:pPr>
    </w:p>
    <w:p>
      <w:pPr>
        <w:rPr>
          <w:rFonts w:hint="eastAsia" w:ascii="宋体" w:hAnsi="宋体" w:eastAsia="宋体" w:cs="Times New Roman"/>
          <w:b/>
          <w:bCs/>
          <w:kern w:val="0"/>
          <w:sz w:val="28"/>
          <w:szCs w:val="28"/>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pageBreakBefore w:val="0"/>
        <w:kinsoku/>
        <w:wordWrap/>
        <w:overflowPunct/>
        <w:topLinePunct w:val="0"/>
        <w:autoSpaceDE/>
        <w:autoSpaceDN/>
        <w:bidi w:val="0"/>
        <w:adjustRightInd w:val="0"/>
        <w:spacing w:line="320" w:lineRule="atLeast"/>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pPr>
        <w:pStyle w:val="11"/>
        <w:rPr>
          <w:rFonts w:hint="eastAsia"/>
        </w:rPr>
      </w:pPr>
      <w:bookmarkStart w:id="18" w:name="_Hlk72257167"/>
    </w:p>
    <w:bookmarkEnd w:id="18"/>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2"/>
        <w:rPr>
          <w:rFonts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pPr>
        <w:keepNext w:val="0"/>
        <w:keepLines w:val="0"/>
        <w:pageBreakBefore w:val="0"/>
        <w:kinsoku/>
        <w:wordWrap/>
        <w:overflowPunct/>
        <w:topLinePunct w:val="0"/>
        <w:autoSpaceDE/>
        <w:autoSpaceDN/>
        <w:bidi w:val="0"/>
        <w:adjustRightInd/>
        <w:snapToGrid/>
        <w:spacing w:line="360" w:lineRule="exact"/>
        <w:textAlignment w:val="auto"/>
        <w:outlineLvl w:val="0"/>
        <w:rPr>
          <w:rFonts w:ascii="宋体" w:hAnsi="宋体"/>
          <w:sz w:val="24"/>
        </w:rPr>
      </w:pPr>
      <w:bookmarkStart w:id="19" w:name="_Hlk72257771"/>
      <w:r>
        <w:rPr>
          <w:rFonts w:hint="eastAsia" w:ascii="宋体" w:hAnsi="宋体"/>
          <w:sz w:val="24"/>
        </w:rPr>
        <w:t>1.投标文件正文，主要包括以下内容：</w:t>
      </w:r>
    </w:p>
    <w:p>
      <w:pPr>
        <w:keepNext w:val="0"/>
        <w:keepLines w:val="0"/>
        <w:pageBreakBefore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bookmarkStart w:id="20" w:name="_Hlk72070784"/>
      <w:r>
        <w:rPr>
          <w:rFonts w:hint="eastAsia" w:asciiTheme="minorEastAsia" w:hAnsiTheme="minorEastAsia" w:eastAsiaTheme="minorEastAsia" w:cstheme="minorEastAsia"/>
          <w:szCs w:val="21"/>
          <w:highlight w:val="none"/>
        </w:rPr>
        <w:t>投标函</w:t>
      </w:r>
      <w:bookmarkEnd w:id="20"/>
    </w:p>
    <w:p>
      <w:pPr>
        <w:keepNext w:val="0"/>
        <w:keepLines w:val="0"/>
        <w:pageBreakBefore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bookmarkStart w:id="21" w:name="_Hlk72062521"/>
      <w:r>
        <w:rPr>
          <w:rFonts w:hint="eastAsia" w:asciiTheme="minorEastAsia" w:hAnsiTheme="minorEastAsia" w:eastAsiaTheme="minorEastAsia" w:cstheme="minorEastAsia"/>
          <w:szCs w:val="21"/>
          <w:highlight w:val="none"/>
        </w:rPr>
        <w:t>政府采购投标及履约承诺函</w:t>
      </w:r>
      <w:bookmarkEnd w:id="21"/>
    </w:p>
    <w:p>
      <w:pPr>
        <w:keepNext w:val="0"/>
        <w:keepLines w:val="0"/>
        <w:pageBreakBefore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投标人情况及资格证明文件</w:t>
      </w:r>
    </w:p>
    <w:p>
      <w:pPr>
        <w:keepNext w:val="0"/>
        <w:keepLines w:val="0"/>
        <w:pageBreakBefore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bookmarkStart w:id="22" w:name="_Hlk72257201"/>
      <w:r>
        <w:rPr>
          <w:rFonts w:hint="eastAsia" w:asciiTheme="minorEastAsia" w:hAnsiTheme="minorEastAsia" w:eastAsiaTheme="minorEastAsia" w:cstheme="minorEastAsia"/>
          <w:szCs w:val="21"/>
          <w:highlight w:val="none"/>
        </w:rPr>
        <w:t>项目详细报价</w:t>
      </w:r>
      <w:bookmarkEnd w:id="22"/>
    </w:p>
    <w:p>
      <w:pPr>
        <w:keepNext w:val="0"/>
        <w:keepLines w:val="0"/>
        <w:pageBreakBefore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股东构成审查表</w:t>
      </w:r>
    </w:p>
    <w:p>
      <w:pPr>
        <w:keepNext w:val="0"/>
        <w:keepLines w:val="0"/>
        <w:pageBreakBefore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供应商基本情况表</w:t>
      </w:r>
    </w:p>
    <w:p>
      <w:pPr>
        <w:keepNext w:val="0"/>
        <w:keepLines w:val="0"/>
        <w:pageBreakBefore w:val="0"/>
        <w:kinsoku/>
        <w:wordWrap/>
        <w:overflowPunct/>
        <w:topLinePunct w:val="0"/>
        <w:autoSpaceDE/>
        <w:autoSpaceDN/>
        <w:bidi w:val="0"/>
        <w:adjustRightInd/>
        <w:snapToGrid/>
        <w:spacing w:line="360" w:lineRule="exact"/>
        <w:textAlignment w:val="auto"/>
        <w:outlineLvl w:val="0"/>
        <w:rPr>
          <w:rFonts w:ascii="宋体" w:hAnsi="宋体"/>
          <w:sz w:val="24"/>
        </w:rPr>
      </w:pPr>
      <w:r>
        <w:rPr>
          <w:rFonts w:hint="eastAsia" w:ascii="宋体" w:hAnsi="宋体"/>
          <w:sz w:val="24"/>
        </w:rPr>
        <w:t>2.投标文件附件：主要包括以下内容：</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法定代表人（负责人）证明书</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投标文件签署授权委托书</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实质性条款响应情况表</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1"/>
          <w:szCs w:val="21"/>
        </w:rPr>
        <w:t>服务方案</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cs="宋体"/>
          <w:szCs w:val="21"/>
        </w:rPr>
        <w:t>质量保障措施及方案</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cs="宋体"/>
          <w:szCs w:val="21"/>
        </w:rPr>
        <w:t>项目重点难点分析、应对措施及相关的合理化建议</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cs="宋体"/>
          <w:szCs w:val="21"/>
        </w:rPr>
        <w:t>拟安排项目负责人情况（仅限一人，质量负责人、项目团队除外）</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1"/>
          <w:szCs w:val="21"/>
        </w:rPr>
        <w:t>拟安排项目质量负责人情况（仅限一人，项目负责人、项目团队除外）</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szCs w:val="21"/>
        </w:rPr>
        <w:t>项目团队（项目负责人、项目质量负责人除外）情况</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szCs w:val="21"/>
        </w:rPr>
        <w:t>投标人通过相关认证情况</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szCs w:val="21"/>
        </w:rPr>
        <w:t>服务网点</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szCs w:val="21"/>
        </w:rPr>
        <w:t>同类项目业绩</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投标人认为需要加以说明的其他内容</w:t>
      </w:r>
    </w:p>
    <w:p>
      <w:pPr>
        <w:pageBreakBefore w:val="0"/>
        <w:kinsoku/>
        <w:wordWrap/>
        <w:overflowPunct/>
        <w:topLinePunct w:val="0"/>
        <w:autoSpaceDE/>
        <w:autoSpaceDN/>
        <w:bidi w:val="0"/>
        <w:spacing w:line="320" w:lineRule="atLeast"/>
        <w:rPr>
          <w:rFonts w:ascii="宋体" w:hAnsi="宋体"/>
          <w:b/>
          <w:sz w:val="24"/>
          <w:szCs w:val="24"/>
        </w:rPr>
      </w:pPr>
      <w:r>
        <w:rPr>
          <w:rFonts w:hint="eastAsia" w:ascii="宋体" w:hAnsi="宋体"/>
          <w:b/>
          <w:sz w:val="24"/>
          <w:szCs w:val="24"/>
        </w:rPr>
        <w:t>备注：</w:t>
      </w:r>
    </w:p>
    <w:p>
      <w:pPr>
        <w:pageBreakBefore w:val="0"/>
        <w:kinsoku/>
        <w:wordWrap/>
        <w:overflowPunct/>
        <w:topLinePunct w:val="0"/>
        <w:autoSpaceDE/>
        <w:autoSpaceDN/>
        <w:bidi w:val="0"/>
        <w:snapToGrid w:val="0"/>
        <w:spacing w:line="320" w:lineRule="atLeast"/>
        <w:ind w:firstLine="482" w:firstLineChars="200"/>
        <w:rPr>
          <w:rFonts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pPr>
        <w:pageBreakBefore w:val="0"/>
        <w:kinsoku/>
        <w:wordWrap/>
        <w:overflowPunct/>
        <w:topLinePunct w:val="0"/>
        <w:autoSpaceDE/>
        <w:autoSpaceDN/>
        <w:bidi w:val="0"/>
        <w:snapToGrid w:val="0"/>
        <w:spacing w:line="320" w:lineRule="atLeast"/>
        <w:ind w:firstLine="482" w:firstLineChars="200"/>
        <w:rPr>
          <w:rFonts w:ascii="宋体" w:hAnsi="宋体" w:eastAsia="黑体" w:cs="Times New Roman"/>
          <w:bCs/>
          <w:kern w:val="44"/>
          <w:sz w:val="32"/>
          <w:szCs w:val="32"/>
        </w:rPr>
      </w:pPr>
      <w:bookmarkStart w:id="23" w:name="_Hlk72263559"/>
      <w:r>
        <w:rPr>
          <w:rFonts w:hint="eastAsia" w:ascii="宋体" w:hAnsi="宋体"/>
          <w:b/>
          <w:sz w:val="24"/>
          <w:szCs w:val="24"/>
        </w:rPr>
        <w:t>2.关于填写“开标一览表”的说明：“开标一览表”中除“投标总价”外，其他信息不作评审依据。</w:t>
      </w:r>
      <w:bookmarkEnd w:id="19"/>
      <w:bookmarkEnd w:id="23"/>
      <w:r>
        <w:rPr>
          <w:rFonts w:ascii="宋体" w:hAnsi="宋体" w:eastAsia="黑体" w:cs="Times New Roman"/>
          <w:bCs/>
          <w:kern w:val="44"/>
          <w:sz w:val="32"/>
          <w:szCs w:val="32"/>
        </w:rPr>
        <w:br w:type="page"/>
      </w:r>
    </w:p>
    <w:p>
      <w:pPr>
        <w:widowControl/>
        <w:jc w:val="left"/>
        <w:outlineLvl w:val="2"/>
        <w:rPr>
          <w:rFonts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pPr>
        <w:pStyle w:val="5"/>
        <w:jc w:val="center"/>
        <w:rPr>
          <w:rFonts w:ascii="黑体" w:eastAsia="黑体"/>
          <w:b w:val="0"/>
          <w:kern w:val="0"/>
          <w:sz w:val="24"/>
        </w:rPr>
      </w:pPr>
      <w:r>
        <w:rPr>
          <w:rFonts w:hint="eastAsia" w:ascii="黑体" w:eastAsia="黑体"/>
          <w:b w:val="0"/>
          <w:kern w:val="0"/>
          <w:sz w:val="24"/>
        </w:rPr>
        <w:t>一、投标函</w:t>
      </w: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ascii="宋体" w:hAnsi="宋体"/>
          <w:szCs w:val="21"/>
        </w:rPr>
      </w:pPr>
      <w:bookmarkStart w:id="24"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w:t>
      </w:r>
      <w:r>
        <w:rPr>
          <w:rFonts w:hint="eastAsia" w:eastAsia="宋体"/>
          <w:szCs w:val="21"/>
          <w:u w:val="thick"/>
          <w:lang w:eastAsia="zh-CN"/>
        </w:rPr>
        <w:t>（</w:t>
      </w:r>
      <w:r>
        <w:rPr>
          <w:rFonts w:hint="eastAsia"/>
          <w:szCs w:val="21"/>
          <w:u w:val="thick"/>
        </w:rPr>
        <w:t>项目</w:t>
      </w:r>
      <w:r>
        <w:rPr>
          <w:rFonts w:hint="eastAsia" w:ascii="Times New Roman" w:eastAsia="宋体"/>
          <w:szCs w:val="21"/>
          <w:u w:val="thick"/>
          <w:lang w:val="en-US" w:eastAsia="zh-CN"/>
        </w:rPr>
        <w:t>名称</w:t>
      </w:r>
      <w:r>
        <w:rPr>
          <w:rFonts w:hint="eastAsia" w:eastAsia="宋体"/>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25" w:name="_Hlk72263588"/>
      <w:r>
        <w:rPr>
          <w:rFonts w:hint="eastAsia"/>
          <w:szCs w:val="21"/>
        </w:rPr>
        <w:t>愿意按照招标文件要求承包上述项目并修补其任何缺陷。</w:t>
      </w:r>
      <w:bookmarkEnd w:id="25"/>
    </w:p>
    <w:p>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4"/>
    </w:p>
    <w:p>
      <w:pPr>
        <w:ind w:left="420" w:left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开户银行账号：</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none"/>
        </w:rPr>
      </w:pPr>
      <w:r>
        <w:rPr>
          <w:rFonts w:hint="eastAsia"/>
          <w:szCs w:val="21"/>
        </w:rPr>
        <w:t>邮政编码：</w:t>
      </w:r>
      <w:r>
        <w:rPr>
          <w:rFonts w:hint="eastAsia"/>
          <w:szCs w:val="21"/>
          <w:u w:val="thick"/>
        </w:rPr>
        <w:t xml:space="preserve">          </w:t>
      </w:r>
      <w:r>
        <w:rPr>
          <w:rFonts w:hint="eastAsia"/>
          <w:szCs w:val="21"/>
        </w:rPr>
        <w:t xml:space="preserve">  电话</w:t>
      </w:r>
      <w:r>
        <w:rPr>
          <w:rFonts w:hint="eastAsia"/>
          <w:szCs w:val="21"/>
          <w:u w:val="none"/>
        </w:rPr>
        <w:t>：</w:t>
      </w:r>
      <w:r>
        <w:rPr>
          <w:rFonts w:hint="eastAsia"/>
          <w:szCs w:val="21"/>
          <w:u w:val="thick"/>
        </w:rPr>
        <w:t xml:space="preserve">         </w:t>
      </w:r>
      <w:r>
        <w:rPr>
          <w:rFonts w:hint="eastAsia"/>
          <w:szCs w:val="21"/>
        </w:rPr>
        <w:t xml:space="preserve"> 传真：</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r>
        <w:rPr>
          <w:rFonts w:hint="eastAsia"/>
          <w:szCs w:val="21"/>
          <w:u w:val="none"/>
        </w:rPr>
        <w:t xml:space="preserve">     </w:t>
      </w:r>
    </w:p>
    <w:p>
      <w:pPr>
        <w:ind w:left="420" w:leftChars="200" w:firstLine="210" w:firstLineChars="100"/>
        <w:rPr>
          <w:rFonts w:hint="eastAsia"/>
          <w:szCs w:val="21"/>
          <w:u w:val="none"/>
        </w:rPr>
      </w:pP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ind w:left="420" w:leftChars="200"/>
        <w:rPr>
          <w:sz w:val="24"/>
        </w:rPr>
      </w:pPr>
      <w:r>
        <w:rPr>
          <w:rFonts w:hint="eastAsia"/>
          <w:sz w:val="24"/>
        </w:rPr>
        <w:t xml:space="preserve">                       </w:t>
      </w:r>
    </w:p>
    <w:p>
      <w:pPr>
        <w:rPr>
          <w:rFonts w:ascii="黑体" w:hAnsi="宋体" w:eastAsia="黑体"/>
        </w:rPr>
      </w:pPr>
    </w:p>
    <w:p>
      <w:pPr>
        <w:rPr>
          <w:rFonts w:ascii="宋体" w:hAnsi="宋体"/>
          <w:szCs w:val="21"/>
        </w:rPr>
      </w:pPr>
    </w:p>
    <w:p>
      <w:pPr>
        <w:pStyle w:val="5"/>
        <w:jc w:val="center"/>
        <w:rPr>
          <w:rFonts w:ascii="黑体" w:eastAsia="黑体"/>
          <w:b w:val="0"/>
          <w:kern w:val="0"/>
          <w:sz w:val="24"/>
        </w:rPr>
      </w:pPr>
      <w:r>
        <w:rPr>
          <w:rFonts w:hint="eastAsia" w:ascii="黑体" w:eastAsia="黑体"/>
          <w:b w:val="0"/>
          <w:kern w:val="0"/>
          <w:sz w:val="24"/>
        </w:rPr>
        <w:t>二、政府采购投标及履约承诺函</w:t>
      </w:r>
    </w:p>
    <w:p>
      <w:pPr>
        <w:rPr>
          <w:rFonts w:ascii="宋体" w:hAnsi="宋体"/>
          <w:sz w:val="24"/>
        </w:rPr>
      </w:pPr>
    </w:p>
    <w:p>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 w:val="0"/>
          <w:bCs/>
          <w:color w:val="FF0000"/>
          <w:lang w:val="en-US" w:eastAsia="zh-CN"/>
        </w:rPr>
        <w:t>若</w:t>
      </w:r>
      <w:r>
        <w:rPr>
          <w:rFonts w:hint="eastAsia" w:ascii="宋体" w:hAnsi="宋体"/>
          <w:b w:val="0"/>
          <w:bCs/>
          <w:color w:val="FF0000"/>
        </w:rPr>
        <w:t>存在“不同供应商的董事、股东或其他高级管理人员为同一人的”情形的，</w:t>
      </w:r>
      <w:r>
        <w:rPr>
          <w:rFonts w:hint="eastAsia" w:ascii="宋体" w:hAnsi="宋体"/>
          <w:b w:val="0"/>
          <w:bCs/>
          <w:color w:val="FF0000"/>
          <w:lang w:val="en-US" w:eastAsia="zh-CN"/>
        </w:rPr>
        <w:t>我单位保证</w:t>
      </w:r>
      <w:r>
        <w:rPr>
          <w:rFonts w:hint="eastAsia" w:ascii="宋体" w:hAnsi="宋体"/>
          <w:b w:val="0"/>
          <w:bCs/>
          <w:color w:val="FF0000"/>
        </w:rPr>
        <w:t>不存在串通投标、恶意串通或者视为串通投标的情形</w:t>
      </w:r>
      <w:r>
        <w:rPr>
          <w:rFonts w:hint="eastAsia" w:ascii="宋体" w:hAnsi="宋体"/>
          <w:b w:val="0"/>
          <w:bCs/>
          <w:color w:val="FF0000"/>
          <w:lang w:eastAsia="zh-CN"/>
        </w:rPr>
        <w:t>。</w:t>
      </w:r>
    </w:p>
    <w:p>
      <w:pPr>
        <w:ind w:firstLine="422" w:firstLineChars="200"/>
        <w:rPr>
          <w:rFonts w:ascii="宋体" w:hAnsi="宋体"/>
          <w:b/>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pPr>
        <w:pStyle w:val="11"/>
        <w:ind w:firstLine="482"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p>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p/>
    <w:p>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w:t>
      </w:r>
    </w:p>
    <w:p>
      <w:pPr>
        <w:ind w:firstLine="482" w:firstLineChars="200"/>
        <w:rPr>
          <w:b/>
          <w:sz w:val="24"/>
        </w:rPr>
      </w:pPr>
    </w:p>
    <w:p>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jc w:val="left"/>
        <w:outlineLvl w:val="3"/>
        <w:rPr>
          <w:rFonts w:ascii="黑体" w:hAnsi="宋体" w:eastAsia="黑体"/>
          <w:bCs/>
          <w:kern w:val="0"/>
          <w:sz w:val="24"/>
          <w:szCs w:val="32"/>
        </w:rPr>
      </w:pP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26"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26"/>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 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第二处，在“项目名称”下划线处如实填写采购项目名称；</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第四处，在“招标文件中明确的所属行业”下划线处填写采购标的对应的中小企业划分标准所属行业（所属行业可在招标文件第一册第二章“对通用条款的补充内容及其他关键信息”章节查看）；</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w:t>
      </w:r>
      <w:r>
        <w:rPr>
          <w:rFonts w:hint="eastAsia" w:ascii="黑体" w:hAnsi="宋体" w:eastAsia="黑体"/>
          <w:bCs/>
          <w:color w:val="FF0000"/>
          <w:kern w:val="0"/>
          <w:szCs w:val="21"/>
          <w:lang w:val="en-US" w:eastAsia="zh-CN"/>
        </w:rPr>
        <w:t>供应商</w:t>
      </w:r>
      <w:r>
        <w:rPr>
          <w:rFonts w:hint="eastAsia" w:ascii="黑体" w:hAnsi="宋体" w:eastAsia="黑体"/>
          <w:bCs/>
          <w:color w:val="FF0000"/>
          <w:kern w:val="0"/>
          <w:szCs w:val="21"/>
        </w:rPr>
        <w:t>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w:t>
      </w:r>
      <w:r>
        <w:rPr>
          <w:rFonts w:hint="eastAsia" w:ascii="黑体" w:hAnsi="宋体" w:eastAsia="黑体"/>
          <w:bCs/>
          <w:color w:val="FF0000"/>
          <w:kern w:val="0"/>
          <w:szCs w:val="21"/>
          <w:lang w:eastAsia="zh-CN"/>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（2）声明是残疾人福利性单位须填写《残疾人福利性单位声明函》的相关内容，具体参照以上《中小企业声明函》填写要求执行。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（3）声明是监狱企业须填写《监狱企业声明函》的三项内容（填写位置的字体已加粗），具体参照以上《中小企业声明函》填写要求执行。</w:t>
      </w:r>
    </w:p>
    <w:p>
      <w:pPr>
        <w:ind w:firstLine="420" w:firstLineChars="200"/>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p>
    <w:p>
      <w:pPr>
        <w:ind w:firstLine="420" w:firstLineChars="200"/>
      </w:pPr>
    </w:p>
    <w:p>
      <w:pPr>
        <w:numPr>
          <w:ilvl w:val="0"/>
          <w:numId w:val="5"/>
        </w:numPr>
        <w:jc w:val="center"/>
        <w:outlineLvl w:val="3"/>
        <w:rPr>
          <w:b/>
          <w:sz w:val="24"/>
        </w:rPr>
      </w:pPr>
      <w:r>
        <w:rPr>
          <w:b/>
          <w:sz w:val="24"/>
        </w:rPr>
        <w:t>中小企业声明函（</w:t>
      </w:r>
      <w:r>
        <w:rPr>
          <w:rFonts w:hint="eastAsia"/>
          <w:b/>
          <w:sz w:val="24"/>
        </w:rPr>
        <w:t>服务</w:t>
      </w:r>
      <w:r>
        <w:rPr>
          <w:b/>
          <w:sz w:val="24"/>
        </w:rPr>
        <w:t>）</w:t>
      </w:r>
    </w:p>
    <w:p>
      <w:pPr>
        <w:pStyle w:val="11"/>
        <w:numPr>
          <w:ilvl w:val="0"/>
          <w:numId w:val="0"/>
        </w:num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bookmarkStart w:id="27" w:name="_Hlk73562275"/>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7"/>
    </w:p>
    <w:p>
      <w:pPr>
        <w:ind w:firstLine="420" w:firstLineChars="200"/>
      </w:pPr>
    </w:p>
    <w:p>
      <w:pPr>
        <w:jc w:val="center"/>
        <w:outlineLvl w:val="3"/>
        <w:rPr>
          <w:b/>
          <w:sz w:val="24"/>
        </w:rPr>
      </w:pPr>
      <w:r>
        <w:rPr>
          <w:rFonts w:hint="eastAsia"/>
          <w:b/>
          <w:sz w:val="24"/>
        </w:rPr>
        <w:t>2、残疾人福利性单位声明函</w:t>
      </w:r>
      <w:r>
        <w:rPr>
          <w:rFonts w:hint="eastAsia"/>
          <w:b/>
          <w:sz w:val="24"/>
          <w:lang w:eastAsia="zh-CN"/>
        </w:rPr>
        <w:t>（</w:t>
      </w:r>
      <w:r>
        <w:rPr>
          <w:rFonts w:hint="eastAsia"/>
          <w:b/>
          <w:sz w:val="24"/>
          <w:lang w:val="en-US" w:eastAsia="zh-CN"/>
        </w:rPr>
        <w:t>服务</w:t>
      </w:r>
      <w:r>
        <w:rPr>
          <w:rFonts w:hint="eastAsia"/>
          <w:b/>
          <w:sz w:val="24"/>
        </w:rPr>
        <w:t>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outlineLvl w:val="3"/>
        <w:rPr>
          <w:rFonts w:ascii="宋体" w:hAnsi="宋体"/>
          <w:szCs w:val="21"/>
        </w:rPr>
      </w:pPr>
      <w:r>
        <w:rPr>
          <w:rFonts w:ascii="宋体" w:hAnsi="宋体"/>
          <w:szCs w:val="21"/>
        </w:rPr>
        <w:t xml:space="preserve">…… </w:t>
      </w:r>
    </w:p>
    <w:p>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rPr>
          <w:rFonts w:hint="eastAsia" w:ascii="宋体" w:hAnsi="宋体" w:eastAsia="宋体" w:cs="Times New Roman"/>
          <w:b/>
          <w:bCs/>
          <w:kern w:val="0"/>
          <w:sz w:val="24"/>
          <w:szCs w:val="20"/>
        </w:rPr>
      </w:pPr>
      <w:r>
        <w:rPr>
          <w:rFonts w:hint="eastAsia" w:ascii="宋体" w:hAnsi="宋体"/>
          <w:szCs w:val="21"/>
        </w:rPr>
        <w:t>附：省级以上监狱管理局、戒毒管理局（含新疆生产建设兵团）出具的监狱企业证明文件。</w:t>
      </w:r>
      <w:r>
        <w:rPr>
          <w:rFonts w:hint="eastAsia" w:ascii="宋体" w:hAnsi="宋体" w:eastAsia="宋体" w:cs="Times New Roman"/>
          <w:b/>
          <w:bCs/>
          <w:kern w:val="0"/>
          <w:sz w:val="24"/>
          <w:szCs w:val="20"/>
        </w:rPr>
        <w:br w:type="page"/>
      </w:r>
    </w:p>
    <w:p>
      <w:pPr>
        <w:pStyle w:val="5"/>
        <w:jc w:val="center"/>
        <w:rPr>
          <w:rFonts w:ascii="黑体" w:eastAsia="黑体"/>
          <w:b w:val="0"/>
          <w:sz w:val="24"/>
          <w:szCs w:val="24"/>
        </w:rPr>
      </w:pPr>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21"/>
        <w:tblW w:w="8613" w:type="dxa"/>
        <w:tblInd w:w="0" w:type="dxa"/>
        <w:tblLayout w:type="fixed"/>
        <w:tblCellMar>
          <w:top w:w="0" w:type="dxa"/>
          <w:left w:w="108" w:type="dxa"/>
          <w:bottom w:w="0" w:type="dxa"/>
          <w:right w:w="108" w:type="dxa"/>
        </w:tblCellMar>
      </w:tblPr>
      <w:tblGrid>
        <w:gridCol w:w="618"/>
        <w:gridCol w:w="4168"/>
        <w:gridCol w:w="1559"/>
        <w:gridCol w:w="2268"/>
      </w:tblGrid>
      <w:tr>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lang w:val="en-US" w:eastAsia="zh-CN"/>
              </w:rPr>
              <w:t>项目</w:t>
            </w:r>
            <w:r>
              <w:rPr>
                <w:rFonts w:hint="eastAsia" w:ascii="宋体" w:hAnsi="宋体" w:cs="宋体"/>
                <w:b/>
                <w:bCs/>
                <w:kern w:val="0"/>
                <w:sz w:val="20"/>
                <w:szCs w:val="20"/>
              </w:rPr>
              <w:t>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金额（</w:t>
            </w:r>
            <w:r>
              <w:rPr>
                <w:rFonts w:hint="eastAsia" w:ascii="宋体" w:hAnsi="宋体" w:cs="宋体"/>
                <w:b/>
                <w:bCs/>
                <w:kern w:val="0"/>
                <w:sz w:val="20"/>
                <w:szCs w:val="20"/>
                <w:lang w:val="en-US" w:eastAsia="zh-CN"/>
              </w:rPr>
              <w:t>元</w:t>
            </w:r>
            <w:r>
              <w:rPr>
                <w:rFonts w:hint="eastAsia" w:ascii="宋体" w:hAnsi="宋体" w:cs="宋体"/>
                <w:b/>
                <w:bCs/>
                <w:kern w:val="0"/>
                <w:sz w:val="20"/>
                <w:szCs w:val="20"/>
              </w:rPr>
              <w:t>）</w:t>
            </w:r>
          </w:p>
        </w:tc>
        <w:tc>
          <w:tcPr>
            <w:tcW w:w="2268" w:type="dxa"/>
            <w:tcBorders>
              <w:top w:val="single" w:color="auto" w:sz="8" w:space="0"/>
              <w:left w:val="nil"/>
              <w:bottom w:val="single" w:color="auto" w:sz="4" w:space="0"/>
              <w:right w:val="single" w:color="auto" w:sz="8"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宋体"/>
                <w:kern w:val="0"/>
                <w:sz w:val="20"/>
                <w:szCs w:val="20"/>
              </w:rPr>
            </w:pP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A标段</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4168"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hint="eastAsia" w:ascii="宋体" w:hAnsi="宋体" w:cs="宋体"/>
                <w:kern w:val="0"/>
                <w:sz w:val="20"/>
                <w:szCs w:val="20"/>
              </w:rPr>
            </w:pPr>
          </w:p>
        </w:tc>
        <w:tc>
          <w:tcPr>
            <w:tcW w:w="226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lang w:val="en-US" w:eastAsia="zh-CN"/>
              </w:rPr>
              <w:t>B标段</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合计(</w:t>
            </w:r>
            <w:r>
              <w:rPr>
                <w:rFonts w:hint="eastAsia" w:ascii="宋体" w:hAnsi="宋体" w:cs="宋体"/>
                <w:b/>
                <w:bCs/>
                <w:kern w:val="0"/>
                <w:sz w:val="20"/>
                <w:szCs w:val="20"/>
                <w:lang w:val="en-US" w:eastAsia="zh-CN"/>
              </w:rPr>
              <w:t>元</w:t>
            </w: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　</w:t>
            </w:r>
            <w:r>
              <w:rPr>
                <w:rFonts w:hint="eastAsia" w:ascii="宋体" w:hAnsi="宋体" w:cs="宋体"/>
                <w:kern w:val="0"/>
                <w:sz w:val="20"/>
                <w:szCs w:val="20"/>
                <w:lang w:val="en-US" w:eastAsia="zh-CN"/>
              </w:rPr>
              <w:t xml:space="preserve"> </w:t>
            </w:r>
          </w:p>
        </w:tc>
      </w:tr>
    </w:tbl>
    <w:p>
      <w:pPr>
        <w:pStyle w:val="11"/>
        <w:rPr>
          <w:rFonts w:hint="default"/>
          <w:lang w:val="en-US" w:eastAsia="zh-CN"/>
        </w:rPr>
      </w:pPr>
    </w:p>
    <w:p>
      <w:pPr>
        <w:tabs>
          <w:tab w:val="left" w:pos="720"/>
        </w:tabs>
        <w:jc w:val="center"/>
        <w:rPr>
          <w:rFonts w:ascii="Arial" w:hAnsi="Arial" w:eastAsia="宋体" w:cs="Times New Roman"/>
          <w:sz w:val="24"/>
          <w:szCs w:val="24"/>
        </w:rPr>
      </w:pPr>
      <w:r>
        <w:rPr>
          <w:rFonts w:hint="eastAsia"/>
          <w:b/>
          <w:sz w:val="24"/>
        </w:rPr>
        <w:t>（二）</w:t>
      </w:r>
      <w:bookmarkStart w:id="28" w:name="_Hlk72073235"/>
      <w:r>
        <w:rPr>
          <w:rFonts w:hint="eastAsia"/>
          <w:b/>
          <w:sz w:val="24"/>
        </w:rPr>
        <w:t>投标人认为需要涉及的其他内容报价清单</w:t>
      </w:r>
      <w:bookmarkEnd w:id="28"/>
    </w:p>
    <w:p>
      <w:pPr>
        <w:jc w:val="center"/>
        <w:rPr>
          <w:b/>
          <w:bCs/>
          <w:color w:val="FF0000"/>
          <w:sz w:val="24"/>
        </w:rPr>
      </w:pPr>
    </w:p>
    <w:p>
      <w:pPr>
        <w:jc w:val="center"/>
        <w:rPr>
          <w:rFonts w:hint="eastAsia" w:ascii="宋体" w:hAnsi="宋体"/>
        </w:rPr>
      </w:pPr>
      <w:r>
        <w:rPr>
          <w:rFonts w:hint="eastAsia"/>
          <w:b/>
          <w:bCs/>
          <w:color w:val="FF0000"/>
          <w:sz w:val="24"/>
        </w:rPr>
        <w:t>★</w:t>
      </w:r>
      <w:r>
        <w:rPr>
          <w:rFonts w:hint="eastAsia" w:ascii="黑体" w:eastAsia="黑体"/>
          <w:sz w:val="24"/>
          <w:szCs w:val="24"/>
        </w:rPr>
        <w:t>五、股东构成审查表</w:t>
      </w:r>
    </w:p>
    <w:p>
      <w:pPr>
        <w:pStyle w:val="5"/>
        <w:numPr>
          <w:ilvl w:val="0"/>
          <w:numId w:val="6"/>
        </w:numPr>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提供投标人所在地的市场监督管理部门“商事登记簿查询（商事主体登记及备案信息查询）”查询截图；参考示例“深圳市市场监督管理局——商事登记簿查询（商事主体登记及备案信息查询）：</w:t>
      </w:r>
      <w:r>
        <w:fldChar w:fldCharType="begin"/>
      </w:r>
      <w:r>
        <w:instrText xml:space="preserve"> HYPERLINK "https://amr.sz.gov.cn/outer/entSelect/gs.html" </w:instrText>
      </w:r>
      <w:r>
        <w:fldChar w:fldCharType="separate"/>
      </w:r>
      <w:r>
        <w:rPr>
          <w:rStyle w:val="32"/>
          <w:rFonts w:hint="eastAsia" w:ascii="Times New Roman" w:hAnsi="Times New Roman" w:cs="Times New Roman"/>
          <w:b w:val="0"/>
          <w:bCs w:val="0"/>
          <w:sz w:val="21"/>
          <w:szCs w:val="24"/>
        </w:rPr>
        <w:t>https://amr.sz.gov.cn/outer/entSelect/gs.html”。</w:t>
      </w:r>
      <w:r>
        <w:rPr>
          <w:rStyle w:val="32"/>
          <w:rFonts w:hint="eastAsia" w:ascii="Times New Roman" w:hAnsi="Times New Roman" w:cs="Times New Roman"/>
          <w:b w:val="0"/>
          <w:bCs w:val="0"/>
          <w:sz w:val="21"/>
          <w:szCs w:val="24"/>
        </w:rPr>
        <w:fldChar w:fldCharType="end"/>
      </w:r>
    </w:p>
    <w:p>
      <w:pPr>
        <w:rPr>
          <w:b/>
          <w:bCs/>
          <w:color w:val="FF0000"/>
          <w:highlight w:val="yellow"/>
        </w:rPr>
      </w:pPr>
      <w:r>
        <w:rPr>
          <w:rFonts w:hint="eastAsia"/>
          <w:b/>
          <w:bCs/>
          <w:color w:val="FF0000"/>
          <w:highlight w:val="yellow"/>
        </w:rPr>
        <w:t>提示：如果投标供应商</w:t>
      </w:r>
      <w:r>
        <w:rPr>
          <w:rFonts w:ascii="宋体" w:hAnsi="宋体"/>
          <w:b/>
          <w:bCs/>
          <w:color w:val="FF0000"/>
          <w:highlight w:val="yellow"/>
        </w:rPr>
        <w:t>存在单位负责人为同一人</w:t>
      </w:r>
      <w:r>
        <w:rPr>
          <w:rFonts w:hint="eastAsia" w:ascii="宋体" w:hAnsi="宋体"/>
          <w:b/>
          <w:bCs/>
          <w:color w:val="FF0000"/>
          <w:highlight w:val="yellow"/>
        </w:rPr>
        <w:t>，</w:t>
      </w:r>
      <w:r>
        <w:rPr>
          <w:rFonts w:ascii="宋体" w:hAnsi="宋体"/>
          <w:b/>
          <w:bCs/>
          <w:color w:val="FF0000"/>
          <w:highlight w:val="yellow"/>
        </w:rPr>
        <w:t>或者存在直接控股、</w:t>
      </w:r>
      <w:r>
        <w:rPr>
          <w:rFonts w:hint="eastAsia" w:ascii="宋体" w:hAnsi="宋体"/>
          <w:b/>
          <w:bCs/>
          <w:color w:val="FF0000"/>
          <w:highlight w:val="yellow"/>
        </w:rPr>
        <w:t>间接控股、</w:t>
      </w:r>
      <w:r>
        <w:rPr>
          <w:rFonts w:ascii="宋体" w:hAnsi="宋体"/>
          <w:b/>
          <w:bCs/>
          <w:color w:val="FF0000"/>
          <w:highlight w:val="yellow"/>
        </w:rPr>
        <w:t>管理关系</w:t>
      </w:r>
      <w:r>
        <w:rPr>
          <w:rFonts w:hint="eastAsia" w:ascii="宋体" w:hAnsi="宋体"/>
          <w:b/>
          <w:bCs/>
          <w:color w:val="FF0000"/>
          <w:highlight w:val="yellow"/>
        </w:rPr>
        <w:t>等情形，将被纳入交易监管平台产生示警信息，由此产生的负面影响，由投标人自行承担。</w:t>
      </w:r>
    </w:p>
    <w:p/>
    <w:p>
      <w:pPr>
        <w:pStyle w:val="5"/>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2、股东构成审查表</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□是，其控股股东为：</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其他主要股东及其股份占比：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□是，该单位为：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□是，与招标人的关系为：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□否</w:t>
            </w:r>
          </w:p>
        </w:tc>
      </w:tr>
    </w:tbl>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注：</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2、投标人需如实填写上述信息，如查实上述信息与实际不符，视为提供虚假证明材料骗取中标，投标人应承担相应法律后果。</w:t>
      </w:r>
    </w:p>
    <w:p>
      <w:pPr>
        <w:pStyle w:val="5"/>
        <w:numPr>
          <w:ilvl w:val="0"/>
          <w:numId w:val="0"/>
        </w:numPr>
        <w:jc w:val="both"/>
        <w:rPr>
          <w:rFonts w:hint="eastAsia" w:ascii="黑体" w:eastAsia="黑体" w:hAnsiTheme="minorHAnsi" w:cstheme="minorBidi"/>
          <w:kern w:val="2"/>
          <w:sz w:val="24"/>
          <w:szCs w:val="24"/>
          <w:lang w:val="en-US" w:eastAsia="zh-CN" w:bidi="ar-SA"/>
        </w:rPr>
      </w:pPr>
      <w:r>
        <w:rPr>
          <w:rFonts w:hint="eastAsia" w:ascii="黑体" w:eastAsia="黑体" w:hAnsiTheme="minorHAnsi" w:cstheme="minorBidi"/>
          <w:kern w:val="2"/>
          <w:sz w:val="24"/>
          <w:szCs w:val="24"/>
          <w:lang w:val="en-US" w:eastAsia="zh-CN" w:bidi="ar-SA"/>
        </w:rPr>
        <w:t>六、供应商基本情况表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pPr>
        <w:pStyle w:val="11"/>
        <w:rPr>
          <w:rFonts w:hint="eastAsia"/>
          <w:lang w:val="en-US" w:eastAsia="zh-CN"/>
        </w:rPr>
      </w:pPr>
    </w:p>
    <w:p>
      <w:pPr>
        <w:widowControl/>
        <w:jc w:val="left"/>
        <w:rPr>
          <w:rFonts w:ascii="Arial" w:hAnsi="Arial" w:eastAsia="宋体" w:cs="Times New Roman"/>
          <w:szCs w:val="24"/>
        </w:rPr>
      </w:pPr>
    </w:p>
    <w:p>
      <w:pPr>
        <w:rPr>
          <w:rFonts w:hint="eastAsia" w:ascii="Arial" w:hAnsi="Arial" w:eastAsia="宋体" w:cs="Times New Roman"/>
          <w:b/>
          <w:color w:val="FF0000"/>
          <w:sz w:val="32"/>
          <w:szCs w:val="32"/>
        </w:rPr>
      </w:pPr>
      <w:r>
        <w:rPr>
          <w:rFonts w:hint="eastAsia" w:ascii="Arial" w:hAnsi="Arial" w:eastAsia="宋体" w:cs="Times New Roman"/>
          <w:b/>
          <w:color w:val="FF0000"/>
          <w:sz w:val="32"/>
          <w:szCs w:val="32"/>
        </w:rPr>
        <w:br w:type="page"/>
      </w:r>
    </w:p>
    <w:p>
      <w:pPr>
        <w:spacing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pPr>
        <w:pStyle w:val="5"/>
        <w:jc w:val="center"/>
        <w:rPr>
          <w:rFonts w:ascii="黑体" w:eastAsia="黑体"/>
          <w:b w:val="0"/>
          <w:sz w:val="24"/>
        </w:rPr>
      </w:pPr>
      <w:r>
        <w:rPr>
          <w:rFonts w:hint="eastAsia" w:ascii="黑体" w:eastAsia="黑体"/>
          <w:b w:val="0"/>
          <w:sz w:val="24"/>
        </w:rPr>
        <w:t>一、</w:t>
      </w:r>
      <w:bookmarkStart w:id="29" w:name="_Hlk72092499"/>
      <w:r>
        <w:rPr>
          <w:rFonts w:hint="eastAsia" w:ascii="黑体" w:eastAsia="黑体"/>
          <w:b w:val="0"/>
          <w:sz w:val="24"/>
        </w:rPr>
        <w:t>法定代表人（负责人）证明书</w:t>
      </w:r>
      <w:bookmarkEnd w:id="29"/>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7"/>
        </w:numPr>
        <w:spacing w:line="360" w:lineRule="auto"/>
        <w:ind w:firstLine="420" w:firstLineChars="200"/>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7"/>
        </w:numPr>
        <w:spacing w:line="360" w:lineRule="auto"/>
        <w:ind w:firstLine="420" w:firstLineChars="200"/>
        <w:rPr>
          <w:szCs w:val="21"/>
        </w:rPr>
      </w:pP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pPr>
        <w:numPr>
          <w:ilvl w:val="0"/>
          <w:numId w:val="7"/>
        </w:numPr>
        <w:spacing w:line="360" w:lineRule="auto"/>
        <w:ind w:firstLine="420" w:firstLineChars="200"/>
        <w:rPr>
          <w:szCs w:val="21"/>
        </w:rPr>
      </w:pPr>
      <w:r>
        <w:rPr>
          <w:rFonts w:hint="eastAsia"/>
          <w:szCs w:val="21"/>
        </w:rPr>
        <w:t>内容必须填写真实、清楚，涂改无效，不得转让、买卖。</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11"/>
              <w:jc w:val="center"/>
              <w:rPr>
                <w:rFonts w:hint="eastAsia"/>
                <w:lang w:val="en-US" w:eastAsia="zh-CN"/>
              </w:rPr>
            </w:pPr>
          </w:p>
          <w:p>
            <w:pPr>
              <w:pStyle w:val="1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11"/>
              <w:jc w:val="center"/>
              <w:rPr>
                <w:rFonts w:hint="eastAsia"/>
                <w:lang w:val="en-US" w:eastAsia="zh-CN"/>
              </w:rPr>
            </w:pPr>
          </w:p>
          <w:p>
            <w:pPr>
              <w:pStyle w:val="17"/>
              <w:jc w:val="center"/>
              <w:rPr>
                <w:rFonts w:hint="eastAsia"/>
                <w:sz w:val="24"/>
                <w:vertAlign w:val="baseline"/>
                <w:lang w:val="en-US" w:eastAsia="zh-CN"/>
              </w:rPr>
            </w:pPr>
          </w:p>
        </w:tc>
      </w:tr>
    </w:tbl>
    <w:p>
      <w:pPr>
        <w:rPr>
          <w:sz w:val="24"/>
        </w:rPr>
      </w:pPr>
    </w:p>
    <w:p>
      <w:pPr>
        <w:pStyle w:val="5"/>
        <w:spacing w:before="120" w:after="120"/>
        <w:jc w:val="center"/>
        <w:rPr>
          <w:rFonts w:ascii="黑体" w:eastAsia="黑体"/>
          <w:b w:val="0"/>
          <w:sz w:val="24"/>
        </w:rPr>
      </w:pPr>
      <w:r>
        <w:rPr>
          <w:rFonts w:hint="eastAsia" w:ascii="黑体" w:eastAsia="黑体"/>
          <w:b w:val="0"/>
          <w:sz w:val="24"/>
        </w:rPr>
        <w:t>二、投标文件签署授权委托书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11"/>
              <w:jc w:val="center"/>
              <w:rPr>
                <w:rFonts w:hint="eastAsia"/>
                <w:lang w:val="en-US" w:eastAsia="zh-CN"/>
              </w:rPr>
            </w:pPr>
          </w:p>
          <w:p>
            <w:pPr>
              <w:pStyle w:val="1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11"/>
              <w:jc w:val="center"/>
              <w:rPr>
                <w:rFonts w:hint="eastAsia"/>
                <w:lang w:val="en-US" w:eastAsia="zh-CN"/>
              </w:rPr>
            </w:pPr>
          </w:p>
          <w:p>
            <w:pPr>
              <w:pStyle w:val="17"/>
              <w:jc w:val="center"/>
              <w:rPr>
                <w:rFonts w:hint="eastAsia"/>
                <w:sz w:val="24"/>
                <w:vertAlign w:val="baseline"/>
                <w:lang w:val="en-US" w:eastAsia="zh-CN"/>
              </w:rPr>
            </w:pPr>
          </w:p>
        </w:tc>
      </w:tr>
    </w:tbl>
    <w:p>
      <w:pPr>
        <w:tabs>
          <w:tab w:val="left" w:pos="651"/>
        </w:tabs>
        <w:snapToGrid w:val="0"/>
        <w:jc w:val="both"/>
        <w:rPr>
          <w:rFonts w:ascii="宋体" w:hAnsi="宋体" w:eastAsia="宋体" w:cs="Times New Roman"/>
          <w:color w:val="FF0000"/>
          <w:sz w:val="28"/>
          <w:szCs w:val="28"/>
        </w:rPr>
      </w:pPr>
    </w:p>
    <w:p>
      <w:pPr>
        <w:pStyle w:val="5"/>
        <w:jc w:val="center"/>
        <w:rPr>
          <w:rFonts w:ascii="黑体" w:eastAsia="黑体"/>
          <w:b w:val="0"/>
          <w:kern w:val="0"/>
          <w:sz w:val="24"/>
          <w:szCs w:val="24"/>
        </w:rPr>
      </w:pPr>
      <w:r>
        <w:rPr>
          <w:rFonts w:hint="eastAsia" w:ascii="黑体" w:eastAsia="黑体"/>
          <w:b w:val="0"/>
          <w:kern w:val="0"/>
          <w:sz w:val="24"/>
          <w:szCs w:val="24"/>
        </w:rPr>
        <w:t>三、</w:t>
      </w:r>
      <w:bookmarkStart w:id="30" w:name="_Hlk72092634"/>
      <w:r>
        <w:rPr>
          <w:rFonts w:hint="eastAsia" w:ascii="黑体" w:eastAsia="黑体"/>
          <w:b w:val="0"/>
          <w:kern w:val="0"/>
          <w:sz w:val="24"/>
          <w:szCs w:val="24"/>
        </w:rPr>
        <w:t>实质性条款响应情况表</w:t>
      </w:r>
      <w:bookmarkEnd w:id="30"/>
    </w:p>
    <w:tbl>
      <w:tblPr>
        <w:tblStyle w:val="21"/>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31"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vAlign w:val="center"/>
          </w:tcPr>
          <w:p>
            <w:pPr>
              <w:adjustRightInd w:val="0"/>
              <w:snapToGrid w:val="0"/>
              <w:spacing w:line="360" w:lineRule="auto"/>
              <w:jc w:val="center"/>
              <w:rPr>
                <w:rFonts w:hAnsi="宋体"/>
                <w:kern w:val="0"/>
                <w:szCs w:val="21"/>
              </w:rPr>
            </w:pPr>
            <w:r>
              <w:rPr>
                <w:rFonts w:hint="eastAsia" w:ascii="宋体" w:hAnsi="宋体" w:cs="宋体"/>
                <w:b/>
              </w:rPr>
              <w:t>本项目第三章用户需求书全部内容</w:t>
            </w:r>
            <w:r>
              <w:rPr>
                <w:rFonts w:hint="eastAsia" w:ascii="宋体" w:hAnsi="宋体" w:cs="宋体"/>
                <w:b/>
                <w:lang w:eastAsia="zh-CN"/>
              </w:rPr>
              <w:t>（</w:t>
            </w:r>
            <w:r>
              <w:rPr>
                <w:rFonts w:hint="eastAsia" w:ascii="宋体" w:hAnsi="宋体" w:cs="宋体"/>
                <w:b/>
                <w:lang w:val="en-US" w:eastAsia="zh-CN"/>
              </w:rPr>
              <w:t>不包含：</w:t>
            </w:r>
            <w:r>
              <w:rPr>
                <w:rFonts w:hint="eastAsia" w:ascii="宋体" w:hAnsi="宋体" w:cs="宋体"/>
                <w:b/>
                <w:lang w:eastAsia="zh-CN"/>
              </w:rPr>
              <w:t>项目人员需求</w:t>
            </w:r>
            <w:r>
              <w:rPr>
                <w:rFonts w:hint="eastAsia" w:ascii="宋体" w:hAnsi="宋体" w:cs="宋体"/>
                <w:b/>
                <w:lang w:val="en-US" w:eastAsia="zh-CN"/>
              </w:rPr>
              <w:t>中的</w:t>
            </w:r>
            <w:r>
              <w:rPr>
                <w:rFonts w:hint="eastAsia" w:ascii="宋体" w:hAnsi="宋体" w:eastAsia="宋体" w:cs="宋体"/>
                <w:color w:val="000000" w:themeColor="text1"/>
                <w:szCs w:val="21"/>
                <w14:textFill>
                  <w14:solidFill>
                    <w14:schemeClr w14:val="tx1"/>
                  </w14:solidFill>
                </w14:textFill>
              </w:rPr>
              <w:t>人员可偏离条件</w:t>
            </w:r>
            <w:r>
              <w:rPr>
                <w:rFonts w:hint="eastAsia" w:ascii="宋体" w:hAnsi="宋体" w:cs="宋体"/>
                <w:b/>
                <w:lang w:eastAsia="zh-CN"/>
              </w:rPr>
              <w:t>）</w:t>
            </w:r>
          </w:p>
        </w:tc>
        <w:tc>
          <w:tcPr>
            <w:tcW w:w="1588" w:type="dxa"/>
          </w:tcPr>
          <w:p>
            <w:pPr>
              <w:adjustRightInd w:val="0"/>
              <w:snapToGrid w:val="0"/>
              <w:spacing w:line="360" w:lineRule="auto"/>
              <w:rPr>
                <w:rFonts w:ascii="宋体" w:hAnsi="宋体"/>
                <w:kern w:val="0"/>
                <w:szCs w:val="21"/>
              </w:rPr>
            </w:pPr>
            <w:r>
              <w:rPr>
                <w:rFonts w:hint="eastAsia" w:ascii="宋体" w:hAnsi="宋体" w:cs="宋体"/>
                <w:b/>
              </w:rPr>
              <w:t>本项目第三章用户需求书全部内容</w:t>
            </w:r>
            <w:r>
              <w:rPr>
                <w:rFonts w:hint="eastAsia" w:ascii="宋体" w:hAnsi="宋体" w:cs="宋体"/>
                <w:b/>
                <w:lang w:eastAsia="zh-CN"/>
              </w:rPr>
              <w:t>（</w:t>
            </w:r>
            <w:r>
              <w:rPr>
                <w:rFonts w:hint="eastAsia" w:ascii="宋体" w:hAnsi="宋体" w:cs="宋体"/>
                <w:b/>
                <w:lang w:val="en-US" w:eastAsia="zh-CN"/>
              </w:rPr>
              <w:t>不包含：</w:t>
            </w:r>
            <w:r>
              <w:rPr>
                <w:rFonts w:hint="eastAsia" w:ascii="宋体" w:hAnsi="宋体" w:cs="宋体"/>
                <w:b/>
                <w:lang w:eastAsia="zh-CN"/>
              </w:rPr>
              <w:t>项目人员需求</w:t>
            </w:r>
            <w:r>
              <w:rPr>
                <w:rFonts w:hint="eastAsia" w:ascii="宋体" w:hAnsi="宋体" w:cs="宋体"/>
                <w:b/>
                <w:lang w:val="en-US" w:eastAsia="zh-CN"/>
              </w:rPr>
              <w:t>中的</w:t>
            </w:r>
            <w:r>
              <w:rPr>
                <w:rFonts w:hint="eastAsia" w:ascii="宋体" w:hAnsi="宋体" w:eastAsia="宋体" w:cs="宋体"/>
                <w:color w:val="000000" w:themeColor="text1"/>
                <w:szCs w:val="21"/>
                <w14:textFill>
                  <w14:solidFill>
                    <w14:schemeClr w14:val="tx1"/>
                  </w14:solidFill>
                </w14:textFill>
              </w:rPr>
              <w:t>人员可偏离条件</w:t>
            </w:r>
            <w:r>
              <w:rPr>
                <w:rFonts w:hint="eastAsia" w:ascii="宋体" w:hAnsi="宋体" w:cs="宋体"/>
                <w:b/>
                <w:lang w:eastAsia="zh-CN"/>
              </w:rPr>
              <w:t>）</w:t>
            </w:r>
          </w:p>
        </w:tc>
        <w:tc>
          <w:tcPr>
            <w:tcW w:w="1842" w:type="dxa"/>
          </w:tcPr>
          <w:p>
            <w:pPr>
              <w:adjustRightInd w:val="0"/>
              <w:snapToGrid w:val="0"/>
              <w:spacing w:line="360" w:lineRule="auto"/>
              <w:rPr>
                <w:rFonts w:ascii="宋体" w:hAnsi="宋体"/>
                <w:kern w:val="0"/>
                <w:szCs w:val="21"/>
              </w:rPr>
            </w:pPr>
            <w:r>
              <w:rPr>
                <w:rFonts w:hint="eastAsia" w:ascii="宋体" w:hAnsi="宋体"/>
                <w:kern w:val="0"/>
                <w:szCs w:val="21"/>
              </w:rPr>
              <w:t>无偏离</w:t>
            </w:r>
          </w:p>
        </w:tc>
        <w:tc>
          <w:tcPr>
            <w:tcW w:w="1418" w:type="dxa"/>
          </w:tcPr>
          <w:p>
            <w:pPr>
              <w:adjustRightInd w:val="0"/>
              <w:snapToGrid w:val="0"/>
              <w:spacing w:line="360" w:lineRule="auto"/>
              <w:rPr>
                <w:rFonts w:ascii="宋体" w:hAnsi="宋体"/>
                <w:kern w:val="0"/>
                <w:szCs w:val="21"/>
              </w:rPr>
            </w:pPr>
          </w:p>
        </w:tc>
      </w:tr>
    </w:tbl>
    <w:p>
      <w:pPr>
        <w:ind w:firstLine="422" w:firstLineChars="200"/>
        <w:rPr>
          <w:b/>
          <w:sz w:val="21"/>
          <w:szCs w:val="21"/>
        </w:rPr>
      </w:pPr>
      <w:r>
        <w:rPr>
          <w:rFonts w:hint="eastAsia"/>
          <w:b/>
          <w:sz w:val="21"/>
          <w:szCs w:val="21"/>
        </w:rPr>
        <w:t>注：1.上表所列各项均为不可负偏离条款。</w:t>
      </w:r>
    </w:p>
    <w:p>
      <w:pPr>
        <w:ind w:firstLine="422" w:firstLineChars="200"/>
        <w:rPr>
          <w:b/>
          <w:sz w:val="21"/>
          <w:szCs w:val="21"/>
        </w:rPr>
      </w:pPr>
      <w:r>
        <w:rPr>
          <w:rFonts w:hint="eastAsia"/>
          <w:b/>
          <w:sz w:val="21"/>
          <w:szCs w:val="21"/>
        </w:rPr>
        <w:t>2.“投标响应”一栏应当详细填写投标人自身响应情况，而不能不合理照搬照抄招实质性条款具体内容。</w:t>
      </w:r>
    </w:p>
    <w:p>
      <w:pPr>
        <w:ind w:firstLine="422" w:firstLineChars="200"/>
        <w:rPr>
          <w:b/>
          <w:sz w:val="21"/>
          <w:szCs w:val="21"/>
        </w:rPr>
      </w:pPr>
      <w:r>
        <w:rPr>
          <w:rFonts w:hint="eastAsia"/>
          <w:b/>
          <w:sz w:val="21"/>
          <w:szCs w:val="21"/>
        </w:rPr>
        <w:t>3</w:t>
      </w:r>
      <w:r>
        <w:rPr>
          <w:b/>
          <w:sz w:val="21"/>
          <w:szCs w:val="21"/>
        </w:rPr>
        <w:t>.</w:t>
      </w:r>
      <w:r>
        <w:rPr>
          <w:rFonts w:hint="eastAsia"/>
          <w:b/>
          <w:sz w:val="21"/>
          <w:szCs w:val="21"/>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2" w:firstLineChars="200"/>
        <w:rPr>
          <w:b/>
          <w:sz w:val="21"/>
          <w:szCs w:val="21"/>
        </w:rPr>
      </w:pPr>
      <w:r>
        <w:rPr>
          <w:b/>
          <w:sz w:val="21"/>
          <w:szCs w:val="21"/>
        </w:rPr>
        <w:t>4.</w:t>
      </w:r>
      <w:r>
        <w:rPr>
          <w:rFonts w:hint="eastAsia"/>
          <w:b/>
          <w:sz w:val="21"/>
          <w:szCs w:val="21"/>
        </w:rPr>
        <w:t>评审委员会有权对投标响应情况作出判断（作出评审结论）。</w:t>
      </w:r>
    </w:p>
    <w:p>
      <w:pPr>
        <w:ind w:firstLine="422" w:firstLineChars="200"/>
        <w:rPr>
          <w:b/>
          <w:sz w:val="21"/>
          <w:szCs w:val="21"/>
        </w:rPr>
      </w:pPr>
      <w:r>
        <w:rPr>
          <w:b/>
          <w:sz w:val="21"/>
          <w:szCs w:val="21"/>
        </w:rPr>
        <w:t>5</w:t>
      </w:r>
      <w:r>
        <w:rPr>
          <w:rFonts w:hint="eastAsia"/>
          <w:b/>
          <w:sz w:val="21"/>
          <w:szCs w:val="21"/>
        </w:rPr>
        <w:t>.实质性响应条款“投标响应情况”与投标文件其它内容冲突的，以实质性响应条款“投标响应情况”为准。</w:t>
      </w:r>
    </w:p>
    <w:p>
      <w:pPr>
        <w:ind w:firstLine="422" w:firstLineChars="200"/>
        <w:rPr>
          <w:rFonts w:hint="default" w:eastAsia="宋体"/>
          <w:b/>
          <w:sz w:val="21"/>
          <w:szCs w:val="21"/>
          <w:lang w:val="en-US" w:eastAsia="zh-CN"/>
        </w:rPr>
      </w:pPr>
      <w:r>
        <w:rPr>
          <w:rFonts w:hint="eastAsia"/>
          <w:b/>
          <w:sz w:val="21"/>
          <w:szCs w:val="21"/>
        </w:rPr>
        <w:t>6.要求提供证明资料，在“说明”一栏中列明证明资料的位置,以便评审；未要求提供证明材料的，投标人可以不提供。</w:t>
      </w:r>
      <w:r>
        <w:rPr>
          <w:rFonts w:hint="eastAsia"/>
          <w:b/>
          <w:sz w:val="21"/>
          <w:szCs w:val="21"/>
        </w:rPr>
        <w:br w:type="textWrapping"/>
      </w:r>
      <w:r>
        <w:rPr>
          <w:rFonts w:hint="eastAsia"/>
          <w:b/>
          <w:sz w:val="21"/>
          <w:szCs w:val="21"/>
          <w:lang w:val="en-US" w:eastAsia="zh-CN"/>
        </w:rPr>
        <w:t xml:space="preserve">   </w:t>
      </w:r>
      <w:r>
        <w:rPr>
          <w:rFonts w:hint="eastAsia"/>
          <w:b/>
          <w:bCs w:val="0"/>
          <w:color w:val="FF0000"/>
          <w:sz w:val="21"/>
          <w:szCs w:val="21"/>
          <w:highlight w:val="yellow"/>
          <w:lang w:val="en-US" w:eastAsia="zh-CN"/>
        </w:rPr>
        <w:t xml:space="preserve"> 7.提供</w:t>
      </w:r>
      <w:r>
        <w:rPr>
          <w:rFonts w:hint="eastAsia" w:ascii="宋体" w:hAnsi="宋体" w:cs="宋体"/>
          <w:b/>
          <w:bCs w:val="0"/>
          <w:color w:val="FF0000"/>
          <w:highlight w:val="yellow"/>
          <w:lang w:eastAsia="zh-CN"/>
        </w:rPr>
        <w:t>项目人员需求</w:t>
      </w:r>
      <w:r>
        <w:rPr>
          <w:rFonts w:hint="eastAsia" w:ascii="宋体" w:hAnsi="宋体" w:cs="宋体"/>
          <w:b/>
          <w:bCs w:val="0"/>
          <w:color w:val="FF0000"/>
          <w:highlight w:val="yellow"/>
          <w:lang w:val="en-US" w:eastAsia="zh-CN"/>
        </w:rPr>
        <w:t>中的</w:t>
      </w:r>
      <w:r>
        <w:rPr>
          <w:rFonts w:hint="eastAsia" w:ascii="宋体" w:hAnsi="宋体" w:eastAsia="宋体" w:cs="宋体"/>
          <w:b/>
          <w:bCs w:val="0"/>
          <w:color w:val="FF0000"/>
          <w:szCs w:val="21"/>
          <w:highlight w:val="yellow"/>
        </w:rPr>
        <w:t>人员必须具备条件</w:t>
      </w:r>
      <w:r>
        <w:rPr>
          <w:rFonts w:hint="eastAsia" w:ascii="宋体" w:hAnsi="宋体" w:eastAsia="宋体" w:cs="宋体"/>
          <w:b/>
          <w:bCs w:val="0"/>
          <w:color w:val="FF0000"/>
          <w:szCs w:val="21"/>
          <w:highlight w:val="yellow"/>
          <w:lang w:eastAsia="zh-CN"/>
        </w:rPr>
        <w:t>的</w:t>
      </w:r>
      <w:r>
        <w:rPr>
          <w:rFonts w:hint="eastAsia" w:ascii="宋体" w:hAnsi="宋体" w:eastAsia="宋体" w:cs="宋体"/>
          <w:b/>
          <w:bCs w:val="0"/>
          <w:color w:val="FF0000"/>
          <w:szCs w:val="21"/>
          <w:highlight w:val="yellow"/>
          <w:lang w:val="en-US" w:eastAsia="zh-CN"/>
        </w:rPr>
        <w:t>证书或</w:t>
      </w:r>
      <w:r>
        <w:rPr>
          <w:rFonts w:hint="eastAsia" w:ascii="宋体" w:hAnsi="宋体" w:eastAsia="宋体"/>
          <w:b/>
          <w:bCs/>
          <w:color w:val="FF0000"/>
          <w:szCs w:val="21"/>
          <w:highlight w:val="yellow"/>
          <w:lang w:val="en-US" w:eastAsia="zh-CN"/>
        </w:rPr>
        <w:t>提供中标后提供以上人员证书承诺函（格式自拟）。</w:t>
      </w:r>
    </w:p>
    <w:p>
      <w:pPr>
        <w:pStyle w:val="5"/>
        <w:numPr>
          <w:ilvl w:val="0"/>
          <w:numId w:val="8"/>
        </w:numPr>
        <w:jc w:val="center"/>
        <w:rPr>
          <w:rFonts w:hint="eastAsia" w:ascii="黑体" w:hAnsi="宋体" w:eastAsia="黑体"/>
          <w:b w:val="0"/>
          <w:bCs w:val="0"/>
          <w:sz w:val="24"/>
          <w:szCs w:val="20"/>
        </w:rPr>
      </w:pPr>
      <w:r>
        <w:rPr>
          <w:rFonts w:hint="eastAsia" w:ascii="黑体" w:hAnsi="宋体" w:eastAsia="黑体"/>
          <w:b w:val="0"/>
          <w:bCs w:val="0"/>
          <w:sz w:val="24"/>
          <w:szCs w:val="20"/>
        </w:rPr>
        <w:t>服务方案</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pStyle w:val="5"/>
        <w:numPr>
          <w:ilvl w:val="0"/>
          <w:numId w:val="8"/>
        </w:numPr>
        <w:jc w:val="center"/>
        <w:rPr>
          <w:rFonts w:hint="eastAsia" w:ascii="黑体" w:hAnsi="宋体" w:eastAsia="黑体"/>
          <w:b w:val="0"/>
          <w:bCs w:val="0"/>
          <w:sz w:val="24"/>
          <w:szCs w:val="20"/>
        </w:rPr>
      </w:pPr>
      <w:r>
        <w:rPr>
          <w:rFonts w:hint="eastAsia" w:ascii="黑体" w:hAnsi="宋体" w:eastAsia="黑体"/>
          <w:b w:val="0"/>
          <w:bCs w:val="0"/>
          <w:sz w:val="24"/>
          <w:szCs w:val="20"/>
        </w:rPr>
        <w:t>质量保障措施及方案</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pStyle w:val="5"/>
        <w:numPr>
          <w:ilvl w:val="0"/>
          <w:numId w:val="8"/>
        </w:numPr>
        <w:jc w:val="center"/>
        <w:rPr>
          <w:rFonts w:hint="eastAsia" w:ascii="黑体" w:hAnsi="宋体" w:eastAsia="黑体"/>
          <w:b w:val="0"/>
          <w:bCs w:val="0"/>
          <w:sz w:val="24"/>
          <w:szCs w:val="20"/>
        </w:rPr>
      </w:pPr>
      <w:r>
        <w:rPr>
          <w:rFonts w:hint="eastAsia" w:ascii="黑体" w:hAnsi="宋体" w:eastAsia="黑体"/>
          <w:b w:val="0"/>
          <w:bCs w:val="0"/>
          <w:sz w:val="24"/>
          <w:szCs w:val="20"/>
        </w:rPr>
        <w:t>项目重点难点分析、应对措施及相关的合理化建议</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5"/>
        <w:numPr>
          <w:ilvl w:val="0"/>
          <w:numId w:val="8"/>
        </w:numPr>
        <w:jc w:val="center"/>
        <w:rPr>
          <w:rFonts w:hint="eastAsia" w:ascii="黑体" w:hAnsi="宋体" w:eastAsia="黑体"/>
          <w:b w:val="0"/>
          <w:bCs w:val="0"/>
          <w:sz w:val="24"/>
          <w:szCs w:val="20"/>
        </w:rPr>
      </w:pPr>
      <w:r>
        <w:rPr>
          <w:rFonts w:hint="eastAsia" w:ascii="黑体" w:hAnsi="宋体" w:eastAsia="黑体"/>
          <w:b w:val="0"/>
          <w:bCs w:val="0"/>
          <w:sz w:val="24"/>
          <w:szCs w:val="20"/>
        </w:rPr>
        <w:t>拟安排项目负责人情况（仅限一人，质量负责人、项目团队除外）</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5"/>
        <w:numPr>
          <w:ilvl w:val="0"/>
          <w:numId w:val="8"/>
        </w:numPr>
        <w:jc w:val="center"/>
        <w:rPr>
          <w:rFonts w:hint="eastAsia" w:ascii="黑体" w:hAnsi="宋体" w:eastAsia="黑体"/>
          <w:b w:val="0"/>
          <w:bCs w:val="0"/>
          <w:sz w:val="24"/>
          <w:szCs w:val="20"/>
        </w:rPr>
      </w:pPr>
      <w:r>
        <w:rPr>
          <w:rFonts w:hint="eastAsia" w:ascii="黑体" w:hAnsi="宋体" w:eastAsia="黑体"/>
          <w:b w:val="0"/>
          <w:bCs w:val="0"/>
          <w:sz w:val="24"/>
          <w:szCs w:val="20"/>
        </w:rPr>
        <w:t>拟安排项目质量负责人情况（仅限一人，项目负责人、项目团队除外）</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5"/>
        <w:numPr>
          <w:ilvl w:val="0"/>
          <w:numId w:val="8"/>
        </w:numPr>
        <w:jc w:val="center"/>
        <w:rPr>
          <w:rFonts w:hint="eastAsia" w:ascii="黑体" w:hAnsi="宋体" w:eastAsia="黑体"/>
          <w:b w:val="0"/>
          <w:bCs w:val="0"/>
          <w:sz w:val="24"/>
          <w:szCs w:val="20"/>
        </w:rPr>
      </w:pPr>
      <w:r>
        <w:rPr>
          <w:rFonts w:hint="eastAsia" w:ascii="黑体" w:hAnsi="宋体" w:eastAsia="黑体"/>
          <w:b w:val="0"/>
          <w:bCs w:val="0"/>
          <w:sz w:val="24"/>
          <w:szCs w:val="20"/>
        </w:rPr>
        <w:t>项目团队（项目负责人、项目质量负责人除外）情况</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pStyle w:val="5"/>
        <w:numPr>
          <w:ilvl w:val="0"/>
          <w:numId w:val="8"/>
        </w:numPr>
        <w:jc w:val="center"/>
        <w:rPr>
          <w:rFonts w:hint="eastAsia" w:ascii="黑体" w:hAnsi="宋体" w:eastAsia="黑体"/>
          <w:b w:val="0"/>
          <w:bCs w:val="0"/>
          <w:sz w:val="24"/>
          <w:szCs w:val="20"/>
        </w:rPr>
      </w:pPr>
      <w:r>
        <w:rPr>
          <w:rFonts w:hint="eastAsia" w:ascii="黑体" w:hAnsi="宋体" w:eastAsia="黑体"/>
          <w:b w:val="0"/>
          <w:bCs w:val="0"/>
          <w:sz w:val="24"/>
          <w:szCs w:val="20"/>
        </w:rPr>
        <w:t>投标人通过相关认证情况</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pStyle w:val="5"/>
        <w:numPr>
          <w:ilvl w:val="0"/>
          <w:numId w:val="8"/>
        </w:numPr>
        <w:jc w:val="center"/>
        <w:rPr>
          <w:rFonts w:hint="eastAsia" w:ascii="黑体" w:hAnsi="宋体" w:eastAsia="黑体"/>
          <w:b w:val="0"/>
          <w:bCs w:val="0"/>
          <w:sz w:val="24"/>
          <w:szCs w:val="20"/>
        </w:rPr>
      </w:pPr>
      <w:r>
        <w:rPr>
          <w:rFonts w:hint="eastAsia" w:ascii="黑体" w:hAnsi="宋体" w:eastAsia="黑体"/>
          <w:b w:val="0"/>
          <w:bCs w:val="0"/>
          <w:sz w:val="24"/>
          <w:szCs w:val="20"/>
        </w:rPr>
        <w:t>服务网点</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pStyle w:val="5"/>
        <w:numPr>
          <w:ilvl w:val="0"/>
          <w:numId w:val="8"/>
        </w:numPr>
        <w:jc w:val="center"/>
        <w:rPr>
          <w:rFonts w:hint="eastAsia" w:ascii="黑体" w:hAnsi="宋体" w:eastAsia="黑体"/>
          <w:b w:val="0"/>
          <w:bCs w:val="0"/>
          <w:sz w:val="24"/>
          <w:szCs w:val="20"/>
        </w:rPr>
      </w:pPr>
      <w:r>
        <w:rPr>
          <w:rFonts w:hint="eastAsia" w:ascii="黑体" w:hAnsi="宋体" w:eastAsia="黑体"/>
          <w:b w:val="0"/>
          <w:bCs w:val="0"/>
          <w:sz w:val="24"/>
          <w:szCs w:val="20"/>
        </w:rPr>
        <w:t>同类项目业绩</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5"/>
        <w:numPr>
          <w:ilvl w:val="0"/>
          <w:numId w:val="8"/>
        </w:numPr>
        <w:jc w:val="center"/>
        <w:rPr>
          <w:rFonts w:hint="eastAsia" w:ascii="黑体" w:hAnsi="宋体" w:eastAsia="黑体"/>
          <w:b w:val="0"/>
          <w:bCs w:val="0"/>
          <w:sz w:val="24"/>
          <w:szCs w:val="20"/>
        </w:rPr>
      </w:pPr>
      <w:r>
        <w:rPr>
          <w:rFonts w:hint="eastAsia" w:ascii="黑体" w:hAnsi="宋体" w:eastAsia="黑体"/>
          <w:b w:val="0"/>
          <w:bCs w:val="0"/>
          <w:sz w:val="24"/>
          <w:szCs w:val="20"/>
        </w:rPr>
        <w:t>投标人认为需要加以说明的其他内容服务方案</w:t>
      </w:r>
    </w:p>
    <w:p>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ascii="黑体" w:hAnsi="宋体" w:eastAsia="黑体"/>
          <w:kern w:val="0"/>
          <w:sz w:val="24"/>
          <w:szCs w:val="20"/>
        </w:rPr>
      </w:pPr>
    </w:p>
    <w:p>
      <w:pPr>
        <w:ind w:firstLine="420" w:firstLineChars="200"/>
      </w:pPr>
      <w:r>
        <w:rPr>
          <w:rFonts w:hint="eastAsia"/>
        </w:rPr>
        <w:t>本公司在投标前已充分知悉以下情形为参与政府采购活动时的重大风险事项，并承诺已对下述风险提示事项重点排查，做到严谨、诚信、依法依规参与政府采购活动。</w:t>
      </w:r>
    </w:p>
    <w:p>
      <w:pPr>
        <w:ind w:firstLine="422" w:firstLineChars="200"/>
        <w:rPr>
          <w:b/>
        </w:rPr>
      </w:pPr>
      <w:r>
        <w:rPr>
          <w:rFonts w:hint="eastAsia"/>
          <w:b/>
        </w:rPr>
        <w:t>一、本公司已充分知悉“隐瞒真实情况，提供虚假资料”的法定情形，相关情形包括但不限于：</w:t>
      </w:r>
    </w:p>
    <w:p>
      <w:pPr>
        <w:ind w:firstLine="420" w:firstLineChars="200"/>
      </w:pPr>
      <w:r>
        <w:rPr>
          <w:rFonts w:hint="eastAsia"/>
        </w:rPr>
        <w:t>（一）通过转让或者租借等方式从其他单位获取资格或者资质证书投标的。</w:t>
      </w:r>
    </w:p>
    <w:p>
      <w:pPr>
        <w:ind w:firstLine="420" w:firstLineChars="200"/>
      </w:pPr>
      <w:r>
        <w:rPr>
          <w:rFonts w:hint="eastAsia"/>
        </w:rPr>
        <w:t>（二）由其他单位或者其他单位负责人在投标供应商编制的投标文件上加盖印章或者签字的。</w:t>
      </w:r>
    </w:p>
    <w:p>
      <w:pPr>
        <w:ind w:firstLine="420" w:firstLineChars="200"/>
      </w:pPr>
      <w:r>
        <w:rPr>
          <w:rFonts w:hint="eastAsia"/>
        </w:rPr>
        <w:t>（三）项目负责人或者主要技术人员不是本单位人员的。</w:t>
      </w:r>
    </w:p>
    <w:p>
      <w:pPr>
        <w:ind w:firstLine="420" w:firstLineChars="200"/>
      </w:pPr>
      <w:r>
        <w:rPr>
          <w:rFonts w:hint="eastAsia"/>
        </w:rPr>
        <w:t>（四）投标保证金不是从投标供应商基本账户转出的。</w:t>
      </w:r>
    </w:p>
    <w:p>
      <w:pPr>
        <w:ind w:firstLine="420" w:firstLineChars="200"/>
      </w:pPr>
      <w:r>
        <w:rPr>
          <w:rFonts w:hint="eastAsia"/>
        </w:rPr>
        <w:t>（五）其他隐瞒真实情况、提供虚假资料的行为。</w:t>
      </w:r>
    </w:p>
    <w:p>
      <w:pPr>
        <w:ind w:firstLine="422" w:firstLineChars="200"/>
        <w:rPr>
          <w:b/>
        </w:rPr>
      </w:pPr>
      <w:r>
        <w:rPr>
          <w:rFonts w:hint="eastAsia"/>
          <w:b/>
        </w:rPr>
        <w:t>二、本公司已充分知悉“与其他采购参加人串通投标”的法定情形，相关情形包括但不限于：</w:t>
      </w:r>
    </w:p>
    <w:p>
      <w:pPr>
        <w:ind w:firstLine="420" w:firstLineChars="200"/>
      </w:pPr>
      <w:r>
        <w:rPr>
          <w:rFonts w:hint="eastAsia"/>
        </w:rPr>
        <w:t>（一）投标供应商之间相互约定给予未中标的供应商利益补偿。</w:t>
      </w:r>
    </w:p>
    <w:p>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pPr>
        <w:ind w:firstLine="420" w:firstLineChars="200"/>
      </w:pPr>
      <w:r>
        <w:rPr>
          <w:rFonts w:hint="eastAsia"/>
        </w:rPr>
        <w:t>（三）不同投标供应商的投标文件由同一单位或者同一人编制，或者由同一人分阶段参与编制的。</w:t>
      </w:r>
    </w:p>
    <w:p>
      <w:pPr>
        <w:ind w:firstLine="420" w:firstLineChars="200"/>
      </w:pPr>
      <w:r>
        <w:rPr>
          <w:rFonts w:hint="eastAsia"/>
        </w:rPr>
        <w:t>（四）不同投标供应商的投标文件或部分投标文件相互混装。</w:t>
      </w:r>
    </w:p>
    <w:p>
      <w:pPr>
        <w:ind w:firstLine="420" w:firstLineChars="200"/>
      </w:pPr>
      <w:r>
        <w:rPr>
          <w:rFonts w:hint="eastAsia"/>
        </w:rPr>
        <w:t>（五）不同投标供应商的投标文件内容存在非正常一致。</w:t>
      </w:r>
    </w:p>
    <w:p>
      <w:pPr>
        <w:ind w:firstLine="420" w:firstLineChars="200"/>
      </w:pPr>
      <w:r>
        <w:rPr>
          <w:rFonts w:hint="eastAsia"/>
        </w:rPr>
        <w:t>（六）由同一单位工作人员为两家以上（含两家）供应商进行同一项投标活动的。</w:t>
      </w:r>
    </w:p>
    <w:p>
      <w:pPr>
        <w:ind w:firstLine="420" w:firstLineChars="200"/>
      </w:pPr>
      <w:r>
        <w:rPr>
          <w:rFonts w:hint="eastAsia"/>
        </w:rPr>
        <w:t>（七）不同投标人的投标报价呈规律性差异。</w:t>
      </w:r>
    </w:p>
    <w:p>
      <w:pPr>
        <w:ind w:firstLine="420" w:firstLineChars="200"/>
      </w:pPr>
      <w:r>
        <w:rPr>
          <w:rFonts w:hint="eastAsia"/>
        </w:rPr>
        <w:t>（八）不同投标人的投标保证金从同一单位或者个人的账户转出。</w:t>
      </w:r>
    </w:p>
    <w:p>
      <w:pPr>
        <w:ind w:firstLine="420" w:firstLineChars="200"/>
      </w:pPr>
      <w:r>
        <w:rPr>
          <w:rFonts w:hint="eastAsia"/>
        </w:rPr>
        <w:t>（九）主管部门依照法律、法规认定的其他情形。</w:t>
      </w:r>
    </w:p>
    <w:p>
      <w:pPr>
        <w:ind w:firstLine="422" w:firstLineChars="200"/>
        <w:rPr>
          <w:b/>
        </w:rPr>
      </w:pPr>
      <w:r>
        <w:rPr>
          <w:rFonts w:hint="eastAsia"/>
          <w:b/>
        </w:rPr>
        <w:t>三、本公司已充分知悉下列情形所对应的法律风险，并在投标前已对相关风险事项进行排查。</w:t>
      </w:r>
    </w:p>
    <w:p>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pPr>
      <w:r>
        <w:rPr>
          <w:rFonts w:hint="eastAsia"/>
        </w:rPr>
        <w:t>（三）对于涉及安全生产、特种作业、抢险救灾、防疫等政府采购项目，供应商实施提供虚假资料、串通投标等违法行为的，主管部门将依法从严处理。</w:t>
      </w:r>
    </w:p>
    <w:p>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pPr>
      <w:r>
        <w:rPr>
          <w:rFonts w:hint="eastAsia"/>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ind w:firstLine="420" w:firstLineChars="200"/>
      </w:pPr>
      <w:r>
        <w:rPr>
          <w:rFonts w:hint="eastAsia"/>
        </w:rPr>
        <w:t>（六）单位负责人为同一人或者存在直接控股、管理关系的不同供应商，不得参加同一合同项下的政府采购活动。相关情形如查实，依法作投标无效处理；涉嫌串通投标等违法行为的，主管部门将依法调查处理。</w:t>
      </w:r>
    </w:p>
    <w:p>
      <w:pPr>
        <w:ind w:firstLine="422" w:firstLineChars="200"/>
        <w:rPr>
          <w:b/>
        </w:rPr>
      </w:pPr>
      <w:r>
        <w:rPr>
          <w:rFonts w:hint="eastAsia"/>
          <w:b/>
        </w:rPr>
        <w:t>四、本公司已充分知悉政府采购违法、违规行为的法律后果。</w:t>
      </w:r>
    </w:p>
    <w:p>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pPr>
      <w:r>
        <w:rPr>
          <w:rFonts w:hint="eastAsia"/>
          <w:highlight w:val="yellow"/>
        </w:rPr>
        <w:t>以下文字请投标供应商抄写并确认：“本公司已仔细阅读《政府采购违法行为风险知悉确认书》，充分知悉违法行为的法律后果，并承诺将严谨、诚信、依法依规参与政府采购活动”。</w:t>
      </w:r>
    </w:p>
    <w:tbl>
      <w:tblPr>
        <w:tblStyle w:val="5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ascii="宋体" w:hAnsi="宋体"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1414" w:firstLine="404" w:firstLineChars="200"/>
        <w:jc w:val="right"/>
        <w:rPr>
          <w:rFonts w:ascii="宋体" w:hAnsi="宋体" w:eastAsiaTheme="minorEastAsia"/>
          <w:spacing w:val="-4"/>
          <w:kern w:val="0"/>
          <w:szCs w:val="21"/>
        </w:rPr>
      </w:pPr>
      <w:r>
        <w:rPr>
          <w:rFonts w:hint="eastAsia" w:ascii="宋体" w:hAnsi="宋体" w:eastAsiaTheme="minorEastAsia"/>
          <w:spacing w:val="-4"/>
          <w:kern w:val="0"/>
          <w:szCs w:val="21"/>
        </w:rPr>
        <w:t xml:space="preserve">     </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w:t>
      </w:r>
      <w:r>
        <w:rPr>
          <w:rFonts w:hint="eastAsia" w:ascii="宋体" w:hAnsi="宋体" w:eastAsiaTheme="minorEastAsia"/>
          <w:b/>
          <w:bCs/>
          <w:color w:val="FF0000"/>
          <w:spacing w:val="-4"/>
          <w:kern w:val="0"/>
          <w:szCs w:val="21"/>
          <w:highlight w:val="yellow"/>
        </w:rPr>
        <w:t>并加盖单位公章</w:t>
      </w:r>
      <w:r>
        <w:rPr>
          <w:rFonts w:hint="eastAsia" w:ascii="宋体" w:hAnsi="宋体" w:eastAsiaTheme="minorEastAsia"/>
          <w:b/>
          <w:bCs/>
          <w:color w:val="FF0000"/>
          <w:spacing w:val="-4"/>
          <w:kern w:val="0"/>
          <w:szCs w:val="21"/>
        </w:rPr>
        <w:t>后，扫描上传至投标文件一并提交。</w:t>
      </w:r>
    </w:p>
    <w:p>
      <w:pPr>
        <w:widowControl/>
        <w:autoSpaceDE w:val="0"/>
        <w:autoSpaceDN w:val="0"/>
        <w:spacing w:line="400" w:lineRule="exact"/>
        <w:ind w:right="1414" w:firstLine="480" w:firstLineChars="200"/>
        <w:jc w:val="right"/>
        <w:rPr>
          <w:rFonts w:eastAsiaTheme="minorEastAsia"/>
          <w:kern w:val="0"/>
          <w:sz w:val="24"/>
        </w:rPr>
      </w:pPr>
    </w:p>
    <w:p>
      <w:pPr>
        <w:widowControl/>
        <w:jc w:val="center"/>
        <w:rPr>
          <w:rFonts w:ascii="黑体" w:hAnsi="宋体" w:eastAsia="黑体"/>
          <w:kern w:val="0"/>
          <w:sz w:val="24"/>
          <w:szCs w:val="20"/>
        </w:rPr>
      </w:pPr>
      <w:r>
        <w:rPr>
          <w:rFonts w:hint="eastAsia" w:ascii="黑体" w:hAnsi="宋体" w:eastAsia="黑体"/>
          <w:kern w:val="0"/>
          <w:sz w:val="24"/>
          <w:szCs w:val="20"/>
        </w:rPr>
        <w:t>（二）投标人认为需要加以说明的其他内容（格式自定）</w:t>
      </w:r>
    </w:p>
    <w:p>
      <w:pPr>
        <w:pStyle w:val="11"/>
        <w:sectPr>
          <w:footerReference r:id="rId6" w:type="default"/>
          <w:pgSz w:w="11907" w:h="16840"/>
          <w:pgMar w:top="1440" w:right="1797" w:bottom="1440" w:left="1797" w:header="851" w:footer="992" w:gutter="0"/>
          <w:cols w:space="425" w:num="1"/>
          <w:titlePg/>
          <w:docGrid w:linePitch="462" w:charSpace="0"/>
        </w:sectPr>
      </w:pP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pPr>
        <w:widowControl/>
        <w:jc w:val="center"/>
        <w:rPr>
          <w:rFonts w:ascii="宋体" w:hAnsi="宋体" w:eastAsia="黑体" w:cs="Times New Roman"/>
          <w:bCs/>
          <w:kern w:val="44"/>
          <w:sz w:val="28"/>
          <w:szCs w:val="44"/>
        </w:rPr>
      </w:pPr>
      <w:bookmarkStart w:id="32" w:name="_Hlk72574405"/>
      <w:r>
        <w:rPr>
          <w:rFonts w:hint="eastAsia"/>
          <w:b/>
          <w:sz w:val="24"/>
        </w:rPr>
        <w:t>（仅供参考，具体以项目需求及采购结果为准）</w:t>
      </w:r>
      <w:bookmarkEnd w:id="32"/>
    </w:p>
    <w:p>
      <w:pPr>
        <w:snapToGrid w:val="0"/>
        <w:spacing w:line="300" w:lineRule="auto"/>
        <w:jc w:val="center"/>
        <w:rPr>
          <w:rFonts w:ascii="仿宋" w:hAnsi="仿宋" w:eastAsia="仿宋" w:cs="Times New Roman"/>
          <w:sz w:val="28"/>
          <w:szCs w:val="28"/>
        </w:rPr>
      </w:pPr>
    </w:p>
    <w:p>
      <w:pPr>
        <w:rPr>
          <w:rFonts w:ascii="宋体" w:hAnsi="宋体" w:eastAsia="宋体" w:cs="Times New Roman"/>
          <w:b/>
          <w:bCs/>
          <w:sz w:val="24"/>
          <w:szCs w:val="24"/>
        </w:rPr>
      </w:pPr>
      <w:r>
        <w:rPr>
          <w:rFonts w:hint="eastAsia" w:ascii="宋体" w:hAnsi="宋体" w:eastAsia="宋体" w:cs="Times New Roman"/>
          <w:b/>
          <w:bCs/>
          <w:sz w:val="24"/>
          <w:szCs w:val="24"/>
        </w:rPr>
        <w:t>甲方：</w:t>
      </w:r>
    </w:p>
    <w:p>
      <w:pPr>
        <w:rPr>
          <w:rFonts w:ascii="宋体" w:hAnsi="宋体" w:eastAsia="宋体" w:cs="Times New Roman"/>
          <w:sz w:val="24"/>
          <w:szCs w:val="24"/>
        </w:rPr>
      </w:pPr>
      <w:r>
        <w:rPr>
          <w:rFonts w:hint="eastAsia" w:ascii="宋体" w:hAnsi="宋体" w:eastAsia="宋体" w:cs="Times New Roman"/>
          <w:sz w:val="24"/>
          <w:szCs w:val="24"/>
        </w:rPr>
        <w:t>地址：</w:t>
      </w:r>
    </w:p>
    <w:p>
      <w:pPr>
        <w:rPr>
          <w:rFonts w:ascii="宋体" w:hAnsi="宋体" w:eastAsia="宋体" w:cs="Times New Roman"/>
          <w:sz w:val="24"/>
          <w:szCs w:val="24"/>
        </w:rPr>
      </w:pPr>
      <w:r>
        <w:rPr>
          <w:rFonts w:hint="eastAsia" w:ascii="宋体" w:hAnsi="宋体" w:eastAsia="宋体" w:cs="Times New Roman"/>
          <w:sz w:val="24"/>
          <w:szCs w:val="24"/>
        </w:rPr>
        <w:t>联系人：</w:t>
      </w:r>
    </w:p>
    <w:p>
      <w:pPr>
        <w:rPr>
          <w:rFonts w:ascii="宋体" w:hAnsi="宋体" w:eastAsia="宋体" w:cs="Times New Roman"/>
          <w:b/>
          <w:bCs/>
          <w:sz w:val="24"/>
          <w:szCs w:val="24"/>
        </w:rPr>
      </w:pPr>
      <w:r>
        <w:rPr>
          <w:rFonts w:hint="eastAsia" w:ascii="宋体" w:hAnsi="宋体" w:eastAsia="宋体" w:cs="Times New Roman"/>
          <w:sz w:val="24"/>
          <w:szCs w:val="24"/>
        </w:rPr>
        <w:t>联系电话：</w:t>
      </w:r>
    </w:p>
    <w:p>
      <w:pPr>
        <w:rPr>
          <w:rFonts w:ascii="宋体" w:hAnsi="宋体" w:eastAsia="宋体" w:cs="Times New Roman"/>
          <w:b/>
          <w:bCs/>
          <w:sz w:val="24"/>
          <w:szCs w:val="24"/>
        </w:rPr>
      </w:pPr>
    </w:p>
    <w:p>
      <w:pPr>
        <w:rPr>
          <w:rFonts w:ascii="宋体" w:hAnsi="宋体" w:eastAsia="宋体" w:cs="Times New Roman"/>
          <w:b/>
          <w:bCs/>
          <w:sz w:val="24"/>
          <w:szCs w:val="24"/>
        </w:rPr>
      </w:pPr>
      <w:r>
        <w:rPr>
          <w:rFonts w:hint="eastAsia" w:ascii="宋体" w:hAnsi="宋体" w:eastAsia="宋体" w:cs="Times New Roman"/>
          <w:b/>
          <w:bCs/>
          <w:sz w:val="24"/>
          <w:szCs w:val="24"/>
        </w:rPr>
        <w:t>乙方：</w:t>
      </w:r>
    </w:p>
    <w:p>
      <w:pPr>
        <w:rPr>
          <w:rFonts w:ascii="宋体" w:hAnsi="宋体" w:eastAsia="宋体" w:cs="Times New Roman"/>
          <w:sz w:val="24"/>
          <w:szCs w:val="24"/>
        </w:rPr>
      </w:pPr>
      <w:r>
        <w:rPr>
          <w:rFonts w:hint="eastAsia" w:ascii="宋体" w:hAnsi="宋体" w:eastAsia="宋体" w:cs="Times New Roman"/>
          <w:sz w:val="24"/>
          <w:szCs w:val="24"/>
        </w:rPr>
        <w:t>地址：</w:t>
      </w:r>
    </w:p>
    <w:p>
      <w:pPr>
        <w:rPr>
          <w:rFonts w:ascii="宋体" w:hAnsi="宋体" w:eastAsia="宋体" w:cs="Times New Roman"/>
          <w:sz w:val="24"/>
          <w:szCs w:val="24"/>
        </w:rPr>
      </w:pPr>
      <w:r>
        <w:rPr>
          <w:rFonts w:hint="eastAsia" w:ascii="宋体" w:hAnsi="宋体" w:eastAsia="宋体" w:cs="Times New Roman"/>
          <w:sz w:val="24"/>
          <w:szCs w:val="24"/>
        </w:rPr>
        <w:t>联系人：</w:t>
      </w:r>
    </w:p>
    <w:p>
      <w:pPr>
        <w:rPr>
          <w:rFonts w:ascii="宋体" w:hAnsi="宋体" w:eastAsia="宋体" w:cs="Times New Roman"/>
          <w:b/>
          <w:bCs/>
          <w:sz w:val="24"/>
          <w:szCs w:val="24"/>
        </w:rPr>
      </w:pPr>
      <w:r>
        <w:rPr>
          <w:rFonts w:hint="eastAsia" w:ascii="宋体" w:hAnsi="宋体" w:eastAsia="宋体" w:cs="Times New Roman"/>
          <w:sz w:val="24"/>
          <w:szCs w:val="24"/>
        </w:rPr>
        <w:t>联系电话：</w:t>
      </w:r>
    </w:p>
    <w:p>
      <w:pPr>
        <w:rPr>
          <w:rFonts w:ascii="宋体" w:hAnsi="宋体" w:eastAsia="宋体" w:cs="Times New Roman"/>
          <w:sz w:val="24"/>
          <w:szCs w:val="24"/>
        </w:rPr>
      </w:pPr>
    </w:p>
    <w:p>
      <w:pPr>
        <w:rPr>
          <w:rFonts w:ascii="宋体" w:hAnsi="宋体" w:eastAsia="宋体" w:cs="Times New Roman"/>
          <w:sz w:val="24"/>
          <w:szCs w:val="24"/>
        </w:rPr>
      </w:pP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根据深圳公共资源交易中心（深圳交易集团有限公司*</w:t>
      </w:r>
      <w:r>
        <w:rPr>
          <w:rFonts w:ascii="宋体" w:hAnsi="宋体" w:eastAsia="宋体" w:cs="Times New Roman"/>
          <w:sz w:val="24"/>
          <w:szCs w:val="24"/>
        </w:rPr>
        <w:t>**</w:t>
      </w:r>
      <w:r>
        <w:rPr>
          <w:rFonts w:hint="eastAsia" w:ascii="宋体" w:hAnsi="宋体" w:eastAsia="宋体" w:cs="Times New Roman"/>
          <w:sz w:val="24"/>
          <w:szCs w:val="24"/>
        </w:rPr>
        <w:t>分公司）*</w:t>
      </w:r>
      <w:r>
        <w:rPr>
          <w:rFonts w:ascii="宋体" w:hAnsi="宋体" w:eastAsia="宋体" w:cs="Times New Roman"/>
          <w:sz w:val="24"/>
          <w:szCs w:val="24"/>
        </w:rPr>
        <w:t>**</w:t>
      </w:r>
      <w:r>
        <w:rPr>
          <w:rFonts w:hint="eastAsia" w:ascii="宋体" w:hAnsi="宋体" w:eastAsia="宋体" w:cs="Times New Roman"/>
          <w:sz w:val="24"/>
          <w:szCs w:val="24"/>
        </w:rPr>
        <w:t>号项目结果，*</w:t>
      </w:r>
      <w:r>
        <w:rPr>
          <w:rFonts w:ascii="宋体" w:hAnsi="宋体" w:eastAsia="宋体" w:cs="Times New Roman"/>
          <w:sz w:val="24"/>
          <w:szCs w:val="24"/>
        </w:rPr>
        <w:t>**</w:t>
      </w:r>
      <w:r>
        <w:rPr>
          <w:rFonts w:hint="eastAsia" w:ascii="宋体" w:hAnsi="宋体" w:eastAsia="宋体" w:cs="Times New Roman"/>
          <w:sz w:val="24"/>
          <w:szCs w:val="24"/>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Times New Roman"/>
          <w:b/>
          <w:bCs/>
          <w:snapToGrid w:val="0"/>
          <w:kern w:val="0"/>
          <w:sz w:val="24"/>
          <w:szCs w:val="24"/>
          <w:u w:val="single"/>
          <w:lang w:val="zh-CN"/>
        </w:rPr>
        <w:t xml:space="preserve">                      项目</w:t>
      </w:r>
      <w:r>
        <w:rPr>
          <w:rFonts w:hint="eastAsia" w:ascii="宋体" w:hAnsi="宋体" w:eastAsia="宋体" w:cs="Times New Roman"/>
          <w:sz w:val="24"/>
          <w:szCs w:val="24"/>
        </w:rPr>
        <w:t>，达成以下合同条款：</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第一条　项目概况</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项目名称：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项目内容：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服务时间：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合同价款：合同总价为元，含一切税、费。</w:t>
      </w:r>
      <w:r>
        <w:rPr>
          <w:rFonts w:ascii="Times New Roman" w:hAnsi="Times New Roman" w:eastAsia="宋体" w:cs="Times New Roman"/>
          <w:sz w:val="24"/>
          <w:szCs w:val="24"/>
        </w:rPr>
        <w:t>本合同总价包括</w:t>
      </w:r>
      <w:r>
        <w:rPr>
          <w:rFonts w:hint="eastAsia" w:ascii="宋体" w:hAnsi="宋体" w:eastAsia="宋体" w:cs="Times New Roman"/>
          <w:sz w:val="24"/>
          <w:szCs w:val="24"/>
        </w:rPr>
        <w:t>乙方为实施本项目*</w:t>
      </w:r>
      <w:r>
        <w:rPr>
          <w:rFonts w:ascii="宋体" w:hAnsi="宋体" w:eastAsia="宋体" w:cs="Times New Roman"/>
          <w:sz w:val="24"/>
          <w:szCs w:val="24"/>
        </w:rPr>
        <w:t>**</w:t>
      </w:r>
      <w:r>
        <w:rPr>
          <w:rFonts w:hint="eastAsia" w:ascii="宋体" w:hAnsi="宋体" w:eastAsia="宋体" w:cs="Times New Roman"/>
          <w:sz w:val="24"/>
          <w:szCs w:val="24"/>
        </w:rPr>
        <w:t>所需的设备仪器费、车辆租赁费、</w:t>
      </w:r>
      <w:r>
        <w:rPr>
          <w:rFonts w:ascii="Times New Roman" w:hAnsi="Times New Roman" w:eastAsia="宋体" w:cs="Times New Roman"/>
          <w:sz w:val="24"/>
          <w:szCs w:val="24"/>
        </w:rPr>
        <w:t>服务</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技术费用</w:t>
      </w:r>
      <w:r>
        <w:rPr>
          <w:rFonts w:hint="eastAsia" w:ascii="Times New Roman" w:hAnsi="Times New Roman" w:eastAsia="宋体" w:cs="Times New Roman"/>
          <w:sz w:val="24"/>
          <w:szCs w:val="24"/>
        </w:rPr>
        <w:t>等</w:t>
      </w:r>
      <w:r>
        <w:rPr>
          <w:rFonts w:ascii="Times New Roman" w:hAnsi="Times New Roman" w:eastAsia="宋体" w:cs="Times New Roman"/>
          <w:sz w:val="24"/>
          <w:szCs w:val="24"/>
        </w:rPr>
        <w:t>，为固定不变价格，且不随通货膨胀的影响而波动。合同总价包括</w:t>
      </w:r>
      <w:r>
        <w:rPr>
          <w:rFonts w:hint="eastAsia" w:ascii="宋体" w:hAnsi="宋体" w:eastAsia="宋体" w:cs="Times New Roman"/>
          <w:sz w:val="24"/>
          <w:szCs w:val="24"/>
        </w:rPr>
        <w:t>乙方</w:t>
      </w:r>
      <w:r>
        <w:rPr>
          <w:rFonts w:ascii="Times New Roman" w:hAnsi="Times New Roman" w:eastAsia="宋体" w:cs="Times New Roman"/>
          <w:sz w:val="24"/>
          <w:szCs w:val="24"/>
        </w:rPr>
        <w:t>履行本合同义务所发生的一切费用和支出和以各种方式寄送技术资料到</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方办公室所发生的费用。</w:t>
      </w:r>
    </w:p>
    <w:p>
      <w:pPr>
        <w:ind w:firstLine="420"/>
        <w:rPr>
          <w:rFonts w:ascii="宋体" w:hAnsi="宋体" w:eastAsia="宋体" w:cs="Times New Roman"/>
          <w:sz w:val="24"/>
          <w:szCs w:val="24"/>
        </w:rPr>
      </w:pPr>
      <w:r>
        <w:rPr>
          <w:rFonts w:hint="eastAsia" w:ascii="宋体" w:hAnsi="宋体" w:eastAsia="宋体" w:cs="Times New Roman"/>
          <w:sz w:val="24"/>
          <w:szCs w:val="24"/>
        </w:rPr>
        <w:t>支付方式：分期支付。</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第二条  服务范围</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 其他合同未明示的相关工作。</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第三条  时间要求及阶段成果</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1、合同签订天内完成项目实施的准备工作，包括工作大纲和试验细则的编制；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第四条  咨询服务资料归属</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所有提交给</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方的咨询服务</w:t>
      </w:r>
      <w:r>
        <w:rPr>
          <w:rFonts w:hint="eastAsia" w:ascii="Times New Roman" w:hAnsi="Times New Roman" w:eastAsia="宋体" w:cs="Times New Roman"/>
          <w:sz w:val="24"/>
          <w:szCs w:val="24"/>
        </w:rPr>
        <w:t>文件</w:t>
      </w:r>
      <w:r>
        <w:rPr>
          <w:rFonts w:ascii="Times New Roman" w:hAnsi="Times New Roman" w:eastAsia="宋体" w:cs="Times New Roman"/>
          <w:sz w:val="24"/>
          <w:szCs w:val="24"/>
        </w:rPr>
        <w:t>及相关的资料的最后文本，包括为履行技术咨询服务范围所编制的图纸、计划和证明资料等，都属于</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方的财产，</w:t>
      </w:r>
      <w:r>
        <w:rPr>
          <w:rFonts w:hint="eastAsia" w:ascii="宋体" w:hAnsi="宋体" w:eastAsia="宋体" w:cs="Times New Roman"/>
          <w:sz w:val="24"/>
          <w:szCs w:val="24"/>
        </w:rPr>
        <w:t>乙</w:t>
      </w:r>
      <w:r>
        <w:rPr>
          <w:rFonts w:ascii="Times New Roman" w:hAnsi="Times New Roman" w:eastAsia="宋体" w:cs="Times New Roman"/>
          <w:sz w:val="24"/>
          <w:szCs w:val="24"/>
        </w:rPr>
        <w:t>方在提交给</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方之前应将上述资料进行整理归类和编制索引</w:t>
      </w:r>
      <w:r>
        <w:rPr>
          <w:rFonts w:hint="eastAsia" w:ascii="Times New Roman" w:hAnsi="Times New Roman" w:eastAsia="宋体" w:cs="Times New Roman"/>
          <w:sz w:val="24"/>
          <w:szCs w:val="24"/>
        </w:rPr>
        <w:t>。</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hint="eastAsia" w:ascii="宋体" w:hAnsi="宋体" w:eastAsia="宋体" w:cs="Times New Roman"/>
          <w:sz w:val="24"/>
          <w:szCs w:val="24"/>
        </w:rPr>
        <w:t>乙</w:t>
      </w:r>
      <w:r>
        <w:rPr>
          <w:rFonts w:ascii="Times New Roman" w:hAnsi="Times New Roman" w:eastAsia="宋体" w:cs="Times New Roman"/>
          <w:sz w:val="24"/>
          <w:szCs w:val="24"/>
        </w:rPr>
        <w:t>方未经</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方的书面同意，不得将上述资料用于与本咨询服务项目之外的任何项目</w:t>
      </w:r>
      <w:r>
        <w:rPr>
          <w:rFonts w:hint="eastAsia" w:ascii="Times New Roman" w:hAnsi="Times New Roman" w:eastAsia="宋体" w:cs="Times New Roman"/>
          <w:sz w:val="24"/>
          <w:szCs w:val="24"/>
        </w:rPr>
        <w:t>。</w:t>
      </w:r>
    </w:p>
    <w:p>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合同履行</w:t>
      </w:r>
      <w:r>
        <w:rPr>
          <w:rFonts w:hint="eastAsia" w:ascii="Times New Roman" w:hAnsi="Times New Roman" w:eastAsia="宋体" w:cs="Times New Roman"/>
          <w:sz w:val="24"/>
          <w:szCs w:val="24"/>
        </w:rPr>
        <w:t>完毕，</w:t>
      </w:r>
      <w:r>
        <w:rPr>
          <w:rFonts w:ascii="Times New Roman" w:hAnsi="Times New Roman" w:eastAsia="宋体" w:cs="Times New Roman"/>
          <w:sz w:val="24"/>
          <w:szCs w:val="24"/>
        </w:rPr>
        <w:t>未经</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方的书面同意</w:t>
      </w:r>
      <w:r>
        <w:rPr>
          <w:rFonts w:hint="eastAsia" w:ascii="Times New Roman" w:hAnsi="Times New Roman" w:eastAsia="宋体" w:cs="Times New Roman"/>
          <w:sz w:val="24"/>
          <w:szCs w:val="24"/>
        </w:rPr>
        <w:t>，</w:t>
      </w:r>
      <w:r>
        <w:rPr>
          <w:rFonts w:hint="eastAsia" w:ascii="宋体" w:hAnsi="宋体" w:eastAsia="宋体" w:cs="Times New Roman"/>
          <w:sz w:val="24"/>
          <w:szCs w:val="24"/>
        </w:rPr>
        <w:t>乙</w:t>
      </w:r>
      <w:r>
        <w:rPr>
          <w:rFonts w:ascii="Times New Roman" w:hAnsi="Times New Roman" w:eastAsia="宋体" w:cs="Times New Roman"/>
          <w:sz w:val="24"/>
          <w:szCs w:val="24"/>
        </w:rPr>
        <w:t>方</w:t>
      </w:r>
      <w:r>
        <w:rPr>
          <w:rFonts w:hint="eastAsia" w:ascii="Times New Roman" w:hAnsi="Times New Roman" w:eastAsia="宋体" w:cs="Times New Roman"/>
          <w:sz w:val="24"/>
          <w:szCs w:val="24"/>
        </w:rPr>
        <w:t>不得保存在</w:t>
      </w:r>
      <w:r>
        <w:rPr>
          <w:rFonts w:ascii="Times New Roman" w:hAnsi="Times New Roman" w:eastAsia="宋体" w:cs="Times New Roman"/>
          <w:sz w:val="24"/>
          <w:szCs w:val="24"/>
        </w:rPr>
        <w:t>履行合同过程中所获得或接触到的任何</w:t>
      </w:r>
      <w:r>
        <w:rPr>
          <w:rFonts w:hint="eastAsia" w:ascii="宋体" w:hAnsi="宋体" w:eastAsia="宋体" w:cs="Times New Roman"/>
          <w:sz w:val="24"/>
          <w:szCs w:val="24"/>
        </w:rPr>
        <w:t>内部数据资料。</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第五条  甲方的义务</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1、负责与本咨询服务项目有关的第三方的协调，提供开展咨询服务工作的外部条件。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2、向乙方提供与本项目咨询服务工作有关的资料。</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3、负责组织有关专家对项目试验成果评估报告的评审。</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第六条　乙方的义务</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１、应按照招标文件、投标文件要求按期完成本项目咨询服务工作。</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2、负责组织项目的实施，保证工程进度和成桥荷载试验工作质量，并满足交通部交工验收相关标准。</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3、向甲方提交检测资料等各套，一套电子版文件。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4、在履行合同期间或合同规定期限内，不得泄露与本合同规定业务活动有关的保密资料。</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第七条  甲方的权利</w:t>
      </w:r>
    </w:p>
    <w:p>
      <w:pPr>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、有权向乙方询问工作进展情况及相关的内容。</w:t>
      </w:r>
    </w:p>
    <w:p>
      <w:pPr>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、有权阐述对具体问题的意见和建议。</w:t>
      </w:r>
    </w:p>
    <w:p>
      <w:pPr>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、当甲方认定乙方人员不按合同履行其职责，或与第三人串通给甲方造成经济损失的，甲方有权要求更换人员，直至终止合同并要求乙方承担相应的赔偿责任。</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第八条  乙方的权利</w:t>
      </w:r>
    </w:p>
    <w:p>
      <w:pPr>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、乙方在本项目服务过程中，如甲方提供的资料不明确时可向甲方提出书面报告。</w:t>
      </w:r>
    </w:p>
    <w:p>
      <w:pPr>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、乙方在本项目服务过程中，有权对第三方提出与本咨询服务业务有关的问题进行核对或查问。</w:t>
      </w:r>
    </w:p>
    <w:p>
      <w:pPr>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、乙方在本项目服务过程中，有到工程现场勘察的权利。</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第九条  甲方的责任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1、应当履行本合同约定的义务，如有违反则应当承担违约责任，赔偿给乙方造成的损失。</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2、甲方向乙方提出赔偿要求不能成立时，则应补偿由于该赔偿或其他要求所导致乙方的各种费用的支出。</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第十条  乙方的责任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1、乙方的责任期即本合同有效期。如因非乙方的责任造成进度的推迟或延误而超过约定的日期，双方应进一步约定相应延长合同有效期。</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2、乙方的责任期内，应当履行本合同中约定的义务，因乙方的单方过失造成的经济损失，应当向甲方进行赔偿。</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3、乙方对甲方或第三方所提出的问题不能及时核对或答复，导致合同不能全部或部分履行，乙方应承担责任。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4、乙方向甲方提出赔偿要求不能成立时，则应补偿由于该赔偿或其他要求所导致甲方的各种费用的支出。</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第十一条  人员要求</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1、参加本项目试验的人员必须具有国家和有关部门规定的相应资质。</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 参加本项目的试验人员的配置必须与投标文件中的服务承诺书和试验服务组织实施方案一致。</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3、必须以直属试验人员参与本项目服务，不得使用挂靠队伍。</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第十二条  乙方咨询服务工具要求</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1、乙方应配备中标项目所需的足够数量的仪器、仪表以及工具等设备。用户不需向乙方提供施工工具和仪器、仪表。</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2、乙方在提供服务过程中应自备车辆。</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第十三条  保密要求</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乙方在履行合同过程中所获得或接触到的任何</w:t>
      </w:r>
      <w:r>
        <w:rPr>
          <w:rFonts w:hint="eastAsia" w:ascii="宋体" w:hAnsi="宋体" w:eastAsia="宋体" w:cs="Times New Roman"/>
          <w:sz w:val="24"/>
          <w:szCs w:val="24"/>
        </w:rPr>
        <w:t>内部数据资料，未经甲方同意，不得向第三方透露。</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乙方</w:t>
      </w:r>
      <w:r>
        <w:rPr>
          <w:rFonts w:hint="eastAsia" w:ascii="宋体" w:hAnsi="宋体" w:eastAsia="宋体" w:cs="Times New Roman"/>
          <w:sz w:val="24"/>
          <w:szCs w:val="24"/>
        </w:rPr>
        <w:t>实施项目的一切程序都应符合国家安全、保密的有关规定和标准。</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乙方</w:t>
      </w:r>
      <w:r>
        <w:rPr>
          <w:rFonts w:hint="eastAsia" w:ascii="宋体" w:hAnsi="宋体" w:eastAsia="宋体" w:cs="Times New Roman"/>
          <w:sz w:val="24"/>
          <w:szCs w:val="24"/>
        </w:rPr>
        <w:t>参加项目的有关人员均需同甲方签订保密协议。</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 xml:space="preserve">第十四条  验收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1、下列文件的验收分为</w:t>
      </w:r>
      <w:r>
        <w:rPr>
          <w:rFonts w:hint="eastAsia" w:ascii="宋体" w:hAnsi="宋体" w:eastAsia="宋体" w:cs="Times New Roman"/>
          <w:sz w:val="24"/>
          <w:szCs w:val="24"/>
          <w:u w:val="single"/>
        </w:rPr>
        <w:t xml:space="preserve">          三</w:t>
      </w:r>
      <w:r>
        <w:rPr>
          <w:rFonts w:hint="eastAsia" w:ascii="宋体" w:hAnsi="宋体" w:eastAsia="宋体" w:cs="Times New Roman"/>
          <w:sz w:val="24"/>
          <w:szCs w:val="24"/>
        </w:rPr>
        <w:t>个阶段:</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2、其余文件和工作由用户组织有关技术人员根据国家和行业有关规范、规程、标准和用户需求直接验收。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3、验收依据为招标文件、投标文件，国家和行业有关规范、规程和标准。</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第十五条  付款方式</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1、合同签订后   天内乙方向甲方开具合法有效的发票后，甲方于   天内向乙方支付合同总价%的款项。</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2、检测完成并提交评估报告后  天内，乙方向甲方开具合法有效发票后 天，甲方向乙方支付合同总价%的款项。</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3、报告通过专家评审后，甲方向乙方支付合同总价%的款项。</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第十六条  争议解决办法</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执行本合同发生的争议，由甲乙双方协商解决，如协商不成的，应提交甲方所在地人民法院诉讼解决。</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第十七条  风险责任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１、乙方应完全地按照招标文件的要求和乙方投标文件的承诺完成本项目，出于自身财务、技术、人力等原因导致项目失败的，应承担全部责任。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2、乙方在实施荷载试验过程中应对自身的安全生产负责，若非因甲方原因发生的各种事故甲方不承担任何责任。</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第十八条  违约责任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１、因乙方原因，未能按规定时间完成有关工作的，每延误一天，甲方可在支付合同余款中扣除合同价款千分之一。</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2、由于乙方原因造成试验成果质量低劣，不能满足大纲要求时，应继续完善试验工作，其费用由乙方承担。</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5、乙方或其工作人员违反本合同约定的保密义务，甲方有权要求乙方按合同总额   %支付违约金；造成不良影响或对甲方造成损失的，甲方有权要求乙方消除影响，承担赔偿责任，并有权解除合同。</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6、因乙方提供的服务成果受到侵权指控或者引发法律纠纷，影响甲方使用服务成果或者导致合同目的不能实现的，甲方有权要求乙方按合同总额   %支付违约金，并有权解除合同。</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第十九条  其他</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1、本协议书与下列文件一起构成合同文件，如下述文件之间有任何抵触、矛盾或歧义，应按以下顺序解释：</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（1）政府采购合同协议书及其变更、补充协议</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（2）政府采购合同专用条款</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（3）政府采购合同通用条款</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（4）中标（成交）通知书</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（5）投标（响应）文件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（6）采购文件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（7）有关技术文件，图纸</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（8）国家法律、行政法规和规章制度规定或合同约定的作为合同组成部分的其他文件。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2、下列文件均为本合同的组成部分：</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（1）号招标文件、答疑及补充通知；</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（2）投标文件；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（3）本合同执行中共同签署的补充与修正文件。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本合同一式份，甲、乙方双方各执份，具有同等法律效力。本合同自双方法人代表签字（盖章）认可之日起生效。</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本合同未尽事宜，双方友好协商，达成解决方案，经双方签字后，可作为本合同的有效附件。</w:t>
      </w:r>
    </w:p>
    <w:p>
      <w:pPr>
        <w:ind w:firstLine="480" w:firstLineChars="200"/>
        <w:rPr>
          <w:rFonts w:ascii="宋体" w:hAnsi="宋体" w:eastAsia="宋体" w:cs="Times New Roman"/>
          <w:sz w:val="24"/>
          <w:szCs w:val="24"/>
        </w:rPr>
      </w:pPr>
    </w:p>
    <w:p>
      <w:pPr>
        <w:ind w:firstLine="480" w:firstLineChars="200"/>
        <w:rPr>
          <w:rFonts w:ascii="宋体" w:hAnsi="宋体" w:eastAsia="宋体" w:cs="Times New Roman"/>
          <w:sz w:val="24"/>
          <w:szCs w:val="24"/>
        </w:rPr>
      </w:pPr>
    </w:p>
    <w:p>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甲方（采购人）：   （盖章）       乙方（供应商）：    （盖章）</w:t>
      </w:r>
    </w:p>
    <w:p>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 xml:space="preserve">法定代表人：                     法定代表人： </w:t>
      </w:r>
    </w:p>
    <w:p>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委托代理人：                     委托代理人：</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日期：   年     月    日         日期：   年     月    日</w:t>
      </w:r>
    </w:p>
    <w:p>
      <w:pPr>
        <w:snapToGrid w:val="0"/>
        <w:spacing w:line="300" w:lineRule="auto"/>
        <w:rPr>
          <w:rFonts w:ascii="仿宋_GB2312" w:hAnsi="华文仿宋" w:eastAsia="仿宋_GB2312" w:cs="Times New Roman"/>
          <w:sz w:val="28"/>
        </w:rPr>
      </w:pPr>
    </w:p>
    <w:p>
      <w:pPr>
        <w:widowControl/>
        <w:jc w:val="left"/>
        <w:rPr>
          <w:rFonts w:ascii="Arial" w:hAnsi="Arial" w:eastAsia="宋体" w:cs="Times New Roman"/>
          <w:color w:val="FF0000"/>
          <w:szCs w:val="24"/>
        </w:rPr>
      </w:pPr>
    </w:p>
    <w:p>
      <w:pPr>
        <w:widowControl/>
        <w:jc w:val="left"/>
        <w:rPr>
          <w:b/>
          <w:color w:val="FF0000"/>
          <w:sz w:val="52"/>
          <w:szCs w:val="52"/>
        </w:rPr>
      </w:pPr>
      <w:r>
        <w:rPr>
          <w:b/>
          <w:color w:val="FF0000"/>
          <w:sz w:val="52"/>
          <w:szCs w:val="52"/>
        </w:rPr>
        <w:br w:type="page"/>
      </w: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pPr>
        <w:pStyle w:val="45"/>
        <w:keepNext/>
        <w:keepLines/>
        <w:numPr>
          <w:ilvl w:val="0"/>
          <w:numId w:val="9"/>
        </w:numPr>
        <w:tabs>
          <w:tab w:val="left" w:pos="720"/>
        </w:tabs>
        <w:adjustRightInd w:val="0"/>
        <w:spacing w:beforeLines="50" w:afterLines="50"/>
        <w:ind w:firstLineChars="0"/>
        <w:jc w:val="center"/>
        <w:textAlignment w:val="baseline"/>
        <w:outlineLvl w:val="1"/>
        <w:rPr>
          <w:rFonts w:asciiTheme="majorHAnsi" w:hAnsiTheme="majorHAnsi" w:eastAsiaTheme="majorEastAsia" w:cstheme="majorBidi"/>
          <w:b/>
          <w:bCs/>
          <w:sz w:val="28"/>
          <w:szCs w:val="28"/>
        </w:rPr>
      </w:pPr>
      <w:bookmarkStart w:id="33" w:name="_Hlk72399513"/>
      <w:r>
        <w:rPr>
          <w:rFonts w:hint="eastAsia" w:asciiTheme="majorHAnsi" w:hAnsiTheme="majorHAnsi" w:eastAsiaTheme="majorEastAsia" w:cstheme="majorBidi"/>
          <w:b/>
          <w:bCs/>
          <w:sz w:val="28"/>
          <w:szCs w:val="28"/>
        </w:rPr>
        <w:t>总则</w:t>
      </w:r>
    </w:p>
    <w:bookmarkEnd w:id="33"/>
    <w:p>
      <w:pPr>
        <w:rPr>
          <w:rFonts w:ascii="黑体" w:hAnsi="宋体" w:eastAsia="黑体"/>
          <w:sz w:val="24"/>
        </w:rPr>
      </w:pPr>
      <w:bookmarkStart w:id="34" w:name="_Hlk72439706"/>
      <w:r>
        <w:rPr>
          <w:rFonts w:hint="eastAsia" w:ascii="黑体" w:hAnsi="宋体" w:eastAsia="黑体"/>
          <w:sz w:val="24"/>
        </w:rPr>
        <w:t>1. 通用条款说明</w:t>
      </w:r>
    </w:p>
    <w:p>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35" w:name="_Hlk72399729"/>
      <w:r>
        <w:rPr>
          <w:rFonts w:hint="eastAsia" w:ascii="宋体" w:hAnsi="宋体"/>
          <w:szCs w:val="21"/>
        </w:rPr>
        <w:t>如有需要，政府集中采购机构可以对通用条款的内容进行补充。</w:t>
      </w:r>
      <w:bookmarkEnd w:id="35"/>
    </w:p>
    <w:p>
      <w:pPr>
        <w:ind w:firstLine="411" w:firstLineChars="196"/>
        <w:rPr>
          <w:rFonts w:ascii="宋体" w:hAnsi="宋体"/>
          <w:szCs w:val="21"/>
        </w:rPr>
      </w:pPr>
      <w:r>
        <w:rPr>
          <w:rFonts w:hint="eastAsia" w:ascii="宋体" w:hAnsi="宋体"/>
          <w:szCs w:val="21"/>
        </w:rPr>
        <w:t>1.2招标文件分为第一册“专用条款”和第二册“通用条款”。</w:t>
      </w:r>
    </w:p>
    <w:p>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pPr>
        <w:ind w:firstLine="411" w:firstLineChars="196"/>
        <w:rPr>
          <w:rFonts w:ascii="宋体" w:hAnsi="宋体"/>
          <w:szCs w:val="21"/>
        </w:rPr>
      </w:pPr>
      <w:r>
        <w:rPr>
          <w:rFonts w:hint="eastAsia" w:ascii="宋体" w:hAnsi="宋体"/>
          <w:szCs w:val="21"/>
        </w:rPr>
        <w:t>1.5 “专用条款”和“通用条款”表述不一致或有冲突时，以“专用条款”为准。</w:t>
      </w:r>
    </w:p>
    <w:p>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ascii="宋体" w:hAnsi="宋体"/>
          <w:szCs w:val="21"/>
        </w:rPr>
      </w:pPr>
      <w:r>
        <w:rPr>
          <w:rFonts w:hint="eastAsia" w:ascii="宋体" w:hAnsi="宋体"/>
          <w:szCs w:val="21"/>
        </w:rPr>
        <w:t>本项目</w:t>
      </w:r>
      <w:r>
        <w:rPr>
          <w:rFonts w:hint="eastAsia" w:ascii="宋体" w:hAnsi="宋体"/>
          <w:szCs w:val="21"/>
          <w:lang w:eastAsia="zh-CN"/>
        </w:rPr>
        <w:t>参照</w:t>
      </w:r>
      <w:r>
        <w:rPr>
          <w:rFonts w:hint="eastAsia" w:ascii="宋体" w:hAnsi="宋体"/>
          <w:szCs w:val="21"/>
        </w:rPr>
        <w:t>《深圳经济特区政府采购条例》、《深圳经济特区政府采购条例实施细则》及政府采购其他法律法规，通过公开招标方式确定中标供应商。</w:t>
      </w:r>
    </w:p>
    <w:p>
      <w:pPr>
        <w:rPr>
          <w:rFonts w:ascii="黑体" w:hAnsi="宋体" w:eastAsia="黑体"/>
          <w:sz w:val="24"/>
        </w:rPr>
      </w:pPr>
      <w:r>
        <w:rPr>
          <w:rFonts w:hint="eastAsia" w:ascii="黑体" w:hAnsi="宋体" w:eastAsia="黑体"/>
          <w:sz w:val="24"/>
        </w:rPr>
        <w:t>3．定义</w:t>
      </w:r>
    </w:p>
    <w:p>
      <w:pPr>
        <w:ind w:firstLine="420" w:firstLineChars="200"/>
        <w:rPr>
          <w:rFonts w:ascii="宋体" w:hAnsi="宋体"/>
          <w:szCs w:val="21"/>
        </w:rPr>
      </w:pPr>
      <w:r>
        <w:rPr>
          <w:rFonts w:ascii="宋体" w:hAnsi="宋体"/>
          <w:szCs w:val="21"/>
        </w:rPr>
        <w:t>招标文件中下列术语应解释为：</w:t>
      </w:r>
    </w:p>
    <w:p>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ascii="宋体" w:hAnsi="宋体"/>
          <w:szCs w:val="21"/>
        </w:rPr>
      </w:pPr>
      <w:r>
        <w:rPr>
          <w:rFonts w:hint="eastAsia" w:ascii="宋体" w:hAnsi="宋体"/>
          <w:szCs w:val="21"/>
        </w:rPr>
        <w:t>3.6“合同”指由本次招标所产生的合同或合约文件；</w:t>
      </w:r>
    </w:p>
    <w:p>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w:t>
      </w:r>
      <w:r>
        <w:rPr>
          <w:rFonts w:hint="eastAsia" w:ascii="宋体" w:hAnsi="宋体"/>
          <w:b/>
          <w:bCs/>
          <w:color w:val="FF0000"/>
          <w:szCs w:val="21"/>
          <w:lang w:eastAsia="zh-CN"/>
        </w:rPr>
        <w:t>龙华</w:t>
      </w:r>
      <w:r>
        <w:rPr>
          <w:rFonts w:hint="eastAsia" w:ascii="宋体" w:hAnsi="宋体"/>
          <w:b/>
          <w:bCs/>
          <w:color w:val="FF0000"/>
          <w:szCs w:val="21"/>
        </w:rPr>
        <w:t>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1" w:firstLineChars="196"/>
        <w:rPr>
          <w:rFonts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w:t>
      </w:r>
      <w:r>
        <w:rPr>
          <w:rFonts w:hint="eastAsia" w:ascii="宋体" w:hAnsi="宋体"/>
          <w:b/>
          <w:bCs/>
          <w:color w:val="FF0000"/>
          <w:szCs w:val="21"/>
          <w:lang w:eastAsia="zh-CN"/>
        </w:rPr>
        <w:t>龙华</w:t>
      </w:r>
      <w:r>
        <w:rPr>
          <w:rFonts w:hint="eastAsia" w:ascii="宋体" w:hAnsi="宋体"/>
          <w:b/>
          <w:bCs/>
          <w:color w:val="FF0000"/>
          <w:szCs w:val="21"/>
        </w:rPr>
        <w:t>分公司）</w:t>
      </w:r>
      <w:r>
        <w:rPr>
          <w:rFonts w:hint="eastAsia" w:ascii="宋体" w:hAnsi="宋体"/>
          <w:szCs w:val="21"/>
        </w:rPr>
        <w:t>网站上传电子投标文件；</w:t>
      </w:r>
    </w:p>
    <w:p>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pPr>
        <w:rPr>
          <w:rFonts w:ascii="黑体" w:hAnsi="宋体" w:eastAsia="黑体"/>
          <w:sz w:val="24"/>
        </w:rPr>
      </w:pPr>
      <w:r>
        <w:rPr>
          <w:rFonts w:hint="eastAsia" w:ascii="黑体" w:hAnsi="宋体" w:eastAsia="黑体"/>
          <w:sz w:val="24"/>
        </w:rPr>
        <w:t xml:space="preserve">4. </w:t>
      </w:r>
      <w:bookmarkStart w:id="36" w:name="_Hlk72398643"/>
      <w:r>
        <w:rPr>
          <w:rFonts w:hint="eastAsia" w:ascii="黑体" w:hAnsi="宋体" w:eastAsia="黑体"/>
          <w:sz w:val="24"/>
        </w:rPr>
        <w:t>政府采购供应商责任</w:t>
      </w:r>
    </w:p>
    <w:p>
      <w:pPr>
        <w:ind w:firstLine="411" w:firstLineChars="196"/>
        <w:rPr>
          <w:rFonts w:ascii="宋体" w:hAnsi="宋体"/>
          <w:szCs w:val="21"/>
        </w:rPr>
      </w:pPr>
      <w:r>
        <w:rPr>
          <w:rFonts w:hint="eastAsia" w:ascii="宋体" w:hAnsi="宋体"/>
          <w:szCs w:val="21"/>
        </w:rPr>
        <w:t>4.1欢迎诚信、有实力和有社会责任心的供应商参与政府采购事业。</w:t>
      </w:r>
    </w:p>
    <w:p>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sz w:val="24"/>
        </w:rPr>
      </w:pPr>
      <w:r>
        <w:rPr>
          <w:rFonts w:hint="eastAsia" w:ascii="黑体" w:hAnsi="宋体" w:eastAsia="黑体"/>
          <w:sz w:val="24"/>
        </w:rPr>
        <w:t>5．投标人参加政府采购的条件</w:t>
      </w:r>
    </w:p>
    <w:p>
      <w:pPr>
        <w:ind w:firstLine="411" w:firstLineChars="196"/>
        <w:jc w:val="left"/>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p>
    <w:p>
      <w:pPr>
        <w:ind w:firstLine="411" w:firstLineChars="196"/>
        <w:rPr>
          <w:rFonts w:ascii="宋体" w:hAnsi="宋体"/>
          <w:szCs w:val="21"/>
        </w:rPr>
      </w:pPr>
      <w:r>
        <w:rPr>
          <w:rFonts w:hint="eastAsia" w:ascii="宋体" w:hAnsi="宋体"/>
          <w:szCs w:val="21"/>
        </w:rPr>
        <w:t>5.2投标人资格要求</w:t>
      </w:r>
    </w:p>
    <w:p>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ascii="宋体" w:hAnsi="宋体"/>
          <w:szCs w:val="21"/>
        </w:rPr>
      </w:pPr>
      <w:r>
        <w:rPr>
          <w:rFonts w:hint="eastAsia" w:ascii="宋体" w:hAnsi="宋体"/>
          <w:szCs w:val="21"/>
        </w:rPr>
        <w:t>5.3联合体投标</w:t>
      </w:r>
    </w:p>
    <w:p>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ascii="宋体" w:hAnsi="宋体"/>
        </w:rPr>
      </w:pPr>
      <w:r>
        <w:rPr>
          <w:rFonts w:hint="eastAsia" w:ascii="宋体" w:hAnsi="宋体"/>
        </w:rPr>
        <w:t>（2）在投标截止前，投标联合体各方均应注册成政府集中采购机构供应商；</w:t>
      </w:r>
    </w:p>
    <w:p>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rPr>
      </w:pPr>
      <w:r>
        <w:rPr>
          <w:rFonts w:hint="eastAsia" w:ascii="宋体" w:hAnsi="宋体"/>
        </w:rPr>
        <w:t>（5）投标人的投标文件及中标后签署的合同协议对联合体各方均具法律约束力；</w:t>
      </w:r>
    </w:p>
    <w:p>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rPr>
      </w:pPr>
      <w:r>
        <w:rPr>
          <w:rFonts w:hint="eastAsia" w:ascii="宋体" w:hAnsi="宋体"/>
        </w:rPr>
        <w:t>（9）本通用条款中“投标人”一词亦指联合体各方，专用条款另有规定或说明的除外。</w:t>
      </w:r>
    </w:p>
    <w:p>
      <w:pPr>
        <w:rPr>
          <w:rFonts w:ascii="黑体" w:hAnsi="宋体" w:eastAsia="黑体"/>
          <w:sz w:val="24"/>
        </w:rPr>
      </w:pPr>
      <w:r>
        <w:rPr>
          <w:rFonts w:hint="eastAsia" w:ascii="黑体" w:hAnsi="宋体" w:eastAsia="黑体"/>
          <w:sz w:val="24"/>
        </w:rPr>
        <w:t>6．政策导向</w:t>
      </w:r>
    </w:p>
    <w:p>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rPr>
          <w:rFonts w:hint="default" w:eastAsia="宋体"/>
          <w:lang w:val="en-US" w:eastAsia="zh-CN"/>
        </w:rPr>
      </w:pPr>
      <w:r>
        <w:rPr>
          <w:rFonts w:hint="eastAsia" w:ascii="宋体" w:hAnsi="宋体"/>
          <w:lang w:val="en-US" w:eastAsia="zh-CN"/>
        </w:rPr>
        <w:t>6.3  本项目支持投标人性别平等的相关政策。</w:t>
      </w:r>
    </w:p>
    <w:p>
      <w:pPr>
        <w:rPr>
          <w:rFonts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37"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37"/>
    </w:p>
    <w:p>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pPr>
        <w:rPr>
          <w:rFonts w:ascii="黑体" w:hAnsi="宋体" w:eastAsia="黑体"/>
          <w:sz w:val="24"/>
        </w:rPr>
      </w:pPr>
      <w:r>
        <w:rPr>
          <w:rFonts w:hint="eastAsia" w:ascii="黑体" w:hAnsi="宋体" w:eastAsia="黑体"/>
          <w:sz w:val="24"/>
        </w:rPr>
        <w:t>8．投标费用</w:t>
      </w:r>
    </w:p>
    <w:p>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pPr>
        <w:rPr>
          <w:rFonts w:ascii="黑体" w:hAnsi="宋体" w:eastAsia="黑体"/>
          <w:sz w:val="24"/>
        </w:rPr>
      </w:pPr>
      <w:r>
        <w:rPr>
          <w:rFonts w:hint="eastAsia" w:ascii="黑体" w:hAnsi="宋体" w:eastAsia="黑体"/>
          <w:sz w:val="24"/>
        </w:rPr>
        <w:t>9．踏勘现场</w:t>
      </w:r>
    </w:p>
    <w:p>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rPr>
      </w:pPr>
      <w:r>
        <w:rPr>
          <w:rFonts w:hint="eastAsia" w:ascii="宋体" w:hAnsi="宋体"/>
        </w:rPr>
        <w:t>9.3采购人应当通过政府集中采购机构向投标人提供有关现场的书面资料和数据。</w:t>
      </w:r>
    </w:p>
    <w:p>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36"/>
    <w:p>
      <w:pPr>
        <w:ind w:firstLine="411" w:firstLineChars="196"/>
        <w:rPr>
          <w:rFonts w:ascii="宋体" w:hAnsi="宋体"/>
        </w:rPr>
      </w:pPr>
    </w:p>
    <w:p>
      <w:pPr>
        <w:pStyle w:val="4"/>
        <w:numPr>
          <w:ilvl w:val="0"/>
          <w:numId w:val="10"/>
        </w:numPr>
        <w:spacing w:before="120" w:beforeLines="50" w:after="120" w:afterLines="50"/>
        <w:ind w:left="562" w:hanging="562"/>
        <w:rPr>
          <w:sz w:val="28"/>
          <w:szCs w:val="28"/>
        </w:rPr>
      </w:pPr>
      <w:r>
        <w:rPr>
          <w:rFonts w:hint="eastAsia"/>
          <w:sz w:val="28"/>
          <w:szCs w:val="28"/>
        </w:rPr>
        <w:t>招标文件</w:t>
      </w:r>
    </w:p>
    <w:p>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38" w:name="_Hlk72399819"/>
      <w:r>
        <w:rPr>
          <w:rFonts w:hint="eastAsia" w:ascii="黑体" w:hAnsi="宋体" w:eastAsia="黑体"/>
          <w:sz w:val="24"/>
        </w:rPr>
        <w:t>招标文件的编制与组成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szCs w:val="21"/>
        </w:rPr>
      </w:pPr>
      <w:r>
        <w:rPr>
          <w:rFonts w:hint="eastAsia" w:ascii="宋体" w:hAnsi="宋体"/>
          <w:szCs w:val="21"/>
        </w:rPr>
        <w:t>招标文件包括下列内容：</w:t>
      </w:r>
    </w:p>
    <w:p>
      <w:pPr>
        <w:ind w:left="420" w:leftChars="200" w:firstLine="413" w:firstLineChars="196"/>
        <w:rPr>
          <w:rFonts w:ascii="宋体" w:hAnsi="宋体"/>
          <w:b/>
          <w:szCs w:val="21"/>
        </w:rPr>
      </w:pPr>
      <w:r>
        <w:rPr>
          <w:rFonts w:hint="eastAsia" w:ascii="宋体" w:hAnsi="宋体"/>
          <w:b/>
          <w:szCs w:val="21"/>
        </w:rPr>
        <w:t>第一册  专用条款</w:t>
      </w:r>
    </w:p>
    <w:p>
      <w:pPr>
        <w:ind w:left="1079" w:leftChars="514"/>
        <w:rPr>
          <w:rFonts w:ascii="宋体" w:hAnsi="宋体"/>
          <w:b/>
          <w:szCs w:val="21"/>
        </w:rPr>
      </w:pPr>
      <w:r>
        <w:rPr>
          <w:rFonts w:hint="eastAsia" w:ascii="宋体" w:hAnsi="宋体"/>
          <w:b/>
          <w:szCs w:val="21"/>
        </w:rPr>
        <w:t>关键信息</w:t>
      </w:r>
    </w:p>
    <w:p>
      <w:pPr>
        <w:ind w:left="630" w:leftChars="300" w:firstLine="411" w:firstLineChars="196"/>
        <w:rPr>
          <w:rFonts w:ascii="宋体" w:hAnsi="宋体"/>
          <w:szCs w:val="21"/>
        </w:rPr>
      </w:pPr>
      <w:r>
        <w:rPr>
          <w:rFonts w:hint="eastAsia" w:ascii="宋体" w:hAnsi="宋体"/>
          <w:szCs w:val="21"/>
        </w:rPr>
        <w:t>第一章  招标公告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第三章  用户需求书</w:t>
      </w:r>
    </w:p>
    <w:p>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ascii="宋体" w:hAnsi="宋体"/>
          <w:szCs w:val="21"/>
        </w:rPr>
      </w:pPr>
      <w:r>
        <w:rPr>
          <w:rFonts w:hint="eastAsia" w:ascii="宋体" w:hAnsi="宋体"/>
          <w:szCs w:val="21"/>
        </w:rPr>
        <w:t>第五章  合同条款及格式</w:t>
      </w:r>
    </w:p>
    <w:p>
      <w:pPr>
        <w:ind w:left="420" w:leftChars="200" w:firstLine="413" w:firstLineChars="196"/>
        <w:rPr>
          <w:rFonts w:ascii="宋体" w:hAnsi="宋体"/>
          <w:b/>
          <w:szCs w:val="21"/>
        </w:rPr>
      </w:pPr>
      <w:r>
        <w:rPr>
          <w:rFonts w:hint="eastAsia" w:ascii="宋体" w:hAnsi="宋体"/>
          <w:b/>
          <w:szCs w:val="21"/>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left="630" w:leftChars="300" w:firstLine="411" w:firstLineChars="196"/>
        <w:rPr>
          <w:rFonts w:ascii="宋体" w:hAnsi="宋体"/>
          <w:szCs w:val="21"/>
        </w:rPr>
      </w:pPr>
      <w:r>
        <w:rPr>
          <w:rFonts w:hint="eastAsia" w:ascii="宋体" w:hAnsi="宋体"/>
          <w:szCs w:val="21"/>
        </w:rPr>
        <w:t>第十一章  质疑处理</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38"/>
    </w:p>
    <w:p>
      <w:pPr>
        <w:rPr>
          <w:rFonts w:ascii="宋体" w:hAnsi="宋体"/>
          <w:szCs w:val="21"/>
        </w:rPr>
      </w:pPr>
    </w:p>
    <w:p>
      <w:pPr>
        <w:pStyle w:val="4"/>
        <w:numPr>
          <w:ilvl w:val="0"/>
          <w:numId w:val="10"/>
        </w:numPr>
        <w:spacing w:before="120" w:beforeLines="50" w:after="120" w:afterLines="50"/>
        <w:ind w:left="562" w:hanging="562"/>
        <w:rPr>
          <w:sz w:val="28"/>
          <w:szCs w:val="28"/>
        </w:rPr>
      </w:pPr>
      <w:r>
        <w:rPr>
          <w:rFonts w:hint="eastAsia"/>
          <w:sz w:val="28"/>
          <w:szCs w:val="28"/>
        </w:rPr>
        <w:t>投标文件的编制</w:t>
      </w:r>
    </w:p>
    <w:p>
      <w:pPr>
        <w:rPr>
          <w:rFonts w:ascii="黑体" w:hAnsi="宋体" w:eastAsia="黑体"/>
          <w:sz w:val="24"/>
        </w:rPr>
      </w:pPr>
      <w:r>
        <w:rPr>
          <w:rFonts w:hint="eastAsia" w:ascii="黑体" w:hAnsi="宋体" w:eastAsia="黑体"/>
          <w:sz w:val="24"/>
        </w:rPr>
        <w:t>14．</w:t>
      </w:r>
      <w:bookmarkStart w:id="39" w:name="_Hlk72400236"/>
      <w:r>
        <w:rPr>
          <w:rFonts w:hint="eastAsia" w:ascii="黑体" w:hAnsi="宋体" w:eastAsia="黑体"/>
          <w:sz w:val="24"/>
        </w:rPr>
        <w:t>投标文件的语言及度量单位</w:t>
      </w:r>
    </w:p>
    <w:p>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39"/>
    <w:p>
      <w:pPr>
        <w:rPr>
          <w:rFonts w:ascii="黑体" w:hAnsi="宋体" w:eastAsia="黑体"/>
          <w:sz w:val="24"/>
        </w:rPr>
      </w:pPr>
      <w:r>
        <w:rPr>
          <w:rFonts w:hint="eastAsia" w:ascii="黑体" w:hAnsi="宋体" w:eastAsia="黑体"/>
          <w:sz w:val="24"/>
        </w:rPr>
        <w:t>15．</w:t>
      </w:r>
      <w:bookmarkStart w:id="40" w:name="_Hlk72401567"/>
      <w:r>
        <w:rPr>
          <w:rFonts w:hint="eastAsia" w:ascii="黑体" w:hAnsi="宋体" w:eastAsia="黑体"/>
          <w:sz w:val="24"/>
        </w:rPr>
        <w:t>投标文件的组成</w:t>
      </w:r>
    </w:p>
    <w:p>
      <w:pPr>
        <w:ind w:firstLine="411" w:firstLineChars="196"/>
        <w:rPr>
          <w:rFonts w:ascii="宋体" w:hAnsi="宋体"/>
          <w:szCs w:val="21"/>
        </w:rPr>
      </w:pPr>
      <w:r>
        <w:rPr>
          <w:rFonts w:hint="eastAsia" w:ascii="宋体" w:hAnsi="宋体"/>
          <w:szCs w:val="21"/>
        </w:rPr>
        <w:t>具体内容在招标文件专用条款中进行规定。</w:t>
      </w:r>
    </w:p>
    <w:p>
      <w:pPr>
        <w:rPr>
          <w:rFonts w:ascii="黑体" w:hAnsi="宋体" w:eastAsia="黑体"/>
          <w:sz w:val="24"/>
        </w:rPr>
      </w:pPr>
      <w:r>
        <w:rPr>
          <w:rFonts w:ascii="黑体" w:hAnsi="宋体" w:eastAsia="黑体"/>
          <w:sz w:val="24"/>
        </w:rPr>
        <w:t>16．投标文件格式</w:t>
      </w:r>
    </w:p>
    <w:p>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ascii="黑体" w:hAnsi="宋体" w:eastAsia="黑体"/>
          <w:sz w:val="24"/>
        </w:rPr>
      </w:pPr>
      <w:r>
        <w:rPr>
          <w:rFonts w:hint="eastAsia" w:ascii="黑体" w:hAnsi="宋体" w:eastAsia="黑体"/>
          <w:sz w:val="24"/>
        </w:rPr>
        <w:t>17．投标货币</w:t>
      </w:r>
    </w:p>
    <w:p>
      <w:pPr>
        <w:ind w:firstLine="411" w:firstLineChars="196"/>
        <w:rPr>
          <w:rFonts w:ascii="宋体" w:hAnsi="宋体"/>
          <w:szCs w:val="21"/>
        </w:rPr>
      </w:pPr>
      <w:r>
        <w:rPr>
          <w:rFonts w:hint="eastAsia" w:ascii="宋体" w:hAnsi="宋体"/>
          <w:szCs w:val="21"/>
        </w:rPr>
        <w:t>本项目的投标报价应以人民币计。</w:t>
      </w:r>
    </w:p>
    <w:bookmarkEnd w:id="40"/>
    <w:p>
      <w:pPr>
        <w:rPr>
          <w:rFonts w:ascii="黑体" w:hAnsi="宋体" w:eastAsia="黑体"/>
          <w:sz w:val="24"/>
        </w:rPr>
      </w:pPr>
      <w:r>
        <w:rPr>
          <w:rFonts w:hint="eastAsia" w:ascii="黑体" w:hAnsi="宋体" w:eastAsia="黑体"/>
          <w:sz w:val="24"/>
        </w:rPr>
        <w:t>18．</w:t>
      </w:r>
      <w:bookmarkStart w:id="41" w:name="_Hlk72401735"/>
      <w:r>
        <w:rPr>
          <w:rFonts w:hint="eastAsia" w:ascii="黑体" w:hAnsi="宋体" w:eastAsia="黑体"/>
          <w:sz w:val="24"/>
        </w:rPr>
        <w:t>证明投标文件投标技术方案的合格性和符合招标文件规定的文件要求</w:t>
      </w:r>
    </w:p>
    <w:p>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rPr>
      </w:pPr>
      <w:r>
        <w:rPr>
          <w:rFonts w:hint="eastAsia" w:ascii="宋体" w:hAnsi="宋体"/>
          <w:szCs w:val="21"/>
        </w:rPr>
        <w:t>18.2.1主要技术指标和性能的详细说明。</w:t>
      </w:r>
    </w:p>
    <w:p>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41"/>
    <w:p>
      <w:pPr>
        <w:rPr>
          <w:rFonts w:ascii="黑体" w:hAnsi="宋体" w:eastAsia="黑体"/>
          <w:sz w:val="24"/>
        </w:rPr>
      </w:pPr>
      <w:r>
        <w:rPr>
          <w:rFonts w:hint="eastAsia" w:ascii="黑体" w:hAnsi="宋体" w:eastAsia="黑体"/>
          <w:sz w:val="24"/>
        </w:rPr>
        <w:t>19．</w:t>
      </w:r>
      <w:bookmarkStart w:id="42" w:name="_Hlk72402034"/>
      <w:r>
        <w:rPr>
          <w:rFonts w:hint="eastAsia" w:ascii="黑体" w:hAnsi="宋体" w:eastAsia="黑体"/>
          <w:sz w:val="24"/>
        </w:rPr>
        <w:t>投标文件其他证明文件的要求</w:t>
      </w:r>
    </w:p>
    <w:p>
      <w:pPr>
        <w:rPr>
          <w:rFonts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43"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3"/>
    <w:p>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rPr>
      </w:pPr>
      <w:r>
        <w:rPr>
          <w:rFonts w:hint="eastAsia" w:ascii="黑体" w:hAnsi="宋体" w:eastAsia="黑体"/>
          <w:sz w:val="24"/>
        </w:rPr>
        <w:t>20．投标有效期</w:t>
      </w:r>
    </w:p>
    <w:bookmarkEnd w:id="42"/>
    <w:p>
      <w:pPr>
        <w:ind w:firstLine="411" w:firstLineChars="196"/>
        <w:rPr>
          <w:rFonts w:ascii="宋体" w:hAnsi="宋体"/>
          <w:szCs w:val="21"/>
        </w:rPr>
      </w:pPr>
      <w:bookmarkStart w:id="4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44"/>
    <w:p>
      <w:pPr>
        <w:rPr>
          <w:rFonts w:ascii="黑体" w:hAnsi="宋体" w:eastAsia="黑体"/>
          <w:sz w:val="24"/>
        </w:rPr>
      </w:pPr>
      <w:r>
        <w:rPr>
          <w:rFonts w:hint="eastAsia" w:ascii="黑体" w:hAnsi="宋体" w:eastAsia="黑体"/>
          <w:sz w:val="24"/>
        </w:rPr>
        <w:t>21．</w:t>
      </w:r>
      <w:bookmarkStart w:id="45" w:name="_Hlk72402325"/>
      <w:r>
        <w:rPr>
          <w:rFonts w:hint="eastAsia" w:ascii="黑体" w:hAnsi="宋体" w:eastAsia="黑体"/>
          <w:sz w:val="24"/>
        </w:rPr>
        <w:t xml:space="preserve">关于投标保证金 </w:t>
      </w:r>
    </w:p>
    <w:p>
      <w:pPr>
        <w:rPr>
          <w:rFonts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pPr>
        <w:rPr>
          <w:rFonts w:ascii="黑体" w:hAnsi="宋体" w:eastAsia="黑体"/>
          <w:sz w:val="24"/>
        </w:rPr>
      </w:pPr>
      <w:r>
        <w:rPr>
          <w:rFonts w:hint="eastAsia" w:ascii="黑体" w:hAnsi="宋体" w:eastAsia="黑体"/>
          <w:sz w:val="24"/>
        </w:rPr>
        <w:t>22．投标人的替代方案</w:t>
      </w:r>
    </w:p>
    <w:p>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5"/>
    <w:p>
      <w:pPr>
        <w:rPr>
          <w:rFonts w:ascii="黑体" w:hAnsi="宋体" w:eastAsia="黑体"/>
          <w:sz w:val="24"/>
        </w:rPr>
      </w:pPr>
      <w:r>
        <w:rPr>
          <w:rFonts w:hint="eastAsia" w:ascii="黑体" w:hAnsi="宋体" w:eastAsia="黑体"/>
          <w:sz w:val="24"/>
        </w:rPr>
        <w:t>23．</w:t>
      </w:r>
      <w:bookmarkStart w:id="46"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ascii="宋体" w:hAnsi="宋体"/>
        </w:rPr>
      </w:pPr>
      <w:r>
        <w:rPr>
          <w:rFonts w:hint="eastAsia" w:ascii="宋体" w:hAnsi="宋体"/>
        </w:rPr>
        <w:t>23.1投标人应准备所投项目的电子投标文件一份。</w:t>
      </w:r>
    </w:p>
    <w:p>
      <w:pPr>
        <w:ind w:firstLine="411" w:firstLineChars="196"/>
        <w:rPr>
          <w:rFonts w:ascii="宋体" w:hAnsi="宋体"/>
        </w:rPr>
      </w:pPr>
      <w:r>
        <w:rPr>
          <w:rFonts w:hint="eastAsia" w:ascii="宋体" w:hAnsi="宋体"/>
        </w:rPr>
        <w:t>23.2投标人在使用《投标书编制软件》编制投标书时须注意：</w:t>
      </w:r>
    </w:p>
    <w:p>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w:t>
      </w:r>
      <w:r>
        <w:rPr>
          <w:rFonts w:hint="eastAsia" w:ascii="宋体" w:hAnsi="宋体"/>
          <w:b/>
          <w:lang w:val="en-US" w:eastAsia="zh-CN"/>
        </w:rPr>
        <w:t>或电子营业执照</w:t>
      </w:r>
      <w:r>
        <w:rPr>
          <w:rFonts w:hint="eastAsia" w:ascii="宋体" w:hAnsi="宋体"/>
          <w:b/>
        </w:rPr>
        <w:t>进行加密，否则视同未盖公章，将导致投标文件无效。</w:t>
      </w:r>
    </w:p>
    <w:p>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rPr>
      </w:pPr>
      <w:r>
        <w:rPr>
          <w:rFonts w:hint="eastAsia" w:ascii="宋体" w:hAnsi="宋体"/>
        </w:rPr>
        <w:t>23.3电报、电话、传真形式的投标概不接受。</w:t>
      </w:r>
    </w:p>
    <w:p>
      <w:pPr>
        <w:ind w:firstLine="413" w:firstLineChars="196"/>
        <w:rPr>
          <w:rFonts w:ascii="宋体" w:hAnsi="宋体"/>
          <w:b/>
        </w:rPr>
      </w:pPr>
      <w:r>
        <w:rPr>
          <w:rFonts w:hint="eastAsia" w:ascii="宋体" w:hAnsi="宋体"/>
          <w:b/>
        </w:rPr>
        <w:t>23.4经投标人电子密钥</w:t>
      </w:r>
      <w:r>
        <w:rPr>
          <w:rFonts w:hint="eastAsia" w:ascii="宋体" w:hAnsi="宋体"/>
          <w:b/>
          <w:lang w:val="en-US" w:eastAsia="zh-CN"/>
        </w:rPr>
        <w:t>或电子营业执照</w:t>
      </w:r>
      <w:r>
        <w:rPr>
          <w:rFonts w:hint="eastAsia" w:ascii="宋体" w:hAnsi="宋体"/>
          <w:b/>
        </w:rPr>
        <w:t>加密的投标文件无须盖章或签字，</w:t>
      </w:r>
      <w:r>
        <w:rPr>
          <w:rFonts w:hint="eastAsia" w:ascii="宋体" w:hAnsi="宋体"/>
        </w:rPr>
        <w:t>专用条款另有要求的除外。</w:t>
      </w:r>
    </w:p>
    <w:p>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46"/>
    </w:p>
    <w:p>
      <w:pPr>
        <w:ind w:firstLine="411" w:firstLineChars="196"/>
        <w:rPr>
          <w:rFonts w:ascii="宋体" w:hAnsi="宋体"/>
          <w:szCs w:val="21"/>
        </w:rPr>
      </w:pPr>
    </w:p>
    <w:p>
      <w:pPr>
        <w:pStyle w:val="4"/>
        <w:numPr>
          <w:ilvl w:val="0"/>
          <w:numId w:val="10"/>
        </w:numPr>
        <w:spacing w:before="120" w:beforeLines="50" w:after="120" w:afterLines="50"/>
        <w:ind w:left="562" w:hanging="562"/>
        <w:rPr>
          <w:sz w:val="28"/>
          <w:szCs w:val="28"/>
        </w:rPr>
      </w:pPr>
      <w:r>
        <w:rPr>
          <w:rFonts w:hint="eastAsia"/>
          <w:sz w:val="28"/>
          <w:szCs w:val="28"/>
        </w:rPr>
        <w:t>投标文件的递交</w:t>
      </w:r>
    </w:p>
    <w:p>
      <w:pPr>
        <w:rPr>
          <w:rFonts w:ascii="黑体" w:hAnsi="宋体" w:eastAsia="黑体"/>
          <w:sz w:val="24"/>
        </w:rPr>
      </w:pPr>
      <w:bookmarkStart w:id="47" w:name="_Hlk72405459"/>
      <w:r>
        <w:rPr>
          <w:rFonts w:hint="eastAsia" w:ascii="黑体" w:hAnsi="宋体" w:eastAsia="黑体"/>
          <w:sz w:val="24"/>
        </w:rPr>
        <w:t>24．投标文件的保密</w:t>
      </w:r>
    </w:p>
    <w:p>
      <w:pPr>
        <w:ind w:firstLine="411" w:firstLineChars="196"/>
        <w:rPr>
          <w:rFonts w:hint="eastAsia" w:ascii="宋体" w:hAnsi="宋体" w:eastAsiaTheme="minorEastAsia"/>
          <w:lang w:eastAsia="zh-CN"/>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w:t>
      </w:r>
      <w:r>
        <w:rPr>
          <w:rFonts w:hint="eastAsia" w:ascii="宋体" w:hAnsi="宋体"/>
          <w:lang w:eastAsia="zh-CN"/>
        </w:rPr>
        <w:t>。加密后会提示文件生成成功！</w:t>
      </w:r>
      <w:r>
        <w:rPr>
          <w:rFonts w:hint="eastAsia" w:ascii="宋体" w:hAnsi="宋体"/>
          <w:highlight w:val="yellow"/>
          <w:lang w:eastAsia="zh-CN"/>
        </w:rPr>
        <w:t>(注意：加密的投标文件开标时须使用加密文件时使用的锁在项目规定时间内解密！)</w:t>
      </w:r>
    </w:p>
    <w:p>
      <w:pPr>
        <w:rPr>
          <w:rFonts w:ascii="宋体" w:hAnsi="宋体"/>
          <w:b/>
        </w:rPr>
      </w:pPr>
      <w:r>
        <w:rPr>
          <w:rFonts w:hint="eastAsia" w:ascii="宋体" w:hAnsi="宋体"/>
          <w:b/>
        </w:rPr>
        <w:t>24.2若采购项目出现延期情况：</w:t>
      </w:r>
    </w:p>
    <w:p>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pPr>
        <w:rPr>
          <w:rFonts w:ascii="黑体" w:hAnsi="宋体" w:eastAsia="黑体"/>
          <w:sz w:val="24"/>
        </w:rPr>
      </w:pPr>
      <w:r>
        <w:rPr>
          <w:rFonts w:hint="eastAsia" w:ascii="黑体" w:hAnsi="宋体" w:eastAsia="黑体"/>
          <w:sz w:val="24"/>
        </w:rPr>
        <w:t>25．上传投标文件及投标截止日期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w:t>
      </w:r>
      <w:r>
        <w:rPr>
          <w:rFonts w:hint="eastAsia" w:ascii="宋体" w:hAnsi="宋体"/>
          <w:lang w:eastAsia="zh-CN"/>
        </w:rPr>
        <w:t>政府采购</w:t>
      </w:r>
      <w:r>
        <w:rPr>
          <w:rFonts w:hint="eastAsia" w:ascii="宋体" w:hAnsi="宋体"/>
        </w:rPr>
        <w:t>自行采购系统（https://trade.szggzy.com/ggzy/center/#/login）”上传投标文件。如上传过程中遇到问题，可拨打</w:t>
      </w:r>
      <w:r>
        <w:rPr>
          <w:rFonts w:hint="eastAsia" w:ascii="宋体" w:hAnsi="宋体"/>
          <w:lang w:val="en-US" w:eastAsia="zh-CN"/>
        </w:rPr>
        <w:t>采购公告中的技术支持电话</w:t>
      </w:r>
      <w:r>
        <w:rPr>
          <w:rFonts w:hint="eastAsia" w:ascii="宋体" w:hAnsi="宋体"/>
        </w:rPr>
        <w:t>。如多次上传均告失败，请在投标截止时间之前携带加密后的电子投标文件送达至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ascii="宋体" w:hAnsi="宋体"/>
        </w:rPr>
      </w:pPr>
    </w:p>
    <w:p>
      <w:pPr>
        <w:ind w:firstLine="411" w:firstLineChars="196"/>
        <w:rPr>
          <w:rFonts w:ascii="宋体" w:hAnsi="宋体"/>
        </w:rPr>
      </w:pPr>
    </w:p>
    <w:bookmarkEnd w:id="47"/>
    <w:p>
      <w:pPr>
        <w:rPr>
          <w:rFonts w:ascii="黑体" w:hAnsi="宋体" w:eastAsia="黑体"/>
          <w:sz w:val="24"/>
        </w:rPr>
      </w:pPr>
      <w:r>
        <w:rPr>
          <w:rFonts w:hint="eastAsia" w:ascii="黑体" w:hAnsi="宋体" w:eastAsia="黑体"/>
          <w:sz w:val="24"/>
        </w:rPr>
        <w:t>26. 样品、现场演示、方案讲解</w:t>
      </w:r>
    </w:p>
    <w:p>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pPr>
        <w:rPr>
          <w:rFonts w:ascii="黑体" w:hAnsi="宋体" w:eastAsia="黑体"/>
          <w:sz w:val="24"/>
        </w:rPr>
      </w:pPr>
      <w:bookmarkStart w:id="48"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48"/>
    <w:p>
      <w:pPr>
        <w:pStyle w:val="4"/>
        <w:numPr>
          <w:ilvl w:val="0"/>
          <w:numId w:val="10"/>
        </w:numPr>
        <w:spacing w:before="120" w:beforeLines="50" w:after="120" w:afterLines="50"/>
        <w:ind w:left="562" w:hanging="562"/>
        <w:rPr>
          <w:sz w:val="28"/>
          <w:szCs w:val="28"/>
        </w:rPr>
      </w:pPr>
      <w:r>
        <w:rPr>
          <w:rFonts w:hint="eastAsia"/>
          <w:sz w:val="28"/>
          <w:szCs w:val="28"/>
        </w:rPr>
        <w:t>开标</w:t>
      </w:r>
    </w:p>
    <w:p>
      <w:pPr>
        <w:rPr>
          <w:rFonts w:ascii="黑体" w:hAnsi="宋体" w:eastAsia="黑体"/>
          <w:sz w:val="24"/>
        </w:rPr>
      </w:pPr>
      <w:r>
        <w:rPr>
          <w:rFonts w:hint="eastAsia" w:ascii="黑体" w:hAnsi="宋体" w:eastAsia="黑体"/>
          <w:sz w:val="24"/>
        </w:rPr>
        <w:t>28．开标</w:t>
      </w:r>
    </w:p>
    <w:p>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w:t>
      </w:r>
      <w:r>
        <w:rPr>
          <w:rFonts w:hint="eastAsia" w:ascii="宋体" w:hAnsi="宋体"/>
          <w:lang w:eastAsia="zh-CN"/>
        </w:rPr>
        <w:t>政府采购</w:t>
      </w:r>
      <w:r>
        <w:rPr>
          <w:rFonts w:hint="eastAsia" w:ascii="宋体" w:hAnsi="宋体"/>
        </w:rPr>
        <w:t>自行采购系统（https://trade.szggzy.com/ggzy/center/#/login）</w:t>
      </w:r>
      <w:r>
        <w:rPr>
          <w:rFonts w:hint="eastAsia" w:ascii="宋体" w:hAnsi="宋体"/>
          <w:szCs w:val="21"/>
        </w:rPr>
        <w:t>”，使用本单位制作电子投标文件同一个电子密钥进行在线解密、查询开标情况。</w:t>
      </w:r>
    </w:p>
    <w:p>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rPr>
      </w:pPr>
    </w:p>
    <w:p>
      <w:pPr>
        <w:pStyle w:val="4"/>
        <w:numPr>
          <w:ilvl w:val="0"/>
          <w:numId w:val="10"/>
        </w:numPr>
        <w:spacing w:before="120" w:beforeLines="50" w:after="120" w:afterLines="50"/>
        <w:ind w:left="562" w:hanging="562"/>
        <w:rPr>
          <w:sz w:val="28"/>
          <w:szCs w:val="28"/>
        </w:rPr>
      </w:pPr>
      <w:r>
        <w:rPr>
          <w:rFonts w:hint="eastAsia"/>
          <w:sz w:val="28"/>
          <w:szCs w:val="28"/>
        </w:rPr>
        <w:t>评审要求</w:t>
      </w:r>
    </w:p>
    <w:p>
      <w:pPr>
        <w:rPr>
          <w:rFonts w:ascii="黑体" w:hAnsi="宋体" w:eastAsia="黑体"/>
          <w:sz w:val="24"/>
        </w:rPr>
      </w:pPr>
      <w:r>
        <w:rPr>
          <w:rFonts w:hint="eastAsia" w:ascii="黑体" w:hAnsi="宋体" w:eastAsia="黑体"/>
          <w:sz w:val="24"/>
        </w:rPr>
        <w:t>29．评审委员会组成</w:t>
      </w:r>
    </w:p>
    <w:p>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ascii="宋体" w:hAnsi="宋体"/>
        </w:rPr>
      </w:pPr>
      <w:bookmarkStart w:id="49"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49"/>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ascii="宋体" w:hAnsi="宋体"/>
        </w:rPr>
      </w:pPr>
      <w:r>
        <w:rPr>
          <w:rFonts w:hint="eastAsia" w:ascii="宋体" w:hAnsi="宋体"/>
        </w:rPr>
        <w:t>29.2评审定标应当遵循公平、公正、科学、择优的原则。</w:t>
      </w:r>
    </w:p>
    <w:p>
      <w:pPr>
        <w:ind w:firstLine="411" w:firstLineChars="196"/>
        <w:rPr>
          <w:rFonts w:ascii="宋体" w:hAnsi="宋体"/>
        </w:rPr>
      </w:pPr>
      <w:r>
        <w:rPr>
          <w:rFonts w:hint="eastAsia" w:ascii="宋体" w:hAnsi="宋体"/>
        </w:rPr>
        <w:t>29.3评审活动依法进行，任何单位和个人不得非法干预评标过程和结果。</w:t>
      </w:r>
    </w:p>
    <w:p>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ascii="黑体" w:hAnsi="宋体" w:eastAsia="黑体"/>
          <w:sz w:val="24"/>
        </w:rPr>
      </w:pPr>
      <w:r>
        <w:rPr>
          <w:rFonts w:hint="eastAsia" w:ascii="黑体" w:hAnsi="宋体" w:eastAsia="黑体"/>
          <w:sz w:val="24"/>
        </w:rPr>
        <w:t>30．向评审委员会提供的资料</w:t>
      </w:r>
    </w:p>
    <w:p>
      <w:pPr>
        <w:ind w:firstLine="411" w:firstLineChars="196"/>
        <w:rPr>
          <w:rFonts w:ascii="宋体" w:hAnsi="宋体"/>
        </w:rPr>
      </w:pPr>
      <w:r>
        <w:rPr>
          <w:rFonts w:hint="eastAsia" w:ascii="宋体" w:hAnsi="宋体"/>
        </w:rPr>
        <w:t>30.1公开发布的招标文件，包括图纸、服务清单、答疑文件等；</w:t>
      </w:r>
    </w:p>
    <w:p>
      <w:pPr>
        <w:ind w:firstLine="411" w:firstLineChars="196"/>
        <w:rPr>
          <w:rFonts w:ascii="宋体" w:hAnsi="宋体"/>
        </w:rPr>
      </w:pPr>
      <w:r>
        <w:rPr>
          <w:rFonts w:hint="eastAsia" w:ascii="宋体" w:hAnsi="宋体"/>
        </w:rPr>
        <w:t>30.2其他评标必须的资料。</w:t>
      </w:r>
    </w:p>
    <w:p>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ascii="宋体" w:hAnsi="宋体"/>
        </w:rPr>
      </w:pPr>
      <w:r>
        <w:rPr>
          <w:rFonts w:hint="eastAsia" w:ascii="宋体" w:hAnsi="宋体"/>
        </w:rPr>
        <w:t>（1）招标的目的；</w:t>
      </w:r>
    </w:p>
    <w:p>
      <w:pPr>
        <w:ind w:firstLine="411" w:firstLineChars="196"/>
        <w:rPr>
          <w:rFonts w:ascii="宋体" w:hAnsi="宋体"/>
        </w:rPr>
      </w:pPr>
      <w:r>
        <w:rPr>
          <w:rFonts w:hint="eastAsia" w:ascii="宋体" w:hAnsi="宋体"/>
        </w:rPr>
        <w:t>（2）招标项目需求的范围和性质；</w:t>
      </w:r>
    </w:p>
    <w:p>
      <w:pPr>
        <w:ind w:firstLine="411" w:firstLineChars="196"/>
        <w:rPr>
          <w:rFonts w:ascii="宋体" w:hAnsi="宋体"/>
        </w:rPr>
      </w:pPr>
      <w:r>
        <w:rPr>
          <w:rFonts w:hint="eastAsia" w:ascii="宋体" w:hAnsi="宋体"/>
        </w:rPr>
        <w:t>（3）招标文件规定的投标人的资格、财政预算限额、商务条款；</w:t>
      </w:r>
    </w:p>
    <w:p>
      <w:pPr>
        <w:ind w:firstLine="411" w:firstLineChars="196"/>
        <w:rPr>
          <w:rFonts w:ascii="宋体" w:hAnsi="宋体"/>
        </w:rPr>
      </w:pPr>
      <w:r>
        <w:rPr>
          <w:rFonts w:hint="eastAsia" w:ascii="宋体" w:hAnsi="宋体"/>
        </w:rPr>
        <w:t>（4）招标文件规定的评标程序、评标方法和评标因素；</w:t>
      </w:r>
    </w:p>
    <w:p>
      <w:pPr>
        <w:ind w:firstLine="411" w:firstLineChars="196"/>
        <w:rPr>
          <w:rFonts w:ascii="宋体" w:hAnsi="宋体"/>
        </w:rPr>
      </w:pPr>
      <w:r>
        <w:rPr>
          <w:rFonts w:hint="eastAsia" w:ascii="宋体" w:hAnsi="宋体"/>
        </w:rPr>
        <w:t>（5）招标文件所列示的资格性审查表及符合性审查表。</w:t>
      </w:r>
    </w:p>
    <w:p>
      <w:pPr>
        <w:rPr>
          <w:rFonts w:ascii="黑体" w:hAnsi="宋体" w:eastAsia="黑体"/>
          <w:sz w:val="24"/>
        </w:rPr>
      </w:pPr>
      <w:r>
        <w:rPr>
          <w:rFonts w:hint="eastAsia" w:ascii="黑体" w:hAnsi="宋体" w:eastAsia="黑体"/>
          <w:sz w:val="24"/>
        </w:rPr>
        <w:t>31．独立评审</w:t>
      </w:r>
    </w:p>
    <w:p>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ascii="宋体" w:hAnsi="宋体"/>
          <w:bCs/>
          <w:szCs w:val="21"/>
        </w:rPr>
      </w:pPr>
    </w:p>
    <w:p>
      <w:pPr>
        <w:pStyle w:val="4"/>
        <w:numPr>
          <w:ilvl w:val="0"/>
          <w:numId w:val="10"/>
        </w:numPr>
        <w:spacing w:before="120" w:beforeLines="50" w:after="120" w:afterLines="50"/>
        <w:ind w:left="562" w:hanging="562"/>
        <w:rPr>
          <w:sz w:val="28"/>
          <w:szCs w:val="28"/>
        </w:rPr>
      </w:pPr>
      <w:r>
        <w:rPr>
          <w:rFonts w:hint="eastAsia"/>
          <w:sz w:val="28"/>
          <w:szCs w:val="28"/>
        </w:rPr>
        <w:t>评审程序及评审方法</w:t>
      </w:r>
    </w:p>
    <w:p>
      <w:pPr>
        <w:rPr>
          <w:rFonts w:ascii="黑体" w:hAnsi="宋体" w:eastAsia="黑体"/>
          <w:sz w:val="24"/>
        </w:rPr>
      </w:pPr>
      <w:r>
        <w:rPr>
          <w:rFonts w:hint="eastAsia" w:ascii="黑体" w:hAnsi="宋体" w:eastAsia="黑体"/>
          <w:sz w:val="24"/>
        </w:rPr>
        <w:t>32．投标文件初审</w:t>
      </w:r>
    </w:p>
    <w:p>
      <w:pPr>
        <w:ind w:firstLine="411" w:firstLineChars="196"/>
        <w:rPr>
          <w:rFonts w:ascii="宋体" w:hAnsi="宋体"/>
        </w:rPr>
      </w:pPr>
      <w:r>
        <w:rPr>
          <w:rFonts w:hint="eastAsia" w:ascii="宋体" w:hAnsi="宋体"/>
        </w:rPr>
        <w:t>32.1投标文件初审包括资格性审查和符合性审查。</w:t>
      </w:r>
    </w:p>
    <w:p>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ascii="宋体" w:hAnsi="宋体"/>
          <w:bCs/>
        </w:rPr>
      </w:pPr>
      <w:r>
        <w:rPr>
          <w:rFonts w:hint="eastAsia" w:ascii="宋体" w:hAnsi="宋体"/>
          <w:bCs/>
        </w:rPr>
        <w:t>32.3 投标文件初审中关于供应商家数的计算:</w:t>
      </w:r>
    </w:p>
    <w:p>
      <w:pPr>
        <w:ind w:firstLine="411" w:firstLineChars="196"/>
        <w:rPr>
          <w:rFonts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ascii="宋体" w:hAnsi="宋体"/>
        </w:rPr>
      </w:pPr>
      <w:r>
        <w:rPr>
          <w:rFonts w:hint="eastAsia" w:ascii="宋体" w:hAnsi="宋体"/>
        </w:rPr>
        <w:t>32.4.3不同投标人的投标文件载明的项目管理成员或者联系人员为同一人；</w:t>
      </w:r>
    </w:p>
    <w:p>
      <w:pPr>
        <w:ind w:firstLine="411" w:firstLineChars="196"/>
        <w:rPr>
          <w:rFonts w:ascii="宋体" w:hAnsi="宋体"/>
        </w:rPr>
      </w:pPr>
      <w:r>
        <w:rPr>
          <w:rFonts w:hint="eastAsia" w:ascii="宋体" w:hAnsi="宋体"/>
        </w:rPr>
        <w:t>32.4.4不同投标人的投标文件异常一致或者投标报价呈规律性差异；</w:t>
      </w:r>
    </w:p>
    <w:p>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ascii="宋体" w:hAnsi="宋体"/>
        </w:rPr>
      </w:pPr>
      <w:r>
        <w:rPr>
          <w:rFonts w:hint="eastAsia" w:ascii="宋体" w:hAnsi="宋体"/>
        </w:rPr>
        <w:t>32.4.6投标供应商之间相互约定给予未中标的供应商利益补偿；</w:t>
      </w:r>
    </w:p>
    <w:p>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rPr>
      </w:pPr>
      <w:r>
        <w:rPr>
          <w:rFonts w:hint="eastAsia" w:ascii="宋体" w:hAnsi="宋体"/>
        </w:rPr>
        <w:t>32.4.8不同投标供应商的投标文件内容存在非正常一致；</w:t>
      </w:r>
    </w:p>
    <w:p>
      <w:pPr>
        <w:ind w:firstLine="411" w:firstLineChars="196"/>
        <w:rPr>
          <w:rFonts w:ascii="宋体" w:hAnsi="宋体"/>
        </w:rPr>
      </w:pPr>
      <w:r>
        <w:rPr>
          <w:rFonts w:hint="eastAsia" w:ascii="宋体" w:hAnsi="宋体"/>
        </w:rPr>
        <w:t>32.4.9在同一单位工作人员为两家以上（含两家）供应商进行同一项投标活动；</w:t>
      </w:r>
    </w:p>
    <w:p>
      <w:pPr>
        <w:ind w:firstLine="411" w:firstLineChars="196"/>
        <w:rPr>
          <w:rFonts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ascii="黑体" w:hAnsi="宋体" w:eastAsia="黑体"/>
          <w:sz w:val="24"/>
        </w:rPr>
      </w:pPr>
      <w:r>
        <w:rPr>
          <w:rFonts w:hint="eastAsia" w:ascii="黑体" w:hAnsi="宋体" w:eastAsia="黑体"/>
          <w:sz w:val="24"/>
        </w:rPr>
        <w:t>33．澄清有关问题</w:t>
      </w:r>
    </w:p>
    <w:p>
      <w:pPr>
        <w:ind w:firstLine="411" w:firstLineChars="196"/>
        <w:rPr>
          <w:rFonts w:ascii="宋体" w:hAnsi="宋体"/>
        </w:rPr>
      </w:pPr>
      <w:bookmarkStart w:id="50"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50"/>
    </w:p>
    <w:p>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rPr>
          <w:rFonts w:ascii="黑体" w:hAnsi="宋体" w:eastAsia="黑体"/>
          <w:sz w:val="24"/>
        </w:rPr>
      </w:pPr>
      <w:bookmarkStart w:id="51" w:name="_Toc73518151"/>
      <w:bookmarkStart w:id="52" w:name="_Toc73521581"/>
      <w:bookmarkStart w:id="53" w:name="_Toc100052400"/>
      <w:bookmarkStart w:id="54" w:name="_Toc73517673"/>
      <w:bookmarkStart w:id="55" w:name="_Toc73521669"/>
      <w:r>
        <w:rPr>
          <w:rFonts w:hint="eastAsia" w:ascii="黑体" w:hAnsi="宋体" w:eastAsia="黑体"/>
          <w:sz w:val="24"/>
        </w:rPr>
        <w:t>34．错误的修正</w:t>
      </w:r>
      <w:bookmarkEnd w:id="51"/>
      <w:bookmarkEnd w:id="52"/>
      <w:bookmarkEnd w:id="53"/>
      <w:bookmarkEnd w:id="54"/>
      <w:bookmarkEnd w:id="55"/>
    </w:p>
    <w:p>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ascii="宋体" w:hAnsi="宋体"/>
          <w:szCs w:val="21"/>
        </w:rPr>
      </w:pPr>
      <w:r>
        <w:rPr>
          <w:rFonts w:hint="eastAsia" w:ascii="宋体" w:hAnsi="宋体"/>
          <w:szCs w:val="21"/>
        </w:rPr>
        <w:t>34.2大写金额和小写金额不一致的，以大写金额为准；</w:t>
      </w:r>
    </w:p>
    <w:p>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34.4总价金额与按单价汇总金额不一致的，以单价金额计算结果为准。</w:t>
      </w:r>
    </w:p>
    <w:p>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rPr>
      </w:pPr>
      <w:r>
        <w:rPr>
          <w:rFonts w:hint="eastAsia" w:ascii="黑体" w:hAnsi="宋体" w:eastAsia="黑体"/>
          <w:sz w:val="24"/>
        </w:rPr>
        <w:t>35．投标文件的比较与评价</w:t>
      </w:r>
    </w:p>
    <w:p>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rPr>
      </w:pPr>
      <w:r>
        <w:rPr>
          <w:rFonts w:hint="eastAsia" w:ascii="黑体" w:hAnsi="宋体" w:eastAsia="黑体"/>
          <w:sz w:val="24"/>
        </w:rPr>
        <w:t>36. 实地考察或资料查验</w:t>
      </w:r>
    </w:p>
    <w:p>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ascii="黑体" w:hAnsi="宋体" w:eastAsia="黑体"/>
          <w:sz w:val="24"/>
        </w:rPr>
      </w:pPr>
      <w:r>
        <w:rPr>
          <w:rFonts w:hint="eastAsia" w:ascii="黑体" w:hAnsi="宋体" w:eastAsia="黑体"/>
          <w:sz w:val="24"/>
        </w:rPr>
        <w:t>37．评审方法</w:t>
      </w:r>
    </w:p>
    <w:p>
      <w:pPr>
        <w:ind w:firstLine="413" w:firstLineChars="196"/>
        <w:rPr>
          <w:rFonts w:ascii="宋体" w:hAnsi="宋体"/>
          <w:b/>
          <w:bCs/>
          <w:szCs w:val="21"/>
        </w:rPr>
      </w:pPr>
      <w:bookmarkStart w:id="56" w:name="_Hlk72438142"/>
      <w:r>
        <w:rPr>
          <w:rFonts w:hint="eastAsia" w:ascii="宋体" w:hAnsi="宋体"/>
          <w:b/>
          <w:bCs/>
          <w:szCs w:val="21"/>
        </w:rPr>
        <w:t>37.1.1最低价法</w:t>
      </w:r>
    </w:p>
    <w:p>
      <w:pPr>
        <w:ind w:firstLine="411" w:firstLineChars="196"/>
        <w:rPr>
          <w:rFonts w:hint="eastAsia" w:ascii="ˎ̥" w:hAnsi="ˎ̥"/>
          <w:lang w:eastAsia="zh-CN"/>
        </w:rPr>
      </w:pPr>
      <w:r>
        <w:rPr>
          <w:rFonts w:ascii="ˎ̥" w:hAnsi="ˎ̥"/>
        </w:rPr>
        <w:t>最低价法，</w:t>
      </w:r>
      <w:r>
        <w:rPr>
          <w:rFonts w:hint="eastAsia" w:ascii="ˎ̥" w:hAnsi="ˎ̥"/>
        </w:rPr>
        <w:t>是指投标文件满足招标文件全部实质性要求，且投标报价最低的投标人为中标候选人的评标方法</w:t>
      </w:r>
      <w:r>
        <w:rPr>
          <w:rFonts w:hint="eastAsia" w:ascii="ˎ̥" w:hAnsi="ˎ̥"/>
          <w:lang w:eastAsia="zh-CN"/>
        </w:rPr>
        <w:t>。</w:t>
      </w:r>
    </w:p>
    <w:p>
      <w:pPr>
        <w:ind w:firstLine="411" w:firstLineChars="196"/>
        <w:rPr>
          <w:rFonts w:hint="eastAsia" w:ascii="ˎ̥" w:hAnsi="ˎ̥" w:eastAsia="宋体"/>
          <w:lang w:eastAsia="zh-CN"/>
        </w:rPr>
      </w:pPr>
      <w:r>
        <w:rPr>
          <w:rFonts w:hint="eastAsia" w:ascii="ˎ̥" w:hAnsi="ˎ̥"/>
          <w:lang w:eastAsia="zh-CN"/>
        </w:rPr>
        <w:t>采用最低价法的，评标结果按投标报价由低到高顺序排列。投标报价相同的并列。投标文件满足招标文件全部实质性要求且投标报价最低的投标人为排名第一的中标候选人。</w:t>
      </w:r>
      <w:r>
        <w:rPr>
          <w:rFonts w:hint="eastAsia" w:ascii="ˎ̥" w:hAnsi="ˎ̥"/>
        </w:rPr>
        <w:t>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3" w:firstLineChars="196"/>
        <w:rPr>
          <w:rFonts w:ascii="宋体" w:hAnsi="宋体"/>
          <w:b/>
          <w:bCs/>
          <w:szCs w:val="21"/>
        </w:rPr>
      </w:pPr>
      <w:r>
        <w:rPr>
          <w:rFonts w:hint="eastAsia" w:ascii="宋体" w:hAnsi="宋体"/>
          <w:b/>
          <w:bCs/>
          <w:szCs w:val="21"/>
        </w:rPr>
        <w:t>37.1.2综合评分法</w:t>
      </w:r>
    </w:p>
    <w:p>
      <w:pPr>
        <w:ind w:firstLine="411" w:firstLineChars="196"/>
        <w:rPr>
          <w:rFonts w:hint="eastAsia" w:ascii="ˎ̥" w:hAnsi="ˎ̥"/>
          <w:lang w:eastAsia="zh-CN"/>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r>
        <w:rPr>
          <w:rFonts w:hint="eastAsia" w:ascii="ˎ̥" w:hAnsi="ˎ̥"/>
          <w:lang w:eastAsia="zh-CN"/>
        </w:rPr>
        <w:t>。</w:t>
      </w:r>
    </w:p>
    <w:p>
      <w:pPr>
        <w:ind w:firstLine="411" w:firstLineChars="196"/>
        <w:rPr>
          <w:rFonts w:ascii="ˎ̥" w:hAnsi="ˎ̥"/>
        </w:rPr>
      </w:pPr>
      <w:r>
        <w:rPr>
          <w:rFonts w:hint="eastAsia" w:ascii="ˎ̥" w:hAnsi="ˎ̥"/>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ˎ̥" w:hAnsi="ˎ̥"/>
        </w:rPr>
        <w:t>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56"/>
    </w:p>
    <w:p>
      <w:pPr>
        <w:ind w:firstLine="413" w:firstLineChars="196"/>
        <w:rPr>
          <w:rFonts w:ascii="宋体" w:hAnsi="宋体"/>
          <w:b/>
          <w:bCs/>
          <w:szCs w:val="21"/>
        </w:rPr>
      </w:pPr>
      <w:r>
        <w:rPr>
          <w:rFonts w:hint="eastAsia" w:ascii="宋体" w:hAnsi="宋体"/>
          <w:b/>
          <w:bCs/>
          <w:szCs w:val="21"/>
        </w:rPr>
        <w:t>37.2 本项目采用的评审方法见本项目招标文件第一册“专用条款”的相关内容。</w:t>
      </w:r>
    </w:p>
    <w:p>
      <w:pPr>
        <w:ind w:firstLine="413" w:firstLineChars="196"/>
        <w:rPr>
          <w:rFonts w:ascii="宋体" w:hAnsi="宋体"/>
          <w:b/>
          <w:bCs/>
          <w:szCs w:val="21"/>
        </w:rPr>
      </w:pPr>
      <w:r>
        <w:rPr>
          <w:rFonts w:hint="eastAsia" w:ascii="宋体" w:hAnsi="宋体"/>
          <w:b/>
          <w:bCs/>
          <w:szCs w:val="21"/>
        </w:rPr>
        <w:t>37.3重新评审的情形</w:t>
      </w:r>
    </w:p>
    <w:p>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ascii="宋体" w:hAnsi="宋体" w:cs="宋体"/>
          <w:kern w:val="0"/>
          <w:szCs w:val="21"/>
        </w:rPr>
      </w:pPr>
      <w:r>
        <w:rPr>
          <w:rFonts w:hint="eastAsia" w:ascii="宋体" w:hAnsi="宋体" w:cs="宋体"/>
          <w:kern w:val="0"/>
          <w:szCs w:val="21"/>
        </w:rPr>
        <w:t>37.3.1分值汇总计算错误的；</w:t>
      </w:r>
    </w:p>
    <w:p>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rPr>
      </w:pPr>
      <w:r>
        <w:rPr>
          <w:rFonts w:hint="eastAsia" w:ascii="宋体" w:hAnsi="宋体"/>
          <w:b/>
          <w:bCs/>
          <w:szCs w:val="21"/>
        </w:rPr>
        <w:t xml:space="preserve"> 37.4重新组建评审委员会的情形</w:t>
      </w:r>
    </w:p>
    <w:p>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ascii="宋体" w:hAnsi="宋体"/>
          <w:szCs w:val="21"/>
        </w:rPr>
      </w:pPr>
    </w:p>
    <w:p>
      <w:pPr>
        <w:pStyle w:val="4"/>
        <w:numPr>
          <w:ilvl w:val="0"/>
          <w:numId w:val="10"/>
        </w:numPr>
        <w:spacing w:before="120" w:beforeLines="50" w:after="120" w:afterLines="50"/>
        <w:ind w:left="562" w:hanging="562"/>
        <w:rPr>
          <w:sz w:val="28"/>
          <w:szCs w:val="28"/>
        </w:rPr>
      </w:pPr>
      <w:r>
        <w:rPr>
          <w:rFonts w:hint="eastAsia"/>
          <w:sz w:val="28"/>
          <w:szCs w:val="28"/>
        </w:rPr>
        <w:t>定标及公示</w:t>
      </w:r>
    </w:p>
    <w:p>
      <w:pPr>
        <w:rPr>
          <w:rFonts w:ascii="黑体" w:hAnsi="宋体" w:eastAsia="黑体"/>
          <w:sz w:val="24"/>
        </w:rPr>
      </w:pPr>
      <w:r>
        <w:rPr>
          <w:rFonts w:hint="eastAsia" w:ascii="黑体" w:hAnsi="宋体" w:eastAsia="黑体"/>
          <w:sz w:val="24"/>
        </w:rPr>
        <w:t>38．定标方法</w:t>
      </w:r>
    </w:p>
    <w:p>
      <w:pPr>
        <w:ind w:firstLine="411" w:firstLineChars="196"/>
        <w:rPr>
          <w:rFonts w:ascii="宋体" w:hAnsi="宋体"/>
          <w:szCs w:val="21"/>
        </w:rPr>
      </w:pPr>
      <w:bookmarkStart w:id="57" w:name="_Hlk73782795"/>
      <w:r>
        <w:rPr>
          <w:rFonts w:hint="eastAsia" w:ascii="宋体" w:hAnsi="宋体"/>
          <w:szCs w:val="21"/>
        </w:rPr>
        <w:t>38.1非评定分离项目定标方法</w:t>
      </w:r>
    </w:p>
    <w:p>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hint="eastAsia" w:ascii="ˎ̥" w:hAnsi="ˎ̥" w:eastAsiaTheme="minorEastAsia"/>
          <w:lang w:eastAsia="zh-CN"/>
        </w:rPr>
      </w:pPr>
      <w:r>
        <w:rPr>
          <w:rFonts w:hint="eastAsia" w:ascii="ˎ̥" w:hAnsi="ˎ̥" w:eastAsiaTheme="minorEastAsia"/>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ˎ̥" w:hAnsi="ˎ̥" w:eastAsiaTheme="minorEastAsia"/>
          <w:lang w:eastAsia="zh-CN"/>
        </w:rPr>
      </w:pPr>
      <w:r>
        <w:rPr>
          <w:rFonts w:hint="eastAsia" w:ascii="ˎ̥" w:hAnsi="ˎ̥" w:eastAsiaTheme="minorEastAsia"/>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ascii="宋体" w:hAnsi="宋体"/>
          <w:szCs w:val="21"/>
        </w:rPr>
      </w:pPr>
      <w:r>
        <w:rPr>
          <w:rFonts w:hint="eastAsia" w:ascii="宋体" w:hAnsi="宋体"/>
          <w:szCs w:val="21"/>
        </w:rPr>
        <w:t>38.2评定分离项目定标方法</w:t>
      </w:r>
    </w:p>
    <w:p>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58"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ascii="宋体" w:hAnsi="宋体"/>
          <w:szCs w:val="21"/>
        </w:rPr>
      </w:pPr>
      <w:r>
        <w:rPr>
          <w:rFonts w:hint="eastAsia" w:ascii="宋体" w:hAnsi="宋体"/>
          <w:szCs w:val="21"/>
        </w:rPr>
        <w:t>38.2.3</w:t>
      </w:r>
      <w:bookmarkStart w:id="59"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58"/>
      <w:bookmarkEnd w:id="59"/>
    </w:p>
    <w:p>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pPr>
        <w:ind w:firstLine="411" w:firstLineChars="196"/>
        <w:rPr>
          <w:rFonts w:ascii="宋体" w:hAnsi="宋体"/>
          <w:szCs w:val="21"/>
        </w:rPr>
      </w:pPr>
      <w:r>
        <w:rPr>
          <w:rFonts w:hint="eastAsia" w:ascii="宋体" w:hAnsi="宋体"/>
          <w:szCs w:val="21"/>
        </w:rPr>
        <w:t>说明：采购人及投标供应商应按照上述方法提前做好相关准备。</w:t>
      </w:r>
    </w:p>
    <w:p>
      <w:pPr>
        <w:ind w:firstLine="411" w:firstLineChars="196"/>
        <w:rPr>
          <w:rFonts w:ascii="宋体" w:hAnsi="宋体"/>
          <w:szCs w:val="21"/>
        </w:rPr>
      </w:pPr>
      <w:r>
        <w:rPr>
          <w:rFonts w:hint="eastAsia" w:ascii="宋体" w:hAnsi="宋体"/>
          <w:szCs w:val="21"/>
        </w:rPr>
        <w:t>38.3专用条款另有规定的，按专用条款相关要求定标。</w:t>
      </w:r>
      <w:bookmarkEnd w:id="57"/>
    </w:p>
    <w:p>
      <w:pPr>
        <w:rPr>
          <w:rFonts w:ascii="黑体" w:hAnsi="宋体" w:eastAsia="黑体"/>
          <w:sz w:val="24"/>
        </w:rPr>
      </w:pPr>
      <w:r>
        <w:rPr>
          <w:rFonts w:hint="eastAsia" w:ascii="黑体" w:hAnsi="宋体" w:eastAsia="黑体"/>
          <w:sz w:val="24"/>
        </w:rPr>
        <w:t>39．编写评审报告</w:t>
      </w:r>
    </w:p>
    <w:p>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rPr>
      </w:pPr>
      <w:r>
        <w:rPr>
          <w:rFonts w:hint="eastAsia" w:ascii="黑体" w:hAnsi="宋体" w:eastAsia="黑体"/>
          <w:sz w:val="24"/>
        </w:rPr>
        <w:t>40．中标公告</w:t>
      </w:r>
    </w:p>
    <w:p>
      <w:pPr>
        <w:ind w:firstLine="411" w:firstLineChars="196"/>
        <w:rPr>
          <w:rFonts w:ascii="宋体" w:hAnsi="宋体"/>
          <w:szCs w:val="21"/>
        </w:rPr>
      </w:pPr>
      <w:r>
        <w:rPr>
          <w:rFonts w:hint="eastAsia" w:ascii="宋体" w:hAnsi="宋体"/>
          <w:szCs w:val="21"/>
        </w:rPr>
        <w:t>40.1</w:t>
      </w:r>
      <w:bookmarkStart w:id="60"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w:t>
      </w:r>
      <w:r>
        <w:rPr>
          <w:rFonts w:hint="eastAsia" w:ascii="宋体" w:hAnsi="宋体"/>
          <w:b/>
          <w:bCs/>
          <w:lang w:eastAsia="zh-CN"/>
        </w:rPr>
        <w:t>政府采购</w:t>
      </w:r>
      <w:r>
        <w:rPr>
          <w:rFonts w:hint="eastAsia" w:ascii="宋体" w:hAnsi="宋体"/>
          <w:b/>
          <w:bCs/>
        </w:rPr>
        <w:t>自行采购系统</w:t>
      </w:r>
      <w:r>
        <w:rPr>
          <w:rFonts w:hint="eastAsia" w:ascii="宋体" w:hAnsi="宋体"/>
          <w:b/>
          <w:bCs/>
          <w:szCs w:val="21"/>
        </w:rPr>
        <w:t>（https://zxcg.szggzy.com/home/index.html）</w:t>
      </w:r>
      <w:r>
        <w:rPr>
          <w:rFonts w:hint="eastAsia" w:ascii="宋体" w:hAnsi="宋体"/>
          <w:szCs w:val="21"/>
        </w:rPr>
        <w:t>上发布中标结果公告。</w:t>
      </w:r>
      <w:bookmarkEnd w:id="60"/>
      <w:bookmarkStart w:id="61"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61"/>
    <w:p>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pPr>
        <w:rPr>
          <w:rFonts w:ascii="黑体" w:hAnsi="宋体" w:eastAsia="黑体"/>
          <w:sz w:val="24"/>
        </w:rPr>
      </w:pPr>
      <w:r>
        <w:rPr>
          <w:rFonts w:hint="eastAsia" w:ascii="黑体" w:hAnsi="宋体" w:eastAsia="黑体"/>
          <w:sz w:val="24"/>
        </w:rPr>
        <w:t>41．中标通知书</w:t>
      </w:r>
    </w:p>
    <w:p>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62" w:name="_Hlk72438863"/>
      <w:r>
        <w:rPr>
          <w:rFonts w:hint="eastAsia" w:ascii="宋体" w:hAnsi="宋体"/>
          <w:szCs w:val="21"/>
        </w:rPr>
        <w:t>中标公告公布以后无异常的情况下,中标供应商和采购人可自行</w:t>
      </w:r>
      <w:r>
        <w:rPr>
          <w:rFonts w:hint="eastAsia" w:ascii="宋体" w:hAnsi="宋体"/>
          <w:szCs w:val="21"/>
          <w:lang w:eastAsia="zh-CN"/>
        </w:rPr>
        <w:t>登录</w:t>
      </w:r>
      <w:r>
        <w:rPr>
          <w:rFonts w:hint="eastAsia" w:ascii="宋体" w:hAnsi="宋体"/>
          <w:b/>
          <w:bCs/>
          <w:szCs w:val="21"/>
        </w:rPr>
        <w:t>“</w:t>
      </w:r>
      <w:r>
        <w:rPr>
          <w:rFonts w:hint="eastAsia" w:ascii="宋体" w:hAnsi="宋体"/>
        </w:rPr>
        <w:t>深圳</w:t>
      </w:r>
      <w:r>
        <w:rPr>
          <w:rFonts w:hint="eastAsia" w:ascii="宋体" w:hAnsi="宋体"/>
          <w:lang w:eastAsia="zh-CN"/>
        </w:rPr>
        <w:t>政府采购</w:t>
      </w:r>
      <w:r>
        <w:rPr>
          <w:rFonts w:hint="eastAsia" w:ascii="宋体" w:hAnsi="宋体"/>
        </w:rPr>
        <w:t>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62"/>
    </w:p>
    <w:p>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ascii="宋体" w:hAnsi="宋体"/>
          <w:szCs w:val="21"/>
        </w:rPr>
      </w:pPr>
      <w:bookmarkStart w:id="63" w:name="_Hlk71407340"/>
      <w:r>
        <w:rPr>
          <w:rFonts w:hint="eastAsia" w:ascii="宋体" w:hAnsi="宋体"/>
          <w:szCs w:val="21"/>
        </w:rPr>
        <w:t>41.3因质疑投诉或其它原因导致项目结果变更或采购终止的，政府集中采购机构有权吊销中标通知书。</w:t>
      </w:r>
    </w:p>
    <w:bookmarkEnd w:id="63"/>
    <w:p>
      <w:pPr>
        <w:ind w:firstLine="411" w:firstLineChars="196"/>
        <w:rPr>
          <w:rFonts w:ascii="宋体" w:hAnsi="宋体"/>
          <w:szCs w:val="21"/>
        </w:rPr>
      </w:pPr>
    </w:p>
    <w:p>
      <w:pPr>
        <w:pStyle w:val="4"/>
        <w:numPr>
          <w:ilvl w:val="0"/>
          <w:numId w:val="10"/>
        </w:numPr>
        <w:spacing w:before="120" w:beforeLines="50" w:after="120" w:afterLines="50"/>
        <w:ind w:left="562" w:hanging="562"/>
        <w:rPr>
          <w:sz w:val="28"/>
          <w:szCs w:val="28"/>
        </w:rPr>
      </w:pPr>
      <w:r>
        <w:rPr>
          <w:rFonts w:hint="eastAsia"/>
          <w:sz w:val="28"/>
          <w:szCs w:val="28"/>
        </w:rPr>
        <w:t>公开招标失败的后续处理</w:t>
      </w:r>
    </w:p>
    <w:p>
      <w:pPr>
        <w:rPr>
          <w:rFonts w:ascii="黑体" w:hAnsi="宋体" w:eastAsia="黑体"/>
          <w:sz w:val="24"/>
        </w:rPr>
      </w:pPr>
      <w:r>
        <w:rPr>
          <w:rFonts w:hint="eastAsia" w:ascii="黑体" w:hAnsi="宋体" w:eastAsia="黑体"/>
          <w:sz w:val="24"/>
        </w:rPr>
        <w:t>42．公开招标失败的处理</w:t>
      </w:r>
    </w:p>
    <w:p>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（1）由政府集中采购机构重新组织公开招标；</w:t>
      </w:r>
    </w:p>
    <w:p>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pPr>
        <w:rPr>
          <w:rFonts w:ascii="黑体" w:hAnsi="宋体" w:eastAsia="黑体"/>
          <w:sz w:val="24"/>
        </w:rPr>
      </w:pPr>
    </w:p>
    <w:p>
      <w:pPr>
        <w:pStyle w:val="4"/>
        <w:numPr>
          <w:ilvl w:val="0"/>
          <w:numId w:val="10"/>
        </w:numPr>
        <w:spacing w:before="120" w:beforeLines="50" w:after="120" w:afterLines="50"/>
        <w:ind w:left="562" w:hanging="562"/>
        <w:rPr>
          <w:sz w:val="28"/>
          <w:szCs w:val="28"/>
        </w:rPr>
      </w:pPr>
      <w:bookmarkStart w:id="64" w:name="_Hlk72439043"/>
      <w:r>
        <w:rPr>
          <w:rFonts w:hint="eastAsia"/>
          <w:sz w:val="28"/>
          <w:szCs w:val="28"/>
        </w:rPr>
        <w:t>合同的授予与备案</w:t>
      </w:r>
      <w:bookmarkEnd w:id="64"/>
    </w:p>
    <w:p>
      <w:pPr>
        <w:rPr>
          <w:rFonts w:ascii="黑体" w:hAnsi="宋体" w:eastAsia="黑体"/>
          <w:sz w:val="24"/>
        </w:rPr>
      </w:pPr>
      <w:bookmarkStart w:id="65" w:name="_Toc73521586"/>
      <w:bookmarkStart w:id="66" w:name="_Toc100052408"/>
      <w:bookmarkStart w:id="67" w:name="_Toc73518157"/>
      <w:bookmarkStart w:id="68" w:name="_Toc73517679"/>
      <w:bookmarkStart w:id="69" w:name="_Toc73521674"/>
      <w:bookmarkStart w:id="70" w:name="_Hlk72439088"/>
      <w:r>
        <w:rPr>
          <w:rFonts w:hint="eastAsia" w:ascii="黑体" w:hAnsi="宋体" w:eastAsia="黑体"/>
          <w:sz w:val="24"/>
        </w:rPr>
        <w:t>43．合同授予标准</w:t>
      </w:r>
      <w:bookmarkEnd w:id="65"/>
      <w:bookmarkEnd w:id="66"/>
      <w:bookmarkEnd w:id="67"/>
      <w:bookmarkEnd w:id="68"/>
      <w:bookmarkEnd w:id="69"/>
    </w:p>
    <w:p>
      <w:pPr>
        <w:ind w:firstLine="411" w:firstLineChars="196"/>
        <w:rPr>
          <w:rFonts w:ascii="宋体" w:hAnsi="宋体"/>
          <w:szCs w:val="21"/>
        </w:rPr>
      </w:pPr>
      <w:r>
        <w:rPr>
          <w:rFonts w:hint="eastAsia" w:ascii="宋体" w:hAnsi="宋体"/>
          <w:szCs w:val="21"/>
        </w:rPr>
        <w:t>本项目的合同将授予经本招标文件规定评审确定的中标供应商。</w:t>
      </w:r>
    </w:p>
    <w:p>
      <w:pPr>
        <w:rPr>
          <w:rFonts w:ascii="黑体" w:hAnsi="宋体" w:eastAsia="黑体"/>
          <w:sz w:val="24"/>
        </w:rPr>
      </w:pPr>
      <w:bookmarkStart w:id="71" w:name="_Toc73521675"/>
      <w:bookmarkStart w:id="72" w:name="_Toc100052409"/>
      <w:bookmarkStart w:id="73" w:name="_Toc73521587"/>
      <w:bookmarkStart w:id="74" w:name="_Toc73517680"/>
      <w:bookmarkStart w:id="75" w:name="_Toc73518158"/>
      <w:r>
        <w:rPr>
          <w:rFonts w:hint="eastAsia" w:ascii="黑体" w:hAnsi="宋体" w:eastAsia="黑体"/>
          <w:sz w:val="24"/>
        </w:rPr>
        <w:t>44．</w:t>
      </w:r>
      <w:bookmarkEnd w:id="71"/>
      <w:bookmarkEnd w:id="72"/>
      <w:bookmarkEnd w:id="73"/>
      <w:bookmarkEnd w:id="74"/>
      <w:bookmarkEnd w:id="75"/>
      <w:r>
        <w:rPr>
          <w:rFonts w:hint="eastAsia" w:ascii="黑体" w:hAnsi="宋体" w:eastAsia="黑体"/>
          <w:sz w:val="24"/>
        </w:rPr>
        <w:t>接受和拒绝任何或所有投标的权力</w:t>
      </w:r>
    </w:p>
    <w:p>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rPr>
      </w:pPr>
      <w:bookmarkStart w:id="76" w:name="_Toc73521677"/>
      <w:bookmarkStart w:id="77" w:name="_Toc100052410"/>
      <w:bookmarkStart w:id="78" w:name="_Toc73517682"/>
      <w:bookmarkStart w:id="79" w:name="_Toc73518160"/>
      <w:bookmarkStart w:id="80" w:name="_Toc73521589"/>
      <w:r>
        <w:rPr>
          <w:rFonts w:hint="eastAsia" w:ascii="黑体" w:hAnsi="宋体" w:eastAsia="黑体"/>
          <w:sz w:val="24"/>
        </w:rPr>
        <w:t>45．合同的签订</w:t>
      </w:r>
      <w:bookmarkEnd w:id="76"/>
      <w:bookmarkEnd w:id="77"/>
      <w:bookmarkEnd w:id="78"/>
      <w:bookmarkEnd w:id="79"/>
      <w:bookmarkEnd w:id="80"/>
    </w:p>
    <w:p>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pPr>
        <w:rPr>
          <w:rFonts w:ascii="黑体" w:hAnsi="宋体" w:eastAsia="黑体"/>
          <w:sz w:val="24"/>
        </w:rPr>
      </w:pPr>
      <w:bookmarkStart w:id="81" w:name="_Toc100052411"/>
      <w:bookmarkStart w:id="82" w:name="_Toc73518161"/>
      <w:bookmarkStart w:id="83" w:name="_Toc73517683"/>
      <w:bookmarkStart w:id="84" w:name="_Toc73521678"/>
      <w:bookmarkStart w:id="85" w:name="_Toc73521590"/>
      <w:r>
        <w:rPr>
          <w:rFonts w:hint="eastAsia" w:ascii="黑体" w:hAnsi="宋体" w:eastAsia="黑体"/>
          <w:sz w:val="24"/>
        </w:rPr>
        <w:t>46．履约担保</w:t>
      </w:r>
      <w:bookmarkEnd w:id="81"/>
      <w:bookmarkEnd w:id="82"/>
      <w:bookmarkEnd w:id="83"/>
      <w:bookmarkEnd w:id="84"/>
      <w:bookmarkEnd w:id="85"/>
    </w:p>
    <w:p>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ascii="黑体" w:hAnsi="宋体" w:eastAsia="黑体"/>
          <w:sz w:val="24"/>
        </w:rPr>
      </w:pPr>
      <w:r>
        <w:rPr>
          <w:rFonts w:hint="eastAsia" w:ascii="黑体" w:hAnsi="宋体" w:eastAsia="黑体"/>
          <w:sz w:val="24"/>
        </w:rPr>
        <w:t>47. 合同备案</w:t>
      </w:r>
    </w:p>
    <w:p>
      <w:pPr>
        <w:rPr>
          <w:rFonts w:ascii="黑体" w:hAnsi="宋体" w:eastAsia="黑体"/>
          <w:sz w:val="24"/>
        </w:rPr>
      </w:pPr>
      <w:r>
        <w:rPr>
          <w:rFonts w:hint="eastAsia" w:ascii="宋体" w:hAnsi="宋体" w:eastAsia="宋体" w:cs="Times New Roman"/>
          <w:kern w:val="2"/>
          <w:sz w:val="21"/>
          <w:szCs w:val="21"/>
          <w:lang w:eastAsia="zh-Hans"/>
        </w:rPr>
        <w:t>采购人与中标供应商自中标通知书发出之日起10个工作日内签订政府采购合同，</w:t>
      </w:r>
      <w:r>
        <w:rPr>
          <w:rFonts w:hint="eastAsia" w:ascii="宋体" w:hAnsi="宋体" w:eastAsia="宋体" w:cs="Times New Roman"/>
          <w:kern w:val="2"/>
          <w:sz w:val="21"/>
          <w:szCs w:val="21"/>
          <w:lang w:val="en-US" w:eastAsia="zh-CN"/>
        </w:rPr>
        <w:t>并按财政部门规定提交备案。</w:t>
      </w:r>
      <w:r>
        <w:rPr>
          <w:rFonts w:hint="eastAsia" w:ascii="黑体" w:hAnsi="宋体" w:eastAsia="黑体"/>
          <w:sz w:val="24"/>
        </w:rPr>
        <w:t>48. 合同变更</w:t>
      </w:r>
    </w:p>
    <w:p>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pPr>
        <w:rPr>
          <w:rFonts w:ascii="黑体" w:hAnsi="宋体" w:eastAsia="黑体"/>
          <w:sz w:val="24"/>
        </w:rPr>
      </w:pPr>
      <w:r>
        <w:rPr>
          <w:rFonts w:hint="eastAsia" w:ascii="黑体" w:hAnsi="宋体" w:eastAsia="黑体"/>
          <w:sz w:val="24"/>
        </w:rPr>
        <w:t>49. 项目验收</w:t>
      </w:r>
    </w:p>
    <w:p>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ascii="黑体" w:hAnsi="宋体" w:eastAsia="黑体"/>
          <w:sz w:val="24"/>
        </w:rPr>
      </w:pPr>
      <w:r>
        <w:rPr>
          <w:rFonts w:hint="eastAsia" w:ascii="黑体" w:hAnsi="宋体" w:eastAsia="黑体"/>
          <w:sz w:val="24"/>
        </w:rPr>
        <w:t>50. 宣传</w:t>
      </w:r>
    </w:p>
    <w:p>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ascii="宋体" w:hAnsi="宋体"/>
        </w:rPr>
      </w:pPr>
      <w:r>
        <w:rPr>
          <w:rFonts w:ascii="宋体" w:hAnsi="宋体"/>
        </w:rPr>
        <w:t>a.名片、宣传册、广告标语等；</w:t>
      </w:r>
    </w:p>
    <w:p>
      <w:pPr>
        <w:ind w:left="210" w:leftChars="100" w:firstLine="411" w:firstLineChars="196"/>
        <w:rPr>
          <w:rFonts w:ascii="宋体" w:hAnsi="宋体"/>
        </w:rPr>
      </w:pPr>
      <w:r>
        <w:rPr>
          <w:rFonts w:ascii="宋体" w:hAnsi="宋体"/>
        </w:rPr>
        <w:t>b.案例介绍、推广等；</w:t>
      </w:r>
    </w:p>
    <w:p>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pPr>
        <w:rPr>
          <w:rFonts w:ascii="黑体" w:hAnsi="宋体" w:eastAsia="黑体"/>
          <w:sz w:val="24"/>
        </w:rPr>
      </w:pPr>
      <w:r>
        <w:rPr>
          <w:rFonts w:hint="eastAsia" w:ascii="黑体" w:hAnsi="宋体" w:eastAsia="黑体"/>
          <w:sz w:val="24"/>
        </w:rPr>
        <w:t>51. 供应商违法责任</w:t>
      </w:r>
    </w:p>
    <w:p>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（5）与其他采购参加人串通投标的；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ind w:firstLine="411" w:firstLineChars="196"/>
        <w:rPr>
          <w:rFonts w:ascii="宋体" w:hAnsi="宋体"/>
          <w:szCs w:val="21"/>
        </w:rPr>
      </w:pPr>
      <w:r>
        <w:rPr>
          <w:rFonts w:hint="eastAsia" w:ascii="宋体" w:hAnsi="宋体"/>
          <w:szCs w:val="21"/>
        </w:rPr>
        <w:t>（9）其他违反本条例规定的行为。</w:t>
      </w:r>
    </w:p>
    <w:p>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86" w:name="_Hlk72440769"/>
      <w:r>
        <w:rPr>
          <w:rFonts w:hint="eastAsia" w:ascii="宋体" w:hAnsi="宋体"/>
          <w:szCs w:val="21"/>
        </w:rPr>
        <w:t>政府集中采购机构或采购人不予退还其交纳的谈判保证金，情节严重的，并由主管部门</w:t>
      </w:r>
      <w:bookmarkEnd w:id="86"/>
      <w:r>
        <w:rPr>
          <w:rFonts w:hint="eastAsia" w:ascii="宋体" w:hAnsi="宋体"/>
          <w:szCs w:val="21"/>
        </w:rPr>
        <w:t>记入供应商诚信档案，予以通报：</w:t>
      </w:r>
    </w:p>
    <w:p>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70"/>
    <w:p>
      <w:pPr>
        <w:pStyle w:val="4"/>
        <w:numPr>
          <w:ilvl w:val="0"/>
          <w:numId w:val="10"/>
        </w:numPr>
        <w:spacing w:before="120" w:beforeLines="50" w:after="120" w:afterLines="50"/>
        <w:ind w:left="562" w:hanging="562"/>
        <w:rPr>
          <w:sz w:val="28"/>
          <w:szCs w:val="28"/>
        </w:rPr>
      </w:pPr>
      <w:r>
        <w:rPr>
          <w:rFonts w:hint="eastAsia"/>
          <w:sz w:val="28"/>
          <w:szCs w:val="28"/>
        </w:rPr>
        <w:t>质疑处理</w:t>
      </w:r>
    </w:p>
    <w:p>
      <w:pPr>
        <w:rPr>
          <w:rFonts w:ascii="黑体" w:hAnsi="宋体" w:eastAsia="黑体"/>
          <w:sz w:val="24"/>
        </w:rPr>
      </w:pPr>
      <w:r>
        <w:rPr>
          <w:rFonts w:hint="eastAsia" w:ascii="黑体" w:hAnsi="宋体" w:eastAsia="黑体"/>
          <w:sz w:val="24"/>
        </w:rPr>
        <w:t>52.质疑提出与答复</w:t>
      </w:r>
    </w:p>
    <w:p>
      <w:pPr>
        <w:rPr>
          <w:rFonts w:ascii="宋体" w:hAnsi="宋体"/>
          <w:szCs w:val="21"/>
        </w:rPr>
      </w:pPr>
      <w:r>
        <w:rPr>
          <w:rFonts w:hint="eastAsia" w:ascii="宋体" w:hAnsi="宋体"/>
          <w:szCs w:val="21"/>
        </w:rPr>
        <w:t xml:space="preserve">    52.1提出质疑</w:t>
      </w:r>
    </w:p>
    <w:p>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hint="eastAsia" w:ascii="宋体" w:hAnsi="宋体"/>
          <w:szCs w:val="21"/>
        </w:rPr>
        <w:t xml:space="preserve">    52.2</w:t>
      </w:r>
      <w:r>
        <w:rPr>
          <w:rFonts w:ascii="宋体" w:hAnsi="宋体"/>
          <w:szCs w:val="21"/>
        </w:rPr>
        <w:t>法律依据</w:t>
      </w:r>
    </w:p>
    <w:p>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ascii="宋体" w:hAnsi="宋体"/>
          <w:szCs w:val="21"/>
        </w:rPr>
      </w:pPr>
      <w:r>
        <w:rPr>
          <w:rFonts w:hint="eastAsia" w:ascii="宋体" w:hAnsi="宋体"/>
          <w:szCs w:val="21"/>
        </w:rPr>
        <w:t xml:space="preserve">    52.3.1提出质疑的供应商应当是参与所质疑项目采购活动的供应商；</w:t>
      </w:r>
      <w:bookmarkStart w:id="87" w:name="_Hlk75374941"/>
      <w:r>
        <w:rPr>
          <w:rFonts w:hint="eastAsia" w:ascii="宋体" w:hAnsi="宋体"/>
          <w:szCs w:val="21"/>
        </w:rPr>
        <w:t>以联合体形式参与的，质疑应当由组成联合体的所有成员共同提出</w:t>
      </w:r>
      <w:bookmarkEnd w:id="87"/>
      <w:r>
        <w:rPr>
          <w:rFonts w:hint="eastAsia" w:ascii="宋体" w:hAnsi="宋体"/>
          <w:szCs w:val="21"/>
        </w:rPr>
        <w:t>；</w:t>
      </w:r>
    </w:p>
    <w:p>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hint="eastAsia" w:ascii="宋体" w:hAnsi="宋体"/>
          <w:szCs w:val="21"/>
        </w:rPr>
        <w:t>52.5收文地点</w:t>
      </w:r>
    </w:p>
    <w:p>
      <w:pPr>
        <w:ind w:firstLine="422" w:firstLineChars="200"/>
        <w:rPr>
          <w:rFonts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ascii="宋体" w:hAnsi="宋体"/>
          <w:szCs w:val="21"/>
        </w:rPr>
      </w:pPr>
      <w:r>
        <w:rPr>
          <w:rFonts w:hint="eastAsia" w:ascii="宋体" w:hAnsi="宋体"/>
          <w:szCs w:val="21"/>
        </w:rPr>
        <w:t xml:space="preserve">    自收文之日起七个工作日内。</w:t>
      </w:r>
    </w:p>
    <w:p>
      <w:pPr>
        <w:rPr>
          <w:rFonts w:ascii="宋体" w:hAnsi="宋体"/>
          <w:szCs w:val="21"/>
        </w:rPr>
      </w:pPr>
      <w:r>
        <w:rPr>
          <w:rFonts w:hint="eastAsia" w:ascii="宋体" w:hAnsi="宋体"/>
          <w:szCs w:val="21"/>
        </w:rPr>
        <w:t xml:space="preserve">    52.8投诉</w:t>
      </w:r>
    </w:p>
    <w:p>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pPr>
        <w:rPr>
          <w:rFonts w:ascii="黑体" w:hAnsi="宋体" w:eastAsia="黑体"/>
          <w:sz w:val="24"/>
        </w:rPr>
      </w:pPr>
      <w:r>
        <w:rPr>
          <w:rFonts w:hint="eastAsia" w:ascii="黑体" w:hAnsi="宋体" w:eastAsia="黑体"/>
          <w:sz w:val="24"/>
        </w:rPr>
        <w:t>53. 质疑后续处理</w:t>
      </w:r>
    </w:p>
    <w:p>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pPr>
        <w:jc w:val="center"/>
        <w:rPr>
          <w:rFonts w:ascii="Times New Roman" w:hAnsi="Times New Roman" w:eastAsia="宋体" w:cs="Times New Roman"/>
          <w:szCs w:val="24"/>
        </w:rPr>
      </w:pPr>
      <w:r>
        <w:rPr>
          <w:rFonts w:ascii="Times New Roman" w:hAnsi="Times New Roman" w:eastAsia="宋体" w:cs="Times New Roman"/>
          <w:szCs w:val="24"/>
        </w:rPr>
        <w:t>---- END ----</w:t>
      </w:r>
      <w:bookmarkEnd w:id="34"/>
    </w:p>
    <w:p>
      <w:pPr>
        <w:rPr>
          <w:b/>
          <w:color w:val="FF0000"/>
          <w:sz w:val="52"/>
          <w:szCs w:val="52"/>
        </w:rPr>
      </w:pPr>
    </w:p>
    <w:p>
      <w:pPr>
        <w:rPr>
          <w:b/>
          <w:color w:val="FF0000"/>
          <w:sz w:val="52"/>
          <w:szCs w:val="52"/>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t xml:space="preserve">- </w:t>
    </w:r>
    <w:r>
      <w:fldChar w:fldCharType="begin"/>
    </w:r>
    <w:r>
      <w:instrText xml:space="preserve"> PAGE </w:instrText>
    </w:r>
    <w:r>
      <w:fldChar w:fldCharType="separate"/>
    </w:r>
    <w:r>
      <w:t>29</w:t>
    </w:r>
    <w:r>
      <w:fldChar w:fldCharType="end"/>
    </w:r>
    <w:r>
      <w:t xml:space="preserve"> -</w: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- 63 -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docPartObj>
        <w:docPartGallery w:val="autotext"/>
      </w:docPartObj>
    </w:sdtPr>
    <w:sdtContent>
      <w:p>
        <w:pPr>
          <w:pStyle w:val="15"/>
          <w:jc w:val="center"/>
        </w:pPr>
        <w:r>
          <w:fldChar w:fldCharType="begin"/>
        </w:r>
        <w:r>
          <w:instrText xml:space="preserve"> PAGE   \* MERGEFORMAT </w:instrText>
        </w:r>
        <w:r>
          <w:fldChar w:fldCharType="separate"/>
        </w:r>
        <w:r>
          <w:rPr>
            <w:lang w:val="zh-CN"/>
          </w:rPr>
          <w:t>40</w:t>
        </w:r>
        <w:r>
          <w:rPr>
            <w:lang w:val="zh-CN"/>
          </w:rPr>
          <w:fldChar w:fldCharType="end"/>
        </w:r>
      </w:p>
    </w:sdtContent>
  </w:sdt>
  <w:p>
    <w:pPr>
      <w:pStyle w:val="15"/>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C3C4A55E"/>
    <w:multiLevelType w:val="singleLevel"/>
    <w:tmpl w:val="C3C4A55E"/>
    <w:lvl w:ilvl="0" w:tentative="0">
      <w:start w:val="4"/>
      <w:numFmt w:val="chineseCounting"/>
      <w:suff w:val="nothing"/>
      <w:lvlText w:val="%1、"/>
      <w:lvlJc w:val="left"/>
      <w:rPr>
        <w:rFonts w:hint="eastAsia"/>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29A4B02"/>
    <w:multiLevelType w:val="singleLevel"/>
    <w:tmpl w:val="229A4B02"/>
    <w:lvl w:ilvl="0" w:tentative="0">
      <w:start w:val="1"/>
      <w:numFmt w:val="decimal"/>
      <w:lvlText w:val="(%1)"/>
      <w:lvlJc w:val="left"/>
      <w:pPr>
        <w:ind w:left="425" w:hanging="425"/>
      </w:pPr>
      <w:rPr>
        <w:rFonts w:hint="default"/>
      </w:rPr>
    </w:lvl>
  </w:abstractNum>
  <w:abstractNum w:abstractNumId="6">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DE98230"/>
    <w:multiLevelType w:val="singleLevel"/>
    <w:tmpl w:val="3DE98230"/>
    <w:lvl w:ilvl="0" w:tentative="0">
      <w:start w:val="1"/>
      <w:numFmt w:val="decimal"/>
      <w:lvlText w:val="(%1)"/>
      <w:lvlJc w:val="left"/>
      <w:pPr>
        <w:ind w:left="425" w:hanging="425"/>
      </w:pPr>
      <w:rPr>
        <w:rFonts w:hint="default"/>
      </w:rPr>
    </w:lvl>
  </w:abstractNum>
  <w:abstractNum w:abstractNumId="8">
    <w:nsid w:val="68A2903E"/>
    <w:multiLevelType w:val="singleLevel"/>
    <w:tmpl w:val="68A2903E"/>
    <w:lvl w:ilvl="0" w:tentative="0">
      <w:start w:val="1"/>
      <w:numFmt w:val="decimal"/>
      <w:suff w:val="nothing"/>
      <w:lvlText w:val="%1、"/>
      <w:lvlJc w:val="left"/>
    </w:lvl>
  </w:abstractNum>
  <w:abstractNum w:abstractNumId="9">
    <w:nsid w:val="721CBBE0"/>
    <w:multiLevelType w:val="singleLevel"/>
    <w:tmpl w:val="721CBBE0"/>
    <w:lvl w:ilvl="0" w:tentative="0">
      <w:start w:val="1"/>
      <w:numFmt w:val="decimal"/>
      <w:suff w:val="nothing"/>
      <w:lvlText w:val="%1、"/>
      <w:lvlJc w:val="left"/>
    </w:lvl>
  </w:abstractNum>
  <w:num w:numId="1">
    <w:abstractNumId w:val="1"/>
  </w:num>
  <w:num w:numId="2">
    <w:abstractNumId w:val="8"/>
  </w:num>
  <w:num w:numId="3">
    <w:abstractNumId w:val="5"/>
  </w:num>
  <w:num w:numId="4">
    <w:abstractNumId w:val="7"/>
  </w:num>
  <w:num w:numId="5">
    <w:abstractNumId w:val="0"/>
  </w:num>
  <w:num w:numId="6">
    <w:abstractNumId w:val="9"/>
  </w:num>
  <w:num w:numId="7">
    <w:abstractNumId w:val="2"/>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zNjNTZhNGM0YTE3ZjgzOTRkNDEyYTU2ZDNiMWQifQ=="/>
  </w:docVars>
  <w:rsids>
    <w:rsidRoot w:val="002B296E"/>
    <w:rsid w:val="00002E60"/>
    <w:rsid w:val="000048FF"/>
    <w:rsid w:val="00004FA5"/>
    <w:rsid w:val="0000723B"/>
    <w:rsid w:val="000114D0"/>
    <w:rsid w:val="00012263"/>
    <w:rsid w:val="00015C20"/>
    <w:rsid w:val="000165A0"/>
    <w:rsid w:val="00017ECC"/>
    <w:rsid w:val="00024DCF"/>
    <w:rsid w:val="00026B1C"/>
    <w:rsid w:val="0002788F"/>
    <w:rsid w:val="00027E40"/>
    <w:rsid w:val="00030854"/>
    <w:rsid w:val="00030B9F"/>
    <w:rsid w:val="000325CA"/>
    <w:rsid w:val="0003474D"/>
    <w:rsid w:val="00035243"/>
    <w:rsid w:val="000354DF"/>
    <w:rsid w:val="000413CE"/>
    <w:rsid w:val="00041760"/>
    <w:rsid w:val="00046AE3"/>
    <w:rsid w:val="00047161"/>
    <w:rsid w:val="00047CFA"/>
    <w:rsid w:val="00047F90"/>
    <w:rsid w:val="000509B8"/>
    <w:rsid w:val="000549AF"/>
    <w:rsid w:val="00055C90"/>
    <w:rsid w:val="000572C4"/>
    <w:rsid w:val="0008028B"/>
    <w:rsid w:val="00082568"/>
    <w:rsid w:val="000839B0"/>
    <w:rsid w:val="00083BC2"/>
    <w:rsid w:val="00083FD9"/>
    <w:rsid w:val="000844B8"/>
    <w:rsid w:val="0008773C"/>
    <w:rsid w:val="0009130D"/>
    <w:rsid w:val="00091343"/>
    <w:rsid w:val="00094FCC"/>
    <w:rsid w:val="000A7A9D"/>
    <w:rsid w:val="000B5D94"/>
    <w:rsid w:val="000B6946"/>
    <w:rsid w:val="000C0D21"/>
    <w:rsid w:val="000C0E1A"/>
    <w:rsid w:val="000C106C"/>
    <w:rsid w:val="000C4236"/>
    <w:rsid w:val="000D406E"/>
    <w:rsid w:val="000D4A50"/>
    <w:rsid w:val="000D4B12"/>
    <w:rsid w:val="000D6122"/>
    <w:rsid w:val="000E13A3"/>
    <w:rsid w:val="000F1328"/>
    <w:rsid w:val="000F34B2"/>
    <w:rsid w:val="000F4368"/>
    <w:rsid w:val="000F50E1"/>
    <w:rsid w:val="000F6FF0"/>
    <w:rsid w:val="001031B0"/>
    <w:rsid w:val="0010408D"/>
    <w:rsid w:val="001053A0"/>
    <w:rsid w:val="001063E2"/>
    <w:rsid w:val="00110CBD"/>
    <w:rsid w:val="00111349"/>
    <w:rsid w:val="00112D2A"/>
    <w:rsid w:val="00113412"/>
    <w:rsid w:val="00114DD8"/>
    <w:rsid w:val="00115E40"/>
    <w:rsid w:val="00115FE9"/>
    <w:rsid w:val="00116C4B"/>
    <w:rsid w:val="00121E98"/>
    <w:rsid w:val="00122F53"/>
    <w:rsid w:val="00123D4F"/>
    <w:rsid w:val="00126CD8"/>
    <w:rsid w:val="00130EED"/>
    <w:rsid w:val="001318CF"/>
    <w:rsid w:val="0013313E"/>
    <w:rsid w:val="00135D16"/>
    <w:rsid w:val="001405FA"/>
    <w:rsid w:val="001423E8"/>
    <w:rsid w:val="00142726"/>
    <w:rsid w:val="00143A07"/>
    <w:rsid w:val="0014406D"/>
    <w:rsid w:val="00147326"/>
    <w:rsid w:val="001477E0"/>
    <w:rsid w:val="001478A4"/>
    <w:rsid w:val="0015184C"/>
    <w:rsid w:val="00152E85"/>
    <w:rsid w:val="00154E87"/>
    <w:rsid w:val="00155971"/>
    <w:rsid w:val="001559D5"/>
    <w:rsid w:val="00156956"/>
    <w:rsid w:val="00170A76"/>
    <w:rsid w:val="00171482"/>
    <w:rsid w:val="001776D1"/>
    <w:rsid w:val="00184554"/>
    <w:rsid w:val="00184F4C"/>
    <w:rsid w:val="001872EC"/>
    <w:rsid w:val="00190D4E"/>
    <w:rsid w:val="00191DBC"/>
    <w:rsid w:val="00192AD1"/>
    <w:rsid w:val="00196ADD"/>
    <w:rsid w:val="001A4CD3"/>
    <w:rsid w:val="001A5C09"/>
    <w:rsid w:val="001A6041"/>
    <w:rsid w:val="001B0953"/>
    <w:rsid w:val="001B1074"/>
    <w:rsid w:val="001B150F"/>
    <w:rsid w:val="001B51BE"/>
    <w:rsid w:val="001B5B31"/>
    <w:rsid w:val="001B77F3"/>
    <w:rsid w:val="001B7F44"/>
    <w:rsid w:val="001C09D9"/>
    <w:rsid w:val="001C2014"/>
    <w:rsid w:val="001C2B16"/>
    <w:rsid w:val="001C3631"/>
    <w:rsid w:val="001D0EB9"/>
    <w:rsid w:val="001D33A2"/>
    <w:rsid w:val="001E10E8"/>
    <w:rsid w:val="001E12CE"/>
    <w:rsid w:val="001E18EF"/>
    <w:rsid w:val="001E2BD6"/>
    <w:rsid w:val="001E76F0"/>
    <w:rsid w:val="001E7CA2"/>
    <w:rsid w:val="001E7E39"/>
    <w:rsid w:val="001F0086"/>
    <w:rsid w:val="001F0952"/>
    <w:rsid w:val="001F2FF4"/>
    <w:rsid w:val="001F3848"/>
    <w:rsid w:val="001F3DC3"/>
    <w:rsid w:val="001F587F"/>
    <w:rsid w:val="001F6634"/>
    <w:rsid w:val="0020017A"/>
    <w:rsid w:val="00201302"/>
    <w:rsid w:val="002051F9"/>
    <w:rsid w:val="00205AF2"/>
    <w:rsid w:val="0020663F"/>
    <w:rsid w:val="00207A91"/>
    <w:rsid w:val="00210E25"/>
    <w:rsid w:val="00212161"/>
    <w:rsid w:val="0021479B"/>
    <w:rsid w:val="002177DC"/>
    <w:rsid w:val="0022303D"/>
    <w:rsid w:val="00223EEB"/>
    <w:rsid w:val="002244C7"/>
    <w:rsid w:val="00225DED"/>
    <w:rsid w:val="002278BD"/>
    <w:rsid w:val="00227BC5"/>
    <w:rsid w:val="00231E55"/>
    <w:rsid w:val="00232987"/>
    <w:rsid w:val="0023517A"/>
    <w:rsid w:val="002378E5"/>
    <w:rsid w:val="0024137C"/>
    <w:rsid w:val="002425D6"/>
    <w:rsid w:val="00244C00"/>
    <w:rsid w:val="00246372"/>
    <w:rsid w:val="002505A6"/>
    <w:rsid w:val="0025158C"/>
    <w:rsid w:val="00254904"/>
    <w:rsid w:val="00262AF1"/>
    <w:rsid w:val="00263E6E"/>
    <w:rsid w:val="0026418F"/>
    <w:rsid w:val="0026450A"/>
    <w:rsid w:val="00267A80"/>
    <w:rsid w:val="002709A8"/>
    <w:rsid w:val="00273346"/>
    <w:rsid w:val="002746A1"/>
    <w:rsid w:val="00276D6D"/>
    <w:rsid w:val="002805D4"/>
    <w:rsid w:val="00282867"/>
    <w:rsid w:val="00284C24"/>
    <w:rsid w:val="00285DE2"/>
    <w:rsid w:val="002933B7"/>
    <w:rsid w:val="00293B10"/>
    <w:rsid w:val="002942A3"/>
    <w:rsid w:val="0029795C"/>
    <w:rsid w:val="002A0ED3"/>
    <w:rsid w:val="002A29E5"/>
    <w:rsid w:val="002A758C"/>
    <w:rsid w:val="002B0948"/>
    <w:rsid w:val="002B296E"/>
    <w:rsid w:val="002B5C22"/>
    <w:rsid w:val="002B6F9C"/>
    <w:rsid w:val="002C3F0A"/>
    <w:rsid w:val="002C3FC4"/>
    <w:rsid w:val="002C500F"/>
    <w:rsid w:val="002D2996"/>
    <w:rsid w:val="002D4DB4"/>
    <w:rsid w:val="002D5EB6"/>
    <w:rsid w:val="002D67D0"/>
    <w:rsid w:val="002E1005"/>
    <w:rsid w:val="002E6F35"/>
    <w:rsid w:val="002F019C"/>
    <w:rsid w:val="002F218D"/>
    <w:rsid w:val="002F3F2C"/>
    <w:rsid w:val="002F4FC9"/>
    <w:rsid w:val="002F7BA0"/>
    <w:rsid w:val="00305131"/>
    <w:rsid w:val="003075D2"/>
    <w:rsid w:val="00307991"/>
    <w:rsid w:val="00311E94"/>
    <w:rsid w:val="00315035"/>
    <w:rsid w:val="0031695C"/>
    <w:rsid w:val="00317044"/>
    <w:rsid w:val="00321622"/>
    <w:rsid w:val="0032311B"/>
    <w:rsid w:val="00323813"/>
    <w:rsid w:val="00324CB2"/>
    <w:rsid w:val="00331FE7"/>
    <w:rsid w:val="00334D55"/>
    <w:rsid w:val="00335A76"/>
    <w:rsid w:val="00340524"/>
    <w:rsid w:val="00342876"/>
    <w:rsid w:val="0034457F"/>
    <w:rsid w:val="00345849"/>
    <w:rsid w:val="00347ADA"/>
    <w:rsid w:val="003553CD"/>
    <w:rsid w:val="00356426"/>
    <w:rsid w:val="00356A28"/>
    <w:rsid w:val="00362CA7"/>
    <w:rsid w:val="0036622C"/>
    <w:rsid w:val="003706DD"/>
    <w:rsid w:val="0037109F"/>
    <w:rsid w:val="00372805"/>
    <w:rsid w:val="00372E27"/>
    <w:rsid w:val="00373CC6"/>
    <w:rsid w:val="00376180"/>
    <w:rsid w:val="00376EF5"/>
    <w:rsid w:val="003802A7"/>
    <w:rsid w:val="003811DD"/>
    <w:rsid w:val="00384539"/>
    <w:rsid w:val="00386271"/>
    <w:rsid w:val="003876BD"/>
    <w:rsid w:val="00387C79"/>
    <w:rsid w:val="00391E72"/>
    <w:rsid w:val="003936FB"/>
    <w:rsid w:val="003938DE"/>
    <w:rsid w:val="00395B93"/>
    <w:rsid w:val="003977F7"/>
    <w:rsid w:val="003A283F"/>
    <w:rsid w:val="003A5619"/>
    <w:rsid w:val="003A6825"/>
    <w:rsid w:val="003B1124"/>
    <w:rsid w:val="003B2CDB"/>
    <w:rsid w:val="003B2D06"/>
    <w:rsid w:val="003B3F59"/>
    <w:rsid w:val="003C7B60"/>
    <w:rsid w:val="003D016D"/>
    <w:rsid w:val="003E1A20"/>
    <w:rsid w:val="003E3A5C"/>
    <w:rsid w:val="003E3CEC"/>
    <w:rsid w:val="003F0736"/>
    <w:rsid w:val="003F0EBF"/>
    <w:rsid w:val="003F1B3F"/>
    <w:rsid w:val="003F385B"/>
    <w:rsid w:val="003F3E0E"/>
    <w:rsid w:val="003F3FB9"/>
    <w:rsid w:val="003F5EFA"/>
    <w:rsid w:val="003F5F84"/>
    <w:rsid w:val="003F6980"/>
    <w:rsid w:val="003F6F74"/>
    <w:rsid w:val="0040232B"/>
    <w:rsid w:val="00411AD4"/>
    <w:rsid w:val="004155CD"/>
    <w:rsid w:val="0041767A"/>
    <w:rsid w:val="004208A5"/>
    <w:rsid w:val="00420DE3"/>
    <w:rsid w:val="0042513B"/>
    <w:rsid w:val="004338D4"/>
    <w:rsid w:val="004340BA"/>
    <w:rsid w:val="00434434"/>
    <w:rsid w:val="00434C62"/>
    <w:rsid w:val="004370D7"/>
    <w:rsid w:val="00440482"/>
    <w:rsid w:val="004437AE"/>
    <w:rsid w:val="00444582"/>
    <w:rsid w:val="00446748"/>
    <w:rsid w:val="0045104F"/>
    <w:rsid w:val="004515EE"/>
    <w:rsid w:val="004519A1"/>
    <w:rsid w:val="00451D23"/>
    <w:rsid w:val="00460ABA"/>
    <w:rsid w:val="00460E5B"/>
    <w:rsid w:val="00463379"/>
    <w:rsid w:val="0046375D"/>
    <w:rsid w:val="00463D37"/>
    <w:rsid w:val="00471274"/>
    <w:rsid w:val="00471E81"/>
    <w:rsid w:val="00473EA5"/>
    <w:rsid w:val="0047463B"/>
    <w:rsid w:val="004747A0"/>
    <w:rsid w:val="00480F0D"/>
    <w:rsid w:val="00482482"/>
    <w:rsid w:val="00487E35"/>
    <w:rsid w:val="00492CAF"/>
    <w:rsid w:val="00493F5B"/>
    <w:rsid w:val="004A019E"/>
    <w:rsid w:val="004A19DD"/>
    <w:rsid w:val="004A20E5"/>
    <w:rsid w:val="004B294D"/>
    <w:rsid w:val="004B30D9"/>
    <w:rsid w:val="004B3548"/>
    <w:rsid w:val="004B3730"/>
    <w:rsid w:val="004B5FA8"/>
    <w:rsid w:val="004B6143"/>
    <w:rsid w:val="004C2208"/>
    <w:rsid w:val="004C3ADD"/>
    <w:rsid w:val="004C3E0E"/>
    <w:rsid w:val="004C44EC"/>
    <w:rsid w:val="004D1052"/>
    <w:rsid w:val="004D7F2E"/>
    <w:rsid w:val="004E00DC"/>
    <w:rsid w:val="004E0362"/>
    <w:rsid w:val="004E3FBD"/>
    <w:rsid w:val="004E5F98"/>
    <w:rsid w:val="004E714A"/>
    <w:rsid w:val="004E7B5C"/>
    <w:rsid w:val="004F29F5"/>
    <w:rsid w:val="004F7062"/>
    <w:rsid w:val="00500956"/>
    <w:rsid w:val="00501787"/>
    <w:rsid w:val="00501B5F"/>
    <w:rsid w:val="005038E9"/>
    <w:rsid w:val="00504893"/>
    <w:rsid w:val="00506897"/>
    <w:rsid w:val="005129E6"/>
    <w:rsid w:val="00513456"/>
    <w:rsid w:val="0051395D"/>
    <w:rsid w:val="00516147"/>
    <w:rsid w:val="0052007E"/>
    <w:rsid w:val="005252BE"/>
    <w:rsid w:val="00526A79"/>
    <w:rsid w:val="00532047"/>
    <w:rsid w:val="00532FBA"/>
    <w:rsid w:val="00535134"/>
    <w:rsid w:val="00536A0C"/>
    <w:rsid w:val="00537AA3"/>
    <w:rsid w:val="00537F1E"/>
    <w:rsid w:val="00540B12"/>
    <w:rsid w:val="00542681"/>
    <w:rsid w:val="005436FB"/>
    <w:rsid w:val="00543EBF"/>
    <w:rsid w:val="00545710"/>
    <w:rsid w:val="00546A86"/>
    <w:rsid w:val="00546E60"/>
    <w:rsid w:val="00552DE9"/>
    <w:rsid w:val="00553482"/>
    <w:rsid w:val="005537A7"/>
    <w:rsid w:val="005568B0"/>
    <w:rsid w:val="00557C1B"/>
    <w:rsid w:val="00563968"/>
    <w:rsid w:val="005668BA"/>
    <w:rsid w:val="00566A6A"/>
    <w:rsid w:val="00575109"/>
    <w:rsid w:val="005755D6"/>
    <w:rsid w:val="00576EAB"/>
    <w:rsid w:val="00581EE1"/>
    <w:rsid w:val="00582807"/>
    <w:rsid w:val="00582ECC"/>
    <w:rsid w:val="00582FA7"/>
    <w:rsid w:val="0058780A"/>
    <w:rsid w:val="00590EB6"/>
    <w:rsid w:val="00591BAF"/>
    <w:rsid w:val="00594D4B"/>
    <w:rsid w:val="00596152"/>
    <w:rsid w:val="005965FD"/>
    <w:rsid w:val="005A482C"/>
    <w:rsid w:val="005A6D72"/>
    <w:rsid w:val="005B1875"/>
    <w:rsid w:val="005B28C9"/>
    <w:rsid w:val="005B3AB8"/>
    <w:rsid w:val="005B749E"/>
    <w:rsid w:val="005B7B25"/>
    <w:rsid w:val="005C09EC"/>
    <w:rsid w:val="005C26DC"/>
    <w:rsid w:val="005C4B92"/>
    <w:rsid w:val="005C5083"/>
    <w:rsid w:val="005C5333"/>
    <w:rsid w:val="005C5ED0"/>
    <w:rsid w:val="005D1B8A"/>
    <w:rsid w:val="005D5EB2"/>
    <w:rsid w:val="005E24CF"/>
    <w:rsid w:val="005E27B2"/>
    <w:rsid w:val="005E513F"/>
    <w:rsid w:val="005E6307"/>
    <w:rsid w:val="005E7861"/>
    <w:rsid w:val="005F0ACD"/>
    <w:rsid w:val="005F0B55"/>
    <w:rsid w:val="005F1D5B"/>
    <w:rsid w:val="005F378B"/>
    <w:rsid w:val="005F38DE"/>
    <w:rsid w:val="005F4CF2"/>
    <w:rsid w:val="00603B6D"/>
    <w:rsid w:val="00604DC0"/>
    <w:rsid w:val="00607011"/>
    <w:rsid w:val="006137B4"/>
    <w:rsid w:val="00613CE9"/>
    <w:rsid w:val="00622334"/>
    <w:rsid w:val="006279EE"/>
    <w:rsid w:val="0063107F"/>
    <w:rsid w:val="00631EC8"/>
    <w:rsid w:val="006322DC"/>
    <w:rsid w:val="006331E8"/>
    <w:rsid w:val="00633C10"/>
    <w:rsid w:val="00634CA8"/>
    <w:rsid w:val="00634D11"/>
    <w:rsid w:val="006357F8"/>
    <w:rsid w:val="00636B59"/>
    <w:rsid w:val="0063769B"/>
    <w:rsid w:val="00637C05"/>
    <w:rsid w:val="006416BE"/>
    <w:rsid w:val="00650F5B"/>
    <w:rsid w:val="006529BC"/>
    <w:rsid w:val="00652E82"/>
    <w:rsid w:val="006530D0"/>
    <w:rsid w:val="0065516B"/>
    <w:rsid w:val="00662335"/>
    <w:rsid w:val="0066606D"/>
    <w:rsid w:val="00666B5D"/>
    <w:rsid w:val="0067242A"/>
    <w:rsid w:val="00673CED"/>
    <w:rsid w:val="00674722"/>
    <w:rsid w:val="006749FE"/>
    <w:rsid w:val="006801A9"/>
    <w:rsid w:val="00681D73"/>
    <w:rsid w:val="006821DB"/>
    <w:rsid w:val="00684C4D"/>
    <w:rsid w:val="00691817"/>
    <w:rsid w:val="0069374B"/>
    <w:rsid w:val="00696FD7"/>
    <w:rsid w:val="006A5F3A"/>
    <w:rsid w:val="006A6F0A"/>
    <w:rsid w:val="006B00E1"/>
    <w:rsid w:val="006B1578"/>
    <w:rsid w:val="006B6920"/>
    <w:rsid w:val="006B6BCB"/>
    <w:rsid w:val="006C01D1"/>
    <w:rsid w:val="006C13B8"/>
    <w:rsid w:val="006C5B1E"/>
    <w:rsid w:val="006C5C51"/>
    <w:rsid w:val="006C5CD4"/>
    <w:rsid w:val="006D4663"/>
    <w:rsid w:val="006D5BEC"/>
    <w:rsid w:val="006D6273"/>
    <w:rsid w:val="006F3A9D"/>
    <w:rsid w:val="006F6AAD"/>
    <w:rsid w:val="006F77AA"/>
    <w:rsid w:val="00701EE1"/>
    <w:rsid w:val="00702DD5"/>
    <w:rsid w:val="007037E0"/>
    <w:rsid w:val="00715EA0"/>
    <w:rsid w:val="00716DDE"/>
    <w:rsid w:val="00721211"/>
    <w:rsid w:val="0072143A"/>
    <w:rsid w:val="00722517"/>
    <w:rsid w:val="00722B3F"/>
    <w:rsid w:val="00725998"/>
    <w:rsid w:val="00725B12"/>
    <w:rsid w:val="007311C0"/>
    <w:rsid w:val="00731E2A"/>
    <w:rsid w:val="00734FD4"/>
    <w:rsid w:val="00740FDB"/>
    <w:rsid w:val="0074155C"/>
    <w:rsid w:val="00742715"/>
    <w:rsid w:val="0074419A"/>
    <w:rsid w:val="00744AC7"/>
    <w:rsid w:val="0074718B"/>
    <w:rsid w:val="00752F41"/>
    <w:rsid w:val="00755821"/>
    <w:rsid w:val="00756CF3"/>
    <w:rsid w:val="00760711"/>
    <w:rsid w:val="00764256"/>
    <w:rsid w:val="0076454F"/>
    <w:rsid w:val="00767B75"/>
    <w:rsid w:val="007700F8"/>
    <w:rsid w:val="007764F5"/>
    <w:rsid w:val="0078066F"/>
    <w:rsid w:val="0078157F"/>
    <w:rsid w:val="00781A4A"/>
    <w:rsid w:val="0079172F"/>
    <w:rsid w:val="00791C67"/>
    <w:rsid w:val="00793C07"/>
    <w:rsid w:val="007941DC"/>
    <w:rsid w:val="00794DAC"/>
    <w:rsid w:val="007958AE"/>
    <w:rsid w:val="0079703B"/>
    <w:rsid w:val="0079727B"/>
    <w:rsid w:val="007A0D34"/>
    <w:rsid w:val="007A5852"/>
    <w:rsid w:val="007A5F9B"/>
    <w:rsid w:val="007A7C7A"/>
    <w:rsid w:val="007B6A73"/>
    <w:rsid w:val="007C175B"/>
    <w:rsid w:val="007C3FAA"/>
    <w:rsid w:val="007D3AB6"/>
    <w:rsid w:val="007D4637"/>
    <w:rsid w:val="007D4C6C"/>
    <w:rsid w:val="007D569A"/>
    <w:rsid w:val="007D64F6"/>
    <w:rsid w:val="007D7F8F"/>
    <w:rsid w:val="007E4C94"/>
    <w:rsid w:val="007E5F04"/>
    <w:rsid w:val="007F2B36"/>
    <w:rsid w:val="007F2C2A"/>
    <w:rsid w:val="007F360E"/>
    <w:rsid w:val="007F4A22"/>
    <w:rsid w:val="007F5365"/>
    <w:rsid w:val="00800B76"/>
    <w:rsid w:val="00812DDE"/>
    <w:rsid w:val="008140E8"/>
    <w:rsid w:val="00815186"/>
    <w:rsid w:val="00816199"/>
    <w:rsid w:val="00816284"/>
    <w:rsid w:val="00817DB8"/>
    <w:rsid w:val="008223B6"/>
    <w:rsid w:val="008234AD"/>
    <w:rsid w:val="00824D57"/>
    <w:rsid w:val="00830E2C"/>
    <w:rsid w:val="00831A8D"/>
    <w:rsid w:val="00835FB6"/>
    <w:rsid w:val="008401DA"/>
    <w:rsid w:val="00844AC5"/>
    <w:rsid w:val="00845602"/>
    <w:rsid w:val="00846672"/>
    <w:rsid w:val="00847099"/>
    <w:rsid w:val="00853091"/>
    <w:rsid w:val="00861B0D"/>
    <w:rsid w:val="00864234"/>
    <w:rsid w:val="008642D5"/>
    <w:rsid w:val="00865A6F"/>
    <w:rsid w:val="00867AC8"/>
    <w:rsid w:val="0087133C"/>
    <w:rsid w:val="00872B38"/>
    <w:rsid w:val="008801A3"/>
    <w:rsid w:val="00880599"/>
    <w:rsid w:val="00882212"/>
    <w:rsid w:val="00883AA8"/>
    <w:rsid w:val="008853B1"/>
    <w:rsid w:val="0088696D"/>
    <w:rsid w:val="00887858"/>
    <w:rsid w:val="00887B87"/>
    <w:rsid w:val="00890BC9"/>
    <w:rsid w:val="0089165B"/>
    <w:rsid w:val="008920BC"/>
    <w:rsid w:val="00893242"/>
    <w:rsid w:val="008944F3"/>
    <w:rsid w:val="008A06BA"/>
    <w:rsid w:val="008A06DF"/>
    <w:rsid w:val="008A2AD6"/>
    <w:rsid w:val="008A2E3D"/>
    <w:rsid w:val="008A2FC0"/>
    <w:rsid w:val="008A59E6"/>
    <w:rsid w:val="008A6F34"/>
    <w:rsid w:val="008B2078"/>
    <w:rsid w:val="008B5366"/>
    <w:rsid w:val="008C3CB6"/>
    <w:rsid w:val="008C4241"/>
    <w:rsid w:val="008C444B"/>
    <w:rsid w:val="008C60E7"/>
    <w:rsid w:val="008D1150"/>
    <w:rsid w:val="008D16DC"/>
    <w:rsid w:val="008D1E2F"/>
    <w:rsid w:val="008E1FB9"/>
    <w:rsid w:val="008E3462"/>
    <w:rsid w:val="008E58D8"/>
    <w:rsid w:val="008E6A1B"/>
    <w:rsid w:val="008E6B4B"/>
    <w:rsid w:val="008F615A"/>
    <w:rsid w:val="008F6B49"/>
    <w:rsid w:val="0090150F"/>
    <w:rsid w:val="009025C1"/>
    <w:rsid w:val="009047BE"/>
    <w:rsid w:val="00904AF7"/>
    <w:rsid w:val="009059F6"/>
    <w:rsid w:val="00905EC4"/>
    <w:rsid w:val="00906E89"/>
    <w:rsid w:val="00914845"/>
    <w:rsid w:val="009159E1"/>
    <w:rsid w:val="00926143"/>
    <w:rsid w:val="0092669F"/>
    <w:rsid w:val="00932626"/>
    <w:rsid w:val="00937032"/>
    <w:rsid w:val="00937148"/>
    <w:rsid w:val="00941419"/>
    <w:rsid w:val="00942353"/>
    <w:rsid w:val="009437A8"/>
    <w:rsid w:val="00946EFC"/>
    <w:rsid w:val="00946F9D"/>
    <w:rsid w:val="00952D54"/>
    <w:rsid w:val="00953043"/>
    <w:rsid w:val="00954CB2"/>
    <w:rsid w:val="00960804"/>
    <w:rsid w:val="00960E38"/>
    <w:rsid w:val="00967D3B"/>
    <w:rsid w:val="00970EA5"/>
    <w:rsid w:val="00971A55"/>
    <w:rsid w:val="00972180"/>
    <w:rsid w:val="00973CA7"/>
    <w:rsid w:val="0097679F"/>
    <w:rsid w:val="00984C36"/>
    <w:rsid w:val="00986108"/>
    <w:rsid w:val="00987D22"/>
    <w:rsid w:val="00991008"/>
    <w:rsid w:val="009929A4"/>
    <w:rsid w:val="009963B1"/>
    <w:rsid w:val="009A0EA8"/>
    <w:rsid w:val="009A1BDE"/>
    <w:rsid w:val="009A4B3F"/>
    <w:rsid w:val="009A7DA8"/>
    <w:rsid w:val="009B352B"/>
    <w:rsid w:val="009B39E3"/>
    <w:rsid w:val="009B5D6F"/>
    <w:rsid w:val="009C3B31"/>
    <w:rsid w:val="009C4A73"/>
    <w:rsid w:val="009C5CF6"/>
    <w:rsid w:val="009C75DB"/>
    <w:rsid w:val="009D062B"/>
    <w:rsid w:val="009D1E75"/>
    <w:rsid w:val="009D389A"/>
    <w:rsid w:val="009D61CA"/>
    <w:rsid w:val="009E3496"/>
    <w:rsid w:val="009E444A"/>
    <w:rsid w:val="009E44D1"/>
    <w:rsid w:val="009F0561"/>
    <w:rsid w:val="009F1C8C"/>
    <w:rsid w:val="009F249A"/>
    <w:rsid w:val="009F6A79"/>
    <w:rsid w:val="00A00532"/>
    <w:rsid w:val="00A027FE"/>
    <w:rsid w:val="00A049ED"/>
    <w:rsid w:val="00A13FD3"/>
    <w:rsid w:val="00A15662"/>
    <w:rsid w:val="00A15B4D"/>
    <w:rsid w:val="00A17A05"/>
    <w:rsid w:val="00A201BA"/>
    <w:rsid w:val="00A20B5D"/>
    <w:rsid w:val="00A23F78"/>
    <w:rsid w:val="00A26C10"/>
    <w:rsid w:val="00A32364"/>
    <w:rsid w:val="00A32B12"/>
    <w:rsid w:val="00A332CD"/>
    <w:rsid w:val="00A33AC6"/>
    <w:rsid w:val="00A35840"/>
    <w:rsid w:val="00A43C61"/>
    <w:rsid w:val="00A44087"/>
    <w:rsid w:val="00A50064"/>
    <w:rsid w:val="00A50762"/>
    <w:rsid w:val="00A50EFB"/>
    <w:rsid w:val="00A51785"/>
    <w:rsid w:val="00A518CC"/>
    <w:rsid w:val="00A51DA0"/>
    <w:rsid w:val="00A52400"/>
    <w:rsid w:val="00A53AEC"/>
    <w:rsid w:val="00A5552F"/>
    <w:rsid w:val="00A557BC"/>
    <w:rsid w:val="00A57FA5"/>
    <w:rsid w:val="00A63D89"/>
    <w:rsid w:val="00A64913"/>
    <w:rsid w:val="00A66F56"/>
    <w:rsid w:val="00A70FB7"/>
    <w:rsid w:val="00A73159"/>
    <w:rsid w:val="00A90CAD"/>
    <w:rsid w:val="00A91710"/>
    <w:rsid w:val="00A921BD"/>
    <w:rsid w:val="00A925B1"/>
    <w:rsid w:val="00A92A0C"/>
    <w:rsid w:val="00A95ABA"/>
    <w:rsid w:val="00A96575"/>
    <w:rsid w:val="00AA1DA9"/>
    <w:rsid w:val="00AA3C1D"/>
    <w:rsid w:val="00AA470C"/>
    <w:rsid w:val="00AA6718"/>
    <w:rsid w:val="00AA733B"/>
    <w:rsid w:val="00AB0EAD"/>
    <w:rsid w:val="00AB2F6A"/>
    <w:rsid w:val="00AB686A"/>
    <w:rsid w:val="00AC108C"/>
    <w:rsid w:val="00AC1A00"/>
    <w:rsid w:val="00AC2AA0"/>
    <w:rsid w:val="00AC4E3E"/>
    <w:rsid w:val="00AD1041"/>
    <w:rsid w:val="00AD273D"/>
    <w:rsid w:val="00AD518D"/>
    <w:rsid w:val="00AD5200"/>
    <w:rsid w:val="00AD5F49"/>
    <w:rsid w:val="00AE19A1"/>
    <w:rsid w:val="00AE7D66"/>
    <w:rsid w:val="00AF0598"/>
    <w:rsid w:val="00AF15DE"/>
    <w:rsid w:val="00AF1826"/>
    <w:rsid w:val="00AF6FAC"/>
    <w:rsid w:val="00B00551"/>
    <w:rsid w:val="00B053A8"/>
    <w:rsid w:val="00B1021A"/>
    <w:rsid w:val="00B1504B"/>
    <w:rsid w:val="00B153BA"/>
    <w:rsid w:val="00B16372"/>
    <w:rsid w:val="00B16D72"/>
    <w:rsid w:val="00B176D7"/>
    <w:rsid w:val="00B200B5"/>
    <w:rsid w:val="00B20E1B"/>
    <w:rsid w:val="00B21432"/>
    <w:rsid w:val="00B232BF"/>
    <w:rsid w:val="00B246C8"/>
    <w:rsid w:val="00B2524F"/>
    <w:rsid w:val="00B2636C"/>
    <w:rsid w:val="00B26C75"/>
    <w:rsid w:val="00B31267"/>
    <w:rsid w:val="00B316F7"/>
    <w:rsid w:val="00B36C6F"/>
    <w:rsid w:val="00B44A67"/>
    <w:rsid w:val="00B45AD9"/>
    <w:rsid w:val="00B46B50"/>
    <w:rsid w:val="00B46F12"/>
    <w:rsid w:val="00B50FAF"/>
    <w:rsid w:val="00B56DC4"/>
    <w:rsid w:val="00B63EEA"/>
    <w:rsid w:val="00B64301"/>
    <w:rsid w:val="00B64CA6"/>
    <w:rsid w:val="00B64F0D"/>
    <w:rsid w:val="00B652C9"/>
    <w:rsid w:val="00B66291"/>
    <w:rsid w:val="00B6685C"/>
    <w:rsid w:val="00B67E44"/>
    <w:rsid w:val="00B70889"/>
    <w:rsid w:val="00B72209"/>
    <w:rsid w:val="00B723C4"/>
    <w:rsid w:val="00B73AEF"/>
    <w:rsid w:val="00B73D7A"/>
    <w:rsid w:val="00B759D9"/>
    <w:rsid w:val="00B75E35"/>
    <w:rsid w:val="00B762CF"/>
    <w:rsid w:val="00B8127D"/>
    <w:rsid w:val="00B8450A"/>
    <w:rsid w:val="00B94787"/>
    <w:rsid w:val="00B95FA8"/>
    <w:rsid w:val="00B96E1B"/>
    <w:rsid w:val="00B97368"/>
    <w:rsid w:val="00B97861"/>
    <w:rsid w:val="00B97CCE"/>
    <w:rsid w:val="00BA0C36"/>
    <w:rsid w:val="00BB22AB"/>
    <w:rsid w:val="00BB4B9A"/>
    <w:rsid w:val="00BB5734"/>
    <w:rsid w:val="00BB612C"/>
    <w:rsid w:val="00BB61A5"/>
    <w:rsid w:val="00BB74E8"/>
    <w:rsid w:val="00BC2E32"/>
    <w:rsid w:val="00BC3A0B"/>
    <w:rsid w:val="00BC4919"/>
    <w:rsid w:val="00BC7592"/>
    <w:rsid w:val="00BC79A5"/>
    <w:rsid w:val="00BD00BC"/>
    <w:rsid w:val="00BD3394"/>
    <w:rsid w:val="00BD4173"/>
    <w:rsid w:val="00BD4618"/>
    <w:rsid w:val="00BD4F05"/>
    <w:rsid w:val="00BD69D0"/>
    <w:rsid w:val="00BD72CF"/>
    <w:rsid w:val="00BD7899"/>
    <w:rsid w:val="00BE3DF4"/>
    <w:rsid w:val="00BE6581"/>
    <w:rsid w:val="00BE7E28"/>
    <w:rsid w:val="00BF0E74"/>
    <w:rsid w:val="00BF3488"/>
    <w:rsid w:val="00BF55BD"/>
    <w:rsid w:val="00C02333"/>
    <w:rsid w:val="00C05D05"/>
    <w:rsid w:val="00C06DAA"/>
    <w:rsid w:val="00C14B6A"/>
    <w:rsid w:val="00C15825"/>
    <w:rsid w:val="00C169A3"/>
    <w:rsid w:val="00C20E8D"/>
    <w:rsid w:val="00C217C3"/>
    <w:rsid w:val="00C225A6"/>
    <w:rsid w:val="00C23C13"/>
    <w:rsid w:val="00C240A7"/>
    <w:rsid w:val="00C25258"/>
    <w:rsid w:val="00C255CE"/>
    <w:rsid w:val="00C27BEA"/>
    <w:rsid w:val="00C3712E"/>
    <w:rsid w:val="00C40B64"/>
    <w:rsid w:val="00C435E6"/>
    <w:rsid w:val="00C443E4"/>
    <w:rsid w:val="00C446EE"/>
    <w:rsid w:val="00C4660F"/>
    <w:rsid w:val="00C471AC"/>
    <w:rsid w:val="00C476C8"/>
    <w:rsid w:val="00C51754"/>
    <w:rsid w:val="00C51F32"/>
    <w:rsid w:val="00C547A9"/>
    <w:rsid w:val="00C56E41"/>
    <w:rsid w:val="00C57192"/>
    <w:rsid w:val="00C609D6"/>
    <w:rsid w:val="00C64BB6"/>
    <w:rsid w:val="00C67553"/>
    <w:rsid w:val="00C67EFD"/>
    <w:rsid w:val="00C705B3"/>
    <w:rsid w:val="00C719FB"/>
    <w:rsid w:val="00C71C81"/>
    <w:rsid w:val="00C71F2E"/>
    <w:rsid w:val="00C72BA4"/>
    <w:rsid w:val="00C7311A"/>
    <w:rsid w:val="00C778D5"/>
    <w:rsid w:val="00C803D0"/>
    <w:rsid w:val="00C80A7E"/>
    <w:rsid w:val="00C85D36"/>
    <w:rsid w:val="00C867A5"/>
    <w:rsid w:val="00C86A3C"/>
    <w:rsid w:val="00C86FA4"/>
    <w:rsid w:val="00C87D50"/>
    <w:rsid w:val="00C90586"/>
    <w:rsid w:val="00C9432C"/>
    <w:rsid w:val="00C95401"/>
    <w:rsid w:val="00CA6AFC"/>
    <w:rsid w:val="00CA717E"/>
    <w:rsid w:val="00CB1580"/>
    <w:rsid w:val="00CB2684"/>
    <w:rsid w:val="00CB327E"/>
    <w:rsid w:val="00CB4CF4"/>
    <w:rsid w:val="00CB6D8B"/>
    <w:rsid w:val="00CB757F"/>
    <w:rsid w:val="00CB7714"/>
    <w:rsid w:val="00CB7888"/>
    <w:rsid w:val="00CC0D34"/>
    <w:rsid w:val="00CC1F52"/>
    <w:rsid w:val="00CC3CEC"/>
    <w:rsid w:val="00CC5650"/>
    <w:rsid w:val="00CC601E"/>
    <w:rsid w:val="00CD0810"/>
    <w:rsid w:val="00CD0871"/>
    <w:rsid w:val="00CD15AC"/>
    <w:rsid w:val="00CD16EF"/>
    <w:rsid w:val="00CD6E04"/>
    <w:rsid w:val="00CE0038"/>
    <w:rsid w:val="00CE00DF"/>
    <w:rsid w:val="00CE0EE9"/>
    <w:rsid w:val="00CE2815"/>
    <w:rsid w:val="00CE4363"/>
    <w:rsid w:val="00CE6145"/>
    <w:rsid w:val="00CE7493"/>
    <w:rsid w:val="00CF1384"/>
    <w:rsid w:val="00CF31A3"/>
    <w:rsid w:val="00CF5029"/>
    <w:rsid w:val="00D0005C"/>
    <w:rsid w:val="00D03E68"/>
    <w:rsid w:val="00D0649F"/>
    <w:rsid w:val="00D101DB"/>
    <w:rsid w:val="00D10EC7"/>
    <w:rsid w:val="00D14647"/>
    <w:rsid w:val="00D14DA8"/>
    <w:rsid w:val="00D152BD"/>
    <w:rsid w:val="00D1696C"/>
    <w:rsid w:val="00D173FA"/>
    <w:rsid w:val="00D17566"/>
    <w:rsid w:val="00D20765"/>
    <w:rsid w:val="00D20FE1"/>
    <w:rsid w:val="00D22980"/>
    <w:rsid w:val="00D251EF"/>
    <w:rsid w:val="00D25271"/>
    <w:rsid w:val="00D26AD1"/>
    <w:rsid w:val="00D27104"/>
    <w:rsid w:val="00D30143"/>
    <w:rsid w:val="00D31DD4"/>
    <w:rsid w:val="00D348B0"/>
    <w:rsid w:val="00D3713E"/>
    <w:rsid w:val="00D40793"/>
    <w:rsid w:val="00D436C6"/>
    <w:rsid w:val="00D463F3"/>
    <w:rsid w:val="00D47072"/>
    <w:rsid w:val="00D514DB"/>
    <w:rsid w:val="00D51D5A"/>
    <w:rsid w:val="00D526AB"/>
    <w:rsid w:val="00D54B44"/>
    <w:rsid w:val="00D558E1"/>
    <w:rsid w:val="00D57026"/>
    <w:rsid w:val="00D627C9"/>
    <w:rsid w:val="00D71828"/>
    <w:rsid w:val="00D800DA"/>
    <w:rsid w:val="00D8218E"/>
    <w:rsid w:val="00D8346E"/>
    <w:rsid w:val="00D86650"/>
    <w:rsid w:val="00D86D55"/>
    <w:rsid w:val="00D921FE"/>
    <w:rsid w:val="00D9496D"/>
    <w:rsid w:val="00D95BB3"/>
    <w:rsid w:val="00D97380"/>
    <w:rsid w:val="00DA044F"/>
    <w:rsid w:val="00DA105C"/>
    <w:rsid w:val="00DA2163"/>
    <w:rsid w:val="00DA28B2"/>
    <w:rsid w:val="00DA6C09"/>
    <w:rsid w:val="00DA6ECE"/>
    <w:rsid w:val="00DA7095"/>
    <w:rsid w:val="00DA72AF"/>
    <w:rsid w:val="00DB223F"/>
    <w:rsid w:val="00DB57BB"/>
    <w:rsid w:val="00DB6A83"/>
    <w:rsid w:val="00DC0B27"/>
    <w:rsid w:val="00DC3998"/>
    <w:rsid w:val="00DC4475"/>
    <w:rsid w:val="00DC5E9F"/>
    <w:rsid w:val="00DC7567"/>
    <w:rsid w:val="00DD645B"/>
    <w:rsid w:val="00DE1A22"/>
    <w:rsid w:val="00DE1CCA"/>
    <w:rsid w:val="00DE6729"/>
    <w:rsid w:val="00DE7E2D"/>
    <w:rsid w:val="00DF193F"/>
    <w:rsid w:val="00DF25E1"/>
    <w:rsid w:val="00DF3523"/>
    <w:rsid w:val="00E01458"/>
    <w:rsid w:val="00E0332B"/>
    <w:rsid w:val="00E036CD"/>
    <w:rsid w:val="00E049D9"/>
    <w:rsid w:val="00E07100"/>
    <w:rsid w:val="00E07FC2"/>
    <w:rsid w:val="00E10C3F"/>
    <w:rsid w:val="00E13124"/>
    <w:rsid w:val="00E153BB"/>
    <w:rsid w:val="00E21413"/>
    <w:rsid w:val="00E22D57"/>
    <w:rsid w:val="00E22EBC"/>
    <w:rsid w:val="00E251C7"/>
    <w:rsid w:val="00E278B7"/>
    <w:rsid w:val="00E30D44"/>
    <w:rsid w:val="00E329CC"/>
    <w:rsid w:val="00E37343"/>
    <w:rsid w:val="00E45FFA"/>
    <w:rsid w:val="00E50F9B"/>
    <w:rsid w:val="00E54396"/>
    <w:rsid w:val="00E5578E"/>
    <w:rsid w:val="00E604F1"/>
    <w:rsid w:val="00E61654"/>
    <w:rsid w:val="00E6680C"/>
    <w:rsid w:val="00E66C37"/>
    <w:rsid w:val="00E7270D"/>
    <w:rsid w:val="00E737A3"/>
    <w:rsid w:val="00E7592D"/>
    <w:rsid w:val="00E81AF6"/>
    <w:rsid w:val="00E826CD"/>
    <w:rsid w:val="00E843C6"/>
    <w:rsid w:val="00E85903"/>
    <w:rsid w:val="00E85964"/>
    <w:rsid w:val="00E85CA9"/>
    <w:rsid w:val="00E86560"/>
    <w:rsid w:val="00E86589"/>
    <w:rsid w:val="00E90411"/>
    <w:rsid w:val="00E90B57"/>
    <w:rsid w:val="00E90E77"/>
    <w:rsid w:val="00E91D47"/>
    <w:rsid w:val="00E950F7"/>
    <w:rsid w:val="00E9738B"/>
    <w:rsid w:val="00E97ED5"/>
    <w:rsid w:val="00EA2A02"/>
    <w:rsid w:val="00EA3FB7"/>
    <w:rsid w:val="00EA4881"/>
    <w:rsid w:val="00EA6339"/>
    <w:rsid w:val="00EB0F3C"/>
    <w:rsid w:val="00EB13A1"/>
    <w:rsid w:val="00EB1B29"/>
    <w:rsid w:val="00EB1F22"/>
    <w:rsid w:val="00EB4289"/>
    <w:rsid w:val="00EB5885"/>
    <w:rsid w:val="00EB6854"/>
    <w:rsid w:val="00EB75BE"/>
    <w:rsid w:val="00EC1352"/>
    <w:rsid w:val="00EC2549"/>
    <w:rsid w:val="00EC2883"/>
    <w:rsid w:val="00EC2BB5"/>
    <w:rsid w:val="00EC3810"/>
    <w:rsid w:val="00EC40A2"/>
    <w:rsid w:val="00EC4B4C"/>
    <w:rsid w:val="00EC4D83"/>
    <w:rsid w:val="00EC5F28"/>
    <w:rsid w:val="00EC69E5"/>
    <w:rsid w:val="00EE126C"/>
    <w:rsid w:val="00EE32ED"/>
    <w:rsid w:val="00EE7E2F"/>
    <w:rsid w:val="00EF31F9"/>
    <w:rsid w:val="00EF4E8F"/>
    <w:rsid w:val="00EF5AA6"/>
    <w:rsid w:val="00EF6661"/>
    <w:rsid w:val="00F02D10"/>
    <w:rsid w:val="00F0669D"/>
    <w:rsid w:val="00F07E14"/>
    <w:rsid w:val="00F10E50"/>
    <w:rsid w:val="00F211FE"/>
    <w:rsid w:val="00F224EF"/>
    <w:rsid w:val="00F234A7"/>
    <w:rsid w:val="00F238BB"/>
    <w:rsid w:val="00F2456F"/>
    <w:rsid w:val="00F261FD"/>
    <w:rsid w:val="00F27DDA"/>
    <w:rsid w:val="00F37F8A"/>
    <w:rsid w:val="00F42EDE"/>
    <w:rsid w:val="00F43EFC"/>
    <w:rsid w:val="00F446EB"/>
    <w:rsid w:val="00F46B36"/>
    <w:rsid w:val="00F47157"/>
    <w:rsid w:val="00F5336A"/>
    <w:rsid w:val="00F54C2B"/>
    <w:rsid w:val="00F567E7"/>
    <w:rsid w:val="00F571BE"/>
    <w:rsid w:val="00F5795E"/>
    <w:rsid w:val="00F57A49"/>
    <w:rsid w:val="00F61B76"/>
    <w:rsid w:val="00F643A2"/>
    <w:rsid w:val="00F643F2"/>
    <w:rsid w:val="00F65F03"/>
    <w:rsid w:val="00F6601D"/>
    <w:rsid w:val="00F673CB"/>
    <w:rsid w:val="00F67588"/>
    <w:rsid w:val="00F70F4B"/>
    <w:rsid w:val="00F72D0E"/>
    <w:rsid w:val="00F758CB"/>
    <w:rsid w:val="00F76A4D"/>
    <w:rsid w:val="00F8221A"/>
    <w:rsid w:val="00F87178"/>
    <w:rsid w:val="00F87390"/>
    <w:rsid w:val="00F90B59"/>
    <w:rsid w:val="00F91549"/>
    <w:rsid w:val="00F9208B"/>
    <w:rsid w:val="00F93EE8"/>
    <w:rsid w:val="00F943BD"/>
    <w:rsid w:val="00FA440F"/>
    <w:rsid w:val="00FA6888"/>
    <w:rsid w:val="00FB762C"/>
    <w:rsid w:val="00FC18D7"/>
    <w:rsid w:val="00FC6BE7"/>
    <w:rsid w:val="00FC7535"/>
    <w:rsid w:val="00FD0135"/>
    <w:rsid w:val="00FD028C"/>
    <w:rsid w:val="00FD2052"/>
    <w:rsid w:val="00FE0575"/>
    <w:rsid w:val="00FE26CC"/>
    <w:rsid w:val="00FE78A2"/>
    <w:rsid w:val="00FF3E28"/>
    <w:rsid w:val="00FF77D0"/>
    <w:rsid w:val="00FF7C8C"/>
    <w:rsid w:val="012B031D"/>
    <w:rsid w:val="01415CD2"/>
    <w:rsid w:val="01705095"/>
    <w:rsid w:val="01B61553"/>
    <w:rsid w:val="01D21086"/>
    <w:rsid w:val="01D5740A"/>
    <w:rsid w:val="01DA23AF"/>
    <w:rsid w:val="02003F90"/>
    <w:rsid w:val="02562864"/>
    <w:rsid w:val="025739FF"/>
    <w:rsid w:val="02581525"/>
    <w:rsid w:val="02971D9B"/>
    <w:rsid w:val="02AD34F4"/>
    <w:rsid w:val="02B30143"/>
    <w:rsid w:val="02BF1210"/>
    <w:rsid w:val="02D51CBE"/>
    <w:rsid w:val="02DA6F37"/>
    <w:rsid w:val="032853BC"/>
    <w:rsid w:val="036563C8"/>
    <w:rsid w:val="037B5E49"/>
    <w:rsid w:val="038E2066"/>
    <w:rsid w:val="03E879F8"/>
    <w:rsid w:val="040F20B8"/>
    <w:rsid w:val="041537C6"/>
    <w:rsid w:val="042278BF"/>
    <w:rsid w:val="04477D53"/>
    <w:rsid w:val="04A120E1"/>
    <w:rsid w:val="04BF11F3"/>
    <w:rsid w:val="04DB3C4D"/>
    <w:rsid w:val="04F719AE"/>
    <w:rsid w:val="050314EB"/>
    <w:rsid w:val="05354B29"/>
    <w:rsid w:val="055408A9"/>
    <w:rsid w:val="056B77C2"/>
    <w:rsid w:val="05BC0BF8"/>
    <w:rsid w:val="05BE10A0"/>
    <w:rsid w:val="05CF5FA2"/>
    <w:rsid w:val="05D15A76"/>
    <w:rsid w:val="060C467C"/>
    <w:rsid w:val="062A31D9"/>
    <w:rsid w:val="062F259D"/>
    <w:rsid w:val="063063B7"/>
    <w:rsid w:val="063A028F"/>
    <w:rsid w:val="06565574"/>
    <w:rsid w:val="06654211"/>
    <w:rsid w:val="068160C3"/>
    <w:rsid w:val="068C25DB"/>
    <w:rsid w:val="069074E0"/>
    <w:rsid w:val="06AE79A3"/>
    <w:rsid w:val="06AF394D"/>
    <w:rsid w:val="06B47C7B"/>
    <w:rsid w:val="06D575E9"/>
    <w:rsid w:val="06EB2968"/>
    <w:rsid w:val="06ED4932"/>
    <w:rsid w:val="06F04C85"/>
    <w:rsid w:val="07106873"/>
    <w:rsid w:val="071C0D73"/>
    <w:rsid w:val="07504EC1"/>
    <w:rsid w:val="07643926"/>
    <w:rsid w:val="07832BA1"/>
    <w:rsid w:val="07835317"/>
    <w:rsid w:val="07856926"/>
    <w:rsid w:val="07CF735F"/>
    <w:rsid w:val="07EE41F1"/>
    <w:rsid w:val="080324F7"/>
    <w:rsid w:val="0805367D"/>
    <w:rsid w:val="082F13F4"/>
    <w:rsid w:val="08373B10"/>
    <w:rsid w:val="08381BDD"/>
    <w:rsid w:val="083C7992"/>
    <w:rsid w:val="083D1CD8"/>
    <w:rsid w:val="085E6480"/>
    <w:rsid w:val="08610ACC"/>
    <w:rsid w:val="087516B5"/>
    <w:rsid w:val="08C274F9"/>
    <w:rsid w:val="08E16B89"/>
    <w:rsid w:val="08FE41CD"/>
    <w:rsid w:val="093478C1"/>
    <w:rsid w:val="09A10A0F"/>
    <w:rsid w:val="0A1B2824"/>
    <w:rsid w:val="0A1C2427"/>
    <w:rsid w:val="0A1C72DC"/>
    <w:rsid w:val="0A2C04CF"/>
    <w:rsid w:val="0A5B1F0B"/>
    <w:rsid w:val="0A947A52"/>
    <w:rsid w:val="0AA46B35"/>
    <w:rsid w:val="0AB60A3E"/>
    <w:rsid w:val="0AC076B1"/>
    <w:rsid w:val="0AC37758"/>
    <w:rsid w:val="0ADE0443"/>
    <w:rsid w:val="0AF43971"/>
    <w:rsid w:val="0B0F299D"/>
    <w:rsid w:val="0B154457"/>
    <w:rsid w:val="0B212DFC"/>
    <w:rsid w:val="0B3E2722"/>
    <w:rsid w:val="0B91507D"/>
    <w:rsid w:val="0BBA6DAD"/>
    <w:rsid w:val="0C27455C"/>
    <w:rsid w:val="0C610D37"/>
    <w:rsid w:val="0C8278CB"/>
    <w:rsid w:val="0CB642E9"/>
    <w:rsid w:val="0D0F2768"/>
    <w:rsid w:val="0D166E01"/>
    <w:rsid w:val="0D335780"/>
    <w:rsid w:val="0D3E78DC"/>
    <w:rsid w:val="0D82095F"/>
    <w:rsid w:val="0D8458C4"/>
    <w:rsid w:val="0DAD4E1B"/>
    <w:rsid w:val="0E1704E7"/>
    <w:rsid w:val="0E7B310A"/>
    <w:rsid w:val="0E85096E"/>
    <w:rsid w:val="0E8F2559"/>
    <w:rsid w:val="0EB628D0"/>
    <w:rsid w:val="0F030445"/>
    <w:rsid w:val="0F3F7D14"/>
    <w:rsid w:val="0F6D0EB4"/>
    <w:rsid w:val="0F751969"/>
    <w:rsid w:val="0F79652F"/>
    <w:rsid w:val="0FC075B0"/>
    <w:rsid w:val="0FCA40CB"/>
    <w:rsid w:val="0FDD1D3C"/>
    <w:rsid w:val="0FEC44A8"/>
    <w:rsid w:val="10221F9F"/>
    <w:rsid w:val="102B5847"/>
    <w:rsid w:val="1033098C"/>
    <w:rsid w:val="103E1D5B"/>
    <w:rsid w:val="10964BDC"/>
    <w:rsid w:val="10B169D0"/>
    <w:rsid w:val="10B72ECD"/>
    <w:rsid w:val="10B90864"/>
    <w:rsid w:val="10F90F82"/>
    <w:rsid w:val="11063C09"/>
    <w:rsid w:val="111019FE"/>
    <w:rsid w:val="11627CCB"/>
    <w:rsid w:val="118353EB"/>
    <w:rsid w:val="11B16B06"/>
    <w:rsid w:val="11B86D77"/>
    <w:rsid w:val="11D94517"/>
    <w:rsid w:val="11DC4E5E"/>
    <w:rsid w:val="1236731D"/>
    <w:rsid w:val="12686B4B"/>
    <w:rsid w:val="1279351E"/>
    <w:rsid w:val="1283393D"/>
    <w:rsid w:val="12A13FAF"/>
    <w:rsid w:val="12DF5697"/>
    <w:rsid w:val="130D3C66"/>
    <w:rsid w:val="133B4F81"/>
    <w:rsid w:val="134358DA"/>
    <w:rsid w:val="134C478E"/>
    <w:rsid w:val="13533D6F"/>
    <w:rsid w:val="13534C16"/>
    <w:rsid w:val="139C701B"/>
    <w:rsid w:val="13A9398F"/>
    <w:rsid w:val="13B36D17"/>
    <w:rsid w:val="13BF03CA"/>
    <w:rsid w:val="13CA7BB7"/>
    <w:rsid w:val="13D61A1C"/>
    <w:rsid w:val="13F1162C"/>
    <w:rsid w:val="143851FF"/>
    <w:rsid w:val="145A3691"/>
    <w:rsid w:val="14717A98"/>
    <w:rsid w:val="148B578A"/>
    <w:rsid w:val="14943E0F"/>
    <w:rsid w:val="14AF530F"/>
    <w:rsid w:val="14EC73E1"/>
    <w:rsid w:val="14F86A77"/>
    <w:rsid w:val="14FA380C"/>
    <w:rsid w:val="15097824"/>
    <w:rsid w:val="1510485B"/>
    <w:rsid w:val="151E215B"/>
    <w:rsid w:val="15853F88"/>
    <w:rsid w:val="15C15E6E"/>
    <w:rsid w:val="15FF197D"/>
    <w:rsid w:val="16157E2D"/>
    <w:rsid w:val="16393F65"/>
    <w:rsid w:val="16435794"/>
    <w:rsid w:val="16866209"/>
    <w:rsid w:val="16E021B0"/>
    <w:rsid w:val="174727ED"/>
    <w:rsid w:val="175D29A3"/>
    <w:rsid w:val="17680B0C"/>
    <w:rsid w:val="179C6F02"/>
    <w:rsid w:val="17B13397"/>
    <w:rsid w:val="17D66D1D"/>
    <w:rsid w:val="17DD31E4"/>
    <w:rsid w:val="18294330"/>
    <w:rsid w:val="18312189"/>
    <w:rsid w:val="18517A73"/>
    <w:rsid w:val="187E1DA7"/>
    <w:rsid w:val="18975082"/>
    <w:rsid w:val="189E3A6D"/>
    <w:rsid w:val="18B0330F"/>
    <w:rsid w:val="18E05DA8"/>
    <w:rsid w:val="18E31223"/>
    <w:rsid w:val="18F25DD8"/>
    <w:rsid w:val="1945415A"/>
    <w:rsid w:val="196C5B8A"/>
    <w:rsid w:val="199F50F2"/>
    <w:rsid w:val="19AC5F87"/>
    <w:rsid w:val="19B14345"/>
    <w:rsid w:val="19BA5A77"/>
    <w:rsid w:val="19CF7EC7"/>
    <w:rsid w:val="19D5786F"/>
    <w:rsid w:val="1A0911F3"/>
    <w:rsid w:val="1A134258"/>
    <w:rsid w:val="1A27385F"/>
    <w:rsid w:val="1A364939"/>
    <w:rsid w:val="1A386D0E"/>
    <w:rsid w:val="1A396A26"/>
    <w:rsid w:val="1A3D3083"/>
    <w:rsid w:val="1A890B80"/>
    <w:rsid w:val="1A8E2BB2"/>
    <w:rsid w:val="1A9D2818"/>
    <w:rsid w:val="1AB34CB6"/>
    <w:rsid w:val="1AB75623"/>
    <w:rsid w:val="1ABE298D"/>
    <w:rsid w:val="1ADA4D76"/>
    <w:rsid w:val="1B0659E2"/>
    <w:rsid w:val="1B1C538E"/>
    <w:rsid w:val="1B297ECA"/>
    <w:rsid w:val="1B754C1C"/>
    <w:rsid w:val="1B8C6F40"/>
    <w:rsid w:val="1BA91321"/>
    <w:rsid w:val="1C0B54AE"/>
    <w:rsid w:val="1C140FA2"/>
    <w:rsid w:val="1C1B3576"/>
    <w:rsid w:val="1C422BD3"/>
    <w:rsid w:val="1C4C57FF"/>
    <w:rsid w:val="1C502501"/>
    <w:rsid w:val="1C56667E"/>
    <w:rsid w:val="1C607754"/>
    <w:rsid w:val="1CA266AD"/>
    <w:rsid w:val="1CCD1E36"/>
    <w:rsid w:val="1CE27F12"/>
    <w:rsid w:val="1CE662EA"/>
    <w:rsid w:val="1CF75746"/>
    <w:rsid w:val="1D2A1524"/>
    <w:rsid w:val="1D3973F5"/>
    <w:rsid w:val="1D686669"/>
    <w:rsid w:val="1D7D134A"/>
    <w:rsid w:val="1DAC1F34"/>
    <w:rsid w:val="1DD82FFB"/>
    <w:rsid w:val="1DE901F8"/>
    <w:rsid w:val="1DEF0E37"/>
    <w:rsid w:val="1E432C51"/>
    <w:rsid w:val="1E4F15D7"/>
    <w:rsid w:val="1E571888"/>
    <w:rsid w:val="1E601F8F"/>
    <w:rsid w:val="1E693EC0"/>
    <w:rsid w:val="1E6E72C6"/>
    <w:rsid w:val="1E7E1F44"/>
    <w:rsid w:val="1E9623BB"/>
    <w:rsid w:val="1EAB5F5C"/>
    <w:rsid w:val="1EAD1FE0"/>
    <w:rsid w:val="1ECC7CDD"/>
    <w:rsid w:val="1EEF4A61"/>
    <w:rsid w:val="1EFA59E6"/>
    <w:rsid w:val="1F0506DA"/>
    <w:rsid w:val="1F15650D"/>
    <w:rsid w:val="1F7B3932"/>
    <w:rsid w:val="1FD565CD"/>
    <w:rsid w:val="1FDD703A"/>
    <w:rsid w:val="1FE60615"/>
    <w:rsid w:val="1FE7406C"/>
    <w:rsid w:val="1FF34C2D"/>
    <w:rsid w:val="1FFB5111"/>
    <w:rsid w:val="200A7F1B"/>
    <w:rsid w:val="2056239C"/>
    <w:rsid w:val="20DB53A4"/>
    <w:rsid w:val="20E650B5"/>
    <w:rsid w:val="210A78C1"/>
    <w:rsid w:val="211D0AE0"/>
    <w:rsid w:val="214D3DFF"/>
    <w:rsid w:val="215E2E47"/>
    <w:rsid w:val="217B429F"/>
    <w:rsid w:val="218277E0"/>
    <w:rsid w:val="2186530F"/>
    <w:rsid w:val="219F4623"/>
    <w:rsid w:val="21AB2FC8"/>
    <w:rsid w:val="21E140A1"/>
    <w:rsid w:val="21EF55AB"/>
    <w:rsid w:val="21F06CDE"/>
    <w:rsid w:val="21F104B3"/>
    <w:rsid w:val="224662E1"/>
    <w:rsid w:val="22552F34"/>
    <w:rsid w:val="22715F0F"/>
    <w:rsid w:val="22843E91"/>
    <w:rsid w:val="22A53FD5"/>
    <w:rsid w:val="23256E5B"/>
    <w:rsid w:val="23971A56"/>
    <w:rsid w:val="23995543"/>
    <w:rsid w:val="239A734A"/>
    <w:rsid w:val="239B51FF"/>
    <w:rsid w:val="23A943F2"/>
    <w:rsid w:val="23BF77F9"/>
    <w:rsid w:val="23F16472"/>
    <w:rsid w:val="241C052D"/>
    <w:rsid w:val="242F7EE0"/>
    <w:rsid w:val="243B244C"/>
    <w:rsid w:val="24416AE1"/>
    <w:rsid w:val="2493445B"/>
    <w:rsid w:val="24A02B8C"/>
    <w:rsid w:val="24BD4AEE"/>
    <w:rsid w:val="24CC7BE9"/>
    <w:rsid w:val="24DD793C"/>
    <w:rsid w:val="255F0A88"/>
    <w:rsid w:val="2589043C"/>
    <w:rsid w:val="25AE12D9"/>
    <w:rsid w:val="25BF7042"/>
    <w:rsid w:val="25C26B32"/>
    <w:rsid w:val="25D02118"/>
    <w:rsid w:val="25D76ACA"/>
    <w:rsid w:val="25E8116C"/>
    <w:rsid w:val="25E95241"/>
    <w:rsid w:val="26046FC6"/>
    <w:rsid w:val="261868A0"/>
    <w:rsid w:val="262B0B7B"/>
    <w:rsid w:val="26372DC2"/>
    <w:rsid w:val="263E1924"/>
    <w:rsid w:val="26582864"/>
    <w:rsid w:val="26760F0A"/>
    <w:rsid w:val="2678415D"/>
    <w:rsid w:val="269D2766"/>
    <w:rsid w:val="26EB02E7"/>
    <w:rsid w:val="26EC6045"/>
    <w:rsid w:val="27006A84"/>
    <w:rsid w:val="27081C70"/>
    <w:rsid w:val="270D0281"/>
    <w:rsid w:val="270F2907"/>
    <w:rsid w:val="27296724"/>
    <w:rsid w:val="27430095"/>
    <w:rsid w:val="27677991"/>
    <w:rsid w:val="278A5749"/>
    <w:rsid w:val="279063A2"/>
    <w:rsid w:val="27EC23B7"/>
    <w:rsid w:val="280D2781"/>
    <w:rsid w:val="281F6039"/>
    <w:rsid w:val="2867720B"/>
    <w:rsid w:val="28680AD8"/>
    <w:rsid w:val="28715905"/>
    <w:rsid w:val="28807FA6"/>
    <w:rsid w:val="288E55CB"/>
    <w:rsid w:val="28BE14E7"/>
    <w:rsid w:val="28C721A7"/>
    <w:rsid w:val="28CD68E9"/>
    <w:rsid w:val="28D831ED"/>
    <w:rsid w:val="28F263D7"/>
    <w:rsid w:val="292D1901"/>
    <w:rsid w:val="296F38D4"/>
    <w:rsid w:val="29804E7F"/>
    <w:rsid w:val="29826EE0"/>
    <w:rsid w:val="29D82785"/>
    <w:rsid w:val="29DD03DE"/>
    <w:rsid w:val="29F91705"/>
    <w:rsid w:val="2A23469B"/>
    <w:rsid w:val="2A31057A"/>
    <w:rsid w:val="2A4F475C"/>
    <w:rsid w:val="2A641437"/>
    <w:rsid w:val="2A7B2E88"/>
    <w:rsid w:val="2A9314C9"/>
    <w:rsid w:val="2AAC55EE"/>
    <w:rsid w:val="2ADA2ADB"/>
    <w:rsid w:val="2AF15F83"/>
    <w:rsid w:val="2B1241D5"/>
    <w:rsid w:val="2B1E480B"/>
    <w:rsid w:val="2B3D1DC1"/>
    <w:rsid w:val="2B421FE8"/>
    <w:rsid w:val="2B886128"/>
    <w:rsid w:val="2BC618C3"/>
    <w:rsid w:val="2BEE541D"/>
    <w:rsid w:val="2BF96284"/>
    <w:rsid w:val="2C023A0C"/>
    <w:rsid w:val="2C115FA8"/>
    <w:rsid w:val="2C1207E2"/>
    <w:rsid w:val="2C300C99"/>
    <w:rsid w:val="2C463031"/>
    <w:rsid w:val="2C475F3C"/>
    <w:rsid w:val="2CD85155"/>
    <w:rsid w:val="2CE553C8"/>
    <w:rsid w:val="2CEB4BC0"/>
    <w:rsid w:val="2CFD2848"/>
    <w:rsid w:val="2D0E31F8"/>
    <w:rsid w:val="2D170DFB"/>
    <w:rsid w:val="2D392923"/>
    <w:rsid w:val="2D4F3A52"/>
    <w:rsid w:val="2D586C64"/>
    <w:rsid w:val="2D6B72D5"/>
    <w:rsid w:val="2D88240F"/>
    <w:rsid w:val="2DA51213"/>
    <w:rsid w:val="2DA67392"/>
    <w:rsid w:val="2DB02B94"/>
    <w:rsid w:val="2DB815CA"/>
    <w:rsid w:val="2DC076E4"/>
    <w:rsid w:val="2DCF1E6F"/>
    <w:rsid w:val="2DDD65CB"/>
    <w:rsid w:val="2DE966BF"/>
    <w:rsid w:val="2DF85AF4"/>
    <w:rsid w:val="2E150147"/>
    <w:rsid w:val="2E470EFF"/>
    <w:rsid w:val="2E4F4001"/>
    <w:rsid w:val="2E6F5F36"/>
    <w:rsid w:val="2E7E06D0"/>
    <w:rsid w:val="2EC857DA"/>
    <w:rsid w:val="2EF36F14"/>
    <w:rsid w:val="2F367197"/>
    <w:rsid w:val="2F6057DD"/>
    <w:rsid w:val="2F616747"/>
    <w:rsid w:val="2F980EA6"/>
    <w:rsid w:val="2FA17BFB"/>
    <w:rsid w:val="2FC841E5"/>
    <w:rsid w:val="2FCE38E1"/>
    <w:rsid w:val="2FE47AEF"/>
    <w:rsid w:val="2FFA56D7"/>
    <w:rsid w:val="300852DE"/>
    <w:rsid w:val="301B3177"/>
    <w:rsid w:val="303F76FD"/>
    <w:rsid w:val="30586CDF"/>
    <w:rsid w:val="30937A49"/>
    <w:rsid w:val="309651D7"/>
    <w:rsid w:val="30AC5EB0"/>
    <w:rsid w:val="318D794D"/>
    <w:rsid w:val="31992E3D"/>
    <w:rsid w:val="319B502B"/>
    <w:rsid w:val="31CE6D7A"/>
    <w:rsid w:val="31D82653"/>
    <w:rsid w:val="31E06CBE"/>
    <w:rsid w:val="32236BAB"/>
    <w:rsid w:val="3244289A"/>
    <w:rsid w:val="328651F9"/>
    <w:rsid w:val="32B97377"/>
    <w:rsid w:val="32BC21C9"/>
    <w:rsid w:val="32D17F26"/>
    <w:rsid w:val="333328AB"/>
    <w:rsid w:val="33781BD8"/>
    <w:rsid w:val="33941B0E"/>
    <w:rsid w:val="33C91D38"/>
    <w:rsid w:val="33D96FC2"/>
    <w:rsid w:val="33F21BA4"/>
    <w:rsid w:val="34291934"/>
    <w:rsid w:val="3485231F"/>
    <w:rsid w:val="348D06FD"/>
    <w:rsid w:val="34B34216"/>
    <w:rsid w:val="34CC177B"/>
    <w:rsid w:val="34DF325D"/>
    <w:rsid w:val="34FB3D88"/>
    <w:rsid w:val="352B6235"/>
    <w:rsid w:val="35370DDB"/>
    <w:rsid w:val="35392987"/>
    <w:rsid w:val="354E6723"/>
    <w:rsid w:val="354F72C2"/>
    <w:rsid w:val="355A7397"/>
    <w:rsid w:val="3603404C"/>
    <w:rsid w:val="362E697F"/>
    <w:rsid w:val="362F1FC2"/>
    <w:rsid w:val="368E2FD6"/>
    <w:rsid w:val="36AD0447"/>
    <w:rsid w:val="36C672F9"/>
    <w:rsid w:val="36CF4B1B"/>
    <w:rsid w:val="36F33C0B"/>
    <w:rsid w:val="37144761"/>
    <w:rsid w:val="37206FD8"/>
    <w:rsid w:val="375A6BCB"/>
    <w:rsid w:val="37813E56"/>
    <w:rsid w:val="37AB5678"/>
    <w:rsid w:val="37B91FCD"/>
    <w:rsid w:val="37BB3520"/>
    <w:rsid w:val="37C24F6B"/>
    <w:rsid w:val="37D7173E"/>
    <w:rsid w:val="37F17D73"/>
    <w:rsid w:val="37FA3F1D"/>
    <w:rsid w:val="382F48C6"/>
    <w:rsid w:val="38312021"/>
    <w:rsid w:val="385541FB"/>
    <w:rsid w:val="38735592"/>
    <w:rsid w:val="38897ECE"/>
    <w:rsid w:val="389A2BC9"/>
    <w:rsid w:val="38B40A33"/>
    <w:rsid w:val="38B817B4"/>
    <w:rsid w:val="38C05153"/>
    <w:rsid w:val="3926222B"/>
    <w:rsid w:val="393B4A71"/>
    <w:rsid w:val="395872A2"/>
    <w:rsid w:val="39874F18"/>
    <w:rsid w:val="398E34A3"/>
    <w:rsid w:val="39E249FB"/>
    <w:rsid w:val="3A6D7F59"/>
    <w:rsid w:val="3A7E52C6"/>
    <w:rsid w:val="3A8F1281"/>
    <w:rsid w:val="3A9B5E78"/>
    <w:rsid w:val="3AAC1E33"/>
    <w:rsid w:val="3AB17F7A"/>
    <w:rsid w:val="3ACA22B9"/>
    <w:rsid w:val="3B0E58C7"/>
    <w:rsid w:val="3B304812"/>
    <w:rsid w:val="3B4E1CDB"/>
    <w:rsid w:val="3B5210CF"/>
    <w:rsid w:val="3BBE7A10"/>
    <w:rsid w:val="3BCE7B87"/>
    <w:rsid w:val="3BD8175F"/>
    <w:rsid w:val="3C033730"/>
    <w:rsid w:val="3C045F86"/>
    <w:rsid w:val="3C2E4FEE"/>
    <w:rsid w:val="3C4D41CF"/>
    <w:rsid w:val="3C536A3E"/>
    <w:rsid w:val="3C6A63D3"/>
    <w:rsid w:val="3C707965"/>
    <w:rsid w:val="3C746980"/>
    <w:rsid w:val="3C7C0533"/>
    <w:rsid w:val="3C7E7E4E"/>
    <w:rsid w:val="3CD11E57"/>
    <w:rsid w:val="3D2C7078"/>
    <w:rsid w:val="3D406863"/>
    <w:rsid w:val="3D4634DB"/>
    <w:rsid w:val="3D693E50"/>
    <w:rsid w:val="3DDF607B"/>
    <w:rsid w:val="3DEC32B6"/>
    <w:rsid w:val="3DFD3021"/>
    <w:rsid w:val="3E260CC7"/>
    <w:rsid w:val="3E28140B"/>
    <w:rsid w:val="3EB968CD"/>
    <w:rsid w:val="3EC4393F"/>
    <w:rsid w:val="3EF8229A"/>
    <w:rsid w:val="3F0F109B"/>
    <w:rsid w:val="3F3917BB"/>
    <w:rsid w:val="3F4435BF"/>
    <w:rsid w:val="3F446ADE"/>
    <w:rsid w:val="3F4563B2"/>
    <w:rsid w:val="3FB55092"/>
    <w:rsid w:val="3FC7116E"/>
    <w:rsid w:val="402F6CDA"/>
    <w:rsid w:val="40356427"/>
    <w:rsid w:val="40526902"/>
    <w:rsid w:val="40A35A86"/>
    <w:rsid w:val="40D93256"/>
    <w:rsid w:val="40E32281"/>
    <w:rsid w:val="40FF373C"/>
    <w:rsid w:val="41190548"/>
    <w:rsid w:val="41281AE7"/>
    <w:rsid w:val="4130459C"/>
    <w:rsid w:val="41427B40"/>
    <w:rsid w:val="415B7967"/>
    <w:rsid w:val="418961FE"/>
    <w:rsid w:val="41A435C3"/>
    <w:rsid w:val="41C2018E"/>
    <w:rsid w:val="4208660A"/>
    <w:rsid w:val="42103A4A"/>
    <w:rsid w:val="421E141A"/>
    <w:rsid w:val="42764E69"/>
    <w:rsid w:val="427D5E63"/>
    <w:rsid w:val="42805951"/>
    <w:rsid w:val="42AC50F0"/>
    <w:rsid w:val="42CD2946"/>
    <w:rsid w:val="42D55C9F"/>
    <w:rsid w:val="42E67134"/>
    <w:rsid w:val="43290586"/>
    <w:rsid w:val="434370AD"/>
    <w:rsid w:val="435B772B"/>
    <w:rsid w:val="4367618F"/>
    <w:rsid w:val="43702137"/>
    <w:rsid w:val="43851473"/>
    <w:rsid w:val="438F3163"/>
    <w:rsid w:val="43FC5D17"/>
    <w:rsid w:val="4416031D"/>
    <w:rsid w:val="44315157"/>
    <w:rsid w:val="44437D4C"/>
    <w:rsid w:val="446B516E"/>
    <w:rsid w:val="447C67B9"/>
    <w:rsid w:val="447E374E"/>
    <w:rsid w:val="448564A3"/>
    <w:rsid w:val="44904CF7"/>
    <w:rsid w:val="4497626D"/>
    <w:rsid w:val="44B10046"/>
    <w:rsid w:val="44C04B5B"/>
    <w:rsid w:val="450714FC"/>
    <w:rsid w:val="450811BF"/>
    <w:rsid w:val="45224346"/>
    <w:rsid w:val="452614AD"/>
    <w:rsid w:val="45284329"/>
    <w:rsid w:val="4542602E"/>
    <w:rsid w:val="45664A2A"/>
    <w:rsid w:val="45785DEB"/>
    <w:rsid w:val="45823E47"/>
    <w:rsid w:val="45C7169F"/>
    <w:rsid w:val="46081DC4"/>
    <w:rsid w:val="46084B6A"/>
    <w:rsid w:val="4613530C"/>
    <w:rsid w:val="468635AE"/>
    <w:rsid w:val="468D39EA"/>
    <w:rsid w:val="46B17C96"/>
    <w:rsid w:val="46B300A5"/>
    <w:rsid w:val="46B8390E"/>
    <w:rsid w:val="46E86AC5"/>
    <w:rsid w:val="47120827"/>
    <w:rsid w:val="47193A36"/>
    <w:rsid w:val="471E5E67"/>
    <w:rsid w:val="472E5C1A"/>
    <w:rsid w:val="47721D0E"/>
    <w:rsid w:val="47C754C6"/>
    <w:rsid w:val="47D71C0C"/>
    <w:rsid w:val="47E260CB"/>
    <w:rsid w:val="484B35CD"/>
    <w:rsid w:val="48647785"/>
    <w:rsid w:val="486E0FF2"/>
    <w:rsid w:val="486E2881"/>
    <w:rsid w:val="486F44A0"/>
    <w:rsid w:val="48C32359"/>
    <w:rsid w:val="48C447EC"/>
    <w:rsid w:val="48FB0953"/>
    <w:rsid w:val="491B667E"/>
    <w:rsid w:val="49212CBE"/>
    <w:rsid w:val="4932465D"/>
    <w:rsid w:val="49534995"/>
    <w:rsid w:val="496127C3"/>
    <w:rsid w:val="49680B13"/>
    <w:rsid w:val="496A2F12"/>
    <w:rsid w:val="498270B3"/>
    <w:rsid w:val="49D7054F"/>
    <w:rsid w:val="49E62540"/>
    <w:rsid w:val="49F94251"/>
    <w:rsid w:val="4A030F31"/>
    <w:rsid w:val="4A5D3FD7"/>
    <w:rsid w:val="4A6D3511"/>
    <w:rsid w:val="4A757163"/>
    <w:rsid w:val="4ABE3F95"/>
    <w:rsid w:val="4AEC002A"/>
    <w:rsid w:val="4B1074FD"/>
    <w:rsid w:val="4B25410D"/>
    <w:rsid w:val="4B2B7311"/>
    <w:rsid w:val="4B5B69E7"/>
    <w:rsid w:val="4B5D11DD"/>
    <w:rsid w:val="4B91290A"/>
    <w:rsid w:val="4B9422CC"/>
    <w:rsid w:val="4B990EC1"/>
    <w:rsid w:val="4BA12BC2"/>
    <w:rsid w:val="4BB275BC"/>
    <w:rsid w:val="4BCC38B3"/>
    <w:rsid w:val="4BEC649C"/>
    <w:rsid w:val="4BF06C84"/>
    <w:rsid w:val="4BF838F0"/>
    <w:rsid w:val="4BF9422A"/>
    <w:rsid w:val="4C0F7955"/>
    <w:rsid w:val="4C15710C"/>
    <w:rsid w:val="4C555E2F"/>
    <w:rsid w:val="4C6308B9"/>
    <w:rsid w:val="4C6C1422"/>
    <w:rsid w:val="4C710824"/>
    <w:rsid w:val="4C7812B7"/>
    <w:rsid w:val="4C970BF9"/>
    <w:rsid w:val="4CB60691"/>
    <w:rsid w:val="4CE2651F"/>
    <w:rsid w:val="4CEE068F"/>
    <w:rsid w:val="4D0553D3"/>
    <w:rsid w:val="4D203016"/>
    <w:rsid w:val="4D2B0EDD"/>
    <w:rsid w:val="4D346757"/>
    <w:rsid w:val="4D3B1D7F"/>
    <w:rsid w:val="4DA841F4"/>
    <w:rsid w:val="4DD05976"/>
    <w:rsid w:val="4DE82A5F"/>
    <w:rsid w:val="4DEE4FE0"/>
    <w:rsid w:val="4E045131"/>
    <w:rsid w:val="4E1B5D9B"/>
    <w:rsid w:val="4E402DC8"/>
    <w:rsid w:val="4E662EBF"/>
    <w:rsid w:val="4E896D6E"/>
    <w:rsid w:val="4E8E66C6"/>
    <w:rsid w:val="4E9C50B5"/>
    <w:rsid w:val="4EB35158"/>
    <w:rsid w:val="4ED70169"/>
    <w:rsid w:val="4EDD03B5"/>
    <w:rsid w:val="4EE144FE"/>
    <w:rsid w:val="4EEB4F44"/>
    <w:rsid w:val="4F511FB2"/>
    <w:rsid w:val="4F7E2311"/>
    <w:rsid w:val="4F955F9D"/>
    <w:rsid w:val="4F9A2425"/>
    <w:rsid w:val="4FA93BA7"/>
    <w:rsid w:val="4FAC52CF"/>
    <w:rsid w:val="4FBC3E1E"/>
    <w:rsid w:val="50170AF5"/>
    <w:rsid w:val="501A1903"/>
    <w:rsid w:val="50487D45"/>
    <w:rsid w:val="508E5E59"/>
    <w:rsid w:val="50C30FDE"/>
    <w:rsid w:val="50C431DE"/>
    <w:rsid w:val="50F639B0"/>
    <w:rsid w:val="51121E6C"/>
    <w:rsid w:val="51262417"/>
    <w:rsid w:val="513733A0"/>
    <w:rsid w:val="514C35D0"/>
    <w:rsid w:val="5176064D"/>
    <w:rsid w:val="51887260"/>
    <w:rsid w:val="51935A63"/>
    <w:rsid w:val="523850DD"/>
    <w:rsid w:val="52533F75"/>
    <w:rsid w:val="526613C5"/>
    <w:rsid w:val="52C84ED8"/>
    <w:rsid w:val="52CA126A"/>
    <w:rsid w:val="52DB2E5E"/>
    <w:rsid w:val="52F13DE7"/>
    <w:rsid w:val="530103EA"/>
    <w:rsid w:val="530F5C2C"/>
    <w:rsid w:val="531445C2"/>
    <w:rsid w:val="53650979"/>
    <w:rsid w:val="53A07C03"/>
    <w:rsid w:val="53A13790"/>
    <w:rsid w:val="53A235C5"/>
    <w:rsid w:val="53D81581"/>
    <w:rsid w:val="54006EBD"/>
    <w:rsid w:val="540208BE"/>
    <w:rsid w:val="540D4E72"/>
    <w:rsid w:val="542425E2"/>
    <w:rsid w:val="545F71FB"/>
    <w:rsid w:val="547D09A9"/>
    <w:rsid w:val="54CF56D2"/>
    <w:rsid w:val="54CF6866"/>
    <w:rsid w:val="54D44BD5"/>
    <w:rsid w:val="54D45DB6"/>
    <w:rsid w:val="54FC69E8"/>
    <w:rsid w:val="550E3F9A"/>
    <w:rsid w:val="55542CB9"/>
    <w:rsid w:val="55766E6E"/>
    <w:rsid w:val="557A24CC"/>
    <w:rsid w:val="558F7F2F"/>
    <w:rsid w:val="559B2D78"/>
    <w:rsid w:val="559B53B0"/>
    <w:rsid w:val="55B81234"/>
    <w:rsid w:val="55C135BF"/>
    <w:rsid w:val="55C261D3"/>
    <w:rsid w:val="55CD4B1F"/>
    <w:rsid w:val="55F1544B"/>
    <w:rsid w:val="55FE01DE"/>
    <w:rsid w:val="563D7B91"/>
    <w:rsid w:val="563F1955"/>
    <w:rsid w:val="565F3711"/>
    <w:rsid w:val="567339EE"/>
    <w:rsid w:val="567E4E28"/>
    <w:rsid w:val="567F7FA4"/>
    <w:rsid w:val="568252A1"/>
    <w:rsid w:val="56951575"/>
    <w:rsid w:val="56B17AF5"/>
    <w:rsid w:val="56D7393C"/>
    <w:rsid w:val="56F96B3F"/>
    <w:rsid w:val="574A409F"/>
    <w:rsid w:val="57590062"/>
    <w:rsid w:val="57641F8B"/>
    <w:rsid w:val="57656331"/>
    <w:rsid w:val="57672F12"/>
    <w:rsid w:val="576A3715"/>
    <w:rsid w:val="57892BAB"/>
    <w:rsid w:val="57F16C7F"/>
    <w:rsid w:val="57F95B34"/>
    <w:rsid w:val="58143E47"/>
    <w:rsid w:val="5823223F"/>
    <w:rsid w:val="58BB67A0"/>
    <w:rsid w:val="58C10041"/>
    <w:rsid w:val="58D805A2"/>
    <w:rsid w:val="58E10F36"/>
    <w:rsid w:val="591075D9"/>
    <w:rsid w:val="59130438"/>
    <w:rsid w:val="59166BCC"/>
    <w:rsid w:val="592E180D"/>
    <w:rsid w:val="59361538"/>
    <w:rsid w:val="595C6329"/>
    <w:rsid w:val="59BA5EBD"/>
    <w:rsid w:val="59CA6C37"/>
    <w:rsid w:val="59DD51A2"/>
    <w:rsid w:val="5A021A12"/>
    <w:rsid w:val="5A241C82"/>
    <w:rsid w:val="5A3452CB"/>
    <w:rsid w:val="5A376192"/>
    <w:rsid w:val="5A655703"/>
    <w:rsid w:val="5A6B0F9A"/>
    <w:rsid w:val="5AA721BA"/>
    <w:rsid w:val="5AB92CB4"/>
    <w:rsid w:val="5AC8016B"/>
    <w:rsid w:val="5ACD1DFE"/>
    <w:rsid w:val="5AD07020"/>
    <w:rsid w:val="5AE605F2"/>
    <w:rsid w:val="5AF1641D"/>
    <w:rsid w:val="5B204D10"/>
    <w:rsid w:val="5B2D7FCE"/>
    <w:rsid w:val="5B5F2276"/>
    <w:rsid w:val="5B76581E"/>
    <w:rsid w:val="5B887C70"/>
    <w:rsid w:val="5BD13381"/>
    <w:rsid w:val="5BE243E9"/>
    <w:rsid w:val="5C041C20"/>
    <w:rsid w:val="5C0D72C2"/>
    <w:rsid w:val="5C4D667C"/>
    <w:rsid w:val="5CA93FCD"/>
    <w:rsid w:val="5D0631CD"/>
    <w:rsid w:val="5D0F4A80"/>
    <w:rsid w:val="5D213CF4"/>
    <w:rsid w:val="5D3445F3"/>
    <w:rsid w:val="5D787085"/>
    <w:rsid w:val="5E1160C2"/>
    <w:rsid w:val="5E4717A2"/>
    <w:rsid w:val="5E487850"/>
    <w:rsid w:val="5E4A70E9"/>
    <w:rsid w:val="5E4C6141"/>
    <w:rsid w:val="5E6A778C"/>
    <w:rsid w:val="5E8310B6"/>
    <w:rsid w:val="5E900467"/>
    <w:rsid w:val="5EA842DD"/>
    <w:rsid w:val="5EBD74DA"/>
    <w:rsid w:val="5EC310D2"/>
    <w:rsid w:val="5ED0639A"/>
    <w:rsid w:val="5ED821DF"/>
    <w:rsid w:val="5EDB41E5"/>
    <w:rsid w:val="5EDE0F33"/>
    <w:rsid w:val="5F18074E"/>
    <w:rsid w:val="5F2B2A77"/>
    <w:rsid w:val="5F456359"/>
    <w:rsid w:val="5F7F1E06"/>
    <w:rsid w:val="5FD35B6B"/>
    <w:rsid w:val="5FDE3F8D"/>
    <w:rsid w:val="5FE33D96"/>
    <w:rsid w:val="6023524B"/>
    <w:rsid w:val="60344CB6"/>
    <w:rsid w:val="60345679"/>
    <w:rsid w:val="605C13A4"/>
    <w:rsid w:val="60675D31"/>
    <w:rsid w:val="608F41B1"/>
    <w:rsid w:val="609A4358"/>
    <w:rsid w:val="612756CF"/>
    <w:rsid w:val="61281730"/>
    <w:rsid w:val="612A23A8"/>
    <w:rsid w:val="61447FA1"/>
    <w:rsid w:val="61665FE8"/>
    <w:rsid w:val="617D2B01"/>
    <w:rsid w:val="61AD7FEE"/>
    <w:rsid w:val="61B07C17"/>
    <w:rsid w:val="61BC56D7"/>
    <w:rsid w:val="620C10EB"/>
    <w:rsid w:val="622E7DF0"/>
    <w:rsid w:val="623E0D13"/>
    <w:rsid w:val="625E5246"/>
    <w:rsid w:val="62694EE6"/>
    <w:rsid w:val="62747816"/>
    <w:rsid w:val="62A3501A"/>
    <w:rsid w:val="62C21949"/>
    <w:rsid w:val="62C52A98"/>
    <w:rsid w:val="62D32CDD"/>
    <w:rsid w:val="62DA71BA"/>
    <w:rsid w:val="632308B3"/>
    <w:rsid w:val="63382DD7"/>
    <w:rsid w:val="6390296B"/>
    <w:rsid w:val="63A47935"/>
    <w:rsid w:val="63C05E4E"/>
    <w:rsid w:val="63DB6033"/>
    <w:rsid w:val="63FC0596"/>
    <w:rsid w:val="640F47E2"/>
    <w:rsid w:val="64135D66"/>
    <w:rsid w:val="64294B00"/>
    <w:rsid w:val="6431254B"/>
    <w:rsid w:val="643D4406"/>
    <w:rsid w:val="6445282D"/>
    <w:rsid w:val="645442A7"/>
    <w:rsid w:val="64C0071B"/>
    <w:rsid w:val="64D56443"/>
    <w:rsid w:val="64DA7491"/>
    <w:rsid w:val="64F127A8"/>
    <w:rsid w:val="652D4363"/>
    <w:rsid w:val="656A1E1F"/>
    <w:rsid w:val="65B045D2"/>
    <w:rsid w:val="65BE5407"/>
    <w:rsid w:val="65CB6AD7"/>
    <w:rsid w:val="65E505B2"/>
    <w:rsid w:val="65F135CD"/>
    <w:rsid w:val="66080415"/>
    <w:rsid w:val="6644490B"/>
    <w:rsid w:val="66444FD8"/>
    <w:rsid w:val="665A2DBF"/>
    <w:rsid w:val="665F7EA6"/>
    <w:rsid w:val="66780157"/>
    <w:rsid w:val="66821B34"/>
    <w:rsid w:val="66BC0585"/>
    <w:rsid w:val="66C128BD"/>
    <w:rsid w:val="66CA36E1"/>
    <w:rsid w:val="66CF3135"/>
    <w:rsid w:val="67065B78"/>
    <w:rsid w:val="67310E46"/>
    <w:rsid w:val="67336E5F"/>
    <w:rsid w:val="673D77EB"/>
    <w:rsid w:val="67402D70"/>
    <w:rsid w:val="67413BF6"/>
    <w:rsid w:val="674F751F"/>
    <w:rsid w:val="675D6C23"/>
    <w:rsid w:val="676927E5"/>
    <w:rsid w:val="677243C5"/>
    <w:rsid w:val="67770DF9"/>
    <w:rsid w:val="677D63AA"/>
    <w:rsid w:val="67D77C40"/>
    <w:rsid w:val="67DA328C"/>
    <w:rsid w:val="681D46DD"/>
    <w:rsid w:val="6835267B"/>
    <w:rsid w:val="68487E73"/>
    <w:rsid w:val="686B2F0B"/>
    <w:rsid w:val="6881130A"/>
    <w:rsid w:val="68B80B9D"/>
    <w:rsid w:val="68C06BF6"/>
    <w:rsid w:val="68E32614"/>
    <w:rsid w:val="69651231"/>
    <w:rsid w:val="696B1E57"/>
    <w:rsid w:val="698A2836"/>
    <w:rsid w:val="69913E34"/>
    <w:rsid w:val="69E0280F"/>
    <w:rsid w:val="69F56662"/>
    <w:rsid w:val="6A097175"/>
    <w:rsid w:val="6A19339F"/>
    <w:rsid w:val="6A207A55"/>
    <w:rsid w:val="6A5B5712"/>
    <w:rsid w:val="6A6E2AA9"/>
    <w:rsid w:val="6A99742E"/>
    <w:rsid w:val="6AE54F74"/>
    <w:rsid w:val="6AF405C0"/>
    <w:rsid w:val="6B297338"/>
    <w:rsid w:val="6B555802"/>
    <w:rsid w:val="6BA34CC4"/>
    <w:rsid w:val="6BCE3108"/>
    <w:rsid w:val="6C03258C"/>
    <w:rsid w:val="6C153350"/>
    <w:rsid w:val="6C5374D3"/>
    <w:rsid w:val="6C5555D7"/>
    <w:rsid w:val="6CE013DA"/>
    <w:rsid w:val="6CE83AA0"/>
    <w:rsid w:val="6CF5724A"/>
    <w:rsid w:val="6D033D14"/>
    <w:rsid w:val="6D3F0921"/>
    <w:rsid w:val="6D4270CF"/>
    <w:rsid w:val="6DD2313B"/>
    <w:rsid w:val="6DE852DE"/>
    <w:rsid w:val="6DF75047"/>
    <w:rsid w:val="6E14501E"/>
    <w:rsid w:val="6E344D81"/>
    <w:rsid w:val="6E9652C0"/>
    <w:rsid w:val="6E971ED7"/>
    <w:rsid w:val="6EA27F90"/>
    <w:rsid w:val="6EB15DD3"/>
    <w:rsid w:val="6EC91D52"/>
    <w:rsid w:val="6ED07E1A"/>
    <w:rsid w:val="6EE85353"/>
    <w:rsid w:val="6EF32E85"/>
    <w:rsid w:val="6F417E36"/>
    <w:rsid w:val="6F614EAB"/>
    <w:rsid w:val="6F6417C4"/>
    <w:rsid w:val="6F7A7850"/>
    <w:rsid w:val="6F886322"/>
    <w:rsid w:val="6F933F90"/>
    <w:rsid w:val="6FD111A8"/>
    <w:rsid w:val="70375E2A"/>
    <w:rsid w:val="703D7D6C"/>
    <w:rsid w:val="704C2999"/>
    <w:rsid w:val="70800D73"/>
    <w:rsid w:val="70AD75A8"/>
    <w:rsid w:val="70C87915"/>
    <w:rsid w:val="70CE05A3"/>
    <w:rsid w:val="70D95706"/>
    <w:rsid w:val="70FA27BD"/>
    <w:rsid w:val="71107D1F"/>
    <w:rsid w:val="711D5CF9"/>
    <w:rsid w:val="71213CDA"/>
    <w:rsid w:val="7130512A"/>
    <w:rsid w:val="713459E2"/>
    <w:rsid w:val="71A50ADE"/>
    <w:rsid w:val="7204188A"/>
    <w:rsid w:val="72276BA3"/>
    <w:rsid w:val="726454F7"/>
    <w:rsid w:val="7265261F"/>
    <w:rsid w:val="729B4FAB"/>
    <w:rsid w:val="72FA7BBE"/>
    <w:rsid w:val="733002EE"/>
    <w:rsid w:val="73407987"/>
    <w:rsid w:val="73812F0E"/>
    <w:rsid w:val="73830759"/>
    <w:rsid w:val="739A1C2A"/>
    <w:rsid w:val="739A5FC5"/>
    <w:rsid w:val="73B3102F"/>
    <w:rsid w:val="73DD5247"/>
    <w:rsid w:val="73EF2A80"/>
    <w:rsid w:val="73FE47A6"/>
    <w:rsid w:val="742064CB"/>
    <w:rsid w:val="7459689C"/>
    <w:rsid w:val="74623C1E"/>
    <w:rsid w:val="7476258E"/>
    <w:rsid w:val="748F01F5"/>
    <w:rsid w:val="74AB46FD"/>
    <w:rsid w:val="74D4757B"/>
    <w:rsid w:val="75042ACC"/>
    <w:rsid w:val="75080F48"/>
    <w:rsid w:val="752B7ECA"/>
    <w:rsid w:val="75357D54"/>
    <w:rsid w:val="755A5A0C"/>
    <w:rsid w:val="75AF2758"/>
    <w:rsid w:val="75C80BC8"/>
    <w:rsid w:val="75CD2D28"/>
    <w:rsid w:val="75E2374B"/>
    <w:rsid w:val="75E44CC4"/>
    <w:rsid w:val="76084F90"/>
    <w:rsid w:val="76286AE8"/>
    <w:rsid w:val="762A72B5"/>
    <w:rsid w:val="762B1157"/>
    <w:rsid w:val="764F64BE"/>
    <w:rsid w:val="766C6899"/>
    <w:rsid w:val="768F16E6"/>
    <w:rsid w:val="76AD7DBE"/>
    <w:rsid w:val="76B15747"/>
    <w:rsid w:val="76E91124"/>
    <w:rsid w:val="76EE4427"/>
    <w:rsid w:val="770B6281"/>
    <w:rsid w:val="77183DD1"/>
    <w:rsid w:val="77737259"/>
    <w:rsid w:val="77F27D15"/>
    <w:rsid w:val="77F71C38"/>
    <w:rsid w:val="78003D06"/>
    <w:rsid w:val="785E13E8"/>
    <w:rsid w:val="78631C7C"/>
    <w:rsid w:val="78825E3B"/>
    <w:rsid w:val="789B6A68"/>
    <w:rsid w:val="78AA314A"/>
    <w:rsid w:val="78C25DA2"/>
    <w:rsid w:val="78C3642C"/>
    <w:rsid w:val="78CD0CE6"/>
    <w:rsid w:val="78F00113"/>
    <w:rsid w:val="78FD6F1C"/>
    <w:rsid w:val="792A3948"/>
    <w:rsid w:val="793242EA"/>
    <w:rsid w:val="795F53B0"/>
    <w:rsid w:val="79CE624A"/>
    <w:rsid w:val="79D07A75"/>
    <w:rsid w:val="79FB4704"/>
    <w:rsid w:val="7A170370"/>
    <w:rsid w:val="7A1F0A71"/>
    <w:rsid w:val="7A3A5E0C"/>
    <w:rsid w:val="7A71379F"/>
    <w:rsid w:val="7AD141A1"/>
    <w:rsid w:val="7AD31EBB"/>
    <w:rsid w:val="7AFD59CA"/>
    <w:rsid w:val="7B470029"/>
    <w:rsid w:val="7BAA6FAF"/>
    <w:rsid w:val="7BC566B5"/>
    <w:rsid w:val="7BCA41A5"/>
    <w:rsid w:val="7BCE22CB"/>
    <w:rsid w:val="7C1D0877"/>
    <w:rsid w:val="7C292462"/>
    <w:rsid w:val="7C446AE2"/>
    <w:rsid w:val="7C462A9E"/>
    <w:rsid w:val="7C6A112F"/>
    <w:rsid w:val="7C930A71"/>
    <w:rsid w:val="7D325B4F"/>
    <w:rsid w:val="7D5F203D"/>
    <w:rsid w:val="7DAB1833"/>
    <w:rsid w:val="7DCB394B"/>
    <w:rsid w:val="7DCC1471"/>
    <w:rsid w:val="7DDB2C8C"/>
    <w:rsid w:val="7DE75238"/>
    <w:rsid w:val="7DEC1610"/>
    <w:rsid w:val="7DF10D8E"/>
    <w:rsid w:val="7E0C27C2"/>
    <w:rsid w:val="7E141A72"/>
    <w:rsid w:val="7E70572F"/>
    <w:rsid w:val="7E7A031E"/>
    <w:rsid w:val="7EC55059"/>
    <w:rsid w:val="7ECF5717"/>
    <w:rsid w:val="7ED95BF4"/>
    <w:rsid w:val="7EF40783"/>
    <w:rsid w:val="7EF42699"/>
    <w:rsid w:val="7EF42EA2"/>
    <w:rsid w:val="7F0E7BC0"/>
    <w:rsid w:val="7F482D79"/>
    <w:rsid w:val="7F7B71B8"/>
    <w:rsid w:val="7F820039"/>
    <w:rsid w:val="7FCA6DEF"/>
    <w:rsid w:val="7FE677AC"/>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4"/>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4">
    <w:name w:val="heading 2"/>
    <w:basedOn w:val="1"/>
    <w:next w:val="1"/>
    <w:link w:val="4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6"/>
    <w:next w:val="1"/>
    <w:qFormat/>
    <w:uiPriority w:val="9"/>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7">
    <w:name w:val="table of authorities"/>
    <w:basedOn w:val="1"/>
    <w:next w:val="1"/>
    <w:qFormat/>
    <w:uiPriority w:val="0"/>
    <w:pPr>
      <w:ind w:left="420" w:leftChars="200"/>
    </w:pPr>
  </w:style>
  <w:style w:type="paragraph" w:styleId="8">
    <w:name w:val="Normal Indent"/>
    <w:basedOn w:val="1"/>
    <w:qFormat/>
    <w:uiPriority w:val="0"/>
    <w:pPr>
      <w:ind w:firstLine="420"/>
    </w:pPr>
    <w:rPr>
      <w:szCs w:val="20"/>
    </w:rPr>
  </w:style>
  <w:style w:type="paragraph" w:styleId="9">
    <w:name w:val="Document Map"/>
    <w:basedOn w:val="1"/>
    <w:link w:val="46"/>
    <w:semiHidden/>
    <w:unhideWhenUsed/>
    <w:qFormat/>
    <w:uiPriority w:val="99"/>
    <w:rPr>
      <w:rFonts w:ascii="宋体" w:eastAsia="宋体"/>
      <w:sz w:val="18"/>
      <w:szCs w:val="18"/>
    </w:rPr>
  </w:style>
  <w:style w:type="paragraph" w:styleId="10">
    <w:name w:val="annotation text"/>
    <w:basedOn w:val="1"/>
    <w:link w:val="48"/>
    <w:semiHidden/>
    <w:unhideWhenUsed/>
    <w:qFormat/>
    <w:uiPriority w:val="99"/>
    <w:pPr>
      <w:jc w:val="left"/>
    </w:pPr>
  </w:style>
  <w:style w:type="paragraph" w:styleId="11">
    <w:name w:val="Body Text"/>
    <w:basedOn w:val="1"/>
    <w:next w:val="1"/>
    <w:qFormat/>
    <w:uiPriority w:val="0"/>
    <w:pPr>
      <w:spacing w:line="360" w:lineRule="auto"/>
    </w:pPr>
    <w:rPr>
      <w:b/>
      <w:bCs/>
      <w:sz w:val="24"/>
    </w:rPr>
  </w:style>
  <w:style w:type="paragraph" w:styleId="12">
    <w:name w:val="Block Text"/>
    <w:basedOn w:val="1"/>
    <w:qFormat/>
    <w:uiPriority w:val="0"/>
    <w:pPr>
      <w:tabs>
        <w:tab w:val="left" w:pos="426"/>
      </w:tabs>
      <w:spacing w:after="120"/>
      <w:ind w:left="1440" w:leftChars="700" w:right="1440" w:rightChars="700"/>
    </w:pPr>
  </w:style>
  <w:style w:type="paragraph" w:styleId="13">
    <w:name w:val="Body Text Indent 2"/>
    <w:basedOn w:val="1"/>
    <w:qFormat/>
    <w:uiPriority w:val="0"/>
    <w:pPr>
      <w:spacing w:line="500" w:lineRule="exact"/>
      <w:ind w:left="397" w:firstLine="539"/>
    </w:pPr>
    <w:rPr>
      <w:rFonts w:ascii="宋体" w:hAnsi="华文中宋"/>
      <w:sz w:val="26"/>
      <w:szCs w:val="20"/>
    </w:rPr>
  </w:style>
  <w:style w:type="paragraph" w:styleId="14">
    <w:name w:val="Balloon Text"/>
    <w:basedOn w:val="1"/>
    <w:link w:val="42"/>
    <w:semiHidden/>
    <w:unhideWhenUsed/>
    <w:qFormat/>
    <w:uiPriority w:val="99"/>
    <w:rPr>
      <w:sz w:val="18"/>
      <w:szCs w:val="18"/>
    </w:rPr>
  </w:style>
  <w:style w:type="paragraph" w:styleId="15">
    <w:name w:val="footer"/>
    <w:basedOn w:val="1"/>
    <w:link w:val="41"/>
    <w:unhideWhenUsed/>
    <w:qFormat/>
    <w:uiPriority w:val="99"/>
    <w:pPr>
      <w:tabs>
        <w:tab w:val="center" w:pos="4153"/>
        <w:tab w:val="right" w:pos="8306"/>
      </w:tabs>
      <w:snapToGrid w:val="0"/>
      <w:jc w:val="left"/>
    </w:pPr>
    <w:rPr>
      <w:sz w:val="18"/>
      <w:szCs w:val="18"/>
    </w:rPr>
  </w:style>
  <w:style w:type="paragraph" w:styleId="16">
    <w:name w:val="header"/>
    <w:basedOn w:val="1"/>
    <w:link w:val="4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2"/>
    <w:basedOn w:val="1"/>
    <w:qFormat/>
    <w:uiPriority w:val="0"/>
    <w:pPr>
      <w:spacing w:line="360" w:lineRule="auto"/>
    </w:pPr>
    <w:rPr>
      <w:sz w:val="24"/>
    </w:rPr>
  </w:style>
  <w:style w:type="paragraph" w:styleId="18">
    <w:name w:val="Normal (Web)"/>
    <w:basedOn w:val="1"/>
    <w:link w:val="43"/>
    <w:qFormat/>
    <w:uiPriority w:val="99"/>
    <w:pPr>
      <w:widowControl/>
      <w:spacing w:before="100" w:beforeAutospacing="1" w:afterAutospacing="1"/>
      <w:jc w:val="left"/>
    </w:pPr>
    <w:rPr>
      <w:rFonts w:ascii="宋体" w:hAnsi="宋体"/>
      <w:sz w:val="24"/>
      <w:szCs w:val="24"/>
    </w:rPr>
  </w:style>
  <w:style w:type="paragraph" w:styleId="19">
    <w:name w:val="Title"/>
    <w:basedOn w:val="1"/>
    <w:qFormat/>
    <w:uiPriority w:val="0"/>
    <w:pPr>
      <w:spacing w:before="240" w:after="60"/>
      <w:jc w:val="center"/>
      <w:outlineLvl w:val="0"/>
    </w:pPr>
    <w:rPr>
      <w:rFonts w:ascii="Arial" w:hAnsi="Arial" w:eastAsia="隶书" w:cs="Arial"/>
      <w:b/>
      <w:bCs/>
      <w:sz w:val="32"/>
      <w:szCs w:val="32"/>
    </w:rPr>
  </w:style>
  <w:style w:type="paragraph" w:styleId="20">
    <w:name w:val="annotation subject"/>
    <w:basedOn w:val="10"/>
    <w:next w:val="10"/>
    <w:link w:val="50"/>
    <w:semiHidden/>
    <w:unhideWhenUsed/>
    <w:qFormat/>
    <w:uiPriority w:val="99"/>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FollowedHyperlink"/>
    <w:basedOn w:val="23"/>
    <w:semiHidden/>
    <w:unhideWhenUsed/>
    <w:qFormat/>
    <w:uiPriority w:val="99"/>
    <w:rPr>
      <w:color w:val="800080" w:themeColor="followedHyperlink"/>
      <w:u w:val="single"/>
      <w14:textFill>
        <w14:solidFill>
          <w14:schemeClr w14:val="folHlink"/>
        </w14:solidFill>
      </w14:textFill>
    </w:rPr>
  </w:style>
  <w:style w:type="character" w:styleId="27">
    <w:name w:val="Emphasis"/>
    <w:basedOn w:val="23"/>
    <w:qFormat/>
    <w:uiPriority w:val="20"/>
    <w:rPr>
      <w:b/>
      <w:bCs/>
    </w:rPr>
  </w:style>
  <w:style w:type="character" w:styleId="28">
    <w:name w:val="HTML Definition"/>
    <w:basedOn w:val="23"/>
    <w:semiHidden/>
    <w:unhideWhenUsed/>
    <w:qFormat/>
    <w:uiPriority w:val="99"/>
  </w:style>
  <w:style w:type="character" w:styleId="29">
    <w:name w:val="HTML Typewriter"/>
    <w:basedOn w:val="23"/>
    <w:semiHidden/>
    <w:unhideWhenUsed/>
    <w:qFormat/>
    <w:uiPriority w:val="99"/>
    <w:rPr>
      <w:rFonts w:hint="default" w:ascii="monospace" w:hAnsi="monospace" w:eastAsia="monospace" w:cs="monospace"/>
      <w:vanish/>
      <w:sz w:val="20"/>
    </w:rPr>
  </w:style>
  <w:style w:type="character" w:styleId="30">
    <w:name w:val="HTML Acronym"/>
    <w:basedOn w:val="23"/>
    <w:semiHidden/>
    <w:unhideWhenUsed/>
    <w:qFormat/>
    <w:uiPriority w:val="99"/>
  </w:style>
  <w:style w:type="character" w:styleId="31">
    <w:name w:val="HTML Variable"/>
    <w:basedOn w:val="23"/>
    <w:semiHidden/>
    <w:unhideWhenUsed/>
    <w:qFormat/>
    <w:uiPriority w:val="99"/>
  </w:style>
  <w:style w:type="character" w:styleId="32">
    <w:name w:val="Hyperlink"/>
    <w:basedOn w:val="23"/>
    <w:unhideWhenUsed/>
    <w:qFormat/>
    <w:uiPriority w:val="99"/>
    <w:rPr>
      <w:color w:val="0000FF" w:themeColor="hyperlink"/>
      <w:u w:val="single"/>
      <w14:textFill>
        <w14:solidFill>
          <w14:schemeClr w14:val="hlink"/>
        </w14:solidFill>
      </w14:textFill>
    </w:rPr>
  </w:style>
  <w:style w:type="character" w:styleId="33">
    <w:name w:val="HTML Code"/>
    <w:basedOn w:val="23"/>
    <w:semiHidden/>
    <w:unhideWhenUsed/>
    <w:qFormat/>
    <w:uiPriority w:val="99"/>
    <w:rPr>
      <w:rFonts w:ascii="monospace" w:hAnsi="monospace" w:eastAsia="monospace" w:cs="monospace"/>
      <w:sz w:val="20"/>
    </w:rPr>
  </w:style>
  <w:style w:type="character" w:styleId="34">
    <w:name w:val="annotation reference"/>
    <w:basedOn w:val="23"/>
    <w:semiHidden/>
    <w:unhideWhenUsed/>
    <w:qFormat/>
    <w:uiPriority w:val="99"/>
    <w:rPr>
      <w:sz w:val="21"/>
      <w:szCs w:val="21"/>
    </w:rPr>
  </w:style>
  <w:style w:type="character" w:styleId="35">
    <w:name w:val="HTML Cite"/>
    <w:basedOn w:val="23"/>
    <w:semiHidden/>
    <w:unhideWhenUsed/>
    <w:qFormat/>
    <w:uiPriority w:val="99"/>
  </w:style>
  <w:style w:type="character" w:styleId="36">
    <w:name w:val="HTML Keyboard"/>
    <w:basedOn w:val="23"/>
    <w:semiHidden/>
    <w:unhideWhenUsed/>
    <w:qFormat/>
    <w:uiPriority w:val="99"/>
    <w:rPr>
      <w:rFonts w:hint="default" w:ascii="monospace" w:hAnsi="monospace" w:eastAsia="monospace" w:cs="monospace"/>
      <w:sz w:val="20"/>
    </w:rPr>
  </w:style>
  <w:style w:type="character" w:styleId="37">
    <w:name w:val="HTML Sample"/>
    <w:basedOn w:val="23"/>
    <w:semiHidden/>
    <w:unhideWhenUsed/>
    <w:qFormat/>
    <w:uiPriority w:val="99"/>
    <w:rPr>
      <w:rFonts w:hint="default" w:ascii="monospace" w:hAnsi="monospace" w:eastAsia="monospace" w:cs="monospace"/>
    </w:rPr>
  </w:style>
  <w:style w:type="paragraph" w:customStyle="1" w:styleId="38">
    <w:name w:val="正文+缩进"/>
    <w:basedOn w:val="1"/>
    <w:qFormat/>
    <w:uiPriority w:val="0"/>
    <w:pPr>
      <w:wordWrap w:val="0"/>
      <w:spacing w:line="360" w:lineRule="auto"/>
      <w:ind w:firstLine="482"/>
    </w:pPr>
    <w:rPr>
      <w:rFonts w:ascii="宋体" w:hAnsi="宋体" w:eastAsia="宋体"/>
      <w:color w:val="000000" w:themeColor="text1"/>
      <w:sz w:val="24"/>
      <w14:textFill>
        <w14:solidFill>
          <w14:schemeClr w14:val="tx1"/>
        </w14:solidFill>
      </w14:textFill>
    </w:rPr>
  </w:style>
  <w:style w:type="paragraph" w:styleId="39">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0">
    <w:name w:val="页眉 Char"/>
    <w:basedOn w:val="23"/>
    <w:link w:val="16"/>
    <w:semiHidden/>
    <w:qFormat/>
    <w:uiPriority w:val="99"/>
    <w:rPr>
      <w:sz w:val="18"/>
      <w:szCs w:val="18"/>
    </w:rPr>
  </w:style>
  <w:style w:type="character" w:customStyle="1" w:styleId="41">
    <w:name w:val="页脚 Char"/>
    <w:basedOn w:val="23"/>
    <w:link w:val="15"/>
    <w:qFormat/>
    <w:uiPriority w:val="99"/>
    <w:rPr>
      <w:sz w:val="18"/>
      <w:szCs w:val="18"/>
    </w:rPr>
  </w:style>
  <w:style w:type="character" w:customStyle="1" w:styleId="42">
    <w:name w:val="批注框文本 Char"/>
    <w:basedOn w:val="23"/>
    <w:link w:val="14"/>
    <w:semiHidden/>
    <w:qFormat/>
    <w:uiPriority w:val="99"/>
    <w:rPr>
      <w:sz w:val="18"/>
      <w:szCs w:val="18"/>
    </w:rPr>
  </w:style>
  <w:style w:type="character" w:customStyle="1" w:styleId="43">
    <w:name w:val="普通(网站) Char"/>
    <w:link w:val="18"/>
    <w:qFormat/>
    <w:uiPriority w:val="99"/>
    <w:rPr>
      <w:rFonts w:ascii="宋体" w:hAnsi="宋体"/>
      <w:sz w:val="24"/>
      <w:szCs w:val="24"/>
    </w:rPr>
  </w:style>
  <w:style w:type="character" w:customStyle="1" w:styleId="44">
    <w:name w:val="标题 1 Char"/>
    <w:basedOn w:val="23"/>
    <w:link w:val="3"/>
    <w:qFormat/>
    <w:uiPriority w:val="0"/>
    <w:rPr>
      <w:rFonts w:ascii="Arial" w:hAnsi="Arial" w:eastAsia="宋体" w:cs="Times New Roman"/>
      <w:b/>
      <w:bCs/>
      <w:kern w:val="44"/>
      <w:sz w:val="44"/>
      <w:szCs w:val="44"/>
    </w:rPr>
  </w:style>
  <w:style w:type="paragraph" w:styleId="45">
    <w:name w:val="List Paragraph"/>
    <w:basedOn w:val="1"/>
    <w:qFormat/>
    <w:uiPriority w:val="34"/>
    <w:pPr>
      <w:ind w:firstLine="420" w:firstLineChars="200"/>
    </w:pPr>
  </w:style>
  <w:style w:type="character" w:customStyle="1" w:styleId="46">
    <w:name w:val="文档结构图 Char"/>
    <w:basedOn w:val="23"/>
    <w:link w:val="9"/>
    <w:semiHidden/>
    <w:qFormat/>
    <w:uiPriority w:val="99"/>
    <w:rPr>
      <w:rFonts w:ascii="宋体" w:eastAsia="宋体"/>
      <w:sz w:val="18"/>
      <w:szCs w:val="18"/>
    </w:rPr>
  </w:style>
  <w:style w:type="character" w:customStyle="1" w:styleId="47">
    <w:name w:val="标题 2 Char"/>
    <w:basedOn w:val="23"/>
    <w:link w:val="4"/>
    <w:semiHidden/>
    <w:qFormat/>
    <w:uiPriority w:val="9"/>
    <w:rPr>
      <w:rFonts w:asciiTheme="majorHAnsi" w:hAnsiTheme="majorHAnsi" w:eastAsiaTheme="majorEastAsia" w:cstheme="majorBidi"/>
      <w:b/>
      <w:bCs/>
      <w:sz w:val="32"/>
      <w:szCs w:val="32"/>
    </w:rPr>
  </w:style>
  <w:style w:type="character" w:customStyle="1" w:styleId="48">
    <w:name w:val="批注文字 Char"/>
    <w:basedOn w:val="23"/>
    <w:link w:val="10"/>
    <w:semiHidden/>
    <w:qFormat/>
    <w:uiPriority w:val="99"/>
  </w:style>
  <w:style w:type="character" w:customStyle="1" w:styleId="49">
    <w:name w:val="标题 3 Char"/>
    <w:qFormat/>
    <w:uiPriority w:val="0"/>
    <w:rPr>
      <w:rFonts w:ascii="黑体" w:eastAsia="黑体"/>
      <w:bCs/>
      <w:sz w:val="30"/>
    </w:rPr>
  </w:style>
  <w:style w:type="character" w:customStyle="1" w:styleId="50">
    <w:name w:val="批注主题 Char"/>
    <w:basedOn w:val="48"/>
    <w:link w:val="20"/>
    <w:semiHidden/>
    <w:qFormat/>
    <w:uiPriority w:val="99"/>
    <w:rPr>
      <w:b/>
      <w:bCs/>
      <w:kern w:val="2"/>
      <w:sz w:val="21"/>
      <w:szCs w:val="22"/>
    </w:rPr>
  </w:style>
  <w:style w:type="table" w:customStyle="1" w:styleId="51">
    <w:name w:val="网格型1"/>
    <w:basedOn w:val="21"/>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2">
    <w:name w:val="hover"/>
    <w:basedOn w:val="23"/>
    <w:qFormat/>
    <w:uiPriority w:val="0"/>
    <w:rPr>
      <w:color w:val="2590EB"/>
    </w:rPr>
  </w:style>
  <w:style w:type="character" w:customStyle="1" w:styleId="53">
    <w:name w:val="hover1"/>
    <w:basedOn w:val="23"/>
    <w:qFormat/>
    <w:uiPriority w:val="0"/>
    <w:rPr>
      <w:color w:val="2590EB"/>
      <w:shd w:val="clear" w:fill="E9F4FD"/>
    </w:rPr>
  </w:style>
  <w:style w:type="character" w:customStyle="1" w:styleId="54">
    <w:name w:val="hover2"/>
    <w:basedOn w:val="23"/>
    <w:qFormat/>
    <w:uiPriority w:val="0"/>
    <w:rPr>
      <w:color w:val="2590EB"/>
    </w:rPr>
  </w:style>
  <w:style w:type="character" w:customStyle="1" w:styleId="55">
    <w:name w:val="hover3"/>
    <w:basedOn w:val="23"/>
    <w:qFormat/>
    <w:uiPriority w:val="0"/>
  </w:style>
  <w:style w:type="paragraph" w:styleId="5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7">
    <w:name w:val="Table Paragraph"/>
    <w:basedOn w:val="1"/>
    <w:qFormat/>
    <w:uiPriority w:val="1"/>
    <w:rPr>
      <w:rFonts w:ascii="仿宋" w:hAnsi="仿宋" w:eastAsia="仿宋" w:cs="仿宋"/>
      <w:lang w:val="zh-CN" w:bidi="zh-CN"/>
    </w:rPr>
  </w:style>
  <w:style w:type="paragraph" w:customStyle="1" w:styleId="58">
    <w:name w:val="文档正文"/>
    <w:basedOn w:val="1"/>
    <w:qFormat/>
    <w:uiPriority w:val="0"/>
    <w:pPr>
      <w:spacing w:line="360" w:lineRule="auto"/>
    </w:pPr>
    <w:rPr>
      <w:bCs/>
    </w:rPr>
  </w:style>
  <w:style w:type="paragraph" w:customStyle="1" w:styleId="59">
    <w:name w:val="*正文"/>
    <w:basedOn w:val="1"/>
    <w:qFormat/>
    <w:uiPriority w:val="0"/>
    <w:pPr>
      <w:spacing w:line="360" w:lineRule="auto"/>
      <w:ind w:firstLine="200" w:firstLineChars="200"/>
    </w:pPr>
    <w:rPr>
      <w:rFonts w:ascii="仿宋_GB2312" w:hAnsi="Calibri"/>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1304</Words>
  <Characters>1304</Characters>
  <Lines>316</Lines>
  <Paragraphs>89</Paragraphs>
  <TotalTime>1</TotalTime>
  <ScaleCrop>false</ScaleCrop>
  <LinksUpToDate>false</LinksUpToDate>
  <CharactersWithSpaces>1307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2021-03-03T00:56:00Z</dcterms:created>
  <dc:creator>win7-1</dc:creator>
  <cp:lastModifiedBy>DELL</cp:lastModifiedBy>
  <cp:lastPrinted>2021-01-15T01:17:00Z</cp:lastPrinted>
  <dcterms:modified xsi:type="dcterms:W3CDTF">2025-10-09T03:34:38Z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12202D175F384E97B6BE66AA27580BA9_13</vt:lpwstr>
  </property>
  <property fmtid="{D5CDD505-2E9C-101B-9397-08002B2CF9AE}" pid="4" name="KSOTemplateDocerSaveRecord">
    <vt:lpwstr>eyJoZGlkIjoiNzkwNjY2NjcxZDBhNTdkNjlmNDI4MmI2M2FkYmM3YmYiLCJ1c2VySWQiOiIyMTQzMDMyMTEifQ==</vt:lpwstr>
  </property>
</Properties>
</file>