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hint="eastAsia" w:ascii="宋体" w:hAnsi="宋体"/>
          <w:color w:val="FF0000"/>
          <w:szCs w:val="21"/>
        </w:rPr>
      </w:pPr>
      <w:r>
        <w:rPr>
          <w:rFonts w:hint="eastAsia" w:ascii="宋体" w:hAnsi="宋体" w:eastAsia="黑体"/>
          <w:b/>
          <w:bCs/>
          <w:color w:val="FF0000"/>
          <w:kern w:val="44"/>
          <w:sz w:val="28"/>
          <w:szCs w:val="44"/>
        </w:rPr>
        <w:t>特别警示条款</w:t>
      </w:r>
    </w:p>
    <w:p>
      <w:pPr>
        <w:pBdr>
          <w:top w:val="none" w:color="auto" w:sz="0" w:space="1"/>
          <w:left w:val="none" w:color="auto" w:sz="0" w:space="4"/>
          <w:bottom w:val="none" w:color="auto" w:sz="0" w:space="1"/>
          <w:right w:val="none" w:color="auto" w:sz="0" w:space="4"/>
        </w:pBdr>
        <w:spacing w:after="240" w:afterLines="100" w:line="400" w:lineRule="exact"/>
        <w:ind w:firstLine="422" w:firstLineChars="200"/>
        <w:rPr>
          <w:rFonts w:hint="eastAsia" w:ascii="宋体" w:hAnsi="宋体" w:eastAsia="宋体" w:cs="宋体"/>
          <w:b/>
          <w:bCs/>
          <w:color w:val="FF0000"/>
          <w:szCs w:val="21"/>
          <w:highlight w:val="yellow"/>
        </w:rPr>
      </w:pPr>
      <w:r>
        <w:rPr>
          <w:rFonts w:hint="eastAsia" w:ascii="宋体" w:hAnsi="宋体" w:eastAsia="宋体" w:cs="宋体"/>
          <w:b/>
          <w:bCs/>
          <w:color w:val="FF0000"/>
          <w:szCs w:val="21"/>
          <w:highlight w:val="yellow"/>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序号</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b/>
                <w:bCs/>
                <w:color w:val="FF0000"/>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1</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与其他投标供应商的法定代表人、主要经营负责人、投标授权代表人、项目负责人、主要技术人员为</w:t>
            </w:r>
            <w:r>
              <w:rPr>
                <w:rFonts w:hint="eastAsia" w:ascii="宋体" w:hAnsi="宋体" w:eastAsia="宋体" w:cs="宋体"/>
                <w:b/>
                <w:bCs/>
                <w:color w:val="FF0000"/>
                <w:szCs w:val="21"/>
              </w:rPr>
              <w:t>同一人、属同一单位或者在同一单位缴纳社会保险</w:t>
            </w:r>
            <w:r>
              <w:rPr>
                <w:rFonts w:hint="eastAsia" w:ascii="宋体" w:hAnsi="宋体" w:eastAsia="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2</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参与本项目政府采购活动时，与其他投标供应商存在单位负责人为</w:t>
            </w:r>
            <w:r>
              <w:rPr>
                <w:rFonts w:hint="eastAsia" w:ascii="宋体" w:hAnsi="宋体" w:eastAsia="宋体" w:cs="宋体"/>
                <w:b/>
                <w:bCs/>
                <w:color w:val="FF0000"/>
                <w:szCs w:val="21"/>
              </w:rPr>
              <w:t>同一人或直接控股、管理关系</w:t>
            </w:r>
            <w:r>
              <w:rPr>
                <w:rFonts w:hint="eastAsia" w:ascii="宋体" w:hAnsi="宋体" w:eastAsia="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3</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与其他投标供应商的投标文件或部分投标文件</w:t>
            </w:r>
            <w:r>
              <w:rPr>
                <w:rFonts w:hint="eastAsia" w:ascii="宋体" w:hAnsi="宋体" w:eastAsia="宋体" w:cs="宋体"/>
                <w:b/>
                <w:bCs/>
                <w:color w:val="FF0000"/>
                <w:szCs w:val="21"/>
              </w:rPr>
              <w:t>相互混装或存在非正常一致</w:t>
            </w:r>
            <w:r>
              <w:rPr>
                <w:rFonts w:hint="eastAsia" w:ascii="宋体" w:hAnsi="宋体" w:eastAsia="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4</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与其他投标供应商的投标文件由</w:t>
            </w:r>
            <w:r>
              <w:rPr>
                <w:rFonts w:hint="eastAsia" w:ascii="宋体" w:hAnsi="宋体" w:eastAsia="宋体" w:cs="宋体"/>
                <w:b/>
                <w:bCs/>
                <w:color w:val="FF0000"/>
                <w:szCs w:val="21"/>
              </w:rPr>
              <w:t>同一单位或者同一人编制</w:t>
            </w:r>
            <w:r>
              <w:rPr>
                <w:rFonts w:hint="eastAsia" w:ascii="宋体" w:hAnsi="宋体" w:eastAsia="宋体" w:cs="宋体"/>
                <w:color w:val="FF0000"/>
                <w:szCs w:val="21"/>
              </w:rPr>
              <w:t>，或者使用</w:t>
            </w:r>
            <w:r>
              <w:rPr>
                <w:rFonts w:hint="eastAsia" w:ascii="宋体" w:hAnsi="宋体" w:eastAsia="宋体" w:cs="宋体"/>
                <w:b/>
                <w:bCs/>
                <w:color w:val="FF0000"/>
                <w:szCs w:val="21"/>
              </w:rPr>
              <w:t>同一设备编制</w:t>
            </w:r>
            <w:r>
              <w:rPr>
                <w:rFonts w:hint="eastAsia" w:ascii="宋体" w:hAnsi="宋体" w:eastAsia="宋体" w:cs="宋体"/>
                <w:color w:val="FF0000"/>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5</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提供</w:t>
            </w:r>
            <w:r>
              <w:rPr>
                <w:rFonts w:hint="eastAsia" w:ascii="宋体" w:hAnsi="宋体" w:eastAsia="宋体" w:cs="宋体"/>
                <w:b/>
                <w:bCs/>
                <w:color w:val="FF0000"/>
                <w:szCs w:val="21"/>
              </w:rPr>
              <w:t>未经出具机构核实</w:t>
            </w:r>
            <w:r>
              <w:rPr>
                <w:rFonts w:hint="eastAsia" w:ascii="宋体" w:hAnsi="宋体" w:eastAsia="宋体" w:cs="宋体"/>
                <w:color w:val="FF0000"/>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6</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擅自将投标密钥或电子营业执照出借他人使用或未妥善保管。</w:t>
            </w:r>
          </w:p>
        </w:tc>
      </w:tr>
    </w:tbl>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（一）在采购活动中应当回避而未回避的；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（二）未按本条例规定签订、履行采购合同，造成严重后果的；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（三）隐瞒真实情况，提供虚假资料的；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（四）以非法手段排斥其他供应商参与竞争的；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（五）与其他采购参加人串通投标的；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（六）恶意投诉的；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（七）向采购项目相关人行贿或者提供其他不当利益的；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（八）阻碍、抗拒主管部门监督检查的；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（九）其他违反本条例规定的行为。</w:t>
      </w:r>
    </w:p>
    <w:p>
      <w:pPr>
        <w:pBdr>
          <w:top w:val="none" w:color="auto" w:sz="0" w:space="1"/>
          <w:left w:val="none" w:color="auto" w:sz="0" w:space="4"/>
          <w:bottom w:val="none" w:color="auto" w:sz="0" w:space="1"/>
          <w:right w:val="none" w:color="auto" w:sz="0" w:space="4"/>
        </w:pBdr>
        <w:ind w:firstLine="402" w:firstLineChars="200"/>
        <w:rPr>
          <w:rFonts w:hint="eastAsia"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pBdr>
          <w:top w:val="none" w:color="auto" w:sz="0" w:space="1"/>
          <w:left w:val="none" w:color="auto" w:sz="0" w:space="4"/>
          <w:bottom w:val="none" w:color="auto" w:sz="0" w:space="1"/>
          <w:right w:val="none" w:color="auto" w:sz="0" w:space="4"/>
        </w:pBdr>
        <w:ind w:firstLine="402" w:firstLineChars="200"/>
        <w:rPr>
          <w:rFonts w:hint="eastAsia"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四</w:t>
      </w:r>
      <w:r>
        <w:rPr>
          <w:rFonts w:hint="eastAsia" w:ascii="Times New Roman" w:eastAsia="宋体"/>
          <w:bCs/>
          <w:color w:val="FF0000"/>
          <w:sz w:val="20"/>
          <w:szCs w:val="20"/>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ascii="Times New Roman" w:eastAsia="宋体"/>
          <w:bCs/>
          <w:color w:val="FF0000"/>
          <w:sz w:val="20"/>
          <w:szCs w:val="20"/>
        </w:rPr>
        <w:t>为避免出现不同供应商投标文件的文件制作机器码、文件创建标识码、IP地址一致的异常情况，建议各供应商编制、上传投标文件时不要使用公共电脑设备或公共网络。</w:t>
      </w:r>
    </w:p>
    <w:p>
      <w:pPr>
        <w:pBdr>
          <w:top w:val="none" w:color="auto" w:sz="0" w:space="1"/>
          <w:left w:val="none" w:color="auto" w:sz="0" w:space="4"/>
          <w:bottom w:val="none" w:color="auto" w:sz="0" w:space="1"/>
          <w:right w:val="none" w:color="auto" w:sz="0" w:space="4"/>
        </w:pBdr>
        <w:ind w:firstLine="400" w:firstLineChars="200"/>
        <w:rPr>
          <w:rFonts w:ascii="Times New Roman" w:eastAsia="宋体"/>
          <w:bCs/>
          <w:color w:val="FF0000"/>
          <w:sz w:val="20"/>
          <w:szCs w:val="20"/>
        </w:rPr>
      </w:pPr>
      <w:r>
        <w:rPr>
          <w:rFonts w:hint="eastAsia" w:ascii="Times New Roman" w:eastAsia="宋体"/>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ascii="Times New Roman" w:eastAsia="宋体"/>
          <w:bCs/>
          <w:color w:val="FF0000"/>
          <w:sz w:val="20"/>
          <w:szCs w:val="20"/>
        </w:rPr>
        <w:t>，请各供应商独立编制、上传投标文件，妥善保管和使用电子秘钥。</w:t>
      </w:r>
    </w:p>
    <w:p>
      <w:pPr>
        <w:pBdr>
          <w:top w:val="none" w:color="auto" w:sz="0" w:space="1"/>
          <w:left w:val="none" w:color="auto" w:sz="0" w:space="4"/>
          <w:bottom w:val="none" w:color="auto" w:sz="0" w:space="1"/>
          <w:right w:val="none" w:color="auto" w:sz="0" w:space="4"/>
        </w:pBdr>
        <w:ind w:firstLine="422" w:firstLineChars="200"/>
      </w:pPr>
      <w:r>
        <w:rPr>
          <w:rFonts w:hint="eastAsia" w:ascii="Times New Roman" w:eastAsia="宋体"/>
          <w:b/>
          <w:color w:val="FF0000"/>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51"/>
        <w:pBdr>
          <w:top w:val="none" w:color="auto" w:sz="0" w:space="1"/>
          <w:left w:val="none" w:color="auto" w:sz="0" w:space="4"/>
          <w:bottom w:val="none" w:color="auto" w:sz="0" w:space="1"/>
          <w:right w:val="none" w:color="auto" w:sz="0" w:space="4"/>
        </w:pBdr>
        <w:rPr>
          <w:bCs/>
          <w:color w:val="FF0000"/>
          <w:sz w:val="20"/>
          <w:szCs w:val="20"/>
        </w:rPr>
      </w:pPr>
    </w:p>
    <w:p>
      <w:pPr>
        <w:pStyle w:val="16"/>
        <w:pBdr>
          <w:top w:val="none" w:color="auto" w:sz="0" w:space="1"/>
          <w:left w:val="none" w:color="auto" w:sz="0" w:space="4"/>
          <w:bottom w:val="none" w:color="auto" w:sz="0" w:space="1"/>
          <w:right w:val="none" w:color="auto" w:sz="0" w:space="4"/>
        </w:pBdr>
        <w:jc w:val="both"/>
        <w:outlineLvl w:val="1"/>
        <w:rPr>
          <w:rFonts w:hint="eastAsia" w:ascii="黑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sz w:val="21"/>
        </w:rPr>
        <w:t>注：“特别警示条款”和《政府采购违法行为风险知悉确认书》用于对供应商违法行为的提醒，不作为供应商资格性审查及符合性审查条件。</w:t>
      </w:r>
    </w:p>
    <w:p>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9"/>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pPr>
              <w:spacing w:line="290" w:lineRule="exact"/>
              <w:jc w:val="center"/>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 xml:space="preserve"> LHAZXCG-2025-00119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pPr>
              <w:spacing w:line="290" w:lineRule="exact"/>
              <w:jc w:val="center"/>
              <w:rPr>
                <w:rFonts w:hint="eastAsia" w:ascii="宋体" w:hAnsi="宋体" w:eastAsia="宋体" w:cs="Times New Roman"/>
                <w:sz w:val="28"/>
                <w:szCs w:val="28"/>
              </w:rPr>
            </w:pPr>
            <w:r>
              <w:rPr>
                <w:rFonts w:hint="eastAsia" w:ascii="宋体" w:hAnsi="宋体" w:eastAsia="宋体" w:cs="Times New Roman"/>
                <w:sz w:val="28"/>
                <w:szCs w:val="28"/>
              </w:rPr>
              <w:t>深圳市龙华外国语高级中学校乐器设备采购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pPr>
              <w:spacing w:line="290" w:lineRule="exact"/>
              <w:jc w:val="center"/>
              <w:rPr>
                <w:rFonts w:hint="eastAsia"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综合评分法</w:t>
            </w:r>
          </w:p>
        </w:tc>
      </w:tr>
    </w:tbl>
    <w:p>
      <w:pPr>
        <w:tabs>
          <w:tab w:val="left" w:pos="2790"/>
        </w:tabs>
        <w:snapToGrid w:val="0"/>
        <w:spacing w:line="440" w:lineRule="exact"/>
        <w:jc w:val="left"/>
        <w:rPr>
          <w:rFonts w:hint="eastAsia" w:asciiTheme="minorEastAsia" w:hAnsiTheme="minorEastAsia"/>
          <w:sz w:val="30"/>
          <w:szCs w:val="3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9"/>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tabs>
          <w:tab w:val="left" w:pos="2790"/>
        </w:tabs>
        <w:snapToGrid w:val="0"/>
        <w:jc w:val="center"/>
        <w:rPr>
          <w:rFonts w:hint="eastAsia" w:ascii="黑体" w:hAnsi="黑体" w:eastAsia="黑体" w:cs="Times New Roman"/>
          <w:sz w:val="40"/>
          <w:szCs w:val="4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9"/>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tcPr>
          <w:p>
            <w:r>
              <w:rPr>
                <w:rFonts w:hint="eastAsia"/>
              </w:rPr>
              <w:t>采购标的/服务</w:t>
            </w:r>
            <w:r>
              <w:rPr>
                <w:rFonts w:hint="eastAsia" w:ascii="Times New Roman" w:eastAsia="宋体"/>
              </w:rPr>
              <w:t>清单</w:t>
            </w:r>
            <w:r>
              <w:rPr>
                <w:rFonts w:hint="eastAsia"/>
              </w:rPr>
              <w:t>/报价等任意一类</w:t>
            </w:r>
            <w:r>
              <w:rPr>
                <w:rFonts w:hint="eastAsia" w:ascii="Times New Roman" w:eastAsia="宋体"/>
              </w:rPr>
              <w:t>有缺漏项或响应不全</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szCs w:val="24"/>
              </w:rPr>
            </w:pPr>
            <w:r>
              <w:rPr>
                <w:rFonts w:hint="eastAsia" w:ascii="Times New Roman" w:hAnsi="Times New Roman" w:eastAsia="宋体" w:cs="Times New Roman"/>
                <w:szCs w:val="24"/>
              </w:rPr>
              <w:t>不同投标供应商投标文件“文件制作机器码”一致；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szCs w:val="24"/>
              </w:rPr>
            </w:pPr>
            <w:r>
              <w:rPr>
                <w:rFonts w:hint="eastAsia" w:ascii="Times New Roman" w:hAnsi="Times New Roman" w:eastAsia="宋体" w:cs="Times New Roman"/>
                <w:szCs w:val="24"/>
              </w:rPr>
              <w:t>不同投标供应商投标文件“文件创建标识码”一致；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法律、法规、规章、规范性文件规定的其他情形。</w:t>
            </w:r>
          </w:p>
        </w:tc>
      </w:tr>
    </w:tbl>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pStyle w:val="16"/>
        <w:jc w:val="center"/>
        <w:outlineLvl w:val="0"/>
        <w:rPr>
          <w:rFonts w:hint="eastAsia" w:ascii="黑体" w:eastAsia="黑体"/>
          <w:sz w:val="40"/>
          <w:szCs w:val="40"/>
        </w:rPr>
      </w:pPr>
      <w:r>
        <w:rPr>
          <w:rFonts w:hint="eastAsia" w:ascii="黑体" w:hAnsi="黑体" w:eastAsia="黑体"/>
          <w:sz w:val="40"/>
          <w:szCs w:val="40"/>
        </w:rPr>
        <w:t>评标信息</w:t>
      </w:r>
    </w:p>
    <w:tbl>
      <w:tblPr>
        <w:tblStyle w:val="19"/>
        <w:tblW w:w="9224"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3"/>
        <w:gridCol w:w="353"/>
        <w:gridCol w:w="485"/>
        <w:gridCol w:w="1473"/>
        <w:gridCol w:w="979"/>
        <w:gridCol w:w="5768"/>
        <w:gridCol w:w="8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141" w:type="dxa"/>
            <w:gridSpan w:val="6"/>
            <w:shd w:val="clear" w:color="auto" w:fill="auto"/>
            <w:vAlign w:val="center"/>
          </w:tcPr>
          <w:p>
            <w:pPr>
              <w:jc w:val="left"/>
              <w:rPr>
                <w:rFonts w:ascii="宋体"/>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141" w:type="dxa"/>
            <w:gridSpan w:val="6"/>
            <w:shd w:val="clear" w:color="auto" w:fill="auto"/>
            <w:vAlign w:val="center"/>
          </w:tcPr>
          <w:p>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pPr>
              <w:ind w:firstLine="420"/>
            </w:pPr>
          </w:p>
          <w:p>
            <w:pPr>
              <w:ind w:firstLine="420"/>
              <w:rPr>
                <w:szCs w:val="21"/>
              </w:rPr>
            </w:pPr>
            <w:r>
              <w:rPr>
                <w:szCs w:val="21"/>
              </w:rPr>
              <w:t>价格分计算方法：</w:t>
            </w:r>
          </w:p>
          <w:p>
            <w:pPr>
              <w:pStyle w:val="16"/>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pPr>
              <w:pStyle w:val="16"/>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序号</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评分项</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1</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价格</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2</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技术部分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rPr>
              <w:t>52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ascii="宋体" w:hAnsi="宋体" w:cs="宋体"/>
                <w:szCs w:val="21"/>
              </w:rPr>
            </w:pPr>
            <w:r>
              <w:rPr>
                <w:rFonts w:ascii="宋体" w:hAnsi="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实施方案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rPr>
            </w:pPr>
            <w:r>
              <w:rPr>
                <w:rFonts w:hint="eastAsia" w:asciiTheme="minorEastAsia" w:hAnsiTheme="minorEastAsia" w:cstheme="minorEastAsia"/>
                <w:color w:val="auto"/>
                <w:sz w:val="21"/>
                <w:szCs w:val="21"/>
                <w:lang w:val="en-US" w:eastAsia="zh-CN"/>
              </w:rPr>
              <w:t>10</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考察内容：</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投标人提供的</w:t>
            </w:r>
            <w:r>
              <w:rPr>
                <w:rFonts w:hint="eastAsia" w:asciiTheme="minorEastAsia" w:hAnsiTheme="minorEastAsia" w:cstheme="minorEastAsia"/>
                <w:color w:val="auto"/>
                <w:kern w:val="0"/>
                <w:szCs w:val="21"/>
                <w:lang w:val="en-US" w:eastAsia="zh-CN"/>
              </w:rPr>
              <w:t>实施</w:t>
            </w:r>
            <w:r>
              <w:rPr>
                <w:rFonts w:hint="eastAsia" w:asciiTheme="minorEastAsia" w:hAnsiTheme="minorEastAsia" w:eastAsiaTheme="minorEastAsia" w:cstheme="minorEastAsia"/>
                <w:color w:val="auto"/>
                <w:kern w:val="0"/>
                <w:szCs w:val="21"/>
              </w:rPr>
              <w:t>方案</w:t>
            </w:r>
            <w:r>
              <w:rPr>
                <w:rFonts w:hint="eastAsia" w:asciiTheme="minorEastAsia" w:hAnsiTheme="minorEastAsia" w:eastAsiaTheme="minorEastAsia" w:cstheme="minorEastAsia"/>
                <w:b w:val="0"/>
                <w:bCs w:val="0"/>
                <w:color w:val="auto"/>
                <w:szCs w:val="21"/>
              </w:rPr>
              <w:t>方案中包括：</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1.供货进度安排；</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2.安装调试方案；</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3.质量控制措施；</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4.安全保障措施；</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5.管理团队情况。</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评审标准：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 xml:space="preserve">评审委员会根据招标文件的需求和投标文件的响应情况，进行评价及分档评分： </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1、满足5点得</w:t>
            </w:r>
            <w:r>
              <w:rPr>
                <w:rFonts w:hint="eastAsia" w:asciiTheme="minorEastAsia" w:hAnsiTheme="minorEastAsia" w:eastAsiaTheme="minorEastAsia" w:cstheme="minorEastAsia"/>
                <w:b w:val="0"/>
                <w:bCs w:val="0"/>
                <w:color w:val="auto"/>
                <w:szCs w:val="21"/>
                <w:lang w:val="en-US" w:eastAsia="zh-CN"/>
              </w:rPr>
              <w:t>50</w:t>
            </w:r>
            <w:r>
              <w:rPr>
                <w:rFonts w:hint="eastAsia" w:asciiTheme="minorEastAsia" w:hAnsiTheme="minorEastAsia" w:eastAsiaTheme="minorEastAsia" w:cstheme="minorEastAsia"/>
                <w:b w:val="0"/>
                <w:bCs w:val="0"/>
                <w:color w:val="auto"/>
                <w:szCs w:val="21"/>
              </w:rPr>
              <w:t>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2、满足任意4点得</w:t>
            </w:r>
            <w:r>
              <w:rPr>
                <w:rFonts w:hint="eastAsia" w:asciiTheme="minorEastAsia" w:hAnsiTheme="minorEastAsia" w:eastAsiaTheme="minorEastAsia" w:cstheme="minorEastAsia"/>
                <w:b w:val="0"/>
                <w:bCs w:val="0"/>
                <w:color w:val="auto"/>
                <w:szCs w:val="21"/>
                <w:lang w:val="en-US" w:eastAsia="zh-CN"/>
              </w:rPr>
              <w:t>25</w:t>
            </w:r>
            <w:r>
              <w:rPr>
                <w:rFonts w:hint="eastAsia" w:asciiTheme="minorEastAsia" w:hAnsiTheme="minorEastAsia" w:eastAsiaTheme="minorEastAsia" w:cstheme="minorEastAsia"/>
                <w:b w:val="0"/>
                <w:bCs w:val="0"/>
                <w:color w:val="auto"/>
                <w:szCs w:val="21"/>
              </w:rPr>
              <w:t>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3、满足任意3点得</w:t>
            </w:r>
            <w:r>
              <w:rPr>
                <w:rFonts w:hint="eastAsia" w:asciiTheme="minorEastAsia" w:hAnsiTheme="minorEastAsia" w:eastAsiaTheme="minorEastAsia" w:cstheme="minorEastAsia"/>
                <w:b w:val="0"/>
                <w:bCs w:val="0"/>
                <w:color w:val="auto"/>
                <w:szCs w:val="21"/>
                <w:lang w:val="en-US" w:eastAsia="zh-CN"/>
              </w:rPr>
              <w:t>10</w:t>
            </w:r>
            <w:r>
              <w:rPr>
                <w:rFonts w:hint="eastAsia" w:asciiTheme="minorEastAsia" w:hAnsiTheme="minorEastAsia" w:eastAsiaTheme="minorEastAsia" w:cstheme="minorEastAsia"/>
                <w:b w:val="0"/>
                <w:bCs w:val="0"/>
                <w:color w:val="auto"/>
                <w:szCs w:val="21"/>
              </w:rPr>
              <w:t>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4、其他情况不得分。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在此基础上，专家根据各投标人的具体响应内容按照量化的评审因素指标进一步评审：</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（1）评审为优（如项目实施方案完善，工作内容和安排考虑周到，流程合理，可行性高）的加</w:t>
            </w:r>
            <w:r>
              <w:rPr>
                <w:rFonts w:hint="eastAsia" w:asciiTheme="minorEastAsia" w:hAnsiTheme="minorEastAsia" w:eastAsiaTheme="minorEastAsia" w:cstheme="minorEastAsia"/>
                <w:b w:val="0"/>
                <w:bCs w:val="0"/>
                <w:color w:val="auto"/>
                <w:szCs w:val="21"/>
                <w:lang w:val="en-US" w:eastAsia="zh-CN"/>
              </w:rPr>
              <w:t>50</w:t>
            </w:r>
            <w:r>
              <w:rPr>
                <w:rFonts w:hint="eastAsia" w:asciiTheme="minorEastAsia" w:hAnsiTheme="minorEastAsia" w:eastAsiaTheme="minorEastAsia" w:cstheme="minorEastAsia"/>
                <w:b w:val="0"/>
                <w:bCs w:val="0"/>
                <w:color w:val="auto"/>
                <w:szCs w:val="21"/>
              </w:rPr>
              <w:t>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（2）评审为良（如项目实施方案较完善，工作内容和安排考虑较周到，流程较合理，可行性较高）的加</w:t>
            </w:r>
            <w:r>
              <w:rPr>
                <w:rFonts w:hint="eastAsia" w:asciiTheme="minorEastAsia" w:hAnsiTheme="minorEastAsia" w:eastAsiaTheme="minorEastAsia" w:cstheme="minorEastAsia"/>
                <w:b w:val="0"/>
                <w:bCs w:val="0"/>
                <w:color w:val="auto"/>
                <w:szCs w:val="21"/>
                <w:lang w:val="en-US" w:eastAsia="zh-CN"/>
              </w:rPr>
              <w:t>25</w:t>
            </w:r>
            <w:r>
              <w:rPr>
                <w:rFonts w:hint="eastAsia" w:asciiTheme="minorEastAsia" w:hAnsiTheme="minorEastAsia" w:eastAsiaTheme="minorEastAsia" w:cstheme="minorEastAsia"/>
                <w:b w:val="0"/>
                <w:bCs w:val="0"/>
                <w:color w:val="auto"/>
                <w:szCs w:val="21"/>
              </w:rPr>
              <w:t>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b w:val="0"/>
                <w:bCs w:val="0"/>
                <w:color w:val="auto"/>
                <w:szCs w:val="21"/>
              </w:rPr>
              <w:t>（3）评审为中（如项目实施方案一般，工作内容和安排考虑基本周到，流程基本合理，可行性一般）的</w:t>
            </w:r>
            <w:r>
              <w:rPr>
                <w:rFonts w:hint="eastAsia" w:asciiTheme="minorEastAsia" w:hAnsiTheme="minorEastAsia" w:cstheme="minorEastAsia"/>
                <w:b w:val="0"/>
                <w:bCs w:val="0"/>
                <w:color w:val="auto"/>
                <w:szCs w:val="21"/>
                <w:lang w:val="en-US" w:eastAsia="zh-CN"/>
              </w:rPr>
              <w:t>加</w:t>
            </w:r>
            <w:r>
              <w:rPr>
                <w:rFonts w:hint="eastAsia" w:asciiTheme="minorEastAsia" w:hAnsiTheme="minorEastAsia" w:eastAsiaTheme="minorEastAsia" w:cstheme="minorEastAsia"/>
                <w:b w:val="0"/>
                <w:bCs w:val="0"/>
                <w:color w:val="auto"/>
                <w:szCs w:val="21"/>
                <w:lang w:val="en-US" w:eastAsia="zh-CN"/>
              </w:rPr>
              <w:t>10</w:t>
            </w:r>
            <w:r>
              <w:rPr>
                <w:rFonts w:hint="eastAsia" w:asciiTheme="minorEastAsia" w:hAnsiTheme="minorEastAsia" w:eastAsiaTheme="minorEastAsia" w:cstheme="minorEastAsia"/>
                <w:b w:val="0"/>
                <w:bCs w:val="0"/>
                <w:color w:val="auto"/>
                <w:szCs w:val="21"/>
              </w:rPr>
              <w:t>分；</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Cs w:val="21"/>
              </w:rPr>
              <w:t>（4）评审为差（如项目实施方案不完善，工作内容和安排考虑欠周到，流程不合理，可行性差）的不加分。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ascii="宋体" w:hAnsi="宋体"/>
                <w:szCs w:val="21"/>
              </w:rPr>
            </w:pPr>
            <w:r>
              <w:rPr>
                <w:rFonts w:hint="eastAsia" w:ascii="宋体" w:hAnsi="宋体"/>
                <w:szCs w:val="21"/>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kern w:val="0"/>
                <w:sz w:val="21"/>
                <w:szCs w:val="21"/>
              </w:rPr>
              <w:t>技术要求偏离情况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cstheme="minorEastAsia"/>
                <w:color w:val="auto"/>
                <w:sz w:val="21"/>
                <w:szCs w:val="21"/>
                <w:lang w:val="en-US" w:eastAsia="zh-CN"/>
              </w:rPr>
            </w:pPr>
            <w:r>
              <w:rPr>
                <w:rFonts w:hint="eastAsia" w:ascii="宋体" w:hAnsi="宋体" w:cs="宋体"/>
                <w:color w:val="auto"/>
                <w:kern w:val="0"/>
                <w:szCs w:val="21"/>
                <w:lang w:val="en-US" w:eastAsia="zh-CN"/>
              </w:rPr>
              <w:t>27</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考察内容：</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评审委员会根据《技术要求偏离表》（以下简称“偏离表”）响应情况进行打分，全部满足的得</w:t>
            </w:r>
            <w:r>
              <w:rPr>
                <w:rFonts w:hint="eastAsia" w:asciiTheme="minorEastAsia" w:hAnsiTheme="minorEastAsia" w:eastAsiaTheme="minorEastAsia" w:cstheme="minorEastAsia"/>
                <w:color w:val="auto"/>
                <w:szCs w:val="21"/>
                <w:lang w:val="en-US" w:eastAsia="zh-CN"/>
              </w:rPr>
              <w:t>100</w:t>
            </w:r>
            <w:r>
              <w:rPr>
                <w:rFonts w:hint="eastAsia" w:asciiTheme="minorEastAsia" w:hAnsiTheme="minorEastAsia" w:eastAsiaTheme="minorEastAsia" w:cstheme="minorEastAsia"/>
                <w:color w:val="auto"/>
                <w:szCs w:val="21"/>
              </w:rPr>
              <w:t>分，一般参数每负偏离一项扣</w:t>
            </w:r>
            <w:r>
              <w:rPr>
                <w:rFonts w:hint="eastAsia" w:asciiTheme="minorEastAsia" w:hAnsiTheme="minorEastAsia" w:cstheme="minorEastAsia"/>
                <w:color w:val="auto"/>
                <w:szCs w:val="21"/>
                <w:lang w:val="en-US" w:eastAsia="zh-CN"/>
              </w:rPr>
              <w:t>5</w:t>
            </w:r>
            <w:r>
              <w:rPr>
                <w:rFonts w:hint="eastAsia" w:asciiTheme="minorEastAsia" w:hAnsiTheme="minorEastAsia" w:eastAsiaTheme="minorEastAsia" w:cstheme="minorEastAsia"/>
                <w:color w:val="auto"/>
                <w:szCs w:val="21"/>
              </w:rPr>
              <w:t>分，重点技术参数▲项每负偏离一项扣分。扣完为止。</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Cs w:val="21"/>
              </w:rPr>
              <w:t>证明文件：</w:t>
            </w:r>
          </w:p>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val="0"/>
                <w:bCs w:val="0"/>
                <w:color w:val="auto"/>
                <w:szCs w:val="21"/>
              </w:rPr>
            </w:pPr>
            <w:r>
              <w:rPr>
                <w:rFonts w:hint="eastAsia" w:asciiTheme="minorEastAsia" w:hAnsiTheme="minorEastAsia" w:eastAsiaTheme="minorEastAsia" w:cstheme="minorEastAsia"/>
                <w:color w:val="auto"/>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投标人的“技术要求响应情况”“技术要求偏离情况”等必须与客观实际保持一致，响应不实且情节严重的，经查实，将依法记入供应商诚信档案或受到行政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eastAsia" w:ascii="宋体" w:hAnsi="宋体" w:eastAsiaTheme="minorEastAsia"/>
                <w:szCs w:val="21"/>
                <w:lang w:val="en-US" w:eastAsia="zh-CN"/>
              </w:rPr>
            </w:pPr>
            <w:r>
              <w:rPr>
                <w:rFonts w:hint="eastAsia" w:ascii="宋体" w:hAnsi="宋体"/>
                <w:szCs w:val="21"/>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技术培训力量</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6</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napToGrid/>
              <w:spacing w:line="360" w:lineRule="exact"/>
              <w:textAlignment w:val="auto"/>
              <w:rPr>
                <w:rFonts w:hint="default" w:asciiTheme="minorEastAsia" w:hAnsiTheme="minorEastAsia" w:eastAsiaTheme="minorEastAsia" w:cstheme="minorEastAsia"/>
                <w:b w:val="0"/>
                <w:bCs w:val="0"/>
                <w:color w:val="auto"/>
                <w:szCs w:val="21"/>
                <w:lang w:val="en-US" w:eastAsia="zh-CN"/>
              </w:rPr>
            </w:pPr>
            <w:r>
              <w:rPr>
                <w:rFonts w:hint="eastAsia" w:asciiTheme="minorEastAsia" w:hAnsiTheme="minorEastAsia" w:cstheme="minorEastAsia"/>
                <w:b/>
                <w:bCs/>
                <w:color w:val="auto"/>
                <w:szCs w:val="21"/>
                <w:lang w:val="en-US" w:eastAsia="zh-CN"/>
              </w:rPr>
              <w:t>考察内容：</w:t>
            </w:r>
            <w:r>
              <w:rPr>
                <w:rFonts w:hint="eastAsia" w:asciiTheme="minorEastAsia" w:hAnsiTheme="minorEastAsia" w:cstheme="minorEastAsia"/>
                <w:b w:val="0"/>
                <w:bCs w:val="0"/>
                <w:color w:val="auto"/>
                <w:szCs w:val="21"/>
                <w:lang w:val="en-US" w:eastAsia="zh-CN"/>
              </w:rPr>
              <w:br w:type="textWrapping"/>
            </w:r>
            <w:r>
              <w:rPr>
                <w:rFonts w:hint="eastAsia" w:asciiTheme="minorEastAsia" w:hAnsiTheme="minorEastAsia" w:cstheme="minorEastAsia"/>
                <w:b w:val="0"/>
                <w:bCs w:val="0"/>
                <w:color w:val="auto"/>
                <w:szCs w:val="21"/>
                <w:lang w:val="en-US" w:eastAsia="zh-CN"/>
              </w:rPr>
              <w:t>每提供一名音乐类学院本科或以上学历的得50分，最高得100分。</w:t>
            </w:r>
            <w:r>
              <w:rPr>
                <w:rFonts w:hint="eastAsia" w:asciiTheme="minorEastAsia" w:hAnsiTheme="minorEastAsia" w:cstheme="minorEastAsia"/>
                <w:b w:val="0"/>
                <w:bCs w:val="0"/>
                <w:color w:val="auto"/>
                <w:szCs w:val="21"/>
                <w:lang w:val="en-US" w:eastAsia="zh-CN"/>
              </w:rPr>
              <w:br w:type="textWrapping"/>
            </w:r>
            <w:r>
              <w:rPr>
                <w:rFonts w:hint="eastAsia" w:asciiTheme="minorEastAsia" w:hAnsiTheme="minorEastAsia" w:cstheme="minorEastAsia"/>
                <w:b/>
                <w:bCs/>
                <w:color w:val="auto"/>
                <w:szCs w:val="21"/>
                <w:lang w:val="en-US" w:eastAsia="zh-CN"/>
              </w:rPr>
              <w:t>证明文件：</w:t>
            </w:r>
            <w:r>
              <w:rPr>
                <w:rFonts w:hint="eastAsia" w:asciiTheme="minorEastAsia" w:hAnsiTheme="minorEastAsia" w:cstheme="minorEastAsia"/>
                <w:b w:val="0"/>
                <w:bCs w:val="0"/>
                <w:color w:val="auto"/>
                <w:szCs w:val="21"/>
                <w:lang w:val="en-US" w:eastAsia="zh-CN"/>
              </w:rPr>
              <w:br w:type="textWrapping"/>
            </w:r>
            <w:r>
              <w:rPr>
                <w:rFonts w:hint="eastAsia" w:asciiTheme="minorEastAsia" w:hAnsiTheme="minorEastAsia" w:cstheme="minorEastAsia"/>
                <w:b w:val="0"/>
                <w:bCs w:val="0"/>
                <w:color w:val="auto"/>
                <w:szCs w:val="21"/>
                <w:lang w:val="en-US" w:eastAsia="zh-CN"/>
              </w:rPr>
              <w:t>1.提供毕业证书扫描件、学历信息在学信网查询结果截图（https://www.chsi.com.cn/xlcx/index.jsp），由于日期较早无法查询的，需提供毕业院校或者人社部门出具的证明，国外学历证书提供教育部留学服务中心出具的国外学历认证书以及教育部留学服务中心官网查询截图（查询网址https://zwfw.cscse.edu.cn/）；</w:t>
            </w:r>
            <w:r>
              <w:rPr>
                <w:rFonts w:hint="eastAsia" w:asciiTheme="minorEastAsia" w:hAnsiTheme="minorEastAsia" w:cstheme="minorEastAsia"/>
                <w:b w:val="0"/>
                <w:bCs w:val="0"/>
                <w:color w:val="auto"/>
                <w:szCs w:val="21"/>
                <w:lang w:val="en-US" w:eastAsia="zh-CN"/>
              </w:rPr>
              <w:br w:type="textWrapping"/>
            </w:r>
            <w:r>
              <w:rPr>
                <w:rFonts w:hint="eastAsia" w:asciiTheme="minorEastAsia" w:hAnsiTheme="minorEastAsia" w:cstheme="minorEastAsia"/>
                <w:b w:val="0"/>
                <w:bCs w:val="0"/>
                <w:color w:val="auto"/>
                <w:szCs w:val="21"/>
                <w:lang w:val="en-US" w:eastAsia="zh-CN"/>
              </w:rPr>
              <w:t>2.提供开标日前由投标人为其缴交的载有政府部门公章（或专用章）的2025年9-11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3个月的，需承诺相关人员为投标人自有员工，承诺函格式自拟并加盖公章；</w:t>
            </w:r>
            <w:r>
              <w:rPr>
                <w:rFonts w:hint="eastAsia" w:asciiTheme="minorEastAsia" w:hAnsiTheme="minorEastAsia" w:cstheme="minorEastAsia"/>
                <w:b w:val="0"/>
                <w:bCs w:val="0"/>
                <w:color w:val="auto"/>
                <w:szCs w:val="21"/>
                <w:lang w:val="en-US" w:eastAsia="zh-CN"/>
              </w:rPr>
              <w:br w:type="textWrapping"/>
            </w:r>
            <w:r>
              <w:rPr>
                <w:rFonts w:hint="eastAsia" w:asciiTheme="minorEastAsia" w:hAnsiTheme="minorEastAsia" w:cstheme="minorEastAsia"/>
                <w:b w:val="0"/>
                <w:bCs w:val="0"/>
                <w:color w:val="auto"/>
                <w:szCs w:val="21"/>
                <w:lang w:val="en-US"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pacing w:line="240" w:lineRule="exact"/>
              <w:jc w:val="center"/>
              <w:rPr>
                <w:rFonts w:hint="default" w:ascii="宋体" w:hAnsi="宋体" w:eastAsiaTheme="minorEastAsia"/>
                <w:szCs w:val="21"/>
                <w:lang w:val="en-US" w:eastAsia="zh-CN"/>
              </w:rPr>
            </w:pPr>
            <w:r>
              <w:rPr>
                <w:rFonts w:hint="eastAsia" w:ascii="宋体" w:hAnsi="宋体"/>
                <w:szCs w:val="21"/>
                <w:lang w:val="en-US" w:eastAsia="zh-CN"/>
              </w:rPr>
              <w:t>4</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维修技术服务能力</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9</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b w:val="0"/>
                <w:bCs w:val="0"/>
                <w:color w:val="auto"/>
                <w:szCs w:val="21"/>
                <w:lang w:val="en-US" w:eastAsia="zh-CN"/>
              </w:rPr>
            </w:pPr>
            <w:r>
              <w:rPr>
                <w:rFonts w:hint="eastAsia"/>
                <w:b/>
                <w:bCs/>
                <w:color w:val="auto"/>
                <w:lang w:eastAsia="zh-CN"/>
              </w:rPr>
              <w:t>考察内容：</w:t>
            </w:r>
            <w:r>
              <w:rPr>
                <w:rFonts w:hint="eastAsia"/>
                <w:color w:val="auto"/>
                <w:lang w:eastAsia="zh-CN"/>
              </w:rPr>
              <w:br w:type="textWrapping"/>
            </w:r>
            <w:r>
              <w:rPr>
                <w:rFonts w:hint="eastAsia"/>
                <w:color w:val="auto"/>
                <w:lang w:eastAsia="zh-CN"/>
              </w:rPr>
              <w:t>投标人的每提供一名售后服务技术人员，具有行政机关或事业单位</w:t>
            </w:r>
            <w:r>
              <w:rPr>
                <w:rFonts w:hint="eastAsia"/>
                <w:color w:val="auto"/>
                <w:lang w:val="en-US" w:eastAsia="zh-CN"/>
              </w:rPr>
              <w:t>或国家职业技能鉴定中心</w:t>
            </w:r>
            <w:r>
              <w:rPr>
                <w:rFonts w:hint="eastAsia"/>
                <w:color w:val="auto"/>
                <w:lang w:eastAsia="zh-CN"/>
              </w:rPr>
              <w:t>或第三方社会评价组织（含协会）颁发的调律师（三级技能及以上）证书，或调律类专业</w:t>
            </w:r>
            <w:r>
              <w:rPr>
                <w:rFonts w:hint="eastAsia"/>
                <w:color w:val="auto"/>
                <w:lang w:val="en-US" w:eastAsia="zh-CN"/>
              </w:rPr>
              <w:t>大专文凭</w:t>
            </w:r>
            <w:r>
              <w:rPr>
                <w:rFonts w:hint="eastAsia"/>
                <w:color w:val="auto"/>
                <w:lang w:eastAsia="zh-CN"/>
              </w:rPr>
              <w:t>（或以上）的，得</w:t>
            </w:r>
            <w:r>
              <w:rPr>
                <w:rFonts w:hint="eastAsia" w:asciiTheme="minorEastAsia" w:hAnsiTheme="minorEastAsia" w:cstheme="minorEastAsia"/>
                <w:b w:val="0"/>
                <w:bCs w:val="0"/>
                <w:color w:val="auto"/>
                <w:szCs w:val="21"/>
                <w:lang w:val="en-US" w:eastAsia="zh-CN"/>
              </w:rPr>
              <w:t>35分，最高得100分。</w:t>
            </w:r>
          </w:p>
          <w:p>
            <w:pPr>
              <w:keepNext w:val="0"/>
              <w:keepLines w:val="0"/>
              <w:pageBreakBefore w:val="0"/>
              <w:kinsoku/>
              <w:wordWrap/>
              <w:overflowPunct/>
              <w:topLinePunct w:val="0"/>
              <w:autoSpaceDE/>
              <w:autoSpaceDN/>
              <w:bidi w:val="0"/>
              <w:adjustRightInd/>
              <w:snapToGrid/>
              <w:spacing w:line="360" w:lineRule="exact"/>
              <w:textAlignment w:val="auto"/>
              <w:rPr>
                <w:rFonts w:hint="default" w:asciiTheme="minorEastAsia" w:hAnsiTheme="minorEastAsia" w:cstheme="minorEastAsia"/>
                <w:b/>
                <w:bCs/>
                <w:color w:val="auto"/>
                <w:szCs w:val="21"/>
                <w:lang w:val="en-US" w:eastAsia="zh-CN"/>
              </w:rPr>
            </w:pPr>
            <w:r>
              <w:rPr>
                <w:rFonts w:hint="default" w:asciiTheme="minorEastAsia" w:hAnsiTheme="minorEastAsia" w:cstheme="minorEastAsia"/>
                <w:b/>
                <w:bCs/>
                <w:color w:val="auto"/>
                <w:szCs w:val="21"/>
                <w:lang w:val="en-US" w:eastAsia="zh-CN"/>
              </w:rPr>
              <w:t>证明文件：</w:t>
            </w:r>
          </w:p>
          <w:p>
            <w:pPr>
              <w:keepNext w:val="0"/>
              <w:keepLines w:val="0"/>
              <w:pageBreakBefore w:val="0"/>
              <w:kinsoku/>
              <w:wordWrap/>
              <w:overflowPunct/>
              <w:topLinePunct w:val="0"/>
              <w:autoSpaceDE/>
              <w:autoSpaceDN/>
              <w:bidi w:val="0"/>
              <w:adjustRightInd/>
              <w:snapToGrid/>
              <w:spacing w:line="360" w:lineRule="exact"/>
              <w:textAlignment w:val="auto"/>
              <w:rPr>
                <w:rFonts w:hint="default" w:asciiTheme="minorEastAsia" w:hAnsiTheme="minorEastAsia" w:cstheme="minorEastAsia"/>
                <w:b w:val="0"/>
                <w:bCs w:val="0"/>
                <w:color w:val="auto"/>
                <w:szCs w:val="21"/>
                <w:lang w:val="en-US" w:eastAsia="zh-CN"/>
              </w:rPr>
            </w:pPr>
            <w:r>
              <w:rPr>
                <w:rFonts w:hint="default" w:asciiTheme="minorEastAsia" w:hAnsiTheme="minorEastAsia" w:cstheme="minorEastAsia"/>
                <w:b w:val="0"/>
                <w:bCs w:val="0"/>
                <w:color w:val="auto"/>
                <w:szCs w:val="21"/>
                <w:lang w:val="en-US" w:eastAsia="zh-CN"/>
              </w:rPr>
              <w:t>1</w:t>
            </w:r>
            <w:r>
              <w:rPr>
                <w:rFonts w:hint="eastAsia" w:asciiTheme="minorEastAsia" w:hAnsiTheme="minorEastAsia" w:cstheme="minorEastAsia"/>
                <w:b w:val="0"/>
                <w:bCs w:val="0"/>
                <w:color w:val="auto"/>
                <w:szCs w:val="21"/>
                <w:lang w:val="en-US" w:eastAsia="zh-CN"/>
              </w:rPr>
              <w:t>.学历的</w:t>
            </w:r>
            <w:r>
              <w:rPr>
                <w:rFonts w:hint="default" w:asciiTheme="minorEastAsia" w:hAnsiTheme="minorEastAsia" w:cstheme="minorEastAsia"/>
                <w:b w:val="0"/>
                <w:bCs w:val="0"/>
                <w:color w:val="auto"/>
                <w:szCs w:val="21"/>
                <w:lang w:val="en-US" w:eastAsia="zh-CN"/>
              </w:rPr>
              <w:t>提供毕业证书</w:t>
            </w:r>
            <w:r>
              <w:rPr>
                <w:rFonts w:hint="eastAsia" w:asciiTheme="minorEastAsia" w:hAnsiTheme="minorEastAsia" w:cstheme="minorEastAsia"/>
                <w:b w:val="0"/>
                <w:bCs w:val="0"/>
                <w:color w:val="auto"/>
                <w:szCs w:val="21"/>
                <w:lang w:val="en-US" w:eastAsia="zh-CN"/>
              </w:rPr>
              <w:t>、</w:t>
            </w:r>
            <w:r>
              <w:rPr>
                <w:rFonts w:hint="default" w:asciiTheme="minorEastAsia" w:hAnsiTheme="minorEastAsia" w:cstheme="minorEastAsia"/>
                <w:b w:val="0"/>
                <w:bCs w:val="0"/>
                <w:color w:val="auto"/>
                <w:szCs w:val="21"/>
                <w:lang w:val="en-US" w:eastAsia="zh-CN"/>
              </w:rPr>
              <w:t>学历信息在学信网查询结果截图（https://www.chsi.com.cn/xlcx/index.jsp），由于日期较早无法查询的，需提供毕业院校或者人社部门出具的证明，国外学历证书提供教育部留学服务中心出具的国外学历认证书以及教育部留学服务中心官网查询截图（查询网址https://zwfw.cscse.edu.cn/）；</w:t>
            </w:r>
          </w:p>
          <w:p>
            <w:pPr>
              <w:keepNext w:val="0"/>
              <w:keepLines w:val="0"/>
              <w:pageBreakBefore w:val="0"/>
              <w:kinsoku/>
              <w:wordWrap/>
              <w:overflowPunct/>
              <w:topLinePunct w:val="0"/>
              <w:autoSpaceDE/>
              <w:autoSpaceDN/>
              <w:bidi w:val="0"/>
              <w:adjustRightInd/>
              <w:snapToGrid/>
              <w:spacing w:line="360" w:lineRule="exact"/>
              <w:textAlignment w:val="auto"/>
              <w:rPr>
                <w:rFonts w:hint="default" w:asciiTheme="minorEastAsia" w:hAnsiTheme="minorEastAsia" w:cstheme="minorEastAsia"/>
                <w:b w:val="0"/>
                <w:bCs w:val="0"/>
                <w:color w:val="auto"/>
                <w:szCs w:val="21"/>
                <w:lang w:val="en-US" w:eastAsia="zh-CN"/>
              </w:rPr>
            </w:pPr>
            <w:r>
              <w:rPr>
                <w:rFonts w:hint="default" w:asciiTheme="minorEastAsia" w:hAnsiTheme="minorEastAsia" w:cstheme="minorEastAsia"/>
                <w:b w:val="0"/>
                <w:bCs w:val="0"/>
                <w:color w:val="auto"/>
                <w:szCs w:val="21"/>
                <w:lang w:val="en-US" w:eastAsia="zh-CN"/>
              </w:rPr>
              <w:t>2</w:t>
            </w:r>
            <w:r>
              <w:rPr>
                <w:rFonts w:hint="eastAsia" w:asciiTheme="minorEastAsia" w:hAnsiTheme="minorEastAsia" w:cstheme="minorEastAsia"/>
                <w:b w:val="0"/>
                <w:bCs w:val="0"/>
                <w:color w:val="auto"/>
                <w:szCs w:val="21"/>
                <w:lang w:val="en-US" w:eastAsia="zh-CN"/>
              </w:rPr>
              <w:t>.调律师证书的需提供证书扫描件</w:t>
            </w:r>
            <w:r>
              <w:rPr>
                <w:rFonts w:hint="eastAsia" w:asciiTheme="minorEastAsia" w:hAnsiTheme="minorEastAsia" w:cstheme="minorEastAsia"/>
                <w:b w:val="0"/>
                <w:bCs w:val="0"/>
                <w:szCs w:val="21"/>
                <w:lang w:val="en-US" w:eastAsia="zh-CN"/>
              </w:rPr>
              <w:t>由行业协会(机构）颁发的证书，还需提供该协会(机构）在“中国社会组织政务服务平台https://chinanpo.mca.gov.cn/”的已合法登记且状态正常截图，或该协会(机构）由政府部门或行政事业单位审批的证明文件扫描件，否则不予认可，视为无效证书；</w:t>
            </w:r>
            <w:r>
              <w:rPr>
                <w:rFonts w:hint="default" w:asciiTheme="minorEastAsia" w:hAnsiTheme="minorEastAsia" w:cstheme="minorEastAsia"/>
                <w:b w:val="0"/>
                <w:bCs w:val="0"/>
                <w:color w:val="auto"/>
                <w:szCs w:val="21"/>
                <w:lang w:val="en-US" w:eastAsia="zh-CN"/>
              </w:rPr>
              <w:br w:type="textWrapping"/>
            </w:r>
            <w:r>
              <w:rPr>
                <w:rFonts w:hint="eastAsia" w:asciiTheme="minorEastAsia" w:hAnsiTheme="minorEastAsia" w:cstheme="minorEastAsia"/>
                <w:b w:val="0"/>
                <w:bCs w:val="0"/>
                <w:color w:val="auto"/>
                <w:szCs w:val="21"/>
                <w:lang w:val="en-US" w:eastAsia="zh-CN"/>
              </w:rPr>
              <w:t>3.</w:t>
            </w:r>
            <w:r>
              <w:rPr>
                <w:rFonts w:hint="default" w:asciiTheme="minorEastAsia" w:hAnsiTheme="minorEastAsia" w:cstheme="minorEastAsia"/>
                <w:b w:val="0"/>
                <w:bCs w:val="0"/>
                <w:color w:val="auto"/>
                <w:szCs w:val="21"/>
                <w:lang w:val="en-US" w:eastAsia="zh-CN"/>
              </w:rPr>
              <w:t>提供开标日前由投标人为其缴交的载有政府部门公章（或专用章）的2025年9-11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3个月的，需承诺相关人员为投标人自有员工，承诺函格式自拟并加盖公章；</w:t>
            </w:r>
          </w:p>
          <w:p>
            <w:pPr>
              <w:keepNext w:val="0"/>
              <w:keepLines w:val="0"/>
              <w:pageBreakBefore w:val="0"/>
              <w:kinsoku/>
              <w:wordWrap/>
              <w:overflowPunct/>
              <w:topLinePunct w:val="0"/>
              <w:autoSpaceDE/>
              <w:autoSpaceDN/>
              <w:bidi w:val="0"/>
              <w:adjustRightInd/>
              <w:snapToGrid/>
              <w:spacing w:line="360" w:lineRule="exact"/>
              <w:textAlignment w:val="auto"/>
              <w:rPr>
                <w:rFonts w:hint="default"/>
                <w:color w:val="auto"/>
                <w:lang w:val="en-US" w:eastAsia="zh-CN"/>
              </w:rPr>
            </w:pPr>
            <w:r>
              <w:rPr>
                <w:rFonts w:hint="default" w:asciiTheme="minorEastAsia" w:hAnsiTheme="minorEastAsia" w:cstheme="minorEastAsia"/>
                <w:b w:val="0"/>
                <w:bCs w:val="0"/>
                <w:color w:val="auto"/>
                <w:szCs w:val="21"/>
                <w:lang w:val="en-US" w:eastAsia="zh-CN"/>
              </w:rPr>
              <w:t>以上证明文件原件备查，未提供或未按要求提供或提供的不清晰导致专家无法判断的，不得分。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3</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Theme="minorEastAsia" w:hAnsiTheme="minorEastAsia"/>
                <w:b/>
                <w:bCs/>
                <w:szCs w:val="21"/>
              </w:rPr>
              <w:t>商务</w:t>
            </w:r>
            <w:r>
              <w:rPr>
                <w:rFonts w:hint="eastAsia" w:ascii="宋体" w:hAnsi="宋体" w:cs="宋体"/>
                <w:b/>
                <w:bCs/>
                <w:szCs w:val="21"/>
              </w:rPr>
              <w:t>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overflowPunct/>
              <w:topLinePunct w:val="0"/>
              <w:autoSpaceDE/>
              <w:autoSpaceDN/>
              <w:bidi w:val="0"/>
              <w:adjustRightInd/>
              <w:snapToGrid w:val="0"/>
              <w:spacing w:line="240" w:lineRule="exact"/>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rPr>
              <w:t>13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rHeight w:val="90" w:hRule="atLeast"/>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kern w:val="0"/>
                <w:szCs w:val="21"/>
              </w:rPr>
            </w:pPr>
            <w:r>
              <w:rPr>
                <w:rFonts w:hint="eastAsia" w:ascii="宋体" w:hAnsi="宋体" w:cs="宋体"/>
                <w:kern w:val="0"/>
                <w:szCs w:val="21"/>
              </w:rPr>
              <w:t>商务条款偏离情况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kern w:val="0"/>
                <w:szCs w:val="21"/>
              </w:rPr>
            </w:pPr>
            <w:r>
              <w:rPr>
                <w:rFonts w:hint="eastAsia" w:ascii="宋体" w:hAnsi="宋体" w:cs="宋体"/>
                <w:kern w:val="0"/>
                <w:szCs w:val="21"/>
                <w:lang w:val="en-US" w:eastAsia="zh-CN"/>
              </w:rPr>
              <w:t>6</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pacing w:line="360" w:lineRule="exact"/>
              <w:jc w:val="left"/>
              <w:textAlignment w:val="auto"/>
              <w:rPr>
                <w:rFonts w:ascii="宋体" w:hAnsi="宋体" w:cs="宋体" w:eastAsiaTheme="minorEastAsia"/>
                <w:szCs w:val="21"/>
              </w:rPr>
            </w:pPr>
            <w:r>
              <w:rPr>
                <w:rFonts w:hint="eastAsia" w:ascii="宋体" w:hAnsi="宋体" w:eastAsia="宋体" w:cs="宋体"/>
                <w:b/>
                <w:bCs/>
                <w:i w:val="0"/>
                <w:iCs w:val="0"/>
                <w:kern w:val="0"/>
                <w:sz w:val="21"/>
                <w:szCs w:val="21"/>
                <w:u w:val="none"/>
                <w:lang w:val="en-US" w:eastAsia="zh-CN" w:bidi="ar"/>
              </w:rPr>
              <w:t>考察内容：</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投标人应如实填写《商务条款偏离情况》，评审小组根据响应情况进行打分，全部满足要求的得100分，每负偏离一项一般条款扣50分。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hint="default" w:ascii="宋体" w:hAnsi="宋体" w:cs="宋体"/>
                <w:szCs w:val="21"/>
                <w:lang w:val="en-US" w:eastAsia="zh-CN"/>
              </w:rPr>
            </w:pPr>
            <w:r>
              <w:rPr>
                <w:rFonts w:hint="eastAsia" w:ascii="宋体" w:hAnsi="宋体" w:cs="宋体"/>
                <w:szCs w:val="21"/>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kern w:val="0"/>
                <w:szCs w:val="21"/>
              </w:rPr>
            </w:pPr>
            <w:r>
              <w:rPr>
                <w:rFonts w:hint="eastAsia" w:ascii="宋体" w:hAnsi="宋体" w:cs="宋体"/>
                <w:kern w:val="0"/>
                <w:szCs w:val="21"/>
              </w:rPr>
              <w:t>同类项目业绩</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4</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bCs/>
                <w:kern w:val="0"/>
                <w:szCs w:val="21"/>
              </w:rPr>
            </w:pPr>
            <w:r>
              <w:rPr>
                <w:rFonts w:hint="eastAsia" w:ascii="宋体" w:hAnsi="宋体" w:cs="宋体"/>
                <w:b/>
                <w:bCs/>
                <w:kern w:val="0"/>
                <w:szCs w:val="21"/>
              </w:rPr>
              <w:t>考察内容：</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val="0"/>
                <w:bCs w:val="0"/>
                <w:kern w:val="0"/>
                <w:szCs w:val="21"/>
              </w:rPr>
            </w:pPr>
            <w:r>
              <w:rPr>
                <w:rFonts w:hint="eastAsia" w:ascii="宋体" w:hAnsi="宋体" w:cs="宋体"/>
                <w:b w:val="0"/>
                <w:bCs w:val="0"/>
                <w:kern w:val="0"/>
                <w:szCs w:val="21"/>
              </w:rPr>
              <w:t>投标人202</w:t>
            </w:r>
            <w:r>
              <w:rPr>
                <w:rFonts w:hint="eastAsia" w:ascii="宋体" w:hAnsi="宋体" w:cs="宋体"/>
                <w:b w:val="0"/>
                <w:bCs w:val="0"/>
                <w:kern w:val="0"/>
                <w:szCs w:val="21"/>
                <w:lang w:val="en-US" w:eastAsia="zh-CN"/>
              </w:rPr>
              <w:t>3</w:t>
            </w:r>
            <w:r>
              <w:rPr>
                <w:rFonts w:hint="eastAsia" w:ascii="宋体" w:hAnsi="宋体" w:cs="宋体"/>
                <w:b w:val="0"/>
                <w:bCs w:val="0"/>
                <w:kern w:val="0"/>
                <w:szCs w:val="21"/>
              </w:rPr>
              <w:t>年1月1日至本项目投标截止时间（以签订合同日期为准）</w:t>
            </w:r>
            <w:r>
              <w:rPr>
                <w:rFonts w:hint="eastAsia" w:ascii="宋体" w:hAnsi="宋体" w:cs="宋体"/>
                <w:b w:val="0"/>
                <w:bCs w:val="0"/>
                <w:kern w:val="0"/>
                <w:szCs w:val="21"/>
                <w:lang w:eastAsia="zh-CN"/>
              </w:rPr>
              <w:t>，</w:t>
            </w:r>
            <w:r>
              <w:rPr>
                <w:rFonts w:hint="eastAsia" w:ascii="宋体" w:hAnsi="宋体" w:cs="宋体"/>
                <w:b w:val="0"/>
                <w:bCs w:val="0"/>
                <w:kern w:val="0"/>
                <w:szCs w:val="21"/>
              </w:rPr>
              <w:t>每提供1</w:t>
            </w:r>
            <w:r>
              <w:rPr>
                <w:rFonts w:hint="eastAsia" w:ascii="宋体" w:hAnsi="宋体" w:cs="宋体"/>
                <w:b w:val="0"/>
                <w:bCs w:val="0"/>
                <w:kern w:val="0"/>
                <w:szCs w:val="21"/>
                <w:lang w:val="en-US" w:eastAsia="zh-CN"/>
              </w:rPr>
              <w:t>项</w:t>
            </w:r>
            <w:r>
              <w:rPr>
                <w:rFonts w:hint="eastAsia" w:ascii="宋体" w:hAnsi="宋体" w:cs="宋体"/>
                <w:b w:val="0"/>
                <w:bCs w:val="0"/>
                <w:kern w:val="0"/>
                <w:szCs w:val="21"/>
              </w:rPr>
              <w:t>音乐器材类项目</w:t>
            </w:r>
            <w:r>
              <w:rPr>
                <w:rFonts w:hint="eastAsia" w:ascii="宋体" w:hAnsi="宋体" w:eastAsia="宋体" w:cs="宋体"/>
                <w:kern w:val="2"/>
                <w:sz w:val="21"/>
                <w:szCs w:val="21"/>
                <w:lang w:eastAsia="zh-CN"/>
              </w:rPr>
              <w:t>业绩</w:t>
            </w:r>
            <w:r>
              <w:rPr>
                <w:rFonts w:hint="eastAsia" w:ascii="宋体" w:hAnsi="宋体" w:cs="宋体"/>
                <w:b w:val="0"/>
                <w:bCs w:val="0"/>
                <w:kern w:val="0"/>
                <w:szCs w:val="21"/>
              </w:rPr>
              <w:t>得</w:t>
            </w:r>
            <w:r>
              <w:rPr>
                <w:rFonts w:hint="eastAsia" w:ascii="宋体" w:hAnsi="宋体" w:cs="宋体"/>
                <w:b w:val="0"/>
                <w:bCs w:val="0"/>
                <w:kern w:val="0"/>
                <w:szCs w:val="21"/>
                <w:lang w:val="en-US" w:eastAsia="zh-CN"/>
              </w:rPr>
              <w:t>50</w:t>
            </w:r>
            <w:r>
              <w:rPr>
                <w:rFonts w:hint="eastAsia" w:ascii="宋体" w:hAnsi="宋体" w:cs="宋体"/>
                <w:b w:val="0"/>
                <w:bCs w:val="0"/>
                <w:kern w:val="0"/>
                <w:szCs w:val="21"/>
              </w:rPr>
              <w:t>分，最高得</w:t>
            </w:r>
            <w:r>
              <w:rPr>
                <w:rFonts w:hint="eastAsia" w:ascii="宋体" w:hAnsi="宋体" w:cs="宋体"/>
                <w:b w:val="0"/>
                <w:bCs w:val="0"/>
                <w:kern w:val="0"/>
                <w:szCs w:val="21"/>
                <w:lang w:val="en-US" w:eastAsia="zh-CN"/>
              </w:rPr>
              <w:t>100</w:t>
            </w:r>
            <w:r>
              <w:rPr>
                <w:rFonts w:hint="eastAsia" w:ascii="宋体" w:hAnsi="宋体" w:cs="宋体"/>
                <w:b w:val="0"/>
                <w:bCs w:val="0"/>
                <w:kern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bCs/>
                <w:kern w:val="0"/>
                <w:szCs w:val="21"/>
              </w:rPr>
            </w:pPr>
            <w:r>
              <w:rPr>
                <w:rFonts w:hint="eastAsia" w:ascii="宋体" w:hAnsi="宋体" w:cs="宋体"/>
                <w:b/>
                <w:bCs/>
                <w:kern w:val="0"/>
                <w:szCs w:val="21"/>
              </w:rPr>
              <w:t>证明文件：</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val="0"/>
                <w:bCs w:val="0"/>
                <w:kern w:val="0"/>
                <w:szCs w:val="21"/>
              </w:rPr>
            </w:pPr>
            <w:r>
              <w:rPr>
                <w:rFonts w:hint="eastAsia" w:ascii="宋体" w:hAnsi="宋体" w:cs="宋体"/>
                <w:b w:val="0"/>
                <w:bCs w:val="0"/>
                <w:kern w:val="0"/>
                <w:szCs w:val="21"/>
              </w:rPr>
              <w:t>提供</w:t>
            </w:r>
            <w:r>
              <w:rPr>
                <w:rFonts w:hint="eastAsia" w:ascii="宋体" w:hAnsi="宋体" w:cs="宋体"/>
                <w:b w:val="0"/>
                <w:bCs w:val="0"/>
                <w:kern w:val="0"/>
                <w:szCs w:val="21"/>
                <w:lang w:eastAsia="zh-CN"/>
              </w:rPr>
              <w:t>中标通知书、</w:t>
            </w:r>
            <w:r>
              <w:rPr>
                <w:rFonts w:hint="eastAsia" w:ascii="宋体" w:hAnsi="宋体" w:cs="宋体"/>
                <w:b w:val="0"/>
                <w:bCs w:val="0"/>
                <w:kern w:val="0"/>
                <w:szCs w:val="21"/>
              </w:rPr>
              <w:t>合同或协议关键页（关键信息包括但不仅限于合同的项目名称、服务内容、签订日期等）</w:t>
            </w:r>
            <w:r>
              <w:rPr>
                <w:rFonts w:hint="eastAsia" w:ascii="宋体" w:hAnsi="宋体" w:cs="宋体"/>
                <w:b w:val="0"/>
                <w:bCs w:val="0"/>
                <w:kern w:val="0"/>
                <w:szCs w:val="21"/>
                <w:lang w:eastAsia="zh-CN"/>
              </w:rPr>
              <w:t>。原件备查，</w:t>
            </w:r>
            <w:r>
              <w:rPr>
                <w:rFonts w:hint="eastAsia" w:ascii="宋体" w:hAnsi="宋体" w:cs="宋体"/>
                <w:b w:val="0"/>
                <w:bCs w:val="0"/>
                <w:kern w:val="0"/>
                <w:szCs w:val="21"/>
              </w:rPr>
              <w:t>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hint="eastAsia" w:ascii="宋体" w:hAnsi="宋体" w:cs="宋体" w:eastAsiaTheme="minorEastAsia"/>
                <w:szCs w:val="21"/>
                <w:lang w:val="en-US" w:eastAsia="zh-CN"/>
              </w:rPr>
            </w:pPr>
            <w:r>
              <w:rPr>
                <w:rFonts w:hint="eastAsia" w:ascii="宋体" w:hAnsi="宋体" w:cs="宋体"/>
                <w:szCs w:val="21"/>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kern w:val="0"/>
                <w:szCs w:val="21"/>
              </w:rPr>
            </w:pPr>
            <w:r>
              <w:rPr>
                <w:rFonts w:hint="eastAsia" w:ascii="宋体" w:hAnsi="宋体" w:cs="宋体"/>
                <w:kern w:val="0"/>
                <w:szCs w:val="21"/>
              </w:rPr>
              <w:t>履约评价情况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kern w:val="0"/>
                <w:szCs w:val="21"/>
                <w:lang w:val="en-US" w:eastAsia="zh-CN"/>
              </w:rPr>
            </w:pPr>
            <w:r>
              <w:rPr>
                <w:rFonts w:hint="eastAsia" w:ascii="宋体" w:hAnsi="宋体" w:cs="宋体"/>
                <w:kern w:val="0"/>
                <w:szCs w:val="21"/>
                <w:lang w:val="en-US" w:eastAsia="zh-CN"/>
              </w:rPr>
              <w:t>3</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bCs/>
                <w:kern w:val="0"/>
                <w:szCs w:val="21"/>
              </w:rPr>
            </w:pPr>
            <w:r>
              <w:rPr>
                <w:rFonts w:hint="eastAsia" w:ascii="宋体" w:hAnsi="宋体" w:cs="宋体"/>
                <w:b/>
                <w:bCs/>
                <w:kern w:val="0"/>
                <w:szCs w:val="21"/>
              </w:rPr>
              <w:t>考察内容：</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val="0"/>
                <w:bCs w:val="0"/>
                <w:kern w:val="0"/>
                <w:szCs w:val="21"/>
              </w:rPr>
            </w:pPr>
            <w:r>
              <w:rPr>
                <w:rFonts w:hint="eastAsia" w:ascii="宋体" w:hAnsi="宋体" w:cs="宋体"/>
                <w:b w:val="0"/>
                <w:bCs w:val="0"/>
                <w:kern w:val="0"/>
                <w:szCs w:val="21"/>
              </w:rPr>
              <w:t>具有上述同类项目经验并经用户单位考核评价为优或满意</w:t>
            </w:r>
            <w:r>
              <w:rPr>
                <w:rFonts w:hint="eastAsia" w:ascii="宋体" w:hAnsi="宋体" w:cs="宋体"/>
                <w:b w:val="0"/>
                <w:bCs w:val="0"/>
                <w:kern w:val="0"/>
                <w:szCs w:val="21"/>
                <w:lang w:eastAsia="zh-CN"/>
              </w:rPr>
              <w:t>或其他最高等级</w:t>
            </w:r>
            <w:r>
              <w:rPr>
                <w:rFonts w:hint="eastAsia" w:ascii="宋体" w:hAnsi="宋体" w:cs="宋体"/>
                <w:b w:val="0"/>
                <w:bCs w:val="0"/>
                <w:kern w:val="0"/>
                <w:szCs w:val="21"/>
              </w:rPr>
              <w:t>的</w:t>
            </w:r>
            <w:r>
              <w:rPr>
                <w:rFonts w:hint="eastAsia" w:ascii="宋体" w:hAnsi="宋体" w:cs="宋体"/>
                <w:b w:val="0"/>
                <w:bCs w:val="0"/>
                <w:kern w:val="0"/>
                <w:szCs w:val="21"/>
                <w:lang w:eastAsia="zh-CN"/>
              </w:rPr>
              <w:t>，</w:t>
            </w:r>
            <w:r>
              <w:rPr>
                <w:rFonts w:hint="eastAsia" w:ascii="宋体" w:hAnsi="宋体" w:cs="宋体"/>
                <w:b w:val="0"/>
                <w:bCs w:val="0"/>
                <w:kern w:val="0"/>
                <w:szCs w:val="21"/>
              </w:rPr>
              <w:t>每提供1项得</w:t>
            </w:r>
            <w:r>
              <w:rPr>
                <w:rFonts w:hint="eastAsia" w:ascii="宋体" w:hAnsi="宋体" w:cs="宋体"/>
                <w:b w:val="0"/>
                <w:bCs w:val="0"/>
                <w:kern w:val="0"/>
                <w:szCs w:val="21"/>
                <w:lang w:val="en-US" w:eastAsia="zh-CN"/>
              </w:rPr>
              <w:t>50分，最高得100分</w:t>
            </w:r>
            <w:r>
              <w:rPr>
                <w:rFonts w:hint="eastAsia" w:ascii="宋体" w:hAnsi="宋体" w:cs="宋体"/>
                <w:b w:val="0"/>
                <w:bCs w:val="0"/>
                <w:kern w:val="0"/>
                <w:szCs w:val="21"/>
              </w:rPr>
              <w:t>。</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bCs/>
                <w:kern w:val="0"/>
                <w:szCs w:val="21"/>
              </w:rPr>
            </w:pPr>
            <w:r>
              <w:rPr>
                <w:rFonts w:hint="eastAsia" w:ascii="宋体" w:hAnsi="宋体" w:cs="宋体"/>
                <w:b/>
                <w:bCs/>
                <w:kern w:val="0"/>
                <w:szCs w:val="21"/>
              </w:rPr>
              <w:t>证明文件：</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color w:val="auto"/>
                <w:szCs w:val="21"/>
              </w:rPr>
            </w:pPr>
            <w:r>
              <w:rPr>
                <w:rFonts w:hint="eastAsia" w:ascii="宋体" w:hAnsi="宋体" w:cs="宋体"/>
                <w:b w:val="0"/>
                <w:bCs w:val="0"/>
                <w:kern w:val="0"/>
                <w:szCs w:val="21"/>
              </w:rPr>
              <w:t>提供盖有用户单位公章的履约评价扫描件，</w:t>
            </w:r>
            <w:r>
              <w:rPr>
                <w:rFonts w:hint="eastAsia" w:ascii="宋体" w:hAnsi="宋体" w:cs="宋体"/>
                <w:b w:val="0"/>
                <w:bCs w:val="0"/>
                <w:kern w:val="0"/>
                <w:szCs w:val="21"/>
                <w:lang w:eastAsia="zh-CN"/>
              </w:rPr>
              <w:t>原件备查，</w:t>
            </w:r>
            <w:r>
              <w:rPr>
                <w:rFonts w:hint="eastAsia" w:ascii="宋体" w:hAnsi="宋体" w:cs="宋体"/>
                <w:b w:val="0"/>
                <w:bCs w:val="0"/>
                <w:kern w:val="0"/>
                <w:szCs w:val="21"/>
              </w:rPr>
              <w:t>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4</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其他部分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b/>
                <w:bCs/>
                <w:szCs w:val="21"/>
              </w:rPr>
            </w:pPr>
            <w:r>
              <w:rPr>
                <w:rFonts w:hint="eastAsia" w:ascii="宋体" w:hAnsi="宋体" w:cs="宋体"/>
                <w:b/>
                <w:bCs/>
                <w:szCs w:val="21"/>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pStyle w:val="2"/>
              <w:keepNext w:val="0"/>
              <w:keepLines w:val="0"/>
              <w:pageBreakBefore w:val="0"/>
              <w:kinsoku/>
              <w:wordWrap/>
              <w:overflowPunct/>
              <w:topLinePunct w:val="0"/>
              <w:autoSpaceDE/>
              <w:autoSpaceDN/>
              <w:bidi w:val="0"/>
              <w:adjustRightInd/>
              <w:spacing w:line="240" w:lineRule="exact"/>
            </w:pPr>
            <w:r>
              <w:rPr>
                <w:rFonts w:hint="eastAsia" w:asciiTheme="minorEastAsia" w:hAnsiTheme="minorEastAsia" w:cstheme="minorEastAsia"/>
                <w:b w:val="0"/>
                <w:bCs w:val="0"/>
                <w:sz w:val="21"/>
                <w:szCs w:val="21"/>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采购监管网”（http://zfcg.sz.gov.cn）查询供应商信用信息，信用信息以开标当日的查询结果为准。</w:t>
            </w:r>
          </w:p>
        </w:tc>
      </w:tr>
    </w:tbl>
    <w:p>
      <w:pPr>
        <w:rPr>
          <w:b/>
          <w:sz w:val="120"/>
          <w:szCs w:val="120"/>
        </w:rPr>
      </w:pPr>
      <w:r>
        <w:rPr>
          <w:rFonts w:hint="eastAsia"/>
          <w:b/>
          <w:sz w:val="120"/>
          <w:szCs w:val="120"/>
        </w:rPr>
        <w:br w:type="page"/>
      </w:r>
    </w:p>
    <w:p/>
    <w:p>
      <w:pPr>
        <w:pStyle w:val="2"/>
        <w:rPr>
          <w:sz w:val="120"/>
          <w:szCs w:val="120"/>
        </w:rPr>
      </w:pPr>
    </w:p>
    <w:p>
      <w:pPr>
        <w:jc w:val="center"/>
        <w:rPr>
          <w:b/>
          <w:sz w:val="120"/>
          <w:szCs w:val="120"/>
        </w:rPr>
      </w:pPr>
      <w:r>
        <w:rPr>
          <w:rFonts w:hint="eastAsia"/>
          <w:b/>
          <w:sz w:val="120"/>
          <w:szCs w:val="120"/>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Pr>
        <w:jc w:val="center"/>
        <w:rPr>
          <w:b/>
          <w:sz w:val="44"/>
          <w:szCs w:val="44"/>
        </w:rPr>
      </w:pPr>
      <w:r>
        <w:rPr>
          <w:rFonts w:hint="eastAsia" w:ascii="宋体" w:hAnsi="宋体"/>
          <w:b/>
          <w:sz w:val="44"/>
          <w:szCs w:val="44"/>
        </w:rPr>
        <w:t>深圳公共资源交易中心</w:t>
      </w:r>
    </w:p>
    <w:p>
      <w:pPr>
        <w:jc w:val="center"/>
        <w:rPr>
          <w:b/>
          <w:sz w:val="44"/>
          <w:szCs w:val="44"/>
        </w:rPr>
      </w:pPr>
      <w:r>
        <w:rPr>
          <w:rFonts w:hint="eastAsia" w:ascii="宋体" w:hAnsi="宋体"/>
          <w:b/>
          <w:sz w:val="44"/>
          <w:szCs w:val="44"/>
        </w:rPr>
        <w:t>（</w:t>
      </w:r>
      <w:r>
        <w:rPr>
          <w:b/>
          <w:sz w:val="44"/>
          <w:szCs w:val="44"/>
        </w:rPr>
        <w:t>20</w:t>
      </w:r>
      <w:r>
        <w:rPr>
          <w:rFonts w:hint="eastAsia"/>
          <w:b/>
          <w:sz w:val="44"/>
          <w:szCs w:val="44"/>
        </w:rPr>
        <w:t>25</w:t>
      </w:r>
      <w:r>
        <w:rPr>
          <w:rFonts w:hint="eastAsia" w:ascii="宋体" w:hAnsi="宋体"/>
          <w:b/>
          <w:sz w:val="44"/>
          <w:szCs w:val="44"/>
        </w:rPr>
        <w:t>）</w:t>
      </w:r>
    </w:p>
    <w:p>
      <w:pPr>
        <w:ind w:firstLine="6786" w:firstLineChars="1300"/>
        <w:jc w:val="center"/>
        <w:rPr>
          <w:bCs/>
          <w:color w:val="FF0000"/>
        </w:rPr>
      </w:pPr>
      <w:r>
        <w:rPr>
          <w:rFonts w:hint="eastAsia"/>
          <w:b/>
          <w:color w:val="FF0000"/>
          <w:sz w:val="52"/>
          <w:szCs w:val="52"/>
        </w:rPr>
        <w:br w:type="page"/>
      </w: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pPr>
        <w:rPr>
          <w:b/>
          <w:sz w:val="24"/>
          <w:szCs w:val="24"/>
        </w:rPr>
      </w:pPr>
      <w:r>
        <w:rPr>
          <w:rFonts w:hint="eastAsia"/>
          <w:b/>
          <w:sz w:val="24"/>
          <w:szCs w:val="24"/>
        </w:rPr>
        <w:t>第一册  专用条款</w:t>
      </w:r>
    </w:p>
    <w:p>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411" w:firstLineChars="196"/>
        <w:rPr>
          <w:rFonts w:hint="eastAsia" w:ascii="宋体" w:hAnsi="宋体"/>
          <w:szCs w:val="21"/>
        </w:rPr>
      </w:pPr>
      <w:r>
        <w:rPr>
          <w:rFonts w:hint="eastAsia" w:ascii="宋体" w:hAnsi="宋体"/>
          <w:szCs w:val="21"/>
        </w:rPr>
        <w:t>第五章  合同条款及格式</w:t>
      </w:r>
    </w:p>
    <w:p>
      <w:pPr>
        <w:rPr>
          <w:b/>
          <w:sz w:val="24"/>
        </w:rPr>
      </w:pPr>
    </w:p>
    <w:p>
      <w:pPr>
        <w:rPr>
          <w:b/>
          <w:sz w:val="24"/>
          <w:szCs w:val="24"/>
        </w:rPr>
      </w:pPr>
      <w:r>
        <w:rPr>
          <w:rFonts w:hint="eastAsia"/>
          <w:b/>
          <w:sz w:val="24"/>
          <w:szCs w:val="24"/>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r>
        <w:rPr>
          <w:rFonts w:hint="eastAsia"/>
        </w:rPr>
        <w:t xml:space="preserve">          第十一章  质疑处理</w:t>
      </w:r>
    </w:p>
    <w:p/>
    <w:p/>
    <w:p>
      <w:pPr>
        <w:widowControl/>
        <w:jc w:val="left"/>
      </w:pPr>
      <w:r>
        <w:br w:type="page"/>
      </w:r>
    </w:p>
    <w:p>
      <w:pPr>
        <w:pStyle w:val="4"/>
        <w:spacing w:after="78"/>
        <w:jc w:val="center"/>
        <w:rPr>
          <w:sz w:val="32"/>
          <w:szCs w:val="32"/>
        </w:rPr>
      </w:pPr>
      <w:r>
        <w:rPr>
          <w:rFonts w:hint="eastAsia"/>
          <w:sz w:val="32"/>
          <w:szCs w:val="32"/>
        </w:rPr>
        <w:t>第一册  专用条款</w:t>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pPr>
        <w:ind w:firstLine="630" w:firstLineChars="300"/>
        <w:rPr>
          <w:rFonts w:hint="eastAsia" w:ascii="宋体" w:hAnsi="宋体" w:eastAsia="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Cs w:val="21"/>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Cs w:val="21"/>
        </w:rPr>
        <w:t>的营业执照及其</w:t>
      </w:r>
      <w:r>
        <w:rPr>
          <w:rFonts w:hint="eastAsia" w:ascii="宋体" w:hAnsi="宋体" w:eastAsia="宋体" w:cs="宋体"/>
          <w:szCs w:val="21"/>
        </w:rPr>
        <w:t>出具的载明愿为其参与本项目投标的行为以及履约等行为承担民事责任的加盖总公司公章的授权函）</w:t>
      </w:r>
      <w:r>
        <w:rPr>
          <w:rFonts w:hint="eastAsia" w:ascii="宋体" w:hAnsi="宋体" w:cs="宋体"/>
          <w:szCs w:val="21"/>
        </w:rPr>
        <w:t>；</w:t>
      </w:r>
    </w:p>
    <w:p>
      <w:pPr>
        <w:ind w:firstLine="630" w:firstLineChars="300"/>
        <w:rPr>
          <w:rFonts w:hint="eastAsia" w:ascii="宋体" w:hAnsi="宋体" w:eastAsia="宋体" w:cs="宋体"/>
          <w:szCs w:val="21"/>
        </w:rPr>
      </w:pPr>
      <w:r>
        <w:rPr>
          <w:rFonts w:hint="eastAsia" w:ascii="宋体" w:hAnsi="宋体" w:cs="宋体"/>
          <w:color w:val="FF0000"/>
          <w:kern w:val="0"/>
          <w:szCs w:val="21"/>
        </w:rPr>
        <w:t>2.</w:t>
      </w:r>
      <w:bookmarkStart w:id="0" w:name="OLE_LINK9"/>
      <w:r>
        <w:rPr>
          <w:rFonts w:hint="eastAsia" w:ascii="宋体" w:hAnsi="宋体" w:cs="宋体"/>
          <w:color w:val="FF0000"/>
          <w:kern w:val="0"/>
          <w:szCs w:val="21"/>
        </w:rPr>
        <w:t>本项</w:t>
      </w:r>
      <w:bookmarkStart w:id="1" w:name="OLE_LINK8"/>
      <w:r>
        <w:rPr>
          <w:rFonts w:hint="eastAsia" w:ascii="宋体" w:hAnsi="宋体" w:cs="宋体"/>
          <w:color w:val="FF0000"/>
          <w:kern w:val="0"/>
          <w:szCs w:val="21"/>
        </w:rPr>
        <w:t>目不接受联合体投标</w:t>
      </w:r>
      <w:bookmarkEnd w:id="1"/>
      <w:r>
        <w:rPr>
          <w:rFonts w:hint="eastAsia" w:ascii="宋体" w:hAnsi="宋体" w:cs="宋体"/>
          <w:color w:val="FF0000"/>
          <w:kern w:val="0"/>
          <w:szCs w:val="21"/>
        </w:rPr>
        <w:t>，</w:t>
      </w:r>
      <w:bookmarkStart w:id="2" w:name="OLE_LINK7"/>
      <w:r>
        <w:rPr>
          <w:rFonts w:hint="eastAsia" w:ascii="宋体" w:hAnsi="宋体" w:cs="宋体"/>
          <w:color w:val="FF0000"/>
          <w:kern w:val="0"/>
          <w:szCs w:val="21"/>
        </w:rPr>
        <w:t>不接受投标人选用进口产品参与投标，详见招标文件“第三章 用户需求书”</w:t>
      </w:r>
      <w:bookmarkEnd w:id="2"/>
      <w:r>
        <w:rPr>
          <w:rFonts w:hint="eastAsia" w:ascii="宋体" w:hAnsi="宋体" w:cs="宋体"/>
          <w:color w:val="FF0000"/>
          <w:kern w:val="0"/>
          <w:szCs w:val="21"/>
        </w:rPr>
        <w:t>；</w:t>
      </w:r>
      <w:bookmarkEnd w:id="0"/>
    </w:p>
    <w:p>
      <w:pPr>
        <w:ind w:firstLine="630" w:firstLineChars="3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p>
    <w:p>
      <w:pPr>
        <w:ind w:firstLine="630" w:firstLineChars="300"/>
        <w:rPr>
          <w:rFonts w:hint="eastAsia"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6.不存在《深圳市财政局政府采购供应商信用信息管理办法》（深财规〔2023〕3号）列明的严重违法失信行为（由供应商在《政府采购投标及履约承诺函》中作出声明）；;</w:t>
      </w:r>
    </w:p>
    <w:p>
      <w:pPr>
        <w:ind w:firstLine="630" w:firstLineChars="300"/>
        <w:rPr>
          <w:rFonts w:hint="eastAsia" w:ascii="宋体" w:hAnsi="宋体" w:eastAsia="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7.为采购项目提供整体设计、规范编制或者项目管理、监理、检测等服务的供应商，不得再参加该采购项目的其他采购活动（由供应商在《政府采购投标及履约承诺函》中作出声明）；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ind w:firstLine="630" w:firstLineChars="300"/>
        <w:rPr>
          <w:rFonts w:hint="eastAsia" w:ascii="宋体" w:hAnsi="宋体" w:cs="宋体"/>
          <w:kern w:val="0"/>
          <w:szCs w:val="21"/>
        </w:rPr>
      </w:pPr>
      <w:r>
        <w:rPr>
          <w:rFonts w:hint="eastAsia" w:ascii="宋体" w:hAnsi="宋体" w:cs="宋体"/>
          <w:kern w:val="0"/>
          <w:szCs w:val="21"/>
        </w:rPr>
        <w:t>9.本项目是（否）专门面向中小企业采购：</w:t>
      </w:r>
      <w:r>
        <w:rPr>
          <w:rFonts w:hint="eastAsia" w:ascii="宋体" w:hAnsi="宋体" w:cs="宋体"/>
          <w:b/>
          <w:bCs/>
          <w:color w:val="FF0000"/>
          <w:kern w:val="0"/>
          <w:szCs w:val="21"/>
        </w:rPr>
        <w:t>否。</w:t>
      </w:r>
    </w:p>
    <w:p>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pPr>
        <w:snapToGrid w:val="0"/>
        <w:spacing w:line="300" w:lineRule="auto"/>
        <w:ind w:firstLine="480" w:firstLineChars="200"/>
        <w:rPr>
          <w:rFonts w:ascii="Arial" w:hAnsi="Arial" w:eastAsia="宋体" w:cs="Times New Roman"/>
          <w:sz w:val="24"/>
          <w:szCs w:val="24"/>
        </w:rPr>
      </w:pPr>
    </w:p>
    <w:p>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pPr>
        <w:spacing w:after="78" w:afterLines="25"/>
        <w:rPr>
          <w:rFonts w:ascii="Arial" w:hAnsi="Arial" w:eastAsia="宋体" w:cs="Times New Roman"/>
          <w:b/>
          <w:color w:val="FF0000"/>
          <w:sz w:val="30"/>
          <w:szCs w:val="30"/>
        </w:rPr>
      </w:pPr>
    </w:p>
    <w:p>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3" w:name="_Hlk71926094"/>
      <w:r>
        <w:rPr>
          <w:rFonts w:hint="eastAsia" w:ascii="宋体" w:hAnsi="宋体" w:eastAsia="宋体" w:cs="Times New Roman"/>
          <w:b/>
          <w:bCs/>
          <w:kern w:val="0"/>
          <w:sz w:val="28"/>
          <w:szCs w:val="28"/>
        </w:rPr>
        <w:t>对通用条款的补充内容及其他关键信息</w:t>
      </w:r>
      <w:bookmarkEnd w:id="3"/>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4" w:name="_Toc73517639"/>
      <w:bookmarkStart w:id="5" w:name="_Toc73518117"/>
      <w:bookmarkStart w:id="6" w:name="_Toc73521635"/>
      <w:bookmarkStart w:id="7" w:name="_Toc60631620"/>
      <w:bookmarkStart w:id="8" w:name="_Toc73521547"/>
      <w:bookmarkStart w:id="9" w:name="_Toc60560625"/>
      <w:bookmarkStart w:id="10" w:name="_Toc100052364"/>
      <w:bookmarkStart w:id="11" w:name="_Toc101074876"/>
      <w:r>
        <w:rPr>
          <w:rFonts w:hint="eastAsia" w:ascii="宋体" w:hAnsi="宋体" w:eastAsia="宋体" w:cs="Times New Roman"/>
          <w:b/>
          <w:bCs/>
          <w:kern w:val="0"/>
          <w:sz w:val="24"/>
          <w:szCs w:val="24"/>
        </w:rPr>
        <w:t>一、对通用条款的补充内容</w:t>
      </w:r>
    </w:p>
    <w:tbl>
      <w:tblPr>
        <w:tblStyle w:val="19"/>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b/>
                <w:bCs/>
              </w:rPr>
            </w:pPr>
            <w:r>
              <w:rPr>
                <w:rFonts w:hint="eastAsia" w:ascii="宋体" w:hAnsi="宋体"/>
                <w:b/>
                <w:bCs/>
              </w:rPr>
              <w:t>通用条款序号</w:t>
            </w:r>
          </w:p>
        </w:tc>
        <w:tc>
          <w:tcPr>
            <w:tcW w:w="1755" w:type="dxa"/>
            <w:vAlign w:val="center"/>
          </w:tcPr>
          <w:p>
            <w:pPr>
              <w:jc w:val="center"/>
              <w:rPr>
                <w:rFonts w:hint="eastAsia" w:ascii="宋体" w:hAnsi="宋体"/>
                <w:b/>
                <w:bCs/>
              </w:rPr>
            </w:pPr>
            <w:r>
              <w:rPr>
                <w:rFonts w:hint="eastAsia" w:ascii="宋体" w:hAnsi="宋体"/>
                <w:b/>
                <w:bCs/>
              </w:rPr>
              <w:t>涉及事项</w:t>
            </w:r>
          </w:p>
        </w:tc>
        <w:tc>
          <w:tcPr>
            <w:tcW w:w="6795" w:type="dxa"/>
            <w:vAlign w:val="center"/>
          </w:tcPr>
          <w:p>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.1</w:t>
            </w:r>
          </w:p>
        </w:tc>
        <w:tc>
          <w:tcPr>
            <w:tcW w:w="1755" w:type="dxa"/>
            <w:vAlign w:val="center"/>
          </w:tcPr>
          <w:p>
            <w:pPr>
              <w:jc w:val="left"/>
              <w:rPr>
                <w:rFonts w:hint="eastAsia" w:ascii="宋体" w:hAnsi="宋体"/>
              </w:rPr>
            </w:pPr>
            <w:r>
              <w:rPr>
                <w:rFonts w:hint="eastAsia" w:ascii="宋体" w:hAnsi="宋体"/>
              </w:rPr>
              <w:t>采购人</w:t>
            </w:r>
          </w:p>
        </w:tc>
        <w:tc>
          <w:tcPr>
            <w:tcW w:w="6795" w:type="dxa"/>
            <w:vAlign w:val="center"/>
          </w:tcPr>
          <w:p>
            <w:pPr>
              <w:jc w:val="left"/>
              <w:rPr>
                <w:rFonts w:hint="eastAsia" w:ascii="宋体" w:hAnsi="宋体"/>
              </w:rPr>
            </w:pPr>
            <w:r>
              <w:rPr>
                <w:rFonts w:hint="eastAsia" w:ascii="宋体" w:hAnsi="宋体"/>
              </w:rPr>
              <w:t>深圳市龙华外国语高级中学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.2</w:t>
            </w:r>
          </w:p>
        </w:tc>
        <w:tc>
          <w:tcPr>
            <w:tcW w:w="1755" w:type="dxa"/>
            <w:vAlign w:val="center"/>
          </w:tcPr>
          <w:p>
            <w:pPr>
              <w:jc w:val="center"/>
              <w:rPr>
                <w:rFonts w:hint="eastAsia" w:ascii="宋体" w:hAnsi="宋体"/>
              </w:rPr>
            </w:pPr>
            <w:r>
              <w:rPr>
                <w:rFonts w:hint="eastAsia" w:ascii="宋体" w:hAnsi="宋体"/>
              </w:rPr>
              <w:t>政府集中采购机构</w:t>
            </w:r>
          </w:p>
        </w:tc>
        <w:tc>
          <w:tcPr>
            <w:tcW w:w="6795" w:type="dxa"/>
            <w:vAlign w:val="center"/>
          </w:tcPr>
          <w:p>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5</w:t>
            </w:r>
            <w:r>
              <w:rPr>
                <w:rFonts w:ascii="宋体" w:hAnsi="宋体"/>
              </w:rPr>
              <w:t>.3</w:t>
            </w:r>
          </w:p>
        </w:tc>
        <w:tc>
          <w:tcPr>
            <w:tcW w:w="1755" w:type="dxa"/>
            <w:vAlign w:val="center"/>
          </w:tcPr>
          <w:p>
            <w:pPr>
              <w:jc w:val="center"/>
              <w:rPr>
                <w:rFonts w:hint="eastAsia" w:ascii="宋体" w:hAnsi="宋体"/>
              </w:rPr>
            </w:pPr>
            <w:r>
              <w:rPr>
                <w:rFonts w:hint="eastAsia" w:ascii="宋体" w:hAnsi="宋体"/>
              </w:rPr>
              <w:t>联合体投标</w:t>
            </w:r>
          </w:p>
        </w:tc>
        <w:tc>
          <w:tcPr>
            <w:tcW w:w="6795" w:type="dxa"/>
            <w:vAlign w:val="center"/>
          </w:tcPr>
          <w:p>
            <w:pPr>
              <w:jc w:val="left"/>
              <w:rPr>
                <w:rFonts w:ascii="Arial" w:hAnsi="Arial" w:eastAsia="宋体" w:cs="Times New Roman"/>
                <w:szCs w:val="24"/>
              </w:rPr>
            </w:pPr>
            <w:r>
              <w:rPr>
                <w:rFonts w:hint="eastAsia" w:ascii="Arial" w:hAnsi="Arial" w:eastAsia="宋体" w:cs="Times New Roman"/>
                <w:szCs w:val="24"/>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9</w:t>
            </w:r>
          </w:p>
        </w:tc>
        <w:tc>
          <w:tcPr>
            <w:tcW w:w="1755" w:type="dxa"/>
            <w:vAlign w:val="center"/>
          </w:tcPr>
          <w:p>
            <w:pPr>
              <w:jc w:val="center"/>
              <w:rPr>
                <w:rFonts w:hint="eastAsia" w:ascii="宋体" w:hAnsi="宋体"/>
                <w:b/>
                <w:bCs/>
                <w:highlight w:val="yellow"/>
              </w:rPr>
            </w:pPr>
            <w:r>
              <w:rPr>
                <w:rFonts w:hint="eastAsia" w:ascii="宋体" w:hAnsi="宋体"/>
              </w:rPr>
              <w:t>踏勘现场</w:t>
            </w:r>
          </w:p>
        </w:tc>
        <w:tc>
          <w:tcPr>
            <w:tcW w:w="6795" w:type="dxa"/>
            <w:vAlign w:val="center"/>
          </w:tcPr>
          <w:p>
            <w:pPr>
              <w:jc w:val="left"/>
              <w:rPr>
                <w:rFonts w:ascii="Arial" w:hAnsi="Arial" w:cs="Times New Roman"/>
                <w:szCs w:val="24"/>
              </w:rPr>
            </w:pPr>
            <w:r>
              <w:rPr>
                <w:rFonts w:hint="eastAsia" w:ascii="宋体" w:hAnsi="宋体" w:eastAsia="宋体" w:cs="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0</w:t>
            </w:r>
          </w:p>
        </w:tc>
        <w:tc>
          <w:tcPr>
            <w:tcW w:w="1755" w:type="dxa"/>
            <w:vAlign w:val="center"/>
          </w:tcPr>
          <w:p>
            <w:pPr>
              <w:jc w:val="center"/>
              <w:rPr>
                <w:rFonts w:hint="eastAsia" w:ascii="宋体" w:hAnsi="宋体"/>
              </w:rPr>
            </w:pPr>
            <w:r>
              <w:rPr>
                <w:rFonts w:hint="eastAsia" w:ascii="宋体" w:hAnsi="宋体"/>
              </w:rPr>
              <w:t>标前会议</w:t>
            </w:r>
          </w:p>
        </w:tc>
        <w:tc>
          <w:tcPr>
            <w:tcW w:w="6795" w:type="dxa"/>
            <w:vAlign w:val="center"/>
          </w:tcPr>
          <w:p>
            <w:pPr>
              <w:jc w:val="left"/>
              <w:rPr>
                <w:rFonts w:ascii="Arial" w:hAnsi="Arial" w:eastAsia="宋体" w:cs="Times New Roman"/>
                <w:szCs w:val="24"/>
              </w:rPr>
            </w:pPr>
            <w:r>
              <w:rPr>
                <w:rFonts w:hint="eastAsia" w:ascii="宋体" w:hAnsi="宋体" w:eastAsia="宋体" w:cs="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pPr>
              <w:jc w:val="center"/>
              <w:rPr>
                <w:rFonts w:hint="eastAsia" w:ascii="宋体" w:hAnsi="宋体"/>
              </w:rPr>
            </w:pPr>
            <w:r>
              <w:rPr>
                <w:rFonts w:hint="eastAsia" w:ascii="宋体" w:hAnsi="宋体"/>
              </w:rPr>
              <w:t>招标文件的澄清和修改</w:t>
            </w:r>
          </w:p>
        </w:tc>
        <w:tc>
          <w:tcPr>
            <w:tcW w:w="6795" w:type="dxa"/>
            <w:vAlign w:val="center"/>
          </w:tcPr>
          <w:p>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0</w:t>
            </w:r>
          </w:p>
        </w:tc>
        <w:tc>
          <w:tcPr>
            <w:tcW w:w="1755" w:type="dxa"/>
            <w:vAlign w:val="center"/>
          </w:tcPr>
          <w:p>
            <w:pPr>
              <w:jc w:val="center"/>
              <w:rPr>
                <w:rFonts w:hint="eastAsia" w:ascii="宋体" w:hAnsi="宋体"/>
              </w:rPr>
            </w:pPr>
            <w:r>
              <w:rPr>
                <w:rFonts w:hint="eastAsia" w:ascii="宋体" w:hAnsi="宋体"/>
              </w:rPr>
              <w:t>投标有效期</w:t>
            </w:r>
          </w:p>
        </w:tc>
        <w:tc>
          <w:tcPr>
            <w:tcW w:w="6795" w:type="dxa"/>
            <w:vAlign w:val="center"/>
          </w:tcPr>
          <w:p>
            <w:pPr>
              <w:jc w:val="left"/>
              <w:rPr>
                <w:rFonts w:hint="eastAsia" w:ascii="宋体" w:hAnsi="宋体"/>
              </w:rPr>
            </w:pPr>
            <w:r>
              <w:rPr>
                <w:rFonts w:hint="eastAsia" w:ascii="宋体" w:hAnsi="宋体"/>
              </w:rPr>
              <w:t>120日历天（从投标截止之日算起）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2</w:t>
            </w:r>
          </w:p>
        </w:tc>
        <w:tc>
          <w:tcPr>
            <w:tcW w:w="1755" w:type="dxa"/>
            <w:vAlign w:val="center"/>
          </w:tcPr>
          <w:p>
            <w:pPr>
              <w:jc w:val="center"/>
              <w:rPr>
                <w:rFonts w:hint="eastAsia" w:ascii="宋体" w:hAnsi="宋体"/>
              </w:rPr>
            </w:pPr>
            <w:r>
              <w:rPr>
                <w:rFonts w:hint="eastAsia" w:ascii="宋体" w:hAnsi="宋体"/>
              </w:rPr>
              <w:t>投标人的替代方案</w:t>
            </w:r>
          </w:p>
        </w:tc>
        <w:tc>
          <w:tcPr>
            <w:tcW w:w="6795" w:type="dxa"/>
            <w:vAlign w:val="center"/>
          </w:tcPr>
          <w:p>
            <w:pPr>
              <w:jc w:val="left"/>
              <w:rPr>
                <w:rFonts w:hint="eastAsia"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5</w:t>
            </w:r>
          </w:p>
        </w:tc>
        <w:tc>
          <w:tcPr>
            <w:tcW w:w="1755" w:type="dxa"/>
            <w:vAlign w:val="center"/>
          </w:tcPr>
          <w:p>
            <w:pPr>
              <w:jc w:val="center"/>
              <w:rPr>
                <w:rFonts w:hint="eastAsia" w:ascii="宋体" w:hAnsi="宋体"/>
              </w:rPr>
            </w:pPr>
            <w:r>
              <w:rPr>
                <w:rFonts w:hint="eastAsia" w:ascii="宋体" w:hAnsi="宋体"/>
              </w:rPr>
              <w:t>投标文件的大小</w:t>
            </w:r>
          </w:p>
        </w:tc>
        <w:tc>
          <w:tcPr>
            <w:tcW w:w="6795" w:type="dxa"/>
            <w:vAlign w:val="center"/>
          </w:tcPr>
          <w:p>
            <w:pPr>
              <w:jc w:val="left"/>
              <w:rPr>
                <w:rFonts w:hint="eastAsia" w:ascii="宋体" w:hAnsi="宋体"/>
              </w:rPr>
            </w:pPr>
            <w:r>
              <w:rPr>
                <w:rFonts w:hint="eastAsia" w:ascii="宋体" w:hAnsi="宋体"/>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6</w:t>
            </w:r>
          </w:p>
        </w:tc>
        <w:tc>
          <w:tcPr>
            <w:tcW w:w="1755" w:type="dxa"/>
            <w:vAlign w:val="center"/>
          </w:tcPr>
          <w:p>
            <w:pPr>
              <w:jc w:val="center"/>
              <w:rPr>
                <w:rFonts w:hint="eastAsia" w:ascii="宋体" w:hAnsi="宋体"/>
              </w:rPr>
            </w:pPr>
            <w:r>
              <w:rPr>
                <w:rFonts w:hint="eastAsia" w:ascii="宋体" w:hAnsi="宋体"/>
              </w:rPr>
              <w:t>样品、现场演示、方案讲解</w:t>
            </w:r>
          </w:p>
        </w:tc>
        <w:tc>
          <w:tcPr>
            <w:tcW w:w="6795" w:type="dxa"/>
            <w:vAlign w:val="center"/>
          </w:tcPr>
          <w:p>
            <w:pPr>
              <w:jc w:val="left"/>
              <w:rPr>
                <w:rFonts w:hint="eastAsia" w:ascii="宋体" w:hAnsi="宋体"/>
              </w:rPr>
            </w:pPr>
            <w:r>
              <w:rPr>
                <w:rFonts w:hint="eastAsia" w:ascii="宋体" w:hAnsi="宋体"/>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7</w:t>
            </w:r>
          </w:p>
        </w:tc>
        <w:tc>
          <w:tcPr>
            <w:tcW w:w="1755" w:type="dxa"/>
            <w:vAlign w:val="center"/>
          </w:tcPr>
          <w:p>
            <w:pPr>
              <w:jc w:val="center"/>
              <w:rPr>
                <w:rFonts w:hint="eastAsia" w:ascii="宋体" w:hAnsi="宋体"/>
              </w:rPr>
            </w:pPr>
            <w:r>
              <w:rPr>
                <w:rFonts w:hint="eastAsia" w:ascii="宋体" w:hAnsi="宋体"/>
              </w:rPr>
              <w:t>评审方法</w:t>
            </w:r>
          </w:p>
        </w:tc>
        <w:tc>
          <w:tcPr>
            <w:tcW w:w="6795" w:type="dxa"/>
            <w:vAlign w:val="center"/>
          </w:tcPr>
          <w:p>
            <w:pPr>
              <w:jc w:val="left"/>
              <w:rPr>
                <w:rFonts w:hint="eastAsia" w:ascii="宋体" w:hAnsi="宋体"/>
              </w:rPr>
            </w:pPr>
            <w:r>
              <w:rPr>
                <w:rFonts w:ascii="宋体" w:hAnsi="宋体"/>
                <w:b/>
                <w:bCs/>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8</w:t>
            </w:r>
          </w:p>
        </w:tc>
        <w:tc>
          <w:tcPr>
            <w:tcW w:w="1755" w:type="dxa"/>
            <w:vAlign w:val="center"/>
          </w:tcPr>
          <w:p>
            <w:pPr>
              <w:jc w:val="center"/>
              <w:rPr>
                <w:rFonts w:hint="eastAsia" w:ascii="宋体" w:hAnsi="宋体"/>
              </w:rPr>
            </w:pPr>
            <w:r>
              <w:rPr>
                <w:rFonts w:hint="eastAsia" w:ascii="宋体" w:hAnsi="宋体"/>
              </w:rPr>
              <w:t>定标方法</w:t>
            </w:r>
          </w:p>
        </w:tc>
        <w:tc>
          <w:tcPr>
            <w:tcW w:w="6795" w:type="dxa"/>
            <w:vAlign w:val="center"/>
          </w:tcPr>
          <w:p>
            <w:pPr>
              <w:jc w:val="left"/>
              <w:rPr>
                <w:rFonts w:hint="eastAsia" w:ascii="宋体" w:hAnsi="宋体"/>
                <w:b/>
                <w:bCs/>
                <w:highlight w:val="yellow"/>
              </w:rPr>
            </w:pPr>
            <w:r>
              <w:rPr>
                <w:rFonts w:hint="eastAsia" w:ascii="宋体" w:hAnsi="宋体" w:eastAsia="宋体" w:cs="Times New Roman"/>
                <w:b/>
                <w:bCs/>
                <w:szCs w:val="21"/>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4</w:t>
            </w:r>
            <w:r>
              <w:rPr>
                <w:rFonts w:ascii="宋体" w:hAnsi="宋体"/>
              </w:rPr>
              <w:t>6</w:t>
            </w:r>
          </w:p>
        </w:tc>
        <w:tc>
          <w:tcPr>
            <w:tcW w:w="1755" w:type="dxa"/>
            <w:vAlign w:val="center"/>
          </w:tcPr>
          <w:p>
            <w:pPr>
              <w:jc w:val="center"/>
              <w:rPr>
                <w:rFonts w:hint="eastAsia" w:ascii="宋体" w:hAnsi="宋体"/>
              </w:rPr>
            </w:pPr>
            <w:r>
              <w:rPr>
                <w:rFonts w:hint="eastAsia" w:ascii="宋体" w:hAnsi="宋体"/>
              </w:rPr>
              <w:t>履约担保</w:t>
            </w:r>
          </w:p>
        </w:tc>
        <w:tc>
          <w:tcPr>
            <w:tcW w:w="6795" w:type="dxa"/>
            <w:vAlign w:val="center"/>
          </w:tcPr>
          <w:p>
            <w:pPr>
              <w:jc w:val="left"/>
              <w:rPr>
                <w:rFonts w:hint="eastAsia" w:ascii="宋体" w:hAnsi="宋体"/>
              </w:rPr>
            </w:pPr>
            <w:r>
              <w:rPr>
                <w:rFonts w:hint="eastAsia" w:ascii="宋体" w:hAnsi="宋体"/>
              </w:rPr>
              <w:t>不需要</w:t>
            </w:r>
          </w:p>
        </w:tc>
      </w:tr>
      <w:bookmarkEnd w:id="4"/>
      <w:bookmarkEnd w:id="5"/>
      <w:bookmarkEnd w:id="6"/>
      <w:bookmarkEnd w:id="7"/>
      <w:bookmarkEnd w:id="8"/>
      <w:bookmarkEnd w:id="9"/>
      <w:bookmarkEnd w:id="10"/>
      <w:bookmarkEnd w:id="11"/>
    </w:tbl>
    <w:p>
      <w:pPr>
        <w:widowControl/>
        <w:jc w:val="center"/>
        <w:rPr>
          <w:szCs w:val="21"/>
        </w:rPr>
      </w:pPr>
      <w:r>
        <w:rPr>
          <w:rFonts w:hint="eastAsia"/>
          <w:szCs w:val="21"/>
        </w:rPr>
        <w:t>备注：本表是通用条款相关条款的补充和明确，如与通用条款内容相冲突的，以本表为准。</w:t>
      </w:r>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pPr>
        <w:tabs>
          <w:tab w:val="left" w:pos="720"/>
        </w:tabs>
        <w:rPr>
          <w:rFonts w:hint="eastAsia" w:ascii="黑体" w:hAnsi="宋体" w:eastAsia="黑体"/>
          <w:bCs/>
          <w:sz w:val="24"/>
        </w:rPr>
      </w:pPr>
      <w:r>
        <w:rPr>
          <w:rFonts w:hint="eastAsia" w:ascii="黑体" w:hAnsi="宋体" w:eastAsia="黑体"/>
          <w:bCs/>
          <w:sz w:val="24"/>
        </w:rPr>
        <w:t>1、评标定标信息</w:t>
      </w:r>
    </w:p>
    <w:p>
      <w:pPr>
        <w:jc w:val="center"/>
      </w:pPr>
      <w:r>
        <w:rPr>
          <w:rFonts w:hint="eastAsia"/>
          <w:b/>
        </w:rPr>
        <w:t>非评定分离项目</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4" w:type="dxa"/>
          </w:tcPr>
          <w:p>
            <w:pPr>
              <w:jc w:val="center"/>
            </w:pPr>
            <w:r>
              <w:rPr>
                <w:rFonts w:hint="eastAsia"/>
              </w:rPr>
              <w:t>评标方法</w:t>
            </w:r>
          </w:p>
        </w:tc>
        <w:tc>
          <w:tcPr>
            <w:tcW w:w="3235" w:type="dxa"/>
          </w:tcPr>
          <w:p>
            <w:pPr>
              <w:jc w:val="center"/>
              <w:rPr>
                <w:rFonts w:eastAsia="宋体"/>
              </w:rPr>
            </w:pPr>
            <w:r>
              <w:rPr>
                <w:rFonts w:hint="eastAsia"/>
              </w:rPr>
              <w:sym w:font="Wingdings" w:char="00FE"/>
            </w:r>
            <w:r>
              <w:rPr>
                <w:rFonts w:hint="eastAsia"/>
              </w:rPr>
              <w:t>综合评分法</w:t>
            </w:r>
          </w:p>
        </w:tc>
        <w:tc>
          <w:tcPr>
            <w:tcW w:w="2450" w:type="dxa"/>
          </w:tcPr>
          <w:p>
            <w:pPr>
              <w:jc w:val="center"/>
            </w:pPr>
            <w:r>
              <w:rPr>
                <w:rFonts w:hint="eastAsia" w:ascii="Times New Roman" w:eastAsia="宋体"/>
              </w:rPr>
              <w:sym w:font="Wingdings" w:char="00A8"/>
            </w:r>
            <w:r>
              <w:rPr>
                <w:rFonts w:hint="eastAsia" w:ascii="Times New Roman" w:eastAsia="宋体"/>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候选中标供应商家数</w:t>
            </w:r>
          </w:p>
        </w:tc>
        <w:tc>
          <w:tcPr>
            <w:tcW w:w="3235" w:type="dxa"/>
          </w:tcPr>
          <w:p>
            <w:pPr>
              <w:jc w:val="center"/>
              <w:rPr>
                <w:rFonts w:eastAsia="宋体"/>
              </w:rPr>
            </w:pPr>
            <w:r>
              <w:rPr>
                <w:rFonts w:hint="eastAsia" w:eastAsia="宋体"/>
              </w:rPr>
              <w:t>3</w:t>
            </w:r>
          </w:p>
        </w:tc>
        <w:tc>
          <w:tcPr>
            <w:tcW w:w="2450" w:type="dxa"/>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4" w:type="dxa"/>
          </w:tcPr>
          <w:p>
            <w:pPr>
              <w:jc w:val="center"/>
            </w:pPr>
            <w:r>
              <w:rPr>
                <w:rFonts w:hint="eastAsia"/>
              </w:rPr>
              <w:t>中标供应商家数</w:t>
            </w:r>
          </w:p>
        </w:tc>
        <w:tc>
          <w:tcPr>
            <w:tcW w:w="3235" w:type="dxa"/>
          </w:tcPr>
          <w:p>
            <w:pPr>
              <w:jc w:val="center"/>
            </w:pPr>
            <w:r>
              <w:rPr>
                <w:rFonts w:hint="eastAsia"/>
              </w:rPr>
              <w:t>1</w:t>
            </w:r>
          </w:p>
        </w:tc>
        <w:tc>
          <w:tcPr>
            <w:tcW w:w="2450" w:type="dxa"/>
          </w:tcPr>
          <w:p>
            <w:pPr>
              <w:jc w:val="center"/>
            </w:pPr>
            <w:r>
              <w:rPr>
                <w:rFonts w:hint="eastAsia"/>
              </w:rPr>
              <w:t>1</w:t>
            </w:r>
          </w:p>
        </w:tc>
      </w:tr>
    </w:tbl>
    <w:p>
      <w:pPr>
        <w:tabs>
          <w:tab w:val="left" w:pos="720"/>
        </w:tabs>
        <w:rPr>
          <w:rFonts w:hint="eastAsia" w:ascii="黑体" w:hAnsi="宋体" w:eastAsia="黑体"/>
          <w:sz w:val="24"/>
        </w:rPr>
      </w:pPr>
      <w:r>
        <w:rPr>
          <w:rFonts w:hint="eastAsia" w:ascii="黑体" w:hAnsi="宋体" w:eastAsia="黑体"/>
          <w:sz w:val="24"/>
        </w:rPr>
        <w:t>（二）其他事项</w:t>
      </w:r>
    </w:p>
    <w:p>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pPr>
        <w:ind w:firstLine="413" w:firstLineChars="196"/>
        <w:rPr>
          <w:rFonts w:hint="eastAsia" w:ascii="宋体" w:hAnsi="宋体"/>
          <w:color w:val="FF0000"/>
          <w:highlight w:val="none"/>
        </w:rPr>
      </w:pPr>
      <w:r>
        <w:rPr>
          <w:rFonts w:hint="eastAsia" w:ascii="宋体" w:hAnsi="宋体"/>
          <w:b/>
          <w:bCs/>
          <w:color w:val="FF0000"/>
          <w:highlight w:val="none"/>
        </w:rPr>
        <w:t>（1）</w:t>
      </w:r>
      <w:r>
        <w:rPr>
          <w:rFonts w:hint="eastAsia"/>
          <w:b/>
          <w:bCs/>
          <w:color w:val="FF0000"/>
          <w:highlight w:val="none"/>
        </w:rPr>
        <w:t>专门面向中小企业采购的项目（包括联合体或分包预留中小企业份额的项目），不再执行价格扣除比例。</w:t>
      </w:r>
    </w:p>
    <w:p>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w:t>
      </w:r>
      <w:r>
        <w:rPr>
          <w:rFonts w:hint="eastAsia" w:ascii="Times New Roman" w:eastAsia="宋体"/>
        </w:rPr>
        <w:t>小企业采购的项目，</w:t>
      </w:r>
      <w:r>
        <w:rPr>
          <w:rFonts w:hint="eastAsia"/>
        </w:rPr>
        <w:t>应</w:t>
      </w:r>
      <w:r>
        <w:rPr>
          <w:rFonts w:hint="eastAsia" w:ascii="Times New Roman" w:eastAsia="宋体"/>
        </w:rPr>
        <w:t>执行价格扣除比例</w:t>
      </w:r>
      <w:r>
        <w:rPr>
          <w:rFonts w:hint="eastAsia"/>
        </w:rPr>
        <w:t>：</w:t>
      </w:r>
      <w:r>
        <w:rPr>
          <w:rFonts w:hint="eastAsia" w:ascii="宋体" w:hAnsi="宋体"/>
        </w:rPr>
        <w:t>投标人提供的货物（以招标文件用户需求书“货物需求明细”的“货物名称”一栏为准）全部均由优惠主体制造的，对其投标总价给予</w:t>
      </w:r>
      <w:r>
        <w:rPr>
          <w:rFonts w:hint="eastAsia" w:ascii="宋体" w:hAnsi="宋体"/>
          <w:b/>
          <w:bCs/>
          <w:u w:val="single"/>
        </w:rPr>
        <w:t xml:space="preserve"> 10%</w:t>
      </w:r>
      <w:r>
        <w:rPr>
          <w:rFonts w:hint="eastAsia" w:ascii="宋体" w:hAnsi="宋体" w:eastAsia="宋体" w:cs="Times New Roman"/>
          <w:b/>
          <w:bCs/>
          <w:sz w:val="24"/>
          <w:szCs w:val="24"/>
          <w:u w:val="single"/>
        </w:rPr>
        <w:t xml:space="preserve"> </w:t>
      </w:r>
      <w:r>
        <w:rPr>
          <w:rFonts w:hint="eastAsia" w:ascii="宋体" w:hAnsi="宋体"/>
          <w:b/>
          <w:bCs/>
        </w:rPr>
        <w:t>的</w:t>
      </w:r>
      <w:r>
        <w:rPr>
          <w:rFonts w:hint="eastAsia" w:ascii="宋体" w:hAnsi="宋体"/>
        </w:rPr>
        <w:t>扣除，用扣除后的价格参与评审。满足多项优惠政策的企业，不重复享受多项价格扣除政策。</w:t>
      </w:r>
      <w:r>
        <w:rPr>
          <w:rFonts w:hint="eastAsia" w:ascii="Arial" w:hAnsi="Arial" w:eastAsia="宋体" w:cs="Times New Roman"/>
          <w:b/>
          <w:szCs w:val="21"/>
        </w:rPr>
        <w:t>政策调整后价格仅作为评审依据，不作为中标价格。</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2"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2"/>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pPr>
        <w:tabs>
          <w:tab w:val="left" w:pos="720"/>
        </w:tabs>
        <w:ind w:firstLine="480" w:firstLineChars="200"/>
        <w:rPr>
          <w:rFonts w:hint="eastAsia" w:ascii="黑体" w:hAnsi="宋体" w:eastAsia="黑体"/>
          <w:sz w:val="24"/>
        </w:rPr>
      </w:pPr>
    </w:p>
    <w:p>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r>
    </w:tbl>
    <w:p>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pPr>
        <w:widowControl/>
        <w:ind w:firstLine="420"/>
        <w:jc w:val="left"/>
        <w:rPr>
          <w:rFonts w:hint="eastAsia" w:ascii="宋体" w:hAnsi="宋体"/>
          <w:color w:val="FF0000"/>
          <w:szCs w:val="21"/>
        </w:rPr>
      </w:pPr>
    </w:p>
    <w:p>
      <w:pPr>
        <w:widowControl/>
        <w:ind w:firstLine="420"/>
        <w:jc w:val="left"/>
        <w:rPr>
          <w:rFonts w:hint="eastAsia" w:ascii="宋体" w:hAnsi="宋体" w:eastAsia="黑体" w:cs="Times New Roman"/>
          <w:bCs/>
          <w:kern w:val="44"/>
          <w:szCs w:val="21"/>
        </w:rPr>
      </w:pPr>
    </w:p>
    <w:p>
      <w:pPr>
        <w:widowControl/>
        <w:jc w:val="left"/>
        <w:rPr>
          <w:rFonts w:hint="eastAsia" w:ascii="宋体" w:hAnsi="宋体" w:eastAsia="黑体" w:cs="Times New Roman"/>
          <w:bCs/>
          <w:kern w:val="44"/>
          <w:sz w:val="28"/>
          <w:szCs w:val="44"/>
        </w:rPr>
      </w:pPr>
      <w:r>
        <w:rPr>
          <w:rFonts w:ascii="宋体" w:hAnsi="宋体" w:eastAsia="黑体" w:cs="Times New Roman"/>
          <w:bCs/>
          <w:kern w:val="44"/>
          <w:sz w:val="28"/>
          <w:szCs w:val="44"/>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9"/>
        <w:tblW w:w="8931" w:type="dxa"/>
        <w:jc w:val="center"/>
        <w:tblLayout w:type="fixed"/>
        <w:tblCellMar>
          <w:top w:w="15" w:type="dxa"/>
          <w:left w:w="15" w:type="dxa"/>
          <w:bottom w:w="15" w:type="dxa"/>
          <w:right w:w="15" w:type="dxa"/>
        </w:tblCellMar>
      </w:tblPr>
      <w:tblGrid>
        <w:gridCol w:w="710"/>
        <w:gridCol w:w="2693"/>
        <w:gridCol w:w="2906"/>
        <w:gridCol w:w="2622"/>
      </w:tblGrid>
      <w:tr>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asciiTheme="minorEastAsia" w:hAnsiTheme="minorEastAsia"/>
                <w:sz w:val="24"/>
                <w:szCs w:val="24"/>
              </w:rPr>
              <w:t>财政预算限额（元）</w:t>
            </w:r>
          </w:p>
        </w:tc>
      </w:tr>
      <w:tr>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Theme="minorEastAsia" w:hAnsiTheme="minorEastAsia"/>
                <w:sz w:val="24"/>
                <w:szCs w:val="24"/>
              </w:rPr>
            </w:pPr>
            <w:r>
              <w:rPr>
                <w:rFonts w:hint="eastAsia" w:asciiTheme="minorEastAsia" w:hAnsiTheme="minorEastAsia"/>
                <w:sz w:val="24"/>
                <w:szCs w:val="24"/>
              </w:rPr>
              <w:t>1</w:t>
            </w:r>
          </w:p>
        </w:tc>
        <w:tc>
          <w:tcPr>
            <w:tcW w:w="2693"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Theme="minorEastAsia" w:hAnsiTheme="minorEastAsia" w:eastAsiaTheme="minorEastAsia"/>
                <w:sz w:val="24"/>
                <w:szCs w:val="24"/>
                <w:lang w:eastAsia="zh-CN"/>
              </w:rPr>
            </w:pPr>
            <w:r>
              <w:rPr>
                <w:rFonts w:hint="eastAsia" w:ascii="宋体" w:hAnsi="宋体" w:eastAsia="宋体" w:cs="宋体"/>
                <w:sz w:val="24"/>
                <w:szCs w:val="24"/>
                <w:lang w:val="en-US" w:eastAsia="zh-CN"/>
              </w:rPr>
              <w:t xml:space="preserve"> LHAZXCG-2025-00119</w:t>
            </w:r>
          </w:p>
        </w:tc>
        <w:tc>
          <w:tcPr>
            <w:tcW w:w="2906" w:type="dxa"/>
            <w:tcBorders>
              <w:top w:val="single" w:color="000000" w:sz="4" w:space="0"/>
              <w:left w:val="single" w:color="000000" w:sz="4" w:space="0"/>
              <w:right w:val="single" w:color="000000" w:sz="4" w:space="0"/>
            </w:tcBorders>
            <w:vAlign w:val="center"/>
          </w:tcPr>
          <w:p>
            <w:pPr>
              <w:jc w:val="center"/>
              <w:rPr>
                <w:rFonts w:hint="eastAsia" w:eastAsia="宋体"/>
                <w:lang w:eastAsia="zh-CN"/>
              </w:rPr>
            </w:pPr>
            <w:r>
              <w:rPr>
                <w:rFonts w:hint="eastAsia" w:eastAsia="宋体"/>
                <w:lang w:val="en-US" w:eastAsia="zh-CN"/>
              </w:rPr>
              <w:t xml:space="preserve">深圳市龙华外国语高级中学校乐器设备采购 </w:t>
            </w:r>
          </w:p>
        </w:tc>
        <w:tc>
          <w:tcPr>
            <w:tcW w:w="2622" w:type="dxa"/>
            <w:vMerge w:val="restart"/>
            <w:tcBorders>
              <w:top w:val="single" w:color="000000" w:sz="4" w:space="0"/>
              <w:left w:val="single" w:color="000000" w:sz="4" w:space="0"/>
              <w:right w:val="single" w:color="000000" w:sz="4" w:space="0"/>
            </w:tcBorders>
            <w:vAlign w:val="center"/>
          </w:tcPr>
          <w:p>
            <w:pPr>
              <w:jc w:val="center"/>
              <w:rPr>
                <w:rFonts w:hint="eastAsia" w:asciiTheme="minorEastAsia" w:hAnsiTheme="minorEastAsia" w:eastAsiaTheme="minorEastAsia"/>
                <w:sz w:val="24"/>
                <w:szCs w:val="24"/>
                <w:lang w:eastAsia="zh-CN"/>
              </w:rPr>
            </w:pPr>
            <w:r>
              <w:rPr>
                <w:rFonts w:hint="default" w:ascii="Arial" w:hAnsi="Arial" w:eastAsia="宋体" w:cs="Arial"/>
                <w:i w:val="0"/>
                <w:iCs w:val="0"/>
                <w:caps w:val="0"/>
                <w:color w:val="333333"/>
                <w:spacing w:val="8"/>
                <w:kern w:val="0"/>
                <w:sz w:val="21"/>
                <w:szCs w:val="21"/>
                <w:lang w:val="en-US" w:eastAsia="zh-CN" w:bidi="ar"/>
              </w:rPr>
              <w:t>197000</w:t>
            </w:r>
            <w:r>
              <w:rPr>
                <w:rFonts w:hint="eastAsia" w:asciiTheme="minorEastAsia" w:hAnsiTheme="minorEastAsia"/>
                <w:sz w:val="24"/>
                <w:szCs w:val="24"/>
                <w:lang w:val="en-US" w:eastAsia="zh-CN"/>
              </w:rPr>
              <w:t xml:space="preserve"> </w:t>
            </w:r>
          </w:p>
        </w:tc>
      </w:tr>
      <w:tr>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pPr>
              <w:jc w:val="center"/>
            </w:pPr>
            <w:r>
              <w:rPr>
                <w:rFonts w:hint="eastAsia"/>
              </w:rPr>
              <w:t>合计（元）</w:t>
            </w:r>
          </w:p>
        </w:tc>
        <w:tc>
          <w:tcPr>
            <w:tcW w:w="2622" w:type="dxa"/>
            <w:vMerge w:val="continue"/>
            <w:tcBorders>
              <w:left w:val="single" w:color="000000" w:sz="4" w:space="0"/>
              <w:bottom w:val="single" w:color="auto" w:sz="4" w:space="0"/>
              <w:right w:val="single" w:color="000000" w:sz="4" w:space="0"/>
            </w:tcBorders>
            <w:vAlign w:val="center"/>
          </w:tcPr>
          <w:p>
            <w:pPr>
              <w:jc w:val="center"/>
              <w:rPr>
                <w:rFonts w:hint="eastAsia" w:asciiTheme="minorEastAsia" w:hAnsiTheme="minorEastAsia"/>
                <w:sz w:val="24"/>
                <w:szCs w:val="24"/>
              </w:rPr>
            </w:pPr>
          </w:p>
        </w:tc>
      </w:tr>
    </w:tbl>
    <w:p>
      <w:pPr>
        <w:rPr>
          <w:sz w:val="24"/>
          <w:szCs w:val="24"/>
        </w:rPr>
      </w:pPr>
    </w:p>
    <w:p>
      <w:pPr>
        <w:keepNext/>
        <w:keepLines/>
        <w:numPr>
          <w:ilvl w:val="0"/>
          <w:numId w:val="1"/>
        </w:numPr>
        <w:tabs>
          <w:tab w:val="left" w:pos="1680"/>
        </w:tabs>
        <w:spacing w:before="260" w:after="78" w:afterLines="25"/>
        <w:jc w:val="center"/>
        <w:outlineLvl w:val="2"/>
        <w:rPr>
          <w:rFonts w:hint="eastAsia" w:ascii="Arial" w:hAnsi="Arial" w:eastAsia="宋体" w:cs="Times New Roman"/>
          <w:b/>
          <w:sz w:val="32"/>
          <w:szCs w:val="32"/>
        </w:rPr>
      </w:pP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r>
        <w:rPr>
          <w:rFonts w:hint="eastAsia" w:ascii="宋体" w:hAnsi="宋体"/>
          <w:b/>
          <w:color w:val="FF0000"/>
          <w:sz w:val="32"/>
          <w:szCs w:val="32"/>
        </w:rPr>
        <w:t>本项目核心产品为：</w:t>
      </w:r>
      <w:r>
        <w:rPr>
          <w:rFonts w:hint="eastAsia" w:ascii="宋体" w:hAnsi="宋体"/>
          <w:b/>
          <w:color w:val="FF0000"/>
          <w:sz w:val="32"/>
          <w:szCs w:val="32"/>
          <w:u w:val="single"/>
        </w:rPr>
        <w:t xml:space="preserve"> 定音鼓 </w:t>
      </w:r>
    </w:p>
    <w:tbl>
      <w:tblPr>
        <w:tblStyle w:val="19"/>
        <w:tblpPr w:leftFromText="180" w:rightFromText="180" w:vertAnchor="text" w:horzAnchor="page" w:tblpX="1677" w:tblpY="10"/>
        <w:tblOverlap w:val="never"/>
        <w:tblW w:w="8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24"/>
        <w:gridCol w:w="1010"/>
        <w:gridCol w:w="977"/>
        <w:gridCol w:w="1485"/>
        <w:gridCol w:w="738"/>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vMerge w:val="restart"/>
            <w:noWrap w:val="0"/>
            <w:vAlign w:val="center"/>
          </w:tcPr>
          <w:p>
            <w:pPr>
              <w:jc w:val="center"/>
              <w:rPr>
                <w:bCs/>
                <w:szCs w:val="21"/>
              </w:rPr>
            </w:pPr>
            <w:r>
              <w:rPr>
                <w:rFonts w:hint="eastAsia" w:ascii="宋体" w:hAnsi="宋体"/>
                <w:b/>
                <w:color w:val="FF0000"/>
                <w:sz w:val="32"/>
                <w:szCs w:val="32"/>
                <w:lang w:val="en-US" w:eastAsia="zh-CN"/>
              </w:rPr>
              <w:t xml:space="preserve"> </w:t>
            </w:r>
            <w:r>
              <w:rPr>
                <w:rFonts w:hint="eastAsia"/>
                <w:bCs/>
                <w:szCs w:val="21"/>
              </w:rPr>
              <w:t>序号</w:t>
            </w:r>
          </w:p>
        </w:tc>
        <w:tc>
          <w:tcPr>
            <w:tcW w:w="1824" w:type="dxa"/>
            <w:vMerge w:val="restart"/>
            <w:noWrap w:val="0"/>
            <w:vAlign w:val="center"/>
          </w:tcPr>
          <w:p>
            <w:pPr>
              <w:jc w:val="center"/>
              <w:rPr>
                <w:rFonts w:hint="eastAsia" w:eastAsia="宋体"/>
                <w:bCs/>
                <w:szCs w:val="21"/>
                <w:lang w:eastAsia="zh-CN"/>
              </w:rPr>
            </w:pPr>
            <w:r>
              <w:rPr>
                <w:rFonts w:hint="eastAsia"/>
                <w:bCs/>
                <w:szCs w:val="21"/>
                <w:lang w:eastAsia="zh-CN"/>
              </w:rPr>
              <w:t>货物名称</w:t>
            </w:r>
          </w:p>
        </w:tc>
        <w:tc>
          <w:tcPr>
            <w:tcW w:w="1010" w:type="dxa"/>
            <w:vMerge w:val="restart"/>
            <w:noWrap w:val="0"/>
            <w:vAlign w:val="center"/>
          </w:tcPr>
          <w:p>
            <w:pPr>
              <w:jc w:val="center"/>
              <w:rPr>
                <w:bCs/>
                <w:szCs w:val="21"/>
              </w:rPr>
            </w:pPr>
            <w:r>
              <w:rPr>
                <w:rFonts w:hint="eastAsia"/>
                <w:bCs/>
                <w:szCs w:val="21"/>
              </w:rPr>
              <w:t>数量</w:t>
            </w:r>
          </w:p>
        </w:tc>
        <w:tc>
          <w:tcPr>
            <w:tcW w:w="2462" w:type="dxa"/>
            <w:gridSpan w:val="2"/>
            <w:noWrap w:val="0"/>
            <w:vAlign w:val="center"/>
          </w:tcPr>
          <w:p>
            <w:pPr>
              <w:jc w:val="center"/>
              <w:rPr>
                <w:rFonts w:hint="eastAsia"/>
                <w:bCs/>
                <w:szCs w:val="21"/>
                <w:lang w:eastAsia="zh-CN"/>
              </w:rPr>
            </w:pPr>
            <w:r>
              <w:rPr>
                <w:rFonts w:hint="eastAsia"/>
                <w:bCs/>
                <w:szCs w:val="21"/>
                <w:lang w:eastAsia="zh-CN"/>
              </w:rPr>
              <w:t>单价限额（元）</w:t>
            </w:r>
          </w:p>
        </w:tc>
        <w:tc>
          <w:tcPr>
            <w:tcW w:w="738" w:type="dxa"/>
            <w:vMerge w:val="restart"/>
            <w:noWrap w:val="0"/>
            <w:vAlign w:val="center"/>
          </w:tcPr>
          <w:p>
            <w:pPr>
              <w:jc w:val="center"/>
              <w:rPr>
                <w:b/>
                <w:bCs/>
                <w:color w:val="FF0000"/>
                <w:szCs w:val="21"/>
              </w:rPr>
            </w:pPr>
            <w:r>
              <w:rPr>
                <w:rFonts w:hint="eastAsia" w:ascii="Times New Roman" w:eastAsia="宋体"/>
                <w:b/>
                <w:bCs/>
                <w:color w:val="FF0000"/>
                <w:szCs w:val="21"/>
                <w:lang w:val="en-US" w:eastAsia="zh-CN"/>
              </w:rPr>
              <w:t>标的所属行业</w:t>
            </w:r>
          </w:p>
        </w:tc>
        <w:tc>
          <w:tcPr>
            <w:tcW w:w="1437" w:type="dxa"/>
            <w:vMerge w:val="restart"/>
            <w:noWrap w:val="0"/>
            <w:vAlign w:val="center"/>
          </w:tcPr>
          <w:p>
            <w:pPr>
              <w:jc w:val="center"/>
              <w:rPr>
                <w:b/>
                <w:bCs/>
                <w:color w:val="FF0000"/>
                <w:szCs w:val="21"/>
              </w:rPr>
            </w:pPr>
            <w:r>
              <w:rPr>
                <w:rFonts w:hint="eastAsia"/>
                <w:b/>
                <w:bCs/>
                <w:color w:val="FF0000"/>
                <w:szCs w:val="21"/>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vMerge w:val="continue"/>
            <w:noWrap w:val="0"/>
            <w:vAlign w:val="center"/>
          </w:tcPr>
          <w:p>
            <w:pPr>
              <w:jc w:val="center"/>
              <w:rPr>
                <w:rFonts w:hint="eastAsia"/>
                <w:bCs/>
                <w:szCs w:val="21"/>
              </w:rPr>
            </w:pPr>
          </w:p>
        </w:tc>
        <w:tc>
          <w:tcPr>
            <w:tcW w:w="1824" w:type="dxa"/>
            <w:vMerge w:val="continue"/>
            <w:noWrap w:val="0"/>
            <w:vAlign w:val="center"/>
          </w:tcPr>
          <w:p>
            <w:pPr>
              <w:jc w:val="center"/>
              <w:rPr>
                <w:rFonts w:hint="eastAsia"/>
                <w:bCs/>
                <w:szCs w:val="21"/>
              </w:rPr>
            </w:pPr>
          </w:p>
        </w:tc>
        <w:tc>
          <w:tcPr>
            <w:tcW w:w="1010" w:type="dxa"/>
            <w:vMerge w:val="continue"/>
            <w:noWrap w:val="0"/>
            <w:vAlign w:val="center"/>
          </w:tcPr>
          <w:p>
            <w:pPr>
              <w:jc w:val="center"/>
              <w:rPr>
                <w:rFonts w:hint="eastAsia"/>
                <w:bCs/>
                <w:szCs w:val="21"/>
              </w:rPr>
            </w:pPr>
          </w:p>
        </w:tc>
        <w:tc>
          <w:tcPr>
            <w:tcW w:w="977" w:type="dxa"/>
            <w:noWrap w:val="0"/>
            <w:vAlign w:val="center"/>
          </w:tcPr>
          <w:p>
            <w:pPr>
              <w:jc w:val="center"/>
              <w:rPr>
                <w:rFonts w:hint="eastAsia"/>
                <w:bCs/>
                <w:szCs w:val="21"/>
                <w:lang w:eastAsia="zh-CN"/>
              </w:rPr>
            </w:pPr>
            <w:r>
              <w:rPr>
                <w:rFonts w:hint="eastAsia"/>
                <w:bCs/>
                <w:szCs w:val="21"/>
                <w:lang w:eastAsia="zh-CN"/>
              </w:rPr>
              <w:t>单价</w:t>
            </w:r>
          </w:p>
        </w:tc>
        <w:tc>
          <w:tcPr>
            <w:tcW w:w="1485" w:type="dxa"/>
            <w:noWrap w:val="0"/>
            <w:vAlign w:val="center"/>
          </w:tcPr>
          <w:p>
            <w:pPr>
              <w:jc w:val="center"/>
              <w:rPr>
                <w:rFonts w:hint="eastAsia"/>
                <w:bCs/>
                <w:szCs w:val="21"/>
                <w:lang w:eastAsia="zh-CN"/>
              </w:rPr>
            </w:pPr>
            <w:r>
              <w:rPr>
                <w:rFonts w:hint="eastAsia"/>
                <w:bCs/>
                <w:szCs w:val="21"/>
                <w:lang w:eastAsia="zh-CN"/>
              </w:rPr>
              <w:t>单项总额（单价乘以数量）</w:t>
            </w:r>
          </w:p>
        </w:tc>
        <w:tc>
          <w:tcPr>
            <w:tcW w:w="738" w:type="dxa"/>
            <w:vMerge w:val="continue"/>
            <w:noWrap w:val="0"/>
            <w:vAlign w:val="center"/>
          </w:tcPr>
          <w:p>
            <w:pPr>
              <w:jc w:val="center"/>
              <w:rPr>
                <w:rFonts w:hint="eastAsia"/>
                <w:b/>
                <w:bCs/>
                <w:color w:val="FF0000"/>
                <w:szCs w:val="21"/>
              </w:rPr>
            </w:pPr>
          </w:p>
        </w:tc>
        <w:tc>
          <w:tcPr>
            <w:tcW w:w="1437" w:type="dxa"/>
            <w:vMerge w:val="continue"/>
            <w:noWrap w:val="0"/>
            <w:vAlign w:val="center"/>
          </w:tcPr>
          <w:p>
            <w:pPr>
              <w:jc w:val="center"/>
              <w:rPr>
                <w:rFonts w:hint="eastAsia"/>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bCs/>
                <w:szCs w:val="21"/>
              </w:rPr>
            </w:pPr>
            <w:r>
              <w:rPr>
                <w:rFonts w:hint="eastAsia" w:ascii="宋体" w:hAnsi="宋体"/>
                <w:sz w:val="24"/>
                <w:lang w:val="en-US" w:eastAsia="zh-CN"/>
              </w:rPr>
              <w:t>1</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定音鼓</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1套</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60000</w:t>
            </w:r>
          </w:p>
        </w:tc>
        <w:tc>
          <w:tcPr>
            <w:tcW w:w="1485"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60000</w:t>
            </w:r>
          </w:p>
        </w:tc>
        <w:tc>
          <w:tcPr>
            <w:tcW w:w="738" w:type="dxa"/>
            <w:vMerge w:val="restart"/>
            <w:noWrap w:val="0"/>
            <w:vAlign w:val="top"/>
          </w:tcPr>
          <w:p>
            <w:pPr>
              <w:jc w:val="center"/>
              <w:rPr>
                <w:rFonts w:hint="default" w:eastAsiaTheme="minorEastAsia"/>
                <w:b/>
                <w:bCs/>
                <w:color w:val="FF0000"/>
                <w:szCs w:val="21"/>
                <w:lang w:val="en-US" w:eastAsia="zh-CN"/>
              </w:rPr>
            </w:pPr>
            <w:r>
              <w:rPr>
                <w:rFonts w:hint="eastAsia"/>
                <w:b/>
                <w:bCs/>
                <w:color w:val="FF0000"/>
                <w:szCs w:val="21"/>
                <w:lang w:val="en-US" w:eastAsia="zh-CN"/>
              </w:rPr>
              <w:t>零售业</w:t>
            </w:r>
          </w:p>
        </w:tc>
        <w:tc>
          <w:tcPr>
            <w:tcW w:w="1437" w:type="dxa"/>
            <w:vMerge w:val="restart"/>
            <w:noWrap w:val="0"/>
            <w:vAlign w:val="center"/>
          </w:tcPr>
          <w:p>
            <w:pPr>
              <w:jc w:val="center"/>
              <w:rPr>
                <w:rFonts w:hint="default" w:eastAsia="宋体"/>
                <w:bCs/>
                <w:szCs w:val="21"/>
                <w:lang w:val="en-US" w:eastAsia="zh-CN"/>
              </w:rPr>
            </w:pPr>
            <w:r>
              <w:rPr>
                <w:rFonts w:hint="eastAsia" w:ascii="宋体" w:hAnsi="宋体"/>
                <w:sz w:val="24"/>
                <w:lang w:val="en-US" w:eastAsia="zh-CN"/>
              </w:rPr>
              <w:t>197000</w:t>
            </w:r>
            <w:r>
              <w:rPr>
                <w:rFonts w:hint="eastAsia" w:ascii="宋体" w:hAnsi="宋体" w:eastAsia="宋体" w:cs="宋体"/>
                <w:i w:val="0"/>
                <w:iCs w:val="0"/>
                <w:color w:val="000000"/>
                <w:kern w:val="0"/>
                <w:sz w:val="24"/>
                <w:szCs w:val="24"/>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2</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交响乐大鼓</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1套</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18500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18500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3</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马林吧</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1套</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42800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42800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4</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高音木琴</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1套</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25200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25200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5</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对镲</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1套</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5500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5500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6</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吊镲</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1面</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2500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2500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7</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吊镲架</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1个</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300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300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8</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小军鼓</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1个</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5400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5400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9</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小军鼓架子</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1个</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300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300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10</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钢片琴</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1台</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6500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6500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11</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钢片琴架子</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1个</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150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150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12</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大号</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3个</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5500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16500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13</w:t>
            </w:r>
          </w:p>
        </w:tc>
        <w:tc>
          <w:tcPr>
            <w:tcW w:w="1824" w:type="dxa"/>
            <w:noWrap w:val="0"/>
            <w:vAlign w:val="center"/>
          </w:tcPr>
          <w:p>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低音单簧管</w:t>
            </w:r>
          </w:p>
        </w:tc>
        <w:tc>
          <w:tcPr>
            <w:tcW w:w="1010"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1支</w:t>
            </w:r>
          </w:p>
        </w:tc>
        <w:tc>
          <w:tcPr>
            <w:tcW w:w="977"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13350</w:t>
            </w:r>
          </w:p>
        </w:tc>
        <w:tc>
          <w:tcPr>
            <w:tcW w:w="1485" w:type="dxa"/>
            <w:noWrap w:val="0"/>
            <w:vAlign w:val="center"/>
          </w:tcPr>
          <w:p>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sz w:val="24"/>
                <w:lang w:val="en-US" w:eastAsia="zh-CN"/>
              </w:rPr>
              <w:t>13350</w:t>
            </w:r>
          </w:p>
        </w:tc>
        <w:tc>
          <w:tcPr>
            <w:tcW w:w="738" w:type="dxa"/>
            <w:vMerge w:val="continue"/>
            <w:noWrap w:val="0"/>
            <w:vAlign w:val="top"/>
          </w:tcPr>
          <w:p>
            <w:pPr>
              <w:jc w:val="center"/>
              <w:rPr>
                <w:rFonts w:hint="eastAsia"/>
                <w:b/>
                <w:bCs/>
                <w:color w:val="FF0000"/>
                <w:szCs w:val="21"/>
                <w:lang w:val="en-US" w:eastAsia="zh-CN"/>
              </w:rPr>
            </w:pPr>
          </w:p>
        </w:tc>
        <w:tc>
          <w:tcPr>
            <w:tcW w:w="1437" w:type="dxa"/>
            <w:vMerge w:val="continue"/>
            <w:noWrap w:val="0"/>
            <w:vAlign w:val="center"/>
          </w:tcPr>
          <w:p>
            <w:pPr>
              <w:jc w:val="center"/>
              <w:rPr>
                <w:rFonts w:hint="eastAsia" w:ascii="宋体" w:hAnsi="宋体" w:eastAsia="宋体" w:cs="宋体"/>
                <w:i w:val="0"/>
                <w:iCs w:val="0"/>
                <w:color w:val="000000"/>
                <w:kern w:val="0"/>
                <w:sz w:val="24"/>
                <w:szCs w:val="24"/>
                <w:u w:val="none"/>
                <w:lang w:val="en-US" w:eastAsia="zh-CN" w:bidi="ar"/>
              </w:rPr>
            </w:pPr>
          </w:p>
        </w:tc>
      </w:tr>
    </w:tbl>
    <w:p>
      <w:pPr>
        <w:rPr>
          <w:color w:val="FF0000"/>
        </w:rPr>
      </w:pPr>
      <w:r>
        <w:rPr>
          <w:rFonts w:hint="eastAsia"/>
          <w:color w:val="FF0000"/>
        </w:rPr>
        <w:t>备注：</w:t>
      </w:r>
    </w:p>
    <w:p>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ind w:firstLine="420" w:firstLineChars="200"/>
        <w:rPr>
          <w:color w:val="FF0000"/>
        </w:rPr>
      </w:pPr>
      <w:r>
        <w:rPr>
          <w:rFonts w:hint="eastAsia"/>
          <w:color w:val="FF0000"/>
        </w:rPr>
        <w:t>3、如注明有单价控制金额的产品，投标人对该产品的报价不得超过控制金额，否则将作投标无效处理。</w:t>
      </w:r>
    </w:p>
    <w:p>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pPr>
        <w:pStyle w:val="6"/>
        <w:jc w:val="center"/>
        <w:rPr>
          <w:rFonts w:hint="eastAsia"/>
        </w:rPr>
      </w:pPr>
      <w:bookmarkStart w:id="13" w:name="_Toc128884461"/>
      <w:r>
        <w:rPr>
          <w:rFonts w:hint="eastAsia"/>
        </w:rPr>
        <w:t>三、实质性条款</w:t>
      </w:r>
    </w:p>
    <w:tbl>
      <w:tblPr>
        <w:tblStyle w:val="19"/>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r>
              <w:rPr>
                <w:rFonts w:hint="eastAsia"/>
              </w:rPr>
              <w:t>序号</w:t>
            </w:r>
          </w:p>
        </w:tc>
        <w:tc>
          <w:tcPr>
            <w:tcW w:w="7483"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pPr>
              <w:jc w:val="center"/>
            </w:pPr>
            <w:r>
              <w:rPr>
                <w:rFonts w:hint="eastAsia"/>
              </w:rPr>
              <w:t>1</w:t>
            </w:r>
          </w:p>
        </w:tc>
        <w:tc>
          <w:tcPr>
            <w:tcW w:w="7483" w:type="dxa"/>
          </w:tcPr>
          <w:p>
            <w:pPr>
              <w:jc w:val="center"/>
            </w:pPr>
            <w:r>
              <w:rPr>
                <w:rFonts w:hint="eastAsia"/>
              </w:rPr>
              <w:t>本项目招标文件中所有带★号条款内容</w:t>
            </w:r>
          </w:p>
        </w:tc>
      </w:tr>
      <w:bookmarkEnd w:id="13"/>
    </w:tbl>
    <w:p>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pStyle w:val="6"/>
        <w:jc w:val="center"/>
        <w:rPr>
          <w:rFonts w:hint="eastAsia" w:ascii="宋体" w:hAnsi="宋体" w:eastAsia="宋体"/>
        </w:rPr>
      </w:pPr>
      <w:r>
        <w:rPr>
          <w:rFonts w:hint="eastAsia" w:ascii="宋体" w:hAnsi="宋体" w:eastAsia="宋体"/>
        </w:rPr>
        <w:t>四、商务和服务条款要求</w:t>
      </w:r>
    </w:p>
    <w:p>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pPr>
        <w:numPr>
          <w:ilvl w:val="0"/>
          <w:numId w:val="2"/>
        </w:numPr>
        <w:ind w:firstLine="422" w:firstLineChars="200"/>
        <w:rPr>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9"/>
        <w:tblW w:w="84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noWrap w:val="0"/>
            <w:vAlign w:val="center"/>
          </w:tcPr>
          <w:p>
            <w:pPr>
              <w:jc w:val="center"/>
              <w:rPr>
                <w:b/>
              </w:rPr>
            </w:pPr>
            <w:r>
              <w:rPr>
                <w:rFonts w:hint="eastAsia"/>
                <w:b/>
              </w:rPr>
              <w:t>序号</w:t>
            </w:r>
          </w:p>
        </w:tc>
        <w:tc>
          <w:tcPr>
            <w:tcW w:w="1620" w:type="dxa"/>
            <w:noWrap w:val="0"/>
            <w:vAlign w:val="center"/>
          </w:tcPr>
          <w:p>
            <w:pPr>
              <w:jc w:val="center"/>
              <w:rPr>
                <w:b/>
              </w:rPr>
            </w:pPr>
            <w:r>
              <w:rPr>
                <w:rFonts w:hint="eastAsia"/>
                <w:b/>
              </w:rPr>
              <w:t>目录</w:t>
            </w:r>
          </w:p>
        </w:tc>
        <w:tc>
          <w:tcPr>
            <w:tcW w:w="5594" w:type="dxa"/>
            <w:noWrap w:val="0"/>
            <w:vAlign w:val="center"/>
          </w:tcPr>
          <w:p>
            <w:pPr>
              <w:jc w:val="center"/>
              <w:rPr>
                <w:b/>
              </w:rPr>
            </w:pPr>
            <w:r>
              <w:rPr>
                <w:rFonts w:hint="eastAsia"/>
                <w:b/>
              </w:rPr>
              <w:t>采购商务需求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474" w:type="dxa"/>
            <w:gridSpan w:val="3"/>
            <w:noWrap w:val="0"/>
            <w:vAlign w:val="top"/>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0" w:type="dxa"/>
            <w:noWrap w:val="0"/>
            <w:vAlign w:val="center"/>
          </w:tcPr>
          <w:p>
            <w:pPr>
              <w:jc w:val="center"/>
              <w:rPr>
                <w:b/>
              </w:rPr>
            </w:pPr>
            <w:r>
              <w:rPr>
                <w:rFonts w:hint="eastAsia"/>
                <w:b/>
              </w:rPr>
              <w:t>1</w:t>
            </w:r>
          </w:p>
        </w:tc>
        <w:tc>
          <w:tcPr>
            <w:tcW w:w="1620" w:type="dxa"/>
            <w:noWrap w:val="0"/>
            <w:vAlign w:val="center"/>
          </w:tcPr>
          <w:p>
            <w:r>
              <w:rPr>
                <w:rFonts w:hint="eastAsia"/>
              </w:rPr>
              <w:t>免费保修期</w:t>
            </w:r>
          </w:p>
        </w:tc>
        <w:tc>
          <w:tcPr>
            <w:tcW w:w="5594" w:type="dxa"/>
            <w:noWrap w:val="0"/>
            <w:vAlign w:val="top"/>
          </w:tcPr>
          <w:p>
            <w:pPr>
              <w:rPr>
                <w:b/>
              </w:rPr>
            </w:pPr>
            <w:r>
              <w:rPr>
                <w:rFonts w:hint="eastAsia" w:ascii="宋体" w:hAnsi="宋体" w:cs="宋体"/>
                <w:szCs w:val="21"/>
              </w:rPr>
              <w:t>★</w:t>
            </w:r>
            <w:r>
              <w:rPr>
                <w:rFonts w:hint="eastAsia"/>
                <w:bCs/>
                <w:szCs w:val="21"/>
              </w:rPr>
              <w:t>货物免费保修期至少_</w:t>
            </w:r>
            <w:r>
              <w:rPr>
                <w:rFonts w:hint="eastAsia"/>
                <w:bCs/>
                <w:color w:val="FF0000"/>
                <w:szCs w:val="21"/>
                <w:highlight w:val="none"/>
              </w:rPr>
              <w:t>_</w:t>
            </w:r>
            <w:r>
              <w:rPr>
                <w:rFonts w:hint="eastAsia"/>
                <w:bCs/>
                <w:color w:val="FF0000"/>
                <w:sz w:val="24"/>
                <w:szCs w:val="24"/>
                <w:highlight w:val="none"/>
                <w:lang w:val="en-US" w:eastAsia="zh-CN"/>
              </w:rPr>
              <w:t>2</w:t>
            </w:r>
            <w:r>
              <w:rPr>
                <w:rFonts w:hint="eastAsia"/>
                <w:bCs/>
                <w:color w:val="FF0000"/>
                <w:sz w:val="24"/>
                <w:szCs w:val="24"/>
                <w:highlight w:val="none"/>
              </w:rPr>
              <w:t>_</w:t>
            </w:r>
            <w:r>
              <w:rPr>
                <w:rFonts w:hint="eastAsia"/>
                <w:bCs/>
                <w:szCs w:val="21"/>
                <w:highlight w:val="none"/>
              </w:rPr>
              <w:t>_</w:t>
            </w:r>
            <w:r>
              <w:rPr>
                <w:rFonts w:hint="eastAsia"/>
                <w:bCs/>
                <w:szCs w:val="21"/>
              </w:rPr>
              <w:t>_年，时间自最终验收合格并交付使用之日起计算。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60" w:type="dxa"/>
            <w:noWrap w:val="0"/>
            <w:vAlign w:val="center"/>
          </w:tcPr>
          <w:p>
            <w:pPr>
              <w:jc w:val="center"/>
              <w:rPr>
                <w:b/>
              </w:rPr>
            </w:pPr>
            <w:r>
              <w:rPr>
                <w:rFonts w:hint="eastAsia"/>
                <w:b/>
              </w:rPr>
              <w:t>2</w:t>
            </w:r>
          </w:p>
        </w:tc>
        <w:tc>
          <w:tcPr>
            <w:tcW w:w="1620" w:type="dxa"/>
            <w:noWrap w:val="0"/>
            <w:vAlign w:val="top"/>
          </w:tcPr>
          <w:p>
            <w:r>
              <w:rPr>
                <w:rFonts w:hint="eastAsia"/>
              </w:rPr>
              <w:t>维修响应及故障解决时间</w:t>
            </w:r>
          </w:p>
        </w:tc>
        <w:tc>
          <w:tcPr>
            <w:tcW w:w="5594" w:type="dxa"/>
            <w:noWrap w:val="0"/>
            <w:vAlign w:val="top"/>
          </w:tcPr>
          <w:p>
            <w:pPr>
              <w:rPr>
                <w:b/>
              </w:rPr>
            </w:pPr>
            <w:r>
              <w:rPr>
                <w:rFonts w:hint="eastAsia"/>
                <w:bCs/>
                <w:szCs w:val="21"/>
                <w:lang w:eastAsia="zh-CN"/>
              </w:rPr>
              <w:t>投标人承诺中标后，</w:t>
            </w:r>
            <w:r>
              <w:rPr>
                <w:rFonts w:hint="eastAsia"/>
                <w:bCs/>
                <w:szCs w:val="21"/>
              </w:rPr>
              <w:t>在保修期内，一旦发生质量问题，</w:t>
            </w:r>
            <w:r>
              <w:rPr>
                <w:rFonts w:hint="eastAsia"/>
                <w:bCs/>
                <w:szCs w:val="21"/>
                <w:lang w:eastAsia="zh-CN"/>
              </w:rPr>
              <w:t>投标人</w:t>
            </w:r>
            <w:r>
              <w:rPr>
                <w:rFonts w:hint="eastAsia"/>
                <w:bCs/>
                <w:szCs w:val="21"/>
              </w:rPr>
              <w:t>保证在接到通知24小时内赶到现场进行修理或更换。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60" w:type="dxa"/>
            <w:noWrap w:val="0"/>
            <w:vAlign w:val="center"/>
          </w:tcPr>
          <w:p>
            <w:pPr>
              <w:jc w:val="center"/>
              <w:rPr>
                <w:b/>
              </w:rPr>
            </w:pPr>
            <w:r>
              <w:rPr>
                <w:rFonts w:hint="eastAsia"/>
                <w:b/>
                <w:lang w:val="en-US" w:eastAsia="zh-CN"/>
              </w:rPr>
              <w:t>3</w:t>
            </w:r>
          </w:p>
        </w:tc>
        <w:tc>
          <w:tcPr>
            <w:tcW w:w="1620" w:type="dxa"/>
            <w:noWrap w:val="0"/>
            <w:vAlign w:val="center"/>
          </w:tcPr>
          <w:p>
            <w:pPr>
              <w:rPr>
                <w:b/>
              </w:rPr>
            </w:pPr>
            <w:r>
              <w:rPr>
                <w:rFonts w:hint="eastAsia"/>
              </w:rPr>
              <w:t>其他</w:t>
            </w:r>
          </w:p>
        </w:tc>
        <w:tc>
          <w:tcPr>
            <w:tcW w:w="5594" w:type="dxa"/>
            <w:noWrap w:val="0"/>
            <w:vAlign w:val="center"/>
          </w:tcPr>
          <w:p>
            <w:pPr>
              <w:rPr>
                <w:b/>
              </w:rPr>
            </w:pPr>
            <w:r>
              <w:rPr>
                <w:rFonts w:hint="eastAsia"/>
                <w:bCs/>
                <w:szCs w:val="21"/>
                <w:lang w:eastAsia="zh-CN"/>
              </w:rPr>
              <w:t>投标人中标后，</w:t>
            </w:r>
            <w:r>
              <w:rPr>
                <w:rFonts w:hint="eastAsia"/>
                <w:bCs/>
                <w:szCs w:val="21"/>
              </w:rPr>
              <w:t>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74" w:type="dxa"/>
            <w:gridSpan w:val="3"/>
            <w:noWrap w:val="0"/>
            <w:vAlign w:val="top"/>
          </w:tcPr>
          <w:p>
            <w:pPr>
              <w:rPr>
                <w:b/>
              </w:rPr>
            </w:pPr>
            <w:r>
              <w:rPr>
                <w:rFonts w:hint="eastAsia" w:ascii="宋体" w:hAnsi="宋体" w:cs="宋体"/>
                <w:szCs w:val="21"/>
              </w:rPr>
              <w:t>★</w:t>
            </w:r>
            <w:r>
              <w:rPr>
                <w:rFonts w:hint="eastAsia"/>
                <w:b/>
              </w:rPr>
              <w:t>（</w:t>
            </w:r>
            <w:r>
              <w:rPr>
                <w:rFonts w:hint="eastAsia"/>
                <w:b/>
                <w:lang w:val="en-US" w:eastAsia="zh-CN"/>
              </w:rPr>
              <w:t>二</w:t>
            </w:r>
            <w:r>
              <w:rPr>
                <w:rFonts w:hint="eastAsia"/>
                <w:b/>
              </w:rPr>
              <w:t>）其他商务要求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pPr>
              <w:jc w:val="center"/>
              <w:rPr>
                <w:b/>
              </w:rPr>
            </w:pPr>
            <w:r>
              <w:rPr>
                <w:rFonts w:hint="eastAsia"/>
                <w:b/>
              </w:rPr>
              <w:t>1</w:t>
            </w:r>
          </w:p>
        </w:tc>
        <w:tc>
          <w:tcPr>
            <w:tcW w:w="1620" w:type="dxa"/>
            <w:vMerge w:val="restart"/>
            <w:noWrap w:val="0"/>
            <w:vAlign w:val="center"/>
          </w:tcPr>
          <w:p>
            <w:pPr>
              <w:jc w:val="center"/>
            </w:pPr>
            <w:r>
              <w:rPr>
                <w:rFonts w:hint="eastAsia"/>
              </w:rPr>
              <w:t>关于交货</w:t>
            </w:r>
          </w:p>
        </w:tc>
        <w:tc>
          <w:tcPr>
            <w:tcW w:w="5594" w:type="dxa"/>
            <w:noWrap w:val="0"/>
            <w:vAlign w:val="top"/>
          </w:tcPr>
          <w:p>
            <w:pPr>
              <w:rPr>
                <w:b/>
              </w:rPr>
            </w:pPr>
            <w:r>
              <w:rPr>
                <w:rFonts w:hint="eastAsia"/>
                <w:bCs/>
                <w:szCs w:val="21"/>
              </w:rPr>
              <w:t>1.1签订合同后</w:t>
            </w:r>
            <w:r>
              <w:rPr>
                <w:rFonts w:hint="eastAsia"/>
                <w:bCs/>
                <w:szCs w:val="21"/>
                <w:u w:val="single"/>
                <w:lang w:val="en-US" w:eastAsia="zh-CN"/>
              </w:rPr>
              <w:t>1</w:t>
            </w:r>
            <w:r>
              <w:rPr>
                <w:rFonts w:hint="eastAsia"/>
                <w:bCs/>
                <w:szCs w:val="21"/>
                <w:u w:val="single"/>
              </w:rPr>
              <w:t>0</w:t>
            </w:r>
            <w:r>
              <w:rPr>
                <w:rFonts w:hint="eastAsia"/>
                <w:bCs/>
                <w:szCs w:val="21"/>
              </w:rPr>
              <w:t>天（日历日）内。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60" w:type="dxa"/>
            <w:vMerge w:val="continue"/>
            <w:noWrap w:val="0"/>
            <w:vAlign w:val="center"/>
          </w:tcPr>
          <w:p>
            <w:pPr>
              <w:jc w:val="center"/>
              <w:rPr>
                <w:b/>
              </w:rPr>
            </w:pPr>
          </w:p>
        </w:tc>
        <w:tc>
          <w:tcPr>
            <w:tcW w:w="1620" w:type="dxa"/>
            <w:vMerge w:val="continue"/>
            <w:noWrap w:val="0"/>
            <w:vAlign w:val="center"/>
          </w:tcPr>
          <w:p>
            <w:pPr>
              <w:jc w:val="center"/>
            </w:pPr>
          </w:p>
        </w:tc>
        <w:tc>
          <w:tcPr>
            <w:tcW w:w="5594" w:type="dxa"/>
            <w:noWrap w:val="0"/>
            <w:vAlign w:val="top"/>
          </w:tcPr>
          <w:p>
            <w:pPr>
              <w:rPr>
                <w:bCs/>
                <w:szCs w:val="21"/>
              </w:rPr>
            </w:pPr>
            <w:r>
              <w:rPr>
                <w:rFonts w:hint="eastAsia"/>
                <w:bCs/>
                <w:szCs w:val="21"/>
              </w:rPr>
              <w:t>1.2投标人中标后，必须承担设备运输、安装调试、验收检测和提供设备操作说明书、图纸等其他类似的义务。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pPr>
              <w:jc w:val="center"/>
              <w:rPr>
                <w:b/>
              </w:rPr>
            </w:pPr>
            <w:r>
              <w:rPr>
                <w:rFonts w:hint="eastAsia"/>
                <w:b/>
              </w:rPr>
              <w:t>2</w:t>
            </w:r>
          </w:p>
        </w:tc>
        <w:tc>
          <w:tcPr>
            <w:tcW w:w="1620" w:type="dxa"/>
            <w:vMerge w:val="restart"/>
            <w:noWrap w:val="0"/>
            <w:vAlign w:val="center"/>
          </w:tcPr>
          <w:p>
            <w:pPr>
              <w:jc w:val="center"/>
            </w:pPr>
            <w:r>
              <w:rPr>
                <w:rFonts w:hint="eastAsia"/>
              </w:rPr>
              <w:t>关于验收</w:t>
            </w:r>
          </w:p>
        </w:tc>
        <w:tc>
          <w:tcPr>
            <w:tcW w:w="5594" w:type="dxa"/>
            <w:noWrap w:val="0"/>
            <w:vAlign w:val="top"/>
          </w:tcPr>
          <w:p>
            <w:pPr>
              <w:spacing w:line="340" w:lineRule="exact"/>
              <w:rPr>
                <w:bCs/>
                <w:szCs w:val="21"/>
              </w:rPr>
            </w:pPr>
            <w:r>
              <w:rPr>
                <w:rFonts w:hint="eastAsia"/>
                <w:bCs/>
                <w:szCs w:val="21"/>
              </w:rPr>
              <w:t>2.1投标人中标后，其货物经过双方检验认可后，签署验收报告，产品保修期自验收合格之日起算，由投标人提供产品保修文件。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b/>
              </w:rPr>
            </w:pPr>
          </w:p>
        </w:tc>
        <w:tc>
          <w:tcPr>
            <w:tcW w:w="1620" w:type="dxa"/>
            <w:vMerge w:val="continue"/>
            <w:noWrap w:val="0"/>
            <w:vAlign w:val="top"/>
          </w:tcPr>
          <w:p>
            <w:pPr>
              <w:rPr>
                <w:b/>
              </w:rPr>
            </w:pPr>
          </w:p>
        </w:tc>
        <w:tc>
          <w:tcPr>
            <w:tcW w:w="5594" w:type="dxa"/>
            <w:noWrap w:val="0"/>
            <w:vAlign w:val="top"/>
          </w:tcPr>
          <w:p>
            <w:pPr>
              <w:spacing w:line="340" w:lineRule="exact"/>
              <w:rPr>
                <w:bCs/>
                <w:szCs w:val="21"/>
              </w:rPr>
            </w:pPr>
            <w:r>
              <w:rPr>
                <w:rFonts w:hint="eastAsia"/>
                <w:bCs/>
                <w:szCs w:val="21"/>
              </w:rPr>
              <w:t>2.2投标人中标后，当满足以下条件时，采购人才向投标人签发货物验收报告：</w:t>
            </w:r>
          </w:p>
          <w:p>
            <w:pPr>
              <w:tabs>
                <w:tab w:val="left" w:pos="1260"/>
              </w:tabs>
              <w:spacing w:line="340" w:lineRule="exact"/>
              <w:rPr>
                <w:bCs/>
                <w:szCs w:val="21"/>
              </w:rPr>
            </w:pPr>
            <w:r>
              <w:rPr>
                <w:bCs/>
                <w:szCs w:val="21"/>
              </w:rPr>
              <w:t>a</w:t>
            </w:r>
            <w:r>
              <w:rPr>
                <w:rFonts w:hint="eastAsia"/>
                <w:bCs/>
                <w:szCs w:val="21"/>
              </w:rPr>
              <w:t>、投标人已按照合同规定提供了全部产品及完整的技术资料。</w:t>
            </w:r>
          </w:p>
          <w:p>
            <w:pPr>
              <w:tabs>
                <w:tab w:val="left" w:pos="1260"/>
              </w:tabs>
              <w:spacing w:line="340" w:lineRule="exact"/>
              <w:rPr>
                <w:bCs/>
                <w:szCs w:val="21"/>
              </w:rPr>
            </w:pPr>
            <w:r>
              <w:rPr>
                <w:bCs/>
                <w:szCs w:val="21"/>
              </w:rPr>
              <w:t>b</w:t>
            </w:r>
            <w:r>
              <w:rPr>
                <w:rFonts w:hint="eastAsia"/>
                <w:bCs/>
                <w:szCs w:val="21"/>
              </w:rPr>
              <w:t>、货物符合采购文件技术规格书的要求，性能满足要求。</w:t>
            </w:r>
          </w:p>
          <w:p>
            <w:pPr>
              <w:tabs>
                <w:tab w:val="left" w:pos="1260"/>
              </w:tabs>
              <w:spacing w:line="340" w:lineRule="exact"/>
              <w:rPr>
                <w:bCs/>
                <w:szCs w:val="21"/>
              </w:rPr>
            </w:pPr>
            <w:r>
              <w:rPr>
                <w:bCs/>
                <w:szCs w:val="21"/>
              </w:rPr>
              <w:t>c</w:t>
            </w:r>
            <w:r>
              <w:rPr>
                <w:rFonts w:hint="eastAsia"/>
                <w:bCs/>
                <w:szCs w:val="21"/>
              </w:rPr>
              <w:t>、货物具备产品合格证。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pPr>
              <w:jc w:val="center"/>
              <w:rPr>
                <w:rFonts w:hint="eastAsia"/>
                <w:bCs/>
              </w:rPr>
            </w:pPr>
            <w:r>
              <w:rPr>
                <w:rFonts w:hint="eastAsia"/>
                <w:bCs/>
              </w:rPr>
              <w:t>3</w:t>
            </w:r>
          </w:p>
        </w:tc>
        <w:tc>
          <w:tcPr>
            <w:tcW w:w="1620" w:type="dxa"/>
            <w:vMerge w:val="restart"/>
            <w:noWrap w:val="0"/>
            <w:vAlign w:val="center"/>
          </w:tcPr>
          <w:p>
            <w:pPr>
              <w:jc w:val="center"/>
              <w:rPr>
                <w:rFonts w:hint="eastAsia"/>
                <w:bCs/>
              </w:rPr>
            </w:pPr>
            <w:r>
              <w:rPr>
                <w:rFonts w:hint="eastAsia"/>
                <w:bCs/>
              </w:rPr>
              <w:t>违约责任</w:t>
            </w:r>
          </w:p>
        </w:tc>
        <w:tc>
          <w:tcPr>
            <w:tcW w:w="5594" w:type="dxa"/>
            <w:noWrap w:val="0"/>
            <w:vAlign w:val="top"/>
          </w:tcPr>
          <w:p>
            <w:pPr>
              <w:spacing w:line="340" w:lineRule="exact"/>
              <w:rPr>
                <w:rFonts w:hint="eastAsia" w:ascii="宋体" w:hAnsi="宋体" w:cs="宋体"/>
                <w:bCs/>
                <w:szCs w:val="21"/>
              </w:rPr>
            </w:pPr>
            <w:r>
              <w:rPr>
                <w:rFonts w:hint="eastAsia"/>
              </w:rPr>
              <w:t>3.1如</w:t>
            </w:r>
            <w:r>
              <w:rPr>
                <w:rFonts w:hint="eastAsia"/>
                <w:bCs/>
                <w:szCs w:val="21"/>
              </w:rPr>
              <w:t>投标人中标后</w:t>
            </w:r>
            <w:r>
              <w:rPr>
                <w:rFonts w:hint="eastAsia"/>
              </w:rPr>
              <w:t>未按照投标文件中承诺的时间交货或提供服务，</w:t>
            </w:r>
            <w:r>
              <w:rPr>
                <w:rFonts w:hint="eastAsia"/>
                <w:bCs/>
                <w:szCs w:val="21"/>
              </w:rPr>
              <w:t>投标人</w:t>
            </w:r>
            <w:r>
              <w:rPr>
                <w:rFonts w:hint="eastAsia"/>
              </w:rPr>
              <w:t>应承担延期交货和延期服务的违约责任，并赔偿采购人因此造成的实际经济损失，采购人有权终止合同。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center"/>
          </w:tcPr>
          <w:p>
            <w:pPr>
              <w:jc w:val="center"/>
              <w:rPr>
                <w:rFonts w:hint="eastAsia"/>
                <w:bCs/>
              </w:rPr>
            </w:pPr>
          </w:p>
        </w:tc>
        <w:tc>
          <w:tcPr>
            <w:tcW w:w="5594" w:type="dxa"/>
            <w:noWrap w:val="0"/>
            <w:vAlign w:val="top"/>
          </w:tcPr>
          <w:p>
            <w:pPr>
              <w:spacing w:line="340" w:lineRule="exact"/>
              <w:rPr>
                <w:rFonts w:hint="eastAsia" w:ascii="宋体" w:hAnsi="宋体" w:cs="宋体"/>
                <w:bCs/>
                <w:szCs w:val="21"/>
                <w:highlight w:val="none"/>
              </w:rPr>
            </w:pPr>
            <w:r>
              <w:rPr>
                <w:rFonts w:hint="eastAsia" w:ascii="宋体" w:hAnsi="宋体" w:cs="宋体"/>
                <w:bCs/>
                <w:szCs w:val="21"/>
                <w:highlight w:val="none"/>
              </w:rPr>
              <w:t>3.2</w:t>
            </w:r>
            <w:r>
              <w:rPr>
                <w:rFonts w:hint="eastAsia"/>
                <w:bCs/>
                <w:szCs w:val="21"/>
                <w:highlight w:val="none"/>
              </w:rPr>
              <w:t>投标人中标后</w:t>
            </w:r>
            <w:r>
              <w:rPr>
                <w:rFonts w:hint="eastAsia" w:ascii="宋体" w:hAnsi="宋体" w:cs="宋体"/>
                <w:bCs/>
                <w:szCs w:val="21"/>
                <w:highlight w:val="none"/>
              </w:rPr>
              <w:t>所交设备的品种、型号、规格、质量、功能、技术参数等方面不能实质性满足采购文件要求的，采购人有权拒绝收货，</w:t>
            </w:r>
            <w:r>
              <w:rPr>
                <w:rFonts w:hint="eastAsia"/>
                <w:bCs/>
                <w:szCs w:val="21"/>
                <w:highlight w:val="none"/>
              </w:rPr>
              <w:t>投标人</w:t>
            </w:r>
            <w:r>
              <w:rPr>
                <w:rFonts w:hint="eastAsia" w:ascii="宋体" w:hAnsi="宋体" w:cs="宋体"/>
                <w:bCs/>
                <w:szCs w:val="21"/>
                <w:highlight w:val="none"/>
              </w:rPr>
              <w:t>向采购人偿付项目采购金额【</w:t>
            </w:r>
            <w:r>
              <w:rPr>
                <w:rFonts w:hint="eastAsia" w:ascii="宋体" w:hAnsi="宋体" w:cs="宋体"/>
                <w:bCs/>
                <w:szCs w:val="21"/>
                <w:highlight w:val="none"/>
                <w:lang w:val="en-US" w:eastAsia="zh-CN"/>
              </w:rPr>
              <w:t>10</w:t>
            </w:r>
            <w:r>
              <w:rPr>
                <w:rFonts w:hint="eastAsia" w:ascii="宋体" w:hAnsi="宋体" w:cs="宋体"/>
                <w:bCs/>
                <w:szCs w:val="21"/>
                <w:highlight w:val="none"/>
              </w:rPr>
              <w:t xml:space="preserve">】% 的违约金并采取更换、补足等补救措施，致使逾期交付的，还应承担逾期交付的违约责任。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center"/>
          </w:tcPr>
          <w:p>
            <w:pPr>
              <w:jc w:val="center"/>
              <w:rPr>
                <w:rFonts w:hint="eastAsia"/>
                <w:bCs/>
              </w:rPr>
            </w:pPr>
          </w:p>
        </w:tc>
        <w:tc>
          <w:tcPr>
            <w:tcW w:w="5594" w:type="dxa"/>
            <w:noWrap w:val="0"/>
            <w:vAlign w:val="top"/>
          </w:tcPr>
          <w:p>
            <w:pPr>
              <w:spacing w:line="340" w:lineRule="exact"/>
              <w:rPr>
                <w:rFonts w:hint="eastAsia" w:ascii="宋体" w:hAnsi="宋体" w:cs="宋体"/>
                <w:bCs/>
                <w:szCs w:val="21"/>
                <w:highlight w:val="none"/>
              </w:rPr>
            </w:pPr>
            <w:r>
              <w:rPr>
                <w:rFonts w:hint="eastAsia" w:ascii="宋体" w:hAnsi="宋体" w:cs="宋体"/>
                <w:bCs/>
                <w:szCs w:val="21"/>
                <w:highlight w:val="none"/>
              </w:rPr>
              <w:t>3.3</w:t>
            </w:r>
            <w:r>
              <w:rPr>
                <w:rFonts w:hint="eastAsia"/>
                <w:bCs/>
                <w:szCs w:val="21"/>
                <w:highlight w:val="none"/>
              </w:rPr>
              <w:t>投标人中标后</w:t>
            </w:r>
            <w:r>
              <w:rPr>
                <w:rFonts w:hint="eastAsia" w:ascii="宋体" w:hAnsi="宋体" w:cs="宋体"/>
                <w:bCs/>
                <w:szCs w:val="21"/>
                <w:highlight w:val="none"/>
              </w:rPr>
              <w:t>不能交付设备的，</w:t>
            </w:r>
            <w:r>
              <w:rPr>
                <w:rFonts w:hint="eastAsia"/>
                <w:bCs/>
                <w:szCs w:val="21"/>
                <w:highlight w:val="none"/>
              </w:rPr>
              <w:t>投标人</w:t>
            </w:r>
            <w:r>
              <w:rPr>
                <w:rFonts w:hint="eastAsia" w:ascii="宋体" w:hAnsi="宋体" w:cs="宋体"/>
                <w:bCs/>
                <w:szCs w:val="21"/>
                <w:highlight w:val="none"/>
              </w:rPr>
              <w:t>向采购人偿付项目采购金额【</w:t>
            </w:r>
            <w:r>
              <w:rPr>
                <w:rFonts w:hint="eastAsia" w:ascii="宋体" w:hAnsi="宋体" w:cs="宋体"/>
                <w:bCs/>
                <w:szCs w:val="21"/>
                <w:highlight w:val="none"/>
                <w:lang w:val="en-US" w:eastAsia="zh-CN"/>
              </w:rPr>
              <w:t>10</w:t>
            </w:r>
            <w:r>
              <w:rPr>
                <w:rFonts w:hint="eastAsia" w:ascii="宋体" w:hAnsi="宋体" w:cs="宋体"/>
                <w:bCs/>
                <w:szCs w:val="21"/>
                <w:highlight w:val="none"/>
              </w:rPr>
              <w:t>】%的违约金。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top"/>
          </w:tcPr>
          <w:p>
            <w:pPr>
              <w:rPr>
                <w:rFonts w:hint="eastAsia"/>
                <w:bCs/>
              </w:rPr>
            </w:pPr>
          </w:p>
        </w:tc>
        <w:tc>
          <w:tcPr>
            <w:tcW w:w="5594" w:type="dxa"/>
            <w:noWrap w:val="0"/>
            <w:vAlign w:val="top"/>
          </w:tcPr>
          <w:p>
            <w:pPr>
              <w:spacing w:line="340" w:lineRule="exact"/>
              <w:rPr>
                <w:rFonts w:hint="eastAsia" w:ascii="宋体" w:hAnsi="宋体" w:cs="宋体"/>
                <w:bCs/>
                <w:szCs w:val="21"/>
                <w:highlight w:val="none"/>
              </w:rPr>
            </w:pPr>
            <w:r>
              <w:rPr>
                <w:rFonts w:hint="eastAsia" w:ascii="宋体" w:hAnsi="宋体" w:cs="宋体"/>
                <w:bCs/>
                <w:szCs w:val="21"/>
                <w:highlight w:val="none"/>
              </w:rPr>
              <w:t>3.4</w:t>
            </w:r>
            <w:r>
              <w:rPr>
                <w:rFonts w:hint="eastAsia"/>
                <w:bCs/>
                <w:szCs w:val="21"/>
                <w:highlight w:val="none"/>
              </w:rPr>
              <w:t>投标人中标后</w:t>
            </w:r>
            <w:r>
              <w:rPr>
                <w:rFonts w:hint="eastAsia" w:ascii="宋体" w:hAnsi="宋体" w:cs="宋体"/>
                <w:bCs/>
                <w:szCs w:val="21"/>
                <w:highlight w:val="none"/>
              </w:rPr>
              <w:t>逾期交付货物的，每逾期1天，</w:t>
            </w:r>
            <w:r>
              <w:rPr>
                <w:rFonts w:hint="eastAsia"/>
                <w:bCs/>
                <w:szCs w:val="21"/>
                <w:highlight w:val="none"/>
              </w:rPr>
              <w:t>投标人</w:t>
            </w:r>
            <w:r>
              <w:rPr>
                <w:rFonts w:hint="eastAsia" w:ascii="宋体" w:hAnsi="宋体" w:cs="宋体"/>
                <w:bCs/>
                <w:szCs w:val="21"/>
                <w:highlight w:val="none"/>
              </w:rPr>
              <w:t>向采购人偿付项目采购金额的【</w:t>
            </w:r>
            <w:r>
              <w:rPr>
                <w:rFonts w:hint="eastAsia" w:ascii="宋体" w:hAnsi="宋体" w:cs="宋体"/>
                <w:bCs/>
                <w:szCs w:val="21"/>
                <w:highlight w:val="none"/>
                <w:lang w:val="en-US" w:eastAsia="zh-CN"/>
              </w:rPr>
              <w:t>1</w:t>
            </w:r>
            <w:r>
              <w:rPr>
                <w:rFonts w:hint="eastAsia" w:ascii="宋体" w:hAnsi="宋体" w:cs="宋体"/>
                <w:bCs/>
                <w:szCs w:val="21"/>
                <w:highlight w:val="none"/>
              </w:rPr>
              <w:t>】‰的违约金。如</w:t>
            </w:r>
            <w:r>
              <w:rPr>
                <w:rFonts w:hint="eastAsia"/>
                <w:bCs/>
                <w:szCs w:val="21"/>
                <w:highlight w:val="none"/>
              </w:rPr>
              <w:t>投标人</w:t>
            </w:r>
            <w:r>
              <w:rPr>
                <w:rFonts w:hint="eastAsia" w:ascii="宋体" w:hAnsi="宋体" w:cs="宋体"/>
                <w:bCs/>
                <w:szCs w:val="21"/>
                <w:highlight w:val="none"/>
              </w:rPr>
              <w:t>逾期交货达</w:t>
            </w:r>
            <w:r>
              <w:rPr>
                <w:rFonts w:hint="eastAsia" w:ascii="宋体" w:hAnsi="宋体" w:cs="宋体"/>
                <w:bCs/>
                <w:szCs w:val="21"/>
                <w:highlight w:val="none"/>
                <w:u w:val="single"/>
              </w:rPr>
              <w:t>30</w:t>
            </w:r>
            <w:r>
              <w:rPr>
                <w:rFonts w:hint="eastAsia" w:ascii="宋体" w:hAnsi="宋体" w:cs="宋体"/>
                <w:bCs/>
                <w:szCs w:val="21"/>
                <w:highlight w:val="none"/>
              </w:rPr>
              <w:t>天，采购人有权解除合同。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top"/>
          </w:tcPr>
          <w:p>
            <w:pPr>
              <w:rPr>
                <w:bCs/>
              </w:rPr>
            </w:pPr>
          </w:p>
        </w:tc>
        <w:tc>
          <w:tcPr>
            <w:tcW w:w="5594" w:type="dxa"/>
            <w:noWrap w:val="0"/>
            <w:vAlign w:val="top"/>
          </w:tcPr>
          <w:p>
            <w:pPr>
              <w:rPr>
                <w:rFonts w:hint="eastAsia" w:ascii="宋体" w:hAnsi="宋体" w:cs="宋体"/>
                <w:b/>
              </w:rPr>
            </w:pPr>
            <w:r>
              <w:rPr>
                <w:rFonts w:hint="eastAsia" w:ascii="宋体" w:hAnsi="宋体" w:cs="宋体"/>
                <w:bCs/>
              </w:rPr>
              <w:t>3.5</w:t>
            </w:r>
            <w:r>
              <w:rPr>
                <w:rFonts w:hint="eastAsia"/>
                <w:bCs/>
                <w:szCs w:val="21"/>
              </w:rPr>
              <w:t>投标人中标后，在其</w:t>
            </w:r>
            <w:r>
              <w:rPr>
                <w:rFonts w:hint="eastAsia" w:ascii="宋体" w:hAnsi="宋体" w:cs="宋体"/>
                <w:bCs/>
              </w:rPr>
              <w:t>承诺的或国家规定的质量保证期内（取两者中最长的期限），如经</w:t>
            </w:r>
            <w:r>
              <w:rPr>
                <w:rFonts w:hint="eastAsia"/>
                <w:bCs/>
                <w:szCs w:val="21"/>
              </w:rPr>
              <w:t>投标人</w:t>
            </w:r>
            <w:r>
              <w:rPr>
                <w:rFonts w:hint="eastAsia" w:ascii="宋体" w:hAnsi="宋体" w:cs="宋体"/>
                <w:bCs/>
              </w:rPr>
              <w:t>两次维修或更换，货物仍不能达到采购文件要求及投标文件承诺的质量标准，采购人有权退货，</w:t>
            </w:r>
            <w:r>
              <w:rPr>
                <w:rFonts w:hint="eastAsia"/>
                <w:bCs/>
                <w:szCs w:val="21"/>
              </w:rPr>
              <w:t>投标人</w:t>
            </w:r>
            <w:r>
              <w:rPr>
                <w:rFonts w:hint="eastAsia" w:ascii="宋体" w:hAnsi="宋体" w:cs="宋体"/>
                <w:bCs/>
              </w:rPr>
              <w:t>应退回全部货款并赔偿采购人因此遭受的损失。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top"/>
          </w:tcPr>
          <w:p>
            <w:pPr>
              <w:rPr>
                <w:bCs/>
              </w:rPr>
            </w:pPr>
          </w:p>
        </w:tc>
        <w:tc>
          <w:tcPr>
            <w:tcW w:w="5594" w:type="dxa"/>
            <w:noWrap w:val="0"/>
            <w:vAlign w:val="top"/>
          </w:tcPr>
          <w:p>
            <w:pPr>
              <w:rPr>
                <w:rFonts w:hint="eastAsia" w:ascii="宋体" w:hAnsi="宋体" w:cs="宋体"/>
                <w:b/>
              </w:rPr>
            </w:pPr>
            <w:r>
              <w:rPr>
                <w:rFonts w:hint="eastAsia" w:ascii="宋体" w:hAnsi="宋体" w:cs="宋体"/>
                <w:bCs/>
              </w:rPr>
              <w:t>3.6</w:t>
            </w:r>
            <w:r>
              <w:rPr>
                <w:rFonts w:hint="eastAsia"/>
                <w:bCs/>
                <w:szCs w:val="21"/>
              </w:rPr>
              <w:t>投标人中标后</w:t>
            </w:r>
            <w:r>
              <w:rPr>
                <w:rFonts w:hint="eastAsia" w:ascii="宋体" w:hAnsi="宋体" w:cs="宋体"/>
                <w:bCs/>
              </w:rPr>
              <w:t>在承担上述一项或多项违约责任后，仍应继续履行合同规定的义务（采购人解除合同的除外）。采购人未能及时追究</w:t>
            </w:r>
            <w:r>
              <w:rPr>
                <w:rFonts w:hint="eastAsia"/>
                <w:bCs/>
                <w:szCs w:val="21"/>
              </w:rPr>
              <w:t>投标人</w:t>
            </w:r>
            <w:r>
              <w:rPr>
                <w:rFonts w:hint="eastAsia" w:ascii="宋体" w:hAnsi="宋体" w:cs="宋体"/>
                <w:bCs/>
              </w:rPr>
              <w:t>的任何一项违约责任并不表明采购人放弃追究</w:t>
            </w:r>
            <w:r>
              <w:rPr>
                <w:rFonts w:hint="eastAsia"/>
                <w:bCs/>
                <w:szCs w:val="21"/>
              </w:rPr>
              <w:t>投标人</w:t>
            </w:r>
            <w:r>
              <w:rPr>
                <w:rFonts w:hint="eastAsia" w:ascii="宋体" w:hAnsi="宋体" w:cs="宋体"/>
                <w:bCs/>
              </w:rPr>
              <w:t>该项或其他违约责任。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noWrap w:val="0"/>
            <w:vAlign w:val="center"/>
          </w:tcPr>
          <w:p>
            <w:pPr>
              <w:jc w:val="center"/>
              <w:rPr>
                <w:rFonts w:hint="eastAsia"/>
                <w:bCs/>
              </w:rPr>
            </w:pPr>
            <w:r>
              <w:rPr>
                <w:rFonts w:hint="eastAsia"/>
                <w:bCs/>
              </w:rPr>
              <w:t>4</w:t>
            </w:r>
          </w:p>
        </w:tc>
        <w:tc>
          <w:tcPr>
            <w:tcW w:w="1620" w:type="dxa"/>
            <w:noWrap w:val="0"/>
            <w:vAlign w:val="top"/>
          </w:tcPr>
          <w:p>
            <w:pPr>
              <w:ind w:firstLine="420" w:firstLineChars="200"/>
              <w:rPr>
                <w:rFonts w:hint="eastAsia"/>
                <w:bCs/>
              </w:rPr>
            </w:pPr>
            <w:r>
              <w:rPr>
                <w:rFonts w:hint="eastAsia"/>
                <w:bCs/>
              </w:rPr>
              <w:t>其他</w:t>
            </w:r>
          </w:p>
        </w:tc>
        <w:tc>
          <w:tcPr>
            <w:tcW w:w="5594" w:type="dxa"/>
            <w:noWrap w:val="0"/>
            <w:vAlign w:val="top"/>
          </w:tcPr>
          <w:p>
            <w:pPr>
              <w:rPr>
                <w:rFonts w:hint="eastAsia" w:ascii="宋体" w:hAnsi="宋体" w:cs="宋体"/>
                <w:bCs/>
              </w:rPr>
            </w:pPr>
            <w:r>
              <w:rPr>
                <w:rFonts w:hint="eastAsia" w:ascii="宋体" w:hAnsi="宋体" w:cs="宋体"/>
                <w:bCs/>
              </w:rPr>
              <w:t>投标人</w:t>
            </w:r>
            <w:r>
              <w:rPr>
                <w:rFonts w:hint="eastAsia"/>
                <w:bCs/>
                <w:szCs w:val="21"/>
              </w:rPr>
              <w:t>中标后</w:t>
            </w:r>
            <w:r>
              <w:rPr>
                <w:rFonts w:hint="eastAsia" w:ascii="宋体" w:hAnsi="宋体" w:cs="宋体"/>
                <w:bCs/>
              </w:rPr>
              <w:t>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noWrap w:val="0"/>
            <w:vAlign w:val="center"/>
          </w:tcPr>
          <w:p>
            <w:pPr>
              <w:jc w:val="center"/>
              <w:rPr>
                <w:rFonts w:hint="eastAsia"/>
                <w:bCs/>
                <w:lang w:val="en-US" w:eastAsia="zh-CN"/>
              </w:rPr>
            </w:pPr>
            <w:r>
              <w:rPr>
                <w:rFonts w:hint="eastAsia"/>
                <w:bCs/>
                <w:lang w:val="en-US" w:eastAsia="zh-CN"/>
              </w:rPr>
              <w:t>5</w:t>
            </w:r>
          </w:p>
        </w:tc>
        <w:tc>
          <w:tcPr>
            <w:tcW w:w="1620" w:type="dxa"/>
            <w:noWrap w:val="0"/>
            <w:vAlign w:val="top"/>
          </w:tcPr>
          <w:p>
            <w:pPr>
              <w:jc w:val="center"/>
              <w:rPr>
                <w:rFonts w:hint="eastAsia"/>
                <w:bCs/>
                <w:lang w:eastAsia="zh-CN"/>
              </w:rPr>
            </w:pPr>
            <w:r>
              <w:rPr>
                <w:rFonts w:hint="eastAsia"/>
                <w:bCs/>
                <w:lang w:eastAsia="zh-CN"/>
              </w:rPr>
              <w:t>付款方式</w:t>
            </w:r>
          </w:p>
        </w:tc>
        <w:tc>
          <w:tcPr>
            <w:tcW w:w="5594" w:type="dxa"/>
            <w:noWrap w:val="0"/>
            <w:vAlign w:val="top"/>
          </w:tcPr>
          <w:p>
            <w:pPr>
              <w:rPr>
                <w:rFonts w:hint="eastAsia" w:ascii="宋体" w:hAnsi="宋体" w:cs="宋体"/>
                <w:bCs/>
              </w:rPr>
            </w:pPr>
            <w:r>
              <w:rPr>
                <w:rFonts w:hint="eastAsia" w:ascii="宋体" w:hAnsi="宋体" w:cs="宋体"/>
                <w:bCs/>
              </w:rPr>
              <w:t>1、合同签订后</w:t>
            </w:r>
            <w:r>
              <w:rPr>
                <w:rFonts w:hint="eastAsia" w:ascii="宋体" w:hAnsi="宋体" w:cs="宋体"/>
                <w:bCs/>
                <w:u w:val="single"/>
              </w:rPr>
              <w:t xml:space="preserve"> </w:t>
            </w:r>
            <w:r>
              <w:rPr>
                <w:rFonts w:hint="eastAsia" w:ascii="宋体" w:hAnsi="宋体" w:cs="宋体"/>
                <w:bCs/>
                <w:u w:val="single"/>
                <w:lang w:val="en-US" w:eastAsia="zh-CN"/>
              </w:rPr>
              <w:t>5</w:t>
            </w:r>
            <w:r>
              <w:rPr>
                <w:rFonts w:hint="eastAsia" w:ascii="宋体" w:hAnsi="宋体" w:cs="宋体"/>
                <w:bCs/>
                <w:u w:val="single"/>
              </w:rPr>
              <w:t xml:space="preserve">    </w:t>
            </w:r>
            <w:r>
              <w:rPr>
                <w:rFonts w:hint="eastAsia" w:ascii="宋体" w:hAnsi="宋体" w:cs="宋体"/>
                <w:bCs/>
              </w:rPr>
              <w:t>个工作日内，采购人向中标供应商支付合同总价【</w:t>
            </w:r>
            <w:r>
              <w:rPr>
                <w:rFonts w:hint="eastAsia" w:ascii="宋体" w:hAnsi="宋体" w:cs="宋体"/>
                <w:bCs/>
                <w:lang w:val="en-US" w:eastAsia="zh-CN"/>
              </w:rPr>
              <w:t>0</w:t>
            </w:r>
            <w:r>
              <w:rPr>
                <w:rFonts w:hint="eastAsia" w:ascii="宋体" w:hAnsi="宋体" w:cs="宋体"/>
                <w:bCs/>
              </w:rPr>
              <w:t>】%的款项；</w:t>
            </w:r>
          </w:p>
          <w:p>
            <w:pPr>
              <w:rPr>
                <w:rFonts w:hint="eastAsia" w:ascii="宋体" w:hAnsi="宋体" w:cs="宋体"/>
                <w:bCs/>
              </w:rPr>
            </w:pPr>
            <w:r>
              <w:rPr>
                <w:rFonts w:hint="eastAsia" w:ascii="宋体" w:hAnsi="宋体" w:cs="宋体"/>
                <w:bCs/>
              </w:rPr>
              <w:t xml:space="preserve">2、全部货物送到采购人指定地点、完成安装并验收合格后   </w:t>
            </w:r>
            <w:r>
              <w:rPr>
                <w:rFonts w:hint="eastAsia" w:ascii="宋体" w:hAnsi="宋体" w:cs="宋体"/>
                <w:bCs/>
                <w:lang w:val="en-US" w:eastAsia="zh-CN"/>
              </w:rPr>
              <w:t>30</w:t>
            </w:r>
            <w:r>
              <w:rPr>
                <w:rFonts w:hint="eastAsia" w:ascii="宋体" w:hAnsi="宋体" w:cs="宋体"/>
                <w:bCs/>
              </w:rPr>
              <w:t xml:space="preserve">  个工作日内，采购人向中标供应商支付合同总价【</w:t>
            </w:r>
            <w:r>
              <w:rPr>
                <w:rFonts w:hint="eastAsia" w:ascii="宋体" w:hAnsi="宋体" w:cs="宋体"/>
                <w:bCs/>
                <w:lang w:val="en-US" w:eastAsia="zh-CN"/>
              </w:rPr>
              <w:t>100</w:t>
            </w:r>
            <w:r>
              <w:rPr>
                <w:rFonts w:hint="eastAsia" w:ascii="宋体" w:hAnsi="宋体" w:cs="宋体"/>
                <w:bCs/>
              </w:rPr>
              <w:t>】%的款项；</w:t>
            </w:r>
          </w:p>
          <w:p>
            <w:pPr>
              <w:rPr>
                <w:rFonts w:hint="eastAsia" w:ascii="宋体" w:hAnsi="宋体" w:cs="宋体"/>
                <w:bCs/>
              </w:rPr>
            </w:pPr>
            <w:r>
              <w:rPr>
                <w:rFonts w:hint="eastAsia" w:ascii="宋体" w:hAnsi="宋体" w:cs="宋体"/>
                <w:bCs/>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tc>
      </w:tr>
    </w:tbl>
    <w:p>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tbl>
      <w:tblPr>
        <w:tblStyle w:val="19"/>
        <w:tblW w:w="85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0"/>
        <w:gridCol w:w="1080"/>
        <w:gridCol w:w="66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名称</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定音鼓</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1.▲专用铜材质腔体。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2.每只鼓音域6度以上。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3.脚架附带轮子，高度可调节。</w:t>
            </w:r>
            <w:bookmarkStart w:id="108" w:name="_GoBack"/>
            <w:bookmarkEnd w:id="108"/>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4.附带调音指针器，指针在3点或9点位置。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5.▲支架为超强铝合金，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6.▲鼓圈为碳素钢。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7.▲每只鼓鼓皮REMO鼓皮。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8.每只鼓附带仿皮长鼓套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9.23/26/29/32寸各一个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10.每个鼓配有液晶调音器，方便调音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交响乐大鼓</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1.鼓面直径36英寸，鼓腔厚度18英寸。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2.轻巧式角度可调鼓架，鼓面可固定在360度任意一角度。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3.分体式底座两侧附带方形脚踏横梁。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4.附带四只滑轮，每只附带面刹。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5.鼓肚全桦木材质7.2mm厚度木鼓腔。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6.鼓框材质为黑色铝制方头螺钉配尼龙垫圈。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7.附带鼓槌1套3只，附带仿皮大鼓罩。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8.表面处理为黑色木纹。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马林吧</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1.音域:4.3个八度(A2-C7)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2.音板数量:52鍵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3.音准:A=442Hz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4.音板材质:紫檀木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5.音板尺寸:38mm~63mm（5个刻度）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6.共鸣管:轻便型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7.琴重:86kg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8.琴长:227cm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9.低音琴宽:90cm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10.高音琴宽:65cm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11.双边折叠手摇式升降可调高度:84cm~110cm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12.附琴锤及防尘琴罩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高音木琴</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1.音板材质:花梨木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2.音域范围:3.5个八度（F4-C8）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3.音板数量:44键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4.音频:A=442Hz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5.音板尺寸:38 mm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6.重量:66kg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7.共鸣管:斜线型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8.琴长:157cm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 xml:space="preserve">9.宽度:低音琴宽70cm 高音琴宽65cm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10.升降:双边手摇把式可調式高度:76 ~ 98 cm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11.附：防尘罩 琴槌各一套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对镲</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18寸交响系列，带抓手，音色好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吊镲</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18寸交响系列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吊镲架</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可调节高度，双支撑杆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小军鼓</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1.鼓腔厚度：6层7.5毫米。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2.材质：北美枫木鼓腔。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3.鼓耳设计：古典。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4.鼓皮：REMO防文艺复兴鼓皮。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5.微调系统调节器：SR300，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6.砂带设计：多股叠式沙带，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7.外观处理：亮光烤漆外观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小军鼓架子</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可调节高度、可调节方向，大脚支架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钢片琴</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32音，f3--c6,不锈钢材质，配箱子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钢片琴架子</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X便携式架子，多角度可调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大号</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黄铜喇叭口，白铜接口，号口425mm,内管直径19mm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低音单簧管</w:t>
            </w: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1:调性:Bb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2:管身材质:ABS合成树脂/两节式管体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3:按键材质表面:镍银合金/镀镍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4:按键系统:贝姆式/19键,7盖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5:指挂：可调式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6:低音Eb键结构&amp;音孔:位于下身管节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7:皮垫:天然皮革8:Eb/Bb,B/F#人体工学设计键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9:G/D键尼龙材质运动结构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heme="minorEastAsia" w:hAnsiTheme="minorEastAsia" w:eastAsiaTheme="minorEastAsia" w:cstheme="minorEastAsia"/>
                <w:i w:val="0"/>
                <w:iCs w:val="0"/>
                <w:color w:val="000000"/>
                <w:sz w:val="21"/>
                <w:szCs w:val="21"/>
                <w:u w:val="none"/>
              </w:rPr>
            </w:pPr>
          </w:p>
        </w:tc>
        <w:tc>
          <w:tcPr>
            <w:tcW w:w="66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10：笛头：LUOVA笛头</w:t>
            </w:r>
          </w:p>
        </w:tc>
      </w:tr>
    </w:tbl>
    <w:p>
      <w:pPr>
        <w:rPr>
          <w:rFonts w:hint="eastAsia" w:ascii="宋体" w:hAnsi="宋体" w:eastAsia="宋体" w:cs="Times New Roman"/>
          <w:b/>
          <w:color w:val="FF0000"/>
          <w:szCs w:val="21"/>
        </w:rPr>
      </w:pPr>
    </w:p>
    <w:p>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如注明要求提供相关佐证材料的，需以佐证材料作为是否偏离的依据。</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4）检验（检测）报告若要求具有CMA、CNAS等标识的，若有材料证明相关检测事项不在实施该项检测的机构许可（认可）CMA、CNAS等资质范围或检测范围内的，该检验（检测）报告视为不满足招标文件要求，作负偏离处理。</w:t>
      </w:r>
    </w:p>
    <w:p>
      <w:pPr>
        <w:pStyle w:val="6"/>
        <w:spacing w:before="156" w:beforeLines="50" w:after="156" w:afterLines="50" w:line="416" w:lineRule="auto"/>
        <w:jc w:val="center"/>
        <w:rPr>
          <w:rFonts w:hint="eastAsia"/>
          <w:szCs w:val="28"/>
        </w:rPr>
      </w:pPr>
      <w:r>
        <w:rPr>
          <w:rFonts w:hint="eastAsia"/>
          <w:szCs w:val="28"/>
        </w:rPr>
        <w:t>六、其他重要条款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pPr>
        <w:pStyle w:val="2"/>
      </w:pPr>
      <w:bookmarkStart w:id="14" w:name="_Hlk72257167"/>
    </w:p>
    <w:bookmarkEnd w:id="14"/>
    <w:p>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pPr>
        <w:ind w:firstLine="1200" w:firstLineChars="500"/>
        <w:outlineLvl w:val="0"/>
        <w:rPr>
          <w:rFonts w:hint="eastAsia" w:ascii="宋体" w:hAnsi="宋体"/>
          <w:sz w:val="24"/>
        </w:rPr>
      </w:pPr>
      <w:bookmarkStart w:id="15" w:name="_Hlk72257771"/>
      <w:r>
        <w:rPr>
          <w:rFonts w:hint="eastAsia" w:ascii="宋体" w:hAnsi="宋体"/>
          <w:sz w:val="24"/>
        </w:rPr>
        <w:t>1.投标文件正文，主要包括以下内容：</w:t>
      </w:r>
    </w:p>
    <w:p>
      <w:pPr>
        <w:ind w:left="718" w:leftChars="342" w:firstLine="1417" w:firstLineChars="675"/>
        <w:rPr>
          <w:szCs w:val="21"/>
        </w:rPr>
      </w:pPr>
      <w:r>
        <w:rPr>
          <w:rFonts w:hint="eastAsia"/>
          <w:szCs w:val="21"/>
        </w:rPr>
        <w:t>（1）</w:t>
      </w:r>
      <w:bookmarkStart w:id="16" w:name="_Hlk72070784"/>
      <w:r>
        <w:rPr>
          <w:rFonts w:hint="eastAsia"/>
          <w:szCs w:val="21"/>
        </w:rPr>
        <w:t>投标函</w:t>
      </w:r>
      <w:bookmarkEnd w:id="16"/>
    </w:p>
    <w:p>
      <w:pPr>
        <w:ind w:left="718" w:leftChars="342" w:firstLine="1417" w:firstLineChars="675"/>
        <w:rPr>
          <w:szCs w:val="21"/>
        </w:rPr>
      </w:pPr>
      <w:r>
        <w:rPr>
          <w:rFonts w:hint="eastAsia"/>
          <w:szCs w:val="21"/>
        </w:rPr>
        <w:t>（2）</w:t>
      </w:r>
      <w:bookmarkStart w:id="17" w:name="_Hlk72062521"/>
      <w:r>
        <w:rPr>
          <w:rFonts w:hint="eastAsia"/>
          <w:szCs w:val="21"/>
        </w:rPr>
        <w:t>政府采购投标及履约承诺函</w:t>
      </w:r>
      <w:bookmarkEnd w:id="17"/>
    </w:p>
    <w:p>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pPr>
        <w:ind w:left="718" w:leftChars="342" w:firstLine="1417" w:firstLineChars="675"/>
        <w:rPr>
          <w:szCs w:val="21"/>
        </w:rPr>
      </w:pPr>
      <w:bookmarkStart w:id="18" w:name="_Hlk72257201"/>
      <w:r>
        <w:rPr>
          <w:rFonts w:hint="eastAsia"/>
          <w:szCs w:val="21"/>
        </w:rPr>
        <w:t>（</w:t>
      </w:r>
      <w:r>
        <w:rPr>
          <w:szCs w:val="21"/>
        </w:rPr>
        <w:t>4</w:t>
      </w:r>
      <w:r>
        <w:rPr>
          <w:rFonts w:hint="eastAsia"/>
          <w:szCs w:val="21"/>
        </w:rPr>
        <w:t>）项目详细报价</w:t>
      </w:r>
    </w:p>
    <w:bookmarkEnd w:id="18"/>
    <w:p>
      <w:pPr>
        <w:ind w:left="718" w:leftChars="342" w:firstLine="1417" w:firstLineChars="675"/>
        <w:rPr>
          <w:rFonts w:hint="eastAsia"/>
          <w:szCs w:val="21"/>
        </w:rPr>
      </w:pPr>
      <w:r>
        <w:rPr>
          <w:rFonts w:hint="eastAsia"/>
          <w:szCs w:val="21"/>
        </w:rPr>
        <w:t>（5）供应商情况表</w:t>
      </w:r>
    </w:p>
    <w:p>
      <w:pPr>
        <w:ind w:left="718" w:leftChars="342" w:firstLine="1417" w:firstLineChars="675"/>
        <w:rPr>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供应商基本情况表</w:t>
      </w:r>
    </w:p>
    <w:p>
      <w:pPr>
        <w:ind w:firstLine="1200" w:firstLineChars="500"/>
        <w:outlineLvl w:val="0"/>
        <w:rPr>
          <w:rFonts w:hint="eastAsia" w:ascii="宋体" w:hAnsi="宋体"/>
          <w:sz w:val="24"/>
        </w:rPr>
      </w:pPr>
      <w:r>
        <w:rPr>
          <w:rFonts w:hint="eastAsia" w:ascii="宋体" w:hAnsi="宋体"/>
          <w:sz w:val="24"/>
        </w:rPr>
        <w:t>2.投标文件附件：主要包括以下内容：</w:t>
      </w:r>
    </w:p>
    <w:p>
      <w:pPr>
        <w:ind w:firstLine="2100" w:firstLineChars="1000"/>
        <w:rPr>
          <w:szCs w:val="21"/>
        </w:rPr>
      </w:pPr>
      <w:r>
        <w:rPr>
          <w:rFonts w:hint="eastAsia"/>
          <w:szCs w:val="21"/>
        </w:rPr>
        <w:t>（1）法定代表人（负责人）证明书</w:t>
      </w:r>
    </w:p>
    <w:p>
      <w:pPr>
        <w:ind w:left="718" w:leftChars="342" w:firstLine="1417" w:firstLineChars="675"/>
        <w:rPr>
          <w:szCs w:val="21"/>
        </w:rPr>
      </w:pPr>
      <w:r>
        <w:rPr>
          <w:rFonts w:hint="eastAsia"/>
          <w:szCs w:val="21"/>
        </w:rPr>
        <w:t>（2）投标文件签署授权委托书</w:t>
      </w:r>
    </w:p>
    <w:p>
      <w:pPr>
        <w:ind w:left="718" w:leftChars="342" w:firstLine="1417" w:firstLineChars="675"/>
        <w:rPr>
          <w:szCs w:val="21"/>
        </w:rPr>
      </w:pPr>
      <w:r>
        <w:rPr>
          <w:rFonts w:hint="eastAsia"/>
          <w:szCs w:val="21"/>
        </w:rPr>
        <w:t>（3）实质性条款响应情况表</w:t>
      </w:r>
    </w:p>
    <w:p>
      <w:pPr>
        <w:ind w:left="718" w:leftChars="342" w:firstLine="1417" w:firstLineChars="675"/>
        <w:rPr>
          <w:szCs w:val="21"/>
        </w:rPr>
      </w:pPr>
      <w:r>
        <w:rPr>
          <w:rFonts w:hint="eastAsia"/>
          <w:szCs w:val="21"/>
        </w:rPr>
        <w:t>（</w:t>
      </w:r>
      <w:r>
        <w:rPr>
          <w:szCs w:val="21"/>
        </w:rPr>
        <w:t>4</w:t>
      </w:r>
      <w:r>
        <w:rPr>
          <w:rFonts w:hint="eastAsia"/>
          <w:szCs w:val="21"/>
        </w:rPr>
        <w:t>）商务要求偏离表</w:t>
      </w:r>
    </w:p>
    <w:p>
      <w:pPr>
        <w:ind w:left="718" w:leftChars="342" w:firstLine="1417" w:firstLineChars="675"/>
        <w:rPr>
          <w:szCs w:val="21"/>
        </w:rPr>
      </w:pPr>
      <w:r>
        <w:rPr>
          <w:rFonts w:hint="eastAsia"/>
          <w:szCs w:val="21"/>
        </w:rPr>
        <w:t>（</w:t>
      </w:r>
      <w:r>
        <w:rPr>
          <w:szCs w:val="21"/>
        </w:rPr>
        <w:t>5</w:t>
      </w:r>
      <w:r>
        <w:rPr>
          <w:rFonts w:hint="eastAsia"/>
          <w:szCs w:val="21"/>
        </w:rPr>
        <w:t>）技术要求偏离表</w:t>
      </w:r>
    </w:p>
    <w:p>
      <w:pPr>
        <w:ind w:left="718" w:leftChars="342" w:firstLine="1417" w:firstLineChars="675"/>
        <w:rPr>
          <w:szCs w:val="21"/>
        </w:rPr>
      </w:pPr>
      <w:r>
        <w:rPr>
          <w:rFonts w:hint="eastAsia"/>
          <w:szCs w:val="21"/>
        </w:rPr>
        <w:t>（6）</w:t>
      </w:r>
      <w:r>
        <w:rPr>
          <w:rFonts w:hint="eastAsia" w:asciiTheme="minorEastAsia" w:hAnsiTheme="minorEastAsia" w:cstheme="minorEastAsia"/>
          <w:sz w:val="21"/>
          <w:szCs w:val="21"/>
          <w:lang w:val="en-US" w:eastAsia="zh-CN"/>
        </w:rPr>
        <w:t>实施方案</w:t>
      </w:r>
    </w:p>
    <w:p>
      <w:pPr>
        <w:ind w:left="718" w:leftChars="342" w:firstLine="1417" w:firstLineChars="675"/>
        <w:rPr>
          <w:rFonts w:hint="eastAsia"/>
          <w:szCs w:val="21"/>
        </w:rPr>
      </w:pPr>
      <w:r>
        <w:rPr>
          <w:rFonts w:hint="eastAsia"/>
          <w:szCs w:val="21"/>
        </w:rPr>
        <w:t>（7）</w:t>
      </w:r>
      <w:r>
        <w:rPr>
          <w:rFonts w:hint="eastAsia" w:asciiTheme="minorEastAsia" w:hAnsiTheme="minorEastAsia" w:cstheme="minorEastAsia"/>
          <w:sz w:val="21"/>
          <w:szCs w:val="21"/>
          <w:lang w:val="en-US" w:eastAsia="zh-CN"/>
        </w:rPr>
        <w:t>技术培训力量</w:t>
      </w:r>
    </w:p>
    <w:p>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）维修技术服务能力</w:t>
      </w:r>
    </w:p>
    <w:p>
      <w:pPr>
        <w:ind w:left="718" w:leftChars="342" w:firstLine="1417" w:firstLineChars="675"/>
        <w:rPr>
          <w:rFonts w:hint="eastAsia" w:ascii="宋体" w:hAnsi="宋体" w:cs="宋体"/>
          <w:kern w:val="0"/>
          <w:szCs w:val="21"/>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ascii="宋体" w:hAnsi="宋体" w:cs="宋体"/>
          <w:kern w:val="0"/>
          <w:szCs w:val="21"/>
        </w:rPr>
        <w:t>同类项目业绩</w:t>
      </w:r>
    </w:p>
    <w:p>
      <w:pPr>
        <w:ind w:left="718" w:leftChars="342" w:firstLine="1417" w:firstLineChars="675"/>
        <w:rPr>
          <w:rFonts w:hint="eastAsia"/>
          <w:szCs w:val="21"/>
          <w:lang w:eastAsia="zh-CN"/>
        </w:rPr>
      </w:pPr>
      <w:r>
        <w:rPr>
          <w:rFonts w:hint="eastAsia" w:ascii="宋体" w:hAnsi="宋体" w:cs="宋体"/>
          <w:kern w:val="0"/>
          <w:szCs w:val="21"/>
          <w:lang w:eastAsia="zh-CN"/>
        </w:rPr>
        <w:t>（</w:t>
      </w:r>
      <w:r>
        <w:rPr>
          <w:rFonts w:hint="eastAsia" w:ascii="宋体" w:hAnsi="宋体" w:cs="宋体"/>
          <w:kern w:val="0"/>
          <w:szCs w:val="21"/>
          <w:lang w:val="en-US" w:eastAsia="zh-CN"/>
        </w:rPr>
        <w:t>10</w:t>
      </w:r>
      <w:r>
        <w:rPr>
          <w:rFonts w:hint="eastAsia" w:ascii="宋体" w:hAnsi="宋体" w:cs="宋体"/>
          <w:kern w:val="0"/>
          <w:szCs w:val="21"/>
          <w:lang w:eastAsia="zh-CN"/>
        </w:rPr>
        <w:t>）</w:t>
      </w:r>
      <w:r>
        <w:rPr>
          <w:rFonts w:hint="eastAsia" w:ascii="宋体" w:hAnsi="宋体" w:cs="宋体"/>
          <w:kern w:val="0"/>
          <w:szCs w:val="21"/>
        </w:rPr>
        <w:t>履约评价情况</w:t>
      </w:r>
    </w:p>
    <w:p>
      <w:pPr>
        <w:ind w:left="718" w:leftChars="342" w:firstLine="1417" w:firstLineChars="675"/>
        <w:rPr>
          <w:szCs w:val="21"/>
        </w:rPr>
      </w:pPr>
      <w:r>
        <w:rPr>
          <w:rFonts w:hint="eastAsia"/>
          <w:szCs w:val="21"/>
        </w:rPr>
        <w:t>（</w:t>
      </w:r>
      <w:r>
        <w:rPr>
          <w:rFonts w:hint="eastAsia"/>
          <w:szCs w:val="21"/>
          <w:lang w:val="en-US" w:eastAsia="zh-CN"/>
        </w:rPr>
        <w:t>11</w:t>
      </w:r>
      <w:r>
        <w:rPr>
          <w:rFonts w:hint="eastAsia"/>
          <w:szCs w:val="21"/>
        </w:rPr>
        <w:t>）投标人认为需要加以说明的其他内容</w:t>
      </w:r>
    </w:p>
    <w:p>
      <w:pPr>
        <w:spacing w:line="320" w:lineRule="atLeast"/>
        <w:rPr>
          <w:rFonts w:hint="eastAsia" w:ascii="宋体" w:hAnsi="宋体"/>
          <w:b/>
          <w:sz w:val="24"/>
          <w:szCs w:val="24"/>
        </w:rPr>
      </w:pPr>
      <w:r>
        <w:rPr>
          <w:rFonts w:hint="eastAsia" w:ascii="宋体" w:hAnsi="宋体"/>
          <w:b/>
          <w:sz w:val="24"/>
          <w:szCs w:val="24"/>
        </w:rPr>
        <w:t>备注：</w:t>
      </w:r>
    </w:p>
    <w:p>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pPr>
        <w:snapToGrid w:val="0"/>
        <w:spacing w:after="78" w:afterLines="25"/>
        <w:ind w:firstLine="482" w:firstLineChars="200"/>
        <w:rPr>
          <w:rFonts w:hint="eastAsia" w:ascii="宋体" w:hAnsi="宋体" w:eastAsia="黑体" w:cs="Times New Roman"/>
          <w:bCs/>
          <w:kern w:val="44"/>
          <w:sz w:val="32"/>
          <w:szCs w:val="32"/>
        </w:rPr>
      </w:pPr>
      <w:bookmarkStart w:id="19" w:name="_Hlk72263559"/>
      <w:r>
        <w:rPr>
          <w:rFonts w:hint="eastAsia" w:ascii="宋体" w:hAnsi="宋体"/>
          <w:b/>
          <w:sz w:val="24"/>
          <w:szCs w:val="24"/>
        </w:rPr>
        <w:t>2.关于填写“开标一览表”的说明：“开标一览表”中除“投标总价”外，其他信息不作评审依据。</w:t>
      </w:r>
      <w:bookmarkEnd w:id="15"/>
      <w:bookmarkEnd w:id="19"/>
      <w:r>
        <w:rPr>
          <w:rFonts w:ascii="宋体" w:hAnsi="宋体" w:eastAsia="黑体" w:cs="Times New Roman"/>
          <w:bCs/>
          <w:kern w:val="44"/>
          <w:sz w:val="32"/>
          <w:szCs w:val="32"/>
        </w:rPr>
        <w:br w:type="page"/>
      </w:r>
    </w:p>
    <w:p>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pPr>
        <w:pStyle w:val="6"/>
        <w:jc w:val="center"/>
        <w:rPr>
          <w:rFonts w:hint="eastAsia" w:ascii="黑体" w:eastAsia="黑体"/>
          <w:b w:val="0"/>
          <w:sz w:val="24"/>
        </w:rPr>
      </w:pPr>
      <w:r>
        <w:rPr>
          <w:rFonts w:hint="eastAsia" w:ascii="黑体" w:eastAsia="黑体"/>
          <w:b w:val="0"/>
          <w:sz w:val="24"/>
        </w:rPr>
        <w:t>一、投标函</w:t>
      </w:r>
    </w:p>
    <w:p>
      <w:pPr>
        <w:spacing w:line="360" w:lineRule="auto"/>
        <w:rPr>
          <w:rFonts w:hint="eastAsia" w:ascii="宋体" w:hAnsi="宋体"/>
          <w:szCs w:val="21"/>
        </w:rPr>
      </w:pPr>
      <w:bookmarkStart w:id="20"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hint="eastAsia" w:ascii="宋体" w:hAnsi="宋体"/>
          <w:szCs w:val="21"/>
        </w:rPr>
      </w:pPr>
      <w:bookmarkStart w:id="21"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2" w:name="_Hlk72263588"/>
      <w:r>
        <w:rPr>
          <w:rFonts w:hint="eastAsia"/>
          <w:szCs w:val="21"/>
        </w:rPr>
        <w:t>愿意按照招标文件要求承包上述项目并修补其任何缺陷。</w:t>
      </w:r>
      <w:bookmarkEnd w:id="22"/>
    </w:p>
    <w:p>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3" w:name="_Hlk73819847"/>
      <w:r>
        <w:rPr>
          <w:rFonts w:hint="eastAsia" w:ascii="宋体" w:hAnsi="宋体"/>
          <w:szCs w:val="21"/>
        </w:rPr>
        <w:t>投标价格见</w:t>
      </w:r>
      <w:r>
        <w:rPr>
          <w:rFonts w:hint="eastAsia"/>
          <w:szCs w:val="21"/>
        </w:rPr>
        <w:t>投标书编制软件中《开标一览表》中填写的投标总价。</w:t>
      </w:r>
      <w:bookmarkEnd w:id="23"/>
    </w:p>
    <w:p>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1"/>
    </w:p>
    <w:p>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rPr>
          <w:rFonts w:hint="eastAsia" w:ascii="黑体" w:hAnsi="宋体" w:eastAsia="黑体"/>
        </w:rPr>
      </w:pPr>
    </w:p>
    <w:p>
      <w:pPr>
        <w:rPr>
          <w:rFonts w:hint="eastAsia" w:ascii="黑体" w:hAnsi="宋体" w:eastAsia="黑体"/>
        </w:rPr>
      </w:pPr>
    </w:p>
    <w:bookmarkEnd w:id="20"/>
    <w:p>
      <w:pPr>
        <w:pStyle w:val="6"/>
        <w:jc w:val="center"/>
        <w:rPr>
          <w:rFonts w:hint="eastAsia" w:ascii="黑体" w:eastAsia="黑体"/>
          <w:b w:val="0"/>
          <w:sz w:val="24"/>
        </w:rPr>
      </w:pPr>
      <w:r>
        <w:rPr>
          <w:rFonts w:hint="eastAsia" w:ascii="黑体" w:eastAsia="黑体"/>
          <w:b w:val="0"/>
          <w:sz w:val="24"/>
        </w:rPr>
        <w:t>二、政府采购投标及履约承诺函</w:t>
      </w:r>
    </w:p>
    <w:p>
      <w:pPr>
        <w:rPr>
          <w:rFonts w:hint="eastAsia" w:ascii="宋体" w:hAnsi="宋体"/>
          <w:color w:val="FF0000"/>
          <w:szCs w:val="21"/>
        </w:rPr>
      </w:pPr>
      <w:bookmarkStart w:id="24"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hint="eastAsia" w:ascii="宋体" w:hAnsi="宋体"/>
          <w:szCs w:val="21"/>
        </w:rPr>
      </w:pPr>
      <w:r>
        <w:rPr>
          <w:rFonts w:hint="eastAsia" w:ascii="宋体" w:hAnsi="宋体"/>
          <w:szCs w:val="21"/>
        </w:rPr>
        <w:t>我单位承诺：</w:t>
      </w:r>
    </w:p>
    <w:p>
      <w:pPr>
        <w:ind w:firstLine="420" w:firstLineChars="200"/>
        <w:rPr>
          <w:rFonts w:hint="eastAsia"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pPr>
        <w:ind w:firstLine="420" w:firstLineChars="200"/>
        <w:rPr>
          <w:rFonts w:hint="eastAsia"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pPr>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pPr>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pPr>
        <w:ind w:firstLine="420" w:firstLineChars="200"/>
      </w:pPr>
      <w:r>
        <w:rPr>
          <w:rFonts w:hint="eastAsia" w:ascii="Times New Roman" w:eastAsia="宋体"/>
          <w:color w:val="FF0000"/>
        </w:rPr>
        <w:t>5.我单位不存在《深圳市财政局政府采购供应商信用信息管理办法》（深财规〔2023〕3号）列明的严重违法失信行为。</w:t>
      </w:r>
    </w:p>
    <w:p>
      <w:pPr>
        <w:ind w:firstLine="420" w:firstLineChars="200"/>
        <w:rPr>
          <w:rFonts w:hint="eastAsia" w:ascii="宋体" w:hAnsi="宋体"/>
          <w:szCs w:val="21"/>
        </w:rPr>
      </w:pPr>
      <w:r>
        <w:rPr>
          <w:rFonts w:hint="eastAsia" w:ascii="宋体" w:hAnsi="宋体"/>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hint="eastAsia" w:ascii="宋体" w:hAnsi="宋体"/>
          <w:szCs w:val="21"/>
        </w:rPr>
      </w:pPr>
      <w:r>
        <w:rPr>
          <w:rFonts w:hint="eastAsia" w:ascii="宋体" w:hAnsi="宋体"/>
          <w:szCs w:val="21"/>
        </w:rPr>
        <w:t>9.我单位承诺中标后项目不转包，未经采购人同意不进行分包。</w:t>
      </w:r>
    </w:p>
    <w:p>
      <w:pPr>
        <w:ind w:firstLine="420" w:firstLineChars="200"/>
        <w:rPr>
          <w:rFonts w:hint="eastAsia"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cs="宋体"/>
          <w:b/>
          <w:kern w:val="0"/>
          <w:szCs w:val="21"/>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w:t>
      </w:r>
      <w:r>
        <w:rPr>
          <w:rFonts w:hint="eastAsia" w:eastAsia="宋体"/>
        </w:rPr>
        <w:t>（</w:t>
      </w:r>
      <w:r>
        <w:rPr>
          <w:rFonts w:hint="eastAsia"/>
        </w:rPr>
        <w:t>财库〔2023〕7号）</w:t>
      </w:r>
      <w:r>
        <w:rPr>
          <w:rFonts w:hint="eastAsia" w:ascii="Times New Roman" w:eastAsia="宋体"/>
        </w:rPr>
        <w:t>要求。若所投产品涉及国家强制性标准的，所投产品应符合国家强制性标准相关要求。</w:t>
      </w:r>
    </w:p>
    <w:p>
      <w:pPr>
        <w:ind w:firstLine="420" w:firstLineChars="200"/>
        <w:rPr>
          <w:rFonts w:hint="eastAsia"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pPr>
        <w:ind w:firstLine="420" w:firstLineChars="200"/>
        <w:rPr>
          <w:rFonts w:hint="eastAsia" w:ascii="宋体" w:hAnsi="宋体"/>
          <w:bCs/>
        </w:rPr>
      </w:pPr>
      <w:r>
        <w:rPr>
          <w:rFonts w:hint="eastAsia" w:ascii="宋体" w:hAnsi="宋体"/>
          <w:bCs/>
        </w:rPr>
        <w:t>13.</w:t>
      </w:r>
      <w:bookmarkStart w:id="25" w:name="OLE_LINK12"/>
      <w:bookmarkStart w:id="26" w:name="OLE_LINK3"/>
      <w:r>
        <w:rPr>
          <w:rFonts w:hint="eastAsia" w:ascii="宋体" w:hAnsi="宋体"/>
          <w:bCs/>
        </w:rPr>
        <w:t>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bookmarkEnd w:id="25"/>
      <w:r>
        <w:rPr>
          <w:rFonts w:hint="eastAsia" w:ascii="宋体" w:hAnsi="宋体"/>
          <w:bCs/>
        </w:rPr>
        <w:t>。</w:t>
      </w:r>
      <w:bookmarkEnd w:id="26"/>
    </w:p>
    <w:p>
      <w:pPr>
        <w:ind w:firstLine="422" w:firstLineChars="200"/>
        <w:rPr>
          <w:rFonts w:hint="eastAsia" w:ascii="宋体" w:hAnsi="宋体"/>
          <w:b/>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pPr>
        <w:ind w:firstLine="422" w:firstLineChars="200"/>
        <w:rPr>
          <w:rFonts w:hint="eastAsia" w:ascii="宋体" w:hAnsi="宋体"/>
          <w:b/>
        </w:rPr>
      </w:pPr>
    </w:p>
    <w:p>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4"/>
    <w:p>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pPr>
        <w:ind w:firstLine="645"/>
        <w:rPr>
          <w:rFonts w:hint="eastAsia" w:ascii="宋体" w:hAnsi="宋体"/>
          <w:szCs w:val="21"/>
        </w:rPr>
      </w:pPr>
    </w:p>
    <w:p>
      <w:pPr>
        <w:rPr>
          <w:rFonts w:ascii="宋体"/>
          <w:b/>
          <w:szCs w:val="21"/>
        </w:rPr>
      </w:pPr>
    </w:p>
    <w:p>
      <w:pPr>
        <w:ind w:firstLine="482" w:firstLineChars="200"/>
        <w:jc w:val="center"/>
        <w:rPr>
          <w:rFonts w:hint="eastAsia" w:hAnsi="宋体"/>
          <w:b/>
          <w:bCs/>
          <w:sz w:val="24"/>
        </w:rPr>
      </w:pPr>
    </w:p>
    <w:p>
      <w:pPr>
        <w:pStyle w:val="6"/>
        <w:jc w:val="center"/>
        <w:rPr>
          <w:rFonts w:hint="eastAsia"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hint="eastAsia" w:ascii="黑体" w:hAnsi="宋体" w:eastAsia="黑体"/>
          <w:bCs/>
          <w:kern w:val="0"/>
          <w:sz w:val="24"/>
          <w:szCs w:val="32"/>
        </w:rPr>
      </w:pPr>
      <w:bookmarkStart w:id="27" w:name="_Hlk72257590"/>
      <w:r>
        <w:rPr>
          <w:rFonts w:hint="eastAsia" w:ascii="黑体" w:hAnsi="宋体" w:eastAsia="黑体"/>
          <w:bCs/>
          <w:kern w:val="0"/>
          <w:sz w:val="24"/>
          <w:szCs w:val="32"/>
        </w:rPr>
        <w:t>（一）投标人资格证明文件</w:t>
      </w:r>
    </w:p>
    <w:p>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pPr>
        <w:rPr>
          <w:b/>
          <w:bCs/>
          <w:sz w:val="24"/>
        </w:rPr>
      </w:pPr>
    </w:p>
    <w:p>
      <w:pPr>
        <w:ind w:firstLine="480" w:firstLineChars="200"/>
        <w:outlineLvl w:val="3"/>
        <w:rPr>
          <w:rFonts w:hint="eastAsia" w:ascii="黑体" w:hAnsi="宋体" w:eastAsia="黑体"/>
          <w:bCs/>
          <w:kern w:val="0"/>
          <w:sz w:val="24"/>
          <w:szCs w:val="32"/>
        </w:rPr>
      </w:pPr>
      <w:bookmarkStart w:id="28" w:name="_Hlk72257908"/>
      <w:r>
        <w:rPr>
          <w:rFonts w:hint="eastAsia" w:ascii="黑体" w:hAnsi="宋体" w:eastAsia="黑体"/>
          <w:bCs/>
          <w:kern w:val="0"/>
          <w:sz w:val="24"/>
          <w:szCs w:val="32"/>
        </w:rPr>
        <w:t>（二）中小企业声明函、残疾人福利性单位声明函及监狱企业声明函</w:t>
      </w:r>
    </w:p>
    <w:bookmarkEnd w:id="27"/>
    <w:p>
      <w:pPr>
        <w:jc w:val="left"/>
        <w:outlineLvl w:val="3"/>
        <w:rPr>
          <w:rFonts w:hint="eastAsia" w:ascii="黑体" w:hAnsi="宋体" w:eastAsia="黑体"/>
          <w:bCs/>
          <w:kern w:val="0"/>
          <w:sz w:val="24"/>
          <w:szCs w:val="32"/>
        </w:rPr>
      </w:pP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hint="eastAsia"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29"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29"/>
      <w:r>
        <w:rPr>
          <w:rFonts w:hint="eastAsia" w:ascii="黑体" w:hAnsi="黑体" w:eastAsia="黑体"/>
          <w:color w:val="FF0000"/>
          <w:szCs w:val="21"/>
        </w:rPr>
        <w:t>）</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(3)《统计上大中小微型企业划分办法(2017)》（国统字〔2017〕213号）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(4)《关于促进残疾人就业政府采购政策的通知》（财库〔2017〕141号）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服务承接商名称。</w:t>
      </w:r>
      <w:r>
        <w:rPr>
          <w:rFonts w:hint="eastAsia" w:ascii="黑体" w:hAnsi="宋体" w:eastAsia="黑体"/>
          <w:bCs/>
          <w:color w:val="FF0000"/>
          <w:kern w:val="0"/>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Cs w:val="21"/>
        </w:rPr>
        <w:t>第六、</w:t>
      </w:r>
      <w:r>
        <w:rPr>
          <w:rFonts w:hint="eastAsia" w:ascii="黑体" w:hAnsi="宋体" w:eastAsia="黑体"/>
          <w:bCs/>
          <w:color w:val="FF0000"/>
          <w:kern w:val="0"/>
          <w:szCs w:val="21"/>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pStyle w:val="51"/>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3"/>
        </w:numPr>
        <w:jc w:val="center"/>
        <w:outlineLvl w:val="3"/>
        <w:rPr>
          <w:b/>
          <w:sz w:val="24"/>
        </w:rPr>
      </w:pPr>
      <w:r>
        <w:rPr>
          <w:b/>
          <w:sz w:val="24"/>
        </w:rPr>
        <w:t>中小企业声明函（货物）</w:t>
      </w:r>
    </w:p>
    <w:p>
      <w:pPr>
        <w:pStyle w:val="2"/>
      </w:pP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pPr>
        <w:pStyle w:val="15"/>
        <w:ind w:firstLine="420" w:firstLineChars="200"/>
        <w:rPr>
          <w:rFonts w:hint="eastAsia" w:asciiTheme="minorEastAsia" w:hAnsiTheme="minorEastAsia" w:cstheme="minorEastAsia"/>
          <w:sz w:val="21"/>
          <w:szCs w:val="21"/>
        </w:rPr>
      </w:pPr>
    </w:p>
    <w:p>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hint="eastAsia" w:asciiTheme="minorEastAsia" w:hAnsiTheme="minorEastAsia" w:cstheme="minorEastAsia"/>
          <w:szCs w:val="21"/>
        </w:rPr>
      </w:pPr>
      <w:bookmarkStart w:id="30" w:name="_Hlk73562203"/>
      <w:r>
        <w:rPr>
          <w:rFonts w:hint="eastAsia" w:asciiTheme="minorEastAsia" w:hAnsiTheme="minorEastAsia" w:cstheme="minorEastAsia"/>
          <w:szCs w:val="21"/>
        </w:rPr>
        <w:t>本投标人对上述声明内容的真实性负责。如有虚假，将依法承担相应责任。</w:t>
      </w:r>
    </w:p>
    <w:p>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0"/>
    </w:p>
    <w:p>
      <w:pPr>
        <w:ind w:firstLine="420" w:firstLineChars="200"/>
        <w:outlineLvl w:val="3"/>
        <w:rPr>
          <w:rFonts w:hint="eastAsia" w:ascii="宋体" w:hAnsi="宋体"/>
          <w:bCs/>
          <w:color w:val="FF0000"/>
          <w:kern w:val="0"/>
          <w:szCs w:val="21"/>
        </w:rPr>
      </w:pPr>
    </w:p>
    <w:p/>
    <w:p>
      <w:pPr>
        <w:ind w:firstLine="420" w:firstLineChars="200"/>
      </w:pPr>
    </w:p>
    <w:p>
      <w:pPr>
        <w:jc w:val="center"/>
        <w:outlineLvl w:val="3"/>
        <w:rPr>
          <w:b/>
          <w:sz w:val="24"/>
        </w:rPr>
      </w:pPr>
      <w:r>
        <w:rPr>
          <w:rFonts w:hint="eastAsia"/>
          <w:b/>
          <w:sz w:val="24"/>
        </w:rPr>
        <w:t>2、残疾人福利性单位声明函（货物类）</w:t>
      </w:r>
    </w:p>
    <w:p>
      <w:pPr>
        <w:rPr>
          <w:b/>
          <w:bCs/>
        </w:rPr>
      </w:pPr>
    </w:p>
    <w:p>
      <w:pPr>
        <w:spacing w:line="360" w:lineRule="auto"/>
        <w:ind w:firstLine="420" w:firstLineChars="200"/>
        <w:rPr>
          <w:rFonts w:hint="eastAsia" w:asciiTheme="minorEastAsia" w:hAnsiTheme="minorEastAsia" w:cstheme="minorEastAsia"/>
          <w:szCs w:val="21"/>
        </w:rPr>
      </w:pPr>
      <w:bookmarkStart w:id="31" w:name="_Hlk73562331"/>
      <w:bookmarkStart w:id="32"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1"/>
    </w:p>
    <w:bookmarkEnd w:id="32"/>
    <w:p>
      <w:pPr>
        <w:ind w:firstLine="420" w:firstLineChars="200"/>
        <w:rPr>
          <w:rFonts w:hint="eastAsia" w:ascii="宋体" w:hAnsi="宋体"/>
          <w:szCs w:val="21"/>
        </w:rPr>
      </w:pPr>
    </w:p>
    <w:p>
      <w:pPr>
        <w:ind w:firstLine="420" w:firstLineChars="200"/>
        <w:rPr>
          <w:rFonts w:hint="eastAsia" w:ascii="宋体" w:hAnsi="宋体"/>
          <w:szCs w:val="21"/>
        </w:rPr>
      </w:pPr>
    </w:p>
    <w:p>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pPr>
        <w:spacing w:line="360" w:lineRule="auto"/>
        <w:ind w:firstLine="420" w:firstLineChars="200"/>
        <w:outlineLvl w:val="3"/>
        <w:rPr>
          <w:rFonts w:hint="eastAsia" w:ascii="宋体" w:hAnsi="宋体"/>
          <w:szCs w:val="21"/>
        </w:rPr>
      </w:pPr>
      <w:r>
        <w:rPr>
          <w:rFonts w:ascii="宋体" w:hAnsi="宋体"/>
          <w:szCs w:val="21"/>
        </w:rPr>
        <w:t xml:space="preserve">…… </w:t>
      </w:r>
    </w:p>
    <w:p>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8"/>
    </w:p>
    <w:p>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分项报价清单</w:t>
      </w:r>
    </w:p>
    <w:p>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19"/>
        <w:gridCol w:w="679"/>
        <w:gridCol w:w="796"/>
        <w:gridCol w:w="883"/>
        <w:gridCol w:w="660"/>
        <w:gridCol w:w="462"/>
        <w:gridCol w:w="462"/>
        <w:gridCol w:w="657"/>
        <w:gridCol w:w="880"/>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Align w:val="center"/>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1</w:t>
            </w:r>
          </w:p>
        </w:tc>
        <w:tc>
          <w:tcPr>
            <w:tcW w:w="903" w:type="pct"/>
            <w:vAlign w:val="center"/>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restart"/>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2</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3</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pPr>
              <w:spacing w:after="78" w:afterLines="25" w:line="300" w:lineRule="auto"/>
              <w:rPr>
                <w:rFonts w:ascii="Arial" w:hAnsi="Arial" w:eastAsia="宋体" w:cs="Times New Roman"/>
                <w:szCs w:val="24"/>
              </w:rPr>
            </w:pPr>
          </w:p>
        </w:tc>
      </w:tr>
    </w:tbl>
    <w:p>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3"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3"/>
    </w:p>
    <w:p>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4" w:name="_Hlk72074795"/>
      <w:r>
        <w:rPr>
          <w:rFonts w:hint="eastAsia" w:cs="Times New Roman" w:asciiTheme="minorEastAsia" w:hAnsiTheme="minorEastAsia"/>
          <w:b/>
          <w:szCs w:val="24"/>
        </w:rPr>
        <w:t>“原产地”是指该货物的实际生产加工地，而非品牌所在地</w:t>
      </w:r>
      <w:bookmarkEnd w:id="34"/>
      <w:r>
        <w:rPr>
          <w:rFonts w:hint="eastAsia" w:cs="Times New Roman" w:asciiTheme="minorEastAsia" w:hAnsiTheme="minorEastAsia"/>
          <w:b/>
          <w:szCs w:val="24"/>
        </w:rPr>
        <w:t>。</w:t>
      </w:r>
    </w:p>
    <w:p>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pPr>
        <w:snapToGrid w:val="0"/>
        <w:rPr>
          <w:rFonts w:hint="eastAsia" w:cs="Times New Roman" w:asciiTheme="minorEastAsia" w:hAnsiTheme="minorEastAsia"/>
          <w:b/>
          <w:szCs w:val="24"/>
        </w:rPr>
      </w:pPr>
    </w:p>
    <w:p>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pPr>
        <w:tabs>
          <w:tab w:val="left" w:pos="720"/>
        </w:tabs>
        <w:rPr>
          <w:rFonts w:ascii="Times New Roman" w:hAnsi="Times New Roman" w:eastAsia="宋体" w:cs="Times New Roman"/>
          <w:b/>
          <w:sz w:val="24"/>
          <w:szCs w:val="24"/>
        </w:rPr>
      </w:pPr>
    </w:p>
    <w:p>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pPr>
        <w:spacing w:after="78" w:afterLines="25" w:line="300" w:lineRule="auto"/>
        <w:rPr>
          <w:rFonts w:ascii="Arial" w:hAnsi="Arial" w:eastAsia="宋体" w:cs="Times New Roman"/>
          <w:b/>
          <w:szCs w:val="24"/>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pPr>
        <w:ind w:firstLine="422" w:firstLineChars="200"/>
        <w:rPr>
          <w:rFonts w:hint="eastAsia" w:hAnsi="宋体"/>
          <w:b/>
          <w:bCs/>
          <w:szCs w:val="21"/>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pPr>
        <w:rPr>
          <w:b/>
          <w:bCs/>
          <w:color w:val="FF0000"/>
          <w:sz w:val="24"/>
        </w:rPr>
      </w:pPr>
    </w:p>
    <w:p>
      <w:pPr>
        <w:jc w:val="center"/>
        <w:rPr>
          <w:rFonts w:ascii="黑体" w:eastAsia="黑体"/>
          <w:sz w:val="24"/>
          <w:szCs w:val="24"/>
        </w:rPr>
      </w:pPr>
      <w:r>
        <w:rPr>
          <w:rFonts w:hint="eastAsia"/>
          <w:b/>
          <w:bCs/>
          <w:color w:val="FF0000"/>
          <w:sz w:val="24"/>
        </w:rPr>
        <w:t>★</w:t>
      </w:r>
      <w:r>
        <w:rPr>
          <w:rFonts w:hint="eastAsia" w:ascii="黑体" w:eastAsia="黑体"/>
          <w:sz w:val="24"/>
          <w:szCs w:val="24"/>
        </w:rPr>
        <w:t>五、供应商情况表</w:t>
      </w:r>
    </w:p>
    <w:p>
      <w:pPr>
        <w:jc w:val="center"/>
        <w:rPr>
          <w:rFonts w:hint="eastAsia" w:ascii="宋体" w:hAnsi="宋体"/>
        </w:rPr>
      </w:pPr>
    </w:p>
    <w:p>
      <w:pPr>
        <w:pStyle w:val="6"/>
        <w:numPr>
          <w:ilvl w:val="0"/>
          <w:numId w:val="4"/>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提供投标人所在地的市场监督管理部门“商事登记簿查询（商事主体登记及备案信息查询）”查询截图；参考示例“深圳市市场监督管理局——商事登记簿查询（商事主体登记及备案信息查询）：</w:t>
      </w:r>
      <w:r>
        <w:fldChar w:fldCharType="begin"/>
      </w:r>
      <w:r>
        <w:instrText xml:space="preserve"> HYPERLINK "https://amr.sz.gov.cn/outer/entSelect/gs.html" </w:instrText>
      </w:r>
      <w:r>
        <w:fldChar w:fldCharType="separate"/>
      </w:r>
      <w:r>
        <w:rPr>
          <w:rStyle w:val="25"/>
          <w:rFonts w:hint="eastAsia" w:ascii="Times New Roman" w:hAnsi="Times New Roman" w:cs="Times New Roman"/>
          <w:b w:val="0"/>
          <w:bCs w:val="0"/>
          <w:sz w:val="21"/>
          <w:szCs w:val="24"/>
        </w:rPr>
        <w:t>https://amr.sz.gov.cn/outer/entSelect/gs.html”。</w:t>
      </w:r>
      <w:r>
        <w:rPr>
          <w:rStyle w:val="25"/>
          <w:rFonts w:hint="eastAsia" w:ascii="Times New Roman" w:hAnsi="Times New Roman" w:cs="Times New Roman"/>
          <w:b w:val="0"/>
          <w:bCs w:val="0"/>
          <w:sz w:val="21"/>
          <w:szCs w:val="24"/>
        </w:rPr>
        <w:fldChar w:fldCharType="end"/>
      </w:r>
    </w:p>
    <w:p>
      <w:pPr>
        <w:rPr>
          <w:b/>
          <w:bCs/>
          <w:color w:val="FF0000"/>
          <w:highlight w:val="yellow"/>
        </w:rPr>
      </w:pPr>
      <w:r>
        <w:rPr>
          <w:rFonts w:hint="eastAsia"/>
          <w:b/>
          <w:bCs/>
          <w:color w:val="FF0000"/>
          <w:highlight w:val="yellow"/>
        </w:rPr>
        <w:t>提示：如果投标供应商</w:t>
      </w:r>
      <w:r>
        <w:rPr>
          <w:rFonts w:ascii="宋体" w:hAnsi="宋体"/>
          <w:b/>
          <w:bCs/>
          <w:color w:val="FF0000"/>
          <w:highlight w:val="yellow"/>
        </w:rPr>
        <w:t>存在单位负责人为同一人</w:t>
      </w:r>
      <w:r>
        <w:rPr>
          <w:rFonts w:hint="eastAsia" w:ascii="宋体" w:hAnsi="宋体"/>
          <w:b/>
          <w:bCs/>
          <w:color w:val="FF0000"/>
          <w:highlight w:val="yellow"/>
        </w:rPr>
        <w:t>，</w:t>
      </w:r>
      <w:r>
        <w:rPr>
          <w:rFonts w:ascii="宋体" w:hAnsi="宋体"/>
          <w:b/>
          <w:bCs/>
          <w:color w:val="FF0000"/>
          <w:highlight w:val="yellow"/>
        </w:rPr>
        <w:t>或者存在直接控股、</w:t>
      </w:r>
      <w:r>
        <w:rPr>
          <w:rFonts w:hint="eastAsia" w:ascii="宋体" w:hAnsi="宋体"/>
          <w:b/>
          <w:bCs/>
          <w:color w:val="FF0000"/>
          <w:highlight w:val="yellow"/>
        </w:rPr>
        <w:t>间接控股、</w:t>
      </w:r>
      <w:r>
        <w:rPr>
          <w:rFonts w:ascii="宋体" w:hAnsi="宋体"/>
          <w:b/>
          <w:bCs/>
          <w:color w:val="FF0000"/>
          <w:highlight w:val="yellow"/>
        </w:rPr>
        <w:t>管理关系</w:t>
      </w:r>
      <w:r>
        <w:rPr>
          <w:rFonts w:hint="eastAsia" w:ascii="宋体" w:hAnsi="宋体"/>
          <w:b/>
          <w:bCs/>
          <w:color w:val="FF0000"/>
          <w:highlight w:val="yellow"/>
        </w:rPr>
        <w:t>等情形，将被纳入交易监管平台产生示警信息，由此产生的负面影响，由投标人自行承担。</w:t>
      </w:r>
    </w:p>
    <w:p/>
    <w:p>
      <w:pPr>
        <w:pStyle w:val="6"/>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2、股东构成审查表</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□是，其控股股东为：</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其他主要股东及其股份占比：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□是，该单位为：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□是，与招标人的关系为：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□否</w:t>
            </w:r>
          </w:p>
        </w:tc>
      </w:tr>
    </w:tbl>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注：</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2、投标人需如实填写上述信息，如查实上述信息与实际不符，视为提供虚假证明材料骗取中标，投标人应承担相应法律后果。</w:t>
      </w:r>
    </w:p>
    <w:p>
      <w:pPr>
        <w:pStyle w:val="6"/>
        <w:ind w:firstLine="3120" w:firstLineChars="1300"/>
        <w:rPr>
          <w:rFonts w:hint="eastAsia" w:ascii="黑体" w:eastAsia="黑体"/>
          <w:b w:val="0"/>
          <w:sz w:val="24"/>
        </w:rPr>
      </w:pPr>
      <w:r>
        <w:rPr>
          <w:rFonts w:hint="eastAsia" w:ascii="黑体" w:eastAsia="黑体" w:cs="Times New Roman"/>
          <w:b w:val="0"/>
          <w:sz w:val="24"/>
          <w:lang w:val="en-US" w:eastAsia="zh-CN"/>
        </w:rPr>
        <w:t>六、</w:t>
      </w:r>
      <w:r>
        <w:rPr>
          <w:rFonts w:hint="eastAsia" w:ascii="黑体" w:eastAsia="黑体" w:cs="Times New Roman"/>
          <w:b w:val="0"/>
          <w:sz w:val="24"/>
        </w:rPr>
        <w:t>供应商基本情况表</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4"/>
        <w:gridCol w:w="1528"/>
        <w:gridCol w:w="903"/>
        <w:gridCol w:w="751"/>
        <w:gridCol w:w="1145"/>
        <w:gridCol w:w="1428"/>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pPr>
              <w:jc w:val="center"/>
              <w:rPr>
                <w:rFonts w:hint="eastAsia" w:ascii="宋体" w:hAnsi="宋体" w:eastAsia="宋体" w:cs="宋体"/>
                <w:szCs w:val="21"/>
              </w:rPr>
            </w:pPr>
            <w:r>
              <w:rPr>
                <w:rFonts w:hint="eastAsia" w:ascii="宋体" w:hAnsi="宋体" w:eastAsia="宋体" w:cs="宋体"/>
                <w:szCs w:val="21"/>
              </w:rPr>
              <w:t>投标（响应）供应商</w:t>
            </w:r>
          </w:p>
        </w:tc>
        <w:tc>
          <w:tcPr>
            <w:tcW w:w="1427" w:type="pct"/>
            <w:gridSpan w:val="2"/>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r>
              <w:rPr>
                <w:rFonts w:hint="eastAsia" w:ascii="宋体" w:hAnsi="宋体" w:eastAsia="宋体" w:cs="宋体"/>
                <w:szCs w:val="21"/>
              </w:rPr>
              <w:t>项目名称及编号</w:t>
            </w:r>
          </w:p>
        </w:tc>
        <w:tc>
          <w:tcPr>
            <w:tcW w:w="1669" w:type="pct"/>
            <w:gridSpan w:val="2"/>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序号</w:t>
            </w:r>
          </w:p>
        </w:tc>
        <w:tc>
          <w:tcPr>
            <w:tcW w:w="1275"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职务</w:t>
            </w:r>
          </w:p>
        </w:tc>
        <w:tc>
          <w:tcPr>
            <w:tcW w:w="529" w:type="pct"/>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姓名</w:t>
            </w:r>
          </w:p>
        </w:tc>
        <w:tc>
          <w:tcPr>
            <w:tcW w:w="1113"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身份证号码</w:t>
            </w:r>
          </w:p>
        </w:tc>
        <w:tc>
          <w:tcPr>
            <w:tcW w:w="838"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劳动合同</w:t>
            </w:r>
          </w:p>
          <w:p>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830"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缴纳社会</w:t>
            </w:r>
          </w:p>
          <w:p>
            <w:pPr>
              <w:snapToGrid w:val="0"/>
              <w:jc w:val="center"/>
              <w:rPr>
                <w:rFonts w:hint="eastAsia" w:ascii="宋体" w:hAnsi="宋体" w:eastAsia="宋体" w:cs="宋体"/>
                <w:szCs w:val="21"/>
              </w:rPr>
            </w:pPr>
            <w:r>
              <w:rPr>
                <w:rFonts w:hint="eastAsia" w:ascii="宋体" w:hAnsi="宋体" w:eastAsia="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lang w:bidi="ar"/>
              </w:rPr>
              <w:t>3</w:t>
            </w:r>
          </w:p>
        </w:tc>
        <w:tc>
          <w:tcPr>
            <w:tcW w:w="1275" w:type="pct"/>
            <w:gridSpan w:val="2"/>
            <w:tcBorders>
              <w:top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项目负责人</w:t>
            </w:r>
          </w:p>
        </w:tc>
        <w:tc>
          <w:tcPr>
            <w:tcW w:w="529" w:type="pct"/>
            <w:tcBorders>
              <w:top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hint="eastAsia" w:ascii="宋体" w:hAnsi="宋体" w:eastAsia="宋体" w:cs="宋体"/>
                <w:szCs w:val="21"/>
              </w:rPr>
            </w:pPr>
            <w:r>
              <w:rPr>
                <w:rFonts w:hint="eastAsia" w:ascii="宋体" w:hAnsi="宋体" w:eastAsia="宋体" w:cs="宋体"/>
                <w:szCs w:val="21"/>
                <w:lang w:bidi="ar"/>
              </w:rPr>
              <w:t>4</w:t>
            </w:r>
          </w:p>
        </w:tc>
        <w:tc>
          <w:tcPr>
            <w:tcW w:w="1275" w:type="pct"/>
            <w:gridSpan w:val="2"/>
            <w:vAlign w:val="center"/>
          </w:tcPr>
          <w:p>
            <w:pPr>
              <w:jc w:val="center"/>
              <w:rPr>
                <w:rFonts w:hint="eastAsia" w:ascii="宋体" w:hAnsi="宋体" w:eastAsia="宋体" w:cs="宋体"/>
                <w:szCs w:val="21"/>
              </w:rPr>
            </w:pPr>
            <w:r>
              <w:rPr>
                <w:rFonts w:hint="eastAsia" w:ascii="宋体" w:hAnsi="宋体" w:eastAsia="宋体" w:cs="宋体"/>
                <w:szCs w:val="21"/>
              </w:rPr>
              <w:t>主要技术人员</w:t>
            </w:r>
          </w:p>
        </w:tc>
        <w:tc>
          <w:tcPr>
            <w:tcW w:w="529" w:type="pct"/>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p>
        </w:tc>
        <w:tc>
          <w:tcPr>
            <w:tcW w:w="838" w:type="pct"/>
            <w:vAlign w:val="center"/>
          </w:tcPr>
          <w:p>
            <w:pPr>
              <w:jc w:val="center"/>
              <w:rPr>
                <w:rFonts w:hint="eastAsia" w:ascii="宋体" w:hAnsi="宋体" w:eastAsia="宋体" w:cs="宋体"/>
                <w:szCs w:val="21"/>
              </w:rPr>
            </w:pPr>
          </w:p>
        </w:tc>
        <w:tc>
          <w:tcPr>
            <w:tcW w:w="830" w:type="pct"/>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hint="eastAsia" w:ascii="宋体" w:hAnsi="宋体" w:eastAsia="宋体" w:cs="宋体"/>
                <w:szCs w:val="21"/>
              </w:rPr>
            </w:pPr>
            <w:r>
              <w:rPr>
                <w:rFonts w:hint="eastAsia" w:ascii="宋体" w:hAnsi="宋体" w:eastAsia="宋体" w:cs="宋体"/>
                <w:szCs w:val="21"/>
                <w:lang w:bidi="ar"/>
              </w:rPr>
              <w:t>5</w:t>
            </w:r>
          </w:p>
        </w:tc>
        <w:tc>
          <w:tcPr>
            <w:tcW w:w="1275" w:type="pct"/>
            <w:gridSpan w:val="2"/>
            <w:vAlign w:val="center"/>
          </w:tcPr>
          <w:p>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529" w:type="pct"/>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p>
        </w:tc>
        <w:tc>
          <w:tcPr>
            <w:tcW w:w="838" w:type="pct"/>
            <w:vAlign w:val="center"/>
          </w:tcPr>
          <w:p>
            <w:pPr>
              <w:jc w:val="center"/>
              <w:rPr>
                <w:rFonts w:hint="eastAsia" w:ascii="宋体" w:hAnsi="宋体" w:eastAsia="宋体" w:cs="宋体"/>
                <w:szCs w:val="21"/>
              </w:rPr>
            </w:pPr>
          </w:p>
        </w:tc>
        <w:tc>
          <w:tcPr>
            <w:tcW w:w="830" w:type="pct"/>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left"/>
              <w:rPr>
                <w:rFonts w:hint="eastAsia" w:ascii="宋体" w:hAnsi="宋体" w:eastAsia="宋体" w:cs="宋体"/>
                <w:szCs w:val="21"/>
              </w:rPr>
            </w:pPr>
            <w:r>
              <w:rPr>
                <w:rFonts w:hint="eastAsia" w:ascii="宋体" w:hAnsi="宋体" w:eastAsia="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1275"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关联关系类型</w:t>
            </w:r>
          </w:p>
        </w:tc>
        <w:tc>
          <w:tcPr>
            <w:tcW w:w="971"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关联主体名称</w:t>
            </w:r>
          </w:p>
        </w:tc>
        <w:tc>
          <w:tcPr>
            <w:tcW w:w="2340" w:type="pct"/>
            <w:gridSpan w:val="3"/>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b/>
                <w:bCs/>
                <w:color w:val="FF0000"/>
                <w:szCs w:val="21"/>
              </w:rPr>
            </w:pPr>
            <w:r>
              <w:rPr>
                <w:rFonts w:ascii="宋体" w:hAnsi="宋体" w:eastAsia="宋体" w:cs="宋体"/>
                <w:b/>
                <w:bCs/>
                <w:color w:val="FF0000"/>
                <w:szCs w:val="21"/>
              </w:rPr>
              <w:t>说明：1.同一关联关系类型有多个主体的，应分行填写。</w:t>
            </w:r>
          </w:p>
          <w:p>
            <w:pPr>
              <w:snapToGrid w:val="0"/>
              <w:jc w:val="left"/>
              <w:rPr>
                <w:rFonts w:hint="eastAsia" w:ascii="宋体" w:hAnsi="宋体" w:eastAsia="宋体" w:cs="宋体"/>
                <w:szCs w:val="21"/>
              </w:rPr>
            </w:pPr>
            <w:r>
              <w:rPr>
                <w:rFonts w:ascii="宋体" w:hAnsi="宋体" w:eastAsia="宋体" w:cs="宋体"/>
                <w:b/>
                <w:bCs/>
                <w:color w:val="FF0000"/>
                <w:szCs w:val="21"/>
              </w:rPr>
              <w:t>2.《供应商基本情况表》为必填内容，若存在异常且不符合要求的供应商资格性审查将不予通过，作投标无效处理。</w:t>
            </w:r>
          </w:p>
        </w:tc>
      </w:tr>
    </w:tbl>
    <w:p>
      <w:pPr>
        <w:pStyle w:val="2"/>
      </w:pPr>
    </w:p>
    <w:p>
      <w:pPr>
        <w:autoSpaceDE w:val="0"/>
        <w:autoSpaceDN w:val="0"/>
        <w:adjustRightInd w:val="0"/>
        <w:snapToGrid w:val="0"/>
        <w:jc w:val="left"/>
        <w:rPr>
          <w:rFonts w:ascii="Arial" w:hAnsi="Arial" w:eastAsia="宋体" w:cs="Times New Roman"/>
          <w:b/>
          <w:sz w:val="24"/>
          <w:szCs w:val="24"/>
        </w:rPr>
      </w:pPr>
    </w:p>
    <w:p>
      <w:pPr>
        <w:widowControl/>
        <w:jc w:val="center"/>
        <w:rPr>
          <w:rFonts w:ascii="Arial" w:hAnsi="Arial" w:eastAsia="宋体" w:cs="Times New Roman"/>
          <w:b/>
          <w:sz w:val="24"/>
          <w:szCs w:val="24"/>
        </w:rPr>
      </w:pPr>
    </w:p>
    <w:p>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pPr>
        <w:widowControl/>
        <w:jc w:val="center"/>
        <w:rPr>
          <w:rFonts w:ascii="Arial" w:hAnsi="Arial" w:eastAsia="宋体" w:cs="Times New Roman"/>
          <w:szCs w:val="24"/>
        </w:rPr>
      </w:pPr>
      <w:r>
        <w:rPr>
          <w:rFonts w:ascii="Arial" w:hAnsi="Arial" w:eastAsia="宋体" w:cs="Times New Roman"/>
          <w:szCs w:val="24"/>
        </w:rPr>
        <w:br w:type="page"/>
      </w:r>
    </w:p>
    <w:p>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pPr>
        <w:pStyle w:val="6"/>
        <w:jc w:val="center"/>
        <w:rPr>
          <w:rFonts w:hint="eastAsia" w:ascii="黑体" w:eastAsia="黑体"/>
          <w:b w:val="0"/>
          <w:sz w:val="24"/>
        </w:rPr>
      </w:pPr>
      <w:r>
        <w:rPr>
          <w:rFonts w:hint="eastAsia" w:ascii="黑体" w:eastAsia="黑体"/>
          <w:b w:val="0"/>
          <w:sz w:val="24"/>
        </w:rPr>
        <w:t>一、</w:t>
      </w:r>
      <w:bookmarkStart w:id="35" w:name="_Hlk72092499"/>
      <w:r>
        <w:rPr>
          <w:rFonts w:hint="eastAsia" w:ascii="黑体" w:eastAsia="黑体"/>
          <w:b w:val="0"/>
          <w:sz w:val="24"/>
        </w:rPr>
        <w:t>法定代表人（负责人）证明书</w:t>
      </w:r>
      <w:bookmarkEnd w:id="35"/>
    </w:p>
    <w:p>
      <w:pPr>
        <w:rPr>
          <w:sz w:val="24"/>
        </w:rPr>
      </w:pPr>
    </w:p>
    <w:p>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5"/>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5"/>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5"/>
        </w:numPr>
        <w:spacing w:line="360" w:lineRule="auto"/>
        <w:ind w:firstLine="420" w:firstLineChars="200"/>
        <w:rPr>
          <w:szCs w:val="21"/>
        </w:rPr>
      </w:pPr>
      <w:r>
        <w:rPr>
          <w:rFonts w:hint="eastAsia"/>
          <w:szCs w:val="21"/>
        </w:rPr>
        <w:t>内容必须填写真实、清楚，涂改无效，不得转让、买卖。</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jc w:val="center"/>
            </w:pPr>
          </w:p>
          <w:p>
            <w:pPr>
              <w:pStyle w:val="15"/>
              <w:jc w:val="center"/>
            </w:pPr>
          </w:p>
        </w:tc>
        <w:tc>
          <w:tcPr>
            <w:tcW w:w="4265" w:type="dxa"/>
          </w:tcPr>
          <w:p>
            <w:pPr>
              <w:jc w:val="center"/>
            </w:pPr>
            <w:r>
              <w:rPr>
                <w:rFonts w:hint="eastAsia"/>
              </w:rPr>
              <w:t>证件扫描件反面</w:t>
            </w:r>
          </w:p>
          <w:p>
            <w:pPr>
              <w:pStyle w:val="2"/>
              <w:jc w:val="center"/>
            </w:pPr>
          </w:p>
          <w:p>
            <w:pPr>
              <w:pStyle w:val="15"/>
              <w:jc w:val="center"/>
            </w:pPr>
          </w:p>
        </w:tc>
      </w:tr>
    </w:tbl>
    <w:p>
      <w:pPr>
        <w:rPr>
          <w:b/>
          <w:bCs/>
          <w:color w:val="FF0000"/>
          <w:szCs w:val="21"/>
        </w:rPr>
      </w:pPr>
      <w:r>
        <w:rPr>
          <w:rFonts w:hint="eastAsia"/>
          <w:b/>
          <w:bCs/>
          <w:color w:val="FF0000"/>
          <w:szCs w:val="21"/>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rPr>
          <w:b/>
          <w:bCs/>
          <w:color w:val="FF0000"/>
          <w:szCs w:val="21"/>
        </w:rPr>
      </w:pPr>
    </w:p>
    <w:p>
      <w:pPr>
        <w:pStyle w:val="6"/>
        <w:spacing w:before="120" w:after="120"/>
        <w:jc w:val="center"/>
        <w:rPr>
          <w:rFonts w:hint="eastAsia" w:ascii="黑体" w:eastAsia="黑体"/>
          <w:b w:val="0"/>
          <w:sz w:val="24"/>
        </w:rPr>
      </w:pPr>
      <w:r>
        <w:rPr>
          <w:rFonts w:hint="eastAsia" w:ascii="黑体" w:eastAsia="黑体"/>
          <w:b w:val="0"/>
          <w:sz w:val="24"/>
        </w:rPr>
        <w:t>二、投标文件签署授权委托书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ascii="Times New Roman" w:eastAsia="宋体"/>
              </w:rPr>
              <w:t>证件扫描件正面</w:t>
            </w:r>
          </w:p>
          <w:p>
            <w:pPr>
              <w:pStyle w:val="2"/>
              <w:jc w:val="center"/>
            </w:pPr>
          </w:p>
          <w:p>
            <w:pPr>
              <w:pStyle w:val="15"/>
              <w:jc w:val="center"/>
            </w:pPr>
          </w:p>
        </w:tc>
        <w:tc>
          <w:tcPr>
            <w:tcW w:w="4265" w:type="dxa"/>
          </w:tcPr>
          <w:p>
            <w:pPr>
              <w:jc w:val="center"/>
            </w:pPr>
            <w:r>
              <w:rPr>
                <w:rFonts w:hint="eastAsia" w:ascii="Times New Roman" w:eastAsia="宋体"/>
              </w:rPr>
              <w:t>证件扫描件反面</w:t>
            </w:r>
          </w:p>
          <w:p>
            <w:pPr>
              <w:pStyle w:val="2"/>
              <w:jc w:val="center"/>
            </w:pPr>
          </w:p>
          <w:p>
            <w:pPr>
              <w:pStyle w:val="15"/>
              <w:jc w:val="center"/>
            </w:pPr>
          </w:p>
        </w:tc>
      </w:tr>
    </w:tbl>
    <w:p>
      <w:pPr>
        <w:tabs>
          <w:tab w:val="left" w:pos="651"/>
        </w:tabs>
        <w:snapToGrid w:val="0"/>
        <w:rPr>
          <w:rFonts w:ascii="黑体" w:eastAsia="黑体"/>
          <w:kern w:val="0"/>
          <w:sz w:val="24"/>
          <w:szCs w:val="24"/>
        </w:rPr>
      </w:pPr>
      <w:r>
        <w:rPr>
          <w:rFonts w:hint="eastAsia"/>
          <w:b/>
          <w:bCs/>
          <w:color w:val="FF0000"/>
          <w:szCs w:val="21"/>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6" w:name="_Hlk72092634"/>
      <w:r>
        <w:rPr>
          <w:rFonts w:hint="eastAsia" w:ascii="黑体" w:eastAsia="黑体"/>
          <w:kern w:val="0"/>
          <w:sz w:val="24"/>
          <w:szCs w:val="24"/>
        </w:rPr>
        <w:t>实质性条款响应情况表</w:t>
      </w:r>
      <w:bookmarkEnd w:id="36"/>
    </w:p>
    <w:p>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pPr>
        <w:snapToGrid w:val="0"/>
        <w:rPr>
          <w:rFonts w:hint="eastAsia" w:cs="Times New Roman" w:asciiTheme="minorEastAsia" w:hAnsiTheme="minorEastAsia"/>
          <w:b/>
          <w:sz w:val="24"/>
          <w:szCs w:val="24"/>
        </w:rPr>
      </w:pPr>
    </w:p>
    <w:tbl>
      <w:tblPr>
        <w:tblStyle w:val="19"/>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pPr>
              <w:jc w:val="center"/>
              <w:rPr>
                <w:rFonts w:hint="eastAsia" w:ascii="宋体" w:hAnsi="宋体" w:eastAsia="宋体" w:cs="Arial"/>
                <w:b/>
                <w:szCs w:val="21"/>
              </w:rPr>
            </w:pPr>
            <w:r>
              <w:rPr>
                <w:rFonts w:hint="eastAsia" w:ascii="宋体" w:hAnsi="宋体" w:eastAsia="宋体" w:cs="Arial"/>
                <w:b/>
                <w:szCs w:val="21"/>
              </w:rPr>
              <w:t>说明</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pPr>
              <w:spacing w:line="300" w:lineRule="auto"/>
              <w:jc w:val="center"/>
              <w:rPr>
                <w:rFonts w:hint="eastAsia" w:ascii="宋体" w:hAnsi="宋体" w:eastAsia="宋体" w:cs="Times New Roman"/>
                <w:b/>
                <w:color w:val="FF0000"/>
                <w:kern w:val="0"/>
                <w:szCs w:val="21"/>
              </w:rPr>
            </w:pPr>
          </w:p>
        </w:tc>
      </w:tr>
    </w:tbl>
    <w:p>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pPr>
        <w:pStyle w:val="6"/>
        <w:jc w:val="center"/>
        <w:rPr>
          <w:rFonts w:hint="eastAsia"/>
          <w:sz w:val="24"/>
        </w:rPr>
      </w:pPr>
      <w:r>
        <w:rPr>
          <w:rFonts w:hint="eastAsia" w:ascii="黑体" w:eastAsia="黑体"/>
          <w:b w:val="0"/>
          <w:bCs w:val="0"/>
          <w:sz w:val="24"/>
          <w:szCs w:val="20"/>
        </w:rPr>
        <w:t>四、商务要求偏离表</w:t>
      </w:r>
    </w:p>
    <w:tbl>
      <w:tblPr>
        <w:tblStyle w:val="19"/>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pPr>
              <w:jc w:val="center"/>
              <w:rPr>
                <w:b/>
              </w:rPr>
            </w:pPr>
            <w:r>
              <w:rPr>
                <w:rFonts w:hint="eastAsia"/>
                <w:sz w:val="24"/>
              </w:rPr>
              <w:t>序号</w:t>
            </w:r>
          </w:p>
        </w:tc>
        <w:tc>
          <w:tcPr>
            <w:tcW w:w="1408" w:type="dxa"/>
            <w:vAlign w:val="center"/>
          </w:tcPr>
          <w:p>
            <w:pPr>
              <w:jc w:val="center"/>
              <w:rPr>
                <w:b/>
              </w:rPr>
            </w:pPr>
            <w:r>
              <w:rPr>
                <w:rFonts w:hint="eastAsia"/>
                <w:b/>
              </w:rPr>
              <w:t>商务需求项</w:t>
            </w:r>
          </w:p>
        </w:tc>
        <w:tc>
          <w:tcPr>
            <w:tcW w:w="4918" w:type="dxa"/>
            <w:vAlign w:val="center"/>
          </w:tcPr>
          <w:p>
            <w:pPr>
              <w:jc w:val="center"/>
              <w:rPr>
                <w:b/>
              </w:rPr>
            </w:pPr>
            <w:r>
              <w:rPr>
                <w:rFonts w:hint="eastAsia"/>
                <w:sz w:val="24"/>
              </w:rPr>
              <w:t>招标商务要求</w:t>
            </w:r>
          </w:p>
        </w:tc>
        <w:tc>
          <w:tcPr>
            <w:tcW w:w="973" w:type="dxa"/>
            <w:vAlign w:val="center"/>
          </w:tcPr>
          <w:p>
            <w:pPr>
              <w:jc w:val="center"/>
              <w:rPr>
                <w:b/>
              </w:rPr>
            </w:pPr>
            <w:r>
              <w:rPr>
                <w:rFonts w:hint="eastAsia"/>
                <w:sz w:val="24"/>
              </w:rPr>
              <w:t>投标商务响应</w:t>
            </w:r>
          </w:p>
        </w:tc>
        <w:tc>
          <w:tcPr>
            <w:tcW w:w="642" w:type="dxa"/>
            <w:vAlign w:val="center"/>
          </w:tcPr>
          <w:p>
            <w:pPr>
              <w:jc w:val="center"/>
              <w:rPr>
                <w:b/>
              </w:rPr>
            </w:pPr>
            <w:r>
              <w:rPr>
                <w:rFonts w:hint="eastAsia"/>
              </w:rPr>
              <w:t>偏离情况</w:t>
            </w:r>
          </w:p>
        </w:tc>
        <w:tc>
          <w:tcPr>
            <w:tcW w:w="540" w:type="dxa"/>
            <w:vAlign w:val="center"/>
          </w:tcPr>
          <w:p>
            <w:pPr>
              <w:jc w:val="center"/>
              <w:rPr>
                <w:b/>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rFonts w:hint="eastAsia"/>
                <w:bCs/>
              </w:rPr>
              <w:t>1</w:t>
            </w:r>
          </w:p>
        </w:tc>
        <w:tc>
          <w:tcPr>
            <w:tcW w:w="1408" w:type="dxa"/>
          </w:tcPr>
          <w:p>
            <w:pPr>
              <w:jc w:val="center"/>
            </w:pPr>
            <w:r>
              <w:rPr>
                <w:rFonts w:hint="eastAsia"/>
              </w:rPr>
              <w:t>*</w:t>
            </w:r>
            <w:r>
              <w:t>***</w:t>
            </w:r>
          </w:p>
        </w:tc>
        <w:tc>
          <w:tcPr>
            <w:tcW w:w="4918" w:type="dxa"/>
          </w:tcPr>
          <w:p>
            <w:pPr>
              <w:jc w:val="center"/>
              <w:rPr>
                <w:b/>
              </w:rPr>
            </w:pPr>
            <w:r>
              <w:rPr>
                <w:rFonts w:hint="eastAsia"/>
                <w:bCs/>
                <w:szCs w:val="21"/>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bCs/>
              </w:rPr>
              <w:t>2</w:t>
            </w:r>
          </w:p>
        </w:tc>
        <w:tc>
          <w:tcPr>
            <w:tcW w:w="1408" w:type="dxa"/>
          </w:tcPr>
          <w:p>
            <w:pPr>
              <w:jc w:val="center"/>
            </w:pPr>
            <w:r>
              <w:rPr>
                <w:rFonts w:hint="eastAsia"/>
              </w:rPr>
              <w:t>****</w:t>
            </w:r>
          </w:p>
        </w:tc>
        <w:tc>
          <w:tcPr>
            <w:tcW w:w="4918" w:type="dxa"/>
          </w:tcPr>
          <w:p>
            <w:pPr>
              <w:jc w:val="center"/>
              <w:rPr>
                <w:bCs/>
                <w:szCs w:val="21"/>
              </w:rP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vAlign w:val="center"/>
          </w:tcPr>
          <w:p>
            <w:pPr>
              <w:rPr>
                <w:bCs/>
                <w:szCs w:val="21"/>
              </w:rPr>
            </w:pPr>
            <w:r>
              <w:rPr>
                <w:rFonts w:hint="eastAsia"/>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rPr>
                <w:bCs/>
              </w:rP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pPr>
              <w:rPr>
                <w:bCs/>
                <w:szCs w:val="21"/>
              </w:rPr>
            </w:pPr>
            <w:r>
              <w:rPr>
                <w:rFonts w:hint="eastAsia"/>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bl>
    <w:p>
      <w:pPr>
        <w:ind w:firstLine="420" w:firstLineChars="200"/>
        <w:rPr>
          <w:bCs/>
          <w:szCs w:val="21"/>
        </w:rPr>
      </w:pPr>
      <w:r>
        <w:rPr>
          <w:rFonts w:hint="eastAsia"/>
          <w:bCs/>
          <w:szCs w:val="21"/>
        </w:rPr>
        <w:t>《商务要求偏离表》编制指引：</w:t>
      </w:r>
    </w:p>
    <w:p>
      <w:pPr>
        <w:ind w:firstLine="420" w:firstLineChars="200"/>
        <w:rPr>
          <w:bCs/>
          <w:szCs w:val="21"/>
        </w:rPr>
      </w:pPr>
      <w:r>
        <w:rPr>
          <w:rFonts w:hint="eastAsia"/>
          <w:bCs/>
          <w:szCs w:val="21"/>
        </w:rPr>
        <w:t>1、商务要求偏离表的序号、商务需求项、招标商务要求等栏目对应“用户需求书”中的“商务要求”章节相关内容。</w:t>
      </w:r>
    </w:p>
    <w:p>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pPr>
        <w:rPr>
          <w:bCs/>
          <w:szCs w:val="21"/>
        </w:rPr>
      </w:pPr>
      <w:r>
        <w:rPr>
          <w:rFonts w:hint="eastAsia"/>
          <w:bCs/>
          <w:szCs w:val="21"/>
        </w:rPr>
        <w:t>“投标商务响应”对比“招标商务要求”存在响应不全（包括未响应整项招标商务要求或者未响应一项招标商务要求的部分内容），均视为“负偏离”。</w:t>
      </w:r>
    </w:p>
    <w:p>
      <w:pPr>
        <w:ind w:firstLine="420" w:firstLineChars="200"/>
        <w:rPr>
          <w:bCs/>
          <w:szCs w:val="21"/>
        </w:rPr>
      </w:pPr>
      <w:r>
        <w:rPr>
          <w:rFonts w:hint="eastAsia"/>
          <w:bCs/>
          <w:szCs w:val="21"/>
        </w:rPr>
        <w:t>4、带★号条款为不可偏离条款，如未响应或出现负偏离的，将作投标无效处理。</w:t>
      </w:r>
    </w:p>
    <w:p>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pPr>
        <w:pStyle w:val="6"/>
        <w:jc w:val="center"/>
        <w:rPr>
          <w:rFonts w:hint="eastAsia"/>
          <w:sz w:val="24"/>
        </w:rPr>
      </w:pPr>
      <w:r>
        <w:rPr>
          <w:rFonts w:hint="eastAsia" w:ascii="黑体" w:eastAsia="黑体"/>
          <w:b w:val="0"/>
          <w:sz w:val="24"/>
          <w:szCs w:val="24"/>
        </w:rPr>
        <w:t>五、技术要求偏离表</w:t>
      </w:r>
    </w:p>
    <w:tbl>
      <w:tblPr>
        <w:tblStyle w:val="19"/>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pPr>
              <w:jc w:val="center"/>
              <w:rPr>
                <w:color w:val="000000" w:themeColor="text1"/>
                <w:szCs w:val="21"/>
                <w14:textFill>
                  <w14:solidFill>
                    <w14:schemeClr w14:val="tx1"/>
                  </w14:solidFill>
                </w14:textFill>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rStyle w:val="22"/>
                <w:b w:val="0"/>
                <w:bCs w:val="0"/>
                <w:color w:val="000000" w:themeColor="text1"/>
                <w:szCs w:val="21"/>
                <w14:textFill>
                  <w14:solidFill>
                    <w14:schemeClr w14:val="tx1"/>
                  </w14:solidFill>
                </w14:textFill>
              </w:rPr>
            </w:pPr>
          </w:p>
        </w:tc>
        <w:tc>
          <w:tcPr>
            <w:tcW w:w="710" w:type="dxa"/>
          </w:tcPr>
          <w:p>
            <w:pPr>
              <w:rPr>
                <w:rStyle w:val="22"/>
                <w:b w:val="0"/>
                <w:bCs w:val="0"/>
                <w:color w:val="000000" w:themeColor="text1"/>
                <w:szCs w:val="21"/>
                <w14:textFill>
                  <w14:solidFill>
                    <w14:schemeClr w14:val="tx1"/>
                  </w14:solidFill>
                </w14:textFill>
              </w:rPr>
            </w:pPr>
          </w:p>
        </w:tc>
        <w:tc>
          <w:tcPr>
            <w:tcW w:w="390" w:type="dxa"/>
          </w:tcPr>
          <w:p>
            <w:pPr>
              <w:rPr>
                <w:rStyle w:val="22"/>
                <w:b w:val="0"/>
                <w:bCs w:val="0"/>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b/>
                <w:bCs/>
                <w:color w:val="000000" w:themeColor="text1"/>
                <w:szCs w:val="21"/>
                <w14:textFill>
                  <w14:solidFill>
                    <w14:schemeClr w14:val="tx1"/>
                  </w14:solidFill>
                </w14:textFill>
              </w:rPr>
            </w:pPr>
            <w:r>
              <w:rPr>
                <w:rFonts w:hint="eastAsia"/>
              </w:rPr>
              <w:t>（填写相关内容）</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bl>
    <w:p>
      <w:pPr>
        <w:rPr>
          <w:sz w:val="24"/>
        </w:rPr>
      </w:pPr>
    </w:p>
    <w:p>
      <w:pPr>
        <w:rPr>
          <w:szCs w:val="21"/>
        </w:rPr>
      </w:pPr>
      <w:bookmarkStart w:id="37" w:name="_Hlk72095977"/>
      <w:r>
        <w:rPr>
          <w:rFonts w:hint="eastAsia"/>
          <w:szCs w:val="21"/>
        </w:rPr>
        <w:t>证明资料【如有的话，提供的证明资料应统一编号（排序），格式自定】</w:t>
      </w:r>
      <w:bookmarkEnd w:id="37"/>
      <w:r>
        <w:rPr>
          <w:rFonts w:hint="eastAsia"/>
          <w:szCs w:val="21"/>
        </w:rPr>
        <w:t>：</w:t>
      </w:r>
    </w:p>
    <w:p>
      <w:pPr>
        <w:rPr>
          <w:b/>
          <w:szCs w:val="21"/>
        </w:rPr>
      </w:pPr>
    </w:p>
    <w:p>
      <w:pPr>
        <w:ind w:firstLine="420" w:firstLineChars="200"/>
        <w:rPr>
          <w:bCs/>
          <w:szCs w:val="21"/>
        </w:rPr>
      </w:pPr>
      <w:r>
        <w:rPr>
          <w:rFonts w:hint="eastAsia"/>
          <w:bCs/>
          <w:szCs w:val="21"/>
        </w:rPr>
        <w:t>《技术要求偏离表》编制指引：</w:t>
      </w:r>
    </w:p>
    <w:p>
      <w:pPr>
        <w:ind w:firstLine="420" w:firstLineChars="200"/>
        <w:rPr>
          <w:bCs/>
          <w:szCs w:val="21"/>
        </w:rPr>
      </w:pPr>
      <w:r>
        <w:rPr>
          <w:rFonts w:hint="eastAsia"/>
          <w:bCs/>
          <w:szCs w:val="21"/>
        </w:rPr>
        <w:t>1、技术要求偏离表的序号、货物名称、招标技术要求等栏目</w:t>
      </w:r>
      <w:bookmarkStart w:id="38" w:name="_Hlk72094407"/>
      <w:r>
        <w:rPr>
          <w:rFonts w:hint="eastAsia"/>
          <w:bCs/>
          <w:szCs w:val="21"/>
        </w:rPr>
        <w:t>对应“用户需求书”中的“技术要求”章节</w:t>
      </w:r>
      <w:bookmarkEnd w:id="38"/>
      <w:r>
        <w:rPr>
          <w:rFonts w:hint="eastAsia"/>
          <w:bCs/>
          <w:szCs w:val="21"/>
        </w:rPr>
        <w:t>相关内容。</w:t>
      </w:r>
    </w:p>
    <w:p>
      <w:pPr>
        <w:pStyle w:val="16"/>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39" w:name="_Hlk72158270"/>
      <w:r>
        <w:rPr>
          <w:rFonts w:hint="eastAsia"/>
          <w:bCs/>
          <w:szCs w:val="21"/>
        </w:rPr>
        <w:t>“偏离情况”</w:t>
      </w:r>
      <w:bookmarkEnd w:id="39"/>
      <w:r>
        <w:rPr>
          <w:rFonts w:hint="eastAsia"/>
          <w:bCs/>
          <w:szCs w:val="21"/>
        </w:rPr>
        <w:t>一栏填写如实填写“正偏离”、“负偏离”或“无偏离”，其中：</w:t>
      </w:r>
      <w:bookmarkStart w:id="40" w:name="_Hlk72093866"/>
      <w:r>
        <w:rPr>
          <w:rFonts w:hint="eastAsia"/>
          <w:bCs/>
          <w:szCs w:val="21"/>
        </w:rPr>
        <w:t>“正偏离”表示“投标响应优于招标技术要求”，“负偏离”表示“投标响应不满足招标技术要求”，“无偏离”表示“投标响应与招标技术要求一致”</w:t>
      </w:r>
      <w:bookmarkEnd w:id="40"/>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pPr>
        <w:ind w:firstLine="420" w:firstLineChars="200"/>
        <w:rPr>
          <w:bCs/>
          <w:szCs w:val="21"/>
        </w:rPr>
      </w:pPr>
      <w:r>
        <w:rPr>
          <w:bCs/>
          <w:szCs w:val="21"/>
        </w:rPr>
        <w:t>4</w:t>
      </w:r>
      <w:r>
        <w:rPr>
          <w:rFonts w:hint="eastAsia"/>
          <w:bCs/>
          <w:szCs w:val="21"/>
        </w:rPr>
        <w:t>、未要求提供证明资料的招标技术要求，可以不提供证明资料（如实响应即可）。</w:t>
      </w:r>
    </w:p>
    <w:p>
      <w:pPr>
        <w:ind w:firstLine="420" w:firstLineChars="200"/>
        <w:rPr>
          <w:bCs/>
          <w:szCs w:val="21"/>
        </w:rPr>
      </w:pPr>
      <w:r>
        <w:rPr>
          <w:rFonts w:hint="eastAsia"/>
          <w:bCs/>
          <w:szCs w:val="21"/>
        </w:rPr>
        <w:t>5、</w:t>
      </w:r>
      <w:bookmarkStart w:id="41" w:name="_Hlk72096106"/>
      <w:r>
        <w:rPr>
          <w:rFonts w:hint="eastAsia"/>
          <w:bCs/>
          <w:szCs w:val="21"/>
        </w:rPr>
        <w:t>证明资料条款响应要求</w:t>
      </w:r>
      <w:bookmarkEnd w:id="41"/>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2"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3" w:name="_Hlk73558164"/>
      <w:r>
        <w:rPr>
          <w:rFonts w:hint="eastAsia"/>
          <w:bCs/>
          <w:szCs w:val="21"/>
        </w:rPr>
        <w:t>且投标人在“偏离情况”一栏响应为“正偏离”或“无偏离”的，经评审委员会认定，将判定为负偏离。</w:t>
      </w:r>
      <w:bookmarkEnd w:id="42"/>
      <w:bookmarkEnd w:id="43"/>
    </w:p>
    <w:p>
      <w:pPr>
        <w:ind w:firstLine="420" w:firstLineChars="200"/>
        <w:rPr>
          <w:bCs/>
          <w:szCs w:val="21"/>
        </w:rPr>
      </w:pPr>
      <w:r>
        <w:rPr>
          <w:rFonts w:hint="eastAsia"/>
          <w:bCs/>
          <w:szCs w:val="21"/>
        </w:rPr>
        <w:t>6、</w:t>
      </w:r>
      <w:bookmarkStart w:id="44" w:name="_Hlk72096137"/>
      <w:r>
        <w:rPr>
          <w:rFonts w:hint="eastAsia"/>
          <w:bCs/>
          <w:szCs w:val="21"/>
        </w:rPr>
        <w:t>表后“证明资料”部分内容的编制</w:t>
      </w:r>
      <w:bookmarkEnd w:id="44"/>
      <w:r>
        <w:rPr>
          <w:rFonts w:hint="eastAsia"/>
          <w:bCs/>
          <w:szCs w:val="21"/>
        </w:rPr>
        <w:t>：提供的所有证明资料应当统一编号（排序），且证明资料的编号（顺序）、数量和名称（形式）均应与“说明”一栏所填内容保持一致（一一对应），以便评审委员会查看。</w:t>
      </w:r>
      <w:bookmarkStart w:id="45" w:name="_Hlk73558180"/>
      <w:r>
        <w:rPr>
          <w:rFonts w:hint="eastAsia"/>
          <w:bCs/>
          <w:szCs w:val="21"/>
        </w:rPr>
        <w:t>未按照招标文件要求在表后放置证明材料的供应商将承担不利后果，经评审委员会认定，相关技术要求将判定为负偏离。</w:t>
      </w:r>
      <w:bookmarkEnd w:id="45"/>
    </w:p>
    <w:p>
      <w:pPr>
        <w:ind w:firstLine="420" w:firstLineChars="200"/>
        <w:rPr>
          <w:bCs/>
          <w:szCs w:val="21"/>
        </w:rPr>
      </w:pPr>
      <w:r>
        <w:rPr>
          <w:rFonts w:hint="eastAsia"/>
          <w:bCs/>
          <w:szCs w:val="21"/>
        </w:rPr>
        <w:t>7、</w:t>
      </w:r>
      <w:bookmarkStart w:id="46" w:name="_Hlk72096176"/>
      <w:r>
        <w:rPr>
          <w:rFonts w:hint="eastAsia"/>
          <w:bCs/>
          <w:szCs w:val="21"/>
        </w:rPr>
        <w:t>证明资料的形式及其它具体要求</w:t>
      </w:r>
      <w:bookmarkEnd w:id="46"/>
      <w:r>
        <w:rPr>
          <w:rFonts w:hint="eastAsia"/>
          <w:bCs/>
          <w:szCs w:val="21"/>
        </w:rPr>
        <w:t>：</w:t>
      </w:r>
    </w:p>
    <w:p>
      <w:pPr>
        <w:ind w:firstLine="420" w:firstLineChars="200"/>
        <w:rPr>
          <w:bCs/>
          <w:szCs w:val="21"/>
        </w:rPr>
      </w:pPr>
      <w:r>
        <w:rPr>
          <w:rFonts w:hint="eastAsia"/>
          <w:bCs/>
          <w:szCs w:val="21"/>
        </w:rPr>
        <w:t>（1）除照片、图片（截图）及不需加盖公章的文字说明（技术说明）外，其它证明资料均要求为原件扫描件；</w:t>
      </w:r>
    </w:p>
    <w:p>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Cs/>
          <w:szCs w:val="21"/>
        </w:rPr>
      </w:pPr>
      <w:r>
        <w:rPr>
          <w:rFonts w:hint="eastAsia"/>
          <w:bCs/>
          <w:szCs w:val="21"/>
        </w:rPr>
        <w:t>其它证明资料的形式要求参照以上要求执行；</w:t>
      </w:r>
    </w:p>
    <w:p>
      <w:pPr>
        <w:ind w:firstLine="420" w:firstLineChars="200"/>
        <w:rPr>
          <w:bCs/>
          <w:szCs w:val="21"/>
        </w:rPr>
      </w:pPr>
      <w:r>
        <w:rPr>
          <w:rFonts w:hint="eastAsia"/>
          <w:bCs/>
          <w:szCs w:val="21"/>
        </w:rPr>
        <w:t>（4）证明资料均要求原件备查。</w:t>
      </w:r>
    </w:p>
    <w:p>
      <w:pPr>
        <w:ind w:firstLine="420" w:firstLineChars="200"/>
        <w:rPr>
          <w:bCs/>
          <w:szCs w:val="21"/>
        </w:rPr>
      </w:pPr>
      <w:r>
        <w:rPr>
          <w:rFonts w:hint="eastAsia"/>
          <w:bCs/>
          <w:szCs w:val="21"/>
        </w:rPr>
        <w:t>8、其它注意事项：</w:t>
      </w:r>
    </w:p>
    <w:p>
      <w:pPr>
        <w:ind w:firstLine="420" w:firstLineChars="200"/>
        <w:rPr>
          <w:bCs/>
          <w:szCs w:val="21"/>
        </w:rPr>
      </w:pPr>
      <w:r>
        <w:rPr>
          <w:rFonts w:hint="eastAsia"/>
          <w:bCs/>
          <w:szCs w:val="21"/>
        </w:rPr>
        <w:t>（1）评审委员会有权对投标人的响应情况作出判断（评审结论）；</w:t>
      </w:r>
    </w:p>
    <w:p>
      <w:pPr>
        <w:ind w:firstLine="420" w:firstLineChars="200"/>
        <w:rPr>
          <w:bCs/>
          <w:szCs w:val="21"/>
        </w:rPr>
      </w:pPr>
      <w:r>
        <w:rPr>
          <w:rFonts w:hint="eastAsia"/>
          <w:bCs/>
          <w:szCs w:val="21"/>
        </w:rPr>
        <w:t>（2）</w:t>
      </w:r>
      <w:bookmarkStart w:id="47"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7"/>
    </w:p>
    <w:p>
      <w:pPr>
        <w:ind w:firstLine="482" w:firstLineChars="200"/>
        <w:rPr>
          <w:b/>
          <w:sz w:val="24"/>
        </w:rPr>
      </w:pPr>
    </w:p>
    <w:p>
      <w:pPr>
        <w:numPr>
          <w:ilvl w:val="0"/>
          <w:numId w:val="6"/>
        </w:numPr>
        <w:ind w:left="718" w:leftChars="342" w:firstLine="2160" w:firstLineChars="675"/>
        <w:rPr>
          <w:rFonts w:hint="eastAsia" w:ascii="黑体" w:hAnsi="宋体" w:eastAsia="黑体"/>
          <w:sz w:val="24"/>
          <w:szCs w:val="20"/>
          <w:lang w:eastAsia="zh-CN"/>
        </w:rPr>
      </w:pPr>
      <w:r>
        <w:rPr>
          <w:rFonts w:ascii="宋体" w:hAnsi="宋体" w:eastAsia="宋体" w:cs="Times New Roman"/>
          <w:color w:val="FF0000"/>
          <w:sz w:val="32"/>
          <w:szCs w:val="32"/>
        </w:rPr>
        <w:br w:type="page"/>
      </w:r>
      <w:r>
        <w:rPr>
          <w:rFonts w:hint="eastAsia" w:ascii="黑体" w:hAnsi="宋体" w:eastAsia="黑体"/>
          <w:sz w:val="24"/>
          <w:szCs w:val="20"/>
          <w:lang w:val="en-US" w:eastAsia="zh-CN"/>
        </w:rPr>
        <w:t>实施方案</w:t>
      </w:r>
    </w:p>
    <w:p>
      <w:pPr>
        <w:numPr>
          <w:ilvl w:val="0"/>
          <w:numId w:val="6"/>
        </w:num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val="en-US" w:eastAsia="zh-CN"/>
        </w:rPr>
        <w:t>技术培训力量</w:t>
      </w:r>
    </w:p>
    <w:p>
      <w:pPr>
        <w:numPr>
          <w:ilvl w:val="0"/>
          <w:numId w:val="6"/>
        </w:num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eastAsia="zh-CN"/>
        </w:rPr>
        <w:t>维修技术服务能力</w:t>
      </w:r>
    </w:p>
    <w:p>
      <w:pPr>
        <w:numPr>
          <w:ilvl w:val="0"/>
          <w:numId w:val="6"/>
        </w:num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eastAsia="zh-CN"/>
        </w:rPr>
        <w:t>同类项目业绩</w:t>
      </w:r>
    </w:p>
    <w:p>
      <w:pPr>
        <w:numPr>
          <w:ilvl w:val="0"/>
          <w:numId w:val="6"/>
        </w:num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eastAsia="zh-CN"/>
        </w:rPr>
        <w:t>履约评价情况</w:t>
      </w:r>
    </w:p>
    <w:p>
      <w:pPr>
        <w:numPr>
          <w:ilvl w:val="0"/>
          <w:numId w:val="6"/>
        </w:numPr>
        <w:ind w:left="718" w:leftChars="342" w:firstLine="1620" w:firstLineChars="675"/>
        <w:rPr>
          <w:rFonts w:hint="eastAsia" w:ascii="黑体" w:hAnsi="宋体" w:eastAsia="黑体"/>
          <w:kern w:val="0"/>
          <w:sz w:val="24"/>
          <w:szCs w:val="20"/>
        </w:rPr>
      </w:pPr>
      <w:r>
        <w:rPr>
          <w:rFonts w:hint="eastAsia" w:ascii="黑体" w:hAnsi="宋体" w:eastAsia="黑体"/>
          <w:sz w:val="24"/>
          <w:szCs w:val="20"/>
          <w:lang w:eastAsia="zh-CN"/>
        </w:rPr>
        <w:t>投标人认为需要加以说明的其他内容</w:t>
      </w:r>
    </w:p>
    <w:p>
      <w:pPr>
        <w:widowControl/>
        <w:jc w:val="center"/>
        <w:rPr>
          <w:rFonts w:hint="eastAsia"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hint="eastAsia" w:ascii="黑体" w:hAnsi="宋体" w:eastAsia="黑体"/>
          <w:kern w:val="0"/>
          <w:sz w:val="24"/>
          <w:szCs w:val="20"/>
        </w:rPr>
      </w:pPr>
    </w:p>
    <w:p>
      <w:pPr>
        <w:spacing w:after="156" w:afterLines="50" w:line="360" w:lineRule="exact"/>
        <w:ind w:firstLine="482" w:firstLineChars="200"/>
        <w:rPr>
          <w:rFonts w:eastAsia="宋体" w:cs="Times New Roman"/>
          <w:b/>
          <w:bCs/>
          <w:sz w:val="24"/>
        </w:rPr>
      </w:pPr>
      <w:r>
        <w:rPr>
          <w:rFonts w:hint="eastAsia"/>
          <w:b/>
          <w:bCs/>
          <w:sz w:val="24"/>
        </w:rPr>
        <w:t>我</w:t>
      </w:r>
      <w:r>
        <w:rPr>
          <w:rFonts w:hint="eastAsia" w:ascii="Calibri" w:hAnsi="Calibri" w:eastAsia="宋体" w:cs="Times New Roman"/>
          <w:b/>
          <w:bCs/>
          <w:sz w:val="24"/>
          <w:szCs w:val="24"/>
        </w:rPr>
        <w:t>单位</w:t>
      </w:r>
      <w:r>
        <w:rPr>
          <w:rFonts w:hint="eastAsia" w:eastAsia="宋体"/>
          <w:b/>
          <w:bCs/>
          <w:sz w:val="24"/>
        </w:rPr>
        <w:t>在</w:t>
      </w:r>
      <w:r>
        <w:rPr>
          <w:rFonts w:hint="eastAsia"/>
          <w:b/>
          <w:bCs/>
          <w:sz w:val="24"/>
        </w:rPr>
        <w:t>投标前已充分知悉以下情形为参与政府采购活动时的重大风险事项，并承诺已对下述风险提示事项重点排查，</w:t>
      </w:r>
      <w:r>
        <w:rPr>
          <w:rFonts w:hint="eastAsia" w:eastAsia="宋体" w:cs="Times New Roman"/>
          <w:b/>
          <w:bCs/>
          <w:sz w:val="24"/>
        </w:rPr>
        <w:t>若存在下述情况，我单位愿意依法承担被记入供应商诚信档案、罚款、取消参与政府采购资格、吊销营业执照等处罚；构成犯罪的，依法承担刑事责任。</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78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与其他投标供应商的法定代表人、主要经营负责人、投标授权代表人、项目负责人、主要技术人员为</w:t>
            </w:r>
            <w:r>
              <w:rPr>
                <w:rFonts w:hint="eastAsia" w:ascii="仿宋_GB2312" w:hAnsi="仿宋_GB2312" w:eastAsia="仿宋_GB2312" w:cs="仿宋_GB2312"/>
                <w:b/>
                <w:bCs/>
                <w:sz w:val="24"/>
                <w:szCs w:val="24"/>
              </w:rPr>
              <w:t>同一人、属同一单位或者在同一单位缴纳社会保险</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参与本项目政府采购活动时，与其他投标供应商存在单位负责人为</w:t>
            </w:r>
            <w:r>
              <w:rPr>
                <w:rFonts w:hint="eastAsia" w:ascii="仿宋_GB2312" w:hAnsi="仿宋_GB2312" w:eastAsia="仿宋_GB2312" w:cs="仿宋_GB2312"/>
                <w:b/>
                <w:bCs/>
                <w:sz w:val="24"/>
                <w:szCs w:val="24"/>
              </w:rPr>
              <w:t>同一人或直接控股、管理关系</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与其他投标供应商的投标文件或部分投标文件</w:t>
            </w:r>
            <w:r>
              <w:rPr>
                <w:rFonts w:hint="eastAsia" w:ascii="仿宋_GB2312" w:hAnsi="仿宋_GB2312" w:eastAsia="仿宋_GB2312" w:cs="仿宋_GB2312"/>
                <w:b/>
                <w:bCs/>
                <w:sz w:val="24"/>
                <w:szCs w:val="24"/>
              </w:rPr>
              <w:t>相互混装或存在非正常一致</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与其他投标供应商的投标文件由</w:t>
            </w:r>
            <w:r>
              <w:rPr>
                <w:rFonts w:hint="eastAsia" w:ascii="仿宋_GB2312" w:hAnsi="仿宋_GB2312" w:eastAsia="仿宋_GB2312" w:cs="仿宋_GB2312"/>
                <w:b/>
                <w:bCs/>
                <w:sz w:val="24"/>
                <w:szCs w:val="24"/>
              </w:rPr>
              <w:t>同一单位或者同一人编制</w:t>
            </w:r>
            <w:r>
              <w:rPr>
                <w:rFonts w:hint="eastAsia" w:ascii="仿宋_GB2312" w:hAnsi="仿宋_GB2312" w:eastAsia="仿宋_GB2312" w:cs="仿宋_GB2312"/>
                <w:sz w:val="24"/>
                <w:szCs w:val="24"/>
              </w:rPr>
              <w:t>，或者使用</w:t>
            </w:r>
            <w:r>
              <w:rPr>
                <w:rFonts w:hint="eastAsia" w:ascii="仿宋_GB2312" w:hAnsi="仿宋_GB2312" w:eastAsia="仿宋_GB2312" w:cs="仿宋_GB2312"/>
                <w:b/>
                <w:bCs/>
                <w:sz w:val="24"/>
                <w:szCs w:val="24"/>
              </w:rPr>
              <w:t>同一设备编制</w:t>
            </w:r>
            <w:r>
              <w:rPr>
                <w:rFonts w:hint="eastAsia" w:ascii="仿宋_GB2312" w:hAnsi="仿宋_GB2312" w:eastAsia="仿宋_GB2312" w:cs="仿宋_GB2312"/>
                <w:sz w:val="24"/>
                <w:szCs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w:t>
            </w:r>
            <w:r>
              <w:rPr>
                <w:rFonts w:hint="eastAsia" w:ascii="仿宋_GB2312" w:hAnsi="仿宋_GB2312" w:eastAsia="仿宋_GB2312" w:cs="仿宋_GB2312"/>
                <w:b/>
                <w:bCs/>
                <w:sz w:val="24"/>
                <w:szCs w:val="24"/>
              </w:rPr>
              <w:t>未经出具机构核实</w:t>
            </w:r>
            <w:r>
              <w:rPr>
                <w:rFonts w:hint="eastAsia" w:ascii="仿宋_GB2312" w:hAnsi="仿宋_GB2312" w:eastAsia="仿宋_GB2312" w:cs="仿宋_GB2312"/>
                <w:sz w:val="24"/>
                <w:szCs w:val="24"/>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擅自将投标密钥或电子营业执照出借他人使用或未妥善保管。</w:t>
            </w:r>
          </w:p>
        </w:tc>
      </w:tr>
    </w:tbl>
    <w:p>
      <w:pPr>
        <w:spacing w:before="156" w:beforeLines="50" w:line="380" w:lineRule="exact"/>
        <w:ind w:firstLine="422" w:firstLineChars="200"/>
        <w:rPr>
          <w:b/>
        </w:rPr>
      </w:pPr>
      <w:r>
        <w:rPr>
          <w:rFonts w:hint="eastAsia"/>
          <w:b/>
        </w:rPr>
        <w:t>一、我单位已充分知悉“隐瞒真实情况，提供虚假资料”的法定情形，包括但不限于：</w:t>
      </w:r>
    </w:p>
    <w:p>
      <w:pPr>
        <w:spacing w:line="380" w:lineRule="exact"/>
        <w:ind w:firstLine="420" w:firstLineChars="200"/>
      </w:pPr>
      <w:r>
        <w:rPr>
          <w:rFonts w:hint="eastAsia"/>
        </w:rPr>
        <w:t>（一）通过转让或者租借等方式从其他单位获取资格或者资质证书投标的。</w:t>
      </w:r>
    </w:p>
    <w:p>
      <w:pPr>
        <w:spacing w:line="380" w:lineRule="exact"/>
        <w:ind w:firstLine="420" w:firstLineChars="200"/>
      </w:pPr>
      <w:r>
        <w:rPr>
          <w:rFonts w:hint="eastAsia"/>
        </w:rPr>
        <w:t>（二）由其他单位或者其他单位负责人在投标供应商编制的投标文件上加盖印章或者签字的。</w:t>
      </w:r>
    </w:p>
    <w:p>
      <w:pPr>
        <w:spacing w:line="380" w:lineRule="exact"/>
        <w:ind w:firstLine="420" w:firstLineChars="200"/>
      </w:pPr>
      <w:r>
        <w:rPr>
          <w:rFonts w:hint="eastAsia"/>
        </w:rPr>
        <w:t>（三）项目负责人或者主要技术人员不是本单位人员的。</w:t>
      </w:r>
    </w:p>
    <w:p>
      <w:pPr>
        <w:spacing w:line="380" w:lineRule="exact"/>
        <w:ind w:firstLine="420" w:firstLineChars="200"/>
      </w:pPr>
      <w:r>
        <w:rPr>
          <w:rFonts w:hint="eastAsia"/>
        </w:rPr>
        <w:t>（四）投标保证金不是从投标供应商基本账户转出的。</w:t>
      </w:r>
    </w:p>
    <w:p>
      <w:pPr>
        <w:spacing w:line="380" w:lineRule="exact"/>
        <w:ind w:firstLine="420" w:firstLineChars="200"/>
      </w:pPr>
      <w:r>
        <w:rPr>
          <w:rFonts w:hint="eastAsia"/>
        </w:rPr>
        <w:t>（五）其他隐瞒真实情况、提供虚假资料的行为。</w:t>
      </w:r>
    </w:p>
    <w:p>
      <w:pPr>
        <w:spacing w:line="380" w:lineRule="exact"/>
        <w:ind w:firstLine="422" w:firstLineChars="200"/>
        <w:rPr>
          <w:b/>
        </w:rPr>
      </w:pPr>
      <w:r>
        <w:rPr>
          <w:rFonts w:hint="eastAsia"/>
          <w:b/>
        </w:rPr>
        <w:t>二、我单位已充分知悉“与其他采购参加人串通投标”的法定情形，包括但不限于：</w:t>
      </w:r>
    </w:p>
    <w:p>
      <w:pPr>
        <w:spacing w:line="380" w:lineRule="exact"/>
        <w:ind w:firstLine="420" w:firstLineChars="200"/>
      </w:pPr>
      <w:r>
        <w:rPr>
          <w:rFonts w:hint="eastAsia"/>
        </w:rPr>
        <w:t>（一）投标供应商之间相互约定给予未中标的供应商利益补偿。</w:t>
      </w:r>
    </w:p>
    <w:p>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pPr>
        <w:spacing w:line="340" w:lineRule="exact"/>
        <w:ind w:firstLine="420" w:firstLineChars="200"/>
      </w:pPr>
      <w:r>
        <w:rPr>
          <w:rFonts w:hint="eastAsia"/>
        </w:rPr>
        <w:t>（三）不同投标供应商的投标文件由同一单位或者同一人编制，或者由同一人分阶段参与编制的。</w:t>
      </w:r>
    </w:p>
    <w:p>
      <w:pPr>
        <w:spacing w:line="340" w:lineRule="exact"/>
        <w:ind w:firstLine="420" w:firstLineChars="200"/>
      </w:pPr>
      <w:r>
        <w:rPr>
          <w:rFonts w:hint="eastAsia"/>
        </w:rPr>
        <w:t>（四）不同投标供应商的投标文件或部分投标文件相互混装。</w:t>
      </w:r>
    </w:p>
    <w:p>
      <w:pPr>
        <w:spacing w:line="340" w:lineRule="exact"/>
        <w:ind w:firstLine="420" w:firstLineChars="200"/>
      </w:pPr>
      <w:r>
        <w:rPr>
          <w:rFonts w:hint="eastAsia"/>
        </w:rPr>
        <w:t>（五）不同投标供应商的投标文件内容存在非正常一致。</w:t>
      </w:r>
    </w:p>
    <w:p>
      <w:pPr>
        <w:spacing w:line="340" w:lineRule="exact"/>
        <w:ind w:firstLine="420" w:firstLineChars="200"/>
      </w:pPr>
      <w:r>
        <w:rPr>
          <w:rFonts w:hint="eastAsia"/>
        </w:rPr>
        <w:t>（六）由同一单位工作人员为两家以上（含两家）供应商进行同一项投标活动的。</w:t>
      </w:r>
    </w:p>
    <w:p>
      <w:pPr>
        <w:spacing w:line="340" w:lineRule="exact"/>
        <w:ind w:firstLine="420" w:firstLineChars="200"/>
      </w:pPr>
      <w:r>
        <w:rPr>
          <w:rFonts w:hint="eastAsia"/>
        </w:rPr>
        <w:t>（七）不同投标人的投标报价呈规律性差异。</w:t>
      </w:r>
    </w:p>
    <w:p>
      <w:pPr>
        <w:spacing w:line="340" w:lineRule="exact"/>
        <w:ind w:firstLine="420" w:firstLineChars="200"/>
      </w:pPr>
      <w:r>
        <w:rPr>
          <w:rFonts w:hint="eastAsia"/>
        </w:rPr>
        <w:t>（八）不同投标人的投标保证金从同一单位或者个人的账户转出。</w:t>
      </w:r>
    </w:p>
    <w:p>
      <w:pPr>
        <w:spacing w:line="340" w:lineRule="exact"/>
        <w:ind w:firstLine="420" w:firstLineChars="200"/>
      </w:pPr>
      <w:r>
        <w:rPr>
          <w:rFonts w:hint="eastAsia"/>
        </w:rPr>
        <w:t>（九）主管部门依照法律、法规认定的其他情形。</w:t>
      </w:r>
    </w:p>
    <w:p>
      <w:pPr>
        <w:spacing w:line="340" w:lineRule="exact"/>
        <w:ind w:firstLine="422" w:firstLineChars="200"/>
        <w:rPr>
          <w:b/>
        </w:rPr>
      </w:pPr>
      <w:r>
        <w:rPr>
          <w:rFonts w:hint="eastAsia"/>
          <w:b/>
        </w:rPr>
        <w:t>三、我单位已充分知悉下列情形存在法律风险，在投标前已对相关风险事项进行排查。</w:t>
      </w:r>
    </w:p>
    <w:p>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pPr>
        <w:spacing w:line="340" w:lineRule="exact"/>
        <w:ind w:firstLine="422" w:firstLineChars="200"/>
        <w:rPr>
          <w:b/>
        </w:rPr>
      </w:pPr>
      <w:r>
        <w:rPr>
          <w:rFonts w:hint="eastAsia"/>
          <w:b/>
        </w:rPr>
        <w:t>四、我单位已充分知悉政府采购违法、违规行为的法律后果。</w:t>
      </w:r>
    </w:p>
    <w:p>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40" w:lineRule="exact"/>
        <w:ind w:firstLine="420" w:firstLineChars="200"/>
        <w:rPr>
          <w:highlight w:val="yellow"/>
        </w:rPr>
      </w:pPr>
      <w:r>
        <w:rPr>
          <w:rFonts w:hint="eastAsia"/>
          <w:highlight w:val="yellow"/>
        </w:rPr>
        <w:t>以下文字请投标供应商抄写并确认：“我单位已仔细阅读《政府采购违法行为风险知悉确认书》，充分知悉违法行为的法律后果，并承诺将严谨、诚信、依法依规参与政府采购活动”。</w:t>
      </w:r>
    </w:p>
    <w:tbl>
      <w:tblPr>
        <w:tblStyle w:val="39"/>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340" w:lineRule="exact"/>
              <w:ind w:firstLine="1866"/>
              <w:rPr>
                <w:rFonts w:hint="eastAsia" w:ascii="宋体" w:hAnsi="宋体" w:eastAsia="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hint="eastAsia" w:ascii="宋体" w:hAnsi="宋体" w:eastAsia="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hint="eastAsia" w:ascii="宋体" w:hAnsi="宋体" w:eastAsia="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340" w:lineRule="exact"/>
              <w:ind w:firstLine="1866"/>
              <w:rPr>
                <w:rFonts w:hint="eastAsia" w:ascii="宋体" w:hAnsi="宋体" w:eastAsia="宋体"/>
                <w:spacing w:val="-4"/>
                <w:kern w:val="0"/>
                <w:szCs w:val="21"/>
              </w:rPr>
            </w:pPr>
          </w:p>
        </w:tc>
      </w:tr>
    </w:tbl>
    <w:p>
      <w:pPr>
        <w:widowControl/>
        <w:wordWrap w:val="0"/>
        <w:autoSpaceDE w:val="0"/>
        <w:autoSpaceDN w:val="0"/>
        <w:spacing w:line="340" w:lineRule="exact"/>
        <w:ind w:right="808" w:firstLine="404" w:firstLineChars="200"/>
        <w:jc w:val="right"/>
        <w:rPr>
          <w:rFonts w:hint="eastAsia" w:ascii="宋体" w:hAnsi="宋体" w:eastAsia="宋体"/>
          <w:spacing w:val="-4"/>
          <w:kern w:val="0"/>
          <w:szCs w:val="21"/>
        </w:rPr>
      </w:pPr>
    </w:p>
    <w:p>
      <w:pPr>
        <w:widowControl/>
        <w:wordWrap w:val="0"/>
        <w:autoSpaceDE w:val="0"/>
        <w:autoSpaceDN w:val="0"/>
        <w:spacing w:line="34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单位负责人签名：</w:t>
      </w:r>
      <w:r>
        <w:rPr>
          <w:rFonts w:hint="eastAsia" w:ascii="宋体" w:hAnsi="宋体" w:eastAsia="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hint="eastAsia" w:ascii="宋体" w:hAnsi="宋体" w:eastAsia="宋体"/>
          <w:spacing w:val="-4"/>
          <w:kern w:val="0"/>
          <w:szCs w:val="21"/>
          <w:u w:val="single"/>
        </w:rPr>
      </w:pPr>
      <w:r>
        <w:rPr>
          <w:rFonts w:hint="eastAsia" w:ascii="宋体" w:hAnsi="宋体" w:eastAsia="宋体"/>
          <w:spacing w:val="-4"/>
          <w:kern w:val="0"/>
          <w:szCs w:val="21"/>
        </w:rPr>
        <w:t xml:space="preserve">                                 （加盖公章）</w:t>
      </w:r>
    </w:p>
    <w:p>
      <w:pPr>
        <w:widowControl/>
        <w:wordWrap w:val="0"/>
        <w:autoSpaceDE w:val="0"/>
        <w:autoSpaceDN w:val="0"/>
        <w:spacing w:line="34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 xml:space="preserve">     日期：</w:t>
      </w:r>
      <w:r>
        <w:rPr>
          <w:rFonts w:hint="eastAsia" w:ascii="宋体" w:hAnsi="宋体" w:eastAsia="宋体"/>
          <w:spacing w:val="-4"/>
          <w:kern w:val="0"/>
          <w:szCs w:val="21"/>
          <w:u w:val="single"/>
        </w:rPr>
        <w:t xml:space="preserve">              </w:t>
      </w:r>
    </w:p>
    <w:p>
      <w:pPr>
        <w:widowControl/>
        <w:autoSpaceDE w:val="0"/>
        <w:autoSpaceDN w:val="0"/>
        <w:spacing w:line="340" w:lineRule="exact"/>
        <w:ind w:firstLine="406" w:firstLineChars="200"/>
        <w:jc w:val="left"/>
        <w:rPr>
          <w:rFonts w:hint="eastAsia" w:ascii="宋体" w:hAnsi="宋体" w:eastAsia="宋体"/>
          <w:b/>
          <w:bCs/>
          <w:spacing w:val="-4"/>
          <w:kern w:val="0"/>
          <w:szCs w:val="21"/>
        </w:rPr>
      </w:pPr>
    </w:p>
    <w:p>
      <w:pPr>
        <w:widowControl/>
        <w:autoSpaceDE w:val="0"/>
        <w:autoSpaceDN w:val="0"/>
        <w:spacing w:line="340" w:lineRule="exact"/>
        <w:ind w:firstLine="406" w:firstLineChars="200"/>
        <w:jc w:val="left"/>
        <w:rPr>
          <w:rFonts w:hint="eastAsia" w:ascii="宋体" w:hAnsi="宋体" w:eastAsia="宋体"/>
          <w:b/>
          <w:bCs/>
          <w:spacing w:val="-4"/>
          <w:kern w:val="0"/>
          <w:szCs w:val="21"/>
        </w:rPr>
      </w:pPr>
      <w:r>
        <w:rPr>
          <w:rFonts w:hint="eastAsia" w:ascii="宋体" w:hAnsi="宋体" w:eastAsia="宋体"/>
          <w:b/>
          <w:bCs/>
          <w:spacing w:val="-4"/>
          <w:kern w:val="0"/>
          <w:szCs w:val="21"/>
        </w:rPr>
        <w:t>注：</w:t>
      </w:r>
      <w:r>
        <w:rPr>
          <w:rFonts w:hint="eastAsia" w:ascii="宋体" w:hAnsi="宋体"/>
          <w:b/>
          <w:bCs/>
          <w:spacing w:val="-4"/>
          <w:kern w:val="0"/>
          <w:szCs w:val="21"/>
        </w:rPr>
        <w:t>1.</w:t>
      </w:r>
      <w:r>
        <w:rPr>
          <w:rFonts w:hint="eastAsia" w:ascii="宋体" w:hAnsi="宋体" w:eastAsia="宋体"/>
          <w:b/>
          <w:bCs/>
          <w:spacing w:val="-4"/>
          <w:kern w:val="0"/>
          <w:szCs w:val="21"/>
        </w:rPr>
        <w:t>《政府采购违法行为风险知悉确认书》需由投标供应商负责人签字并加盖单位公章后，扫描上传至投标文件一并提交。</w:t>
      </w:r>
    </w:p>
    <w:p>
      <w:pPr>
        <w:pStyle w:val="51"/>
        <w:ind w:firstLine="422" w:firstLineChars="200"/>
        <w:rPr>
          <w:b/>
          <w:bCs/>
        </w:rPr>
      </w:pPr>
      <w:r>
        <w:rPr>
          <w:rFonts w:hint="eastAsia"/>
          <w:b/>
          <w:bCs/>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line="400" w:lineRule="exact"/>
        <w:ind w:right="1414" w:firstLine="480" w:firstLineChars="200"/>
        <w:jc w:val="right"/>
        <w:rPr>
          <w:kern w:val="0"/>
          <w:sz w:val="24"/>
        </w:rPr>
      </w:pPr>
    </w:p>
    <w:p>
      <w:pPr>
        <w:jc w:val="center"/>
        <w:rPr>
          <w:rFonts w:ascii="黑体" w:eastAsia="黑体"/>
          <w:sz w:val="24"/>
          <w:szCs w:val="20"/>
        </w:rPr>
      </w:pPr>
      <w:r>
        <w:rPr>
          <w:rFonts w:hint="eastAsia" w:ascii="黑体" w:eastAsia="黑体"/>
          <w:sz w:val="24"/>
          <w:szCs w:val="20"/>
        </w:rPr>
        <w:t>（二）订单融资情况</w:t>
      </w:r>
    </w:p>
    <w:p>
      <w:pPr>
        <w:ind w:firstLine="422" w:firstLineChars="200"/>
        <w:rPr>
          <w:rFonts w:hint="eastAsia" w:ascii="宋体" w:hAnsi="宋体" w:cs="宋体"/>
          <w:b/>
          <w:bCs/>
        </w:rPr>
      </w:pPr>
      <w:r>
        <w:rPr>
          <w:rFonts w:hint="eastAsia" w:ascii="宋体" w:hAnsi="宋体" w:cs="宋体"/>
          <w:b/>
          <w:bCs/>
        </w:rPr>
        <w:t>1、关于政府采购订单融资政策</w:t>
      </w:r>
    </w:p>
    <w:p>
      <w:pPr>
        <w:pStyle w:val="2"/>
        <w:spacing w:line="240" w:lineRule="auto"/>
        <w:ind w:firstLine="420" w:firstLineChars="200"/>
        <w:rPr>
          <w:rFonts w:ascii="Times New Roman" w:hAnsi="Times New Roman" w:eastAsia="宋体" w:cs="Times New Roman"/>
          <w:b w:val="0"/>
          <w:sz w:val="21"/>
          <w:szCs w:val="21"/>
        </w:rPr>
      </w:pPr>
      <w:r>
        <w:rPr>
          <w:rFonts w:hint="eastAsia" w:ascii="Times New Roman" w:hAnsi="Times New Roman" w:eastAsia="宋体" w:cs="Times New Roman"/>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2" w:firstLineChars="200"/>
        <w:rPr>
          <w:rFonts w:hint="eastAsia" w:ascii="宋体" w:hAnsi="宋体" w:cs="宋体"/>
          <w:b/>
          <w:bCs/>
        </w:rPr>
      </w:pPr>
      <w:r>
        <w:rPr>
          <w:rFonts w:hint="eastAsia" w:ascii="宋体" w:hAnsi="宋体" w:cs="宋体"/>
          <w:b/>
          <w:bCs/>
        </w:rPr>
        <w:t>2、供应商账户信息</w:t>
      </w:r>
    </w:p>
    <w:p>
      <w:pPr>
        <w:wordWrap w:val="0"/>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eastAsia="宋体"/>
          <w:szCs w:val="21"/>
        </w:rPr>
        <w:t>；</w:t>
      </w:r>
      <w:r>
        <w:rPr>
          <w:rFonts w:hint="eastAsia"/>
          <w:szCs w:val="21"/>
        </w:rPr>
        <w:t xml:space="preserve">  </w:t>
      </w:r>
    </w:p>
    <w:p>
      <w:pPr>
        <w:wordWrap w:val="0"/>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ascii="Times New Roman" w:eastAsia="宋体"/>
          <w:szCs w:val="21"/>
          <w:u w:val="thick"/>
        </w:rPr>
        <w:t xml:space="preserve">   </w:t>
      </w:r>
      <w:r>
        <w:rPr>
          <w:rFonts w:hint="eastAsia" w:eastAsia="宋体"/>
          <w:szCs w:val="21"/>
        </w:rPr>
        <w:t>；</w:t>
      </w:r>
    </w:p>
    <w:p>
      <w:pPr>
        <w:wordWrap w:val="0"/>
        <w:ind w:left="420" w:leftChars="200" w:firstLine="210" w:firstLineChars="100"/>
        <w:rPr>
          <w:szCs w:val="21"/>
        </w:rPr>
      </w:pPr>
      <w:r>
        <w:rPr>
          <w:rFonts w:hint="eastAsia"/>
          <w:szCs w:val="21"/>
        </w:rPr>
        <w:t>法定代表人（负责人）或其</w:t>
      </w:r>
      <w:r>
        <w:rPr>
          <w:rFonts w:hint="eastAsia" w:ascii="Times New Roman" w:eastAsia="宋体"/>
          <w:szCs w:val="21"/>
        </w:rPr>
        <w:t>授权</w:t>
      </w:r>
      <w:r>
        <w:rPr>
          <w:rFonts w:hint="eastAsia"/>
          <w:szCs w:val="21"/>
        </w:rPr>
        <w:t>委托代理人：</w:t>
      </w:r>
      <w:r>
        <w:rPr>
          <w:rFonts w:hint="eastAsia"/>
          <w:szCs w:val="21"/>
          <w:u w:val="thick"/>
        </w:rPr>
        <w:t xml:space="preserve">              </w:t>
      </w:r>
      <w:r>
        <w:rPr>
          <w:rFonts w:hint="eastAsia" w:eastAsia="宋体"/>
          <w:szCs w:val="21"/>
        </w:rPr>
        <w:t>；</w:t>
      </w:r>
    </w:p>
    <w:p>
      <w:pPr>
        <w:wordWrap w:val="0"/>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eastAsia="宋体"/>
          <w:szCs w:val="21"/>
        </w:rPr>
        <w:t>；</w:t>
      </w:r>
    </w:p>
    <w:p>
      <w:pPr>
        <w:wordWrap w:val="0"/>
        <w:ind w:left="420" w:leftChars="200" w:firstLine="210" w:firstLineChars="100"/>
        <w:rPr>
          <w:szCs w:val="21"/>
        </w:rPr>
      </w:pPr>
      <w:r>
        <w:rPr>
          <w:rFonts w:hint="eastAsia" w:ascii="Times New Roman" w:eastAsia="宋体"/>
          <w:szCs w:val="21"/>
        </w:rPr>
        <w:t>开户银行名称：</w:t>
      </w:r>
      <w:r>
        <w:rPr>
          <w:rFonts w:hint="eastAsia"/>
          <w:szCs w:val="21"/>
          <w:u w:val="thick"/>
        </w:rPr>
        <w:t xml:space="preserve">                     </w:t>
      </w:r>
      <w:r>
        <w:rPr>
          <w:rFonts w:hint="eastAsia" w:eastAsia="宋体"/>
          <w:szCs w:val="21"/>
        </w:rPr>
        <w:t>；</w:t>
      </w:r>
    </w:p>
    <w:p>
      <w:pPr>
        <w:wordWrap w:val="0"/>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pPr>
        <w:wordWrap w:val="0"/>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 xml:space="preserve"> </w:t>
      </w:r>
      <w:r>
        <w:rPr>
          <w:rFonts w:hint="eastAsia" w:ascii="宋体" w:hAnsi="宋体"/>
          <w:b/>
          <w:bCs/>
          <w:color w:val="FF0000"/>
          <w:spacing w:val="-4"/>
          <w:kern w:val="0"/>
          <w:szCs w:val="21"/>
        </w:rPr>
        <w:t>注：本项填写内容作为订单融资开展的参考信息，不作为供应商资格性审查及符合性审查条件。</w:t>
      </w:r>
    </w:p>
    <w:p>
      <w:pPr>
        <w:widowControl/>
        <w:tabs>
          <w:tab w:val="left" w:pos="8200"/>
        </w:tabs>
        <w:autoSpaceDE w:val="0"/>
        <w:autoSpaceDN w:val="0"/>
        <w:spacing w:line="400" w:lineRule="exact"/>
        <w:ind w:right="1414" w:firstLine="406" w:firstLineChars="200"/>
        <w:rPr>
          <w:rFonts w:hint="eastAsia" w:ascii="宋体" w:hAnsi="宋体"/>
          <w:b/>
          <w:bCs/>
          <w:color w:val="FF0000"/>
          <w:spacing w:val="-4"/>
          <w:kern w:val="0"/>
          <w:szCs w:val="21"/>
        </w:rPr>
      </w:pPr>
    </w:p>
    <w:p>
      <w:pPr>
        <w:ind w:firstLine="720" w:firstLineChars="300"/>
        <w:rPr>
          <w:sz w:val="24"/>
        </w:rPr>
      </w:pPr>
    </w:p>
    <w:p>
      <w:pPr>
        <w:widowControl/>
        <w:spacing w:line="360" w:lineRule="auto"/>
        <w:jc w:val="left"/>
        <w:rPr>
          <w:b/>
          <w:bCs/>
          <w:kern w:val="0"/>
          <w:sz w:val="24"/>
        </w:rPr>
      </w:pPr>
    </w:p>
    <w:p>
      <w:pPr>
        <w:widowControl/>
        <w:jc w:val="center"/>
        <w:rPr>
          <w:rFonts w:hint="eastAsia" w:ascii="黑体" w:hAnsi="宋体" w:eastAsia="黑体"/>
          <w:kern w:val="0"/>
          <w:sz w:val="24"/>
          <w:szCs w:val="20"/>
        </w:rPr>
      </w:pPr>
      <w:r>
        <w:rPr>
          <w:rFonts w:hint="eastAsia" w:ascii="黑体" w:hAnsi="宋体" w:eastAsia="黑体"/>
          <w:kern w:val="0"/>
          <w:sz w:val="24"/>
          <w:szCs w:val="20"/>
        </w:rPr>
        <w:t>（三）投标人认为需要加以说明的其他内容（格式自定）</w:t>
      </w:r>
    </w:p>
    <w:p>
      <w:pPr>
        <w:widowControl/>
        <w:jc w:val="center"/>
        <w:rPr>
          <w:rFonts w:hint="eastAsia" w:ascii="黑体" w:hAnsi="宋体" w:eastAsia="黑体"/>
          <w:kern w:val="0"/>
          <w:sz w:val="24"/>
          <w:szCs w:val="20"/>
        </w:rPr>
      </w:pPr>
    </w:p>
    <w:p>
      <w:pPr>
        <w:spacing w:after="78" w:afterLines="25" w:line="300" w:lineRule="auto"/>
        <w:rPr>
          <w:rFonts w:ascii="Arial" w:hAnsi="Arial" w:eastAsia="宋体" w:cs="Times New Roman"/>
          <w:sz w:val="24"/>
          <w:szCs w:val="24"/>
        </w:rPr>
      </w:pPr>
    </w:p>
    <w:p>
      <w:pPr>
        <w:spacing w:after="78" w:afterLines="25" w:line="300" w:lineRule="auto"/>
        <w:rPr>
          <w:rFonts w:ascii="Arial" w:hAnsi="Arial" w:eastAsia="宋体" w:cs="Times New Roman"/>
          <w:sz w:val="24"/>
          <w:szCs w:val="24"/>
        </w:rPr>
      </w:pP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pPr>
        <w:widowControl/>
        <w:jc w:val="center"/>
        <w:rPr>
          <w:rFonts w:hint="eastAsia" w:ascii="宋体" w:hAnsi="宋体" w:eastAsia="黑体" w:cs="Times New Roman"/>
          <w:bCs/>
          <w:kern w:val="44"/>
          <w:sz w:val="28"/>
          <w:szCs w:val="44"/>
        </w:rPr>
      </w:pPr>
      <w:bookmarkStart w:id="48" w:name="_Hlk72574405"/>
      <w:r>
        <w:rPr>
          <w:rFonts w:hint="eastAsia"/>
          <w:b/>
          <w:sz w:val="24"/>
        </w:rPr>
        <w:t>（仅供参考，具体以项目需求及采购结果为准）</w:t>
      </w:r>
      <w:bookmarkEnd w:id="48"/>
    </w:p>
    <w:p>
      <w:pPr>
        <w:snapToGrid w:val="0"/>
        <w:spacing w:line="300" w:lineRule="auto"/>
        <w:jc w:val="center"/>
        <w:rPr>
          <w:rFonts w:hint="eastAsia" w:ascii="仿宋" w:hAnsi="仿宋" w:eastAsia="仿宋" w:cs="Times New Roman"/>
          <w:sz w:val="28"/>
          <w:szCs w:val="28"/>
        </w:rPr>
      </w:pP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eastAsia="黑体"/>
          <w:sz w:val="44"/>
          <w:szCs w:val="44"/>
        </w:rPr>
      </w:pPr>
      <w:r>
        <w:rPr>
          <w:rFonts w:hint="eastAsia" w:eastAsia="黑体"/>
          <w:sz w:val="44"/>
          <w:szCs w:val="44"/>
        </w:rPr>
        <w:t>使 用 说 明</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49" w:name="_Toc22209"/>
    </w:p>
    <w:p>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49"/>
    </w:p>
    <w:p>
      <w:pPr>
        <w:keepNext/>
        <w:keepLines/>
        <w:adjustRightInd w:val="0"/>
        <w:snapToGrid w:val="0"/>
        <w:spacing w:line="400" w:lineRule="exact"/>
        <w:jc w:val="center"/>
        <w:outlineLvl w:val="1"/>
        <w:rPr>
          <w:rFonts w:hint="eastAsia" w:ascii="黑体" w:hAnsi="华文中宋" w:eastAsia="黑体" w:cs="Times New Roman"/>
          <w:sz w:val="28"/>
          <w:szCs w:val="28"/>
        </w:rPr>
      </w:pPr>
    </w:p>
    <w:p>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line="400" w:lineRule="exact"/>
        <w:rPr>
          <w:rFonts w:eastAsia="宋体"/>
        </w:rPr>
      </w:pP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pPr>
        <w:numPr>
          <w:ilvl w:val="0"/>
          <w:numId w:val="8"/>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7"/>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pPr>
        <w:numPr>
          <w:ilvl w:val="0"/>
          <w:numId w:val="9"/>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7"/>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pPr>
        <w:rPr>
          <w:rFonts w:eastAsia="宋体"/>
        </w:rPr>
      </w:pPr>
      <w:r>
        <w:rPr>
          <w:rFonts w:hint="eastAsia" w:eastAsia="宋体"/>
        </w:rPr>
        <w:br w:type="page"/>
      </w:r>
    </w:p>
    <w:p>
      <w:pPr>
        <w:ind w:firstLine="420" w:firstLineChars="200"/>
        <w:rPr>
          <w:rFonts w:ascii="Times New Roman" w:hAnsi="Times New Roman" w:eastAsia="宋体" w:cs="Times New Roman"/>
          <w:szCs w:val="21"/>
        </w:rPr>
      </w:pPr>
    </w:p>
    <w:tbl>
      <w:tblPr>
        <w:tblStyle w:val="19"/>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pPr>
        <w:ind w:firstLine="527" w:firstLineChars="250"/>
        <w:rPr>
          <w:rFonts w:hint="eastAsia" w:ascii="宋体" w:hAnsi="宋体"/>
          <w:b/>
          <w:szCs w:val="21"/>
        </w:rPr>
      </w:pPr>
    </w:p>
    <w:p>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0" w:name="_Toc27624"/>
      <w:r>
        <w:rPr>
          <w:rFonts w:hint="eastAsia" w:ascii="黑体" w:hAnsi="黑体" w:eastAsia="黑体" w:cs="Times New Roman"/>
          <w:sz w:val="28"/>
          <w:szCs w:val="28"/>
        </w:rPr>
        <w:t>第二节 政府采购合同通用条款</w:t>
      </w:r>
      <w:bookmarkEnd w:id="50"/>
    </w:p>
    <w:p>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numPr>
          <w:ilvl w:val="0"/>
          <w:numId w:val="10"/>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pPr>
        <w:numPr>
          <w:ilvl w:val="0"/>
          <w:numId w:val="11"/>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1"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1"/>
      <w:r>
        <w:rPr>
          <w:rFonts w:hint="eastAsia" w:ascii="宋体" w:hAnsi="宋体" w:eastAsia="宋体"/>
          <w:szCs w:val="21"/>
        </w:rPr>
        <w:t>。</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pPr>
        <w:numPr>
          <w:ilvl w:val="0"/>
          <w:numId w:val="12"/>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pPr>
        <w:numPr>
          <w:ilvl w:val="0"/>
          <w:numId w:val="13"/>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2" w:name="_Toc20313"/>
    </w:p>
    <w:p>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2"/>
    </w:p>
    <w:tbl>
      <w:tblPr>
        <w:tblStyle w:val="1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eastAsia="宋体"/>
              </w:rPr>
            </w:pPr>
            <w:r>
              <w:rPr>
                <w:rFonts w:hint="eastAsia" w:ascii="宋体" w:hAnsi="宋体" w:eastAsia="宋体"/>
                <w:szCs w:val="21"/>
              </w:rPr>
              <w:t>第5.4款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货物质量缺陷</w:t>
            </w:r>
          </w:p>
          <w:p>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rPr>
            </w:pPr>
            <w:r>
              <w:rPr>
                <w:rFonts w:hint="eastAsia" w:ascii="宋体" w:hAnsi="宋体" w:eastAsia="宋体" w:cs="宋体"/>
                <w:szCs w:val="21"/>
              </w:rPr>
              <w:t>第二节</w:t>
            </w:r>
          </w:p>
          <w:p>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pPr>
              <w:adjustRightInd w:val="0"/>
              <w:snapToGrid w:val="0"/>
              <w:jc w:val="left"/>
              <w:rPr>
                <w:rFonts w:hint="eastAsia" w:ascii="宋体" w:hAnsi="宋体" w:eastAsia="宋体"/>
                <w:szCs w:val="21"/>
              </w:rPr>
            </w:pPr>
          </w:p>
        </w:tc>
      </w:tr>
    </w:tbl>
    <w:p>
      <w:pPr>
        <w:rPr>
          <w:rFonts w:eastAsia="宋体"/>
        </w:rPr>
      </w:pPr>
    </w:p>
    <w:p>
      <w:pPr>
        <w:widowControl/>
        <w:jc w:val="left"/>
        <w:rPr>
          <w:rFonts w:ascii="Arial" w:hAnsi="Arial" w:eastAsia="宋体" w:cs="Times New Roman"/>
          <w:color w:val="FF0000"/>
          <w:szCs w:val="24"/>
        </w:rPr>
      </w:pPr>
    </w:p>
    <w:p>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3"/>
        <w:keepNext/>
        <w:keepLines/>
        <w:numPr>
          <w:ilvl w:val="0"/>
          <w:numId w:val="14"/>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3" w:name="_Hlk72399513"/>
      <w:r>
        <w:rPr>
          <w:rFonts w:hint="eastAsia" w:asciiTheme="majorHAnsi" w:hAnsiTheme="majorHAnsi" w:eastAsiaTheme="majorEastAsia" w:cstheme="majorBidi"/>
          <w:b/>
          <w:bCs/>
          <w:sz w:val="28"/>
          <w:szCs w:val="28"/>
        </w:rPr>
        <w:t>总则</w:t>
      </w:r>
    </w:p>
    <w:bookmarkEnd w:id="53"/>
    <w:p>
      <w:pPr>
        <w:rPr>
          <w:rFonts w:hint="eastAsia" w:ascii="黑体" w:hAnsi="宋体" w:eastAsia="黑体"/>
          <w:sz w:val="24"/>
        </w:rPr>
      </w:pPr>
      <w:bookmarkStart w:id="54" w:name="_Hlk72439706"/>
      <w:r>
        <w:rPr>
          <w:rFonts w:hint="eastAsia" w:ascii="黑体" w:hAnsi="宋体" w:eastAsia="黑体"/>
          <w:sz w:val="24"/>
        </w:rPr>
        <w:t>1. 通用条款说明</w:t>
      </w:r>
    </w:p>
    <w:p>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5" w:name="_Hlk72399729"/>
      <w:r>
        <w:rPr>
          <w:rFonts w:hint="eastAsia" w:ascii="宋体" w:hAnsi="宋体"/>
          <w:szCs w:val="21"/>
        </w:rPr>
        <w:t>如有需要，政府集中采购机构可以对通用条款的内容进行补充。</w:t>
      </w:r>
      <w:bookmarkEnd w:id="55"/>
    </w:p>
    <w:p>
      <w:pPr>
        <w:ind w:firstLine="411" w:firstLineChars="196"/>
        <w:rPr>
          <w:rFonts w:hint="eastAsia" w:ascii="宋体" w:hAnsi="宋体"/>
          <w:szCs w:val="21"/>
        </w:rPr>
      </w:pPr>
      <w:r>
        <w:rPr>
          <w:rFonts w:hint="eastAsia" w:ascii="宋体" w:hAnsi="宋体"/>
          <w:szCs w:val="21"/>
        </w:rPr>
        <w:t>1.2招标文件分为第一册“专用条款”和第二册“通用条款”。</w:t>
      </w:r>
    </w:p>
    <w:p>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pPr>
        <w:rPr>
          <w:rFonts w:hint="eastAsia" w:ascii="黑体" w:hAnsi="宋体" w:eastAsia="黑体"/>
          <w:sz w:val="24"/>
        </w:rPr>
      </w:pPr>
      <w:r>
        <w:rPr>
          <w:rFonts w:hint="eastAsia" w:ascii="黑体" w:hAnsi="宋体" w:eastAsia="黑体"/>
          <w:sz w:val="24"/>
        </w:rPr>
        <w:t>3．定义</w:t>
      </w:r>
    </w:p>
    <w:p>
      <w:pPr>
        <w:ind w:firstLine="420" w:firstLineChars="200"/>
        <w:rPr>
          <w:rFonts w:hint="eastAsia" w:ascii="宋体" w:hAnsi="宋体"/>
          <w:szCs w:val="21"/>
        </w:rPr>
      </w:pPr>
      <w:r>
        <w:rPr>
          <w:rFonts w:ascii="宋体" w:hAnsi="宋体"/>
          <w:szCs w:val="21"/>
        </w:rPr>
        <w:t>招标文件中下列术语应解释为：</w:t>
      </w:r>
    </w:p>
    <w:p>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hint="eastAsia" w:ascii="宋体" w:hAnsi="宋体"/>
          <w:szCs w:val="21"/>
        </w:rPr>
      </w:pPr>
      <w:r>
        <w:rPr>
          <w:rFonts w:hint="eastAsia" w:ascii="宋体" w:hAnsi="宋体"/>
          <w:szCs w:val="21"/>
        </w:rPr>
        <w:t>3.6“合同”指由本次招标所产生的合同或合约文件；</w:t>
      </w:r>
    </w:p>
    <w:p>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pPr>
        <w:rPr>
          <w:rFonts w:hint="eastAsia" w:ascii="黑体" w:hAnsi="宋体" w:eastAsia="黑体"/>
          <w:sz w:val="24"/>
        </w:rPr>
      </w:pPr>
      <w:r>
        <w:rPr>
          <w:rFonts w:hint="eastAsia" w:ascii="黑体" w:hAnsi="宋体" w:eastAsia="黑体"/>
          <w:sz w:val="24"/>
        </w:rPr>
        <w:t xml:space="preserve">4. </w:t>
      </w:r>
      <w:bookmarkStart w:id="56" w:name="_Hlk72398643"/>
      <w:r>
        <w:rPr>
          <w:rFonts w:hint="eastAsia" w:ascii="黑体" w:hAnsi="宋体" w:eastAsia="黑体"/>
          <w:sz w:val="24"/>
        </w:rPr>
        <w:t>政府采购供应商责任</w:t>
      </w:r>
    </w:p>
    <w:p>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hint="eastAsia" w:ascii="黑体" w:hAnsi="宋体" w:eastAsia="黑体"/>
          <w:sz w:val="24"/>
        </w:rPr>
      </w:pPr>
      <w:r>
        <w:rPr>
          <w:rFonts w:hint="eastAsia" w:ascii="黑体" w:hAnsi="宋体" w:eastAsia="黑体"/>
          <w:sz w:val="24"/>
        </w:rPr>
        <w:t>5．投标人参加政府采购的条件</w:t>
      </w:r>
    </w:p>
    <w:p>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pPr>
        <w:ind w:firstLine="411" w:firstLineChars="196"/>
        <w:rPr>
          <w:rFonts w:hint="eastAsia" w:ascii="宋体" w:hAnsi="宋体"/>
          <w:szCs w:val="21"/>
        </w:rPr>
      </w:pPr>
      <w:r>
        <w:rPr>
          <w:rFonts w:hint="eastAsia" w:ascii="宋体" w:hAnsi="宋体"/>
          <w:szCs w:val="21"/>
        </w:rPr>
        <w:t>5.2投标人资格要求</w:t>
      </w:r>
    </w:p>
    <w:p>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pPr>
        <w:ind w:firstLine="411" w:firstLineChars="196"/>
        <w:rPr>
          <w:rFonts w:hint="eastAsia" w:ascii="宋体" w:hAnsi="宋体"/>
          <w:szCs w:val="21"/>
        </w:rPr>
      </w:pPr>
      <w:r>
        <w:rPr>
          <w:rFonts w:hint="eastAsia" w:ascii="宋体" w:hAnsi="宋体"/>
          <w:szCs w:val="21"/>
        </w:rPr>
        <w:t>5.3联合体投标</w:t>
      </w:r>
    </w:p>
    <w:p>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hint="eastAsia" w:ascii="宋体" w:hAnsi="宋体"/>
        </w:rPr>
      </w:pPr>
      <w:r>
        <w:rPr>
          <w:rFonts w:hint="eastAsia" w:ascii="宋体" w:hAnsi="宋体"/>
        </w:rPr>
        <w:t>（2）在投标截止前，投标联合体各方均应注册成政府集中采购机构供应商；</w:t>
      </w:r>
    </w:p>
    <w:p>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pPr>
        <w:rPr>
          <w:rFonts w:hint="eastAsia" w:ascii="黑体" w:hAnsi="宋体" w:eastAsia="黑体"/>
          <w:sz w:val="24"/>
        </w:rPr>
      </w:pPr>
      <w:r>
        <w:rPr>
          <w:rFonts w:hint="eastAsia" w:ascii="黑体" w:hAnsi="宋体" w:eastAsia="黑体"/>
          <w:sz w:val="24"/>
        </w:rPr>
        <w:t>6．政策导向</w:t>
      </w:r>
    </w:p>
    <w:p>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pPr>
        <w:ind w:firstLine="405"/>
        <w:rPr>
          <w:rFonts w:eastAsia="宋体"/>
        </w:rPr>
      </w:pPr>
      <w:r>
        <w:rPr>
          <w:rFonts w:hint="eastAsia" w:ascii="宋体" w:hAnsi="宋体"/>
        </w:rPr>
        <w:t>6.3  本项目支持投标人性别平等的相关政策。</w:t>
      </w:r>
    </w:p>
    <w:p>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7"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7"/>
    </w:p>
    <w:p>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pPr>
        <w:rPr>
          <w:rFonts w:hint="eastAsia" w:ascii="黑体" w:hAnsi="宋体" w:eastAsia="黑体"/>
          <w:sz w:val="24"/>
        </w:rPr>
      </w:pPr>
      <w:r>
        <w:rPr>
          <w:rFonts w:hint="eastAsia" w:ascii="黑体" w:hAnsi="宋体" w:eastAsia="黑体"/>
          <w:sz w:val="24"/>
        </w:rPr>
        <w:t>8．投标费用</w:t>
      </w:r>
    </w:p>
    <w:p>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pPr>
        <w:rPr>
          <w:rFonts w:hint="eastAsia" w:ascii="黑体" w:hAnsi="宋体" w:eastAsia="黑体"/>
          <w:sz w:val="24"/>
        </w:rPr>
      </w:pPr>
      <w:r>
        <w:rPr>
          <w:rFonts w:hint="eastAsia" w:ascii="黑体" w:hAnsi="宋体" w:eastAsia="黑体"/>
          <w:sz w:val="24"/>
        </w:rPr>
        <w:t>9．踏勘现场</w:t>
      </w:r>
    </w:p>
    <w:p>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6"/>
    <w:p>
      <w:pPr>
        <w:ind w:firstLine="411" w:firstLineChars="196"/>
        <w:rPr>
          <w:rFonts w:hint="eastAsia" w:ascii="宋体" w:hAnsi="宋体"/>
        </w:rPr>
      </w:pPr>
    </w:p>
    <w:p>
      <w:pPr>
        <w:pStyle w:val="5"/>
        <w:numPr>
          <w:ilvl w:val="0"/>
          <w:numId w:val="15"/>
        </w:numPr>
        <w:spacing w:before="156" w:beforeLines="50" w:after="156" w:afterLines="50"/>
        <w:ind w:left="562" w:hanging="562"/>
        <w:rPr>
          <w:sz w:val="28"/>
          <w:szCs w:val="28"/>
        </w:rPr>
      </w:pPr>
      <w:r>
        <w:rPr>
          <w:rFonts w:hint="eastAsia"/>
          <w:sz w:val="28"/>
          <w:szCs w:val="28"/>
        </w:rPr>
        <w:t>招标文件</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58" w:name="_Hlk72399819"/>
      <w:r>
        <w:rPr>
          <w:rFonts w:hint="eastAsia" w:ascii="黑体" w:hAnsi="宋体" w:eastAsia="黑体"/>
          <w:sz w:val="24"/>
        </w:rPr>
        <w:t>招标文件的编制与组成</w:t>
      </w:r>
    </w:p>
    <w:p>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11" w:firstLineChars="196"/>
        <w:rPr>
          <w:rFonts w:hint="eastAsia" w:ascii="宋体" w:hAnsi="宋体"/>
          <w:szCs w:val="21"/>
        </w:rPr>
      </w:pPr>
      <w:r>
        <w:rPr>
          <w:rFonts w:hint="eastAsia" w:ascii="宋体" w:hAnsi="宋体"/>
          <w:szCs w:val="21"/>
        </w:rPr>
        <w:t>招标文件包括下列内容：</w:t>
      </w:r>
    </w:p>
    <w:p>
      <w:pPr>
        <w:ind w:left="420" w:leftChars="200" w:firstLine="413" w:firstLineChars="196"/>
        <w:rPr>
          <w:rFonts w:hint="eastAsia" w:ascii="宋体" w:hAnsi="宋体"/>
          <w:b/>
          <w:szCs w:val="21"/>
        </w:rPr>
      </w:pPr>
      <w:r>
        <w:rPr>
          <w:rFonts w:hint="eastAsia" w:ascii="宋体" w:hAnsi="宋体"/>
          <w:b/>
          <w:szCs w:val="21"/>
        </w:rPr>
        <w:t>第一册  专用条款</w:t>
      </w:r>
    </w:p>
    <w:p>
      <w:pPr>
        <w:ind w:left="1079" w:leftChars="514"/>
        <w:rPr>
          <w:rFonts w:hint="eastAsia" w:ascii="宋体" w:hAnsi="宋体"/>
          <w:b/>
          <w:szCs w:val="21"/>
        </w:rPr>
      </w:pPr>
      <w:r>
        <w:rPr>
          <w:rFonts w:hint="eastAsia" w:ascii="宋体" w:hAnsi="宋体"/>
          <w:b/>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第三章  用户需求书</w:t>
      </w:r>
    </w:p>
    <w:p>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pPr>
        <w:ind w:left="630" w:leftChars="300" w:firstLine="411" w:firstLineChars="196"/>
        <w:rPr>
          <w:rFonts w:hint="eastAsia" w:ascii="宋体" w:hAnsi="宋体"/>
          <w:szCs w:val="21"/>
        </w:rPr>
      </w:pPr>
      <w:r>
        <w:rPr>
          <w:rFonts w:hint="eastAsia" w:ascii="宋体" w:hAnsi="宋体"/>
          <w:szCs w:val="21"/>
        </w:rPr>
        <w:t>第五章  合同条款及格式</w:t>
      </w:r>
    </w:p>
    <w:p>
      <w:pPr>
        <w:ind w:left="420" w:leftChars="200" w:firstLine="413" w:firstLineChars="196"/>
        <w:rPr>
          <w:rFonts w:hint="eastAsia" w:ascii="宋体" w:hAnsi="宋体"/>
          <w:b/>
          <w:szCs w:val="21"/>
        </w:rPr>
      </w:pPr>
      <w:r>
        <w:rPr>
          <w:rFonts w:hint="eastAsia" w:ascii="宋体" w:hAnsi="宋体"/>
          <w:b/>
          <w:szCs w:val="21"/>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pPr>
        <w:ind w:left="630" w:leftChars="300" w:firstLine="411" w:firstLineChars="196"/>
        <w:rPr>
          <w:rFonts w:hint="eastAsia" w:ascii="宋体" w:hAnsi="宋体"/>
          <w:szCs w:val="21"/>
        </w:rPr>
      </w:pPr>
      <w:r>
        <w:rPr>
          <w:rFonts w:hint="eastAsia" w:ascii="宋体" w:hAnsi="宋体"/>
          <w:szCs w:val="21"/>
        </w:rPr>
        <w:t>第十一章  质疑处理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8"/>
    </w:p>
    <w:p>
      <w:pPr>
        <w:rPr>
          <w:rFonts w:hint="eastAsia" w:ascii="宋体" w:hAnsi="宋体"/>
          <w:szCs w:val="21"/>
        </w:rPr>
      </w:pPr>
    </w:p>
    <w:p>
      <w:pPr>
        <w:pStyle w:val="5"/>
        <w:numPr>
          <w:ilvl w:val="0"/>
          <w:numId w:val="15"/>
        </w:numPr>
        <w:spacing w:before="156" w:beforeLines="50" w:after="156" w:afterLines="50"/>
        <w:ind w:left="562" w:hanging="562"/>
        <w:rPr>
          <w:sz w:val="28"/>
          <w:szCs w:val="28"/>
        </w:rPr>
      </w:pPr>
      <w:r>
        <w:rPr>
          <w:rFonts w:hint="eastAsia"/>
          <w:sz w:val="28"/>
          <w:szCs w:val="28"/>
        </w:rPr>
        <w:t>投标文件的编制</w:t>
      </w:r>
    </w:p>
    <w:p>
      <w:pPr>
        <w:rPr>
          <w:rFonts w:hint="eastAsia" w:ascii="黑体" w:hAnsi="宋体" w:eastAsia="黑体"/>
          <w:sz w:val="24"/>
        </w:rPr>
      </w:pPr>
      <w:r>
        <w:rPr>
          <w:rFonts w:hint="eastAsia" w:ascii="黑体" w:hAnsi="宋体" w:eastAsia="黑体"/>
          <w:sz w:val="24"/>
        </w:rPr>
        <w:t>14．</w:t>
      </w:r>
      <w:bookmarkStart w:id="59" w:name="_Hlk72400236"/>
      <w:r>
        <w:rPr>
          <w:rFonts w:hint="eastAsia" w:ascii="黑体" w:hAnsi="宋体" w:eastAsia="黑体"/>
          <w:sz w:val="24"/>
        </w:rPr>
        <w:t>投标文件的语言及度量单位</w:t>
      </w:r>
    </w:p>
    <w:p>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59"/>
    <w:p>
      <w:pPr>
        <w:rPr>
          <w:rFonts w:hint="eastAsia" w:ascii="黑体" w:hAnsi="宋体" w:eastAsia="黑体"/>
          <w:sz w:val="24"/>
        </w:rPr>
      </w:pPr>
      <w:r>
        <w:rPr>
          <w:rFonts w:hint="eastAsia" w:ascii="黑体" w:hAnsi="宋体" w:eastAsia="黑体"/>
          <w:sz w:val="24"/>
        </w:rPr>
        <w:t>15．</w:t>
      </w:r>
      <w:bookmarkStart w:id="60" w:name="_Hlk72401567"/>
      <w:r>
        <w:rPr>
          <w:rFonts w:hint="eastAsia" w:ascii="黑体" w:hAnsi="宋体" w:eastAsia="黑体"/>
          <w:sz w:val="24"/>
        </w:rPr>
        <w:t>投标文件的组成</w:t>
      </w:r>
    </w:p>
    <w:p>
      <w:pPr>
        <w:ind w:firstLine="411" w:firstLineChars="196"/>
        <w:rPr>
          <w:rFonts w:hint="eastAsia" w:ascii="宋体" w:hAnsi="宋体"/>
          <w:szCs w:val="21"/>
        </w:rPr>
      </w:pPr>
      <w:r>
        <w:rPr>
          <w:rFonts w:hint="eastAsia" w:ascii="宋体" w:hAnsi="宋体"/>
          <w:szCs w:val="21"/>
        </w:rPr>
        <w:t>具体内容在招标文件专用条款中进行规定。</w:t>
      </w:r>
    </w:p>
    <w:p>
      <w:pPr>
        <w:rPr>
          <w:rFonts w:hint="eastAsia" w:ascii="黑体" w:hAnsi="宋体" w:eastAsia="黑体"/>
          <w:sz w:val="24"/>
        </w:rPr>
      </w:pPr>
      <w:r>
        <w:rPr>
          <w:rFonts w:ascii="黑体" w:hAnsi="宋体" w:eastAsia="黑体"/>
          <w:sz w:val="24"/>
        </w:rPr>
        <w:t>16．投标文件格式</w:t>
      </w:r>
    </w:p>
    <w:p>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rPr>
          <w:rFonts w:hint="eastAsia" w:ascii="黑体" w:hAnsi="宋体" w:eastAsia="黑体"/>
          <w:sz w:val="24"/>
        </w:rPr>
      </w:pPr>
      <w:r>
        <w:rPr>
          <w:rFonts w:hint="eastAsia" w:ascii="黑体" w:hAnsi="宋体" w:eastAsia="黑体"/>
          <w:sz w:val="24"/>
        </w:rPr>
        <w:t>17．投标货币</w:t>
      </w:r>
    </w:p>
    <w:p>
      <w:pPr>
        <w:ind w:firstLine="411" w:firstLineChars="196"/>
        <w:rPr>
          <w:rFonts w:hint="eastAsia" w:ascii="宋体" w:hAnsi="宋体"/>
          <w:szCs w:val="21"/>
        </w:rPr>
      </w:pPr>
      <w:r>
        <w:rPr>
          <w:rFonts w:hint="eastAsia" w:ascii="宋体" w:hAnsi="宋体"/>
          <w:szCs w:val="21"/>
        </w:rPr>
        <w:t>本项目的投标报价应以人民币计。</w:t>
      </w:r>
    </w:p>
    <w:bookmarkEnd w:id="60"/>
    <w:p>
      <w:pPr>
        <w:rPr>
          <w:rFonts w:hint="eastAsia" w:ascii="黑体" w:hAnsi="宋体" w:eastAsia="黑体"/>
          <w:sz w:val="24"/>
        </w:rPr>
      </w:pPr>
      <w:r>
        <w:rPr>
          <w:rFonts w:hint="eastAsia" w:ascii="黑体" w:hAnsi="宋体" w:eastAsia="黑体"/>
          <w:sz w:val="24"/>
        </w:rPr>
        <w:t>18．</w:t>
      </w:r>
      <w:bookmarkStart w:id="61" w:name="_Hlk72401735"/>
      <w:r>
        <w:rPr>
          <w:rFonts w:hint="eastAsia" w:ascii="黑体" w:hAnsi="宋体" w:eastAsia="黑体"/>
          <w:sz w:val="24"/>
        </w:rPr>
        <w:t>证明投标文件投标技术方案的合格性和符合招标文件规定的文件要求</w:t>
      </w:r>
    </w:p>
    <w:p>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hint="eastAsia" w:ascii="宋体" w:hAnsi="宋体"/>
          <w:szCs w:val="21"/>
        </w:rPr>
      </w:pPr>
      <w:r>
        <w:rPr>
          <w:rFonts w:hint="eastAsia" w:ascii="宋体" w:hAnsi="宋体"/>
          <w:szCs w:val="21"/>
        </w:rPr>
        <w:t>18.2.1主要技术指标和性能的详细说明。</w:t>
      </w:r>
    </w:p>
    <w:p>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1"/>
    <w:p>
      <w:pPr>
        <w:rPr>
          <w:rFonts w:hint="eastAsia" w:ascii="黑体" w:hAnsi="宋体" w:eastAsia="黑体"/>
          <w:sz w:val="24"/>
        </w:rPr>
      </w:pPr>
      <w:r>
        <w:rPr>
          <w:rFonts w:hint="eastAsia" w:ascii="黑体" w:hAnsi="宋体" w:eastAsia="黑体"/>
          <w:sz w:val="24"/>
        </w:rPr>
        <w:t>19．</w:t>
      </w:r>
      <w:bookmarkStart w:id="62" w:name="_Hlk72402034"/>
      <w:r>
        <w:rPr>
          <w:rFonts w:hint="eastAsia" w:ascii="黑体" w:hAnsi="宋体" w:eastAsia="黑体"/>
          <w:sz w:val="24"/>
        </w:rPr>
        <w:t>投标文件其他证明文件的要求</w:t>
      </w:r>
    </w:p>
    <w:p>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3"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3"/>
    <w:p>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rPr>
          <w:rFonts w:hint="eastAsia" w:ascii="黑体" w:hAnsi="宋体" w:eastAsia="黑体"/>
          <w:sz w:val="24"/>
        </w:rPr>
      </w:pPr>
      <w:r>
        <w:rPr>
          <w:rFonts w:hint="eastAsia" w:ascii="黑体" w:hAnsi="宋体" w:eastAsia="黑体"/>
          <w:sz w:val="24"/>
        </w:rPr>
        <w:t>20．投标有效期</w:t>
      </w:r>
    </w:p>
    <w:bookmarkEnd w:id="62"/>
    <w:p>
      <w:pPr>
        <w:ind w:firstLine="411" w:firstLineChars="196"/>
        <w:rPr>
          <w:rFonts w:hint="eastAsia" w:ascii="宋体" w:hAnsi="宋体"/>
          <w:szCs w:val="21"/>
        </w:rPr>
      </w:pPr>
      <w:bookmarkStart w:id="64"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4"/>
    <w:p>
      <w:pPr>
        <w:rPr>
          <w:rFonts w:hint="eastAsia" w:ascii="黑体" w:hAnsi="宋体" w:eastAsia="黑体"/>
          <w:sz w:val="24"/>
        </w:rPr>
      </w:pPr>
      <w:r>
        <w:rPr>
          <w:rFonts w:hint="eastAsia" w:ascii="黑体" w:hAnsi="宋体" w:eastAsia="黑体"/>
          <w:sz w:val="24"/>
        </w:rPr>
        <w:t>21．</w:t>
      </w:r>
      <w:bookmarkStart w:id="65" w:name="_Hlk72402325"/>
      <w:r>
        <w:rPr>
          <w:rFonts w:hint="eastAsia" w:ascii="黑体" w:hAnsi="宋体" w:eastAsia="黑体"/>
          <w:sz w:val="24"/>
        </w:rPr>
        <w:t xml:space="preserve">关于投标保证金 </w:t>
      </w:r>
    </w:p>
    <w:p>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pPr>
        <w:rPr>
          <w:rFonts w:hint="eastAsia" w:ascii="黑体" w:hAnsi="宋体" w:eastAsia="黑体"/>
          <w:sz w:val="24"/>
        </w:rPr>
      </w:pPr>
      <w:r>
        <w:rPr>
          <w:rFonts w:hint="eastAsia" w:ascii="黑体" w:hAnsi="宋体" w:eastAsia="黑体"/>
          <w:sz w:val="24"/>
        </w:rPr>
        <w:t>22．投标人的替代方案</w:t>
      </w:r>
    </w:p>
    <w:p>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5"/>
    <w:p>
      <w:pPr>
        <w:rPr>
          <w:rFonts w:hint="eastAsia" w:ascii="黑体" w:hAnsi="宋体" w:eastAsia="黑体"/>
          <w:sz w:val="24"/>
        </w:rPr>
      </w:pPr>
      <w:r>
        <w:rPr>
          <w:rFonts w:hint="eastAsia" w:ascii="黑体" w:hAnsi="宋体" w:eastAsia="黑体"/>
          <w:sz w:val="24"/>
        </w:rPr>
        <w:t>23．</w:t>
      </w:r>
      <w:bookmarkStart w:id="66"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hint="eastAsia" w:ascii="宋体" w:hAnsi="宋体"/>
        </w:rPr>
      </w:pPr>
      <w:r>
        <w:rPr>
          <w:rFonts w:hint="eastAsia" w:ascii="宋体" w:hAnsi="宋体"/>
        </w:rPr>
        <w:t>23.1投标人应准备所投项目的电子投标文件一份。</w:t>
      </w:r>
    </w:p>
    <w:p>
      <w:pPr>
        <w:ind w:firstLine="411" w:firstLineChars="196"/>
        <w:rPr>
          <w:rFonts w:hint="eastAsia" w:ascii="宋体" w:hAnsi="宋体"/>
        </w:rPr>
      </w:pPr>
      <w:r>
        <w:rPr>
          <w:rFonts w:hint="eastAsia" w:ascii="宋体" w:hAnsi="宋体"/>
        </w:rPr>
        <w:t>23.2投标人在使用《投标书编制软件》编制投标书时须注意：</w:t>
      </w:r>
    </w:p>
    <w:p>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pPr>
        <w:ind w:firstLine="411" w:firstLineChars="196"/>
        <w:rPr>
          <w:rFonts w:hint="eastAsia" w:ascii="宋体" w:hAnsi="宋体"/>
        </w:rPr>
      </w:pPr>
      <w:r>
        <w:rPr>
          <w:rFonts w:hint="eastAsia" w:ascii="宋体" w:hAnsi="宋体"/>
        </w:rPr>
        <w:t>23.3电报、电话、传真形式的投标概不接受。</w:t>
      </w:r>
    </w:p>
    <w:p>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6"/>
    </w:p>
    <w:p>
      <w:pPr>
        <w:ind w:firstLine="411" w:firstLineChars="196"/>
        <w:rPr>
          <w:rFonts w:hint="eastAsia" w:ascii="宋体" w:hAnsi="宋体"/>
          <w:szCs w:val="21"/>
        </w:rPr>
      </w:pPr>
    </w:p>
    <w:p>
      <w:pPr>
        <w:pStyle w:val="5"/>
        <w:numPr>
          <w:ilvl w:val="0"/>
          <w:numId w:val="15"/>
        </w:numPr>
        <w:spacing w:before="156" w:beforeLines="50" w:after="156" w:afterLines="50"/>
        <w:ind w:left="562" w:hanging="562"/>
        <w:rPr>
          <w:sz w:val="28"/>
          <w:szCs w:val="28"/>
        </w:rPr>
      </w:pPr>
      <w:r>
        <w:rPr>
          <w:rFonts w:hint="eastAsia"/>
          <w:sz w:val="28"/>
          <w:szCs w:val="28"/>
        </w:rPr>
        <w:t>投标文件的递交</w:t>
      </w:r>
    </w:p>
    <w:p>
      <w:pPr>
        <w:rPr>
          <w:rFonts w:hint="eastAsia" w:ascii="黑体" w:hAnsi="宋体" w:eastAsia="黑体"/>
          <w:sz w:val="24"/>
        </w:rPr>
      </w:pPr>
      <w:bookmarkStart w:id="67" w:name="_Hlk72405459"/>
      <w:r>
        <w:rPr>
          <w:rFonts w:hint="eastAsia" w:ascii="黑体" w:hAnsi="宋体" w:eastAsia="黑体"/>
          <w:sz w:val="24"/>
        </w:rPr>
        <w:t>24．投标文件的保密</w:t>
      </w:r>
    </w:p>
    <w:p>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pPr>
        <w:rPr>
          <w:rFonts w:hint="eastAsia" w:ascii="宋体" w:hAnsi="宋体"/>
          <w:b/>
        </w:rPr>
      </w:pPr>
      <w:r>
        <w:rPr>
          <w:rFonts w:hint="eastAsia" w:ascii="宋体" w:hAnsi="宋体"/>
          <w:b/>
        </w:rPr>
        <w:t>24.2若采购项目出现延期情况：</w:t>
      </w:r>
    </w:p>
    <w:p>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pPr>
        <w:rPr>
          <w:rFonts w:hint="eastAsia" w:ascii="黑体" w:hAnsi="宋体" w:eastAsia="黑体"/>
          <w:sz w:val="24"/>
        </w:rPr>
      </w:pPr>
      <w:r>
        <w:rPr>
          <w:rFonts w:hint="eastAsia" w:ascii="黑体" w:hAnsi="宋体" w:eastAsia="黑体"/>
          <w:sz w:val="24"/>
        </w:rPr>
        <w:t>25．上传投标文件及投标截止日期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ind w:firstLine="411" w:firstLineChars="196"/>
        <w:rPr>
          <w:rFonts w:hint="eastAsia" w:ascii="宋体" w:hAnsi="宋体"/>
        </w:rPr>
      </w:pPr>
    </w:p>
    <w:p>
      <w:pPr>
        <w:ind w:firstLine="411" w:firstLineChars="196"/>
        <w:rPr>
          <w:rFonts w:hint="eastAsia" w:ascii="宋体" w:hAnsi="宋体"/>
        </w:rPr>
      </w:pPr>
    </w:p>
    <w:bookmarkEnd w:id="67"/>
    <w:p>
      <w:pPr>
        <w:rPr>
          <w:rFonts w:hint="eastAsia" w:ascii="黑体" w:hAnsi="宋体" w:eastAsia="黑体"/>
          <w:sz w:val="24"/>
        </w:rPr>
      </w:pPr>
      <w:r>
        <w:rPr>
          <w:rFonts w:hint="eastAsia" w:ascii="黑体" w:hAnsi="宋体" w:eastAsia="黑体"/>
          <w:sz w:val="24"/>
        </w:rPr>
        <w:t>26. 样品、现场演示、方案讲解</w:t>
      </w:r>
    </w:p>
    <w:p>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pPr>
        <w:rPr>
          <w:rFonts w:hint="eastAsia" w:ascii="黑体" w:hAnsi="宋体" w:eastAsia="黑体"/>
          <w:sz w:val="24"/>
        </w:rPr>
      </w:pPr>
      <w:bookmarkStart w:id="68"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68"/>
    <w:p>
      <w:pPr>
        <w:pStyle w:val="5"/>
        <w:numPr>
          <w:ilvl w:val="0"/>
          <w:numId w:val="15"/>
        </w:numPr>
        <w:spacing w:before="156" w:beforeLines="50" w:after="156" w:afterLines="50"/>
        <w:ind w:left="562" w:hanging="562"/>
        <w:rPr>
          <w:sz w:val="28"/>
          <w:szCs w:val="28"/>
        </w:rPr>
      </w:pPr>
      <w:r>
        <w:rPr>
          <w:rFonts w:hint="eastAsia"/>
          <w:sz w:val="28"/>
          <w:szCs w:val="28"/>
        </w:rPr>
        <w:t>开标</w:t>
      </w:r>
    </w:p>
    <w:p>
      <w:pPr>
        <w:rPr>
          <w:rFonts w:hint="eastAsia" w:ascii="黑体" w:hAnsi="宋体" w:eastAsia="黑体"/>
          <w:sz w:val="24"/>
        </w:rPr>
      </w:pPr>
      <w:r>
        <w:rPr>
          <w:rFonts w:hint="eastAsia" w:ascii="黑体" w:hAnsi="宋体" w:eastAsia="黑体"/>
          <w:sz w:val="24"/>
        </w:rPr>
        <w:t>28．开标</w:t>
      </w:r>
    </w:p>
    <w:p>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hint="eastAsia" w:ascii="宋体" w:hAnsi="宋体"/>
          <w:szCs w:val="21"/>
        </w:rPr>
      </w:pPr>
    </w:p>
    <w:p>
      <w:pPr>
        <w:pStyle w:val="5"/>
        <w:numPr>
          <w:ilvl w:val="0"/>
          <w:numId w:val="15"/>
        </w:numPr>
        <w:spacing w:before="156" w:beforeLines="50" w:after="156" w:afterLines="50"/>
        <w:ind w:left="562" w:hanging="562"/>
        <w:rPr>
          <w:sz w:val="28"/>
          <w:szCs w:val="28"/>
        </w:rPr>
      </w:pPr>
      <w:r>
        <w:rPr>
          <w:rFonts w:hint="eastAsia"/>
          <w:sz w:val="28"/>
          <w:szCs w:val="28"/>
        </w:rPr>
        <w:t>评审要求</w:t>
      </w:r>
    </w:p>
    <w:p>
      <w:pPr>
        <w:rPr>
          <w:rFonts w:hint="eastAsia" w:ascii="黑体" w:hAnsi="宋体" w:eastAsia="黑体"/>
          <w:sz w:val="24"/>
        </w:rPr>
      </w:pPr>
      <w:r>
        <w:rPr>
          <w:rFonts w:hint="eastAsia" w:ascii="黑体" w:hAnsi="宋体" w:eastAsia="黑体"/>
          <w:sz w:val="24"/>
        </w:rPr>
        <w:t>29．评审委员会组成</w:t>
      </w:r>
    </w:p>
    <w:p>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pPr>
        <w:ind w:firstLine="411" w:firstLineChars="196"/>
        <w:rPr>
          <w:rFonts w:hint="eastAsia" w:ascii="宋体" w:hAnsi="宋体"/>
        </w:rPr>
      </w:pPr>
      <w:bookmarkStart w:id="69"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69"/>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pPr>
        <w:ind w:firstLine="411" w:firstLineChars="196"/>
        <w:rPr>
          <w:rFonts w:hint="eastAsia" w:ascii="宋体" w:hAnsi="宋体"/>
        </w:rPr>
      </w:pPr>
      <w:r>
        <w:rPr>
          <w:rFonts w:hint="eastAsia" w:ascii="宋体" w:hAnsi="宋体"/>
        </w:rPr>
        <w:t>29.2评审定标应当遵循公平、公正、科学、择优的原则。</w:t>
      </w:r>
    </w:p>
    <w:p>
      <w:pPr>
        <w:ind w:firstLine="411" w:firstLineChars="196"/>
        <w:rPr>
          <w:rFonts w:hint="eastAsia" w:ascii="宋体" w:hAnsi="宋体"/>
        </w:rPr>
      </w:pPr>
      <w:r>
        <w:rPr>
          <w:rFonts w:hint="eastAsia" w:ascii="宋体" w:hAnsi="宋体"/>
        </w:rPr>
        <w:t>29.3评审活动依法进行，任何单位和个人不得非法干预评标过程和结果。</w:t>
      </w:r>
    </w:p>
    <w:p>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pPr>
        <w:rPr>
          <w:rFonts w:hint="eastAsia" w:ascii="黑体" w:hAnsi="宋体" w:eastAsia="黑体"/>
          <w:sz w:val="24"/>
        </w:rPr>
      </w:pPr>
      <w:r>
        <w:rPr>
          <w:rFonts w:hint="eastAsia" w:ascii="黑体" w:hAnsi="宋体" w:eastAsia="黑体"/>
          <w:sz w:val="24"/>
        </w:rPr>
        <w:t>30．向评审委员会提供的资料</w:t>
      </w:r>
    </w:p>
    <w:p>
      <w:pPr>
        <w:ind w:firstLine="411" w:firstLineChars="196"/>
        <w:rPr>
          <w:rFonts w:hint="eastAsia" w:ascii="宋体" w:hAnsi="宋体"/>
        </w:rPr>
      </w:pPr>
      <w:r>
        <w:rPr>
          <w:rFonts w:hint="eastAsia" w:ascii="宋体" w:hAnsi="宋体"/>
        </w:rPr>
        <w:t>30.1公开发布的招标文件，包括图纸、服务清单、答疑文件等；</w:t>
      </w:r>
    </w:p>
    <w:p>
      <w:pPr>
        <w:ind w:firstLine="411" w:firstLineChars="196"/>
        <w:rPr>
          <w:rFonts w:hint="eastAsia" w:ascii="宋体" w:hAnsi="宋体"/>
        </w:rPr>
      </w:pPr>
      <w:r>
        <w:rPr>
          <w:rFonts w:hint="eastAsia" w:ascii="宋体" w:hAnsi="宋体"/>
        </w:rPr>
        <w:t>30.2其他评标必须的资料。</w:t>
      </w:r>
    </w:p>
    <w:p>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hint="eastAsia" w:ascii="宋体" w:hAnsi="宋体"/>
        </w:rPr>
      </w:pPr>
      <w:r>
        <w:rPr>
          <w:rFonts w:hint="eastAsia" w:ascii="宋体" w:hAnsi="宋体"/>
        </w:rPr>
        <w:t>（1）招标的目的；</w:t>
      </w:r>
    </w:p>
    <w:p>
      <w:pPr>
        <w:ind w:firstLine="411" w:firstLineChars="196"/>
        <w:rPr>
          <w:rFonts w:hint="eastAsia" w:ascii="宋体" w:hAnsi="宋体"/>
        </w:rPr>
      </w:pPr>
      <w:r>
        <w:rPr>
          <w:rFonts w:hint="eastAsia" w:ascii="宋体" w:hAnsi="宋体"/>
        </w:rPr>
        <w:t>（2）招标项目需求的范围和性质；</w:t>
      </w:r>
    </w:p>
    <w:p>
      <w:pPr>
        <w:ind w:firstLine="411" w:firstLineChars="196"/>
        <w:rPr>
          <w:rFonts w:hint="eastAsia" w:ascii="宋体" w:hAnsi="宋体"/>
        </w:rPr>
      </w:pPr>
      <w:r>
        <w:rPr>
          <w:rFonts w:hint="eastAsia" w:ascii="宋体" w:hAnsi="宋体"/>
        </w:rPr>
        <w:t>（3）招标文件规定的投标人的资格、财政预算限额、商务条款；</w:t>
      </w:r>
    </w:p>
    <w:p>
      <w:pPr>
        <w:ind w:firstLine="411" w:firstLineChars="196"/>
        <w:rPr>
          <w:rFonts w:hint="eastAsia" w:ascii="宋体" w:hAnsi="宋体"/>
        </w:rPr>
      </w:pPr>
      <w:r>
        <w:rPr>
          <w:rFonts w:hint="eastAsia" w:ascii="宋体" w:hAnsi="宋体"/>
        </w:rPr>
        <w:t>（4）招标文件规定的评标程序、评标方法和评标因素；</w:t>
      </w:r>
    </w:p>
    <w:p>
      <w:pPr>
        <w:ind w:firstLine="411" w:firstLineChars="196"/>
        <w:rPr>
          <w:rFonts w:hint="eastAsia" w:ascii="宋体" w:hAnsi="宋体"/>
        </w:rPr>
      </w:pPr>
      <w:r>
        <w:rPr>
          <w:rFonts w:hint="eastAsia" w:ascii="宋体" w:hAnsi="宋体"/>
        </w:rPr>
        <w:t>（5）招标文件所列示的资格性审查表及符合性审查表。</w:t>
      </w:r>
    </w:p>
    <w:p>
      <w:pPr>
        <w:rPr>
          <w:rFonts w:hint="eastAsia" w:ascii="黑体" w:hAnsi="宋体" w:eastAsia="黑体"/>
          <w:sz w:val="24"/>
        </w:rPr>
      </w:pPr>
      <w:r>
        <w:rPr>
          <w:rFonts w:hint="eastAsia" w:ascii="黑体" w:hAnsi="宋体" w:eastAsia="黑体"/>
          <w:sz w:val="24"/>
        </w:rPr>
        <w:t>31．独立评审</w:t>
      </w:r>
    </w:p>
    <w:p>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pPr>
        <w:ind w:firstLine="411" w:firstLineChars="196"/>
        <w:rPr>
          <w:rFonts w:hint="eastAsia" w:ascii="宋体" w:hAnsi="宋体"/>
          <w:bCs/>
          <w:szCs w:val="21"/>
        </w:rPr>
      </w:pPr>
    </w:p>
    <w:p>
      <w:pPr>
        <w:pStyle w:val="5"/>
        <w:numPr>
          <w:ilvl w:val="0"/>
          <w:numId w:val="15"/>
        </w:numPr>
        <w:spacing w:before="156" w:beforeLines="50" w:after="156" w:afterLines="50"/>
        <w:ind w:left="562" w:hanging="562"/>
        <w:rPr>
          <w:sz w:val="28"/>
          <w:szCs w:val="28"/>
        </w:rPr>
      </w:pPr>
      <w:r>
        <w:rPr>
          <w:rFonts w:hint="eastAsia"/>
          <w:sz w:val="28"/>
          <w:szCs w:val="28"/>
        </w:rPr>
        <w:t>评审程序及评审方法</w:t>
      </w:r>
    </w:p>
    <w:p>
      <w:pPr>
        <w:rPr>
          <w:rFonts w:hint="eastAsia" w:ascii="黑体" w:hAnsi="宋体" w:eastAsia="黑体"/>
          <w:sz w:val="24"/>
        </w:rPr>
      </w:pPr>
      <w:r>
        <w:rPr>
          <w:rFonts w:hint="eastAsia" w:ascii="黑体" w:hAnsi="宋体" w:eastAsia="黑体"/>
          <w:sz w:val="24"/>
        </w:rPr>
        <w:t>32．投标文件初审</w:t>
      </w:r>
    </w:p>
    <w:p>
      <w:pPr>
        <w:ind w:firstLine="411" w:firstLineChars="196"/>
        <w:rPr>
          <w:rFonts w:hint="eastAsia" w:ascii="宋体" w:hAnsi="宋体"/>
        </w:rPr>
      </w:pPr>
      <w:r>
        <w:rPr>
          <w:rFonts w:hint="eastAsia" w:ascii="宋体" w:hAnsi="宋体"/>
        </w:rPr>
        <w:t>32.1投标文件初审包括资格性审查和符合性审查。</w:t>
      </w:r>
    </w:p>
    <w:p>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pPr>
        <w:ind w:firstLine="411" w:firstLineChars="196"/>
        <w:rPr>
          <w:rFonts w:hint="eastAsia" w:ascii="宋体" w:hAnsi="宋体"/>
          <w:bCs/>
        </w:rPr>
      </w:pPr>
      <w:r>
        <w:rPr>
          <w:rFonts w:hint="eastAsia" w:ascii="宋体" w:hAnsi="宋体"/>
          <w:bCs/>
        </w:rPr>
        <w:t>32.3 投标文件初审中关于供应商家数的计算:</w:t>
      </w:r>
    </w:p>
    <w:p>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hint="eastAsia" w:ascii="宋体" w:hAnsi="宋体"/>
        </w:rPr>
      </w:pPr>
      <w:r>
        <w:rPr>
          <w:rFonts w:hint="eastAsia" w:ascii="宋体" w:hAnsi="宋体"/>
        </w:rPr>
        <w:t>32.4投标人投标文件作无效处理的情形，具体包括但不限于以下：</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rPr>
          <w:rFonts w:hint="eastAsia" w:ascii="宋体" w:hAnsi="宋体"/>
        </w:rPr>
      </w:pPr>
      <w:r>
        <w:rPr>
          <w:rFonts w:hint="eastAsia" w:ascii="宋体" w:hAnsi="宋体"/>
        </w:rPr>
        <w:t>32.4.3不同投标人的投标文件载明的项目管理成员或者联系人员为同一人；</w:t>
      </w:r>
    </w:p>
    <w:p>
      <w:pPr>
        <w:ind w:firstLine="411" w:firstLineChars="196"/>
        <w:rPr>
          <w:rFonts w:hint="eastAsia" w:ascii="宋体" w:hAnsi="宋体"/>
        </w:rPr>
      </w:pPr>
      <w:r>
        <w:rPr>
          <w:rFonts w:hint="eastAsia" w:ascii="宋体" w:hAnsi="宋体"/>
        </w:rPr>
        <w:t>32.4.4不同投标人的投标文件异常一致或者投标报价呈规律性差异；</w:t>
      </w:r>
    </w:p>
    <w:p>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pPr>
        <w:ind w:firstLine="411" w:firstLineChars="196"/>
        <w:rPr>
          <w:rFonts w:hint="eastAsia" w:ascii="宋体" w:hAnsi="宋体"/>
        </w:rPr>
      </w:pPr>
      <w:r>
        <w:rPr>
          <w:rFonts w:hint="eastAsia" w:ascii="宋体" w:hAnsi="宋体"/>
        </w:rPr>
        <w:t>32.4.6投标供应商之间相互约定给予未中标的供应商利益补偿；</w:t>
      </w:r>
    </w:p>
    <w:p>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hint="eastAsia" w:ascii="宋体" w:hAnsi="宋体"/>
        </w:rPr>
      </w:pPr>
      <w:r>
        <w:rPr>
          <w:rFonts w:hint="eastAsia" w:ascii="宋体" w:hAnsi="宋体"/>
        </w:rPr>
        <w:t>32.4.8不同投标供应商的投标文件内容存在非正常一致；</w:t>
      </w:r>
    </w:p>
    <w:p>
      <w:pPr>
        <w:ind w:firstLine="411" w:firstLineChars="196"/>
        <w:rPr>
          <w:rFonts w:hint="eastAsia" w:ascii="宋体" w:hAnsi="宋体"/>
        </w:rPr>
      </w:pPr>
      <w:r>
        <w:rPr>
          <w:rFonts w:hint="eastAsia" w:ascii="宋体" w:hAnsi="宋体"/>
        </w:rPr>
        <w:t>32.4.9在同一单位工作人员为两家以上（含两家）供应商进行同一项投标活动；</w:t>
      </w:r>
    </w:p>
    <w:p>
      <w:pPr>
        <w:ind w:firstLine="411" w:firstLineChars="196"/>
        <w:rPr>
          <w:rFonts w:hint="eastAsia" w:ascii="宋体" w:hAnsi="宋体"/>
        </w:rPr>
      </w:pPr>
      <w:r>
        <w:rPr>
          <w:rFonts w:hint="eastAsia" w:ascii="宋体" w:hAnsi="宋体"/>
        </w:rPr>
        <w:t>32.4.10主管部门依照法律、法规认定的其他情形。</w:t>
      </w:r>
    </w:p>
    <w:p>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pPr>
        <w:rPr>
          <w:rFonts w:hint="eastAsia" w:ascii="黑体" w:hAnsi="宋体" w:eastAsia="黑体"/>
          <w:sz w:val="24"/>
        </w:rPr>
      </w:pPr>
      <w:r>
        <w:rPr>
          <w:rFonts w:hint="eastAsia" w:ascii="黑体" w:hAnsi="宋体" w:eastAsia="黑体"/>
          <w:sz w:val="24"/>
        </w:rPr>
        <w:t>33．澄清有关问题</w:t>
      </w:r>
    </w:p>
    <w:p>
      <w:pPr>
        <w:ind w:firstLine="411" w:firstLineChars="196"/>
        <w:rPr>
          <w:rFonts w:hint="eastAsia" w:ascii="宋体" w:hAnsi="宋体"/>
        </w:rPr>
      </w:pPr>
      <w:bookmarkStart w:id="70"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0"/>
    </w:p>
    <w:p>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pPr>
        <w:rPr>
          <w:rFonts w:hint="eastAsia" w:ascii="黑体" w:hAnsi="宋体" w:eastAsia="黑体"/>
          <w:sz w:val="24"/>
        </w:rPr>
      </w:pPr>
      <w:bookmarkStart w:id="71" w:name="_Toc73518151"/>
      <w:bookmarkStart w:id="72" w:name="_Toc73521669"/>
      <w:bookmarkStart w:id="73" w:name="_Toc100052400"/>
      <w:bookmarkStart w:id="74" w:name="_Toc73517673"/>
      <w:bookmarkStart w:id="75" w:name="_Toc73521581"/>
      <w:r>
        <w:rPr>
          <w:rFonts w:hint="eastAsia" w:ascii="黑体" w:hAnsi="宋体" w:eastAsia="黑体"/>
          <w:sz w:val="24"/>
        </w:rPr>
        <w:t>34．错误的修正</w:t>
      </w:r>
      <w:bookmarkEnd w:id="71"/>
      <w:bookmarkEnd w:id="72"/>
      <w:bookmarkEnd w:id="73"/>
      <w:bookmarkEnd w:id="74"/>
      <w:bookmarkEnd w:id="75"/>
    </w:p>
    <w:p>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11" w:firstLineChars="196"/>
        <w:rPr>
          <w:rFonts w:hint="eastAsia" w:ascii="宋体" w:hAnsi="宋体"/>
          <w:szCs w:val="21"/>
        </w:rPr>
      </w:pPr>
      <w:r>
        <w:rPr>
          <w:rFonts w:hint="eastAsia" w:ascii="宋体" w:hAnsi="宋体"/>
          <w:szCs w:val="21"/>
        </w:rPr>
        <w:t>34.2大写金额和小写金额不一致的，以大写金额为准；</w:t>
      </w:r>
    </w:p>
    <w:p>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rPr>
          <w:rFonts w:hint="eastAsia" w:ascii="黑体" w:hAnsi="宋体" w:eastAsia="黑体"/>
          <w:sz w:val="24"/>
        </w:rPr>
      </w:pPr>
      <w:r>
        <w:rPr>
          <w:rFonts w:hint="eastAsia" w:ascii="黑体" w:hAnsi="宋体" w:eastAsia="黑体"/>
          <w:sz w:val="24"/>
        </w:rPr>
        <w:t>35．投标文件的比较与评价</w:t>
      </w:r>
    </w:p>
    <w:p>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rPr>
          <w:rFonts w:hint="eastAsia" w:ascii="黑体" w:hAnsi="宋体" w:eastAsia="黑体"/>
          <w:sz w:val="24"/>
        </w:rPr>
      </w:pPr>
      <w:r>
        <w:rPr>
          <w:rFonts w:hint="eastAsia" w:ascii="黑体" w:hAnsi="宋体" w:eastAsia="黑体"/>
          <w:sz w:val="24"/>
        </w:rPr>
        <w:t>36. 实地考察或资料查验</w:t>
      </w:r>
    </w:p>
    <w:p>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rPr>
          <w:rFonts w:hint="eastAsia" w:ascii="黑体" w:hAnsi="宋体" w:eastAsia="黑体"/>
          <w:sz w:val="24"/>
        </w:rPr>
      </w:pPr>
      <w:r>
        <w:rPr>
          <w:rFonts w:hint="eastAsia" w:ascii="黑体" w:hAnsi="宋体" w:eastAsia="黑体"/>
          <w:sz w:val="24"/>
        </w:rPr>
        <w:t>37．评审方法</w:t>
      </w:r>
    </w:p>
    <w:p>
      <w:pPr>
        <w:ind w:firstLine="413" w:firstLineChars="196"/>
        <w:rPr>
          <w:rFonts w:hint="eastAsia" w:ascii="宋体" w:hAnsi="宋体"/>
          <w:b/>
          <w:bCs/>
          <w:szCs w:val="21"/>
        </w:rPr>
      </w:pPr>
      <w:bookmarkStart w:id="76" w:name="_Hlk72438142"/>
      <w:r>
        <w:rPr>
          <w:rFonts w:hint="eastAsia" w:ascii="宋体" w:hAnsi="宋体"/>
          <w:b/>
          <w:bCs/>
          <w:szCs w:val="21"/>
        </w:rPr>
        <w:t>37.1.1最低价法</w:t>
      </w:r>
    </w:p>
    <w:p>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3" w:firstLineChars="196"/>
        <w:rPr>
          <w:rFonts w:hint="eastAsia" w:ascii="宋体" w:hAnsi="宋体"/>
          <w:b/>
          <w:bCs/>
          <w:szCs w:val="21"/>
        </w:rPr>
      </w:pPr>
      <w:r>
        <w:rPr>
          <w:rFonts w:hint="eastAsia" w:ascii="宋体" w:hAnsi="宋体"/>
          <w:b/>
          <w:bCs/>
          <w:szCs w:val="21"/>
        </w:rPr>
        <w:t>37.1.2综合评分法</w:t>
      </w:r>
    </w:p>
    <w:p>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76"/>
    </w:p>
    <w:p>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pPr>
        <w:ind w:firstLine="413" w:firstLineChars="196"/>
        <w:rPr>
          <w:rFonts w:hint="eastAsia" w:ascii="宋体" w:hAnsi="宋体"/>
          <w:b/>
          <w:bCs/>
          <w:szCs w:val="21"/>
        </w:rPr>
      </w:pPr>
      <w:r>
        <w:rPr>
          <w:rFonts w:hint="eastAsia" w:ascii="宋体" w:hAnsi="宋体"/>
          <w:b/>
          <w:bCs/>
          <w:szCs w:val="21"/>
        </w:rPr>
        <w:t>37.3重新评审的情形</w:t>
      </w:r>
    </w:p>
    <w:p>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hint="eastAsia" w:ascii="宋体" w:hAnsi="宋体"/>
          <w:szCs w:val="21"/>
        </w:rPr>
      </w:pPr>
    </w:p>
    <w:p>
      <w:pPr>
        <w:pStyle w:val="5"/>
        <w:numPr>
          <w:ilvl w:val="0"/>
          <w:numId w:val="15"/>
        </w:numPr>
        <w:spacing w:before="156" w:beforeLines="50" w:after="156" w:afterLines="50"/>
        <w:ind w:left="562" w:hanging="562"/>
        <w:rPr>
          <w:sz w:val="28"/>
          <w:szCs w:val="28"/>
        </w:rPr>
      </w:pPr>
      <w:r>
        <w:rPr>
          <w:rFonts w:hint="eastAsia"/>
          <w:sz w:val="28"/>
          <w:szCs w:val="28"/>
        </w:rPr>
        <w:t>定标及公示</w:t>
      </w:r>
    </w:p>
    <w:p>
      <w:pPr>
        <w:rPr>
          <w:rFonts w:hint="eastAsia" w:ascii="黑体" w:hAnsi="宋体" w:eastAsia="黑体"/>
          <w:sz w:val="24"/>
        </w:rPr>
      </w:pPr>
      <w:r>
        <w:rPr>
          <w:rFonts w:hint="eastAsia" w:ascii="黑体" w:hAnsi="宋体" w:eastAsia="黑体"/>
          <w:sz w:val="24"/>
        </w:rPr>
        <w:t>38．定标方法</w:t>
      </w:r>
    </w:p>
    <w:p>
      <w:pPr>
        <w:ind w:firstLine="411" w:firstLineChars="196"/>
        <w:rPr>
          <w:rFonts w:hint="eastAsia" w:ascii="宋体" w:hAnsi="宋体"/>
          <w:szCs w:val="21"/>
        </w:rPr>
      </w:pPr>
      <w:bookmarkStart w:id="77" w:name="_Hlk73782795"/>
      <w:r>
        <w:rPr>
          <w:rFonts w:hint="eastAsia" w:ascii="宋体" w:hAnsi="宋体"/>
          <w:szCs w:val="21"/>
        </w:rPr>
        <w:t>38.1非评定分离项目定标方法</w:t>
      </w:r>
    </w:p>
    <w:p>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宋体" w:hAnsi="宋体"/>
          <w:szCs w:val="21"/>
        </w:rPr>
      </w:pPr>
      <w:r>
        <w:rPr>
          <w:rFonts w:hint="eastAsia" w:ascii="宋体" w:hAnsi="宋体"/>
          <w:szCs w:val="21"/>
        </w:rPr>
        <w:t>38.2评定分离项目定标方法</w:t>
      </w:r>
    </w:p>
    <w:p>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11" w:firstLineChars="196"/>
      </w:pPr>
      <w:r>
        <w:rPr>
          <w:rFonts w:ascii="宋体" w:hAnsi="宋体"/>
          <w:szCs w:val="21"/>
        </w:rPr>
        <w:t xml:space="preserve">38.2.2 </w:t>
      </w:r>
      <w:bookmarkStart w:id="78"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pPr>
        <w:ind w:firstLine="411" w:firstLineChars="196"/>
        <w:rPr>
          <w:rFonts w:hint="eastAsia" w:ascii="宋体" w:hAnsi="宋体"/>
          <w:szCs w:val="21"/>
        </w:rPr>
      </w:pPr>
      <w:r>
        <w:rPr>
          <w:rFonts w:hint="eastAsia" w:ascii="宋体" w:hAnsi="宋体"/>
          <w:szCs w:val="21"/>
        </w:rPr>
        <w:t>38.2.3</w:t>
      </w:r>
      <w:bookmarkStart w:id="79"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8"/>
      <w:bookmarkEnd w:id="79"/>
    </w:p>
    <w:p>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77"/>
    </w:p>
    <w:p>
      <w:pPr>
        <w:rPr>
          <w:rFonts w:hint="eastAsia" w:ascii="黑体" w:hAnsi="宋体" w:eastAsia="黑体"/>
          <w:sz w:val="24"/>
        </w:rPr>
      </w:pPr>
      <w:r>
        <w:rPr>
          <w:rFonts w:hint="eastAsia" w:ascii="黑体" w:hAnsi="宋体" w:eastAsia="黑体"/>
          <w:sz w:val="24"/>
        </w:rPr>
        <w:t>39．编写评审报告</w:t>
      </w:r>
    </w:p>
    <w:p>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rPr>
          <w:rFonts w:hint="eastAsia" w:ascii="黑体" w:hAnsi="宋体" w:eastAsia="黑体"/>
          <w:sz w:val="24"/>
        </w:rPr>
      </w:pPr>
      <w:r>
        <w:rPr>
          <w:rFonts w:hint="eastAsia" w:ascii="黑体" w:hAnsi="宋体" w:eastAsia="黑体"/>
          <w:sz w:val="24"/>
        </w:rPr>
        <w:t>40．中标公告</w:t>
      </w:r>
    </w:p>
    <w:p>
      <w:pPr>
        <w:ind w:firstLine="411" w:firstLineChars="196"/>
        <w:rPr>
          <w:rFonts w:hint="eastAsia" w:ascii="宋体" w:hAnsi="宋体"/>
          <w:szCs w:val="21"/>
        </w:rPr>
      </w:pPr>
      <w:r>
        <w:rPr>
          <w:rFonts w:hint="eastAsia" w:ascii="宋体" w:hAnsi="宋体"/>
          <w:szCs w:val="21"/>
        </w:rPr>
        <w:t>40.1</w:t>
      </w:r>
      <w:bookmarkStart w:id="80"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0"/>
      <w:bookmarkStart w:id="81"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1"/>
    <w:p>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pPr>
        <w:rPr>
          <w:rFonts w:hint="eastAsia" w:ascii="黑体" w:hAnsi="宋体" w:eastAsia="黑体"/>
          <w:sz w:val="24"/>
        </w:rPr>
      </w:pPr>
      <w:r>
        <w:rPr>
          <w:rFonts w:hint="eastAsia" w:ascii="黑体" w:hAnsi="宋体" w:eastAsia="黑体"/>
          <w:sz w:val="24"/>
        </w:rPr>
        <w:t>41．中标通知书</w:t>
      </w:r>
    </w:p>
    <w:p>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2"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2"/>
    </w:p>
    <w:p>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11" w:firstLineChars="196"/>
        <w:rPr>
          <w:rFonts w:hint="eastAsia" w:ascii="宋体" w:hAnsi="宋体"/>
          <w:szCs w:val="21"/>
        </w:rPr>
      </w:pPr>
      <w:bookmarkStart w:id="83" w:name="_Hlk71407340"/>
      <w:r>
        <w:rPr>
          <w:rFonts w:hint="eastAsia" w:ascii="宋体" w:hAnsi="宋体"/>
          <w:szCs w:val="21"/>
        </w:rPr>
        <w:t>41.3因质疑投诉或其它原因导致项目结果变更或采购终止的，政府集中采购机构有权吊销中标通知书。</w:t>
      </w:r>
    </w:p>
    <w:bookmarkEnd w:id="83"/>
    <w:p>
      <w:pPr>
        <w:ind w:firstLine="411" w:firstLineChars="196"/>
        <w:rPr>
          <w:rFonts w:hint="eastAsia" w:ascii="宋体" w:hAnsi="宋体"/>
          <w:szCs w:val="21"/>
        </w:rPr>
      </w:pPr>
    </w:p>
    <w:p>
      <w:pPr>
        <w:pStyle w:val="5"/>
        <w:numPr>
          <w:ilvl w:val="0"/>
          <w:numId w:val="15"/>
        </w:numPr>
        <w:spacing w:before="156" w:beforeLines="50" w:after="156" w:afterLines="50"/>
        <w:ind w:left="562" w:hanging="562"/>
        <w:rPr>
          <w:sz w:val="28"/>
          <w:szCs w:val="28"/>
        </w:rPr>
      </w:pPr>
      <w:r>
        <w:rPr>
          <w:rFonts w:hint="eastAsia"/>
          <w:sz w:val="28"/>
          <w:szCs w:val="28"/>
        </w:rPr>
        <w:t>公开招标失败的后续处理</w:t>
      </w:r>
    </w:p>
    <w:p>
      <w:pPr>
        <w:rPr>
          <w:rFonts w:hint="eastAsia" w:ascii="黑体" w:hAnsi="宋体" w:eastAsia="黑体"/>
          <w:sz w:val="24"/>
        </w:rPr>
      </w:pPr>
      <w:r>
        <w:rPr>
          <w:rFonts w:hint="eastAsia" w:ascii="黑体" w:hAnsi="宋体" w:eastAsia="黑体"/>
          <w:sz w:val="24"/>
        </w:rPr>
        <w:t>42．公开招标失败的处理</w:t>
      </w:r>
    </w:p>
    <w:p>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hint="eastAsia" w:ascii="宋体" w:hAnsi="宋体"/>
          <w:szCs w:val="21"/>
        </w:rPr>
      </w:pPr>
      <w:r>
        <w:rPr>
          <w:rFonts w:hint="eastAsia" w:ascii="宋体" w:hAnsi="宋体"/>
          <w:szCs w:val="21"/>
        </w:rPr>
        <w:t>42.3重新组织采购有以下两种组织形式：</w:t>
      </w:r>
    </w:p>
    <w:p>
      <w:pPr>
        <w:ind w:firstLine="411" w:firstLineChars="196"/>
        <w:rPr>
          <w:rFonts w:hint="eastAsia" w:ascii="宋体" w:hAnsi="宋体"/>
        </w:rPr>
      </w:pPr>
      <w:r>
        <w:rPr>
          <w:rFonts w:hint="eastAsia" w:ascii="宋体" w:hAnsi="宋体"/>
        </w:rPr>
        <w:t>（1）由政府集中采购机构重新组织公开招标；</w:t>
      </w:r>
    </w:p>
    <w:p>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pPr>
        <w:rPr>
          <w:rFonts w:hint="eastAsia" w:ascii="黑体" w:hAnsi="宋体" w:eastAsia="黑体"/>
          <w:sz w:val="24"/>
        </w:rPr>
      </w:pPr>
    </w:p>
    <w:p>
      <w:pPr>
        <w:pStyle w:val="5"/>
        <w:numPr>
          <w:ilvl w:val="0"/>
          <w:numId w:val="15"/>
        </w:numPr>
        <w:spacing w:before="156" w:beforeLines="50" w:after="156" w:afterLines="50"/>
        <w:ind w:left="562" w:hanging="562"/>
        <w:rPr>
          <w:sz w:val="28"/>
          <w:szCs w:val="28"/>
        </w:rPr>
      </w:pPr>
      <w:bookmarkStart w:id="84" w:name="_Hlk72439043"/>
      <w:r>
        <w:rPr>
          <w:rFonts w:hint="eastAsia"/>
          <w:sz w:val="28"/>
          <w:szCs w:val="28"/>
        </w:rPr>
        <w:t>合同的授予与备案</w:t>
      </w:r>
      <w:bookmarkEnd w:id="84"/>
    </w:p>
    <w:p>
      <w:pPr>
        <w:rPr>
          <w:rFonts w:hint="eastAsia" w:ascii="黑体" w:hAnsi="宋体" w:eastAsia="黑体"/>
          <w:sz w:val="24"/>
        </w:rPr>
      </w:pPr>
      <w:bookmarkStart w:id="85" w:name="_Toc73521674"/>
      <w:bookmarkStart w:id="86" w:name="_Toc73518157"/>
      <w:bookmarkStart w:id="87" w:name="_Toc73517679"/>
      <w:bookmarkStart w:id="88" w:name="_Toc73521586"/>
      <w:bookmarkStart w:id="89" w:name="_Toc100052408"/>
      <w:bookmarkStart w:id="90" w:name="_Hlk72439088"/>
      <w:r>
        <w:rPr>
          <w:rFonts w:hint="eastAsia" w:ascii="黑体" w:hAnsi="宋体" w:eastAsia="黑体"/>
          <w:sz w:val="24"/>
        </w:rPr>
        <w:t>43．合同授予标准</w:t>
      </w:r>
      <w:bookmarkEnd w:id="85"/>
      <w:bookmarkEnd w:id="86"/>
      <w:bookmarkEnd w:id="87"/>
      <w:bookmarkEnd w:id="88"/>
      <w:bookmarkEnd w:id="89"/>
    </w:p>
    <w:p>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pPr>
        <w:rPr>
          <w:rFonts w:hint="eastAsia" w:ascii="黑体" w:hAnsi="宋体" w:eastAsia="黑体"/>
          <w:sz w:val="24"/>
        </w:rPr>
      </w:pPr>
      <w:bookmarkStart w:id="91" w:name="_Toc73518158"/>
      <w:bookmarkStart w:id="92" w:name="_Toc73517680"/>
      <w:bookmarkStart w:id="93" w:name="_Toc73521587"/>
      <w:bookmarkStart w:id="94" w:name="_Toc73521675"/>
      <w:bookmarkStart w:id="95" w:name="_Toc100052409"/>
      <w:r>
        <w:rPr>
          <w:rFonts w:hint="eastAsia" w:ascii="黑体" w:hAnsi="宋体" w:eastAsia="黑体"/>
          <w:sz w:val="24"/>
        </w:rPr>
        <w:t>44．</w:t>
      </w:r>
      <w:bookmarkEnd w:id="91"/>
      <w:bookmarkEnd w:id="92"/>
      <w:bookmarkEnd w:id="93"/>
      <w:bookmarkEnd w:id="94"/>
      <w:bookmarkEnd w:id="95"/>
      <w:r>
        <w:rPr>
          <w:rFonts w:hint="eastAsia" w:ascii="黑体" w:hAnsi="宋体" w:eastAsia="黑体"/>
          <w:sz w:val="24"/>
        </w:rPr>
        <w:t>接受和拒绝任何或所有投标的权力</w:t>
      </w:r>
    </w:p>
    <w:p>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hint="eastAsia" w:ascii="黑体" w:hAnsi="宋体" w:eastAsia="黑体"/>
          <w:sz w:val="24"/>
        </w:rPr>
      </w:pPr>
      <w:bookmarkStart w:id="96" w:name="_Toc73518160"/>
      <w:bookmarkStart w:id="97" w:name="_Toc73521677"/>
      <w:bookmarkStart w:id="98" w:name="_Toc73521589"/>
      <w:bookmarkStart w:id="99" w:name="_Toc100052410"/>
      <w:bookmarkStart w:id="100" w:name="_Toc73517682"/>
      <w:r>
        <w:rPr>
          <w:rFonts w:hint="eastAsia" w:ascii="黑体" w:hAnsi="宋体" w:eastAsia="黑体"/>
          <w:sz w:val="24"/>
        </w:rPr>
        <w:t>45．合同的签订</w:t>
      </w:r>
      <w:bookmarkEnd w:id="96"/>
      <w:bookmarkEnd w:id="97"/>
      <w:bookmarkEnd w:id="98"/>
      <w:bookmarkEnd w:id="99"/>
      <w:bookmarkEnd w:id="100"/>
    </w:p>
    <w:p>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pPr>
        <w:rPr>
          <w:rFonts w:hint="eastAsia" w:ascii="黑体" w:hAnsi="宋体" w:eastAsia="黑体"/>
          <w:sz w:val="24"/>
        </w:rPr>
      </w:pPr>
      <w:bookmarkStart w:id="101" w:name="_Toc73517683"/>
      <w:bookmarkStart w:id="102" w:name="_Toc73518161"/>
      <w:bookmarkStart w:id="103" w:name="_Toc73521590"/>
      <w:bookmarkStart w:id="104" w:name="_Toc100052411"/>
      <w:bookmarkStart w:id="105" w:name="_Toc73521678"/>
      <w:r>
        <w:rPr>
          <w:rFonts w:hint="eastAsia" w:ascii="黑体" w:hAnsi="宋体" w:eastAsia="黑体"/>
          <w:sz w:val="24"/>
        </w:rPr>
        <w:t>46．履约担保</w:t>
      </w:r>
      <w:bookmarkEnd w:id="101"/>
      <w:bookmarkEnd w:id="102"/>
      <w:bookmarkEnd w:id="103"/>
      <w:bookmarkEnd w:id="104"/>
      <w:bookmarkEnd w:id="105"/>
    </w:p>
    <w:p>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pPr>
        <w:rPr>
          <w:rFonts w:hint="eastAsia" w:ascii="黑体" w:hAnsi="宋体" w:eastAsia="黑体"/>
          <w:sz w:val="24"/>
        </w:rPr>
      </w:pPr>
      <w:r>
        <w:rPr>
          <w:rFonts w:hint="eastAsia" w:ascii="黑体" w:hAnsi="宋体" w:eastAsia="黑体"/>
          <w:sz w:val="24"/>
        </w:rPr>
        <w:t>47. 合同备案</w:t>
      </w:r>
    </w:p>
    <w:p>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pPr>
        <w:rPr>
          <w:rFonts w:hint="eastAsia" w:ascii="黑体" w:hAnsi="宋体" w:eastAsia="黑体"/>
          <w:sz w:val="24"/>
        </w:rPr>
      </w:pPr>
      <w:r>
        <w:rPr>
          <w:rFonts w:hint="eastAsia" w:ascii="黑体" w:hAnsi="宋体" w:eastAsia="黑体"/>
          <w:sz w:val="24"/>
        </w:rPr>
        <w:t>49. 项目验收</w:t>
      </w:r>
    </w:p>
    <w:p>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pPr>
        <w:rPr>
          <w:rFonts w:hint="eastAsia" w:ascii="黑体" w:hAnsi="宋体" w:eastAsia="黑体"/>
          <w:sz w:val="24"/>
        </w:rPr>
      </w:pPr>
      <w:r>
        <w:rPr>
          <w:rFonts w:hint="eastAsia" w:ascii="黑体" w:hAnsi="宋体" w:eastAsia="黑体"/>
          <w:sz w:val="24"/>
        </w:rPr>
        <w:t>50. 宣传</w:t>
      </w:r>
    </w:p>
    <w:p>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pPr>
        <w:ind w:left="210" w:leftChars="100" w:firstLine="411" w:firstLineChars="196"/>
        <w:rPr>
          <w:rFonts w:hint="eastAsia" w:ascii="宋体" w:hAnsi="宋体"/>
        </w:rPr>
      </w:pPr>
      <w:r>
        <w:rPr>
          <w:rFonts w:ascii="宋体" w:hAnsi="宋体"/>
        </w:rPr>
        <w:t>a.名片、宣传册、广告标语等；</w:t>
      </w:r>
    </w:p>
    <w:p>
      <w:pPr>
        <w:ind w:left="210" w:leftChars="100" w:firstLine="411" w:firstLineChars="196"/>
        <w:rPr>
          <w:rFonts w:hint="eastAsia" w:ascii="宋体" w:hAnsi="宋体"/>
        </w:rPr>
      </w:pPr>
      <w:r>
        <w:rPr>
          <w:rFonts w:ascii="宋体" w:hAnsi="宋体"/>
        </w:rPr>
        <w:t>b.案例介绍、推广等；</w:t>
      </w:r>
    </w:p>
    <w:p>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pPr>
        <w:rPr>
          <w:rFonts w:hint="eastAsia" w:ascii="黑体" w:hAnsi="宋体" w:eastAsia="黑体"/>
          <w:sz w:val="24"/>
        </w:rPr>
      </w:pPr>
      <w:r>
        <w:rPr>
          <w:rFonts w:hint="eastAsia" w:ascii="黑体" w:hAnsi="宋体" w:eastAsia="黑体"/>
          <w:sz w:val="24"/>
        </w:rPr>
        <w:t>51. 供应商违法责任</w:t>
      </w:r>
    </w:p>
    <w:p>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hint="eastAsia" w:ascii="宋体" w:hAnsi="宋体"/>
          <w:szCs w:val="21"/>
        </w:rPr>
      </w:pPr>
      <w:r>
        <w:rPr>
          <w:rFonts w:hint="eastAsia" w:ascii="宋体" w:hAnsi="宋体"/>
          <w:szCs w:val="21"/>
        </w:rPr>
        <w:t>（1）在采购活动中应当回避而未回避的；</w:t>
      </w:r>
    </w:p>
    <w:p>
      <w:pPr>
        <w:ind w:firstLine="411" w:firstLineChars="196"/>
        <w:rPr>
          <w:rFonts w:hint="eastAsia" w:ascii="宋体" w:hAnsi="宋体"/>
          <w:szCs w:val="21"/>
        </w:rPr>
      </w:pPr>
      <w:r>
        <w:rPr>
          <w:rFonts w:hint="eastAsia" w:ascii="宋体" w:hAnsi="宋体"/>
          <w:szCs w:val="21"/>
        </w:rPr>
        <w:t>（2）未按本条例规定签订、履行采购合同，造成严重后果的；</w:t>
      </w:r>
    </w:p>
    <w:p>
      <w:pPr>
        <w:ind w:firstLine="411" w:firstLineChars="196"/>
        <w:rPr>
          <w:rFonts w:hint="eastAsia" w:ascii="宋体" w:hAnsi="宋体"/>
          <w:szCs w:val="21"/>
        </w:rPr>
      </w:pPr>
      <w:r>
        <w:rPr>
          <w:rFonts w:hint="eastAsia" w:ascii="宋体" w:hAnsi="宋体"/>
          <w:szCs w:val="21"/>
        </w:rPr>
        <w:t>（3）隐瞒真实情况，提供虚假资料的；</w:t>
      </w:r>
    </w:p>
    <w:p>
      <w:pPr>
        <w:ind w:firstLine="411" w:firstLineChars="196"/>
        <w:rPr>
          <w:rFonts w:hint="eastAsia" w:ascii="宋体" w:hAnsi="宋体"/>
          <w:szCs w:val="21"/>
        </w:rPr>
      </w:pPr>
      <w:r>
        <w:rPr>
          <w:rFonts w:hint="eastAsia" w:ascii="宋体" w:hAnsi="宋体"/>
          <w:szCs w:val="21"/>
        </w:rPr>
        <w:t>（4）以非法手段排斥其他供应商参与竞争的；</w:t>
      </w:r>
    </w:p>
    <w:p>
      <w:pPr>
        <w:ind w:firstLine="411" w:firstLineChars="196"/>
        <w:rPr>
          <w:rFonts w:hint="eastAsia" w:ascii="宋体" w:hAnsi="宋体"/>
          <w:szCs w:val="21"/>
        </w:rPr>
      </w:pPr>
      <w:r>
        <w:rPr>
          <w:rFonts w:hint="eastAsia" w:ascii="宋体" w:hAnsi="宋体"/>
          <w:szCs w:val="21"/>
        </w:rPr>
        <w:t>（5）与其他采购参加人串通投标的；</w:t>
      </w:r>
    </w:p>
    <w:p>
      <w:pPr>
        <w:ind w:firstLine="411" w:firstLineChars="196"/>
        <w:rPr>
          <w:rFonts w:hint="eastAsia" w:ascii="宋体" w:hAnsi="宋体"/>
          <w:szCs w:val="21"/>
        </w:rPr>
      </w:pPr>
      <w:r>
        <w:rPr>
          <w:rFonts w:hint="eastAsia" w:ascii="宋体" w:hAnsi="宋体"/>
          <w:szCs w:val="21"/>
        </w:rPr>
        <w:t>（6）恶意投诉的；</w:t>
      </w:r>
    </w:p>
    <w:p>
      <w:pPr>
        <w:ind w:firstLine="411" w:firstLineChars="196"/>
        <w:rPr>
          <w:rFonts w:hint="eastAsia" w:ascii="宋体" w:hAnsi="宋体"/>
          <w:szCs w:val="21"/>
        </w:rPr>
      </w:pPr>
      <w:r>
        <w:rPr>
          <w:rFonts w:hint="eastAsia" w:ascii="宋体" w:hAnsi="宋体"/>
          <w:szCs w:val="21"/>
        </w:rPr>
        <w:t>（7）向采购项目相关人行贿或者提供其他不当利益的；</w:t>
      </w:r>
    </w:p>
    <w:p>
      <w:pPr>
        <w:ind w:firstLine="411" w:firstLineChars="196"/>
        <w:rPr>
          <w:rFonts w:hint="eastAsia" w:ascii="宋体" w:hAnsi="宋体"/>
          <w:szCs w:val="21"/>
        </w:rPr>
      </w:pPr>
      <w:r>
        <w:rPr>
          <w:rFonts w:hint="eastAsia" w:ascii="宋体" w:hAnsi="宋体"/>
          <w:szCs w:val="21"/>
        </w:rPr>
        <w:t>（8）阻碍、抗拒主管部门监督检查的；</w:t>
      </w:r>
    </w:p>
    <w:p>
      <w:pPr>
        <w:ind w:firstLine="411" w:firstLineChars="196"/>
        <w:rPr>
          <w:rFonts w:hint="eastAsia" w:ascii="宋体" w:hAnsi="宋体"/>
          <w:szCs w:val="21"/>
        </w:rPr>
      </w:pPr>
      <w:r>
        <w:rPr>
          <w:rFonts w:hint="eastAsia" w:ascii="宋体" w:hAnsi="宋体"/>
          <w:szCs w:val="21"/>
        </w:rPr>
        <w:t>（9）其他违反本条例规定的行为。</w:t>
      </w:r>
    </w:p>
    <w:p>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06" w:name="_Hlk72440769"/>
      <w:r>
        <w:rPr>
          <w:rFonts w:hint="eastAsia" w:ascii="宋体" w:hAnsi="宋体"/>
          <w:szCs w:val="21"/>
        </w:rPr>
        <w:t>政府集中采购机构或采购人不予退还其交纳的谈判保证金，情节严重的，并由主管部门</w:t>
      </w:r>
      <w:bookmarkEnd w:id="106"/>
      <w:r>
        <w:rPr>
          <w:rFonts w:hint="eastAsia" w:ascii="宋体" w:hAnsi="宋体"/>
          <w:szCs w:val="21"/>
        </w:rPr>
        <w:t>记入供应商诚信档案，予以通报：</w:t>
      </w:r>
    </w:p>
    <w:p>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0"/>
    <w:p>
      <w:pPr>
        <w:pStyle w:val="5"/>
        <w:numPr>
          <w:ilvl w:val="0"/>
          <w:numId w:val="15"/>
        </w:numPr>
        <w:spacing w:before="156" w:beforeLines="50" w:after="156" w:afterLines="50"/>
        <w:ind w:left="562" w:hanging="562"/>
        <w:rPr>
          <w:sz w:val="28"/>
          <w:szCs w:val="28"/>
        </w:rPr>
      </w:pPr>
      <w:r>
        <w:rPr>
          <w:rFonts w:hint="eastAsia"/>
          <w:sz w:val="28"/>
          <w:szCs w:val="28"/>
        </w:rPr>
        <w:t>质疑处理</w:t>
      </w:r>
    </w:p>
    <w:p>
      <w:pPr>
        <w:rPr>
          <w:rFonts w:hint="eastAsia" w:ascii="黑体" w:hAnsi="宋体" w:eastAsia="黑体"/>
          <w:sz w:val="24"/>
        </w:rPr>
      </w:pPr>
      <w:r>
        <w:rPr>
          <w:rFonts w:hint="eastAsia" w:ascii="黑体" w:hAnsi="宋体" w:eastAsia="黑体"/>
          <w:sz w:val="24"/>
        </w:rPr>
        <w:t>52.质疑提出与答复</w:t>
      </w:r>
    </w:p>
    <w:p>
      <w:pPr>
        <w:rPr>
          <w:rFonts w:hint="eastAsia" w:ascii="宋体" w:hAnsi="宋体"/>
          <w:szCs w:val="21"/>
        </w:rPr>
      </w:pPr>
      <w:r>
        <w:rPr>
          <w:rFonts w:hint="eastAsia" w:ascii="宋体" w:hAnsi="宋体"/>
          <w:szCs w:val="21"/>
        </w:rPr>
        <w:t xml:space="preserve">    52.1提出质疑</w:t>
      </w:r>
    </w:p>
    <w:p>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pPr>
        <w:rPr>
          <w:rFonts w:hint="eastAsia" w:ascii="宋体" w:hAnsi="宋体"/>
          <w:szCs w:val="21"/>
        </w:rPr>
      </w:pPr>
      <w:r>
        <w:rPr>
          <w:rFonts w:hint="eastAsia" w:ascii="宋体" w:hAnsi="宋体"/>
          <w:szCs w:val="21"/>
        </w:rPr>
        <w:t xml:space="preserve">    52.2</w:t>
      </w:r>
      <w:r>
        <w:rPr>
          <w:rFonts w:ascii="宋体" w:hAnsi="宋体"/>
          <w:szCs w:val="21"/>
        </w:rPr>
        <w:t>法律依据</w:t>
      </w:r>
    </w:p>
    <w:p>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07" w:name="_Hlk75374941"/>
      <w:r>
        <w:rPr>
          <w:rFonts w:hint="eastAsia" w:ascii="宋体" w:hAnsi="宋体"/>
          <w:szCs w:val="21"/>
        </w:rPr>
        <w:t>以联合体形式参与的，质疑应当由组成联合体的所有成员共同提出</w:t>
      </w:r>
      <w:bookmarkEnd w:id="107"/>
      <w:r>
        <w:rPr>
          <w:rFonts w:hint="eastAsia" w:ascii="宋体" w:hAnsi="宋体"/>
          <w:szCs w:val="21"/>
        </w:rPr>
        <w:t>；</w:t>
      </w:r>
    </w:p>
    <w:p>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rPr>
          <w:rFonts w:hint="eastAsia" w:ascii="宋体" w:hAnsi="宋体"/>
          <w:szCs w:val="21"/>
        </w:rPr>
      </w:pPr>
      <w:r>
        <w:rPr>
          <w:rFonts w:hint="eastAsia" w:ascii="宋体" w:hAnsi="宋体"/>
          <w:szCs w:val="21"/>
        </w:rPr>
        <w:t>（1）供应商的名称（或者姓名）、地址、邮编、邮箱、联系人及联系电话；</w:t>
      </w:r>
    </w:p>
    <w:p>
      <w:pPr>
        <w:ind w:firstLine="420" w:firstLineChars="200"/>
        <w:rPr>
          <w:rFonts w:hint="eastAsia" w:ascii="宋体" w:hAnsi="宋体"/>
          <w:szCs w:val="21"/>
        </w:rPr>
      </w:pPr>
      <w:r>
        <w:rPr>
          <w:rFonts w:hint="eastAsia" w:ascii="宋体" w:hAnsi="宋体"/>
          <w:szCs w:val="21"/>
        </w:rPr>
        <w:t>（2）质疑项目的名称、编号；</w:t>
      </w:r>
    </w:p>
    <w:p>
      <w:pPr>
        <w:ind w:firstLine="420" w:firstLineChars="200"/>
        <w:rPr>
          <w:rFonts w:hint="eastAsia" w:ascii="宋体" w:hAnsi="宋体"/>
          <w:szCs w:val="21"/>
        </w:rPr>
      </w:pPr>
      <w:r>
        <w:rPr>
          <w:rFonts w:hint="eastAsia" w:ascii="宋体" w:hAnsi="宋体"/>
          <w:szCs w:val="21"/>
        </w:rPr>
        <w:t>（3）具体、明确的质疑对象、质疑事项和质疑请求；</w:t>
      </w:r>
    </w:p>
    <w:p>
      <w:pPr>
        <w:ind w:firstLine="420" w:firstLineChars="200"/>
        <w:rPr>
          <w:rFonts w:hint="eastAsia" w:ascii="宋体" w:hAnsi="宋体"/>
          <w:szCs w:val="21"/>
        </w:rPr>
      </w:pPr>
      <w:r>
        <w:rPr>
          <w:rFonts w:hint="eastAsia" w:ascii="宋体" w:hAnsi="宋体"/>
          <w:szCs w:val="21"/>
        </w:rPr>
        <w:t>（4）因质疑事项而受损害的权益；</w:t>
      </w:r>
    </w:p>
    <w:p>
      <w:pPr>
        <w:ind w:firstLine="420" w:firstLineChars="200"/>
        <w:rPr>
          <w:rFonts w:hint="eastAsia" w:ascii="宋体" w:hAnsi="宋体"/>
          <w:szCs w:val="21"/>
        </w:rPr>
      </w:pPr>
      <w:r>
        <w:rPr>
          <w:rFonts w:hint="eastAsia" w:ascii="宋体" w:hAnsi="宋体"/>
          <w:szCs w:val="21"/>
        </w:rPr>
        <w:t>（5）事实依据；</w:t>
      </w:r>
    </w:p>
    <w:p>
      <w:pPr>
        <w:ind w:firstLine="420" w:firstLineChars="200"/>
        <w:rPr>
          <w:rFonts w:hint="eastAsia" w:ascii="宋体" w:hAnsi="宋体"/>
          <w:szCs w:val="21"/>
        </w:rPr>
      </w:pPr>
      <w:r>
        <w:rPr>
          <w:rFonts w:hint="eastAsia" w:ascii="宋体" w:hAnsi="宋体"/>
          <w:szCs w:val="21"/>
        </w:rPr>
        <w:t>（6）必要的法律依据；</w:t>
      </w:r>
    </w:p>
    <w:p>
      <w:pPr>
        <w:ind w:firstLine="420" w:firstLineChars="200"/>
        <w:rPr>
          <w:rFonts w:hint="eastAsia" w:ascii="宋体" w:hAnsi="宋体"/>
          <w:szCs w:val="21"/>
        </w:rPr>
      </w:pPr>
      <w:r>
        <w:rPr>
          <w:rFonts w:hint="eastAsia" w:ascii="宋体" w:hAnsi="宋体"/>
          <w:szCs w:val="21"/>
        </w:rPr>
        <w:t>（7）提出质疑的日期。</w:t>
      </w:r>
    </w:p>
    <w:p>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hint="eastAsia" w:ascii="宋体" w:hAnsi="宋体"/>
          <w:szCs w:val="21"/>
        </w:rPr>
      </w:pPr>
      <w:r>
        <w:rPr>
          <w:rFonts w:hint="eastAsia" w:ascii="宋体" w:hAnsi="宋体"/>
          <w:szCs w:val="21"/>
        </w:rPr>
        <w:t>52.5收文地点</w:t>
      </w:r>
    </w:p>
    <w:p>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hint="eastAsia" w:ascii="宋体" w:hAnsi="宋体"/>
          <w:szCs w:val="21"/>
        </w:rPr>
      </w:pPr>
      <w:r>
        <w:rPr>
          <w:rFonts w:hint="eastAsia" w:ascii="宋体" w:hAnsi="宋体"/>
          <w:szCs w:val="21"/>
        </w:rPr>
        <w:t>供应商提交的质疑存在下列情形之一的，不予受理：</w:t>
      </w:r>
    </w:p>
    <w:p>
      <w:pPr>
        <w:ind w:firstLine="420" w:firstLineChars="200"/>
        <w:rPr>
          <w:rFonts w:hint="eastAsia" w:ascii="宋体" w:hAnsi="宋体"/>
          <w:szCs w:val="21"/>
        </w:rPr>
      </w:pPr>
      <w:r>
        <w:rPr>
          <w:rFonts w:hint="eastAsia" w:ascii="宋体" w:hAnsi="宋体"/>
          <w:szCs w:val="21"/>
        </w:rPr>
        <w:t>（1）质疑主体不满足要求的；</w:t>
      </w:r>
    </w:p>
    <w:p>
      <w:pPr>
        <w:ind w:firstLine="420" w:firstLineChars="200"/>
        <w:rPr>
          <w:rFonts w:hint="eastAsia" w:ascii="宋体" w:hAnsi="宋体"/>
          <w:szCs w:val="21"/>
        </w:rPr>
      </w:pPr>
      <w:r>
        <w:rPr>
          <w:rFonts w:hint="eastAsia" w:ascii="宋体" w:hAnsi="宋体"/>
          <w:szCs w:val="21"/>
        </w:rPr>
        <w:t>（2）供应商自身权益未受到损害的；</w:t>
      </w:r>
    </w:p>
    <w:p>
      <w:pPr>
        <w:ind w:firstLine="420" w:firstLineChars="200"/>
        <w:rPr>
          <w:rFonts w:hint="eastAsia" w:ascii="宋体" w:hAnsi="宋体"/>
          <w:szCs w:val="21"/>
        </w:rPr>
      </w:pPr>
      <w:r>
        <w:rPr>
          <w:rFonts w:hint="eastAsia" w:ascii="宋体" w:hAnsi="宋体"/>
          <w:szCs w:val="21"/>
        </w:rPr>
        <w:t>（3）供应商未在法定质疑期限内提出质疑的；</w:t>
      </w:r>
    </w:p>
    <w:p>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hint="eastAsia" w:ascii="宋体" w:hAnsi="宋体"/>
          <w:szCs w:val="21"/>
        </w:rPr>
      </w:pPr>
      <w:r>
        <w:rPr>
          <w:rFonts w:hint="eastAsia" w:ascii="宋体" w:hAnsi="宋体"/>
          <w:szCs w:val="21"/>
        </w:rPr>
        <w:t>（5）其他不符合受理条件情形的。</w:t>
      </w:r>
    </w:p>
    <w:p>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pPr>
        <w:rPr>
          <w:rFonts w:hint="eastAsia" w:ascii="宋体" w:hAnsi="宋体"/>
          <w:szCs w:val="21"/>
        </w:rPr>
      </w:pPr>
      <w:r>
        <w:rPr>
          <w:rFonts w:hint="eastAsia" w:ascii="宋体" w:hAnsi="宋体"/>
          <w:szCs w:val="21"/>
        </w:rPr>
        <w:t xml:space="preserve">    自收文之日起七个工作日内。</w:t>
      </w:r>
    </w:p>
    <w:p>
      <w:pPr>
        <w:rPr>
          <w:rFonts w:hint="eastAsia" w:ascii="宋体" w:hAnsi="宋体"/>
          <w:szCs w:val="21"/>
        </w:rPr>
      </w:pPr>
      <w:r>
        <w:rPr>
          <w:rFonts w:hint="eastAsia" w:ascii="宋体" w:hAnsi="宋体"/>
          <w:szCs w:val="21"/>
        </w:rPr>
        <w:t xml:space="preserve">    52.8投诉</w:t>
      </w:r>
    </w:p>
    <w:p>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pPr>
        <w:rPr>
          <w:rFonts w:hint="eastAsia" w:ascii="黑体" w:hAnsi="宋体" w:eastAsia="黑体"/>
          <w:sz w:val="24"/>
        </w:rPr>
      </w:pPr>
      <w:r>
        <w:rPr>
          <w:rFonts w:hint="eastAsia" w:ascii="黑体" w:hAnsi="宋体" w:eastAsia="黑体"/>
          <w:sz w:val="24"/>
        </w:rPr>
        <w:t>53. 质疑后续处理</w:t>
      </w:r>
    </w:p>
    <w:p>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pPr>
        <w:jc w:val="center"/>
        <w:rPr>
          <w:rFonts w:ascii="Times New Roman" w:hAnsi="Times New Roman" w:eastAsia="宋体" w:cs="Times New Roman"/>
          <w:szCs w:val="24"/>
        </w:rPr>
      </w:pPr>
      <w:r>
        <w:rPr>
          <w:rFonts w:ascii="Times New Roman" w:hAnsi="Times New Roman" w:eastAsia="宋体" w:cs="Times New Roman"/>
          <w:szCs w:val="24"/>
        </w:rPr>
        <w:t>---- END ----</w:t>
      </w:r>
      <w:bookmarkEnd w:id="54"/>
    </w:p>
    <w:p>
      <w:pPr>
        <w:rPr>
          <w:b/>
          <w:color w:val="FF0000"/>
          <w:sz w:val="52"/>
          <w:szCs w:val="52"/>
        </w:rPr>
      </w:pPr>
    </w:p>
    <w:p>
      <w:pPr>
        <w:rPr>
          <w:rFonts w:hint="eastAsia" w:ascii="宋体" w:hAnsi="宋体" w:eastAsia="黑体" w:cs="Times New Roman"/>
          <w:b/>
          <w:bCs/>
          <w:color w:val="0000FF"/>
          <w:kern w:val="44"/>
          <w:sz w:val="36"/>
          <w:szCs w:val="44"/>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Noto Sans SC"/>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Noto Sans SC">
    <w:panose1 w:val="020B0200000000000000"/>
    <w:charset w:val="86"/>
    <w:family w:val="auto"/>
    <w:pitch w:val="default"/>
    <w:sig w:usb0="20000083" w:usb1="2ADF3C10" w:usb2="00000016" w:usb3="00000000" w:csb0="60060107"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t xml:space="preserve">- </w:t>
    </w:r>
    <w:r>
      <w:fldChar w:fldCharType="begin"/>
    </w:r>
    <w:r>
      <w:instrText xml:space="preserve"> PAGE </w:instrText>
    </w:r>
    <w:r>
      <w:fldChar w:fldCharType="separate"/>
    </w:r>
    <w:r>
      <w:t>29</w:t>
    </w:r>
    <w:r>
      <w:fldChar w:fldCharType="end"/>
    </w:r>
    <w:r>
      <w:t xml:space="preserve"> -</w: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pPr>
          <w:pStyle w:val="13"/>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13"/>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3BCF5"/>
    <w:multiLevelType w:val="singleLevel"/>
    <w:tmpl w:val="98A3BCF5"/>
    <w:lvl w:ilvl="0" w:tentative="0">
      <w:start w:val="6"/>
      <w:numFmt w:val="chineseCounting"/>
      <w:suff w:val="nothing"/>
      <w:lvlText w:val="%1、"/>
      <w:lvlJc w:val="left"/>
      <w:rPr>
        <w:rFonts w:hint="eastAsia"/>
      </w:r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0686203"/>
    <w:multiLevelType w:val="singleLevel"/>
    <w:tmpl w:val="D0686203"/>
    <w:lvl w:ilvl="0" w:tentative="0">
      <w:start w:val="2"/>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F7C541D"/>
    <w:multiLevelType w:val="singleLevel"/>
    <w:tmpl w:val="1F7C541D"/>
    <w:lvl w:ilvl="0" w:tentative="0">
      <w:start w:val="2"/>
      <w:numFmt w:val="chineseCounting"/>
      <w:suff w:val="nothing"/>
      <w:lvlText w:val="%1、"/>
      <w:lvlJc w:val="left"/>
      <w:rPr>
        <w:rFonts w:hint="eastAsia"/>
      </w:rPr>
    </w:lvl>
  </w:abstractNum>
  <w:abstractNum w:abstractNumId="12">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721CBBE0"/>
    <w:multiLevelType w:val="singleLevel"/>
    <w:tmpl w:val="721CBBE0"/>
    <w:lvl w:ilvl="0" w:tentative="0">
      <w:start w:val="1"/>
      <w:numFmt w:val="decimal"/>
      <w:suff w:val="nothing"/>
      <w:lvlText w:val="%1、"/>
      <w:lvlJc w:val="left"/>
    </w:lvl>
  </w:abstractNum>
  <w:abstractNum w:abstractNumId="14">
    <w:nsid w:val="7A0F6431"/>
    <w:multiLevelType w:val="singleLevel"/>
    <w:tmpl w:val="7A0F6431"/>
    <w:lvl w:ilvl="0" w:tentative="0">
      <w:start w:val="1"/>
      <w:numFmt w:val="decimal"/>
      <w:suff w:val="space"/>
      <w:lvlText w:val="%1."/>
      <w:lvlJc w:val="left"/>
    </w:lvl>
  </w:abstractNum>
  <w:num w:numId="1">
    <w:abstractNumId w:val="11"/>
  </w:num>
  <w:num w:numId="2">
    <w:abstractNumId w:val="5"/>
  </w:num>
  <w:num w:numId="3">
    <w:abstractNumId w:val="1"/>
  </w:num>
  <w:num w:numId="4">
    <w:abstractNumId w:val="13"/>
  </w:num>
  <w:num w:numId="5">
    <w:abstractNumId w:val="2"/>
  </w:num>
  <w:num w:numId="6">
    <w:abstractNumId w:val="0"/>
  </w:num>
  <w:num w:numId="7">
    <w:abstractNumId w:val="14"/>
  </w:num>
  <w:num w:numId="8">
    <w:abstractNumId w:val="4"/>
  </w:num>
  <w:num w:numId="9">
    <w:abstractNumId w:val="9"/>
  </w:num>
  <w:num w:numId="10">
    <w:abstractNumId w:val="7"/>
  </w:num>
  <w:num w:numId="11">
    <w:abstractNumId w:val="6"/>
  </w:num>
  <w:num w:numId="12">
    <w:abstractNumId w:val="3"/>
  </w:num>
  <w:num w:numId="13">
    <w:abstractNumId w:val="8"/>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13FA"/>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2F734B"/>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16A6E"/>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2E4F"/>
    <w:rsid w:val="00634CA8"/>
    <w:rsid w:val="00634D11"/>
    <w:rsid w:val="006357F8"/>
    <w:rsid w:val="00637736"/>
    <w:rsid w:val="00642E74"/>
    <w:rsid w:val="00643336"/>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0EA9"/>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0FB0"/>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2DD"/>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22DC"/>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284"/>
    <w:rsid w:val="00C24AC7"/>
    <w:rsid w:val="00C25258"/>
    <w:rsid w:val="00C255CE"/>
    <w:rsid w:val="00C26177"/>
    <w:rsid w:val="00C27633"/>
    <w:rsid w:val="00C27BEA"/>
    <w:rsid w:val="00C35401"/>
    <w:rsid w:val="00C3712E"/>
    <w:rsid w:val="00C40506"/>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4880"/>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18163A"/>
    <w:rsid w:val="012C1C02"/>
    <w:rsid w:val="014063FE"/>
    <w:rsid w:val="01721FEB"/>
    <w:rsid w:val="01722330"/>
    <w:rsid w:val="018D1303"/>
    <w:rsid w:val="01AE23C1"/>
    <w:rsid w:val="01BD0BF6"/>
    <w:rsid w:val="01CA5CC8"/>
    <w:rsid w:val="01E70628"/>
    <w:rsid w:val="01E81930"/>
    <w:rsid w:val="021444D5"/>
    <w:rsid w:val="02226211"/>
    <w:rsid w:val="022F6A9B"/>
    <w:rsid w:val="02412B40"/>
    <w:rsid w:val="02771997"/>
    <w:rsid w:val="0293255D"/>
    <w:rsid w:val="02987B74"/>
    <w:rsid w:val="02AF08DA"/>
    <w:rsid w:val="02B315C6"/>
    <w:rsid w:val="02BC2489"/>
    <w:rsid w:val="02DA6FE9"/>
    <w:rsid w:val="02E25F12"/>
    <w:rsid w:val="02ED7750"/>
    <w:rsid w:val="030516AD"/>
    <w:rsid w:val="033E13D6"/>
    <w:rsid w:val="03670B9C"/>
    <w:rsid w:val="038A3F97"/>
    <w:rsid w:val="03993BA4"/>
    <w:rsid w:val="03A66B69"/>
    <w:rsid w:val="03A978C7"/>
    <w:rsid w:val="03D06ACE"/>
    <w:rsid w:val="03E017D2"/>
    <w:rsid w:val="042C4F6C"/>
    <w:rsid w:val="04446205"/>
    <w:rsid w:val="047255F5"/>
    <w:rsid w:val="048C54B6"/>
    <w:rsid w:val="049A4077"/>
    <w:rsid w:val="050808FC"/>
    <w:rsid w:val="050C1BC4"/>
    <w:rsid w:val="05130EC4"/>
    <w:rsid w:val="051D6770"/>
    <w:rsid w:val="05452235"/>
    <w:rsid w:val="055A330C"/>
    <w:rsid w:val="05696B81"/>
    <w:rsid w:val="056B7F96"/>
    <w:rsid w:val="05A21435"/>
    <w:rsid w:val="05B41FE1"/>
    <w:rsid w:val="05F52269"/>
    <w:rsid w:val="06127C3D"/>
    <w:rsid w:val="06215480"/>
    <w:rsid w:val="062D43AF"/>
    <w:rsid w:val="062E1176"/>
    <w:rsid w:val="063E255E"/>
    <w:rsid w:val="065D710A"/>
    <w:rsid w:val="069468A4"/>
    <w:rsid w:val="06A35E92"/>
    <w:rsid w:val="06AB5681"/>
    <w:rsid w:val="06D86E6E"/>
    <w:rsid w:val="06E710CA"/>
    <w:rsid w:val="06E94E42"/>
    <w:rsid w:val="07101435"/>
    <w:rsid w:val="072B0FB7"/>
    <w:rsid w:val="075F3828"/>
    <w:rsid w:val="07724E37"/>
    <w:rsid w:val="07B37245"/>
    <w:rsid w:val="07EC1177"/>
    <w:rsid w:val="08236FF3"/>
    <w:rsid w:val="08A54D99"/>
    <w:rsid w:val="08D916F2"/>
    <w:rsid w:val="08DE3DCA"/>
    <w:rsid w:val="08E33B14"/>
    <w:rsid w:val="08FD17C0"/>
    <w:rsid w:val="09121B08"/>
    <w:rsid w:val="09403A6F"/>
    <w:rsid w:val="095742E5"/>
    <w:rsid w:val="0966767D"/>
    <w:rsid w:val="09B14CEA"/>
    <w:rsid w:val="09B4074E"/>
    <w:rsid w:val="09B47989"/>
    <w:rsid w:val="09CB6A81"/>
    <w:rsid w:val="0A0106F5"/>
    <w:rsid w:val="0A0F43A2"/>
    <w:rsid w:val="0A522CFE"/>
    <w:rsid w:val="0A537E82"/>
    <w:rsid w:val="0A670558"/>
    <w:rsid w:val="0AD31B13"/>
    <w:rsid w:val="0B0D62D3"/>
    <w:rsid w:val="0B1F1512"/>
    <w:rsid w:val="0B3913B2"/>
    <w:rsid w:val="0B493CA4"/>
    <w:rsid w:val="0B5C3158"/>
    <w:rsid w:val="0B845139"/>
    <w:rsid w:val="0B913B41"/>
    <w:rsid w:val="0B990BA4"/>
    <w:rsid w:val="0BB023D2"/>
    <w:rsid w:val="0BC027C4"/>
    <w:rsid w:val="0BC750CE"/>
    <w:rsid w:val="0BE16F32"/>
    <w:rsid w:val="0C154007"/>
    <w:rsid w:val="0C204376"/>
    <w:rsid w:val="0C254A1B"/>
    <w:rsid w:val="0C526FE5"/>
    <w:rsid w:val="0C6875C2"/>
    <w:rsid w:val="0C9866B9"/>
    <w:rsid w:val="0CA77331"/>
    <w:rsid w:val="0CB16402"/>
    <w:rsid w:val="0CC876EA"/>
    <w:rsid w:val="0CCE4C03"/>
    <w:rsid w:val="0CE73AF0"/>
    <w:rsid w:val="0CEC0DE7"/>
    <w:rsid w:val="0CF3634C"/>
    <w:rsid w:val="0D0227BA"/>
    <w:rsid w:val="0D5F19BA"/>
    <w:rsid w:val="0D5F295B"/>
    <w:rsid w:val="0D605732"/>
    <w:rsid w:val="0D6A5091"/>
    <w:rsid w:val="0D844388"/>
    <w:rsid w:val="0DD75B9C"/>
    <w:rsid w:val="0DEE34CD"/>
    <w:rsid w:val="0E036F0B"/>
    <w:rsid w:val="0E0661A0"/>
    <w:rsid w:val="0E0B29BB"/>
    <w:rsid w:val="0E0B7D94"/>
    <w:rsid w:val="0E183F30"/>
    <w:rsid w:val="0E230C39"/>
    <w:rsid w:val="0E607F86"/>
    <w:rsid w:val="0E8A0CB9"/>
    <w:rsid w:val="0E9C279A"/>
    <w:rsid w:val="0EA645EB"/>
    <w:rsid w:val="0EB421D9"/>
    <w:rsid w:val="0ECF2A4F"/>
    <w:rsid w:val="0F142273"/>
    <w:rsid w:val="0F5B4403"/>
    <w:rsid w:val="0F5D008C"/>
    <w:rsid w:val="0F6541C3"/>
    <w:rsid w:val="0F6627A1"/>
    <w:rsid w:val="0F971E23"/>
    <w:rsid w:val="0F9A5CF8"/>
    <w:rsid w:val="0FD3114F"/>
    <w:rsid w:val="0FE46009"/>
    <w:rsid w:val="0FEE5EBF"/>
    <w:rsid w:val="10153C10"/>
    <w:rsid w:val="10765DAF"/>
    <w:rsid w:val="108300B5"/>
    <w:rsid w:val="108654B0"/>
    <w:rsid w:val="108C64EF"/>
    <w:rsid w:val="10BE733F"/>
    <w:rsid w:val="10CA1840"/>
    <w:rsid w:val="10CF3F1B"/>
    <w:rsid w:val="10D97CD5"/>
    <w:rsid w:val="10F2465E"/>
    <w:rsid w:val="10FC5772"/>
    <w:rsid w:val="11093651"/>
    <w:rsid w:val="1112388E"/>
    <w:rsid w:val="111929FB"/>
    <w:rsid w:val="11662604"/>
    <w:rsid w:val="11796EDC"/>
    <w:rsid w:val="118B0DEE"/>
    <w:rsid w:val="119D5A3B"/>
    <w:rsid w:val="11AB5777"/>
    <w:rsid w:val="121C00A4"/>
    <w:rsid w:val="12313CE5"/>
    <w:rsid w:val="12635AA8"/>
    <w:rsid w:val="12696EA4"/>
    <w:rsid w:val="127840D2"/>
    <w:rsid w:val="12900790"/>
    <w:rsid w:val="12900868"/>
    <w:rsid w:val="129C3E15"/>
    <w:rsid w:val="12A02ED2"/>
    <w:rsid w:val="12E817B6"/>
    <w:rsid w:val="13192CDB"/>
    <w:rsid w:val="131E6243"/>
    <w:rsid w:val="13280779"/>
    <w:rsid w:val="133A40DB"/>
    <w:rsid w:val="134F24D1"/>
    <w:rsid w:val="13982333"/>
    <w:rsid w:val="139D188B"/>
    <w:rsid w:val="13AA7707"/>
    <w:rsid w:val="13B71069"/>
    <w:rsid w:val="13B9702D"/>
    <w:rsid w:val="13F76BB1"/>
    <w:rsid w:val="13FF3EF7"/>
    <w:rsid w:val="144E2788"/>
    <w:rsid w:val="14806439"/>
    <w:rsid w:val="149C1746"/>
    <w:rsid w:val="14B106F3"/>
    <w:rsid w:val="14E4477F"/>
    <w:rsid w:val="14EA7756"/>
    <w:rsid w:val="150F3065"/>
    <w:rsid w:val="156E7BEB"/>
    <w:rsid w:val="15BD1BCA"/>
    <w:rsid w:val="15C56A7A"/>
    <w:rsid w:val="15DA15E8"/>
    <w:rsid w:val="15FB113C"/>
    <w:rsid w:val="16105DC5"/>
    <w:rsid w:val="166E7112"/>
    <w:rsid w:val="16730284"/>
    <w:rsid w:val="16753FFC"/>
    <w:rsid w:val="169E5884"/>
    <w:rsid w:val="16B965DF"/>
    <w:rsid w:val="170E68D9"/>
    <w:rsid w:val="17233640"/>
    <w:rsid w:val="1741793A"/>
    <w:rsid w:val="1743234C"/>
    <w:rsid w:val="17933E49"/>
    <w:rsid w:val="17966F3F"/>
    <w:rsid w:val="179901BE"/>
    <w:rsid w:val="17C24EE1"/>
    <w:rsid w:val="17C27715"/>
    <w:rsid w:val="17C57205"/>
    <w:rsid w:val="17DF0A39"/>
    <w:rsid w:val="17E4768B"/>
    <w:rsid w:val="17FC3BA5"/>
    <w:rsid w:val="182513C0"/>
    <w:rsid w:val="18397E11"/>
    <w:rsid w:val="18735E22"/>
    <w:rsid w:val="187B18AE"/>
    <w:rsid w:val="18E72FF6"/>
    <w:rsid w:val="193E47DD"/>
    <w:rsid w:val="194505FE"/>
    <w:rsid w:val="19687E48"/>
    <w:rsid w:val="196B1CEA"/>
    <w:rsid w:val="198E1EAE"/>
    <w:rsid w:val="19DF6A21"/>
    <w:rsid w:val="19E05949"/>
    <w:rsid w:val="19E80331"/>
    <w:rsid w:val="19FB3499"/>
    <w:rsid w:val="1A24288D"/>
    <w:rsid w:val="1B1B5294"/>
    <w:rsid w:val="1B356450"/>
    <w:rsid w:val="1B434F04"/>
    <w:rsid w:val="1B485443"/>
    <w:rsid w:val="1B8E67A7"/>
    <w:rsid w:val="1B8F1873"/>
    <w:rsid w:val="1B9C14FB"/>
    <w:rsid w:val="1BDF430E"/>
    <w:rsid w:val="1BEB4F4B"/>
    <w:rsid w:val="1BEF4851"/>
    <w:rsid w:val="1BFE3C79"/>
    <w:rsid w:val="1C2C01A7"/>
    <w:rsid w:val="1C3154D0"/>
    <w:rsid w:val="1C4F3541"/>
    <w:rsid w:val="1C584649"/>
    <w:rsid w:val="1C604FCC"/>
    <w:rsid w:val="1C792E22"/>
    <w:rsid w:val="1CA407DB"/>
    <w:rsid w:val="1CB01607"/>
    <w:rsid w:val="1CB57848"/>
    <w:rsid w:val="1CBF2475"/>
    <w:rsid w:val="1CC00BFB"/>
    <w:rsid w:val="1CE25344"/>
    <w:rsid w:val="1CF11B30"/>
    <w:rsid w:val="1CF4323C"/>
    <w:rsid w:val="1D2A0352"/>
    <w:rsid w:val="1D2D5631"/>
    <w:rsid w:val="1D345E0F"/>
    <w:rsid w:val="1D581D92"/>
    <w:rsid w:val="1D880AB9"/>
    <w:rsid w:val="1D9569FB"/>
    <w:rsid w:val="1DAE2109"/>
    <w:rsid w:val="1DB9452C"/>
    <w:rsid w:val="1DDE5424"/>
    <w:rsid w:val="1DE33F41"/>
    <w:rsid w:val="1DE71C83"/>
    <w:rsid w:val="1E0A0261"/>
    <w:rsid w:val="1E206809"/>
    <w:rsid w:val="1E5828D6"/>
    <w:rsid w:val="1E5A0F1E"/>
    <w:rsid w:val="1E5A29B0"/>
    <w:rsid w:val="1E71779F"/>
    <w:rsid w:val="1E8A6AB3"/>
    <w:rsid w:val="1EBC700B"/>
    <w:rsid w:val="1EFB3211"/>
    <w:rsid w:val="1F103EA9"/>
    <w:rsid w:val="1F1D7927"/>
    <w:rsid w:val="1F486D04"/>
    <w:rsid w:val="1F5E7C06"/>
    <w:rsid w:val="1F784B5D"/>
    <w:rsid w:val="1F9927EB"/>
    <w:rsid w:val="1FB14636"/>
    <w:rsid w:val="1FCA3C17"/>
    <w:rsid w:val="1FDB296A"/>
    <w:rsid w:val="1FE909DC"/>
    <w:rsid w:val="1FF42436"/>
    <w:rsid w:val="20256A93"/>
    <w:rsid w:val="204333BD"/>
    <w:rsid w:val="20457135"/>
    <w:rsid w:val="205145E4"/>
    <w:rsid w:val="20631369"/>
    <w:rsid w:val="20755F4B"/>
    <w:rsid w:val="20AF152F"/>
    <w:rsid w:val="20C933FE"/>
    <w:rsid w:val="210D0B42"/>
    <w:rsid w:val="21431371"/>
    <w:rsid w:val="214866A3"/>
    <w:rsid w:val="2149055F"/>
    <w:rsid w:val="21513626"/>
    <w:rsid w:val="215C64E4"/>
    <w:rsid w:val="215D225D"/>
    <w:rsid w:val="21707EAF"/>
    <w:rsid w:val="219537A4"/>
    <w:rsid w:val="21C36564"/>
    <w:rsid w:val="21D6315B"/>
    <w:rsid w:val="21DF0EC4"/>
    <w:rsid w:val="21FC31E6"/>
    <w:rsid w:val="22046D94"/>
    <w:rsid w:val="221C055F"/>
    <w:rsid w:val="222207D1"/>
    <w:rsid w:val="22471B27"/>
    <w:rsid w:val="22525E8C"/>
    <w:rsid w:val="228D0920"/>
    <w:rsid w:val="22CE35B4"/>
    <w:rsid w:val="22F02729"/>
    <w:rsid w:val="23026659"/>
    <w:rsid w:val="230A7A8F"/>
    <w:rsid w:val="230D245F"/>
    <w:rsid w:val="23290736"/>
    <w:rsid w:val="23362D65"/>
    <w:rsid w:val="236E5E5F"/>
    <w:rsid w:val="2378337E"/>
    <w:rsid w:val="237E5141"/>
    <w:rsid w:val="23894376"/>
    <w:rsid w:val="23901997"/>
    <w:rsid w:val="239A32F4"/>
    <w:rsid w:val="23A61C99"/>
    <w:rsid w:val="23C5440E"/>
    <w:rsid w:val="23F30C56"/>
    <w:rsid w:val="24266C7C"/>
    <w:rsid w:val="2437006A"/>
    <w:rsid w:val="244A2F6C"/>
    <w:rsid w:val="246A64EC"/>
    <w:rsid w:val="248E0882"/>
    <w:rsid w:val="24AB04CD"/>
    <w:rsid w:val="24B85FE4"/>
    <w:rsid w:val="24D67678"/>
    <w:rsid w:val="24DF11A7"/>
    <w:rsid w:val="24FE4F91"/>
    <w:rsid w:val="251417B8"/>
    <w:rsid w:val="251E1D03"/>
    <w:rsid w:val="2524556B"/>
    <w:rsid w:val="252E63EA"/>
    <w:rsid w:val="25440C67"/>
    <w:rsid w:val="25493224"/>
    <w:rsid w:val="254E2618"/>
    <w:rsid w:val="25501510"/>
    <w:rsid w:val="25551BC9"/>
    <w:rsid w:val="256533FF"/>
    <w:rsid w:val="25714E00"/>
    <w:rsid w:val="25946DD0"/>
    <w:rsid w:val="25A53D6F"/>
    <w:rsid w:val="25B276F2"/>
    <w:rsid w:val="25E847EB"/>
    <w:rsid w:val="26545007"/>
    <w:rsid w:val="26572409"/>
    <w:rsid w:val="267047E0"/>
    <w:rsid w:val="26793FA2"/>
    <w:rsid w:val="26A1632F"/>
    <w:rsid w:val="26E718E0"/>
    <w:rsid w:val="26ED706D"/>
    <w:rsid w:val="27033701"/>
    <w:rsid w:val="270C05A6"/>
    <w:rsid w:val="270F7B55"/>
    <w:rsid w:val="272532E2"/>
    <w:rsid w:val="273B6B9C"/>
    <w:rsid w:val="27427F2B"/>
    <w:rsid w:val="276C3345"/>
    <w:rsid w:val="276F2332"/>
    <w:rsid w:val="27857F9B"/>
    <w:rsid w:val="2795721C"/>
    <w:rsid w:val="27A641C3"/>
    <w:rsid w:val="27A6670B"/>
    <w:rsid w:val="27C546B8"/>
    <w:rsid w:val="27E55CB6"/>
    <w:rsid w:val="27F868B5"/>
    <w:rsid w:val="281127EC"/>
    <w:rsid w:val="282633A8"/>
    <w:rsid w:val="283204F9"/>
    <w:rsid w:val="284461F5"/>
    <w:rsid w:val="286766E4"/>
    <w:rsid w:val="286F1880"/>
    <w:rsid w:val="28723E61"/>
    <w:rsid w:val="28944843"/>
    <w:rsid w:val="28A10C81"/>
    <w:rsid w:val="28BD0522"/>
    <w:rsid w:val="28DB6828"/>
    <w:rsid w:val="28EC2844"/>
    <w:rsid w:val="29025179"/>
    <w:rsid w:val="29114058"/>
    <w:rsid w:val="291259B4"/>
    <w:rsid w:val="29615703"/>
    <w:rsid w:val="29745A9F"/>
    <w:rsid w:val="29895F6F"/>
    <w:rsid w:val="298E5CC2"/>
    <w:rsid w:val="29995DFC"/>
    <w:rsid w:val="29A54525"/>
    <w:rsid w:val="29AC6F9B"/>
    <w:rsid w:val="29B91807"/>
    <w:rsid w:val="29C97866"/>
    <w:rsid w:val="29E821D3"/>
    <w:rsid w:val="29F75268"/>
    <w:rsid w:val="2A0D55C1"/>
    <w:rsid w:val="2A840919"/>
    <w:rsid w:val="2A930A9D"/>
    <w:rsid w:val="2A967EB2"/>
    <w:rsid w:val="2AD417E1"/>
    <w:rsid w:val="2AE03C52"/>
    <w:rsid w:val="2AF23B9B"/>
    <w:rsid w:val="2B065713"/>
    <w:rsid w:val="2B0D2CED"/>
    <w:rsid w:val="2B192609"/>
    <w:rsid w:val="2B2411B6"/>
    <w:rsid w:val="2B2871E7"/>
    <w:rsid w:val="2B9057FA"/>
    <w:rsid w:val="2BA35936"/>
    <w:rsid w:val="2BA70946"/>
    <w:rsid w:val="2BA9299F"/>
    <w:rsid w:val="2BBA0C84"/>
    <w:rsid w:val="2BF832AE"/>
    <w:rsid w:val="2BFE65C2"/>
    <w:rsid w:val="2C02412C"/>
    <w:rsid w:val="2C1665B8"/>
    <w:rsid w:val="2C295297"/>
    <w:rsid w:val="2C493B09"/>
    <w:rsid w:val="2C6E17C2"/>
    <w:rsid w:val="2D205D35"/>
    <w:rsid w:val="2D5D27F9"/>
    <w:rsid w:val="2D7503AA"/>
    <w:rsid w:val="2D7F69DE"/>
    <w:rsid w:val="2D9F6B68"/>
    <w:rsid w:val="2DB16F26"/>
    <w:rsid w:val="2DB3388B"/>
    <w:rsid w:val="2DC0604D"/>
    <w:rsid w:val="2DCA6ECC"/>
    <w:rsid w:val="2DDC1BB7"/>
    <w:rsid w:val="2E0A056F"/>
    <w:rsid w:val="2E7B4C91"/>
    <w:rsid w:val="2E7D2606"/>
    <w:rsid w:val="2E804392"/>
    <w:rsid w:val="2E815E80"/>
    <w:rsid w:val="2E954277"/>
    <w:rsid w:val="2ED53A12"/>
    <w:rsid w:val="2EDF69A7"/>
    <w:rsid w:val="2EF038BC"/>
    <w:rsid w:val="2F091204"/>
    <w:rsid w:val="2F1A79DF"/>
    <w:rsid w:val="2F2A413F"/>
    <w:rsid w:val="2F363171"/>
    <w:rsid w:val="2F487431"/>
    <w:rsid w:val="2F6518B8"/>
    <w:rsid w:val="2F753569"/>
    <w:rsid w:val="2F9A32C8"/>
    <w:rsid w:val="2FB32CCE"/>
    <w:rsid w:val="30311375"/>
    <w:rsid w:val="303C73AF"/>
    <w:rsid w:val="30473F91"/>
    <w:rsid w:val="306058C5"/>
    <w:rsid w:val="30B023A9"/>
    <w:rsid w:val="30B76BE8"/>
    <w:rsid w:val="30C714A1"/>
    <w:rsid w:val="30EB6F8A"/>
    <w:rsid w:val="311772A4"/>
    <w:rsid w:val="3118389A"/>
    <w:rsid w:val="31186537"/>
    <w:rsid w:val="312A7037"/>
    <w:rsid w:val="31AD1B8F"/>
    <w:rsid w:val="31B92B8B"/>
    <w:rsid w:val="31C81B78"/>
    <w:rsid w:val="32326CFB"/>
    <w:rsid w:val="324D032D"/>
    <w:rsid w:val="324D78CD"/>
    <w:rsid w:val="3257574A"/>
    <w:rsid w:val="329E21EF"/>
    <w:rsid w:val="32CE17D6"/>
    <w:rsid w:val="32D75DF9"/>
    <w:rsid w:val="32E813E9"/>
    <w:rsid w:val="32FB3683"/>
    <w:rsid w:val="32FD564D"/>
    <w:rsid w:val="3328091C"/>
    <w:rsid w:val="334409AC"/>
    <w:rsid w:val="337C1562"/>
    <w:rsid w:val="338910C0"/>
    <w:rsid w:val="338C6DB2"/>
    <w:rsid w:val="338F3097"/>
    <w:rsid w:val="33A51F6D"/>
    <w:rsid w:val="33C06DA7"/>
    <w:rsid w:val="33FE215A"/>
    <w:rsid w:val="342509B8"/>
    <w:rsid w:val="3425595B"/>
    <w:rsid w:val="34297F29"/>
    <w:rsid w:val="343819DA"/>
    <w:rsid w:val="34412E2D"/>
    <w:rsid w:val="344A5876"/>
    <w:rsid w:val="344D1C33"/>
    <w:rsid w:val="348820F0"/>
    <w:rsid w:val="348E47AF"/>
    <w:rsid w:val="34A053E5"/>
    <w:rsid w:val="34AE6BFF"/>
    <w:rsid w:val="34CA3E45"/>
    <w:rsid w:val="34CC177B"/>
    <w:rsid w:val="34D34153"/>
    <w:rsid w:val="34E34E96"/>
    <w:rsid w:val="350607E9"/>
    <w:rsid w:val="35381EF4"/>
    <w:rsid w:val="355E745E"/>
    <w:rsid w:val="359202CF"/>
    <w:rsid w:val="359758E5"/>
    <w:rsid w:val="359D5EEA"/>
    <w:rsid w:val="35BA1D81"/>
    <w:rsid w:val="35D02BA5"/>
    <w:rsid w:val="35D46B3A"/>
    <w:rsid w:val="35E033EA"/>
    <w:rsid w:val="35E11274"/>
    <w:rsid w:val="35E8637E"/>
    <w:rsid w:val="35ED210C"/>
    <w:rsid w:val="35FC7E3E"/>
    <w:rsid w:val="36085C11"/>
    <w:rsid w:val="361B0127"/>
    <w:rsid w:val="363C3B17"/>
    <w:rsid w:val="36474247"/>
    <w:rsid w:val="365612FD"/>
    <w:rsid w:val="36756424"/>
    <w:rsid w:val="3677309A"/>
    <w:rsid w:val="36AD2EE7"/>
    <w:rsid w:val="36BD75CE"/>
    <w:rsid w:val="36D30477"/>
    <w:rsid w:val="36F40B16"/>
    <w:rsid w:val="370C52DF"/>
    <w:rsid w:val="370C5E5F"/>
    <w:rsid w:val="374B6987"/>
    <w:rsid w:val="374D6BA3"/>
    <w:rsid w:val="375A306E"/>
    <w:rsid w:val="37AA6440"/>
    <w:rsid w:val="37AF0A14"/>
    <w:rsid w:val="37CE1367"/>
    <w:rsid w:val="37D746BF"/>
    <w:rsid w:val="37E528A4"/>
    <w:rsid w:val="38085F26"/>
    <w:rsid w:val="38426065"/>
    <w:rsid w:val="38B810AA"/>
    <w:rsid w:val="38BB232A"/>
    <w:rsid w:val="38C84008"/>
    <w:rsid w:val="38CA5FD2"/>
    <w:rsid w:val="38EB0F04"/>
    <w:rsid w:val="38FE081E"/>
    <w:rsid w:val="39411452"/>
    <w:rsid w:val="394B11C6"/>
    <w:rsid w:val="397B72CC"/>
    <w:rsid w:val="397C49C3"/>
    <w:rsid w:val="39B22FFA"/>
    <w:rsid w:val="39BA7DF4"/>
    <w:rsid w:val="39C15930"/>
    <w:rsid w:val="39F913A9"/>
    <w:rsid w:val="3A173499"/>
    <w:rsid w:val="3A30022F"/>
    <w:rsid w:val="3A371445"/>
    <w:rsid w:val="3A503980"/>
    <w:rsid w:val="3A553CC1"/>
    <w:rsid w:val="3A6B5E65"/>
    <w:rsid w:val="3A886145"/>
    <w:rsid w:val="3A8D72B7"/>
    <w:rsid w:val="3AB900AC"/>
    <w:rsid w:val="3AC52EF5"/>
    <w:rsid w:val="3AC91083"/>
    <w:rsid w:val="3B007A89"/>
    <w:rsid w:val="3B027CA5"/>
    <w:rsid w:val="3B0A5A2B"/>
    <w:rsid w:val="3B2E2848"/>
    <w:rsid w:val="3B5D4EDB"/>
    <w:rsid w:val="3B81506E"/>
    <w:rsid w:val="3B8F5FC8"/>
    <w:rsid w:val="3BA60D07"/>
    <w:rsid w:val="3BA6272A"/>
    <w:rsid w:val="3BAC0F6E"/>
    <w:rsid w:val="3BB22833"/>
    <w:rsid w:val="3BC4775F"/>
    <w:rsid w:val="3BDD02C5"/>
    <w:rsid w:val="3BE27C97"/>
    <w:rsid w:val="3BE473AB"/>
    <w:rsid w:val="3C9A513B"/>
    <w:rsid w:val="3CC03E16"/>
    <w:rsid w:val="3CCD2793"/>
    <w:rsid w:val="3CFA57E4"/>
    <w:rsid w:val="3D0221DE"/>
    <w:rsid w:val="3D092B74"/>
    <w:rsid w:val="3D1E60DF"/>
    <w:rsid w:val="3D272D3D"/>
    <w:rsid w:val="3D2B44D7"/>
    <w:rsid w:val="3D6D68BF"/>
    <w:rsid w:val="3D903E83"/>
    <w:rsid w:val="3D9236E4"/>
    <w:rsid w:val="3DE2791A"/>
    <w:rsid w:val="3E053B4B"/>
    <w:rsid w:val="3E0C1E60"/>
    <w:rsid w:val="3E151A9D"/>
    <w:rsid w:val="3E2174C3"/>
    <w:rsid w:val="3E2C5EC2"/>
    <w:rsid w:val="3E375EB7"/>
    <w:rsid w:val="3E38205E"/>
    <w:rsid w:val="3E7C448E"/>
    <w:rsid w:val="3E943212"/>
    <w:rsid w:val="3E9E5F37"/>
    <w:rsid w:val="3EA47C68"/>
    <w:rsid w:val="3EC45EF4"/>
    <w:rsid w:val="3ED03C16"/>
    <w:rsid w:val="3EDE27D7"/>
    <w:rsid w:val="3EDF08B2"/>
    <w:rsid w:val="3EEB27FE"/>
    <w:rsid w:val="3EF25F54"/>
    <w:rsid w:val="3F320FAA"/>
    <w:rsid w:val="3F3423F7"/>
    <w:rsid w:val="3F8E1B07"/>
    <w:rsid w:val="40161AFD"/>
    <w:rsid w:val="401D10DD"/>
    <w:rsid w:val="403326AF"/>
    <w:rsid w:val="40524297"/>
    <w:rsid w:val="408B6047"/>
    <w:rsid w:val="409A517D"/>
    <w:rsid w:val="40AC4EF8"/>
    <w:rsid w:val="40AF442B"/>
    <w:rsid w:val="40E165AE"/>
    <w:rsid w:val="411C75E7"/>
    <w:rsid w:val="41540B2E"/>
    <w:rsid w:val="415E333C"/>
    <w:rsid w:val="416B795B"/>
    <w:rsid w:val="41752D86"/>
    <w:rsid w:val="418F600A"/>
    <w:rsid w:val="419B5FD1"/>
    <w:rsid w:val="419E1DAA"/>
    <w:rsid w:val="41A7056B"/>
    <w:rsid w:val="420D5851"/>
    <w:rsid w:val="424526D7"/>
    <w:rsid w:val="424B3CDF"/>
    <w:rsid w:val="426D19F0"/>
    <w:rsid w:val="42983DA3"/>
    <w:rsid w:val="429B3C85"/>
    <w:rsid w:val="42D31F27"/>
    <w:rsid w:val="42D33CD5"/>
    <w:rsid w:val="42DD037E"/>
    <w:rsid w:val="42FC5208"/>
    <w:rsid w:val="43341596"/>
    <w:rsid w:val="43571E00"/>
    <w:rsid w:val="436F7EA2"/>
    <w:rsid w:val="43860D47"/>
    <w:rsid w:val="43DE4EDB"/>
    <w:rsid w:val="43E0541A"/>
    <w:rsid w:val="43ED0DC6"/>
    <w:rsid w:val="43FB4652"/>
    <w:rsid w:val="43FF1225"/>
    <w:rsid w:val="4410457F"/>
    <w:rsid w:val="441459B9"/>
    <w:rsid w:val="44265D5C"/>
    <w:rsid w:val="445F4788"/>
    <w:rsid w:val="44647734"/>
    <w:rsid w:val="44700650"/>
    <w:rsid w:val="449633BF"/>
    <w:rsid w:val="44B32884"/>
    <w:rsid w:val="44C147DB"/>
    <w:rsid w:val="44D94857"/>
    <w:rsid w:val="44DD3B52"/>
    <w:rsid w:val="44E032D7"/>
    <w:rsid w:val="44E73A68"/>
    <w:rsid w:val="45117DDD"/>
    <w:rsid w:val="45223845"/>
    <w:rsid w:val="45290298"/>
    <w:rsid w:val="45B51211"/>
    <w:rsid w:val="45BD6D52"/>
    <w:rsid w:val="45BF5F80"/>
    <w:rsid w:val="45E94130"/>
    <w:rsid w:val="45EF52CA"/>
    <w:rsid w:val="46276812"/>
    <w:rsid w:val="462955F1"/>
    <w:rsid w:val="462A4554"/>
    <w:rsid w:val="46517D32"/>
    <w:rsid w:val="465377A4"/>
    <w:rsid w:val="466B6D95"/>
    <w:rsid w:val="46753001"/>
    <w:rsid w:val="46821C9A"/>
    <w:rsid w:val="46E51A75"/>
    <w:rsid w:val="46F84891"/>
    <w:rsid w:val="473A07C7"/>
    <w:rsid w:val="473B1F33"/>
    <w:rsid w:val="475B4828"/>
    <w:rsid w:val="4770244E"/>
    <w:rsid w:val="47762C36"/>
    <w:rsid w:val="477C0DDF"/>
    <w:rsid w:val="480212E4"/>
    <w:rsid w:val="4802743A"/>
    <w:rsid w:val="481650EB"/>
    <w:rsid w:val="482B73A4"/>
    <w:rsid w:val="4880469E"/>
    <w:rsid w:val="48B721DD"/>
    <w:rsid w:val="48C04CFB"/>
    <w:rsid w:val="48C36A60"/>
    <w:rsid w:val="48CF42A1"/>
    <w:rsid w:val="48E442B5"/>
    <w:rsid w:val="48FF5824"/>
    <w:rsid w:val="49266FC3"/>
    <w:rsid w:val="492B03C7"/>
    <w:rsid w:val="49307A8A"/>
    <w:rsid w:val="493C6A78"/>
    <w:rsid w:val="49425710"/>
    <w:rsid w:val="494D38A5"/>
    <w:rsid w:val="498E5824"/>
    <w:rsid w:val="49BB2E76"/>
    <w:rsid w:val="49DE053E"/>
    <w:rsid w:val="4A201EF6"/>
    <w:rsid w:val="4A372B97"/>
    <w:rsid w:val="4A49107C"/>
    <w:rsid w:val="4A4F730C"/>
    <w:rsid w:val="4A515473"/>
    <w:rsid w:val="4A625D30"/>
    <w:rsid w:val="4A6617BA"/>
    <w:rsid w:val="4A767D68"/>
    <w:rsid w:val="4B475260"/>
    <w:rsid w:val="4B4B65BB"/>
    <w:rsid w:val="4B4C2876"/>
    <w:rsid w:val="4B505A8A"/>
    <w:rsid w:val="4B7F38EA"/>
    <w:rsid w:val="4B935E0E"/>
    <w:rsid w:val="4B9E1324"/>
    <w:rsid w:val="4BBF201F"/>
    <w:rsid w:val="4BC045B9"/>
    <w:rsid w:val="4BC82845"/>
    <w:rsid w:val="4BDA6435"/>
    <w:rsid w:val="4BE17463"/>
    <w:rsid w:val="4BE3521C"/>
    <w:rsid w:val="4C5317C1"/>
    <w:rsid w:val="4C596AD0"/>
    <w:rsid w:val="4C5E6D05"/>
    <w:rsid w:val="4CA26BF2"/>
    <w:rsid w:val="4CEE1E37"/>
    <w:rsid w:val="4D145F92"/>
    <w:rsid w:val="4D330192"/>
    <w:rsid w:val="4D3B1C54"/>
    <w:rsid w:val="4D461C73"/>
    <w:rsid w:val="4DE9657A"/>
    <w:rsid w:val="4E092CA1"/>
    <w:rsid w:val="4E111A5A"/>
    <w:rsid w:val="4E25051C"/>
    <w:rsid w:val="4E4156DB"/>
    <w:rsid w:val="4E93713A"/>
    <w:rsid w:val="4F1456D4"/>
    <w:rsid w:val="4F145898"/>
    <w:rsid w:val="4F305E92"/>
    <w:rsid w:val="4F4915E5"/>
    <w:rsid w:val="4F754A92"/>
    <w:rsid w:val="4F9905AE"/>
    <w:rsid w:val="4F9926C4"/>
    <w:rsid w:val="4FC33F25"/>
    <w:rsid w:val="4FD001C7"/>
    <w:rsid w:val="4FFE214A"/>
    <w:rsid w:val="4FFF4B10"/>
    <w:rsid w:val="4FFF6109"/>
    <w:rsid w:val="50095F5C"/>
    <w:rsid w:val="500B71A4"/>
    <w:rsid w:val="502E60F8"/>
    <w:rsid w:val="50333A27"/>
    <w:rsid w:val="50334005"/>
    <w:rsid w:val="50572C95"/>
    <w:rsid w:val="505E4B9C"/>
    <w:rsid w:val="50836259"/>
    <w:rsid w:val="50A30487"/>
    <w:rsid w:val="50DD1804"/>
    <w:rsid w:val="510F580A"/>
    <w:rsid w:val="51216C24"/>
    <w:rsid w:val="51543E3D"/>
    <w:rsid w:val="51A52CE0"/>
    <w:rsid w:val="51D71EBE"/>
    <w:rsid w:val="51DF6DC8"/>
    <w:rsid w:val="51E6007E"/>
    <w:rsid w:val="520D262F"/>
    <w:rsid w:val="52195EFA"/>
    <w:rsid w:val="52392BBE"/>
    <w:rsid w:val="526A0AC2"/>
    <w:rsid w:val="529674E9"/>
    <w:rsid w:val="52B1378F"/>
    <w:rsid w:val="52E72213"/>
    <w:rsid w:val="535D3873"/>
    <w:rsid w:val="53876B42"/>
    <w:rsid w:val="54045B97"/>
    <w:rsid w:val="540B40CB"/>
    <w:rsid w:val="54153BAB"/>
    <w:rsid w:val="543E18F6"/>
    <w:rsid w:val="546B1FBF"/>
    <w:rsid w:val="54834226"/>
    <w:rsid w:val="54996B2C"/>
    <w:rsid w:val="54BE4D09"/>
    <w:rsid w:val="54FA7CE1"/>
    <w:rsid w:val="550A7A2A"/>
    <w:rsid w:val="554A7E27"/>
    <w:rsid w:val="555E1B24"/>
    <w:rsid w:val="55683E45"/>
    <w:rsid w:val="556A04C9"/>
    <w:rsid w:val="558F102F"/>
    <w:rsid w:val="559D6882"/>
    <w:rsid w:val="559E5653"/>
    <w:rsid w:val="55AB3C2F"/>
    <w:rsid w:val="55AC40A5"/>
    <w:rsid w:val="55BA31FE"/>
    <w:rsid w:val="55DB4169"/>
    <w:rsid w:val="55E16072"/>
    <w:rsid w:val="55EC35D4"/>
    <w:rsid w:val="55FE20ED"/>
    <w:rsid w:val="560E52F8"/>
    <w:rsid w:val="561A4621"/>
    <w:rsid w:val="56233F5F"/>
    <w:rsid w:val="56373C3F"/>
    <w:rsid w:val="56383CF3"/>
    <w:rsid w:val="56455CD4"/>
    <w:rsid w:val="565C42B5"/>
    <w:rsid w:val="56902993"/>
    <w:rsid w:val="56AE76A6"/>
    <w:rsid w:val="56D4209E"/>
    <w:rsid w:val="56DB2C2D"/>
    <w:rsid w:val="56E4418B"/>
    <w:rsid w:val="56EC7829"/>
    <w:rsid w:val="57064221"/>
    <w:rsid w:val="57442ECA"/>
    <w:rsid w:val="576C1061"/>
    <w:rsid w:val="5773022F"/>
    <w:rsid w:val="57770C7B"/>
    <w:rsid w:val="57DF277D"/>
    <w:rsid w:val="57E50495"/>
    <w:rsid w:val="580A1AEF"/>
    <w:rsid w:val="58776655"/>
    <w:rsid w:val="58B74216"/>
    <w:rsid w:val="58C16652"/>
    <w:rsid w:val="590752B6"/>
    <w:rsid w:val="591F15CA"/>
    <w:rsid w:val="592D0FB2"/>
    <w:rsid w:val="594F4A95"/>
    <w:rsid w:val="596D67DA"/>
    <w:rsid w:val="59760D08"/>
    <w:rsid w:val="599E6993"/>
    <w:rsid w:val="59A60DC8"/>
    <w:rsid w:val="59AC5554"/>
    <w:rsid w:val="59B10AE1"/>
    <w:rsid w:val="59F8229B"/>
    <w:rsid w:val="5A564466"/>
    <w:rsid w:val="5A6B0F71"/>
    <w:rsid w:val="5A902780"/>
    <w:rsid w:val="5A9F4737"/>
    <w:rsid w:val="5AAE2C06"/>
    <w:rsid w:val="5AD04F6E"/>
    <w:rsid w:val="5AE8436A"/>
    <w:rsid w:val="5AF80325"/>
    <w:rsid w:val="5B6339F0"/>
    <w:rsid w:val="5BA20303"/>
    <w:rsid w:val="5BEE63E9"/>
    <w:rsid w:val="5BF6561B"/>
    <w:rsid w:val="5BFA4C14"/>
    <w:rsid w:val="5C260B14"/>
    <w:rsid w:val="5C2A6C04"/>
    <w:rsid w:val="5C3543D2"/>
    <w:rsid w:val="5C406532"/>
    <w:rsid w:val="5C4E69BE"/>
    <w:rsid w:val="5C5D469B"/>
    <w:rsid w:val="5CE36031"/>
    <w:rsid w:val="5CFC5838"/>
    <w:rsid w:val="5D3E4962"/>
    <w:rsid w:val="5D79752D"/>
    <w:rsid w:val="5DB26EB1"/>
    <w:rsid w:val="5DBA559D"/>
    <w:rsid w:val="5DBF6577"/>
    <w:rsid w:val="5DC34F1C"/>
    <w:rsid w:val="5DFE3EA4"/>
    <w:rsid w:val="5E465887"/>
    <w:rsid w:val="5E473A9D"/>
    <w:rsid w:val="5E804CC0"/>
    <w:rsid w:val="5E8425FB"/>
    <w:rsid w:val="5ED312D4"/>
    <w:rsid w:val="5EE50BC0"/>
    <w:rsid w:val="5F0664A4"/>
    <w:rsid w:val="5F181B76"/>
    <w:rsid w:val="5F463D55"/>
    <w:rsid w:val="5F614678"/>
    <w:rsid w:val="5F7A4B09"/>
    <w:rsid w:val="5FD4389C"/>
    <w:rsid w:val="5FEC48FC"/>
    <w:rsid w:val="6013374F"/>
    <w:rsid w:val="607620C3"/>
    <w:rsid w:val="60A05E5C"/>
    <w:rsid w:val="60B116A2"/>
    <w:rsid w:val="60B42F40"/>
    <w:rsid w:val="60B7767B"/>
    <w:rsid w:val="60CC348A"/>
    <w:rsid w:val="60D24296"/>
    <w:rsid w:val="610251FF"/>
    <w:rsid w:val="610A1B10"/>
    <w:rsid w:val="61221DAA"/>
    <w:rsid w:val="61696F59"/>
    <w:rsid w:val="6186757B"/>
    <w:rsid w:val="61A962B9"/>
    <w:rsid w:val="61D672CA"/>
    <w:rsid w:val="61E63AF5"/>
    <w:rsid w:val="626A2DAC"/>
    <w:rsid w:val="62713F4B"/>
    <w:rsid w:val="62784498"/>
    <w:rsid w:val="62A86D6B"/>
    <w:rsid w:val="62C25DC1"/>
    <w:rsid w:val="63293771"/>
    <w:rsid w:val="6354015B"/>
    <w:rsid w:val="637C0DF3"/>
    <w:rsid w:val="637C7D45"/>
    <w:rsid w:val="639808F7"/>
    <w:rsid w:val="63A675D8"/>
    <w:rsid w:val="64013379"/>
    <w:rsid w:val="64565496"/>
    <w:rsid w:val="645F2960"/>
    <w:rsid w:val="64654C7D"/>
    <w:rsid w:val="646C7950"/>
    <w:rsid w:val="64AE3702"/>
    <w:rsid w:val="64BD496D"/>
    <w:rsid w:val="64BE25DF"/>
    <w:rsid w:val="64C44758"/>
    <w:rsid w:val="64EA6A96"/>
    <w:rsid w:val="64F93617"/>
    <w:rsid w:val="65246D5E"/>
    <w:rsid w:val="655D3BA6"/>
    <w:rsid w:val="65655387"/>
    <w:rsid w:val="659A6BA8"/>
    <w:rsid w:val="65A50F20"/>
    <w:rsid w:val="65EF58FA"/>
    <w:rsid w:val="65FE7BFD"/>
    <w:rsid w:val="66397220"/>
    <w:rsid w:val="66AC3703"/>
    <w:rsid w:val="66AF4C3B"/>
    <w:rsid w:val="66EC6F90"/>
    <w:rsid w:val="66F2031E"/>
    <w:rsid w:val="675B054A"/>
    <w:rsid w:val="677C3AAE"/>
    <w:rsid w:val="67AA6A71"/>
    <w:rsid w:val="67AA7E58"/>
    <w:rsid w:val="67AB0BF9"/>
    <w:rsid w:val="67E662B3"/>
    <w:rsid w:val="67F10517"/>
    <w:rsid w:val="68077DF9"/>
    <w:rsid w:val="680F6F74"/>
    <w:rsid w:val="68382663"/>
    <w:rsid w:val="68407D8C"/>
    <w:rsid w:val="68434CD3"/>
    <w:rsid w:val="686314D3"/>
    <w:rsid w:val="68684D3A"/>
    <w:rsid w:val="6888718C"/>
    <w:rsid w:val="68E5527F"/>
    <w:rsid w:val="69112B6D"/>
    <w:rsid w:val="693354D1"/>
    <w:rsid w:val="69677B7C"/>
    <w:rsid w:val="69733B79"/>
    <w:rsid w:val="69A578CA"/>
    <w:rsid w:val="6A611A43"/>
    <w:rsid w:val="6A7343B6"/>
    <w:rsid w:val="6AA656A7"/>
    <w:rsid w:val="6AB029CA"/>
    <w:rsid w:val="6AB40090"/>
    <w:rsid w:val="6AD32E40"/>
    <w:rsid w:val="6ADE7537"/>
    <w:rsid w:val="6AE34B4E"/>
    <w:rsid w:val="6AE43EB7"/>
    <w:rsid w:val="6B1F6200"/>
    <w:rsid w:val="6B4A3375"/>
    <w:rsid w:val="6B5E5596"/>
    <w:rsid w:val="6B825FC3"/>
    <w:rsid w:val="6B8359E9"/>
    <w:rsid w:val="6B9D0892"/>
    <w:rsid w:val="6BC952E4"/>
    <w:rsid w:val="6BD12BF8"/>
    <w:rsid w:val="6C613F7C"/>
    <w:rsid w:val="6C631880"/>
    <w:rsid w:val="6C636C8C"/>
    <w:rsid w:val="6C6D16B4"/>
    <w:rsid w:val="6C806253"/>
    <w:rsid w:val="6CB542C8"/>
    <w:rsid w:val="6CD74FCF"/>
    <w:rsid w:val="6CF748E0"/>
    <w:rsid w:val="6D15191A"/>
    <w:rsid w:val="6D274972"/>
    <w:rsid w:val="6D52620C"/>
    <w:rsid w:val="6D7D3037"/>
    <w:rsid w:val="6D8E14DE"/>
    <w:rsid w:val="6D934609"/>
    <w:rsid w:val="6DAE50AD"/>
    <w:rsid w:val="6DB90012"/>
    <w:rsid w:val="6DD624F7"/>
    <w:rsid w:val="6DDA2238"/>
    <w:rsid w:val="6E0E1EE1"/>
    <w:rsid w:val="6E1130C8"/>
    <w:rsid w:val="6E5A21EA"/>
    <w:rsid w:val="6EA62628"/>
    <w:rsid w:val="6EB8009F"/>
    <w:rsid w:val="6EC55187"/>
    <w:rsid w:val="6EC72090"/>
    <w:rsid w:val="6ED22CDD"/>
    <w:rsid w:val="6F0A3093"/>
    <w:rsid w:val="6F834B73"/>
    <w:rsid w:val="6F857F81"/>
    <w:rsid w:val="6F883155"/>
    <w:rsid w:val="6FAD74D8"/>
    <w:rsid w:val="6FC6124D"/>
    <w:rsid w:val="6FC62348"/>
    <w:rsid w:val="6FDA0E82"/>
    <w:rsid w:val="6FDC27EA"/>
    <w:rsid w:val="6FDE56F1"/>
    <w:rsid w:val="6FE10E18"/>
    <w:rsid w:val="6FE309EC"/>
    <w:rsid w:val="6FEC14A9"/>
    <w:rsid w:val="6FEC6252"/>
    <w:rsid w:val="70130316"/>
    <w:rsid w:val="702E23C7"/>
    <w:rsid w:val="707357E9"/>
    <w:rsid w:val="70827584"/>
    <w:rsid w:val="70A15EF2"/>
    <w:rsid w:val="70C96037"/>
    <w:rsid w:val="70CB230C"/>
    <w:rsid w:val="71193CAD"/>
    <w:rsid w:val="712A6878"/>
    <w:rsid w:val="71AB37A1"/>
    <w:rsid w:val="71B752F6"/>
    <w:rsid w:val="71D761D7"/>
    <w:rsid w:val="71F1275F"/>
    <w:rsid w:val="721E46BD"/>
    <w:rsid w:val="72201F3D"/>
    <w:rsid w:val="72271FEC"/>
    <w:rsid w:val="722E41C4"/>
    <w:rsid w:val="72587BCF"/>
    <w:rsid w:val="72655E48"/>
    <w:rsid w:val="72712F6C"/>
    <w:rsid w:val="72824C4C"/>
    <w:rsid w:val="728A3B01"/>
    <w:rsid w:val="729809DA"/>
    <w:rsid w:val="729D4E7D"/>
    <w:rsid w:val="72D37256"/>
    <w:rsid w:val="72D93738"/>
    <w:rsid w:val="73434202"/>
    <w:rsid w:val="734819F2"/>
    <w:rsid w:val="734D6303"/>
    <w:rsid w:val="735B7378"/>
    <w:rsid w:val="737A1DC7"/>
    <w:rsid w:val="737A608E"/>
    <w:rsid w:val="73A806E2"/>
    <w:rsid w:val="73BC418E"/>
    <w:rsid w:val="73F22113"/>
    <w:rsid w:val="741D2E7E"/>
    <w:rsid w:val="74214F20"/>
    <w:rsid w:val="744B56A6"/>
    <w:rsid w:val="74A16CBA"/>
    <w:rsid w:val="74CB28DA"/>
    <w:rsid w:val="74D53759"/>
    <w:rsid w:val="74DE6E03"/>
    <w:rsid w:val="74F33BDF"/>
    <w:rsid w:val="75017A26"/>
    <w:rsid w:val="750556C0"/>
    <w:rsid w:val="752B5D11"/>
    <w:rsid w:val="752C70F1"/>
    <w:rsid w:val="75387844"/>
    <w:rsid w:val="753903C8"/>
    <w:rsid w:val="75443874"/>
    <w:rsid w:val="75CC2E8E"/>
    <w:rsid w:val="75D3559B"/>
    <w:rsid w:val="75DC4AB5"/>
    <w:rsid w:val="75EF406B"/>
    <w:rsid w:val="76391AC6"/>
    <w:rsid w:val="765B7C8E"/>
    <w:rsid w:val="7664604C"/>
    <w:rsid w:val="76707B96"/>
    <w:rsid w:val="76726D86"/>
    <w:rsid w:val="768A6FF9"/>
    <w:rsid w:val="768D36C7"/>
    <w:rsid w:val="76985EA2"/>
    <w:rsid w:val="76C3504D"/>
    <w:rsid w:val="76FE5988"/>
    <w:rsid w:val="7702703F"/>
    <w:rsid w:val="770422FE"/>
    <w:rsid w:val="7746449A"/>
    <w:rsid w:val="775546DD"/>
    <w:rsid w:val="777658B4"/>
    <w:rsid w:val="777F291C"/>
    <w:rsid w:val="778C3E77"/>
    <w:rsid w:val="7796215A"/>
    <w:rsid w:val="779807BE"/>
    <w:rsid w:val="77B635DF"/>
    <w:rsid w:val="77E31CE9"/>
    <w:rsid w:val="77FF2507"/>
    <w:rsid w:val="78376C25"/>
    <w:rsid w:val="785B43FB"/>
    <w:rsid w:val="785B7ACE"/>
    <w:rsid w:val="78746DE5"/>
    <w:rsid w:val="789932F4"/>
    <w:rsid w:val="78A72AF0"/>
    <w:rsid w:val="78A8319C"/>
    <w:rsid w:val="78CC620F"/>
    <w:rsid w:val="78FD530C"/>
    <w:rsid w:val="790F6B0E"/>
    <w:rsid w:val="79134850"/>
    <w:rsid w:val="79200163"/>
    <w:rsid w:val="79261AEA"/>
    <w:rsid w:val="79563FBF"/>
    <w:rsid w:val="7956473D"/>
    <w:rsid w:val="798661F3"/>
    <w:rsid w:val="799314ED"/>
    <w:rsid w:val="79DC4F1F"/>
    <w:rsid w:val="79EE2C15"/>
    <w:rsid w:val="7A0E547F"/>
    <w:rsid w:val="7A6C7707"/>
    <w:rsid w:val="7A7206F1"/>
    <w:rsid w:val="7AA46F38"/>
    <w:rsid w:val="7AA82657"/>
    <w:rsid w:val="7B0B0E18"/>
    <w:rsid w:val="7B272F4E"/>
    <w:rsid w:val="7B467F1D"/>
    <w:rsid w:val="7B4F58E7"/>
    <w:rsid w:val="7BA7772C"/>
    <w:rsid w:val="7BB12A63"/>
    <w:rsid w:val="7BFF5BD0"/>
    <w:rsid w:val="7C0924C9"/>
    <w:rsid w:val="7C2C0DFB"/>
    <w:rsid w:val="7C507B69"/>
    <w:rsid w:val="7C711A95"/>
    <w:rsid w:val="7C8D4919"/>
    <w:rsid w:val="7CBA4FE2"/>
    <w:rsid w:val="7CD24A22"/>
    <w:rsid w:val="7CDA3206"/>
    <w:rsid w:val="7D121F1E"/>
    <w:rsid w:val="7D2F777E"/>
    <w:rsid w:val="7D5660EF"/>
    <w:rsid w:val="7D574D28"/>
    <w:rsid w:val="7D5F0561"/>
    <w:rsid w:val="7D60202E"/>
    <w:rsid w:val="7D6458CE"/>
    <w:rsid w:val="7D8555F0"/>
    <w:rsid w:val="7D916095"/>
    <w:rsid w:val="7DB14637"/>
    <w:rsid w:val="7DC51E91"/>
    <w:rsid w:val="7E141A72"/>
    <w:rsid w:val="7E5A0FDB"/>
    <w:rsid w:val="7E703977"/>
    <w:rsid w:val="7E963DC6"/>
    <w:rsid w:val="7E9F454E"/>
    <w:rsid w:val="7EF02F3D"/>
    <w:rsid w:val="7F1B1599"/>
    <w:rsid w:val="7F437511"/>
    <w:rsid w:val="7F5F65D1"/>
    <w:rsid w:val="7F606315"/>
    <w:rsid w:val="7F610509"/>
    <w:rsid w:val="7F6210EB"/>
    <w:rsid w:val="7F8B73C1"/>
    <w:rsid w:val="7F961D37"/>
    <w:rsid w:val="7FAC3308"/>
    <w:rsid w:val="7FC86924"/>
    <w:rsid w:val="7FE874E8"/>
    <w:rsid w:val="EF975718"/>
    <w:rsid w:val="EFEFE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5">
    <w:name w:val="heading 2"/>
    <w:basedOn w:val="6"/>
    <w:next w:val="7"/>
    <w:link w:val="35"/>
    <w:semiHidden/>
    <w:unhideWhenUsed/>
    <w:qFormat/>
    <w:uiPriority w:val="9"/>
    <w:pPr>
      <w:spacing w:line="416" w:lineRule="auto"/>
      <w:outlineLvl w:val="1"/>
    </w:pPr>
    <w:rPr>
      <w:rFonts w:asciiTheme="majorHAnsi" w:hAnsiTheme="majorHAnsi" w:eastAsiaTheme="majorEastAsia" w:cstheme="majorBidi"/>
      <w:sz w:val="32"/>
    </w:rPr>
  </w:style>
  <w:style w:type="paragraph" w:styleId="6">
    <w:name w:val="heading 3"/>
    <w:basedOn w:val="7"/>
    <w:next w:val="1"/>
    <w:qFormat/>
    <w:uiPriority w:val="9"/>
    <w:pPr>
      <w:spacing w:before="260" w:after="260" w:line="240" w:lineRule="auto"/>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paragraph" w:styleId="8">
    <w:name w:val="Normal Indent"/>
    <w:basedOn w:val="1"/>
    <w:qFormat/>
    <w:uiPriority w:val="0"/>
    <w:pPr>
      <w:ind w:firstLine="420"/>
    </w:pPr>
    <w:rPr>
      <w:szCs w:val="20"/>
    </w:rPr>
  </w:style>
  <w:style w:type="paragraph" w:styleId="9">
    <w:name w:val="Document Map"/>
    <w:basedOn w:val="1"/>
    <w:link w:val="34"/>
    <w:semiHidden/>
    <w:unhideWhenUsed/>
    <w:qFormat/>
    <w:uiPriority w:val="99"/>
    <w:rPr>
      <w:rFonts w:ascii="宋体" w:eastAsia="宋体"/>
      <w:sz w:val="18"/>
      <w:szCs w:val="18"/>
    </w:rPr>
  </w:style>
  <w:style w:type="paragraph" w:styleId="10">
    <w:name w:val="annotation text"/>
    <w:basedOn w:val="1"/>
    <w:link w:val="36"/>
    <w:unhideWhenUsed/>
    <w:qFormat/>
    <w:uiPriority w:val="99"/>
    <w:pPr>
      <w:jc w:val="left"/>
    </w:pPr>
  </w:style>
  <w:style w:type="paragraph" w:styleId="11">
    <w:name w:val="Plain Text"/>
    <w:basedOn w:val="1"/>
    <w:qFormat/>
    <w:uiPriority w:val="0"/>
    <w:rPr>
      <w:rFonts w:ascii="宋体" w:hAnsi="Courier New"/>
      <w:szCs w:val="20"/>
    </w:rPr>
  </w:style>
  <w:style w:type="paragraph" w:styleId="12">
    <w:name w:val="Balloon Text"/>
    <w:basedOn w:val="1"/>
    <w:link w:val="30"/>
    <w:semiHidden/>
    <w:unhideWhenUsed/>
    <w:qFormat/>
    <w:uiPriority w:val="99"/>
    <w:rPr>
      <w:sz w:val="18"/>
      <w:szCs w:val="18"/>
    </w:rPr>
  </w:style>
  <w:style w:type="paragraph" w:styleId="13">
    <w:name w:val="footer"/>
    <w:basedOn w:val="1"/>
    <w:link w:val="29"/>
    <w:unhideWhenUsed/>
    <w:qFormat/>
    <w:uiPriority w:val="99"/>
    <w:pPr>
      <w:tabs>
        <w:tab w:val="center" w:pos="4153"/>
        <w:tab w:val="right" w:pos="8306"/>
      </w:tabs>
      <w:snapToGrid w:val="0"/>
      <w:jc w:val="left"/>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360" w:lineRule="auto"/>
    </w:pPr>
    <w:rPr>
      <w:sz w:val="24"/>
    </w:rPr>
  </w:style>
  <w:style w:type="paragraph" w:styleId="16">
    <w:name w:val="Normal (Web)"/>
    <w:basedOn w:val="1"/>
    <w:link w:val="31"/>
    <w:qFormat/>
    <w:uiPriority w:val="99"/>
    <w:pPr>
      <w:widowControl/>
      <w:spacing w:before="100" w:beforeAutospacing="1" w:afterAutospacing="1"/>
      <w:jc w:val="left"/>
    </w:pPr>
    <w:rPr>
      <w:rFonts w:ascii="宋体" w:hAnsi="宋体"/>
      <w:sz w:val="24"/>
      <w:szCs w:val="24"/>
    </w:rPr>
  </w:style>
  <w:style w:type="paragraph" w:styleId="17">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8">
    <w:name w:val="annotation subject"/>
    <w:basedOn w:val="10"/>
    <w:next w:val="10"/>
    <w:link w:val="38"/>
    <w:semiHidden/>
    <w:unhideWhenUsed/>
    <w:qFormat/>
    <w:uiPriority w:val="99"/>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page number"/>
    <w:basedOn w:val="21"/>
    <w:qFormat/>
    <w:uiPriority w:val="0"/>
  </w:style>
  <w:style w:type="character" w:styleId="24">
    <w:name w:val="FollowedHyperlink"/>
    <w:basedOn w:val="21"/>
    <w:semiHidden/>
    <w:unhideWhenUsed/>
    <w:qFormat/>
    <w:uiPriority w:val="99"/>
    <w:rPr>
      <w:color w:val="800080" w:themeColor="followedHyperlink"/>
      <w:u w:val="single"/>
      <w14:textFill>
        <w14:solidFill>
          <w14:schemeClr w14:val="folHlink"/>
        </w14:solidFill>
      </w14:textFill>
    </w:rPr>
  </w:style>
  <w:style w:type="character" w:styleId="25">
    <w:name w:val="Hyperlink"/>
    <w:basedOn w:val="21"/>
    <w:unhideWhenUsed/>
    <w:qFormat/>
    <w:uiPriority w:val="99"/>
    <w:rPr>
      <w:color w:val="0000FF" w:themeColor="hyperlink"/>
      <w:u w:val="single"/>
      <w14:textFill>
        <w14:solidFill>
          <w14:schemeClr w14:val="hlink"/>
        </w14:solidFill>
      </w14:textFill>
    </w:rPr>
  </w:style>
  <w:style w:type="character" w:styleId="26">
    <w:name w:val="annotation reference"/>
    <w:basedOn w:val="21"/>
    <w:semiHidden/>
    <w:unhideWhenUsed/>
    <w:qFormat/>
    <w:uiPriority w:val="99"/>
    <w:rPr>
      <w:sz w:val="21"/>
      <w:szCs w:val="21"/>
    </w:rPr>
  </w:style>
  <w:style w:type="paragraph" w:customStyle="1" w:styleId="27">
    <w:name w:val="正文内容格式"/>
    <w:basedOn w:val="1"/>
    <w:qFormat/>
    <w:uiPriority w:val="0"/>
    <w:pPr>
      <w:widowControl/>
      <w:ind w:firstLine="482"/>
      <w:textAlignment w:val="baseline"/>
    </w:pPr>
    <w:rPr>
      <w:rFonts w:eastAsia="仿宋_GB2312"/>
      <w:kern w:val="0"/>
      <w:sz w:val="28"/>
    </w:rPr>
  </w:style>
  <w:style w:type="character" w:customStyle="1" w:styleId="28">
    <w:name w:val="页眉 字符"/>
    <w:basedOn w:val="21"/>
    <w:link w:val="14"/>
    <w:qFormat/>
    <w:uiPriority w:val="99"/>
    <w:rPr>
      <w:sz w:val="18"/>
      <w:szCs w:val="18"/>
    </w:rPr>
  </w:style>
  <w:style w:type="character" w:customStyle="1" w:styleId="29">
    <w:name w:val="页脚 字符"/>
    <w:basedOn w:val="21"/>
    <w:link w:val="13"/>
    <w:qFormat/>
    <w:uiPriority w:val="99"/>
    <w:rPr>
      <w:sz w:val="18"/>
      <w:szCs w:val="18"/>
    </w:rPr>
  </w:style>
  <w:style w:type="character" w:customStyle="1" w:styleId="30">
    <w:name w:val="批注框文本 字符"/>
    <w:basedOn w:val="21"/>
    <w:link w:val="12"/>
    <w:semiHidden/>
    <w:qFormat/>
    <w:uiPriority w:val="99"/>
    <w:rPr>
      <w:sz w:val="18"/>
      <w:szCs w:val="18"/>
    </w:rPr>
  </w:style>
  <w:style w:type="character" w:customStyle="1" w:styleId="31">
    <w:name w:val="普通(网站) 字符"/>
    <w:link w:val="16"/>
    <w:qFormat/>
    <w:uiPriority w:val="99"/>
    <w:rPr>
      <w:rFonts w:ascii="宋体" w:hAnsi="宋体"/>
      <w:sz w:val="24"/>
      <w:szCs w:val="24"/>
    </w:rPr>
  </w:style>
  <w:style w:type="character" w:customStyle="1" w:styleId="32">
    <w:name w:val="标题 1 字符"/>
    <w:basedOn w:val="21"/>
    <w:link w:val="4"/>
    <w:qFormat/>
    <w:uiPriority w:val="0"/>
    <w:rPr>
      <w:rFonts w:ascii="Arial" w:hAnsi="Arial" w:eastAsia="宋体" w:cs="Times New Roman"/>
      <w:b/>
      <w:bCs/>
      <w:kern w:val="44"/>
      <w:sz w:val="44"/>
      <w:szCs w:val="44"/>
    </w:rPr>
  </w:style>
  <w:style w:type="paragraph" w:styleId="33">
    <w:name w:val="List Paragraph"/>
    <w:basedOn w:val="1"/>
    <w:qFormat/>
    <w:uiPriority w:val="34"/>
    <w:pPr>
      <w:ind w:firstLine="420" w:firstLineChars="200"/>
    </w:pPr>
  </w:style>
  <w:style w:type="character" w:customStyle="1" w:styleId="34">
    <w:name w:val="文档结构图 字符"/>
    <w:basedOn w:val="21"/>
    <w:link w:val="9"/>
    <w:semiHidden/>
    <w:qFormat/>
    <w:uiPriority w:val="99"/>
    <w:rPr>
      <w:rFonts w:ascii="宋体" w:eastAsia="宋体"/>
      <w:sz w:val="18"/>
      <w:szCs w:val="18"/>
    </w:rPr>
  </w:style>
  <w:style w:type="character" w:customStyle="1" w:styleId="35">
    <w:name w:val="标题 2 字符"/>
    <w:basedOn w:val="21"/>
    <w:link w:val="5"/>
    <w:semiHidden/>
    <w:qFormat/>
    <w:uiPriority w:val="9"/>
    <w:rPr>
      <w:rFonts w:asciiTheme="majorHAnsi" w:hAnsiTheme="majorHAnsi" w:eastAsiaTheme="majorEastAsia" w:cstheme="majorBidi"/>
      <w:b/>
      <w:bCs/>
      <w:sz w:val="32"/>
      <w:szCs w:val="32"/>
    </w:rPr>
  </w:style>
  <w:style w:type="character" w:customStyle="1" w:styleId="36">
    <w:name w:val="批注文字 字符"/>
    <w:basedOn w:val="21"/>
    <w:link w:val="10"/>
    <w:qFormat/>
    <w:uiPriority w:val="99"/>
  </w:style>
  <w:style w:type="character" w:customStyle="1" w:styleId="37">
    <w:name w:val="标题 3 Char"/>
    <w:qFormat/>
    <w:uiPriority w:val="0"/>
    <w:rPr>
      <w:rFonts w:ascii="黑体" w:eastAsia="黑体"/>
      <w:bCs/>
      <w:sz w:val="30"/>
    </w:rPr>
  </w:style>
  <w:style w:type="character" w:customStyle="1" w:styleId="38">
    <w:name w:val="批注主题 字符"/>
    <w:basedOn w:val="36"/>
    <w:link w:val="18"/>
    <w:semiHidden/>
    <w:qFormat/>
    <w:uiPriority w:val="99"/>
    <w:rPr>
      <w:b/>
      <w:bCs/>
    </w:rPr>
  </w:style>
  <w:style w:type="table" w:customStyle="1" w:styleId="39">
    <w:name w:val="网格型1"/>
    <w:basedOn w:val="19"/>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1">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3">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5">
    <w:name w:val="font21"/>
    <w:basedOn w:val="21"/>
    <w:qFormat/>
    <w:uiPriority w:val="0"/>
    <w:rPr>
      <w:rFonts w:hint="eastAsia" w:ascii="宋体" w:hAnsi="宋体" w:eastAsia="宋体" w:cs="宋体"/>
      <w:color w:val="000000"/>
      <w:sz w:val="22"/>
      <w:szCs w:val="22"/>
      <w:u w:val="none"/>
    </w:rPr>
  </w:style>
  <w:style w:type="character" w:customStyle="1" w:styleId="46">
    <w:name w:val="font31"/>
    <w:basedOn w:val="21"/>
    <w:qFormat/>
    <w:uiPriority w:val="0"/>
    <w:rPr>
      <w:rFonts w:hint="eastAsia" w:ascii="宋体" w:hAnsi="宋体" w:eastAsia="宋体" w:cs="宋体"/>
      <w:color w:val="000000"/>
      <w:sz w:val="22"/>
      <w:szCs w:val="22"/>
      <w:u w:val="none"/>
    </w:rPr>
  </w:style>
  <w:style w:type="character" w:customStyle="1" w:styleId="47">
    <w:name w:val="font51"/>
    <w:basedOn w:val="21"/>
    <w:qFormat/>
    <w:uiPriority w:val="0"/>
    <w:rPr>
      <w:rFonts w:hint="eastAsia" w:ascii="宋体" w:hAnsi="宋体" w:eastAsia="宋体" w:cs="宋体"/>
      <w:color w:val="000000"/>
      <w:sz w:val="21"/>
      <w:szCs w:val="21"/>
      <w:u w:val="none"/>
    </w:rPr>
  </w:style>
  <w:style w:type="character" w:customStyle="1" w:styleId="48">
    <w:name w:val="font61"/>
    <w:basedOn w:val="21"/>
    <w:qFormat/>
    <w:uiPriority w:val="0"/>
    <w:rPr>
      <w:rFonts w:hint="default" w:ascii="Times New Roman" w:hAnsi="Times New Roman" w:cs="Times New Roman"/>
      <w:color w:val="000000"/>
      <w:sz w:val="21"/>
      <w:szCs w:val="21"/>
      <w:u w:val="none"/>
    </w:rPr>
  </w:style>
  <w:style w:type="paragraph" w:customStyle="1" w:styleId="49">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font41"/>
    <w:qFormat/>
    <w:uiPriority w:val="0"/>
    <w:rPr>
      <w:rFonts w:hint="eastAsia" w:ascii="宋体" w:hAnsi="宋体" w:eastAsia="宋体"/>
      <w:color w:val="000000"/>
      <w:kern w:val="2"/>
      <w:sz w:val="18"/>
      <w:u w:val="none"/>
    </w:rPr>
  </w:style>
  <w:style w:type="paragraph" w:styleId="5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2">
    <w:name w:val="fontstyle01"/>
    <w:basedOn w:val="21"/>
    <w:qFormat/>
    <w:uiPriority w:val="0"/>
    <w:rPr>
      <w:rFonts w:hint="eastAsia" w:ascii="宋体" w:hAnsi="宋体" w:eastAsia="宋体"/>
      <w:color w:val="000000"/>
      <w:sz w:val="22"/>
      <w:szCs w:val="22"/>
    </w:rPr>
  </w:style>
  <w:style w:type="character" w:customStyle="1" w:styleId="53">
    <w:name w:val="font81"/>
    <w:basedOn w:val="21"/>
    <w:qFormat/>
    <w:uiPriority w:val="0"/>
    <w:rPr>
      <w:rFonts w:hint="default" w:ascii="Arial" w:hAnsi="Arial" w:cs="Arial"/>
      <w:color w:val="000000"/>
      <w:sz w:val="21"/>
      <w:szCs w:val="21"/>
      <w:u w:val="none"/>
    </w:rPr>
  </w:style>
  <w:style w:type="paragraph" w:customStyle="1" w:styleId="54">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5">
    <w:name w:val="表格小五F4"/>
    <w:basedOn w:val="56"/>
    <w:qFormat/>
    <w:uiPriority w:val="0"/>
    <w:rPr>
      <w:sz w:val="18"/>
    </w:rPr>
  </w:style>
  <w:style w:type="paragraph" w:customStyle="1" w:styleId="56">
    <w:name w:val="表格F2"/>
    <w:qFormat/>
    <w:uiPriority w:val="0"/>
    <w:pPr>
      <w:jc w:val="center"/>
    </w:pPr>
    <w:rPr>
      <w:rFonts w:ascii="Times New Roman" w:hAnsi="Times New Roman" w:eastAsia="楷体" w:cs="Times New Roman"/>
      <w:sz w:val="24"/>
      <w:szCs w:val="22"/>
      <w:lang w:val="en-US" w:eastAsia="zh-CN" w:bidi="ar-SA"/>
    </w:rPr>
  </w:style>
  <w:style w:type="character" w:customStyle="1" w:styleId="57">
    <w:name w:val="font1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67</Pages>
  <Words>5384</Words>
  <Characters>5678</Characters>
  <Lines>2232</Lines>
  <Paragraphs>2179</Paragraphs>
  <TotalTime>2</TotalTime>
  <ScaleCrop>false</ScaleCrop>
  <LinksUpToDate>false</LinksUpToDate>
  <CharactersWithSpaces>5698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2024-07-19T16:53:00Z</dcterms:created>
  <dc:creator>win7-1</dc:creator>
  <cp:lastModifiedBy>DELL</cp:lastModifiedBy>
  <cp:lastPrinted>2021-01-16T09:17:00Z</cp:lastPrinted>
  <dcterms:modified xsi:type="dcterms:W3CDTF">2025-11-26T03:26:40Z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C758D35B5D0943C093D70F27B250508E_13</vt:lpwstr>
  </property>
  <property fmtid="{D5CDD505-2E9C-101B-9397-08002B2CF9AE}" pid="4" name="KSOTemplateDocerSaveRecord">
    <vt:lpwstr>eyJoZGlkIjoiMzJlOGQzMjM3YTk0NDg5NjcwOTEyM2E0N2Y0ZTQ4OTIiLCJ1c2VySWQiOiIzMzY3MjY4MTYifQ==</vt:lpwstr>
  </property>
</Properties>
</file>