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1"/>
        <w:pBdr>
          <w:top w:val="none" w:color="auto" w:sz="0" w:space="1"/>
          <w:left w:val="none" w:color="auto" w:sz="0" w:space="4"/>
          <w:bottom w:val="none" w:color="auto" w:sz="0" w:space="1"/>
          <w:right w:val="none" w:color="auto" w:sz="0" w:space="4"/>
        </w:pBdr>
        <w:rPr>
          <w:bCs/>
          <w:color w:val="FF0000"/>
          <w:sz w:val="20"/>
          <w:szCs w:val="20"/>
        </w:rPr>
      </w:pPr>
    </w:p>
    <w:p>
      <w:pPr>
        <w:pStyle w:val="16"/>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9"/>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pPr>
              <w:spacing w:line="29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 xml:space="preserve"> LHAZXCG-2025-00119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深圳市龙华外国语高级中学校乐器设备采购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pPr>
        <w:tabs>
          <w:tab w:val="left" w:pos="2790"/>
        </w:tabs>
        <w:snapToGrid w:val="0"/>
        <w:spacing w:line="440" w:lineRule="exact"/>
        <w:jc w:val="left"/>
        <w:rPr>
          <w:rFonts w:hint="eastAsia" w:asciiTheme="minorEastAsia" w:hAnsiTheme="minorEastAsia"/>
          <w:sz w:val="30"/>
          <w:szCs w:val="3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9"/>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tabs>
          <w:tab w:val="left" w:pos="2790"/>
        </w:tabs>
        <w:snapToGrid w:val="0"/>
        <w:jc w:val="center"/>
        <w:rPr>
          <w:rFonts w:hint="eastAsia" w:ascii="黑体" w:hAnsi="黑体" w:eastAsia="黑体" w:cs="Times New Roman"/>
          <w:sz w:val="40"/>
          <w:szCs w:val="4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tcPr>
          <w:p>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法律、法规、规章、规范性文件规定的其他情形。</w:t>
            </w:r>
          </w:p>
        </w:tc>
      </w:tr>
    </w:tbl>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pStyle w:val="16"/>
        <w:jc w:val="center"/>
        <w:outlineLvl w:val="0"/>
        <w:rPr>
          <w:rFonts w:hint="eastAsia" w:ascii="黑体" w:eastAsia="黑体"/>
          <w:sz w:val="40"/>
          <w:szCs w:val="40"/>
        </w:rPr>
      </w:pPr>
      <w:r>
        <w:rPr>
          <w:rFonts w:hint="eastAsia" w:ascii="黑体" w:hAnsi="黑体" w:eastAsia="黑体"/>
          <w:sz w:val="40"/>
          <w:szCs w:val="40"/>
        </w:rPr>
        <w:t>评标信息</w:t>
      </w:r>
    </w:p>
    <w:tbl>
      <w:tblPr>
        <w:tblStyle w:val="19"/>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3"/>
        <w:gridCol w:w="353"/>
        <w:gridCol w:w="485"/>
        <w:gridCol w:w="1473"/>
        <w:gridCol w:w="979"/>
        <w:gridCol w:w="5768"/>
        <w:gridCol w:w="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pPr>
              <w:ind w:firstLine="420"/>
            </w:pPr>
          </w:p>
          <w:p>
            <w:pPr>
              <w:ind w:firstLine="420"/>
              <w:rPr>
                <w:szCs w:val="21"/>
              </w:rPr>
            </w:pPr>
            <w:r>
              <w:rPr>
                <w:szCs w:val="21"/>
              </w:rPr>
              <w:t>价格分计算方法：</w:t>
            </w:r>
          </w:p>
          <w:p>
            <w:pPr>
              <w:pStyle w:val="16"/>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16"/>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序号</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评分项</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1</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价格</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2</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技术部分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ascii="宋体" w:hAnsi="宋体" w:cs="宋体"/>
                <w:szCs w:val="21"/>
              </w:rPr>
            </w:pPr>
            <w:r>
              <w:rPr>
                <w:rFonts w:ascii="宋体" w:hAnsi="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实施方案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val="en-US" w:eastAsia="zh-CN"/>
              </w:rPr>
              <w:t>10</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考察内容：</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投标人提供的</w:t>
            </w:r>
            <w:r>
              <w:rPr>
                <w:rFonts w:hint="eastAsia" w:asciiTheme="minorEastAsia" w:hAnsiTheme="minorEastAsia" w:cstheme="minorEastAsia"/>
                <w:color w:val="auto"/>
                <w:kern w:val="0"/>
                <w:szCs w:val="21"/>
                <w:lang w:val="en-US" w:eastAsia="zh-CN"/>
              </w:rPr>
              <w:t>实施</w:t>
            </w:r>
            <w:r>
              <w:rPr>
                <w:rFonts w:hint="eastAsia" w:asciiTheme="minorEastAsia" w:hAnsiTheme="minorEastAsia" w:eastAsiaTheme="minorEastAsia" w:cstheme="minorEastAsia"/>
                <w:color w:val="auto"/>
                <w:kern w:val="0"/>
                <w:szCs w:val="21"/>
              </w:rPr>
              <w:t>方案</w:t>
            </w:r>
            <w:r>
              <w:rPr>
                <w:rFonts w:hint="eastAsia" w:asciiTheme="minorEastAsia" w:hAnsiTheme="minorEastAsia" w:eastAsiaTheme="minorEastAsia" w:cstheme="minorEastAsia"/>
                <w:b w:val="0"/>
                <w:bCs w:val="0"/>
                <w:color w:val="auto"/>
                <w:szCs w:val="21"/>
              </w:rPr>
              <w:t>方案中包括：</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1.供货进度安排；</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2.安装调试方案；</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3.质量控制措施；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4.安全保障措施；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5.管理团队情况。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评审标准：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 xml:space="preserve">评审委员会根据招标文件的需求和投标文件的响应情况，进行评价及分档评分：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1、满足5点得</w:t>
            </w:r>
            <w:r>
              <w:rPr>
                <w:rFonts w:hint="eastAsia" w:asciiTheme="minorEastAsia" w:hAnsiTheme="minorEastAsia" w:eastAsiaTheme="minorEastAsia" w:cstheme="minorEastAsia"/>
                <w:b w:val="0"/>
                <w:bCs w:val="0"/>
                <w:color w:val="auto"/>
                <w:szCs w:val="21"/>
                <w:lang w:val="en-US" w:eastAsia="zh-CN"/>
              </w:rPr>
              <w:t>50</w:t>
            </w:r>
            <w:r>
              <w:rPr>
                <w:rFonts w:hint="eastAsia" w:asciiTheme="minorEastAsia" w:hAnsiTheme="minorEastAsia" w:eastAsiaTheme="minorEastAsia" w:cstheme="minorEastAsia"/>
                <w:b w:val="0"/>
                <w:bCs w:val="0"/>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2、满足任意4点得</w:t>
            </w:r>
            <w:r>
              <w:rPr>
                <w:rFonts w:hint="eastAsia" w:asciiTheme="minorEastAsia" w:hAnsiTheme="minorEastAsia" w:eastAsiaTheme="minorEastAsia" w:cstheme="minorEastAsia"/>
                <w:b w:val="0"/>
                <w:bCs w:val="0"/>
                <w:color w:val="auto"/>
                <w:szCs w:val="21"/>
                <w:lang w:val="en-US" w:eastAsia="zh-CN"/>
              </w:rPr>
              <w:t>25</w:t>
            </w:r>
            <w:r>
              <w:rPr>
                <w:rFonts w:hint="eastAsia" w:asciiTheme="minorEastAsia" w:hAnsiTheme="minorEastAsia" w:eastAsiaTheme="minorEastAsia" w:cstheme="minorEastAsia"/>
                <w:b w:val="0"/>
                <w:bCs w:val="0"/>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3、满足任意3点得</w:t>
            </w:r>
            <w:r>
              <w:rPr>
                <w:rFonts w:hint="eastAsia" w:asciiTheme="minorEastAsia" w:hAnsiTheme="minorEastAsia" w:eastAsiaTheme="minorEastAsia" w:cstheme="minorEastAsia"/>
                <w:b w:val="0"/>
                <w:bCs w:val="0"/>
                <w:color w:val="auto"/>
                <w:szCs w:val="21"/>
                <w:lang w:val="en-US" w:eastAsia="zh-CN"/>
              </w:rPr>
              <w:t>10</w:t>
            </w:r>
            <w:r>
              <w:rPr>
                <w:rFonts w:hint="eastAsia" w:asciiTheme="minorEastAsia" w:hAnsiTheme="minorEastAsia" w:eastAsiaTheme="minorEastAsia" w:cstheme="minorEastAsia"/>
                <w:b w:val="0"/>
                <w:bCs w:val="0"/>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4、其他情况不得分。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在此基础上，专家根据各投标人的具体响应内容按照量化的评审因素指标进一步评审：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（1）评审为优（如项目实施方案完善，工作内容和安排考虑周到，流程合理，可行性高）的加</w:t>
            </w:r>
            <w:r>
              <w:rPr>
                <w:rFonts w:hint="eastAsia" w:asciiTheme="minorEastAsia" w:hAnsiTheme="minorEastAsia" w:eastAsiaTheme="minorEastAsia" w:cstheme="minorEastAsia"/>
                <w:b w:val="0"/>
                <w:bCs w:val="0"/>
                <w:color w:val="auto"/>
                <w:szCs w:val="21"/>
                <w:lang w:val="en-US" w:eastAsia="zh-CN"/>
              </w:rPr>
              <w:t>50</w:t>
            </w:r>
            <w:r>
              <w:rPr>
                <w:rFonts w:hint="eastAsia" w:asciiTheme="minorEastAsia" w:hAnsiTheme="minorEastAsia" w:eastAsiaTheme="minorEastAsia" w:cstheme="minorEastAsia"/>
                <w:b w:val="0"/>
                <w:bCs w:val="0"/>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（2）评审为良（如项目实施方案较完善，工作内容和安排考虑较周到，流程较合理，可行性较高）的加</w:t>
            </w:r>
            <w:r>
              <w:rPr>
                <w:rFonts w:hint="eastAsia" w:asciiTheme="minorEastAsia" w:hAnsiTheme="minorEastAsia" w:eastAsiaTheme="minorEastAsia" w:cstheme="minorEastAsia"/>
                <w:b w:val="0"/>
                <w:bCs w:val="0"/>
                <w:color w:val="auto"/>
                <w:szCs w:val="21"/>
                <w:lang w:val="en-US" w:eastAsia="zh-CN"/>
              </w:rPr>
              <w:t>25</w:t>
            </w:r>
            <w:r>
              <w:rPr>
                <w:rFonts w:hint="eastAsia" w:asciiTheme="minorEastAsia" w:hAnsiTheme="minorEastAsia" w:eastAsiaTheme="minorEastAsia" w:cstheme="minorEastAsia"/>
                <w:b w:val="0"/>
                <w:bCs w:val="0"/>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（3）评审为中（如项目实施方案一般，工作内容和安排考虑基本周到，流程基本合理，可行性一般）的</w:t>
            </w:r>
            <w:r>
              <w:rPr>
                <w:rFonts w:hint="eastAsia" w:asciiTheme="minorEastAsia" w:hAnsiTheme="minorEastAsia" w:cstheme="minorEastAsia"/>
                <w:b w:val="0"/>
                <w:bCs w:val="0"/>
                <w:color w:val="auto"/>
                <w:szCs w:val="21"/>
                <w:lang w:val="en-US" w:eastAsia="zh-CN"/>
              </w:rPr>
              <w:t>加</w:t>
            </w:r>
            <w:r>
              <w:rPr>
                <w:rFonts w:hint="eastAsia" w:asciiTheme="minorEastAsia" w:hAnsiTheme="minorEastAsia" w:eastAsiaTheme="minorEastAsia" w:cstheme="minorEastAsia"/>
                <w:b w:val="0"/>
                <w:bCs w:val="0"/>
                <w:color w:val="auto"/>
                <w:szCs w:val="21"/>
                <w:lang w:val="en-US" w:eastAsia="zh-CN"/>
              </w:rPr>
              <w:t>10</w:t>
            </w:r>
            <w:r>
              <w:rPr>
                <w:rFonts w:hint="eastAsia" w:asciiTheme="minorEastAsia" w:hAnsiTheme="minorEastAsia" w:eastAsiaTheme="minorEastAsia" w:cstheme="minorEastAsia"/>
                <w:b w:val="0"/>
                <w:bCs w:val="0"/>
                <w:color w:val="auto"/>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Cs w:val="21"/>
              </w:rPr>
              <w:t>（4）评审为差（如项目实施方案不完善，工作内容和安排考虑欠周到，流程不合理，可行性差）的不加分。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ascii="宋体" w:hAnsi="宋体"/>
                <w:szCs w:val="21"/>
              </w:rPr>
            </w:pPr>
            <w:r>
              <w:rPr>
                <w:rFonts w:hint="eastAsia" w:ascii="宋体" w:hAnsi="宋体"/>
                <w:szCs w:val="21"/>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rPr>
              <w:t>技术要求偏离情况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宋体" w:hAnsi="宋体" w:cs="宋体"/>
                <w:color w:val="auto"/>
                <w:kern w:val="0"/>
                <w:szCs w:val="21"/>
                <w:lang w:val="en-US" w:eastAsia="zh-CN"/>
              </w:rPr>
              <w:t>27</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考察内容：</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评审委员会根据《技术要求偏离表》（以下简称“偏离表”）响应情况进行打分，全部满足的得</w:t>
            </w:r>
            <w:r>
              <w:rPr>
                <w:rFonts w:hint="eastAsia" w:asciiTheme="minorEastAsia" w:hAnsiTheme="minorEastAsia" w:eastAsiaTheme="minorEastAsia" w:cstheme="minorEastAsia"/>
                <w:color w:val="auto"/>
                <w:szCs w:val="21"/>
                <w:lang w:val="en-US" w:eastAsia="zh-CN"/>
              </w:rPr>
              <w:t>100</w:t>
            </w:r>
            <w:r>
              <w:rPr>
                <w:rFonts w:hint="eastAsia" w:asciiTheme="minorEastAsia" w:hAnsiTheme="minorEastAsia" w:eastAsiaTheme="minorEastAsia" w:cstheme="minorEastAsia"/>
                <w:color w:val="auto"/>
                <w:szCs w:val="21"/>
              </w:rPr>
              <w:t>分，一般参数每负偏离一项扣</w:t>
            </w:r>
            <w:r>
              <w:rPr>
                <w:rFonts w:hint="eastAsia" w:asciiTheme="minorEastAsia" w:hAnsi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分，重点技术参数▲项每负偏离一项扣分。扣完为止。</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证明文件：</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color w:val="auto"/>
                <w:szCs w:val="21"/>
              </w:rPr>
              <w:t>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投标人的“技术要求响应情况”“技术要求偏离情况”等必须与客观实际保持一致，响应不实且情节严重的，经查实，将依法记入供应商诚信档案或受到行政处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技术培训力量</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b w:val="0"/>
                <w:bCs w:val="0"/>
                <w:color w:val="auto"/>
                <w:szCs w:val="21"/>
                <w:lang w:val="en-US" w:eastAsia="zh-CN"/>
              </w:rPr>
            </w:pPr>
            <w:r>
              <w:rPr>
                <w:rFonts w:hint="eastAsia" w:asciiTheme="minorEastAsia" w:hAnsiTheme="minorEastAsia" w:cstheme="minorEastAsia"/>
                <w:b/>
                <w:bCs/>
                <w:color w:val="auto"/>
                <w:szCs w:val="21"/>
                <w:lang w:val="en-US" w:eastAsia="zh-CN"/>
              </w:rPr>
              <w:t>考察内容：</w:t>
            </w:r>
            <w:r>
              <w:rPr>
                <w:rFonts w:hint="eastAsia" w:asciiTheme="minorEastAsia" w:hAnsiTheme="minorEastAsia" w:cstheme="minorEastAsia"/>
                <w:b w:val="0"/>
                <w:bCs w:val="0"/>
                <w:color w:val="auto"/>
                <w:szCs w:val="21"/>
                <w:lang w:val="en-US" w:eastAsia="zh-CN"/>
              </w:rPr>
              <w:br w:type="textWrapping"/>
            </w:r>
            <w:r>
              <w:rPr>
                <w:rFonts w:hint="eastAsia" w:asciiTheme="minorEastAsia" w:hAnsiTheme="minorEastAsia" w:cstheme="minorEastAsia"/>
                <w:b w:val="0"/>
                <w:bCs w:val="0"/>
                <w:color w:val="auto"/>
                <w:szCs w:val="21"/>
                <w:lang w:val="en-US" w:eastAsia="zh-CN"/>
              </w:rPr>
              <w:t>每提供一名音乐类学院本科或以上学历的得50分，最高得100分。</w:t>
            </w:r>
            <w:r>
              <w:rPr>
                <w:rFonts w:hint="eastAsia" w:asciiTheme="minorEastAsia" w:hAnsiTheme="minorEastAsia" w:cstheme="minorEastAsia"/>
                <w:b w:val="0"/>
                <w:bCs w:val="0"/>
                <w:color w:val="auto"/>
                <w:szCs w:val="21"/>
                <w:lang w:val="en-US" w:eastAsia="zh-CN"/>
              </w:rPr>
              <w:br w:type="textWrapping"/>
            </w:r>
            <w:r>
              <w:rPr>
                <w:rFonts w:hint="eastAsia" w:asciiTheme="minorEastAsia" w:hAnsiTheme="minorEastAsia" w:cstheme="minorEastAsia"/>
                <w:b/>
                <w:bCs/>
                <w:color w:val="auto"/>
                <w:szCs w:val="21"/>
                <w:lang w:val="en-US" w:eastAsia="zh-CN"/>
              </w:rPr>
              <w:t>证明文件：</w:t>
            </w:r>
            <w:r>
              <w:rPr>
                <w:rFonts w:hint="eastAsia" w:asciiTheme="minorEastAsia" w:hAnsiTheme="minorEastAsia" w:cstheme="minorEastAsia"/>
                <w:b w:val="0"/>
                <w:bCs w:val="0"/>
                <w:color w:val="auto"/>
                <w:szCs w:val="21"/>
                <w:lang w:val="en-US" w:eastAsia="zh-CN"/>
              </w:rPr>
              <w:br w:type="textWrapping"/>
            </w:r>
            <w:r>
              <w:rPr>
                <w:rFonts w:hint="eastAsia" w:asciiTheme="minorEastAsia" w:hAnsiTheme="minorEastAsia" w:cstheme="minorEastAsia"/>
                <w:b w:val="0"/>
                <w:bCs w:val="0"/>
                <w:color w:val="auto"/>
                <w:szCs w:val="21"/>
                <w:lang w:val="en-US" w:eastAsia="zh-CN"/>
              </w:rPr>
              <w:t>1.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r>
              <w:rPr>
                <w:rFonts w:hint="eastAsia" w:asciiTheme="minorEastAsia" w:hAnsiTheme="minorEastAsia" w:cstheme="minorEastAsia"/>
                <w:b w:val="0"/>
                <w:bCs w:val="0"/>
                <w:color w:val="auto"/>
                <w:szCs w:val="21"/>
                <w:lang w:val="en-US" w:eastAsia="zh-CN"/>
              </w:rPr>
              <w:br w:type="textWrapping"/>
            </w:r>
            <w:r>
              <w:rPr>
                <w:rFonts w:hint="eastAsia" w:asciiTheme="minorEastAsia" w:hAnsiTheme="minorEastAsia" w:cstheme="minorEastAsia"/>
                <w:b w:val="0"/>
                <w:bCs w:val="0"/>
                <w:color w:val="auto"/>
                <w:szCs w:val="21"/>
                <w:lang w:val="en-US" w:eastAsia="zh-CN"/>
              </w:rPr>
              <w:t>2.提供开标日前由投标人为其缴交的载有政府部门公章（或专用章）的2025年9-11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3个月的，需承诺相关人员为投标人自有员工，承诺函格式自拟并加盖公章；</w:t>
            </w:r>
            <w:r>
              <w:rPr>
                <w:rFonts w:hint="eastAsia" w:asciiTheme="minorEastAsia" w:hAnsiTheme="minorEastAsia" w:cstheme="minorEastAsia"/>
                <w:b w:val="0"/>
                <w:bCs w:val="0"/>
                <w:color w:val="auto"/>
                <w:szCs w:val="21"/>
                <w:lang w:val="en-US" w:eastAsia="zh-CN"/>
              </w:rPr>
              <w:br w:type="textWrapping"/>
            </w:r>
            <w:r>
              <w:rPr>
                <w:rFonts w:hint="eastAsia" w:asciiTheme="minorEastAsia" w:hAnsiTheme="minorEastAsia" w:cstheme="minorEastAsia"/>
                <w:b w:val="0"/>
                <w:bCs w:val="0"/>
                <w:color w:val="auto"/>
                <w:szCs w:val="21"/>
                <w:lang w:val="en-US" w:eastAsia="zh-CN"/>
              </w:rPr>
              <w:t>以上证明文件原件备查，未提供或未按要求提供或提供的不清晰导致专家无法判断的，不得分。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default" w:ascii="宋体" w:hAnsi="宋体" w:eastAsiaTheme="minorEastAsia"/>
                <w:szCs w:val="21"/>
                <w:lang w:val="en-US" w:eastAsia="zh-CN"/>
              </w:rPr>
            </w:pPr>
            <w:r>
              <w:rPr>
                <w:rFonts w:hint="eastAsia" w:ascii="宋体" w:hAnsi="宋体"/>
                <w:szCs w:val="21"/>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维修技术服务能力</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9</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b w:val="0"/>
                <w:bCs w:val="0"/>
                <w:color w:val="auto"/>
                <w:szCs w:val="21"/>
                <w:lang w:val="en-US" w:eastAsia="zh-CN"/>
              </w:rPr>
            </w:pPr>
            <w:r>
              <w:rPr>
                <w:rFonts w:hint="eastAsia"/>
                <w:b/>
                <w:bCs/>
                <w:color w:val="auto"/>
                <w:lang w:eastAsia="zh-CN"/>
              </w:rPr>
              <w:t>考察内容：</w:t>
            </w:r>
            <w:r>
              <w:rPr>
                <w:rFonts w:hint="eastAsia"/>
                <w:color w:val="auto"/>
                <w:lang w:eastAsia="zh-CN"/>
              </w:rPr>
              <w:br w:type="textWrapping"/>
            </w:r>
            <w:r>
              <w:rPr>
                <w:rFonts w:hint="eastAsia"/>
                <w:color w:val="auto"/>
                <w:lang w:eastAsia="zh-CN"/>
              </w:rPr>
              <w:t>投标人的每提供一名售后服务技术人员，具有行政机关或事业单位</w:t>
            </w:r>
            <w:r>
              <w:rPr>
                <w:rFonts w:hint="eastAsia"/>
                <w:color w:val="auto"/>
                <w:lang w:val="en-US" w:eastAsia="zh-CN"/>
              </w:rPr>
              <w:t>或国家职业技能鉴定中心</w:t>
            </w:r>
            <w:r>
              <w:rPr>
                <w:rFonts w:hint="eastAsia"/>
                <w:color w:val="auto"/>
                <w:lang w:eastAsia="zh-CN"/>
              </w:rPr>
              <w:t>或第三方社会评价组织（含协会）颁发的调律师（三级技能及以上）证书，或调律类专业</w:t>
            </w:r>
            <w:r>
              <w:rPr>
                <w:rFonts w:hint="eastAsia"/>
                <w:color w:val="auto"/>
                <w:lang w:val="en-US" w:eastAsia="zh-CN"/>
              </w:rPr>
              <w:t>大专文凭</w:t>
            </w:r>
            <w:r>
              <w:rPr>
                <w:rFonts w:hint="eastAsia"/>
                <w:color w:val="auto"/>
                <w:lang w:eastAsia="zh-CN"/>
              </w:rPr>
              <w:t>（或以上）的，得</w:t>
            </w:r>
            <w:r>
              <w:rPr>
                <w:rFonts w:hint="eastAsia" w:asciiTheme="minorEastAsia" w:hAnsiTheme="minorEastAsia" w:cstheme="minorEastAsia"/>
                <w:b w:val="0"/>
                <w:bCs w:val="0"/>
                <w:color w:val="auto"/>
                <w:szCs w:val="21"/>
                <w:lang w:val="en-US" w:eastAsia="zh-CN"/>
              </w:rPr>
              <w:t>35分，最高得100分。</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b/>
                <w:bCs/>
                <w:color w:val="auto"/>
                <w:szCs w:val="21"/>
                <w:lang w:val="en-US" w:eastAsia="zh-CN"/>
              </w:rPr>
            </w:pPr>
            <w:r>
              <w:rPr>
                <w:rFonts w:hint="default" w:asciiTheme="minorEastAsia" w:hAnsiTheme="minorEastAsia" w:cstheme="minorEastAsia"/>
                <w:b/>
                <w:bCs/>
                <w:color w:val="auto"/>
                <w:szCs w:val="21"/>
                <w:lang w:val="en-US" w:eastAsia="zh-CN"/>
              </w:rPr>
              <w:t>证明文件：</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b w:val="0"/>
                <w:bCs w:val="0"/>
                <w:color w:val="auto"/>
                <w:szCs w:val="21"/>
                <w:lang w:val="en-US" w:eastAsia="zh-CN"/>
              </w:rPr>
            </w:pPr>
            <w:r>
              <w:rPr>
                <w:rFonts w:hint="default" w:asciiTheme="minorEastAsia" w:hAnsiTheme="minorEastAsia" w:cstheme="minorEastAsia"/>
                <w:b w:val="0"/>
                <w:bCs w:val="0"/>
                <w:color w:val="auto"/>
                <w:szCs w:val="21"/>
                <w:lang w:val="en-US" w:eastAsia="zh-CN"/>
              </w:rPr>
              <w:t>1</w:t>
            </w:r>
            <w:r>
              <w:rPr>
                <w:rFonts w:hint="eastAsia" w:asciiTheme="minorEastAsia" w:hAnsiTheme="minorEastAsia" w:cstheme="minorEastAsia"/>
                <w:b w:val="0"/>
                <w:bCs w:val="0"/>
                <w:color w:val="auto"/>
                <w:szCs w:val="21"/>
                <w:lang w:val="en-US" w:eastAsia="zh-CN"/>
              </w:rPr>
              <w:t>.学历的</w:t>
            </w:r>
            <w:r>
              <w:rPr>
                <w:rFonts w:hint="default" w:asciiTheme="minorEastAsia" w:hAnsiTheme="minorEastAsia" w:cstheme="minorEastAsia"/>
                <w:b w:val="0"/>
                <w:bCs w:val="0"/>
                <w:color w:val="auto"/>
                <w:szCs w:val="21"/>
                <w:lang w:val="en-US" w:eastAsia="zh-CN"/>
              </w:rPr>
              <w:t>提供毕业证书</w:t>
            </w:r>
            <w:r>
              <w:rPr>
                <w:rFonts w:hint="eastAsia" w:asciiTheme="minorEastAsia" w:hAnsiTheme="minorEastAsia" w:cstheme="minorEastAsia"/>
                <w:b w:val="0"/>
                <w:bCs w:val="0"/>
                <w:color w:val="auto"/>
                <w:szCs w:val="21"/>
                <w:lang w:val="en-US" w:eastAsia="zh-CN"/>
              </w:rPr>
              <w:t>、</w:t>
            </w:r>
            <w:r>
              <w:rPr>
                <w:rFonts w:hint="default" w:asciiTheme="minorEastAsia" w:hAnsiTheme="minorEastAsia" w:cstheme="minorEastAsia"/>
                <w:b w:val="0"/>
                <w:bCs w:val="0"/>
                <w:color w:val="auto"/>
                <w:szCs w:val="21"/>
                <w:lang w:val="en-US" w:eastAsia="zh-CN"/>
              </w:rPr>
              <w:t>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b w:val="0"/>
                <w:bCs w:val="0"/>
                <w:color w:val="auto"/>
                <w:szCs w:val="21"/>
                <w:lang w:val="en-US" w:eastAsia="zh-CN"/>
              </w:rPr>
            </w:pPr>
            <w:r>
              <w:rPr>
                <w:rFonts w:hint="default" w:asciiTheme="minorEastAsia" w:hAnsiTheme="minorEastAsia" w:cstheme="minorEastAsia"/>
                <w:b w:val="0"/>
                <w:bCs w:val="0"/>
                <w:color w:val="auto"/>
                <w:szCs w:val="21"/>
                <w:lang w:val="en-US" w:eastAsia="zh-CN"/>
              </w:rPr>
              <w:t>2</w:t>
            </w:r>
            <w:r>
              <w:rPr>
                <w:rFonts w:hint="eastAsia" w:asciiTheme="minorEastAsia" w:hAnsiTheme="minorEastAsia" w:cstheme="minorEastAsia"/>
                <w:b w:val="0"/>
                <w:bCs w:val="0"/>
                <w:color w:val="auto"/>
                <w:szCs w:val="21"/>
                <w:lang w:val="en-US" w:eastAsia="zh-CN"/>
              </w:rPr>
              <w:t>.调律师证书的需提供证书扫描件</w:t>
            </w:r>
            <w:r>
              <w:rPr>
                <w:rFonts w:hint="eastAsia" w:asciiTheme="minorEastAsia" w:hAnsiTheme="minorEastAsia" w:cstheme="minorEastAsia"/>
                <w:b w:val="0"/>
                <w:bCs w:val="0"/>
                <w:szCs w:val="21"/>
                <w:lang w:val="en-US" w:eastAsia="zh-CN"/>
              </w:rPr>
              <w:t>由行业协会(机构）颁发的证书，还需提供该协会(机构）在“中国社会组织政务服务平台https://chinanpo.mca.gov.cn/”的已合法登记且状态正常截图，或该协会(机构）由政府部门或行政事业单位审批的证明文件扫描件，否则不予认可，视为无效证书；</w:t>
            </w:r>
            <w:r>
              <w:rPr>
                <w:rFonts w:hint="default" w:asciiTheme="minorEastAsia" w:hAnsiTheme="minorEastAsia" w:cstheme="minorEastAsia"/>
                <w:b w:val="0"/>
                <w:bCs w:val="0"/>
                <w:color w:val="auto"/>
                <w:szCs w:val="21"/>
                <w:lang w:val="en-US" w:eastAsia="zh-CN"/>
              </w:rPr>
              <w:br w:type="textWrapping"/>
            </w:r>
            <w:r>
              <w:rPr>
                <w:rFonts w:hint="eastAsia" w:asciiTheme="minorEastAsia" w:hAnsiTheme="minorEastAsia" w:cstheme="minorEastAsia"/>
                <w:b w:val="0"/>
                <w:bCs w:val="0"/>
                <w:color w:val="auto"/>
                <w:szCs w:val="21"/>
                <w:lang w:val="en-US" w:eastAsia="zh-CN"/>
              </w:rPr>
              <w:t>3.</w:t>
            </w:r>
            <w:r>
              <w:rPr>
                <w:rFonts w:hint="default" w:asciiTheme="minorEastAsia" w:hAnsiTheme="minorEastAsia" w:cstheme="minorEastAsia"/>
                <w:b w:val="0"/>
                <w:bCs w:val="0"/>
                <w:color w:val="auto"/>
                <w:szCs w:val="21"/>
                <w:lang w:val="en-US" w:eastAsia="zh-CN"/>
              </w:rPr>
              <w:t>提供开标日前由投标人为其缴交的载有政府部门公章（或专用章）的2025年9-11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3个月的，需承诺相关人员为投标人自有员工，承诺函格式自拟并加盖公章；</w:t>
            </w:r>
          </w:p>
          <w:p>
            <w:pPr>
              <w:keepNext w:val="0"/>
              <w:keepLines w:val="0"/>
              <w:pageBreakBefore w:val="0"/>
              <w:kinsoku/>
              <w:wordWrap/>
              <w:overflowPunct/>
              <w:topLinePunct w:val="0"/>
              <w:autoSpaceDE/>
              <w:autoSpaceDN/>
              <w:bidi w:val="0"/>
              <w:adjustRightInd/>
              <w:snapToGrid/>
              <w:spacing w:line="360" w:lineRule="exact"/>
              <w:textAlignment w:val="auto"/>
              <w:rPr>
                <w:rFonts w:hint="default"/>
                <w:color w:val="auto"/>
                <w:lang w:val="en-US" w:eastAsia="zh-CN"/>
              </w:rPr>
            </w:pPr>
            <w:r>
              <w:rPr>
                <w:rFonts w:hint="default" w:asciiTheme="minorEastAsia" w:hAnsiTheme="minorEastAsia" w:cstheme="minorEastAsia"/>
                <w:b w:val="0"/>
                <w:bCs w:val="0"/>
                <w:color w:val="auto"/>
                <w:szCs w:val="21"/>
                <w:lang w:val="en-US" w:eastAsia="zh-CN"/>
              </w:rPr>
              <w:t>以上证明文件原件备查，未提供或未按要求提供或提供的不清晰导致专家无法判断的，不得分。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3</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Theme="minorEastAsia" w:hAnsiTheme="minorEastAsia"/>
                <w:b/>
                <w:bCs/>
                <w:szCs w:val="21"/>
              </w:rPr>
              <w:t>商务</w:t>
            </w:r>
            <w:r>
              <w:rPr>
                <w:rFonts w:hint="eastAsia" w:ascii="宋体" w:hAnsi="宋体" w:cs="宋体"/>
                <w:b/>
                <w:bCs/>
                <w:szCs w:val="21"/>
              </w:rPr>
              <w:t>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240" w:lineRule="exact"/>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rHeight w:val="90" w:hRule="atLeast"/>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cs="宋体"/>
                <w:kern w:val="0"/>
                <w:szCs w:val="21"/>
              </w:rPr>
            </w:pPr>
            <w:r>
              <w:rPr>
                <w:rFonts w:hint="eastAsia" w:ascii="宋体" w:hAnsi="宋体" w:cs="宋体"/>
                <w:kern w:val="0"/>
                <w:szCs w:val="21"/>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cs="宋体"/>
                <w:kern w:val="0"/>
                <w:szCs w:val="21"/>
              </w:rPr>
            </w:pPr>
            <w:r>
              <w:rPr>
                <w:rFonts w:hint="eastAsia" w:ascii="宋体" w:hAnsi="宋体" w:cs="宋体"/>
                <w:kern w:val="0"/>
                <w:szCs w:val="21"/>
                <w:lang w:val="en-US" w:eastAsia="zh-CN"/>
              </w:rPr>
              <w:t>6</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auto"/>
              <w:rPr>
                <w:rFonts w:ascii="宋体" w:hAnsi="宋体" w:cs="宋体" w:eastAsiaTheme="minorEastAsia"/>
                <w:szCs w:val="21"/>
              </w:rPr>
            </w:pPr>
            <w:r>
              <w:rPr>
                <w:rFonts w:hint="eastAsia" w:ascii="宋体" w:hAnsi="宋体" w:eastAsia="宋体" w:cs="宋体"/>
                <w:b/>
                <w:bCs/>
                <w:i w:val="0"/>
                <w:iCs w:val="0"/>
                <w:kern w:val="0"/>
                <w:sz w:val="21"/>
                <w:szCs w:val="21"/>
                <w:u w:val="none"/>
                <w:lang w:val="en-US" w:eastAsia="zh-CN" w:bidi="ar"/>
              </w:rPr>
              <w:t>考察内容：</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投标人应如实填写《商务条款偏离情况》，评审小组根据响应情况进行打分，全部满足要求的得100分，每负偏离一项一般条款扣50分。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hint="default" w:ascii="宋体" w:hAnsi="宋体" w:cs="宋体"/>
                <w:szCs w:val="21"/>
                <w:lang w:val="en-US" w:eastAsia="zh-CN"/>
              </w:rPr>
            </w:pPr>
            <w:r>
              <w:rPr>
                <w:rFonts w:hint="eastAsia" w:ascii="宋体" w:hAnsi="宋体" w:cs="宋体"/>
                <w:szCs w:val="21"/>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cs="宋体"/>
                <w:kern w:val="0"/>
                <w:szCs w:val="21"/>
              </w:rPr>
            </w:pPr>
            <w:r>
              <w:rPr>
                <w:rFonts w:hint="eastAsia" w:ascii="宋体" w:hAnsi="宋体" w:cs="宋体"/>
                <w:kern w:val="0"/>
                <w:szCs w:val="21"/>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kern w:val="0"/>
                <w:szCs w:val="21"/>
              </w:rPr>
            </w:pPr>
            <w:r>
              <w:rPr>
                <w:rFonts w:hint="eastAsia" w:ascii="宋体" w:hAnsi="宋体" w:cs="宋体"/>
                <w:b/>
                <w:bCs/>
                <w:kern w:val="0"/>
                <w:szCs w:val="21"/>
              </w:rPr>
              <w:t>考察内容：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val="0"/>
                <w:bCs w:val="0"/>
                <w:kern w:val="0"/>
                <w:szCs w:val="21"/>
              </w:rPr>
            </w:pPr>
            <w:r>
              <w:rPr>
                <w:rFonts w:hint="eastAsia" w:ascii="宋体" w:hAnsi="宋体" w:cs="宋体"/>
                <w:b w:val="0"/>
                <w:bCs w:val="0"/>
                <w:kern w:val="0"/>
                <w:szCs w:val="21"/>
              </w:rPr>
              <w:t>投标人202</w:t>
            </w:r>
            <w:r>
              <w:rPr>
                <w:rFonts w:hint="eastAsia" w:ascii="宋体" w:hAnsi="宋体" w:cs="宋体"/>
                <w:b w:val="0"/>
                <w:bCs w:val="0"/>
                <w:kern w:val="0"/>
                <w:szCs w:val="21"/>
                <w:lang w:val="en-US" w:eastAsia="zh-CN"/>
              </w:rPr>
              <w:t>3</w:t>
            </w:r>
            <w:r>
              <w:rPr>
                <w:rFonts w:hint="eastAsia" w:ascii="宋体" w:hAnsi="宋体" w:cs="宋体"/>
                <w:b w:val="0"/>
                <w:bCs w:val="0"/>
                <w:kern w:val="0"/>
                <w:szCs w:val="21"/>
              </w:rPr>
              <w:t>年1月1日至本项目投标截止时间（以签订合同日期为准）</w:t>
            </w:r>
            <w:r>
              <w:rPr>
                <w:rFonts w:hint="eastAsia" w:ascii="宋体" w:hAnsi="宋体" w:cs="宋体"/>
                <w:b w:val="0"/>
                <w:bCs w:val="0"/>
                <w:kern w:val="0"/>
                <w:szCs w:val="21"/>
                <w:lang w:eastAsia="zh-CN"/>
              </w:rPr>
              <w:t>，</w:t>
            </w:r>
            <w:r>
              <w:rPr>
                <w:rFonts w:hint="eastAsia" w:ascii="宋体" w:hAnsi="宋体" w:cs="宋体"/>
                <w:b w:val="0"/>
                <w:bCs w:val="0"/>
                <w:kern w:val="0"/>
                <w:szCs w:val="21"/>
              </w:rPr>
              <w:t>每提供1</w:t>
            </w:r>
            <w:r>
              <w:rPr>
                <w:rFonts w:hint="eastAsia" w:ascii="宋体" w:hAnsi="宋体" w:cs="宋体"/>
                <w:b w:val="0"/>
                <w:bCs w:val="0"/>
                <w:kern w:val="0"/>
                <w:szCs w:val="21"/>
                <w:lang w:val="en-US" w:eastAsia="zh-CN"/>
              </w:rPr>
              <w:t>项</w:t>
            </w:r>
            <w:r>
              <w:rPr>
                <w:rFonts w:hint="eastAsia" w:ascii="宋体" w:hAnsi="宋体" w:cs="宋体"/>
                <w:b w:val="0"/>
                <w:bCs w:val="0"/>
                <w:kern w:val="0"/>
                <w:szCs w:val="21"/>
              </w:rPr>
              <w:t>音乐器材类项目</w:t>
            </w:r>
            <w:r>
              <w:rPr>
                <w:rFonts w:hint="eastAsia" w:ascii="宋体" w:hAnsi="宋体" w:eastAsia="宋体" w:cs="宋体"/>
                <w:kern w:val="2"/>
                <w:sz w:val="21"/>
                <w:szCs w:val="21"/>
                <w:lang w:eastAsia="zh-CN"/>
              </w:rPr>
              <w:t>业绩</w:t>
            </w:r>
            <w:r>
              <w:rPr>
                <w:rFonts w:hint="eastAsia" w:ascii="宋体" w:hAnsi="宋体" w:cs="宋体"/>
                <w:b w:val="0"/>
                <w:bCs w:val="0"/>
                <w:kern w:val="0"/>
                <w:szCs w:val="21"/>
              </w:rPr>
              <w:t>得</w:t>
            </w:r>
            <w:r>
              <w:rPr>
                <w:rFonts w:hint="eastAsia" w:ascii="宋体" w:hAnsi="宋体" w:cs="宋体"/>
                <w:b w:val="0"/>
                <w:bCs w:val="0"/>
                <w:kern w:val="0"/>
                <w:szCs w:val="21"/>
                <w:lang w:val="en-US" w:eastAsia="zh-CN"/>
              </w:rPr>
              <w:t>50</w:t>
            </w:r>
            <w:r>
              <w:rPr>
                <w:rFonts w:hint="eastAsia" w:ascii="宋体" w:hAnsi="宋体" w:cs="宋体"/>
                <w:b w:val="0"/>
                <w:bCs w:val="0"/>
                <w:kern w:val="0"/>
                <w:szCs w:val="21"/>
              </w:rPr>
              <w:t>分，最高得</w:t>
            </w:r>
            <w:r>
              <w:rPr>
                <w:rFonts w:hint="eastAsia" w:ascii="宋体" w:hAnsi="宋体" w:cs="宋体"/>
                <w:b w:val="0"/>
                <w:bCs w:val="0"/>
                <w:kern w:val="0"/>
                <w:szCs w:val="21"/>
                <w:lang w:val="en-US" w:eastAsia="zh-CN"/>
              </w:rPr>
              <w:t>100</w:t>
            </w:r>
            <w:r>
              <w:rPr>
                <w:rFonts w:hint="eastAsia" w:ascii="宋体" w:hAnsi="宋体" w:cs="宋体"/>
                <w:b w:val="0"/>
                <w:bCs w:val="0"/>
                <w:kern w:val="0"/>
                <w:szCs w:val="21"/>
              </w:rPr>
              <w:t>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kern w:val="0"/>
                <w:szCs w:val="21"/>
              </w:rPr>
            </w:pPr>
            <w:r>
              <w:rPr>
                <w:rFonts w:hint="eastAsia" w:ascii="宋体" w:hAnsi="宋体" w:cs="宋体"/>
                <w:b/>
                <w:bCs/>
                <w:kern w:val="0"/>
                <w:szCs w:val="21"/>
              </w:rPr>
              <w:t>证明文件：</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val="0"/>
                <w:bCs w:val="0"/>
                <w:kern w:val="0"/>
                <w:szCs w:val="21"/>
              </w:rPr>
            </w:pPr>
            <w:r>
              <w:rPr>
                <w:rFonts w:hint="eastAsia" w:ascii="宋体" w:hAnsi="宋体" w:cs="宋体"/>
                <w:b w:val="0"/>
                <w:bCs w:val="0"/>
                <w:kern w:val="0"/>
                <w:szCs w:val="21"/>
              </w:rPr>
              <w:t>提供</w:t>
            </w:r>
            <w:r>
              <w:rPr>
                <w:rFonts w:hint="eastAsia" w:ascii="宋体" w:hAnsi="宋体" w:cs="宋体"/>
                <w:b w:val="0"/>
                <w:bCs w:val="0"/>
                <w:kern w:val="0"/>
                <w:szCs w:val="21"/>
                <w:lang w:eastAsia="zh-CN"/>
              </w:rPr>
              <w:t>中标通知书、</w:t>
            </w:r>
            <w:r>
              <w:rPr>
                <w:rFonts w:hint="eastAsia" w:ascii="宋体" w:hAnsi="宋体" w:cs="宋体"/>
                <w:b w:val="0"/>
                <w:bCs w:val="0"/>
                <w:kern w:val="0"/>
                <w:szCs w:val="21"/>
              </w:rPr>
              <w:t>合同或协议关键页（关键信息包括但不仅限于合同的项目名称、服务内容、签订日期等）</w:t>
            </w:r>
            <w:r>
              <w:rPr>
                <w:rFonts w:hint="eastAsia" w:ascii="宋体" w:hAnsi="宋体" w:cs="宋体"/>
                <w:b w:val="0"/>
                <w:bCs w:val="0"/>
                <w:kern w:val="0"/>
                <w:szCs w:val="21"/>
                <w:lang w:eastAsia="zh-CN"/>
              </w:rPr>
              <w:t>。原件备查，</w:t>
            </w:r>
            <w:r>
              <w:rPr>
                <w:rFonts w:hint="eastAsia" w:ascii="宋体" w:hAnsi="宋体" w:cs="宋体"/>
                <w:b w:val="0"/>
                <w:bCs w:val="0"/>
                <w:kern w:val="0"/>
                <w:szCs w:val="21"/>
              </w:rPr>
              <w:t>未提供或未按要求提供或提供的不清晰导致评审委员会无法判断的，不得分。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cs="宋体"/>
                <w:kern w:val="0"/>
                <w:szCs w:val="21"/>
              </w:rPr>
            </w:pPr>
            <w:r>
              <w:rPr>
                <w:rFonts w:hint="eastAsia" w:ascii="宋体" w:hAnsi="宋体" w:cs="宋体"/>
                <w:kern w:val="0"/>
                <w:szCs w:val="21"/>
              </w:rPr>
              <w:t>履约评价情况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kern w:val="0"/>
                <w:szCs w:val="21"/>
              </w:rPr>
            </w:pPr>
            <w:r>
              <w:rPr>
                <w:rFonts w:hint="eastAsia" w:ascii="宋体" w:hAnsi="宋体" w:cs="宋体"/>
                <w:b/>
                <w:bCs/>
                <w:kern w:val="0"/>
                <w:szCs w:val="21"/>
              </w:rPr>
              <w:t>考察内容：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val="0"/>
                <w:bCs w:val="0"/>
                <w:kern w:val="0"/>
                <w:szCs w:val="21"/>
              </w:rPr>
            </w:pPr>
            <w:r>
              <w:rPr>
                <w:rFonts w:hint="eastAsia" w:ascii="宋体" w:hAnsi="宋体" w:cs="宋体"/>
                <w:b w:val="0"/>
                <w:bCs w:val="0"/>
                <w:kern w:val="0"/>
                <w:szCs w:val="21"/>
              </w:rPr>
              <w:t>具有上述同类项目经验并经用户单位考核评价为优或满意</w:t>
            </w:r>
            <w:r>
              <w:rPr>
                <w:rFonts w:hint="eastAsia" w:ascii="宋体" w:hAnsi="宋体" w:cs="宋体"/>
                <w:b w:val="0"/>
                <w:bCs w:val="0"/>
                <w:kern w:val="0"/>
                <w:szCs w:val="21"/>
                <w:lang w:eastAsia="zh-CN"/>
              </w:rPr>
              <w:t>或其他最高等级</w:t>
            </w:r>
            <w:r>
              <w:rPr>
                <w:rFonts w:hint="eastAsia" w:ascii="宋体" w:hAnsi="宋体" w:cs="宋体"/>
                <w:b w:val="0"/>
                <w:bCs w:val="0"/>
                <w:kern w:val="0"/>
                <w:szCs w:val="21"/>
              </w:rPr>
              <w:t>的</w:t>
            </w:r>
            <w:r>
              <w:rPr>
                <w:rFonts w:hint="eastAsia" w:ascii="宋体" w:hAnsi="宋体" w:cs="宋体"/>
                <w:b w:val="0"/>
                <w:bCs w:val="0"/>
                <w:kern w:val="0"/>
                <w:szCs w:val="21"/>
                <w:lang w:eastAsia="zh-CN"/>
              </w:rPr>
              <w:t>，</w:t>
            </w:r>
            <w:r>
              <w:rPr>
                <w:rFonts w:hint="eastAsia" w:ascii="宋体" w:hAnsi="宋体" w:cs="宋体"/>
                <w:b w:val="0"/>
                <w:bCs w:val="0"/>
                <w:kern w:val="0"/>
                <w:szCs w:val="21"/>
              </w:rPr>
              <w:t>每提供1项得</w:t>
            </w:r>
            <w:r>
              <w:rPr>
                <w:rFonts w:hint="eastAsia" w:ascii="宋体" w:hAnsi="宋体" w:cs="宋体"/>
                <w:b w:val="0"/>
                <w:bCs w:val="0"/>
                <w:kern w:val="0"/>
                <w:szCs w:val="21"/>
                <w:lang w:val="en-US" w:eastAsia="zh-CN"/>
              </w:rPr>
              <w:t>50分，最高得100分</w:t>
            </w:r>
            <w:r>
              <w:rPr>
                <w:rFonts w:hint="eastAsia" w:ascii="宋体" w:hAnsi="宋体" w:cs="宋体"/>
                <w:b w:val="0"/>
                <w:bCs w:val="0"/>
                <w:kern w:val="0"/>
                <w:szCs w:val="21"/>
              </w:rPr>
              <w:t>。</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kern w:val="0"/>
                <w:szCs w:val="21"/>
              </w:rPr>
            </w:pPr>
            <w:r>
              <w:rPr>
                <w:rFonts w:hint="eastAsia" w:ascii="宋体" w:hAnsi="宋体" w:cs="宋体"/>
                <w:b/>
                <w:bCs/>
                <w:kern w:val="0"/>
                <w:szCs w:val="21"/>
              </w:rPr>
              <w:t>证明文件：</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szCs w:val="21"/>
              </w:rPr>
            </w:pPr>
            <w:r>
              <w:rPr>
                <w:rFonts w:hint="eastAsia" w:ascii="宋体" w:hAnsi="宋体" w:cs="宋体"/>
                <w:b w:val="0"/>
                <w:bCs w:val="0"/>
                <w:kern w:val="0"/>
                <w:szCs w:val="21"/>
              </w:rPr>
              <w:t>提供盖有用户单位公章的履约评价扫描件，</w:t>
            </w:r>
            <w:r>
              <w:rPr>
                <w:rFonts w:hint="eastAsia" w:ascii="宋体" w:hAnsi="宋体" w:cs="宋体"/>
                <w:b w:val="0"/>
                <w:bCs w:val="0"/>
                <w:kern w:val="0"/>
                <w:szCs w:val="21"/>
                <w:lang w:eastAsia="zh-CN"/>
              </w:rPr>
              <w:t>原件备查，</w:t>
            </w:r>
            <w:r>
              <w:rPr>
                <w:rFonts w:hint="eastAsia" w:ascii="宋体" w:hAnsi="宋体" w:cs="宋体"/>
                <w:b w:val="0"/>
                <w:bCs w:val="0"/>
                <w:kern w:val="0"/>
                <w:szCs w:val="21"/>
              </w:rPr>
              <w:t>未提供或未按要求提供或提供的不清晰导致评审委员会无法判断的，不得分。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4</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其他部分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b/>
                <w:bCs/>
                <w:szCs w:val="21"/>
              </w:rPr>
            </w:pPr>
            <w:r>
              <w:rPr>
                <w:rFonts w:hint="eastAsia" w:ascii="宋体" w:hAnsi="宋体" w:cs="宋体"/>
                <w:b/>
                <w:bCs/>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pStyle w:val="2"/>
              <w:keepNext w:val="0"/>
              <w:keepLines w:val="0"/>
              <w:pageBreakBefore w:val="0"/>
              <w:kinsoku/>
              <w:wordWrap/>
              <w:overflowPunct/>
              <w:topLinePunct w:val="0"/>
              <w:autoSpaceDE/>
              <w:autoSpaceDN/>
              <w:bidi w:val="0"/>
              <w:adjustRightInd/>
              <w:spacing w:line="240" w:lineRule="exact"/>
            </w:pPr>
            <w:r>
              <w:rPr>
                <w:rFonts w:hint="eastAsia" w:asciiTheme="minorEastAsia" w:hAnsiTheme="minorEastAsia" w:cstheme="minorEastAsia"/>
                <w:b w:val="0"/>
                <w:bCs w:val="0"/>
                <w:sz w:val="21"/>
                <w:szCs w:val="21"/>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pPr>
        <w:rPr>
          <w:b/>
          <w:sz w:val="120"/>
          <w:szCs w:val="120"/>
        </w:rPr>
      </w:pPr>
      <w:r>
        <w:rPr>
          <w:rFonts w:hint="eastAsia"/>
          <w:b/>
          <w:sz w:val="120"/>
          <w:szCs w:val="120"/>
        </w:rPr>
        <w:br w:type="page"/>
      </w:r>
    </w:p>
    <w:p/>
    <w:p>
      <w:pPr>
        <w:pStyle w:val="2"/>
        <w:rPr>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pPr>
        <w:ind w:firstLine="6786" w:firstLineChars="1300"/>
        <w:jc w:val="center"/>
        <w:rPr>
          <w:bCs/>
          <w:color w:val="FF0000"/>
        </w:rPr>
      </w:pPr>
      <w:r>
        <w:rPr>
          <w:rFonts w:hint="eastAsia"/>
          <w:b/>
          <w:color w:val="FF0000"/>
          <w:sz w:val="52"/>
          <w:szCs w:val="52"/>
        </w:rPr>
        <w:br w:type="page"/>
      </w: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hint="eastAsia"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pPr>
      <w:r>
        <w:br w:type="page"/>
      </w:r>
    </w:p>
    <w:p>
      <w:pPr>
        <w:pStyle w:val="4"/>
        <w:spacing w:after="78"/>
        <w:jc w:val="center"/>
        <w:rPr>
          <w:sz w:val="32"/>
          <w:szCs w:val="32"/>
        </w:rPr>
      </w:pPr>
      <w:r>
        <w:rPr>
          <w:rFonts w:hint="eastAsia"/>
          <w:sz w:val="32"/>
          <w:szCs w:val="32"/>
        </w:rPr>
        <w:t>第一册  专用条款</w:t>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出具的载明愿为其参与本项目投标的行为以及履约等行为承担民事责任的加盖总公司公章的授权函）</w:t>
      </w:r>
      <w:r>
        <w:rPr>
          <w:rFonts w:hint="eastAsia" w:ascii="宋体" w:hAnsi="宋体" w:cs="宋体"/>
          <w:szCs w:val="21"/>
        </w:rPr>
        <w:t>；</w:t>
      </w:r>
    </w:p>
    <w:p>
      <w:pPr>
        <w:ind w:firstLine="630" w:firstLineChars="300"/>
        <w:rPr>
          <w:rFonts w:hint="eastAsia" w:ascii="宋体" w:hAnsi="宋体" w:eastAsia="宋体" w:cs="宋体"/>
          <w:szCs w:val="21"/>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rPr>
        <w:t>，</w:t>
      </w:r>
      <w:bookmarkStart w:id="2" w:name="OLE_LINK7"/>
      <w:r>
        <w:rPr>
          <w:rFonts w:hint="eastAsia" w:ascii="宋体" w:hAnsi="宋体" w:cs="宋体"/>
          <w:color w:val="FF0000"/>
          <w:kern w:val="0"/>
          <w:szCs w:val="21"/>
        </w:rPr>
        <w:t>不接受投标人选用进口产品参与投标，详见招标文件“第三章 用户需求书”</w:t>
      </w:r>
      <w:bookmarkEnd w:id="2"/>
      <w:r>
        <w:rPr>
          <w:rFonts w:hint="eastAsia" w:ascii="宋体" w:hAnsi="宋体" w:cs="宋体"/>
          <w:color w:val="FF0000"/>
          <w:kern w:val="0"/>
          <w:szCs w:val="21"/>
        </w:rPr>
        <w:t>；</w:t>
      </w:r>
      <w:bookmarkEnd w:id="0"/>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pPr>
        <w:ind w:firstLine="630" w:firstLineChars="300"/>
        <w:rPr>
          <w:rFonts w:hint="eastAsia" w:ascii="宋体" w:hAnsi="宋体" w:eastAsia="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b/>
          <w:bCs/>
          <w:color w:val="FF0000"/>
          <w:kern w:val="0"/>
          <w:szCs w:val="21"/>
        </w:rPr>
        <w:t>否。</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napToGrid w:val="0"/>
        <w:spacing w:line="300" w:lineRule="auto"/>
        <w:ind w:firstLine="480" w:firstLineChars="200"/>
        <w:rPr>
          <w:rFonts w:ascii="Arial" w:hAnsi="Arial" w:eastAsia="宋体" w:cs="Times New Roman"/>
          <w:sz w:val="24"/>
          <w:szCs w:val="24"/>
        </w:rPr>
      </w:pPr>
    </w:p>
    <w:p>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pPr>
        <w:spacing w:after="78" w:afterLines="25"/>
        <w:rPr>
          <w:rFonts w:ascii="Arial" w:hAnsi="Arial" w:eastAsia="宋体" w:cs="Times New Roman"/>
          <w:b/>
          <w:color w:val="FF0000"/>
          <w:sz w:val="30"/>
          <w:szCs w:val="30"/>
        </w:rPr>
      </w:pPr>
    </w:p>
    <w:p>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73517639"/>
      <w:bookmarkStart w:id="5" w:name="_Toc73518117"/>
      <w:bookmarkStart w:id="6" w:name="_Toc73521635"/>
      <w:bookmarkStart w:id="7" w:name="_Toc60631620"/>
      <w:bookmarkStart w:id="8" w:name="_Toc73521547"/>
      <w:bookmarkStart w:id="9" w:name="_Toc60560625"/>
      <w:bookmarkStart w:id="10" w:name="_Toc100052364"/>
      <w:bookmarkStart w:id="11" w:name="_Toc101074876"/>
      <w:r>
        <w:rPr>
          <w:rFonts w:hint="eastAsia" w:ascii="宋体" w:hAnsi="宋体" w:eastAsia="宋体" w:cs="Times New Roman"/>
          <w:b/>
          <w:bCs/>
          <w:kern w:val="0"/>
          <w:sz w:val="24"/>
          <w:szCs w:val="24"/>
        </w:rPr>
        <w:t>一、对通用条款的补充内容</w:t>
      </w:r>
    </w:p>
    <w:tbl>
      <w:tblPr>
        <w:tblStyle w:val="19"/>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b/>
                <w:bCs/>
              </w:rPr>
            </w:pPr>
            <w:r>
              <w:rPr>
                <w:rFonts w:hint="eastAsia" w:ascii="宋体" w:hAnsi="宋体"/>
                <w:b/>
                <w:bCs/>
              </w:rPr>
              <w:t>通用条款序号</w:t>
            </w:r>
          </w:p>
        </w:tc>
        <w:tc>
          <w:tcPr>
            <w:tcW w:w="1755" w:type="dxa"/>
            <w:vAlign w:val="center"/>
          </w:tcPr>
          <w:p>
            <w:pPr>
              <w:jc w:val="center"/>
              <w:rPr>
                <w:rFonts w:hint="eastAsia" w:ascii="宋体" w:hAnsi="宋体"/>
                <w:b/>
                <w:bCs/>
              </w:rPr>
            </w:pPr>
            <w:r>
              <w:rPr>
                <w:rFonts w:hint="eastAsia" w:ascii="宋体" w:hAnsi="宋体"/>
                <w:b/>
                <w:bCs/>
              </w:rPr>
              <w:t>涉及事项</w:t>
            </w:r>
          </w:p>
        </w:tc>
        <w:tc>
          <w:tcPr>
            <w:tcW w:w="6795"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.1</w:t>
            </w:r>
          </w:p>
        </w:tc>
        <w:tc>
          <w:tcPr>
            <w:tcW w:w="1755" w:type="dxa"/>
            <w:vAlign w:val="center"/>
          </w:tcPr>
          <w:p>
            <w:pPr>
              <w:jc w:val="left"/>
              <w:rPr>
                <w:rFonts w:hint="eastAsia" w:ascii="宋体" w:hAnsi="宋体"/>
              </w:rPr>
            </w:pPr>
            <w:r>
              <w:rPr>
                <w:rFonts w:hint="eastAsia" w:ascii="宋体" w:hAnsi="宋体"/>
              </w:rPr>
              <w:t>采购人</w:t>
            </w:r>
          </w:p>
        </w:tc>
        <w:tc>
          <w:tcPr>
            <w:tcW w:w="6795" w:type="dxa"/>
            <w:vAlign w:val="center"/>
          </w:tcPr>
          <w:p>
            <w:pPr>
              <w:jc w:val="left"/>
              <w:rPr>
                <w:rFonts w:hint="eastAsia" w:ascii="宋体" w:hAnsi="宋体"/>
              </w:rPr>
            </w:pPr>
            <w:r>
              <w:rPr>
                <w:rFonts w:hint="eastAsia" w:ascii="宋体" w:hAnsi="宋体"/>
              </w:rPr>
              <w:t>深圳市龙华外国语高级中学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.2</w:t>
            </w:r>
          </w:p>
        </w:tc>
        <w:tc>
          <w:tcPr>
            <w:tcW w:w="1755" w:type="dxa"/>
            <w:vAlign w:val="center"/>
          </w:tcPr>
          <w:p>
            <w:pPr>
              <w:jc w:val="center"/>
              <w:rPr>
                <w:rFonts w:hint="eastAsia" w:ascii="宋体" w:hAnsi="宋体"/>
              </w:rPr>
            </w:pPr>
            <w:r>
              <w:rPr>
                <w:rFonts w:hint="eastAsia" w:ascii="宋体" w:hAnsi="宋体"/>
              </w:rPr>
              <w:t>政府集中采购机构</w:t>
            </w:r>
          </w:p>
        </w:tc>
        <w:tc>
          <w:tcPr>
            <w:tcW w:w="6795" w:type="dxa"/>
            <w:vAlign w:val="center"/>
          </w:tcPr>
          <w:p>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5</w:t>
            </w:r>
            <w:r>
              <w:rPr>
                <w:rFonts w:ascii="宋体" w:hAnsi="宋体"/>
              </w:rPr>
              <w:t>.3</w:t>
            </w:r>
          </w:p>
        </w:tc>
        <w:tc>
          <w:tcPr>
            <w:tcW w:w="1755" w:type="dxa"/>
            <w:vAlign w:val="center"/>
          </w:tcPr>
          <w:p>
            <w:pPr>
              <w:jc w:val="center"/>
              <w:rPr>
                <w:rFonts w:hint="eastAsia" w:ascii="宋体" w:hAnsi="宋体"/>
              </w:rPr>
            </w:pPr>
            <w:r>
              <w:rPr>
                <w:rFonts w:hint="eastAsia" w:ascii="宋体" w:hAnsi="宋体"/>
              </w:rPr>
              <w:t>联合体投标</w:t>
            </w:r>
          </w:p>
        </w:tc>
        <w:tc>
          <w:tcPr>
            <w:tcW w:w="6795" w:type="dxa"/>
            <w:vAlign w:val="center"/>
          </w:tcPr>
          <w:p>
            <w:pPr>
              <w:jc w:val="left"/>
              <w:rPr>
                <w:rFonts w:ascii="Arial" w:hAnsi="Arial" w:eastAsia="宋体" w:cs="Times New Roman"/>
                <w:szCs w:val="24"/>
              </w:rPr>
            </w:pPr>
            <w:r>
              <w:rPr>
                <w:rFonts w:hint="eastAsia" w:ascii="Arial" w:hAnsi="Arial" w:eastAsia="宋体" w:cs="Times New Roman"/>
                <w:szCs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9</w:t>
            </w:r>
          </w:p>
        </w:tc>
        <w:tc>
          <w:tcPr>
            <w:tcW w:w="1755" w:type="dxa"/>
            <w:vAlign w:val="center"/>
          </w:tcPr>
          <w:p>
            <w:pPr>
              <w:jc w:val="center"/>
              <w:rPr>
                <w:rFonts w:hint="eastAsia" w:ascii="宋体" w:hAnsi="宋体"/>
                <w:b/>
                <w:bCs/>
                <w:highlight w:val="yellow"/>
              </w:rPr>
            </w:pPr>
            <w:r>
              <w:rPr>
                <w:rFonts w:hint="eastAsia" w:ascii="宋体" w:hAnsi="宋体"/>
              </w:rPr>
              <w:t>踏勘现场</w:t>
            </w:r>
          </w:p>
        </w:tc>
        <w:tc>
          <w:tcPr>
            <w:tcW w:w="6795" w:type="dxa"/>
            <w:vAlign w:val="center"/>
          </w:tcPr>
          <w:p>
            <w:pPr>
              <w:jc w:val="left"/>
              <w:rPr>
                <w:rFonts w:ascii="Arial" w:hAnsi="Arial" w:cs="Times New Roman"/>
                <w:szCs w:val="24"/>
              </w:rPr>
            </w:pPr>
            <w:r>
              <w:rPr>
                <w:rFonts w:hint="eastAsia" w:ascii="宋体" w:hAnsi="宋体" w:eastAsia="宋体" w:cs="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0</w:t>
            </w:r>
          </w:p>
        </w:tc>
        <w:tc>
          <w:tcPr>
            <w:tcW w:w="1755" w:type="dxa"/>
            <w:vAlign w:val="center"/>
          </w:tcPr>
          <w:p>
            <w:pPr>
              <w:jc w:val="center"/>
              <w:rPr>
                <w:rFonts w:hint="eastAsia" w:ascii="宋体" w:hAnsi="宋体"/>
              </w:rPr>
            </w:pPr>
            <w:r>
              <w:rPr>
                <w:rFonts w:hint="eastAsia" w:ascii="宋体" w:hAnsi="宋体"/>
              </w:rPr>
              <w:t>标前会议</w:t>
            </w:r>
          </w:p>
        </w:tc>
        <w:tc>
          <w:tcPr>
            <w:tcW w:w="6795" w:type="dxa"/>
            <w:vAlign w:val="center"/>
          </w:tcPr>
          <w:p>
            <w:pPr>
              <w:jc w:val="left"/>
              <w:rPr>
                <w:rFonts w:ascii="Arial" w:hAnsi="Arial" w:eastAsia="宋体" w:cs="Times New Roman"/>
                <w:szCs w:val="24"/>
              </w:rPr>
            </w:pPr>
            <w:r>
              <w:rPr>
                <w:rFonts w:hint="eastAsia" w:ascii="宋体" w:hAnsi="宋体" w:eastAsia="宋体" w:cs="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pPr>
              <w:jc w:val="center"/>
              <w:rPr>
                <w:rFonts w:hint="eastAsia" w:ascii="宋体" w:hAnsi="宋体"/>
              </w:rPr>
            </w:pPr>
            <w:r>
              <w:rPr>
                <w:rFonts w:hint="eastAsia" w:ascii="宋体" w:hAnsi="宋体"/>
              </w:rPr>
              <w:t>招标文件的澄清和修改</w:t>
            </w:r>
          </w:p>
        </w:tc>
        <w:tc>
          <w:tcPr>
            <w:tcW w:w="6795" w:type="dxa"/>
            <w:vAlign w:val="center"/>
          </w:tcPr>
          <w:p>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0</w:t>
            </w:r>
          </w:p>
        </w:tc>
        <w:tc>
          <w:tcPr>
            <w:tcW w:w="1755" w:type="dxa"/>
            <w:vAlign w:val="center"/>
          </w:tcPr>
          <w:p>
            <w:pPr>
              <w:jc w:val="center"/>
              <w:rPr>
                <w:rFonts w:hint="eastAsia" w:ascii="宋体" w:hAnsi="宋体"/>
              </w:rPr>
            </w:pPr>
            <w:r>
              <w:rPr>
                <w:rFonts w:hint="eastAsia" w:ascii="宋体" w:hAnsi="宋体"/>
              </w:rPr>
              <w:t>投标有效期</w:t>
            </w:r>
          </w:p>
        </w:tc>
        <w:tc>
          <w:tcPr>
            <w:tcW w:w="6795" w:type="dxa"/>
            <w:vAlign w:val="center"/>
          </w:tcPr>
          <w:p>
            <w:pPr>
              <w:jc w:val="left"/>
              <w:rPr>
                <w:rFonts w:hint="eastAsia" w:ascii="宋体" w:hAnsi="宋体"/>
              </w:rPr>
            </w:pPr>
            <w:r>
              <w:rPr>
                <w:rFonts w:hint="eastAsia" w:ascii="宋体" w:hAnsi="宋体"/>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2</w:t>
            </w:r>
          </w:p>
        </w:tc>
        <w:tc>
          <w:tcPr>
            <w:tcW w:w="1755" w:type="dxa"/>
            <w:vAlign w:val="center"/>
          </w:tcPr>
          <w:p>
            <w:pPr>
              <w:jc w:val="center"/>
              <w:rPr>
                <w:rFonts w:hint="eastAsia" w:ascii="宋体" w:hAnsi="宋体"/>
              </w:rPr>
            </w:pPr>
            <w:r>
              <w:rPr>
                <w:rFonts w:hint="eastAsia" w:ascii="宋体" w:hAnsi="宋体"/>
              </w:rPr>
              <w:t>投标人的替代方案</w:t>
            </w:r>
          </w:p>
        </w:tc>
        <w:tc>
          <w:tcPr>
            <w:tcW w:w="6795" w:type="dxa"/>
            <w:vAlign w:val="center"/>
          </w:tcPr>
          <w:p>
            <w:pPr>
              <w:jc w:val="left"/>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5</w:t>
            </w:r>
          </w:p>
        </w:tc>
        <w:tc>
          <w:tcPr>
            <w:tcW w:w="1755" w:type="dxa"/>
            <w:vAlign w:val="center"/>
          </w:tcPr>
          <w:p>
            <w:pPr>
              <w:jc w:val="center"/>
              <w:rPr>
                <w:rFonts w:hint="eastAsia" w:ascii="宋体" w:hAnsi="宋体"/>
              </w:rPr>
            </w:pPr>
            <w:r>
              <w:rPr>
                <w:rFonts w:hint="eastAsia" w:ascii="宋体" w:hAnsi="宋体"/>
              </w:rPr>
              <w:t>投标文件的大小</w:t>
            </w:r>
          </w:p>
        </w:tc>
        <w:tc>
          <w:tcPr>
            <w:tcW w:w="6795" w:type="dxa"/>
            <w:vAlign w:val="center"/>
          </w:tcPr>
          <w:p>
            <w:pPr>
              <w:jc w:val="left"/>
              <w:rPr>
                <w:rFonts w:hint="eastAsia"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6</w:t>
            </w:r>
          </w:p>
        </w:tc>
        <w:tc>
          <w:tcPr>
            <w:tcW w:w="1755" w:type="dxa"/>
            <w:vAlign w:val="center"/>
          </w:tcPr>
          <w:p>
            <w:pPr>
              <w:jc w:val="center"/>
              <w:rPr>
                <w:rFonts w:hint="eastAsia" w:ascii="宋体" w:hAnsi="宋体"/>
              </w:rPr>
            </w:pPr>
            <w:r>
              <w:rPr>
                <w:rFonts w:hint="eastAsia" w:ascii="宋体" w:hAnsi="宋体"/>
              </w:rPr>
              <w:t>样品、现场演示、方案讲解</w:t>
            </w:r>
          </w:p>
        </w:tc>
        <w:tc>
          <w:tcPr>
            <w:tcW w:w="6795" w:type="dxa"/>
            <w:vAlign w:val="center"/>
          </w:tcPr>
          <w:p>
            <w:pPr>
              <w:jc w:val="left"/>
              <w:rPr>
                <w:rFonts w:hint="eastAsia"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7</w:t>
            </w:r>
          </w:p>
        </w:tc>
        <w:tc>
          <w:tcPr>
            <w:tcW w:w="1755" w:type="dxa"/>
            <w:vAlign w:val="center"/>
          </w:tcPr>
          <w:p>
            <w:pPr>
              <w:jc w:val="center"/>
              <w:rPr>
                <w:rFonts w:hint="eastAsia" w:ascii="宋体" w:hAnsi="宋体"/>
              </w:rPr>
            </w:pPr>
            <w:r>
              <w:rPr>
                <w:rFonts w:hint="eastAsia" w:ascii="宋体" w:hAnsi="宋体"/>
              </w:rPr>
              <w:t>评审方法</w:t>
            </w:r>
          </w:p>
        </w:tc>
        <w:tc>
          <w:tcPr>
            <w:tcW w:w="6795" w:type="dxa"/>
            <w:vAlign w:val="center"/>
          </w:tcPr>
          <w:p>
            <w:pPr>
              <w:jc w:val="left"/>
              <w:rPr>
                <w:rFonts w:hint="eastAsia"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8</w:t>
            </w:r>
          </w:p>
        </w:tc>
        <w:tc>
          <w:tcPr>
            <w:tcW w:w="1755" w:type="dxa"/>
            <w:vAlign w:val="center"/>
          </w:tcPr>
          <w:p>
            <w:pPr>
              <w:jc w:val="center"/>
              <w:rPr>
                <w:rFonts w:hint="eastAsia" w:ascii="宋体" w:hAnsi="宋体"/>
              </w:rPr>
            </w:pPr>
            <w:r>
              <w:rPr>
                <w:rFonts w:hint="eastAsia" w:ascii="宋体" w:hAnsi="宋体"/>
              </w:rPr>
              <w:t>定标方法</w:t>
            </w:r>
          </w:p>
        </w:tc>
        <w:tc>
          <w:tcPr>
            <w:tcW w:w="6795" w:type="dxa"/>
            <w:vAlign w:val="center"/>
          </w:tcPr>
          <w:p>
            <w:pPr>
              <w:jc w:val="left"/>
              <w:rPr>
                <w:rFonts w:hint="eastAsia" w:ascii="宋体" w:hAnsi="宋体"/>
                <w:b/>
                <w:bCs/>
                <w:highlight w:val="yellow"/>
              </w:rPr>
            </w:pPr>
            <w:r>
              <w:rPr>
                <w:rFonts w:hint="eastAsia" w:ascii="宋体" w:hAnsi="宋体" w:eastAsia="宋体" w:cs="Times New Roman"/>
                <w:b/>
                <w:bCs/>
                <w:szCs w:val="21"/>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4</w:t>
            </w:r>
            <w:r>
              <w:rPr>
                <w:rFonts w:ascii="宋体" w:hAnsi="宋体"/>
              </w:rPr>
              <w:t>6</w:t>
            </w:r>
          </w:p>
        </w:tc>
        <w:tc>
          <w:tcPr>
            <w:tcW w:w="1755" w:type="dxa"/>
            <w:vAlign w:val="center"/>
          </w:tcPr>
          <w:p>
            <w:pPr>
              <w:jc w:val="center"/>
              <w:rPr>
                <w:rFonts w:hint="eastAsia" w:ascii="宋体" w:hAnsi="宋体"/>
              </w:rPr>
            </w:pPr>
            <w:r>
              <w:rPr>
                <w:rFonts w:hint="eastAsia" w:ascii="宋体" w:hAnsi="宋体"/>
              </w:rPr>
              <w:t>履约担保</w:t>
            </w:r>
          </w:p>
        </w:tc>
        <w:tc>
          <w:tcPr>
            <w:tcW w:w="6795" w:type="dxa"/>
            <w:vAlign w:val="center"/>
          </w:tcPr>
          <w:p>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rPr>
          <w:rFonts w:hint="eastAsia" w:ascii="黑体" w:hAnsi="宋体" w:eastAsia="黑体"/>
          <w:bCs/>
          <w:sz w:val="24"/>
        </w:rPr>
      </w:pPr>
      <w:r>
        <w:rPr>
          <w:rFonts w:hint="eastAsia" w:ascii="黑体" w:hAnsi="宋体" w:eastAsia="黑体"/>
          <w:bCs/>
          <w:sz w:val="24"/>
        </w:rPr>
        <w:t>1、评标定标信息</w:t>
      </w:r>
    </w:p>
    <w:p>
      <w:pPr>
        <w:jc w:val="center"/>
      </w:pPr>
      <w:r>
        <w:rPr>
          <w:rFonts w:hint="eastAsia"/>
          <w:b/>
        </w:rPr>
        <w:t>非评定分离项目</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pPr>
              <w:jc w:val="center"/>
            </w:pPr>
            <w:r>
              <w:rPr>
                <w:rFonts w:hint="eastAsia"/>
              </w:rPr>
              <w:t>评标方法</w:t>
            </w:r>
          </w:p>
        </w:tc>
        <w:tc>
          <w:tcPr>
            <w:tcW w:w="3235" w:type="dxa"/>
          </w:tcPr>
          <w:p>
            <w:pPr>
              <w:jc w:val="center"/>
              <w:rPr>
                <w:rFonts w:eastAsia="宋体"/>
              </w:rPr>
            </w:pPr>
            <w:r>
              <w:rPr>
                <w:rFonts w:hint="eastAsia"/>
              </w:rPr>
              <w:sym w:font="Wingdings" w:char="00FE"/>
            </w:r>
            <w:r>
              <w:rPr>
                <w:rFonts w:hint="eastAsia"/>
              </w:rPr>
              <w:t>综合评分法</w:t>
            </w:r>
          </w:p>
        </w:tc>
        <w:tc>
          <w:tcPr>
            <w:tcW w:w="2450" w:type="dxa"/>
          </w:tcPr>
          <w:p>
            <w:pPr>
              <w:jc w:val="center"/>
            </w:pPr>
            <w:r>
              <w:rPr>
                <w:rFonts w:hint="eastAsia" w:ascii="Times New Roman" w:eastAsia="宋体"/>
              </w:rPr>
              <w:sym w:font="Wingdings" w:char="00A8"/>
            </w:r>
            <w:r>
              <w:rPr>
                <w:rFonts w:hint="eastAsia" w:ascii="Times New Roman" w:eastAsia="宋体"/>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eastAsia="宋体"/>
              </w:rPr>
            </w:pPr>
            <w:r>
              <w:rPr>
                <w:rFonts w:hint="eastAsia" w:eastAsia="宋体"/>
              </w:rPr>
              <w:t>3</w:t>
            </w:r>
          </w:p>
        </w:tc>
        <w:tc>
          <w:tcPr>
            <w:tcW w:w="245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pPr>
              <w:jc w:val="center"/>
            </w:pPr>
            <w:r>
              <w:rPr>
                <w:rFonts w:hint="eastAsia"/>
              </w:rPr>
              <w:t>中标供应商家数</w:t>
            </w:r>
          </w:p>
        </w:tc>
        <w:tc>
          <w:tcPr>
            <w:tcW w:w="3235" w:type="dxa"/>
          </w:tcPr>
          <w:p>
            <w:pPr>
              <w:jc w:val="center"/>
            </w:pPr>
            <w:r>
              <w:rPr>
                <w:rFonts w:hint="eastAsia"/>
              </w:rPr>
              <w:t>1</w:t>
            </w:r>
          </w:p>
        </w:tc>
        <w:tc>
          <w:tcPr>
            <w:tcW w:w="2450" w:type="dxa"/>
          </w:tcPr>
          <w:p>
            <w:pPr>
              <w:jc w:val="center"/>
            </w:pPr>
            <w:r>
              <w:rPr>
                <w:rFonts w:hint="eastAsia"/>
              </w:rPr>
              <w:t>1</w:t>
            </w:r>
          </w:p>
        </w:tc>
      </w:tr>
    </w:tbl>
    <w:p>
      <w:pPr>
        <w:tabs>
          <w:tab w:val="left" w:pos="720"/>
        </w:tabs>
        <w:rPr>
          <w:rFonts w:hint="eastAsia" w:ascii="黑体" w:hAnsi="宋体" w:eastAsia="黑体"/>
          <w:sz w:val="24"/>
        </w:rPr>
      </w:pPr>
      <w:r>
        <w:rPr>
          <w:rFonts w:hint="eastAsia" w:ascii="黑体" w:hAnsi="宋体" w:eastAsia="黑体"/>
          <w:sz w:val="24"/>
        </w:rPr>
        <w:t>（二）其他事项</w:t>
      </w:r>
    </w:p>
    <w:p>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pPr>
        <w:ind w:firstLine="413" w:firstLineChars="196"/>
        <w:rPr>
          <w:rFonts w:hint="eastAsia" w:ascii="宋体" w:hAnsi="宋体"/>
          <w:color w:val="FF0000"/>
          <w:highlight w:val="none"/>
        </w:rPr>
      </w:pPr>
      <w:r>
        <w:rPr>
          <w:rFonts w:hint="eastAsia" w:ascii="宋体" w:hAnsi="宋体"/>
          <w:b/>
          <w:bCs/>
          <w:color w:val="FF0000"/>
          <w:highlight w:val="none"/>
        </w:rPr>
        <w:t>（1）</w:t>
      </w:r>
      <w:r>
        <w:rPr>
          <w:rFonts w:hint="eastAsia"/>
          <w:b/>
          <w:bCs/>
          <w:color w:val="FF0000"/>
          <w:highlight w:val="none"/>
        </w:rPr>
        <w:t>专门面向中小企业采购的项目（包括联合体或分包预留中小企业份额的项目），不再执行价格扣除比例。</w:t>
      </w:r>
    </w:p>
    <w:p>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w:t>
      </w:r>
      <w:r>
        <w:rPr>
          <w:rFonts w:hint="eastAsia" w:ascii="Times New Roman" w:eastAsia="宋体"/>
        </w:rPr>
        <w:t>小企业采购的项目，</w:t>
      </w:r>
      <w:r>
        <w:rPr>
          <w:rFonts w:hint="eastAsia"/>
        </w:rPr>
        <w:t>应</w:t>
      </w:r>
      <w:r>
        <w:rPr>
          <w:rFonts w:hint="eastAsia" w:ascii="Times New Roman" w:eastAsia="宋体"/>
        </w:rPr>
        <w:t>执行价格扣除比例</w:t>
      </w:r>
      <w:r>
        <w:rPr>
          <w:rFonts w:hint="eastAsia"/>
        </w:rPr>
        <w:t>：</w:t>
      </w:r>
      <w:r>
        <w:rPr>
          <w:rFonts w:hint="eastAsia" w:ascii="宋体" w:hAnsi="宋体"/>
        </w:rPr>
        <w:t>投标人提供的货物（以招标文件用户需求书“货物需求明细”的“货物名称”一栏为准）全部均由优惠主体制造的，对其投标总价给予</w:t>
      </w:r>
      <w:r>
        <w:rPr>
          <w:rFonts w:hint="eastAsia" w:ascii="宋体" w:hAnsi="宋体"/>
          <w:b/>
          <w:bCs/>
          <w:u w:val="single"/>
        </w:rPr>
        <w:t xml:space="preserve"> 10%</w:t>
      </w:r>
      <w:r>
        <w:rPr>
          <w:rFonts w:hint="eastAsia" w:ascii="宋体" w:hAnsi="宋体" w:eastAsia="宋体" w:cs="Times New Roman"/>
          <w:b/>
          <w:bCs/>
          <w:sz w:val="24"/>
          <w:szCs w:val="24"/>
          <w:u w:val="single"/>
        </w:rPr>
        <w:t xml:space="preserve"> </w:t>
      </w:r>
      <w:r>
        <w:rPr>
          <w:rFonts w:hint="eastAsia" w:ascii="宋体" w:hAnsi="宋体"/>
          <w:b/>
          <w:bCs/>
        </w:rPr>
        <w:t>的</w:t>
      </w:r>
      <w:r>
        <w:rPr>
          <w:rFonts w:hint="eastAsia" w:ascii="宋体" w:hAnsi="宋体"/>
        </w:rPr>
        <w:t>扣除，用扣除后的价格参与评审。满足多项优惠政策的企业，不重复享受多项价格扣除政策。</w:t>
      </w:r>
      <w:r>
        <w:rPr>
          <w:rFonts w:hint="eastAsia" w:ascii="Arial" w:hAnsi="Arial" w:eastAsia="宋体" w:cs="Times New Roman"/>
          <w:b/>
          <w:szCs w:val="21"/>
        </w:rPr>
        <w:t>政策调整后价格仅作为评审依据，不作为中标价格。</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2"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pPr>
        <w:tabs>
          <w:tab w:val="left" w:pos="720"/>
        </w:tabs>
        <w:ind w:firstLine="480" w:firstLineChars="200"/>
        <w:rPr>
          <w:rFonts w:hint="eastAsia" w:ascii="黑体" w:hAnsi="宋体" w:eastAsia="黑体"/>
          <w:sz w:val="24"/>
        </w:rPr>
      </w:pPr>
    </w:p>
    <w:p>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r>
    </w:tbl>
    <w:p>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pPr>
        <w:widowControl/>
        <w:ind w:firstLine="420"/>
        <w:jc w:val="left"/>
        <w:rPr>
          <w:rFonts w:hint="eastAsia" w:ascii="宋体" w:hAnsi="宋体"/>
          <w:color w:val="FF0000"/>
          <w:szCs w:val="21"/>
        </w:rPr>
      </w:pPr>
    </w:p>
    <w:p>
      <w:pPr>
        <w:widowControl/>
        <w:ind w:firstLine="420"/>
        <w:jc w:val="left"/>
        <w:rPr>
          <w:rFonts w:hint="eastAsia" w:ascii="宋体" w:hAnsi="宋体" w:eastAsia="黑体" w:cs="Times New Roman"/>
          <w:bCs/>
          <w:kern w:val="44"/>
          <w:szCs w:val="21"/>
        </w:rPr>
      </w:pPr>
    </w:p>
    <w:p>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9"/>
        <w:tblW w:w="8931" w:type="dxa"/>
        <w:jc w:val="center"/>
        <w:tblLayout w:type="fixed"/>
        <w:tblCellMar>
          <w:top w:w="15" w:type="dxa"/>
          <w:left w:w="15" w:type="dxa"/>
          <w:bottom w:w="15" w:type="dxa"/>
          <w:right w:w="15" w:type="dxa"/>
        </w:tblCellMar>
      </w:tblPr>
      <w:tblGrid>
        <w:gridCol w:w="710"/>
        <w:gridCol w:w="2693"/>
        <w:gridCol w:w="2906"/>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asciiTheme="minorEastAsia" w:hAnsiTheme="minorEastAsia"/>
                <w:sz w:val="24"/>
                <w:szCs w:val="24"/>
              </w:rPr>
              <w:t>财政预算限额（元）</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heme="minorEastAsia" w:hAnsiTheme="minorEastAsia"/>
                <w:sz w:val="24"/>
                <w:szCs w:val="24"/>
              </w:rPr>
            </w:pPr>
            <w:r>
              <w:rPr>
                <w:rFonts w:hint="eastAsia" w:asciiTheme="minorEastAsia" w:hAnsiTheme="minorEastAsia"/>
                <w:sz w:val="24"/>
                <w:szCs w:val="24"/>
              </w:rPr>
              <w:t>1</w:t>
            </w:r>
          </w:p>
        </w:tc>
        <w:tc>
          <w:tcPr>
            <w:tcW w:w="2693"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Theme="minorEastAsia" w:hAnsiTheme="minorEastAsia" w:eastAsiaTheme="minorEastAsia"/>
                <w:sz w:val="24"/>
                <w:szCs w:val="24"/>
                <w:lang w:eastAsia="zh-CN"/>
              </w:rPr>
            </w:pPr>
            <w:r>
              <w:rPr>
                <w:rFonts w:hint="eastAsia" w:ascii="宋体" w:hAnsi="宋体" w:eastAsia="宋体" w:cs="宋体"/>
                <w:sz w:val="24"/>
                <w:szCs w:val="24"/>
                <w:lang w:val="en-US" w:eastAsia="zh-CN"/>
              </w:rPr>
              <w:t xml:space="preserve"> LHAZXCG-2025-00119</w:t>
            </w:r>
          </w:p>
        </w:tc>
        <w:tc>
          <w:tcPr>
            <w:tcW w:w="2906" w:type="dxa"/>
            <w:tcBorders>
              <w:top w:val="single" w:color="000000" w:sz="4" w:space="0"/>
              <w:left w:val="single" w:color="000000" w:sz="4" w:space="0"/>
              <w:right w:val="single" w:color="000000" w:sz="4" w:space="0"/>
            </w:tcBorders>
            <w:vAlign w:val="center"/>
          </w:tcPr>
          <w:p>
            <w:pPr>
              <w:jc w:val="center"/>
              <w:rPr>
                <w:rFonts w:hint="eastAsia" w:eastAsia="宋体"/>
                <w:lang w:eastAsia="zh-CN"/>
              </w:rPr>
            </w:pPr>
            <w:r>
              <w:rPr>
                <w:rFonts w:hint="eastAsia" w:eastAsia="宋体"/>
                <w:lang w:val="en-US" w:eastAsia="zh-CN"/>
              </w:rPr>
              <w:t xml:space="preserve">深圳市龙华外国语高级中学校乐器设备采购 </w:t>
            </w:r>
          </w:p>
        </w:tc>
        <w:tc>
          <w:tcPr>
            <w:tcW w:w="2622" w:type="dxa"/>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eastAsiaTheme="minorEastAsia"/>
                <w:sz w:val="24"/>
                <w:szCs w:val="24"/>
                <w:lang w:eastAsia="zh-CN"/>
              </w:rPr>
            </w:pPr>
            <w:r>
              <w:rPr>
                <w:rFonts w:hint="default" w:ascii="Arial" w:hAnsi="Arial" w:eastAsia="宋体" w:cs="Arial"/>
                <w:i w:val="0"/>
                <w:iCs w:val="0"/>
                <w:caps w:val="0"/>
                <w:color w:val="333333"/>
                <w:spacing w:val="8"/>
                <w:kern w:val="0"/>
                <w:sz w:val="21"/>
                <w:szCs w:val="21"/>
                <w:lang w:val="en-US" w:eastAsia="zh-CN" w:bidi="ar"/>
              </w:rPr>
              <w:t>197000</w:t>
            </w:r>
            <w:r>
              <w:rPr>
                <w:rFonts w:hint="eastAsia" w:asciiTheme="minorEastAsia" w:hAnsiTheme="minorEastAsia"/>
                <w:sz w:val="24"/>
                <w:szCs w:val="24"/>
                <w:lang w:val="en-US" w:eastAsia="zh-CN"/>
              </w:rPr>
              <w:t xml:space="preserve"> </w:t>
            </w:r>
          </w:p>
        </w:tc>
      </w:tr>
      <w:tr>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pPr>
              <w:jc w:val="center"/>
              <w:rPr>
                <w:rFonts w:hint="eastAsia" w:asciiTheme="minorEastAsia" w:hAnsiTheme="minorEastAsia"/>
                <w:sz w:val="24"/>
                <w:szCs w:val="24"/>
              </w:rPr>
            </w:pPr>
          </w:p>
        </w:tc>
      </w:tr>
    </w:tbl>
    <w:p>
      <w:pPr>
        <w:rPr>
          <w:sz w:val="24"/>
          <w:szCs w:val="24"/>
        </w:rPr>
      </w:pPr>
    </w:p>
    <w:p>
      <w:pPr>
        <w:keepNext/>
        <w:keepLines/>
        <w:numPr>
          <w:ilvl w:val="0"/>
          <w:numId w:val="1"/>
        </w:numPr>
        <w:tabs>
          <w:tab w:val="left" w:pos="1680"/>
        </w:tabs>
        <w:spacing w:before="260" w:after="78" w:afterLines="25"/>
        <w:jc w:val="center"/>
        <w:outlineLvl w:val="2"/>
        <w:rPr>
          <w:rFonts w:hint="eastAsia" w:ascii="Arial" w:hAnsi="Arial" w:eastAsia="宋体" w:cs="Times New Roman"/>
          <w:b/>
          <w:sz w:val="32"/>
          <w:szCs w:val="32"/>
        </w:rPr>
      </w:pP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r>
        <w:rPr>
          <w:rFonts w:hint="eastAsia" w:ascii="宋体" w:hAnsi="宋体"/>
          <w:b/>
          <w:color w:val="FF0000"/>
          <w:sz w:val="32"/>
          <w:szCs w:val="32"/>
        </w:rPr>
        <w:t>本项目核心产品为：</w:t>
      </w:r>
      <w:r>
        <w:rPr>
          <w:rFonts w:hint="eastAsia" w:ascii="宋体" w:hAnsi="宋体"/>
          <w:b/>
          <w:color w:val="FF0000"/>
          <w:sz w:val="32"/>
          <w:szCs w:val="32"/>
          <w:u w:val="single"/>
        </w:rPr>
        <w:t xml:space="preserve"> 定音鼓 </w:t>
      </w:r>
    </w:p>
    <w:tbl>
      <w:tblPr>
        <w:tblStyle w:val="19"/>
        <w:tblpPr w:leftFromText="180" w:rightFromText="180" w:vertAnchor="text" w:horzAnchor="page" w:tblpX="1677" w:tblpY="10"/>
        <w:tblOverlap w:val="never"/>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24"/>
        <w:gridCol w:w="1010"/>
        <w:gridCol w:w="977"/>
        <w:gridCol w:w="1485"/>
        <w:gridCol w:w="738"/>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restart"/>
            <w:noWrap w:val="0"/>
            <w:vAlign w:val="center"/>
          </w:tcPr>
          <w:p>
            <w:pPr>
              <w:jc w:val="center"/>
              <w:rPr>
                <w:bCs/>
                <w:szCs w:val="21"/>
              </w:rPr>
            </w:pPr>
            <w:r>
              <w:rPr>
                <w:rFonts w:hint="eastAsia" w:ascii="宋体" w:hAnsi="宋体"/>
                <w:b/>
                <w:color w:val="FF0000"/>
                <w:sz w:val="32"/>
                <w:szCs w:val="32"/>
                <w:lang w:val="en-US" w:eastAsia="zh-CN"/>
              </w:rPr>
              <w:t xml:space="preserve"> </w:t>
            </w:r>
            <w:r>
              <w:rPr>
                <w:rFonts w:hint="eastAsia"/>
                <w:bCs/>
                <w:szCs w:val="21"/>
              </w:rPr>
              <w:t>序号</w:t>
            </w:r>
          </w:p>
        </w:tc>
        <w:tc>
          <w:tcPr>
            <w:tcW w:w="1824" w:type="dxa"/>
            <w:vMerge w:val="restart"/>
            <w:noWrap w:val="0"/>
            <w:vAlign w:val="center"/>
          </w:tcPr>
          <w:p>
            <w:pPr>
              <w:jc w:val="center"/>
              <w:rPr>
                <w:rFonts w:hint="eastAsia" w:eastAsia="宋体"/>
                <w:bCs/>
                <w:szCs w:val="21"/>
                <w:lang w:eastAsia="zh-CN"/>
              </w:rPr>
            </w:pPr>
            <w:r>
              <w:rPr>
                <w:rFonts w:hint="eastAsia"/>
                <w:bCs/>
                <w:szCs w:val="21"/>
                <w:lang w:eastAsia="zh-CN"/>
              </w:rPr>
              <w:t>货物名称</w:t>
            </w:r>
          </w:p>
        </w:tc>
        <w:tc>
          <w:tcPr>
            <w:tcW w:w="1010" w:type="dxa"/>
            <w:vMerge w:val="restart"/>
            <w:noWrap w:val="0"/>
            <w:vAlign w:val="center"/>
          </w:tcPr>
          <w:p>
            <w:pPr>
              <w:jc w:val="center"/>
              <w:rPr>
                <w:bCs/>
                <w:szCs w:val="21"/>
              </w:rPr>
            </w:pPr>
            <w:r>
              <w:rPr>
                <w:rFonts w:hint="eastAsia"/>
                <w:bCs/>
                <w:szCs w:val="21"/>
              </w:rPr>
              <w:t>数量</w:t>
            </w:r>
          </w:p>
        </w:tc>
        <w:tc>
          <w:tcPr>
            <w:tcW w:w="2462" w:type="dxa"/>
            <w:gridSpan w:val="2"/>
            <w:noWrap w:val="0"/>
            <w:vAlign w:val="center"/>
          </w:tcPr>
          <w:p>
            <w:pPr>
              <w:jc w:val="center"/>
              <w:rPr>
                <w:rFonts w:hint="eastAsia"/>
                <w:bCs/>
                <w:szCs w:val="21"/>
                <w:lang w:eastAsia="zh-CN"/>
              </w:rPr>
            </w:pPr>
            <w:r>
              <w:rPr>
                <w:rFonts w:hint="eastAsia"/>
                <w:bCs/>
                <w:szCs w:val="21"/>
                <w:lang w:eastAsia="zh-CN"/>
              </w:rPr>
              <w:t>单价限额（元）</w:t>
            </w:r>
          </w:p>
        </w:tc>
        <w:tc>
          <w:tcPr>
            <w:tcW w:w="738" w:type="dxa"/>
            <w:vMerge w:val="restart"/>
            <w:noWrap w:val="0"/>
            <w:vAlign w:val="center"/>
          </w:tcPr>
          <w:p>
            <w:pPr>
              <w:jc w:val="center"/>
              <w:rPr>
                <w:b/>
                <w:bCs/>
                <w:color w:val="FF0000"/>
                <w:szCs w:val="21"/>
              </w:rPr>
            </w:pPr>
            <w:r>
              <w:rPr>
                <w:rFonts w:hint="eastAsia" w:ascii="Times New Roman" w:eastAsia="宋体"/>
                <w:b/>
                <w:bCs/>
                <w:color w:val="FF0000"/>
                <w:szCs w:val="21"/>
                <w:lang w:val="en-US" w:eastAsia="zh-CN"/>
              </w:rPr>
              <w:t>标的所属行业</w:t>
            </w:r>
          </w:p>
        </w:tc>
        <w:tc>
          <w:tcPr>
            <w:tcW w:w="1437" w:type="dxa"/>
            <w:vMerge w:val="restart"/>
            <w:noWrap w:val="0"/>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continue"/>
            <w:noWrap w:val="0"/>
            <w:vAlign w:val="center"/>
          </w:tcPr>
          <w:p>
            <w:pPr>
              <w:jc w:val="center"/>
              <w:rPr>
                <w:rFonts w:hint="eastAsia"/>
                <w:bCs/>
                <w:szCs w:val="21"/>
              </w:rPr>
            </w:pPr>
          </w:p>
        </w:tc>
        <w:tc>
          <w:tcPr>
            <w:tcW w:w="1824" w:type="dxa"/>
            <w:vMerge w:val="continue"/>
            <w:noWrap w:val="0"/>
            <w:vAlign w:val="center"/>
          </w:tcPr>
          <w:p>
            <w:pPr>
              <w:jc w:val="center"/>
              <w:rPr>
                <w:rFonts w:hint="eastAsia"/>
                <w:bCs/>
                <w:szCs w:val="21"/>
              </w:rPr>
            </w:pPr>
          </w:p>
        </w:tc>
        <w:tc>
          <w:tcPr>
            <w:tcW w:w="1010" w:type="dxa"/>
            <w:vMerge w:val="continue"/>
            <w:noWrap w:val="0"/>
            <w:vAlign w:val="center"/>
          </w:tcPr>
          <w:p>
            <w:pPr>
              <w:jc w:val="center"/>
              <w:rPr>
                <w:rFonts w:hint="eastAsia"/>
                <w:bCs/>
                <w:szCs w:val="21"/>
              </w:rPr>
            </w:pPr>
          </w:p>
        </w:tc>
        <w:tc>
          <w:tcPr>
            <w:tcW w:w="977" w:type="dxa"/>
            <w:noWrap w:val="0"/>
            <w:vAlign w:val="center"/>
          </w:tcPr>
          <w:p>
            <w:pPr>
              <w:jc w:val="center"/>
              <w:rPr>
                <w:rFonts w:hint="eastAsia"/>
                <w:bCs/>
                <w:szCs w:val="21"/>
                <w:lang w:eastAsia="zh-CN"/>
              </w:rPr>
            </w:pPr>
            <w:r>
              <w:rPr>
                <w:rFonts w:hint="eastAsia"/>
                <w:bCs/>
                <w:szCs w:val="21"/>
                <w:lang w:eastAsia="zh-CN"/>
              </w:rPr>
              <w:t>单价</w:t>
            </w:r>
          </w:p>
        </w:tc>
        <w:tc>
          <w:tcPr>
            <w:tcW w:w="1485" w:type="dxa"/>
            <w:noWrap w:val="0"/>
            <w:vAlign w:val="center"/>
          </w:tcPr>
          <w:p>
            <w:pPr>
              <w:jc w:val="center"/>
              <w:rPr>
                <w:rFonts w:hint="eastAsia"/>
                <w:bCs/>
                <w:szCs w:val="21"/>
                <w:lang w:eastAsia="zh-CN"/>
              </w:rPr>
            </w:pPr>
            <w:r>
              <w:rPr>
                <w:rFonts w:hint="eastAsia"/>
                <w:bCs/>
                <w:szCs w:val="21"/>
                <w:lang w:eastAsia="zh-CN"/>
              </w:rPr>
              <w:t>单项总额（单价乘以数量）</w:t>
            </w:r>
          </w:p>
        </w:tc>
        <w:tc>
          <w:tcPr>
            <w:tcW w:w="738" w:type="dxa"/>
            <w:vMerge w:val="continue"/>
            <w:noWrap w:val="0"/>
            <w:vAlign w:val="center"/>
          </w:tcPr>
          <w:p>
            <w:pPr>
              <w:jc w:val="center"/>
              <w:rPr>
                <w:rFonts w:hint="eastAsia"/>
                <w:b/>
                <w:bCs/>
                <w:color w:val="FF0000"/>
                <w:szCs w:val="21"/>
              </w:rPr>
            </w:pPr>
          </w:p>
        </w:tc>
        <w:tc>
          <w:tcPr>
            <w:tcW w:w="1437" w:type="dxa"/>
            <w:vMerge w:val="continue"/>
            <w:noWrap w:val="0"/>
            <w:vAlign w:val="center"/>
          </w:tcPr>
          <w:p>
            <w:pPr>
              <w:jc w:val="center"/>
              <w:rPr>
                <w:rFonts w:hint="eastAsia"/>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bCs/>
                <w:szCs w:val="21"/>
              </w:rPr>
            </w:pPr>
            <w:r>
              <w:rPr>
                <w:rFonts w:hint="eastAsia" w:ascii="宋体" w:hAnsi="宋体"/>
                <w:sz w:val="24"/>
                <w:lang w:val="en-US" w:eastAsia="zh-CN"/>
              </w:rPr>
              <w:t>1</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定音鼓</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1套</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60000</w:t>
            </w:r>
          </w:p>
        </w:tc>
        <w:tc>
          <w:tcPr>
            <w:tcW w:w="1485"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60000</w:t>
            </w:r>
          </w:p>
        </w:tc>
        <w:tc>
          <w:tcPr>
            <w:tcW w:w="738" w:type="dxa"/>
            <w:vMerge w:val="restart"/>
            <w:noWrap w:val="0"/>
            <w:vAlign w:val="top"/>
          </w:tcPr>
          <w:p>
            <w:pPr>
              <w:jc w:val="center"/>
              <w:rPr>
                <w:rFonts w:hint="default" w:eastAsiaTheme="minorEastAsia"/>
                <w:b/>
                <w:bCs/>
                <w:color w:val="FF0000"/>
                <w:szCs w:val="21"/>
                <w:lang w:val="en-US" w:eastAsia="zh-CN"/>
              </w:rPr>
            </w:pPr>
            <w:r>
              <w:rPr>
                <w:rFonts w:hint="eastAsia"/>
                <w:b/>
                <w:bCs/>
                <w:color w:val="FF0000"/>
                <w:szCs w:val="21"/>
                <w:lang w:val="en-US" w:eastAsia="zh-CN"/>
              </w:rPr>
              <w:t>零售业</w:t>
            </w:r>
          </w:p>
        </w:tc>
        <w:tc>
          <w:tcPr>
            <w:tcW w:w="1437" w:type="dxa"/>
            <w:vMerge w:val="restart"/>
            <w:noWrap w:val="0"/>
            <w:vAlign w:val="center"/>
          </w:tcPr>
          <w:p>
            <w:pPr>
              <w:jc w:val="center"/>
              <w:rPr>
                <w:rFonts w:hint="default" w:eastAsia="宋体"/>
                <w:bCs/>
                <w:szCs w:val="21"/>
                <w:lang w:val="en-US" w:eastAsia="zh-CN"/>
              </w:rPr>
            </w:pPr>
            <w:r>
              <w:rPr>
                <w:rFonts w:hint="eastAsia" w:ascii="宋体" w:hAnsi="宋体"/>
                <w:sz w:val="24"/>
                <w:lang w:val="en-US" w:eastAsia="zh-CN"/>
              </w:rPr>
              <w:t>197000</w:t>
            </w: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2</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交响乐大鼓</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1套</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18500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18500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3</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马林吧</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1套</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42800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42800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4</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高音木琴</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1套</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25200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25200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5</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对镲</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1套</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5500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5500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6</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吊镲</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1面</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2500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2500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7</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吊镲架</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1个</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300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300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8</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小军鼓</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1个</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5400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5400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9</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小军鼓架子</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1个</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300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300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10</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钢片琴</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1台</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6500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6500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11</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钢片琴架子</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1个</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150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150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12</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大号</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3个</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5500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16500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13</w:t>
            </w:r>
          </w:p>
        </w:tc>
        <w:tc>
          <w:tcPr>
            <w:tcW w:w="1824" w:type="dxa"/>
            <w:noWrap w:val="0"/>
            <w:vAlign w:val="center"/>
          </w:tcPr>
          <w:p>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低音单簧管</w:t>
            </w:r>
          </w:p>
        </w:tc>
        <w:tc>
          <w:tcPr>
            <w:tcW w:w="1010"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1支</w:t>
            </w:r>
          </w:p>
        </w:tc>
        <w:tc>
          <w:tcPr>
            <w:tcW w:w="977"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13350</w:t>
            </w:r>
          </w:p>
        </w:tc>
        <w:tc>
          <w:tcPr>
            <w:tcW w:w="1485" w:type="dxa"/>
            <w:noWrap w:val="0"/>
            <w:vAlign w:val="center"/>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sz w:val="24"/>
                <w:lang w:val="en-US" w:eastAsia="zh-CN"/>
              </w:rPr>
              <w:t>13350</w:t>
            </w:r>
          </w:p>
        </w:tc>
        <w:tc>
          <w:tcPr>
            <w:tcW w:w="738" w:type="dxa"/>
            <w:vMerge w:val="continue"/>
            <w:noWrap w:val="0"/>
            <w:vAlign w:val="top"/>
          </w:tcPr>
          <w:p>
            <w:pPr>
              <w:jc w:val="center"/>
              <w:rPr>
                <w:rFonts w:hint="eastAsia"/>
                <w:b/>
                <w:bCs/>
                <w:color w:val="FF0000"/>
                <w:szCs w:val="21"/>
                <w:lang w:val="en-US" w:eastAsia="zh-CN"/>
              </w:rPr>
            </w:pPr>
          </w:p>
        </w:tc>
        <w:tc>
          <w:tcPr>
            <w:tcW w:w="1437" w:type="dxa"/>
            <w:vMerge w:val="continue"/>
            <w:noWrap w:val="0"/>
            <w:vAlign w:val="center"/>
          </w:tcPr>
          <w:p>
            <w:pPr>
              <w:jc w:val="center"/>
              <w:rPr>
                <w:rFonts w:hint="eastAsia" w:ascii="宋体" w:hAnsi="宋体" w:eastAsia="宋体" w:cs="宋体"/>
                <w:i w:val="0"/>
                <w:iCs w:val="0"/>
                <w:color w:val="000000"/>
                <w:kern w:val="0"/>
                <w:sz w:val="24"/>
                <w:szCs w:val="24"/>
                <w:u w:val="none"/>
                <w:lang w:val="en-US" w:eastAsia="zh-CN" w:bidi="ar"/>
              </w:rPr>
            </w:pPr>
          </w:p>
        </w:tc>
      </w:tr>
    </w:tbl>
    <w:p>
      <w:pPr>
        <w:rPr>
          <w:color w:val="FF0000"/>
        </w:rPr>
      </w:pPr>
      <w:r>
        <w:rPr>
          <w:rFonts w:hint="eastAsia"/>
          <w:color w:val="FF0000"/>
        </w:rPr>
        <w:t>备注：</w:t>
      </w:r>
    </w:p>
    <w:p>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200"/>
        <w:rPr>
          <w:color w:val="FF0000"/>
        </w:rPr>
      </w:pPr>
      <w:r>
        <w:rPr>
          <w:rFonts w:hint="eastAsia"/>
          <w:color w:val="FF0000"/>
        </w:rPr>
        <w:t>3、如注明有单价控制金额的产品，投标人对该产品的报价不得超过控制金额，否则将作投标无效处理。</w:t>
      </w:r>
    </w:p>
    <w:p>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pPr>
        <w:pStyle w:val="6"/>
        <w:jc w:val="center"/>
        <w:rPr>
          <w:rFonts w:hint="eastAsia"/>
        </w:rPr>
      </w:pPr>
      <w:bookmarkStart w:id="13" w:name="_Toc128884461"/>
      <w:r>
        <w:rPr>
          <w:rFonts w:hint="eastAsia"/>
        </w:rPr>
        <w:t>三、实质性条款</w:t>
      </w:r>
    </w:p>
    <w:tbl>
      <w:tblPr>
        <w:tblStyle w:val="19"/>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r>
              <w:rPr>
                <w:rFonts w:hint="eastAsia"/>
              </w:rPr>
              <w:t>序号</w:t>
            </w:r>
          </w:p>
        </w:tc>
        <w:tc>
          <w:tcPr>
            <w:tcW w:w="7483"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pPr>
            <w:r>
              <w:rPr>
                <w:rFonts w:hint="eastAsia"/>
              </w:rPr>
              <w:t>1</w:t>
            </w:r>
          </w:p>
        </w:tc>
        <w:tc>
          <w:tcPr>
            <w:tcW w:w="7483" w:type="dxa"/>
          </w:tcPr>
          <w:p>
            <w:pPr>
              <w:jc w:val="center"/>
            </w:pPr>
            <w:r>
              <w:rPr>
                <w:rFonts w:hint="eastAsia"/>
              </w:rPr>
              <w:t>本项目招标文件中所有带★号条款内容</w:t>
            </w:r>
          </w:p>
        </w:tc>
      </w:tr>
      <w:bookmarkEnd w:id="13"/>
    </w:tbl>
    <w:p>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pStyle w:val="6"/>
        <w:jc w:val="center"/>
        <w:rPr>
          <w:rFonts w:hint="eastAsia" w:ascii="宋体" w:hAnsi="宋体" w:eastAsia="宋体"/>
        </w:rPr>
      </w:pPr>
      <w:r>
        <w:rPr>
          <w:rFonts w:hint="eastAsia" w:ascii="宋体" w:hAnsi="宋体" w:eastAsia="宋体"/>
        </w:rPr>
        <w:t>四、商务和服务条款要求</w:t>
      </w:r>
    </w:p>
    <w:p>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pPr>
        <w:numPr>
          <w:ilvl w:val="0"/>
          <w:numId w:val="2"/>
        </w:numPr>
        <w:ind w:firstLine="422" w:firstLineChars="200"/>
        <w:rPr>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9"/>
        <w:tblW w:w="84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noWrap w:val="0"/>
            <w:vAlign w:val="center"/>
          </w:tcPr>
          <w:p>
            <w:pPr>
              <w:jc w:val="center"/>
              <w:rPr>
                <w:b/>
              </w:rPr>
            </w:pPr>
            <w:r>
              <w:rPr>
                <w:rFonts w:hint="eastAsia"/>
                <w:b/>
              </w:rPr>
              <w:t>序号</w:t>
            </w:r>
          </w:p>
        </w:tc>
        <w:tc>
          <w:tcPr>
            <w:tcW w:w="1620" w:type="dxa"/>
            <w:noWrap w:val="0"/>
            <w:vAlign w:val="center"/>
          </w:tcPr>
          <w:p>
            <w:pPr>
              <w:jc w:val="center"/>
              <w:rPr>
                <w:b/>
              </w:rPr>
            </w:pPr>
            <w:r>
              <w:rPr>
                <w:rFonts w:hint="eastAsia"/>
                <w:b/>
              </w:rPr>
              <w:t>目录</w:t>
            </w:r>
          </w:p>
        </w:tc>
        <w:tc>
          <w:tcPr>
            <w:tcW w:w="5594" w:type="dxa"/>
            <w:noWrap w:val="0"/>
            <w:vAlign w:val="center"/>
          </w:tcPr>
          <w:p>
            <w:pPr>
              <w:jc w:val="center"/>
              <w:rPr>
                <w:b/>
              </w:rPr>
            </w:pPr>
            <w:r>
              <w:rPr>
                <w:rFonts w:hint="eastAsia"/>
                <w:b/>
              </w:rPr>
              <w:t>采购商务需求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74" w:type="dxa"/>
            <w:gridSpan w:val="3"/>
            <w:noWrap w:val="0"/>
            <w:vAlign w:val="top"/>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noWrap w:val="0"/>
            <w:vAlign w:val="center"/>
          </w:tcPr>
          <w:p>
            <w:pPr>
              <w:jc w:val="center"/>
              <w:rPr>
                <w:b/>
              </w:rPr>
            </w:pPr>
            <w:r>
              <w:rPr>
                <w:rFonts w:hint="eastAsia"/>
                <w:b/>
              </w:rPr>
              <w:t>1</w:t>
            </w:r>
          </w:p>
        </w:tc>
        <w:tc>
          <w:tcPr>
            <w:tcW w:w="1620" w:type="dxa"/>
            <w:noWrap w:val="0"/>
            <w:vAlign w:val="center"/>
          </w:tcPr>
          <w:p>
            <w:r>
              <w:rPr>
                <w:rFonts w:hint="eastAsia"/>
              </w:rPr>
              <w:t>免费保修期</w:t>
            </w:r>
          </w:p>
        </w:tc>
        <w:tc>
          <w:tcPr>
            <w:tcW w:w="5594" w:type="dxa"/>
            <w:noWrap w:val="0"/>
            <w:vAlign w:val="top"/>
          </w:tcPr>
          <w:p>
            <w:pPr>
              <w:rPr>
                <w:b/>
              </w:rPr>
            </w:pPr>
            <w:r>
              <w:rPr>
                <w:rFonts w:hint="eastAsia" w:ascii="宋体" w:hAnsi="宋体" w:cs="宋体"/>
                <w:szCs w:val="21"/>
              </w:rPr>
              <w:t>★</w:t>
            </w:r>
            <w:r>
              <w:rPr>
                <w:rFonts w:hint="eastAsia"/>
                <w:bCs/>
                <w:szCs w:val="21"/>
              </w:rPr>
              <w:t>货物免费保修期至少_</w:t>
            </w:r>
            <w:r>
              <w:rPr>
                <w:rFonts w:hint="eastAsia"/>
                <w:bCs/>
                <w:color w:val="FF0000"/>
                <w:szCs w:val="21"/>
                <w:highlight w:val="none"/>
              </w:rPr>
              <w:t>_</w:t>
            </w:r>
            <w:r>
              <w:rPr>
                <w:rFonts w:hint="eastAsia"/>
                <w:bCs/>
                <w:color w:val="FF0000"/>
                <w:sz w:val="24"/>
                <w:szCs w:val="24"/>
                <w:highlight w:val="none"/>
                <w:lang w:val="en-US" w:eastAsia="zh-CN"/>
              </w:rPr>
              <w:t>2</w:t>
            </w:r>
            <w:r>
              <w:rPr>
                <w:rFonts w:hint="eastAsia"/>
                <w:bCs/>
                <w:color w:val="FF0000"/>
                <w:sz w:val="24"/>
                <w:szCs w:val="24"/>
                <w:highlight w:val="none"/>
              </w:rPr>
              <w:t>_</w:t>
            </w:r>
            <w:r>
              <w:rPr>
                <w:rFonts w:hint="eastAsia"/>
                <w:bCs/>
                <w:szCs w:val="21"/>
                <w:highlight w:val="none"/>
              </w:rPr>
              <w:t>_</w:t>
            </w:r>
            <w:r>
              <w:rPr>
                <w:rFonts w:hint="eastAsia"/>
                <w:bCs/>
                <w:szCs w:val="21"/>
              </w:rPr>
              <w:t>_年，时间自最终验收合格并交付使用之日起计算。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noWrap w:val="0"/>
            <w:vAlign w:val="center"/>
          </w:tcPr>
          <w:p>
            <w:pPr>
              <w:jc w:val="center"/>
              <w:rPr>
                <w:b/>
              </w:rPr>
            </w:pPr>
            <w:r>
              <w:rPr>
                <w:rFonts w:hint="eastAsia"/>
                <w:b/>
              </w:rPr>
              <w:t>2</w:t>
            </w:r>
          </w:p>
        </w:tc>
        <w:tc>
          <w:tcPr>
            <w:tcW w:w="1620" w:type="dxa"/>
            <w:noWrap w:val="0"/>
            <w:vAlign w:val="top"/>
          </w:tcPr>
          <w:p>
            <w:r>
              <w:rPr>
                <w:rFonts w:hint="eastAsia"/>
              </w:rPr>
              <w:t>维修响应及故障解决时间</w:t>
            </w:r>
          </w:p>
        </w:tc>
        <w:tc>
          <w:tcPr>
            <w:tcW w:w="5594" w:type="dxa"/>
            <w:noWrap w:val="0"/>
            <w:vAlign w:val="top"/>
          </w:tcPr>
          <w:p>
            <w:pPr>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noWrap w:val="0"/>
            <w:vAlign w:val="center"/>
          </w:tcPr>
          <w:p>
            <w:pPr>
              <w:jc w:val="center"/>
              <w:rPr>
                <w:b/>
              </w:rPr>
            </w:pPr>
            <w:r>
              <w:rPr>
                <w:rFonts w:hint="eastAsia"/>
                <w:b/>
                <w:lang w:val="en-US" w:eastAsia="zh-CN"/>
              </w:rPr>
              <w:t>3</w:t>
            </w:r>
          </w:p>
        </w:tc>
        <w:tc>
          <w:tcPr>
            <w:tcW w:w="1620" w:type="dxa"/>
            <w:noWrap w:val="0"/>
            <w:vAlign w:val="center"/>
          </w:tcPr>
          <w:p>
            <w:pPr>
              <w:rPr>
                <w:b/>
              </w:rPr>
            </w:pPr>
            <w:r>
              <w:rPr>
                <w:rFonts w:hint="eastAsia"/>
              </w:rPr>
              <w:t>其他</w:t>
            </w:r>
          </w:p>
        </w:tc>
        <w:tc>
          <w:tcPr>
            <w:tcW w:w="5594" w:type="dxa"/>
            <w:noWrap w:val="0"/>
            <w:vAlign w:val="center"/>
          </w:tcPr>
          <w:p>
            <w:pPr>
              <w:rPr>
                <w:b/>
              </w:rPr>
            </w:pPr>
            <w:r>
              <w:rPr>
                <w:rFonts w:hint="eastAsia"/>
                <w:bCs/>
                <w:szCs w:val="21"/>
                <w:lang w:eastAsia="zh-CN"/>
              </w:rPr>
              <w:t>投标人中标后，</w:t>
            </w:r>
            <w:r>
              <w:rPr>
                <w:rFonts w:hint="eastAsia"/>
                <w:bCs/>
                <w:szCs w:val="21"/>
              </w:rPr>
              <w:t>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74" w:type="dxa"/>
            <w:gridSpan w:val="3"/>
            <w:noWrap w:val="0"/>
            <w:vAlign w:val="top"/>
          </w:tcPr>
          <w:p>
            <w:pPr>
              <w:rPr>
                <w:b/>
              </w:rPr>
            </w:pPr>
            <w:r>
              <w:rPr>
                <w:rFonts w:hint="eastAsia" w:ascii="宋体" w:hAnsi="宋体" w:cs="宋体"/>
                <w:szCs w:val="21"/>
              </w:rPr>
              <w:t>★</w:t>
            </w:r>
            <w:r>
              <w:rPr>
                <w:rFonts w:hint="eastAsia"/>
                <w:b/>
              </w:rPr>
              <w:t>（</w:t>
            </w:r>
            <w:r>
              <w:rPr>
                <w:rFonts w:hint="eastAsia"/>
                <w:b/>
                <w:lang w:val="en-US" w:eastAsia="zh-CN"/>
              </w:rPr>
              <w:t>二</w:t>
            </w:r>
            <w:r>
              <w:rPr>
                <w:rFonts w:hint="eastAsia"/>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b/>
              </w:rPr>
            </w:pPr>
            <w:r>
              <w:rPr>
                <w:rFonts w:hint="eastAsia"/>
                <w:b/>
              </w:rPr>
              <w:t>1</w:t>
            </w:r>
          </w:p>
        </w:tc>
        <w:tc>
          <w:tcPr>
            <w:tcW w:w="1620" w:type="dxa"/>
            <w:vMerge w:val="restart"/>
            <w:noWrap w:val="0"/>
            <w:vAlign w:val="center"/>
          </w:tcPr>
          <w:p>
            <w:pPr>
              <w:jc w:val="center"/>
            </w:pPr>
            <w:r>
              <w:rPr>
                <w:rFonts w:hint="eastAsia"/>
              </w:rPr>
              <w:t>关于交货</w:t>
            </w:r>
          </w:p>
        </w:tc>
        <w:tc>
          <w:tcPr>
            <w:tcW w:w="5594" w:type="dxa"/>
            <w:noWrap w:val="0"/>
            <w:vAlign w:val="top"/>
          </w:tcPr>
          <w:p>
            <w:pPr>
              <w:rPr>
                <w:b/>
              </w:rPr>
            </w:pPr>
            <w:r>
              <w:rPr>
                <w:rFonts w:hint="eastAsia"/>
                <w:bCs/>
                <w:szCs w:val="21"/>
              </w:rPr>
              <w:t>1.1签订合同后</w:t>
            </w:r>
            <w:r>
              <w:rPr>
                <w:rFonts w:hint="eastAsia"/>
                <w:bCs/>
                <w:szCs w:val="21"/>
                <w:u w:val="single"/>
                <w:lang w:val="en-US" w:eastAsia="zh-CN"/>
              </w:rPr>
              <w:t>1</w:t>
            </w:r>
            <w:r>
              <w:rPr>
                <w:rFonts w:hint="eastAsia"/>
                <w:bCs/>
                <w:szCs w:val="21"/>
                <w:u w:val="single"/>
              </w:rPr>
              <w:t>0</w:t>
            </w:r>
            <w:r>
              <w:rPr>
                <w:rFonts w:hint="eastAsia"/>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noWrap w:val="0"/>
            <w:vAlign w:val="center"/>
          </w:tcPr>
          <w:p>
            <w:pPr>
              <w:jc w:val="center"/>
              <w:rPr>
                <w:b/>
              </w:rPr>
            </w:pPr>
          </w:p>
        </w:tc>
        <w:tc>
          <w:tcPr>
            <w:tcW w:w="1620" w:type="dxa"/>
            <w:vMerge w:val="continue"/>
            <w:noWrap w:val="0"/>
            <w:vAlign w:val="center"/>
          </w:tcPr>
          <w:p>
            <w:pPr>
              <w:jc w:val="center"/>
            </w:pPr>
          </w:p>
        </w:tc>
        <w:tc>
          <w:tcPr>
            <w:tcW w:w="5594" w:type="dxa"/>
            <w:noWrap w:val="0"/>
            <w:vAlign w:val="top"/>
          </w:tcPr>
          <w:p>
            <w:pPr>
              <w:rPr>
                <w:bCs/>
                <w:szCs w:val="21"/>
              </w:rPr>
            </w:pPr>
            <w:r>
              <w:rPr>
                <w:rFonts w:hint="eastAsia"/>
                <w:bCs/>
                <w:szCs w:val="21"/>
              </w:rPr>
              <w:t>1.2投标人中标后，必须承担设备运输、安装调试、验收检测和提供设备操作说明书、图纸等其他类似的义务。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b/>
              </w:rPr>
            </w:pPr>
            <w:r>
              <w:rPr>
                <w:rFonts w:hint="eastAsia"/>
                <w:b/>
              </w:rPr>
              <w:t>2</w:t>
            </w:r>
          </w:p>
        </w:tc>
        <w:tc>
          <w:tcPr>
            <w:tcW w:w="1620" w:type="dxa"/>
            <w:vMerge w:val="restart"/>
            <w:noWrap w:val="0"/>
            <w:vAlign w:val="center"/>
          </w:tcPr>
          <w:p>
            <w:pPr>
              <w:jc w:val="center"/>
            </w:pPr>
            <w:r>
              <w:rPr>
                <w:rFonts w:hint="eastAsia"/>
              </w:rPr>
              <w:t>关于验收</w:t>
            </w:r>
          </w:p>
        </w:tc>
        <w:tc>
          <w:tcPr>
            <w:tcW w:w="5594" w:type="dxa"/>
            <w:noWrap w:val="0"/>
            <w:vAlign w:val="top"/>
          </w:tcPr>
          <w:p>
            <w:pPr>
              <w:spacing w:line="340" w:lineRule="exact"/>
              <w:rPr>
                <w:bCs/>
                <w:szCs w:val="21"/>
              </w:rPr>
            </w:pPr>
            <w:r>
              <w:rPr>
                <w:rFonts w:hint="eastAsia"/>
                <w:bCs/>
                <w:szCs w:val="21"/>
              </w:rPr>
              <w:t>2.1投标人中标后，其货物经过双方检验认可后，签署验收报告，产品保修期自验收合格之日起算，由投标人提供产品保修文件。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b/>
              </w:rPr>
            </w:pPr>
          </w:p>
        </w:tc>
        <w:tc>
          <w:tcPr>
            <w:tcW w:w="1620" w:type="dxa"/>
            <w:vMerge w:val="continue"/>
            <w:noWrap w:val="0"/>
            <w:vAlign w:val="top"/>
          </w:tcPr>
          <w:p>
            <w:pPr>
              <w:rPr>
                <w:b/>
              </w:rPr>
            </w:pPr>
          </w:p>
        </w:tc>
        <w:tc>
          <w:tcPr>
            <w:tcW w:w="5594" w:type="dxa"/>
            <w:noWrap w:val="0"/>
            <w:vAlign w:val="top"/>
          </w:tcPr>
          <w:p>
            <w:pPr>
              <w:spacing w:line="340" w:lineRule="exact"/>
              <w:rPr>
                <w:bCs/>
                <w:szCs w:val="21"/>
              </w:rPr>
            </w:pPr>
            <w:r>
              <w:rPr>
                <w:rFonts w:hint="eastAsia"/>
                <w:bCs/>
                <w:szCs w:val="21"/>
              </w:rPr>
              <w:t>2.2投标人中标后，当满足以下条件时，采购人才向投标人签发货物验收报告：</w:t>
            </w:r>
          </w:p>
          <w:p>
            <w:pPr>
              <w:tabs>
                <w:tab w:val="left" w:pos="1260"/>
              </w:tabs>
              <w:spacing w:line="340" w:lineRule="exact"/>
              <w:rPr>
                <w:bCs/>
                <w:szCs w:val="21"/>
              </w:rPr>
            </w:pPr>
            <w:r>
              <w:rPr>
                <w:bCs/>
                <w:szCs w:val="21"/>
              </w:rPr>
              <w:t>a</w:t>
            </w:r>
            <w:r>
              <w:rPr>
                <w:rFonts w:hint="eastAsia"/>
                <w:bCs/>
                <w:szCs w:val="21"/>
              </w:rPr>
              <w:t>、投标人已按照合同规定提供了全部产品及完整的技术资料。</w:t>
            </w:r>
          </w:p>
          <w:p>
            <w:pPr>
              <w:tabs>
                <w:tab w:val="left" w:pos="1260"/>
              </w:tabs>
              <w:spacing w:line="340" w:lineRule="exact"/>
              <w:rPr>
                <w:bCs/>
                <w:szCs w:val="21"/>
              </w:rPr>
            </w:pPr>
            <w:r>
              <w:rPr>
                <w:bCs/>
                <w:szCs w:val="21"/>
              </w:rPr>
              <w:t>b</w:t>
            </w:r>
            <w:r>
              <w:rPr>
                <w:rFonts w:hint="eastAsia"/>
                <w:bCs/>
                <w:szCs w:val="21"/>
              </w:rPr>
              <w:t>、货物符合采购文件技术规格书的要求，性能满足要求。</w:t>
            </w:r>
          </w:p>
          <w:p>
            <w:pPr>
              <w:tabs>
                <w:tab w:val="left" w:pos="1260"/>
              </w:tabs>
              <w:spacing w:line="340" w:lineRule="exact"/>
              <w:rPr>
                <w:bCs/>
                <w:szCs w:val="21"/>
              </w:rPr>
            </w:pPr>
            <w:r>
              <w:rPr>
                <w:bCs/>
                <w:szCs w:val="21"/>
              </w:rPr>
              <w:t>c</w:t>
            </w:r>
            <w:r>
              <w:rPr>
                <w:rFonts w:hint="eastAsia"/>
                <w:bCs/>
                <w:szCs w:val="21"/>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rFonts w:hint="eastAsia"/>
                <w:bCs/>
              </w:rPr>
            </w:pPr>
            <w:r>
              <w:rPr>
                <w:rFonts w:hint="eastAsia"/>
                <w:bCs/>
              </w:rPr>
              <w:t>3</w:t>
            </w:r>
          </w:p>
        </w:tc>
        <w:tc>
          <w:tcPr>
            <w:tcW w:w="1620" w:type="dxa"/>
            <w:vMerge w:val="restart"/>
            <w:noWrap w:val="0"/>
            <w:vAlign w:val="center"/>
          </w:tcPr>
          <w:p>
            <w:pPr>
              <w:jc w:val="center"/>
              <w:rPr>
                <w:rFonts w:hint="eastAsia"/>
                <w:bCs/>
              </w:rPr>
            </w:pPr>
            <w:r>
              <w:rPr>
                <w:rFonts w:hint="eastAsia"/>
                <w:bCs/>
              </w:rPr>
              <w:t>违约责任</w:t>
            </w:r>
          </w:p>
        </w:tc>
        <w:tc>
          <w:tcPr>
            <w:tcW w:w="5594" w:type="dxa"/>
            <w:noWrap w:val="0"/>
            <w:vAlign w:val="top"/>
          </w:tcPr>
          <w:p>
            <w:pPr>
              <w:spacing w:line="340" w:lineRule="exact"/>
              <w:rPr>
                <w:rFonts w:hint="eastAsia" w:ascii="宋体" w:hAnsi="宋体" w:cs="宋体"/>
                <w:bCs/>
                <w:szCs w:val="21"/>
              </w:rPr>
            </w:pPr>
            <w:r>
              <w:rPr>
                <w:rFonts w:hint="eastAsia"/>
              </w:rPr>
              <w:t>3.1如</w:t>
            </w:r>
            <w:r>
              <w:rPr>
                <w:rFonts w:hint="eastAsia"/>
                <w:bCs/>
                <w:szCs w:val="21"/>
              </w:rPr>
              <w:t>投标人中标后</w:t>
            </w:r>
            <w:r>
              <w:rPr>
                <w:rFonts w:hint="eastAsia"/>
              </w:rPr>
              <w:t>未按照投标文件中承诺的时间交货或提供服务，</w:t>
            </w:r>
            <w:r>
              <w:rPr>
                <w:rFonts w:hint="eastAsia"/>
                <w:bCs/>
                <w:szCs w:val="21"/>
              </w:rPr>
              <w:t>投标人</w:t>
            </w:r>
            <w:r>
              <w:rPr>
                <w:rFonts w:hint="eastAsia"/>
              </w:rPr>
              <w:t>应承担延期交货和延期服务的违约责任，并赔偿采购人因此造成的实际经济损失，采购人有权终止合同。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center"/>
          </w:tcPr>
          <w:p>
            <w:pPr>
              <w:jc w:val="cente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3.2</w:t>
            </w:r>
            <w:r>
              <w:rPr>
                <w:rFonts w:hint="eastAsia"/>
                <w:bCs/>
                <w:szCs w:val="21"/>
                <w:highlight w:val="none"/>
              </w:rPr>
              <w:t>投标人中标后</w:t>
            </w:r>
            <w:r>
              <w:rPr>
                <w:rFonts w:hint="eastAsia" w:ascii="宋体" w:hAnsi="宋体" w:cs="宋体"/>
                <w:bCs/>
                <w:szCs w:val="21"/>
                <w:highlight w:val="none"/>
              </w:rPr>
              <w:t>所交设备的品种、型号、规格、质量、功能、技术参数等方面不能实质性满足采购文件要求的，采购人有权拒绝收货，</w:t>
            </w:r>
            <w:r>
              <w:rPr>
                <w:rFonts w:hint="eastAsia"/>
                <w:bCs/>
                <w:szCs w:val="21"/>
                <w:highlight w:val="none"/>
              </w:rPr>
              <w:t>投标人</w:t>
            </w:r>
            <w:r>
              <w:rPr>
                <w:rFonts w:hint="eastAsia" w:ascii="宋体" w:hAnsi="宋体" w:cs="宋体"/>
                <w:bCs/>
                <w:szCs w:val="21"/>
                <w:highlight w:val="none"/>
              </w:rPr>
              <w:t>向采购人偿付项目采购金额【</w:t>
            </w:r>
            <w:r>
              <w:rPr>
                <w:rFonts w:hint="eastAsia" w:ascii="宋体" w:hAnsi="宋体" w:cs="宋体"/>
                <w:bCs/>
                <w:szCs w:val="21"/>
                <w:highlight w:val="none"/>
                <w:lang w:val="en-US" w:eastAsia="zh-CN"/>
              </w:rPr>
              <w:t>10</w:t>
            </w:r>
            <w:r>
              <w:rPr>
                <w:rFonts w:hint="eastAsia" w:ascii="宋体" w:hAnsi="宋体" w:cs="宋体"/>
                <w:bCs/>
                <w:szCs w:val="21"/>
                <w:highlight w:val="none"/>
              </w:rPr>
              <w:t xml:space="preserve">】% 的违约金并采取更换、补足等补救措施，致使逾期交付的，还应承担逾期交付的违约责任。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center"/>
          </w:tcPr>
          <w:p>
            <w:pPr>
              <w:jc w:val="cente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3.3</w:t>
            </w:r>
            <w:r>
              <w:rPr>
                <w:rFonts w:hint="eastAsia"/>
                <w:bCs/>
                <w:szCs w:val="21"/>
                <w:highlight w:val="none"/>
              </w:rPr>
              <w:t>投标人中标后</w:t>
            </w:r>
            <w:r>
              <w:rPr>
                <w:rFonts w:hint="eastAsia" w:ascii="宋体" w:hAnsi="宋体" w:cs="宋体"/>
                <w:bCs/>
                <w:szCs w:val="21"/>
                <w:highlight w:val="none"/>
              </w:rPr>
              <w:t>不能交付设备的，</w:t>
            </w:r>
            <w:r>
              <w:rPr>
                <w:rFonts w:hint="eastAsia"/>
                <w:bCs/>
                <w:szCs w:val="21"/>
                <w:highlight w:val="none"/>
              </w:rPr>
              <w:t>投标人</w:t>
            </w:r>
            <w:r>
              <w:rPr>
                <w:rFonts w:hint="eastAsia" w:ascii="宋体" w:hAnsi="宋体" w:cs="宋体"/>
                <w:bCs/>
                <w:szCs w:val="21"/>
                <w:highlight w:val="none"/>
              </w:rPr>
              <w:t>向采购人偿付项目采购金额【</w:t>
            </w:r>
            <w:r>
              <w:rPr>
                <w:rFonts w:hint="eastAsia" w:ascii="宋体" w:hAnsi="宋体" w:cs="宋体"/>
                <w:bCs/>
                <w:szCs w:val="21"/>
                <w:highlight w:val="none"/>
                <w:lang w:val="en-US" w:eastAsia="zh-CN"/>
              </w:rPr>
              <w:t>10</w:t>
            </w:r>
            <w:r>
              <w:rPr>
                <w:rFonts w:hint="eastAsia" w:ascii="宋体" w:hAnsi="宋体" w:cs="宋体"/>
                <w:bCs/>
                <w:szCs w:val="21"/>
                <w:highlight w:val="none"/>
              </w:rPr>
              <w:t>】%的违约金。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3.4</w:t>
            </w:r>
            <w:r>
              <w:rPr>
                <w:rFonts w:hint="eastAsia"/>
                <w:bCs/>
                <w:szCs w:val="21"/>
                <w:highlight w:val="none"/>
              </w:rPr>
              <w:t>投标人中标后</w:t>
            </w:r>
            <w:r>
              <w:rPr>
                <w:rFonts w:hint="eastAsia" w:ascii="宋体" w:hAnsi="宋体" w:cs="宋体"/>
                <w:bCs/>
                <w:szCs w:val="21"/>
                <w:highlight w:val="none"/>
              </w:rPr>
              <w:t>逾期交付货物的，每逾期1天，</w:t>
            </w:r>
            <w:r>
              <w:rPr>
                <w:rFonts w:hint="eastAsia"/>
                <w:bCs/>
                <w:szCs w:val="21"/>
                <w:highlight w:val="none"/>
              </w:rPr>
              <w:t>投标人</w:t>
            </w:r>
            <w:r>
              <w:rPr>
                <w:rFonts w:hint="eastAsia" w:ascii="宋体" w:hAnsi="宋体" w:cs="宋体"/>
                <w:bCs/>
                <w:szCs w:val="21"/>
                <w:highlight w:val="none"/>
              </w:rPr>
              <w:t>向采购人偿付项目采购金额的【</w:t>
            </w:r>
            <w:r>
              <w:rPr>
                <w:rFonts w:hint="eastAsia" w:ascii="宋体" w:hAnsi="宋体" w:cs="宋体"/>
                <w:bCs/>
                <w:szCs w:val="21"/>
                <w:highlight w:val="none"/>
                <w:lang w:val="en-US" w:eastAsia="zh-CN"/>
              </w:rPr>
              <w:t>1</w:t>
            </w:r>
            <w:r>
              <w:rPr>
                <w:rFonts w:hint="eastAsia" w:ascii="宋体" w:hAnsi="宋体" w:cs="宋体"/>
                <w:bCs/>
                <w:szCs w:val="21"/>
                <w:highlight w:val="none"/>
              </w:rPr>
              <w:t>】‰的违约金。如</w:t>
            </w:r>
            <w:r>
              <w:rPr>
                <w:rFonts w:hint="eastAsia"/>
                <w:bCs/>
                <w:szCs w:val="21"/>
                <w:highlight w:val="none"/>
              </w:rPr>
              <w:t>投标人</w:t>
            </w:r>
            <w:r>
              <w:rPr>
                <w:rFonts w:hint="eastAsia" w:ascii="宋体" w:hAnsi="宋体" w:cs="宋体"/>
                <w:bCs/>
                <w:szCs w:val="21"/>
                <w:highlight w:val="none"/>
              </w:rPr>
              <w:t>逾期交货达</w:t>
            </w:r>
            <w:r>
              <w:rPr>
                <w:rFonts w:hint="eastAsia" w:ascii="宋体" w:hAnsi="宋体" w:cs="宋体"/>
                <w:bCs/>
                <w:szCs w:val="21"/>
                <w:highlight w:val="none"/>
                <w:u w:val="single"/>
              </w:rPr>
              <w:t>30</w:t>
            </w:r>
            <w:r>
              <w:rPr>
                <w:rFonts w:hint="eastAsia" w:ascii="宋体" w:hAnsi="宋体" w:cs="宋体"/>
                <w:bCs/>
                <w:szCs w:val="21"/>
                <w:highlight w:val="none"/>
              </w:rPr>
              <w:t>天，采购人有权解除合同。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bCs/>
              </w:rPr>
            </w:pPr>
          </w:p>
        </w:tc>
        <w:tc>
          <w:tcPr>
            <w:tcW w:w="5594" w:type="dxa"/>
            <w:noWrap w:val="0"/>
            <w:vAlign w:val="top"/>
          </w:tcPr>
          <w:p>
            <w:pPr>
              <w:rPr>
                <w:rFonts w:hint="eastAsia" w:ascii="宋体" w:hAnsi="宋体" w:cs="宋体"/>
                <w:b/>
              </w:rPr>
            </w:pPr>
            <w:r>
              <w:rPr>
                <w:rFonts w:hint="eastAsia" w:ascii="宋体" w:hAnsi="宋体" w:cs="宋体"/>
                <w:bCs/>
              </w:rPr>
              <w:t>3.5</w:t>
            </w:r>
            <w:r>
              <w:rPr>
                <w:rFonts w:hint="eastAsia"/>
                <w:bCs/>
                <w:szCs w:val="21"/>
              </w:rPr>
              <w:t>投标人中标后，在其</w:t>
            </w:r>
            <w:r>
              <w:rPr>
                <w:rFonts w:hint="eastAsia" w:ascii="宋体" w:hAnsi="宋体" w:cs="宋体"/>
                <w:bCs/>
              </w:rPr>
              <w:t>承诺的或国家规定的质量保证期内（取两者中最长的期限），如经</w:t>
            </w:r>
            <w:r>
              <w:rPr>
                <w:rFonts w:hint="eastAsia"/>
                <w:bCs/>
                <w:szCs w:val="21"/>
              </w:rPr>
              <w:t>投标人</w:t>
            </w:r>
            <w:r>
              <w:rPr>
                <w:rFonts w:hint="eastAsia" w:ascii="宋体" w:hAnsi="宋体" w:cs="宋体"/>
                <w:bCs/>
              </w:rPr>
              <w:t>两次维修或更换，货物仍不能达到采购文件要求及投标文件承诺的质量标准，采购人有权退货，</w:t>
            </w:r>
            <w:r>
              <w:rPr>
                <w:rFonts w:hint="eastAsia"/>
                <w:bCs/>
                <w:szCs w:val="21"/>
              </w:rPr>
              <w:t>投标人</w:t>
            </w:r>
            <w:r>
              <w:rPr>
                <w:rFonts w:hint="eastAsia" w:ascii="宋体" w:hAnsi="宋体" w:cs="宋体"/>
                <w:bCs/>
              </w:rPr>
              <w:t>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bCs/>
              </w:rPr>
            </w:pPr>
          </w:p>
        </w:tc>
        <w:tc>
          <w:tcPr>
            <w:tcW w:w="5594" w:type="dxa"/>
            <w:noWrap w:val="0"/>
            <w:vAlign w:val="top"/>
          </w:tcPr>
          <w:p>
            <w:pPr>
              <w:rPr>
                <w:rFonts w:hint="eastAsia" w:ascii="宋体" w:hAnsi="宋体" w:cs="宋体"/>
                <w:b/>
              </w:rPr>
            </w:pPr>
            <w:r>
              <w:rPr>
                <w:rFonts w:hint="eastAsia" w:ascii="宋体" w:hAnsi="宋体" w:cs="宋体"/>
                <w:bCs/>
              </w:rPr>
              <w:t>3.6</w:t>
            </w:r>
            <w:r>
              <w:rPr>
                <w:rFonts w:hint="eastAsia"/>
                <w:bCs/>
                <w:szCs w:val="21"/>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rPr>
              <w:t>投标人</w:t>
            </w:r>
            <w:r>
              <w:rPr>
                <w:rFonts w:hint="eastAsia" w:ascii="宋体" w:hAnsi="宋体" w:cs="宋体"/>
                <w:bCs/>
              </w:rPr>
              <w:t>的任何一项违约责任并不表明采购人放弃追究</w:t>
            </w:r>
            <w:r>
              <w:rPr>
                <w:rFonts w:hint="eastAsia"/>
                <w:bCs/>
                <w:szCs w:val="21"/>
              </w:rPr>
              <w:t>投标人</w:t>
            </w:r>
            <w:r>
              <w:rPr>
                <w:rFonts w:hint="eastAsia" w:ascii="宋体" w:hAnsi="宋体" w:cs="宋体"/>
                <w:bCs/>
              </w:rPr>
              <w:t>该项或其他违约责任。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jc w:val="center"/>
              <w:rPr>
                <w:rFonts w:hint="eastAsia"/>
                <w:bCs/>
              </w:rPr>
            </w:pPr>
            <w:r>
              <w:rPr>
                <w:rFonts w:hint="eastAsia"/>
                <w:bCs/>
              </w:rPr>
              <w:t>4</w:t>
            </w:r>
          </w:p>
        </w:tc>
        <w:tc>
          <w:tcPr>
            <w:tcW w:w="1620" w:type="dxa"/>
            <w:noWrap w:val="0"/>
            <w:vAlign w:val="top"/>
          </w:tcPr>
          <w:p>
            <w:pPr>
              <w:ind w:firstLine="420" w:firstLineChars="200"/>
              <w:rPr>
                <w:rFonts w:hint="eastAsia"/>
                <w:bCs/>
              </w:rPr>
            </w:pPr>
            <w:r>
              <w:rPr>
                <w:rFonts w:hint="eastAsia"/>
                <w:bCs/>
              </w:rPr>
              <w:t>其他</w:t>
            </w:r>
          </w:p>
        </w:tc>
        <w:tc>
          <w:tcPr>
            <w:tcW w:w="5594" w:type="dxa"/>
            <w:noWrap w:val="0"/>
            <w:vAlign w:val="top"/>
          </w:tcPr>
          <w:p>
            <w:pPr>
              <w:rPr>
                <w:rFonts w:hint="eastAsia" w:ascii="宋体" w:hAnsi="宋体" w:cs="宋体"/>
                <w:bCs/>
              </w:rPr>
            </w:pPr>
            <w:r>
              <w:rPr>
                <w:rFonts w:hint="eastAsia" w:ascii="宋体" w:hAnsi="宋体" w:cs="宋体"/>
                <w:bCs/>
              </w:rPr>
              <w:t>投标人</w:t>
            </w:r>
            <w:r>
              <w:rPr>
                <w:rFonts w:hint="eastAsia"/>
                <w:bCs/>
                <w:szCs w:val="21"/>
              </w:rPr>
              <w:t>中标后</w:t>
            </w:r>
            <w:r>
              <w:rPr>
                <w:rFonts w:hint="eastAsia" w:ascii="宋体" w:hAnsi="宋体" w:cs="宋体"/>
                <w:bCs/>
              </w:rPr>
              <w:t>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jc w:val="center"/>
              <w:rPr>
                <w:rFonts w:hint="eastAsia"/>
                <w:bCs/>
                <w:lang w:val="en-US" w:eastAsia="zh-CN"/>
              </w:rPr>
            </w:pPr>
            <w:r>
              <w:rPr>
                <w:rFonts w:hint="eastAsia"/>
                <w:bCs/>
                <w:lang w:val="en-US" w:eastAsia="zh-CN"/>
              </w:rPr>
              <w:t>5</w:t>
            </w:r>
          </w:p>
        </w:tc>
        <w:tc>
          <w:tcPr>
            <w:tcW w:w="1620" w:type="dxa"/>
            <w:noWrap w:val="0"/>
            <w:vAlign w:val="top"/>
          </w:tcPr>
          <w:p>
            <w:pPr>
              <w:jc w:val="center"/>
              <w:rPr>
                <w:rFonts w:hint="eastAsia"/>
                <w:bCs/>
                <w:lang w:eastAsia="zh-CN"/>
              </w:rPr>
            </w:pPr>
            <w:r>
              <w:rPr>
                <w:rFonts w:hint="eastAsia"/>
                <w:bCs/>
                <w:lang w:eastAsia="zh-CN"/>
              </w:rPr>
              <w:t>付款方式</w:t>
            </w:r>
          </w:p>
        </w:tc>
        <w:tc>
          <w:tcPr>
            <w:tcW w:w="5594" w:type="dxa"/>
            <w:noWrap w:val="0"/>
            <w:vAlign w:val="top"/>
          </w:tcPr>
          <w:p>
            <w:pPr>
              <w:rPr>
                <w:rFonts w:hint="eastAsia" w:ascii="宋体" w:hAnsi="宋体" w:cs="宋体"/>
                <w:bCs/>
              </w:rPr>
            </w:pPr>
            <w:r>
              <w:rPr>
                <w:rFonts w:hint="eastAsia" w:ascii="宋体" w:hAnsi="宋体" w:cs="宋体"/>
                <w:bCs/>
              </w:rPr>
              <w:t>1、合同签订后</w:t>
            </w:r>
            <w:r>
              <w:rPr>
                <w:rFonts w:hint="eastAsia" w:ascii="宋体" w:hAnsi="宋体" w:cs="宋体"/>
                <w:bCs/>
                <w:u w:val="single"/>
              </w:rPr>
              <w:t xml:space="preserve"> </w:t>
            </w:r>
            <w:r>
              <w:rPr>
                <w:rFonts w:hint="eastAsia" w:ascii="宋体" w:hAnsi="宋体" w:cs="宋体"/>
                <w:bCs/>
                <w:u w:val="single"/>
                <w:lang w:val="en-US" w:eastAsia="zh-CN"/>
              </w:rPr>
              <w:t>5</w:t>
            </w:r>
            <w:r>
              <w:rPr>
                <w:rFonts w:hint="eastAsia" w:ascii="宋体" w:hAnsi="宋体" w:cs="宋体"/>
                <w:bCs/>
                <w:u w:val="single"/>
              </w:rPr>
              <w:t xml:space="preserve">    </w:t>
            </w:r>
            <w:r>
              <w:rPr>
                <w:rFonts w:hint="eastAsia" w:ascii="宋体" w:hAnsi="宋体" w:cs="宋体"/>
                <w:bCs/>
              </w:rPr>
              <w:t>个工作日内，采购人向中标供应商支付合同总价【</w:t>
            </w:r>
            <w:r>
              <w:rPr>
                <w:rFonts w:hint="eastAsia" w:ascii="宋体" w:hAnsi="宋体" w:cs="宋体"/>
                <w:bCs/>
                <w:lang w:val="en-US" w:eastAsia="zh-CN"/>
              </w:rPr>
              <w:t>0</w:t>
            </w:r>
            <w:r>
              <w:rPr>
                <w:rFonts w:hint="eastAsia" w:ascii="宋体" w:hAnsi="宋体" w:cs="宋体"/>
                <w:bCs/>
              </w:rPr>
              <w:t>】%的款项；</w:t>
            </w:r>
          </w:p>
          <w:p>
            <w:pPr>
              <w:rPr>
                <w:rFonts w:hint="eastAsia" w:ascii="宋体" w:hAnsi="宋体" w:cs="宋体"/>
                <w:bCs/>
              </w:rPr>
            </w:pPr>
            <w:r>
              <w:rPr>
                <w:rFonts w:hint="eastAsia" w:ascii="宋体" w:hAnsi="宋体" w:cs="宋体"/>
                <w:bCs/>
              </w:rPr>
              <w:t xml:space="preserve">2、全部货物送到采购人指定地点、完成安装并验收合格后   </w:t>
            </w:r>
            <w:r>
              <w:rPr>
                <w:rFonts w:hint="eastAsia" w:ascii="宋体" w:hAnsi="宋体" w:cs="宋体"/>
                <w:bCs/>
                <w:lang w:val="en-US" w:eastAsia="zh-CN"/>
              </w:rPr>
              <w:t>30</w:t>
            </w:r>
            <w:r>
              <w:rPr>
                <w:rFonts w:hint="eastAsia" w:ascii="宋体" w:hAnsi="宋体" w:cs="宋体"/>
                <w:bCs/>
              </w:rPr>
              <w:t xml:space="preserve">  个工作日内，采购人向中标供应商支付合同总价【</w:t>
            </w:r>
            <w:r>
              <w:rPr>
                <w:rFonts w:hint="eastAsia" w:ascii="宋体" w:hAnsi="宋体" w:cs="宋体"/>
                <w:bCs/>
                <w:lang w:val="en-US" w:eastAsia="zh-CN"/>
              </w:rPr>
              <w:t>100</w:t>
            </w:r>
            <w:r>
              <w:rPr>
                <w:rFonts w:hint="eastAsia" w:ascii="宋体" w:hAnsi="宋体" w:cs="宋体"/>
                <w:bCs/>
              </w:rPr>
              <w:t>】%的款项；</w:t>
            </w:r>
          </w:p>
          <w:p>
            <w:pPr>
              <w:rPr>
                <w:rFonts w:hint="eastAsia" w:ascii="宋体" w:hAnsi="宋体" w:cs="宋体"/>
                <w:bCs/>
              </w:rPr>
            </w:pPr>
            <w:r>
              <w:rPr>
                <w:rFonts w:hint="eastAsia" w:ascii="宋体" w:hAnsi="宋体" w:cs="宋体"/>
                <w:bCs/>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tc>
      </w:tr>
    </w:tbl>
    <w:p>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tbl>
      <w:tblPr>
        <w:tblStyle w:val="19"/>
        <w:tblW w:w="85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080"/>
        <w:gridCol w:w="6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定音鼓</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1.▲专用铜材质腔体。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2.每只鼓音域6度以上。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3.脚架附带轮子，高度可调节。</w:t>
            </w:r>
            <w:bookmarkStart w:id="108" w:name="_GoBack"/>
            <w:bookmarkEnd w:id="10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4.附带调音指针器，指针在3点或9点位置。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5.▲支架为超强铝合金，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6.▲鼓圈为碳素钢。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7.▲每只鼓鼓皮REMO鼓皮。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8.每只鼓附带仿皮长鼓套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9.23/26/29/32寸各一个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10.每个鼓配有液晶调音器，方便调音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交响乐大鼓</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1.鼓面直径36英寸，鼓腔厚度18英寸。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2.轻巧式角度可调鼓架，鼓面可固定在360度任意一角度。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3.分体式底座两侧附带方形脚踏横梁。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4.附带四只滑轮，每只附带面刹。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5.鼓肚全桦木材质7.2mm厚度木鼓腔。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6.鼓框材质为黑色铝制方头螺钉配尼龙垫圈。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7.附带鼓槌1套3只，附带仿皮大鼓罩。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8.表面处理为黑色木纹。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马林吧</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1.音域:4.3个八度(A2-C7)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2.音板数量:52鍵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3.音准:A=442Hz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4.音板材质:紫檀木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5.音板尺寸:38mm~63mm（5个刻度）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6.共鸣管:轻便型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7.琴重:86kg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8.琴长:227cm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9.低音琴宽:90cm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10.高音琴宽:65cm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11.双边折叠手摇式升降可调高度:84cm~110cm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12.附琴锤及防尘琴罩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高音木琴</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1.音板材质:花梨木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2.音域范围:3.5个八度（F4-C8）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3.音板数量:44键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4.音频:A=442Hz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5.音板尺寸:38 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6.重量:66kg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7.共鸣管:斜线型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8.琴长:157cm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9.宽度:低音琴宽70cm 高音琴宽65cm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10.升降:双边手摇把式可調式高度:76 ~ 98 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11.附：防尘罩 琴槌各一套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对镲</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18寸交响系列，带抓手，音色好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吊镲</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18寸交响系列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吊镲架</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可调节高度，双支撑杆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小军鼓</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1.鼓腔厚度：6层7.5毫米。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2.材质：北美枫木鼓腔。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3.鼓耳设计：古典。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4.鼓皮：REMO防文艺复兴鼓皮。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5.微调系统调节器：SR300，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6.砂带设计：多股叠式沙带，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7.外观处理：亮光烤漆外观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小军鼓架子</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可调节高度、可调节方向，大脚支架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钢片琴</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32音，f3--c6,不锈钢材质，配箱子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钢片琴架子</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X便携式架子，多角度可调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大号</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黄铜喇叭口，白铜接口，号口425mm,内管直径19mm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低音单簧管</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1:调性:Bb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2:管身材质:ABS合成树脂/两节式管体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3:按键材质表面:镍银合金/镀镍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4:按键系统:贝姆式/19键,7盖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5:指挂：可调式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6:低音Eb键结构&amp;音孔:位于下身管节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7:皮垫:天然皮革8:Eb/Bb,B/F#人体工学设计键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9:G/D键尼龙材质运动结构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10：笛头：LUOVA笛头</w:t>
            </w:r>
          </w:p>
        </w:tc>
      </w:tr>
    </w:tbl>
    <w:p>
      <w:pPr>
        <w:rPr>
          <w:rFonts w:hint="eastAsia" w:ascii="宋体" w:hAnsi="宋体" w:eastAsia="宋体" w:cs="Times New Roman"/>
          <w:b/>
          <w:color w:val="FF0000"/>
          <w:szCs w:val="21"/>
        </w:rPr>
      </w:pPr>
    </w:p>
    <w:p>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4）检验（检测）报告若要求具有CMA、CNAS等标识的，若有材料证明相关检测事项不在实施该项检测的机构许可（认可）CMA、CNAS等资质范围或检测范围内的，该检验（检测）报告视为不满足招标文件要求，作负偏离处理。</w:t>
      </w:r>
    </w:p>
    <w:p>
      <w:pPr>
        <w:pStyle w:val="6"/>
        <w:spacing w:before="156" w:beforeLines="50" w:after="156" w:afterLines="50" w:line="416" w:lineRule="auto"/>
        <w:jc w:val="center"/>
        <w:rPr>
          <w:rFonts w:hint="eastAsia"/>
          <w:szCs w:val="28"/>
        </w:rPr>
      </w:pPr>
      <w:r>
        <w:rPr>
          <w:rFonts w:hint="eastAsia"/>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pStyle w:val="2"/>
      </w:pPr>
      <w:bookmarkStart w:id="14" w:name="_Hlk72257167"/>
    </w:p>
    <w:bookmarkEnd w:id="14"/>
    <w:p>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pPr>
        <w:ind w:firstLine="1200" w:firstLineChars="500"/>
        <w:outlineLvl w:val="0"/>
        <w:rPr>
          <w:rFonts w:hint="eastAsia" w:ascii="宋体" w:hAnsi="宋体"/>
          <w:sz w:val="24"/>
        </w:rPr>
      </w:pPr>
      <w:bookmarkStart w:id="15" w:name="_Hlk72257771"/>
      <w:r>
        <w:rPr>
          <w:rFonts w:hint="eastAsia" w:ascii="宋体" w:hAnsi="宋体"/>
          <w:sz w:val="24"/>
        </w:rPr>
        <w:t>1.投标文件正文，主要包括以下内容：</w:t>
      </w:r>
    </w:p>
    <w:p>
      <w:pPr>
        <w:ind w:left="718" w:leftChars="342" w:firstLine="1417" w:firstLineChars="675"/>
        <w:rPr>
          <w:szCs w:val="21"/>
        </w:rPr>
      </w:pPr>
      <w:r>
        <w:rPr>
          <w:rFonts w:hint="eastAsia"/>
          <w:szCs w:val="21"/>
        </w:rPr>
        <w:t>（1）</w:t>
      </w:r>
      <w:bookmarkStart w:id="16" w:name="_Hlk72070784"/>
      <w:r>
        <w:rPr>
          <w:rFonts w:hint="eastAsia"/>
          <w:szCs w:val="21"/>
        </w:rPr>
        <w:t>投标函</w:t>
      </w:r>
      <w:bookmarkEnd w:id="16"/>
    </w:p>
    <w:p>
      <w:pPr>
        <w:ind w:left="718" w:leftChars="342" w:firstLine="1417" w:firstLineChars="675"/>
        <w:rPr>
          <w:szCs w:val="21"/>
        </w:rPr>
      </w:pPr>
      <w:r>
        <w:rPr>
          <w:rFonts w:hint="eastAsia"/>
          <w:szCs w:val="21"/>
        </w:rPr>
        <w:t>（2）</w:t>
      </w:r>
      <w:bookmarkStart w:id="17" w:name="_Hlk72062521"/>
      <w:r>
        <w:rPr>
          <w:rFonts w:hint="eastAsia"/>
          <w:szCs w:val="21"/>
        </w:rPr>
        <w:t>政府采购投标及履约承诺函</w:t>
      </w:r>
      <w:bookmarkEnd w:id="17"/>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18" w:name="_Hlk72257201"/>
      <w:r>
        <w:rPr>
          <w:rFonts w:hint="eastAsia"/>
          <w:szCs w:val="21"/>
        </w:rPr>
        <w:t>（</w:t>
      </w:r>
      <w:r>
        <w:rPr>
          <w:szCs w:val="21"/>
        </w:rPr>
        <w:t>4</w:t>
      </w:r>
      <w:r>
        <w:rPr>
          <w:rFonts w:hint="eastAsia"/>
          <w:szCs w:val="21"/>
        </w:rPr>
        <w:t>）项目详细报价</w:t>
      </w:r>
    </w:p>
    <w:bookmarkEnd w:id="18"/>
    <w:p>
      <w:pPr>
        <w:ind w:left="718" w:leftChars="342" w:firstLine="1417" w:firstLineChars="675"/>
        <w:rPr>
          <w:rFonts w:hint="eastAsia"/>
          <w:szCs w:val="21"/>
        </w:rPr>
      </w:pPr>
      <w:r>
        <w:rPr>
          <w:rFonts w:hint="eastAsia"/>
          <w:szCs w:val="21"/>
        </w:rPr>
        <w:t>（5）供应商情况表</w:t>
      </w:r>
    </w:p>
    <w:p>
      <w:pPr>
        <w:ind w:left="718" w:leftChars="342" w:firstLine="1417" w:firstLineChars="675"/>
        <w:rPr>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供应商基本情况表</w:t>
      </w:r>
    </w:p>
    <w:p>
      <w:pPr>
        <w:ind w:firstLine="1200" w:firstLineChars="500"/>
        <w:outlineLvl w:val="0"/>
        <w:rPr>
          <w:rFonts w:hint="eastAsia" w:ascii="宋体" w:hAnsi="宋体"/>
          <w:sz w:val="24"/>
        </w:rPr>
      </w:pPr>
      <w:r>
        <w:rPr>
          <w:rFonts w:hint="eastAsia" w:ascii="宋体" w:hAnsi="宋体"/>
          <w:sz w:val="24"/>
        </w:rPr>
        <w:t>2.投标文件附件：主要包括以下内容：</w:t>
      </w:r>
    </w:p>
    <w:p>
      <w:pPr>
        <w:ind w:firstLine="2100" w:firstLineChars="1000"/>
        <w:rPr>
          <w:szCs w:val="21"/>
        </w:rPr>
      </w:pPr>
      <w:r>
        <w:rPr>
          <w:rFonts w:hint="eastAsia"/>
          <w:szCs w:val="21"/>
        </w:rPr>
        <w:t>（1）法定代表人（负责人）证明书</w:t>
      </w:r>
    </w:p>
    <w:p>
      <w:pPr>
        <w:ind w:left="718" w:leftChars="342" w:firstLine="1417" w:firstLineChars="675"/>
        <w:rPr>
          <w:szCs w:val="21"/>
        </w:rPr>
      </w:pPr>
      <w:r>
        <w:rPr>
          <w:rFonts w:hint="eastAsia"/>
          <w:szCs w:val="21"/>
        </w:rPr>
        <w:t>（2）投标文件签署授权委托书</w:t>
      </w:r>
    </w:p>
    <w:p>
      <w:pPr>
        <w:ind w:left="718" w:leftChars="342" w:firstLine="1417" w:firstLineChars="675"/>
        <w:rPr>
          <w:szCs w:val="21"/>
        </w:rPr>
      </w:pPr>
      <w:r>
        <w:rPr>
          <w:rFonts w:hint="eastAsia"/>
          <w:szCs w:val="21"/>
        </w:rPr>
        <w:t>（3）实质性条款响应情况表</w:t>
      </w:r>
    </w:p>
    <w:p>
      <w:pPr>
        <w:ind w:left="718" w:leftChars="342" w:firstLine="1417" w:firstLineChars="675"/>
        <w:rPr>
          <w:szCs w:val="21"/>
        </w:rPr>
      </w:pPr>
      <w:r>
        <w:rPr>
          <w:rFonts w:hint="eastAsia"/>
          <w:szCs w:val="21"/>
        </w:rPr>
        <w:t>（</w:t>
      </w:r>
      <w:r>
        <w:rPr>
          <w:szCs w:val="21"/>
        </w:rPr>
        <w:t>4</w:t>
      </w:r>
      <w:r>
        <w:rPr>
          <w:rFonts w:hint="eastAsia"/>
          <w:szCs w:val="21"/>
        </w:rPr>
        <w:t>）商务要求偏离表</w:t>
      </w:r>
    </w:p>
    <w:p>
      <w:pPr>
        <w:ind w:left="718" w:leftChars="342" w:firstLine="1417" w:firstLineChars="675"/>
        <w:rPr>
          <w:szCs w:val="21"/>
        </w:rPr>
      </w:pPr>
      <w:r>
        <w:rPr>
          <w:rFonts w:hint="eastAsia"/>
          <w:szCs w:val="21"/>
        </w:rPr>
        <w:t>（</w:t>
      </w:r>
      <w:r>
        <w:rPr>
          <w:szCs w:val="21"/>
        </w:rPr>
        <w:t>5</w:t>
      </w:r>
      <w:r>
        <w:rPr>
          <w:rFonts w:hint="eastAsia"/>
          <w:szCs w:val="21"/>
        </w:rPr>
        <w:t>）技术要求偏离表</w:t>
      </w:r>
    </w:p>
    <w:p>
      <w:pPr>
        <w:ind w:left="718" w:leftChars="342" w:firstLine="1417" w:firstLineChars="675"/>
        <w:rPr>
          <w:szCs w:val="21"/>
        </w:rPr>
      </w:pPr>
      <w:r>
        <w:rPr>
          <w:rFonts w:hint="eastAsia"/>
          <w:szCs w:val="21"/>
        </w:rPr>
        <w:t>（6）</w:t>
      </w:r>
      <w:r>
        <w:rPr>
          <w:rFonts w:hint="eastAsia" w:asciiTheme="minorEastAsia" w:hAnsiTheme="minorEastAsia" w:cstheme="minorEastAsia"/>
          <w:sz w:val="21"/>
          <w:szCs w:val="21"/>
          <w:lang w:val="en-US" w:eastAsia="zh-CN"/>
        </w:rPr>
        <w:t>实施方案</w:t>
      </w:r>
    </w:p>
    <w:p>
      <w:pPr>
        <w:ind w:left="718" w:leftChars="342" w:firstLine="1417" w:firstLineChars="675"/>
        <w:rPr>
          <w:rFonts w:hint="eastAsia"/>
          <w:szCs w:val="21"/>
        </w:rPr>
      </w:pPr>
      <w:r>
        <w:rPr>
          <w:rFonts w:hint="eastAsia"/>
          <w:szCs w:val="21"/>
        </w:rPr>
        <w:t>（7）</w:t>
      </w:r>
      <w:r>
        <w:rPr>
          <w:rFonts w:hint="eastAsia" w:asciiTheme="minorEastAsia" w:hAnsiTheme="minorEastAsia" w:cstheme="minorEastAsia"/>
          <w:sz w:val="21"/>
          <w:szCs w:val="21"/>
          <w:lang w:val="en-US" w:eastAsia="zh-CN"/>
        </w:rPr>
        <w:t>技术培训力量</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）维修技术服务能力</w:t>
      </w:r>
    </w:p>
    <w:p>
      <w:pPr>
        <w:ind w:left="718" w:leftChars="342" w:firstLine="1417" w:firstLineChars="675"/>
        <w:rPr>
          <w:rFonts w:hint="eastAsia" w:ascii="宋体" w:hAnsi="宋体" w:cs="宋体"/>
          <w:kern w:val="0"/>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ascii="宋体" w:hAnsi="宋体" w:cs="宋体"/>
          <w:kern w:val="0"/>
          <w:szCs w:val="21"/>
        </w:rPr>
        <w:t>同类项目业绩</w:t>
      </w:r>
    </w:p>
    <w:p>
      <w:pPr>
        <w:ind w:left="718" w:leftChars="342" w:firstLine="1417" w:firstLineChars="675"/>
        <w:rPr>
          <w:rFonts w:hint="eastAsia"/>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10</w:t>
      </w:r>
      <w:r>
        <w:rPr>
          <w:rFonts w:hint="eastAsia" w:ascii="宋体" w:hAnsi="宋体" w:cs="宋体"/>
          <w:kern w:val="0"/>
          <w:szCs w:val="21"/>
          <w:lang w:eastAsia="zh-CN"/>
        </w:rPr>
        <w:t>）</w:t>
      </w:r>
      <w:r>
        <w:rPr>
          <w:rFonts w:hint="eastAsia" w:ascii="宋体" w:hAnsi="宋体" w:cs="宋体"/>
          <w:kern w:val="0"/>
          <w:szCs w:val="21"/>
        </w:rPr>
        <w:t>履约评价情况</w:t>
      </w:r>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）投标人认为需要加以说明的其他内容</w:t>
      </w:r>
    </w:p>
    <w:p>
      <w:pPr>
        <w:spacing w:line="320" w:lineRule="atLeast"/>
        <w:rPr>
          <w:rFonts w:hint="eastAsia" w:ascii="宋体" w:hAnsi="宋体"/>
          <w:b/>
          <w:sz w:val="24"/>
          <w:szCs w:val="24"/>
        </w:rPr>
      </w:pPr>
      <w:r>
        <w:rPr>
          <w:rFonts w:hint="eastAsia" w:ascii="宋体" w:hAnsi="宋体"/>
          <w:b/>
          <w:sz w:val="24"/>
          <w:szCs w:val="24"/>
        </w:rPr>
        <w:t>备注：</w:t>
      </w:r>
    </w:p>
    <w:p>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snapToGrid w:val="0"/>
        <w:spacing w:after="78" w:afterLines="25"/>
        <w:ind w:firstLine="482" w:firstLineChars="200"/>
        <w:rPr>
          <w:rFonts w:hint="eastAsia" w:ascii="宋体" w:hAnsi="宋体" w:eastAsia="黑体" w:cs="Times New Roman"/>
          <w:bCs/>
          <w:kern w:val="44"/>
          <w:sz w:val="32"/>
          <w:szCs w:val="32"/>
        </w:rPr>
      </w:pPr>
      <w:bookmarkStart w:id="19" w:name="_Hlk72263559"/>
      <w:r>
        <w:rPr>
          <w:rFonts w:hint="eastAsia" w:ascii="宋体" w:hAnsi="宋体"/>
          <w:b/>
          <w:sz w:val="24"/>
          <w:szCs w:val="24"/>
        </w:rPr>
        <w:t>2.关于填写“开标一览表”的说明：“开标一览表”中除“投标总价”外，其他信息不作评审依据。</w:t>
      </w:r>
      <w:bookmarkEnd w:id="15"/>
      <w:bookmarkEnd w:id="19"/>
      <w:r>
        <w:rPr>
          <w:rFonts w:ascii="宋体" w:hAnsi="宋体" w:eastAsia="黑体" w:cs="Times New Roman"/>
          <w:bCs/>
          <w:kern w:val="44"/>
          <w:sz w:val="32"/>
          <w:szCs w:val="32"/>
        </w:rPr>
        <w:br w:type="page"/>
      </w:r>
    </w:p>
    <w:p>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pPr>
        <w:pStyle w:val="6"/>
        <w:jc w:val="center"/>
        <w:rPr>
          <w:rFonts w:hint="eastAsia" w:ascii="黑体" w:eastAsia="黑体"/>
          <w:b w:val="0"/>
          <w:sz w:val="24"/>
        </w:rPr>
      </w:pPr>
      <w:r>
        <w:rPr>
          <w:rFonts w:hint="eastAsia" w:ascii="黑体" w:eastAsia="黑体"/>
          <w:b w:val="0"/>
          <w:sz w:val="24"/>
        </w:rPr>
        <w:t>一、投标函</w:t>
      </w:r>
    </w:p>
    <w:p>
      <w:pPr>
        <w:spacing w:line="360" w:lineRule="auto"/>
        <w:rPr>
          <w:rFonts w:hint="eastAsia" w:ascii="宋体" w:hAnsi="宋体"/>
          <w:szCs w:val="21"/>
        </w:rPr>
      </w:pPr>
      <w:bookmarkStart w:id="2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hint="eastAsia" w:ascii="宋体" w:hAnsi="宋体"/>
          <w:szCs w:val="21"/>
        </w:rPr>
      </w:pPr>
      <w:bookmarkStart w:id="21"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2" w:name="_Hlk72263588"/>
      <w:r>
        <w:rPr>
          <w:rFonts w:hint="eastAsia"/>
          <w:szCs w:val="21"/>
        </w:rPr>
        <w:t>愿意按照招标文件要求承包上述项目并修补其任何缺陷。</w:t>
      </w:r>
      <w:bookmarkEnd w:id="22"/>
    </w:p>
    <w:p>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3" w:name="_Hlk73819847"/>
      <w:r>
        <w:rPr>
          <w:rFonts w:hint="eastAsia" w:ascii="宋体" w:hAnsi="宋体"/>
          <w:szCs w:val="21"/>
        </w:rPr>
        <w:t>投标价格见</w:t>
      </w:r>
      <w:r>
        <w:rPr>
          <w:rFonts w:hint="eastAsia"/>
          <w:szCs w:val="21"/>
        </w:rPr>
        <w:t>投标书编制软件中《开标一览表》中填写的投标总价。</w:t>
      </w:r>
      <w:bookmarkEnd w:id="23"/>
    </w:p>
    <w:p>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1"/>
    </w:p>
    <w:p>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szCs w:val="21"/>
        </w:rPr>
      </w:pP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bookmarkEnd w:id="20"/>
    <w:p>
      <w:pPr>
        <w:pStyle w:val="6"/>
        <w:jc w:val="center"/>
        <w:rPr>
          <w:rFonts w:hint="eastAsia" w:ascii="黑体" w:eastAsia="黑体"/>
          <w:b w:val="0"/>
          <w:sz w:val="24"/>
        </w:rPr>
      </w:pPr>
      <w:r>
        <w:rPr>
          <w:rFonts w:hint="eastAsia" w:ascii="黑体" w:eastAsia="黑体"/>
          <w:b w:val="0"/>
          <w:sz w:val="24"/>
        </w:rPr>
        <w:t>二、政府采购投标及履约承诺函</w:t>
      </w:r>
    </w:p>
    <w:p>
      <w:pPr>
        <w:rPr>
          <w:rFonts w:hint="eastAsia" w:ascii="宋体" w:hAnsi="宋体"/>
          <w:color w:val="FF0000"/>
          <w:szCs w:val="21"/>
        </w:rPr>
      </w:pPr>
      <w:bookmarkStart w:id="24"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pPr>
        <w:ind w:firstLine="420" w:firstLineChars="200"/>
        <w:rPr>
          <w:rFonts w:hint="eastAsia" w:ascii="宋体" w:hAnsi="宋体"/>
          <w:bCs/>
        </w:rPr>
      </w:pPr>
      <w:r>
        <w:rPr>
          <w:rFonts w:hint="eastAsia" w:ascii="宋体" w:hAnsi="宋体"/>
          <w:bCs/>
        </w:rPr>
        <w:t>13.</w:t>
      </w:r>
      <w:bookmarkStart w:id="25" w:name="OLE_LINK12"/>
      <w:bookmarkStart w:id="26"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5"/>
      <w:r>
        <w:rPr>
          <w:rFonts w:hint="eastAsia" w:ascii="宋体" w:hAnsi="宋体"/>
          <w:bCs/>
        </w:rPr>
        <w:t>。</w:t>
      </w:r>
      <w:bookmarkEnd w:id="26"/>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2" w:firstLineChars="200"/>
        <w:rPr>
          <w:rFonts w:hint="eastAsia" w:ascii="宋体" w:hAnsi="宋体"/>
          <w:b/>
        </w:rPr>
      </w:pP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4"/>
    <w:p>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pPr>
        <w:ind w:firstLine="645"/>
        <w:rPr>
          <w:rFonts w:hint="eastAsia" w:ascii="宋体" w:hAnsi="宋体"/>
          <w:szCs w:val="21"/>
        </w:rPr>
      </w:pPr>
    </w:p>
    <w:p>
      <w:pPr>
        <w:rPr>
          <w:rFonts w:ascii="宋体"/>
          <w:b/>
          <w:szCs w:val="21"/>
        </w:rPr>
      </w:pPr>
    </w:p>
    <w:p>
      <w:pPr>
        <w:ind w:firstLine="482" w:firstLineChars="200"/>
        <w:jc w:val="center"/>
        <w:rPr>
          <w:rFonts w:hint="eastAsia" w:hAnsi="宋体"/>
          <w:b/>
          <w:bCs/>
          <w:sz w:val="24"/>
        </w:rPr>
      </w:pPr>
    </w:p>
    <w:p>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hint="eastAsia" w:ascii="黑体" w:hAnsi="宋体" w:eastAsia="黑体"/>
          <w:bCs/>
          <w:kern w:val="0"/>
          <w:sz w:val="24"/>
          <w:szCs w:val="32"/>
        </w:rPr>
      </w:pPr>
      <w:bookmarkStart w:id="27" w:name="_Hlk72257590"/>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pPr>
        <w:rPr>
          <w:b/>
          <w:bCs/>
          <w:sz w:val="24"/>
        </w:rPr>
      </w:pPr>
    </w:p>
    <w:p>
      <w:pPr>
        <w:ind w:firstLine="480" w:firstLineChars="200"/>
        <w:outlineLvl w:val="3"/>
        <w:rPr>
          <w:rFonts w:hint="eastAsia" w:ascii="黑体" w:hAnsi="宋体" w:eastAsia="黑体"/>
          <w:bCs/>
          <w:kern w:val="0"/>
          <w:sz w:val="24"/>
          <w:szCs w:val="32"/>
        </w:rPr>
      </w:pPr>
      <w:bookmarkStart w:id="28" w:name="_Hlk72257908"/>
      <w:r>
        <w:rPr>
          <w:rFonts w:hint="eastAsia" w:ascii="黑体" w:hAnsi="宋体" w:eastAsia="黑体"/>
          <w:bCs/>
          <w:kern w:val="0"/>
          <w:sz w:val="24"/>
          <w:szCs w:val="32"/>
        </w:rPr>
        <w:t>（二）中小企业声明函、残疾人福利性单位声明函及监狱企业声明函</w:t>
      </w:r>
    </w:p>
    <w:bookmarkEnd w:id="27"/>
    <w:p>
      <w:pPr>
        <w:jc w:val="left"/>
        <w:outlineLvl w:val="3"/>
        <w:rPr>
          <w:rFonts w:hint="eastAsia" w:ascii="黑体" w:hAnsi="宋体" w:eastAsia="黑体"/>
          <w:bCs/>
          <w:kern w:val="0"/>
          <w:sz w:val="24"/>
          <w:szCs w:val="32"/>
        </w:rPr>
      </w:pP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9"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29"/>
      <w:r>
        <w:rPr>
          <w:rFonts w:hint="eastAsia" w:ascii="黑体" w:hAnsi="黑体" w:eastAsia="黑体"/>
          <w:color w:val="FF0000"/>
          <w:szCs w:val="21"/>
        </w:rPr>
        <w:t>）</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pStyle w:val="51"/>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3"/>
        </w:numPr>
        <w:jc w:val="center"/>
        <w:outlineLvl w:val="3"/>
        <w:rPr>
          <w:b/>
          <w:sz w:val="24"/>
        </w:rPr>
      </w:pPr>
      <w:r>
        <w:rPr>
          <w:b/>
          <w:sz w:val="24"/>
        </w:rPr>
        <w:t>中小企业声明函（货物）</w:t>
      </w:r>
    </w:p>
    <w:p>
      <w:pPr>
        <w:pStyle w:val="2"/>
      </w:pP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hint="eastAsia" w:asciiTheme="minorEastAsia" w:hAnsiTheme="minorEastAsia" w:cstheme="minorEastAsia"/>
          <w:szCs w:val="21"/>
        </w:rPr>
      </w:pPr>
      <w:bookmarkStart w:id="30" w:name="_Hlk73562203"/>
      <w:r>
        <w:rPr>
          <w:rFonts w:hint="eastAsia" w:asciiTheme="minorEastAsia" w:hAnsiTheme="minorEastAsia" w:cstheme="minorEastAsia"/>
          <w:szCs w:val="21"/>
        </w:rPr>
        <w:t>本投标人对上述声明内容的真实性负责。如有虚假，将依法承担相应责任。</w:t>
      </w:r>
    </w:p>
    <w:p>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0"/>
    </w:p>
    <w:p>
      <w:pPr>
        <w:ind w:firstLine="420" w:firstLineChars="200"/>
        <w:outlineLvl w:val="3"/>
        <w:rPr>
          <w:rFonts w:hint="eastAsia" w:ascii="宋体" w:hAnsi="宋体"/>
          <w:bCs/>
          <w:color w:val="FF0000"/>
          <w:kern w:val="0"/>
          <w:szCs w:val="21"/>
        </w:rPr>
      </w:pPr>
    </w:p>
    <w:p/>
    <w:p>
      <w:pPr>
        <w:ind w:firstLine="420" w:firstLineChars="200"/>
      </w:pPr>
    </w:p>
    <w:p>
      <w:pPr>
        <w:jc w:val="center"/>
        <w:outlineLvl w:val="3"/>
        <w:rPr>
          <w:b/>
          <w:sz w:val="24"/>
        </w:rPr>
      </w:pPr>
      <w:r>
        <w:rPr>
          <w:rFonts w:hint="eastAsia"/>
          <w:b/>
          <w:sz w:val="24"/>
        </w:rPr>
        <w:t>2、残疾人福利性单位声明函（货物类）</w:t>
      </w:r>
    </w:p>
    <w:p>
      <w:pPr>
        <w:rPr>
          <w:b/>
          <w:bCs/>
        </w:rPr>
      </w:pPr>
    </w:p>
    <w:p>
      <w:pPr>
        <w:spacing w:line="360" w:lineRule="auto"/>
        <w:ind w:firstLine="420" w:firstLineChars="200"/>
        <w:rPr>
          <w:rFonts w:hint="eastAsia" w:asciiTheme="minorEastAsia" w:hAnsiTheme="minorEastAsia" w:cstheme="minorEastAsia"/>
          <w:szCs w:val="21"/>
        </w:rPr>
      </w:pPr>
      <w:bookmarkStart w:id="31" w:name="_Hlk73562331"/>
      <w:bookmarkStart w:id="32"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1"/>
    </w:p>
    <w:bookmarkEnd w:id="32"/>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pPr>
        <w:spacing w:line="360" w:lineRule="auto"/>
        <w:ind w:firstLine="420" w:firstLineChars="200"/>
        <w:outlineLvl w:val="3"/>
        <w:rPr>
          <w:rFonts w:hint="eastAsia" w:ascii="宋体" w:hAnsi="宋体"/>
          <w:szCs w:val="21"/>
        </w:rPr>
      </w:pPr>
      <w:r>
        <w:rPr>
          <w:rFonts w:ascii="宋体" w:hAnsi="宋体"/>
          <w:szCs w:val="21"/>
        </w:rPr>
        <w:t xml:space="preserve">…… </w:t>
      </w:r>
    </w:p>
    <w:p>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8"/>
    </w:p>
    <w:p>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1</w:t>
            </w:r>
          </w:p>
        </w:tc>
        <w:tc>
          <w:tcPr>
            <w:tcW w:w="903" w:type="pct"/>
            <w:vAlign w:val="center"/>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restart"/>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2</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3</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pPr>
              <w:spacing w:after="78" w:afterLines="25" w:line="300" w:lineRule="auto"/>
              <w:rPr>
                <w:rFonts w:ascii="Arial" w:hAnsi="Arial" w:eastAsia="宋体" w:cs="Times New Roman"/>
                <w:szCs w:val="24"/>
              </w:rPr>
            </w:pPr>
          </w:p>
        </w:tc>
      </w:tr>
    </w:tbl>
    <w:p>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3"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3"/>
    </w:p>
    <w:p>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4" w:name="_Hlk72074795"/>
      <w:r>
        <w:rPr>
          <w:rFonts w:hint="eastAsia" w:cs="Times New Roman" w:asciiTheme="minorEastAsia" w:hAnsiTheme="minorEastAsia"/>
          <w:b/>
          <w:szCs w:val="24"/>
        </w:rPr>
        <w:t>“原产地”是指该货物的实际生产加工地，而非品牌所在地</w:t>
      </w:r>
      <w:bookmarkEnd w:id="34"/>
      <w:r>
        <w:rPr>
          <w:rFonts w:hint="eastAsia" w:cs="Times New Roman" w:asciiTheme="minorEastAsia" w:hAnsiTheme="minorEastAsia"/>
          <w:b/>
          <w:szCs w:val="24"/>
        </w:rPr>
        <w:t>。</w:t>
      </w:r>
    </w:p>
    <w:p>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pPr>
        <w:snapToGrid w:val="0"/>
        <w:rPr>
          <w:rFonts w:hint="eastAsia" w:cs="Times New Roman" w:asciiTheme="minorEastAsia" w:hAnsiTheme="minorEastAsia"/>
          <w:b/>
          <w:szCs w:val="24"/>
        </w:rPr>
      </w:pPr>
    </w:p>
    <w:p>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pPr>
        <w:tabs>
          <w:tab w:val="left" w:pos="720"/>
        </w:tabs>
        <w:rPr>
          <w:rFonts w:ascii="Times New Roman" w:hAnsi="Times New Roman" w:eastAsia="宋体" w:cs="Times New Roman"/>
          <w:b/>
          <w:sz w:val="24"/>
          <w:szCs w:val="24"/>
        </w:rPr>
      </w:pPr>
    </w:p>
    <w:p>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pPr>
        <w:spacing w:after="78" w:afterLines="25" w:line="300" w:lineRule="auto"/>
        <w:rPr>
          <w:rFonts w:ascii="Arial" w:hAnsi="Arial" w:eastAsia="宋体" w:cs="Times New Roman"/>
          <w:b/>
          <w:szCs w:val="24"/>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pPr>
        <w:ind w:firstLine="422" w:firstLineChars="200"/>
        <w:rPr>
          <w:rFonts w:hint="eastAsia" w:hAnsi="宋体"/>
          <w:b/>
          <w:bCs/>
          <w:szCs w:val="21"/>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pPr>
        <w:rPr>
          <w:b/>
          <w:bCs/>
          <w:color w:val="FF0000"/>
          <w:sz w:val="24"/>
        </w:rPr>
      </w:pPr>
    </w:p>
    <w:p>
      <w:pPr>
        <w:jc w:val="center"/>
        <w:rPr>
          <w:rFonts w:ascii="黑体" w:eastAsia="黑体"/>
          <w:sz w:val="24"/>
          <w:szCs w:val="24"/>
        </w:rPr>
      </w:pPr>
      <w:r>
        <w:rPr>
          <w:rFonts w:hint="eastAsia"/>
          <w:b/>
          <w:bCs/>
          <w:color w:val="FF0000"/>
          <w:sz w:val="24"/>
        </w:rPr>
        <w:t>★</w:t>
      </w:r>
      <w:r>
        <w:rPr>
          <w:rFonts w:hint="eastAsia" w:ascii="黑体" w:eastAsia="黑体"/>
          <w:sz w:val="24"/>
          <w:szCs w:val="24"/>
        </w:rPr>
        <w:t>五、供应商情况表</w:t>
      </w:r>
    </w:p>
    <w:p>
      <w:pPr>
        <w:jc w:val="center"/>
        <w:rPr>
          <w:rFonts w:hint="eastAsia" w:ascii="宋体" w:hAnsi="宋体"/>
        </w:rPr>
      </w:pPr>
    </w:p>
    <w:p>
      <w:pPr>
        <w:pStyle w:val="6"/>
        <w:numPr>
          <w:ilvl w:val="0"/>
          <w:numId w:val="4"/>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w:t>
      </w:r>
      <w:r>
        <w:fldChar w:fldCharType="begin"/>
      </w:r>
      <w:r>
        <w:instrText xml:space="preserve"> HYPERLINK "https://amr.sz.gov.cn/outer/entSelect/gs.html" </w:instrText>
      </w:r>
      <w:r>
        <w:fldChar w:fldCharType="separate"/>
      </w:r>
      <w:r>
        <w:rPr>
          <w:rStyle w:val="25"/>
          <w:rFonts w:hint="eastAsia" w:ascii="Times New Roman" w:hAnsi="Times New Roman" w:cs="Times New Roman"/>
          <w:b w:val="0"/>
          <w:bCs w:val="0"/>
          <w:sz w:val="21"/>
          <w:szCs w:val="24"/>
        </w:rPr>
        <w:t>https://amr.sz.gov.cn/outer/entSelect/gs.html”。</w:t>
      </w:r>
      <w:r>
        <w:rPr>
          <w:rStyle w:val="25"/>
          <w:rFonts w:hint="eastAsia" w:ascii="Times New Roman" w:hAnsi="Times New Roman" w:cs="Times New Roman"/>
          <w:b w:val="0"/>
          <w:bCs w:val="0"/>
          <w:sz w:val="21"/>
          <w:szCs w:val="24"/>
        </w:rPr>
        <w:fldChar w:fldCharType="end"/>
      </w:r>
    </w:p>
    <w:p>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p>
      <w:pPr>
        <w:pStyle w:val="6"/>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2、股东构成审查表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pPr>
        <w:pStyle w:val="6"/>
        <w:ind w:firstLine="3120" w:firstLineChars="1300"/>
        <w:rPr>
          <w:rFonts w:hint="eastAsia" w:ascii="黑体" w:eastAsia="黑体"/>
          <w:b w:val="0"/>
          <w:sz w:val="24"/>
        </w:rPr>
      </w:pPr>
      <w:r>
        <w:rPr>
          <w:rFonts w:hint="eastAsia" w:ascii="黑体" w:eastAsia="黑体" w:cs="Times New Roman"/>
          <w:b w:val="0"/>
          <w:sz w:val="24"/>
          <w:lang w:val="en-US" w:eastAsia="zh-CN"/>
        </w:rPr>
        <w:t>六、</w:t>
      </w:r>
      <w:r>
        <w:rPr>
          <w:rFonts w:hint="eastAsia" w:ascii="黑体" w:eastAsia="黑体" w:cs="Times New Roman"/>
          <w:b w:val="0"/>
          <w:sz w:val="24"/>
        </w:rPr>
        <w:t>供应商基本情况表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劳动合同</w:t>
            </w:r>
          </w:p>
          <w:p>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缴纳社会</w:t>
            </w:r>
          </w:p>
          <w:p>
            <w:pPr>
              <w:snapToGrid w:val="0"/>
              <w:jc w:val="center"/>
              <w:rPr>
                <w:rFonts w:hint="eastAsia" w:ascii="宋体" w:hAnsi="宋体" w:eastAsia="宋体" w:cs="宋体"/>
                <w:szCs w:val="21"/>
              </w:rPr>
            </w:pPr>
            <w:r>
              <w:rPr>
                <w:rFonts w:hint="eastAsia" w:ascii="宋体" w:hAnsi="宋体" w:eastAsia="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p>
        </w:tc>
        <w:tc>
          <w:tcPr>
            <w:tcW w:w="838" w:type="pct"/>
            <w:vAlign w:val="center"/>
          </w:tcPr>
          <w:p>
            <w:pPr>
              <w:jc w:val="center"/>
              <w:rPr>
                <w:rFonts w:hint="eastAsia" w:ascii="宋体" w:hAnsi="宋体" w:eastAsia="宋体" w:cs="宋体"/>
                <w:szCs w:val="21"/>
              </w:rPr>
            </w:pPr>
          </w:p>
        </w:tc>
        <w:tc>
          <w:tcPr>
            <w:tcW w:w="830"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p>
        </w:tc>
        <w:tc>
          <w:tcPr>
            <w:tcW w:w="838" w:type="pct"/>
            <w:vAlign w:val="center"/>
          </w:tcPr>
          <w:p>
            <w:pPr>
              <w:jc w:val="center"/>
              <w:rPr>
                <w:rFonts w:hint="eastAsia" w:ascii="宋体" w:hAnsi="宋体" w:eastAsia="宋体" w:cs="宋体"/>
                <w:szCs w:val="21"/>
              </w:rPr>
            </w:pPr>
          </w:p>
        </w:tc>
        <w:tc>
          <w:tcPr>
            <w:tcW w:w="830"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pPr>
        <w:pStyle w:val="2"/>
      </w:pPr>
    </w:p>
    <w:p>
      <w:pPr>
        <w:autoSpaceDE w:val="0"/>
        <w:autoSpaceDN w:val="0"/>
        <w:adjustRightInd w:val="0"/>
        <w:snapToGrid w:val="0"/>
        <w:jc w:val="left"/>
        <w:rPr>
          <w:rFonts w:ascii="Arial" w:hAnsi="Arial" w:eastAsia="宋体" w:cs="Times New Roman"/>
          <w:b/>
          <w:sz w:val="24"/>
          <w:szCs w:val="24"/>
        </w:rPr>
      </w:pPr>
    </w:p>
    <w:p>
      <w:pPr>
        <w:widowControl/>
        <w:jc w:val="center"/>
        <w:rPr>
          <w:rFonts w:ascii="Arial" w:hAnsi="Arial" w:eastAsia="宋体" w:cs="Times New Roman"/>
          <w:b/>
          <w:sz w:val="24"/>
          <w:szCs w:val="24"/>
        </w:rPr>
      </w:pPr>
    </w:p>
    <w:p>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pPr>
        <w:widowControl/>
        <w:jc w:val="center"/>
        <w:rPr>
          <w:rFonts w:ascii="Arial" w:hAnsi="Arial" w:eastAsia="宋体" w:cs="Times New Roman"/>
          <w:szCs w:val="24"/>
        </w:rPr>
      </w:pPr>
      <w:r>
        <w:rPr>
          <w:rFonts w:ascii="Arial" w:hAnsi="Arial" w:eastAsia="宋体" w:cs="Times New Roman"/>
          <w:szCs w:val="24"/>
        </w:rPr>
        <w:br w:type="page"/>
      </w:r>
    </w:p>
    <w:p>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pPr>
        <w:pStyle w:val="6"/>
        <w:jc w:val="center"/>
        <w:rPr>
          <w:rFonts w:hint="eastAsia" w:ascii="黑体" w:eastAsia="黑体"/>
          <w:b w:val="0"/>
          <w:sz w:val="24"/>
        </w:rPr>
      </w:pPr>
      <w:r>
        <w:rPr>
          <w:rFonts w:hint="eastAsia" w:ascii="黑体" w:eastAsia="黑体"/>
          <w:b w:val="0"/>
          <w:sz w:val="24"/>
        </w:rPr>
        <w:t>一、</w:t>
      </w:r>
      <w:bookmarkStart w:id="35" w:name="_Hlk72092499"/>
      <w:r>
        <w:rPr>
          <w:rFonts w:hint="eastAsia" w:ascii="黑体" w:eastAsia="黑体"/>
          <w:b w:val="0"/>
          <w:sz w:val="24"/>
        </w:rPr>
        <w:t>法定代表人（负责人）证明书</w:t>
      </w:r>
      <w:bookmarkEnd w:id="35"/>
    </w:p>
    <w:p>
      <w:pPr>
        <w:rPr>
          <w:sz w:val="24"/>
        </w:rPr>
      </w:pPr>
    </w:p>
    <w:p>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5"/>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5"/>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5"/>
        </w:numPr>
        <w:spacing w:line="360" w:lineRule="auto"/>
        <w:ind w:firstLine="420" w:firstLineChars="200"/>
        <w:rPr>
          <w:szCs w:val="21"/>
        </w:rPr>
      </w:pPr>
      <w:r>
        <w:rPr>
          <w:rFonts w:hint="eastAsia"/>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jc w:val="center"/>
            </w:pPr>
          </w:p>
          <w:p>
            <w:pPr>
              <w:pStyle w:val="15"/>
              <w:jc w:val="center"/>
            </w:pPr>
          </w:p>
        </w:tc>
        <w:tc>
          <w:tcPr>
            <w:tcW w:w="4265" w:type="dxa"/>
          </w:tcPr>
          <w:p>
            <w:pPr>
              <w:jc w:val="center"/>
            </w:pPr>
            <w:r>
              <w:rPr>
                <w:rFonts w:hint="eastAsia"/>
              </w:rPr>
              <w:t>证件扫描件反面</w:t>
            </w:r>
          </w:p>
          <w:p>
            <w:pPr>
              <w:pStyle w:val="2"/>
              <w:jc w:val="center"/>
            </w:pPr>
          </w:p>
          <w:p>
            <w:pPr>
              <w:pStyle w:val="15"/>
              <w:jc w:val="center"/>
            </w:pPr>
          </w:p>
        </w:tc>
      </w:tr>
    </w:tbl>
    <w:p>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rPr>
          <w:b/>
          <w:bCs/>
          <w:color w:val="FF0000"/>
          <w:szCs w:val="21"/>
        </w:rPr>
      </w:pPr>
    </w:p>
    <w:p>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ascii="Times New Roman" w:eastAsia="宋体"/>
              </w:rPr>
              <w:t>证件扫描件正面</w:t>
            </w:r>
          </w:p>
          <w:p>
            <w:pPr>
              <w:pStyle w:val="2"/>
              <w:jc w:val="center"/>
            </w:pPr>
          </w:p>
          <w:p>
            <w:pPr>
              <w:pStyle w:val="15"/>
              <w:jc w:val="center"/>
            </w:pPr>
          </w:p>
        </w:tc>
        <w:tc>
          <w:tcPr>
            <w:tcW w:w="4265" w:type="dxa"/>
          </w:tcPr>
          <w:p>
            <w:pPr>
              <w:jc w:val="center"/>
            </w:pPr>
            <w:r>
              <w:rPr>
                <w:rFonts w:hint="eastAsia" w:ascii="Times New Roman" w:eastAsia="宋体"/>
              </w:rPr>
              <w:t>证件扫描件反面</w:t>
            </w:r>
          </w:p>
          <w:p>
            <w:pPr>
              <w:pStyle w:val="2"/>
              <w:jc w:val="center"/>
            </w:pPr>
          </w:p>
          <w:p>
            <w:pPr>
              <w:pStyle w:val="15"/>
              <w:jc w:val="center"/>
            </w:pPr>
          </w:p>
        </w:tc>
      </w:tr>
    </w:tbl>
    <w:p>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6" w:name="_Hlk72092634"/>
      <w:r>
        <w:rPr>
          <w:rFonts w:hint="eastAsia" w:ascii="黑体" w:eastAsia="黑体"/>
          <w:kern w:val="0"/>
          <w:sz w:val="24"/>
          <w:szCs w:val="24"/>
        </w:rPr>
        <w:t>实质性条款响应情况表</w:t>
      </w:r>
      <w:bookmarkEnd w:id="36"/>
    </w:p>
    <w:p>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pPr>
        <w:snapToGrid w:val="0"/>
        <w:rPr>
          <w:rFonts w:hint="eastAsia" w:cs="Times New Roman" w:asciiTheme="minorEastAsia" w:hAnsiTheme="minorEastAsia"/>
          <w:b/>
          <w:sz w:val="24"/>
          <w:szCs w:val="24"/>
        </w:rPr>
      </w:pPr>
    </w:p>
    <w:tbl>
      <w:tblPr>
        <w:tblStyle w:val="19"/>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pPr>
              <w:jc w:val="center"/>
              <w:rPr>
                <w:rFonts w:hint="eastAsia"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pPr>
              <w:spacing w:line="300" w:lineRule="auto"/>
              <w:jc w:val="center"/>
              <w:rPr>
                <w:rFonts w:hint="eastAsia" w:ascii="宋体" w:hAnsi="宋体" w:eastAsia="宋体" w:cs="Times New Roman"/>
                <w:b/>
                <w:color w:val="FF0000"/>
                <w:kern w:val="0"/>
                <w:szCs w:val="21"/>
              </w:rPr>
            </w:pPr>
          </w:p>
        </w:tc>
      </w:tr>
    </w:tbl>
    <w:p>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pPr>
        <w:pStyle w:val="6"/>
        <w:jc w:val="center"/>
        <w:rPr>
          <w:rFonts w:hint="eastAsia"/>
          <w:sz w:val="24"/>
        </w:rPr>
      </w:pPr>
      <w:r>
        <w:rPr>
          <w:rFonts w:hint="eastAsia" w:ascii="黑体" w:eastAsia="黑体"/>
          <w:b w:val="0"/>
          <w:bCs w:val="0"/>
          <w:sz w:val="24"/>
          <w:szCs w:val="20"/>
        </w:rPr>
        <w:t>四、商务要求偏离表</w:t>
      </w:r>
    </w:p>
    <w:tbl>
      <w:tblPr>
        <w:tblStyle w:val="19"/>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pPr>
              <w:jc w:val="center"/>
              <w:rPr>
                <w:b/>
              </w:rPr>
            </w:pPr>
            <w:r>
              <w:rPr>
                <w:rFonts w:hint="eastAsia"/>
                <w:sz w:val="24"/>
              </w:rPr>
              <w:t>序号</w:t>
            </w:r>
          </w:p>
        </w:tc>
        <w:tc>
          <w:tcPr>
            <w:tcW w:w="1408" w:type="dxa"/>
            <w:vAlign w:val="center"/>
          </w:tcPr>
          <w:p>
            <w:pPr>
              <w:jc w:val="center"/>
              <w:rPr>
                <w:b/>
              </w:rPr>
            </w:pPr>
            <w:r>
              <w:rPr>
                <w:rFonts w:hint="eastAsia"/>
                <w:b/>
              </w:rPr>
              <w:t>商务需求项</w:t>
            </w:r>
          </w:p>
        </w:tc>
        <w:tc>
          <w:tcPr>
            <w:tcW w:w="4918" w:type="dxa"/>
            <w:vAlign w:val="center"/>
          </w:tcPr>
          <w:p>
            <w:pPr>
              <w:jc w:val="center"/>
              <w:rPr>
                <w:b/>
              </w:rPr>
            </w:pPr>
            <w:r>
              <w:rPr>
                <w:rFonts w:hint="eastAsia"/>
                <w:sz w:val="24"/>
              </w:rPr>
              <w:t>招标商务要求</w:t>
            </w:r>
          </w:p>
        </w:tc>
        <w:tc>
          <w:tcPr>
            <w:tcW w:w="973" w:type="dxa"/>
            <w:vAlign w:val="center"/>
          </w:tcPr>
          <w:p>
            <w:pPr>
              <w:jc w:val="center"/>
              <w:rPr>
                <w:b/>
              </w:rPr>
            </w:pPr>
            <w:r>
              <w:rPr>
                <w:rFonts w:hint="eastAsia"/>
                <w:sz w:val="24"/>
              </w:rPr>
              <w:t>投标商务响应</w:t>
            </w:r>
          </w:p>
        </w:tc>
        <w:tc>
          <w:tcPr>
            <w:tcW w:w="642" w:type="dxa"/>
            <w:vAlign w:val="center"/>
          </w:tcPr>
          <w:p>
            <w:pPr>
              <w:jc w:val="center"/>
              <w:rPr>
                <w:b/>
              </w:rPr>
            </w:pPr>
            <w:r>
              <w:rPr>
                <w:rFonts w:hint="eastAsia"/>
              </w:rPr>
              <w:t>偏离情况</w:t>
            </w:r>
          </w:p>
        </w:tc>
        <w:tc>
          <w:tcPr>
            <w:tcW w:w="540" w:type="dxa"/>
            <w:vAlign w:val="center"/>
          </w:tcPr>
          <w:p>
            <w:pPr>
              <w:jc w:val="center"/>
              <w:rPr>
                <w:b/>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rFonts w:hint="eastAsia"/>
                <w:bCs/>
              </w:rPr>
              <w:t>1</w:t>
            </w:r>
          </w:p>
        </w:tc>
        <w:tc>
          <w:tcPr>
            <w:tcW w:w="1408" w:type="dxa"/>
          </w:tcPr>
          <w:p>
            <w:pPr>
              <w:jc w:val="center"/>
            </w:pPr>
            <w:r>
              <w:rPr>
                <w:rFonts w:hint="eastAsia"/>
              </w:rPr>
              <w:t>*</w:t>
            </w:r>
            <w:r>
              <w:t>***</w:t>
            </w:r>
          </w:p>
        </w:tc>
        <w:tc>
          <w:tcPr>
            <w:tcW w:w="4918" w:type="dxa"/>
          </w:tcPr>
          <w:p>
            <w:pPr>
              <w:jc w:val="center"/>
              <w:rPr>
                <w:b/>
              </w:rPr>
            </w:pPr>
            <w:r>
              <w:rPr>
                <w:rFonts w:hint="eastAsia"/>
                <w:bCs/>
                <w:szCs w:val="21"/>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bCs/>
              </w:rPr>
              <w:t>2</w:t>
            </w:r>
          </w:p>
        </w:tc>
        <w:tc>
          <w:tcPr>
            <w:tcW w:w="1408" w:type="dxa"/>
          </w:tcPr>
          <w:p>
            <w:pPr>
              <w:jc w:val="center"/>
            </w:pPr>
            <w:r>
              <w:rPr>
                <w:rFonts w:hint="eastAsia"/>
              </w:rPr>
              <w:t>****</w:t>
            </w:r>
          </w:p>
        </w:tc>
        <w:tc>
          <w:tcPr>
            <w:tcW w:w="4918" w:type="dxa"/>
          </w:tcPr>
          <w:p>
            <w:pPr>
              <w:jc w:val="center"/>
              <w:rPr>
                <w:bCs/>
                <w:szCs w:val="21"/>
              </w:rP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pPr>
              <w:rPr>
                <w:bCs/>
                <w:szCs w:val="21"/>
              </w:rPr>
            </w:pPr>
            <w:r>
              <w:rPr>
                <w:rFonts w:hint="eastAsia"/>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rPr>
                <w:bCs/>
              </w:rP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pPr>
              <w:rPr>
                <w:bCs/>
                <w:szCs w:val="21"/>
              </w:rPr>
            </w:pPr>
            <w:r>
              <w:rPr>
                <w:rFonts w:hint="eastAsia"/>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bl>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pPr>
        <w:pStyle w:val="6"/>
        <w:jc w:val="center"/>
        <w:rPr>
          <w:rFonts w:hint="eastAsia"/>
          <w:sz w:val="24"/>
        </w:rPr>
      </w:pPr>
      <w:r>
        <w:rPr>
          <w:rFonts w:hint="eastAsia" w:ascii="黑体" w:eastAsia="黑体"/>
          <w:b w:val="0"/>
          <w:sz w:val="24"/>
          <w:szCs w:val="24"/>
        </w:rPr>
        <w:t>五、技术要求偏离表</w:t>
      </w:r>
    </w:p>
    <w:tbl>
      <w:tblPr>
        <w:tblStyle w:val="19"/>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pPr>
              <w:jc w:val="center"/>
              <w:rPr>
                <w:color w:val="000000" w:themeColor="text1"/>
                <w:szCs w:val="21"/>
                <w14:textFill>
                  <w14:solidFill>
                    <w14:schemeClr w14:val="tx1"/>
                  </w14:solidFill>
                </w14:textFill>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rStyle w:val="22"/>
                <w:b w:val="0"/>
                <w:bCs w:val="0"/>
                <w:color w:val="000000" w:themeColor="text1"/>
                <w:szCs w:val="21"/>
                <w14:textFill>
                  <w14:solidFill>
                    <w14:schemeClr w14:val="tx1"/>
                  </w14:solidFill>
                </w14:textFill>
              </w:rPr>
            </w:pPr>
          </w:p>
        </w:tc>
        <w:tc>
          <w:tcPr>
            <w:tcW w:w="710" w:type="dxa"/>
          </w:tcPr>
          <w:p>
            <w:pPr>
              <w:rPr>
                <w:rStyle w:val="22"/>
                <w:b w:val="0"/>
                <w:bCs w:val="0"/>
                <w:color w:val="000000" w:themeColor="text1"/>
                <w:szCs w:val="21"/>
                <w14:textFill>
                  <w14:solidFill>
                    <w14:schemeClr w14:val="tx1"/>
                  </w14:solidFill>
                </w14:textFill>
              </w:rPr>
            </w:pPr>
          </w:p>
        </w:tc>
        <w:tc>
          <w:tcPr>
            <w:tcW w:w="390" w:type="dxa"/>
          </w:tcPr>
          <w:p>
            <w:pPr>
              <w:rPr>
                <w:rStyle w:val="22"/>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b/>
                <w:bCs/>
                <w:color w:val="000000" w:themeColor="text1"/>
                <w:szCs w:val="21"/>
                <w14:textFill>
                  <w14:solidFill>
                    <w14:schemeClr w14:val="tx1"/>
                  </w14:solidFill>
                </w14:textFill>
              </w:rPr>
            </w:pPr>
            <w:r>
              <w:rPr>
                <w:rFonts w:hint="eastAsia"/>
              </w:rPr>
              <w:t>（填写相关内容）</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bl>
    <w:p>
      <w:pPr>
        <w:rPr>
          <w:sz w:val="24"/>
        </w:rPr>
      </w:pPr>
    </w:p>
    <w:p>
      <w:pPr>
        <w:rPr>
          <w:szCs w:val="21"/>
        </w:rPr>
      </w:pPr>
      <w:bookmarkStart w:id="37" w:name="_Hlk72095977"/>
      <w:r>
        <w:rPr>
          <w:rFonts w:hint="eastAsia"/>
          <w:szCs w:val="21"/>
        </w:rPr>
        <w:t>证明资料【如有的话，提供的证明资料应统一编号（排序），格式自定】</w:t>
      </w:r>
      <w:bookmarkEnd w:id="37"/>
      <w:r>
        <w:rPr>
          <w:rFonts w:hint="eastAsia"/>
          <w:szCs w:val="21"/>
        </w:rPr>
        <w:t>：</w:t>
      </w:r>
    </w:p>
    <w:p>
      <w:pPr>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38" w:name="_Hlk72094407"/>
      <w:r>
        <w:rPr>
          <w:rFonts w:hint="eastAsia"/>
          <w:bCs/>
          <w:szCs w:val="21"/>
        </w:rPr>
        <w:t>对应“用户需求书”中的“技术要求”章节</w:t>
      </w:r>
      <w:bookmarkEnd w:id="38"/>
      <w:r>
        <w:rPr>
          <w:rFonts w:hint="eastAsia"/>
          <w:bCs/>
          <w:szCs w:val="21"/>
        </w:rPr>
        <w:t>相关内容。</w:t>
      </w:r>
    </w:p>
    <w:p>
      <w:pPr>
        <w:pStyle w:val="16"/>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39" w:name="_Hlk72158270"/>
      <w:r>
        <w:rPr>
          <w:rFonts w:hint="eastAsia"/>
          <w:bCs/>
          <w:szCs w:val="21"/>
        </w:rPr>
        <w:t>“偏离情况”</w:t>
      </w:r>
      <w:bookmarkEnd w:id="39"/>
      <w:r>
        <w:rPr>
          <w:rFonts w:hint="eastAsia"/>
          <w:bCs/>
          <w:szCs w:val="21"/>
        </w:rPr>
        <w:t>一栏填写如实填写“正偏离”、“负偏离”或“无偏离”，其中：</w:t>
      </w:r>
      <w:bookmarkStart w:id="40" w:name="_Hlk72093866"/>
      <w:r>
        <w:rPr>
          <w:rFonts w:hint="eastAsia"/>
          <w:bCs/>
          <w:szCs w:val="21"/>
        </w:rPr>
        <w:t>“正偏离”表示“投标响应优于招标技术要求”，“负偏离”表示“投标响应不满足招标技术要求”，“无偏离”表示“投标响应与招标技术要求一致”</w:t>
      </w:r>
      <w:bookmarkEnd w:id="40"/>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41" w:name="_Hlk72096106"/>
      <w:r>
        <w:rPr>
          <w:rFonts w:hint="eastAsia"/>
          <w:bCs/>
          <w:szCs w:val="21"/>
        </w:rPr>
        <w:t>证明资料条款响应要求</w:t>
      </w:r>
      <w:bookmarkEnd w:id="41"/>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2"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3" w:name="_Hlk73558164"/>
      <w:r>
        <w:rPr>
          <w:rFonts w:hint="eastAsia"/>
          <w:bCs/>
          <w:szCs w:val="21"/>
        </w:rPr>
        <w:t>且投标人在“偏离情况”一栏响应为“正偏离”或“无偏离”的，经评审委员会认定，将判定为负偏离。</w:t>
      </w:r>
      <w:bookmarkEnd w:id="42"/>
      <w:bookmarkEnd w:id="43"/>
    </w:p>
    <w:p>
      <w:pPr>
        <w:ind w:firstLine="420" w:firstLineChars="200"/>
        <w:rPr>
          <w:bCs/>
          <w:szCs w:val="21"/>
        </w:rPr>
      </w:pPr>
      <w:r>
        <w:rPr>
          <w:rFonts w:hint="eastAsia"/>
          <w:bCs/>
          <w:szCs w:val="21"/>
        </w:rPr>
        <w:t>6、</w:t>
      </w:r>
      <w:bookmarkStart w:id="44" w:name="_Hlk72096137"/>
      <w:r>
        <w:rPr>
          <w:rFonts w:hint="eastAsia"/>
          <w:bCs/>
          <w:szCs w:val="21"/>
        </w:rPr>
        <w:t>表后“证明资料”部分内容的编制</w:t>
      </w:r>
      <w:bookmarkEnd w:id="44"/>
      <w:r>
        <w:rPr>
          <w:rFonts w:hint="eastAsia"/>
          <w:bCs/>
          <w:szCs w:val="21"/>
        </w:rPr>
        <w:t>：提供的所有证明资料应当统一编号（排序），且证明资料的编号（顺序）、数量和名称（形式）均应与“说明”一栏所填内容保持一致（一一对应），以便评审委员会查看。</w:t>
      </w:r>
      <w:bookmarkStart w:id="45" w:name="_Hlk73558180"/>
      <w:r>
        <w:rPr>
          <w:rFonts w:hint="eastAsia"/>
          <w:bCs/>
          <w:szCs w:val="21"/>
        </w:rPr>
        <w:t>未按照招标文件要求在表后放置证明材料的供应商将承担不利后果，经评审委员会认定，相关技术要求将判定为负偏离。</w:t>
      </w:r>
      <w:bookmarkEnd w:id="45"/>
    </w:p>
    <w:p>
      <w:pPr>
        <w:ind w:firstLine="420" w:firstLineChars="200"/>
        <w:rPr>
          <w:bCs/>
          <w:szCs w:val="21"/>
        </w:rPr>
      </w:pPr>
      <w:r>
        <w:rPr>
          <w:rFonts w:hint="eastAsia"/>
          <w:bCs/>
          <w:szCs w:val="21"/>
        </w:rPr>
        <w:t>7、</w:t>
      </w:r>
      <w:bookmarkStart w:id="46" w:name="_Hlk72096176"/>
      <w:r>
        <w:rPr>
          <w:rFonts w:hint="eastAsia"/>
          <w:bCs/>
          <w:szCs w:val="21"/>
        </w:rPr>
        <w:t>证明资料的形式及其它具体要求</w:t>
      </w:r>
      <w:bookmarkEnd w:id="46"/>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（4）证明资料均要求原件备查。</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47"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7"/>
    </w:p>
    <w:p>
      <w:pPr>
        <w:ind w:firstLine="482" w:firstLineChars="200"/>
        <w:rPr>
          <w:b/>
          <w:sz w:val="24"/>
        </w:rPr>
      </w:pPr>
    </w:p>
    <w:p>
      <w:pPr>
        <w:numPr>
          <w:ilvl w:val="0"/>
          <w:numId w:val="6"/>
        </w:numPr>
        <w:ind w:left="718" w:leftChars="342" w:firstLine="2160" w:firstLineChars="675"/>
        <w:rPr>
          <w:rFonts w:hint="eastAsia" w:ascii="黑体" w:hAnsi="宋体" w:eastAsia="黑体"/>
          <w:sz w:val="24"/>
          <w:szCs w:val="20"/>
          <w:lang w:eastAsia="zh-CN"/>
        </w:rPr>
      </w:pPr>
      <w:r>
        <w:rPr>
          <w:rFonts w:ascii="宋体" w:hAnsi="宋体" w:eastAsia="宋体" w:cs="Times New Roman"/>
          <w:color w:val="FF0000"/>
          <w:sz w:val="32"/>
          <w:szCs w:val="32"/>
        </w:rPr>
        <w:br w:type="page"/>
      </w:r>
      <w:r>
        <w:rPr>
          <w:rFonts w:hint="eastAsia" w:ascii="黑体" w:hAnsi="宋体" w:eastAsia="黑体"/>
          <w:sz w:val="24"/>
          <w:szCs w:val="20"/>
          <w:lang w:val="en-US" w:eastAsia="zh-CN"/>
        </w:rPr>
        <w:t>实施方案</w:t>
      </w:r>
    </w:p>
    <w:p>
      <w:pPr>
        <w:numPr>
          <w:ilvl w:val="0"/>
          <w:numId w:val="6"/>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val="en-US" w:eastAsia="zh-CN"/>
        </w:rPr>
        <w:t>技术培训力量</w:t>
      </w:r>
    </w:p>
    <w:p>
      <w:pPr>
        <w:numPr>
          <w:ilvl w:val="0"/>
          <w:numId w:val="6"/>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eastAsia="zh-CN"/>
        </w:rPr>
        <w:t>维修技术服务能力</w:t>
      </w:r>
    </w:p>
    <w:p>
      <w:pPr>
        <w:numPr>
          <w:ilvl w:val="0"/>
          <w:numId w:val="6"/>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eastAsia="zh-CN"/>
        </w:rPr>
        <w:t>同类项目业绩</w:t>
      </w:r>
    </w:p>
    <w:p>
      <w:pPr>
        <w:numPr>
          <w:ilvl w:val="0"/>
          <w:numId w:val="6"/>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eastAsia="zh-CN"/>
        </w:rPr>
        <w:t>履约评价情况</w:t>
      </w:r>
    </w:p>
    <w:p>
      <w:pPr>
        <w:numPr>
          <w:ilvl w:val="0"/>
          <w:numId w:val="6"/>
        </w:numPr>
        <w:ind w:left="718" w:leftChars="342" w:firstLine="1620" w:firstLineChars="675"/>
        <w:rPr>
          <w:rFonts w:hint="eastAsia" w:ascii="黑体" w:hAnsi="宋体" w:eastAsia="黑体"/>
          <w:kern w:val="0"/>
          <w:sz w:val="24"/>
          <w:szCs w:val="20"/>
        </w:rPr>
      </w:pPr>
      <w:r>
        <w:rPr>
          <w:rFonts w:hint="eastAsia" w:ascii="黑体" w:hAnsi="宋体" w:eastAsia="黑体"/>
          <w:sz w:val="24"/>
          <w:szCs w:val="20"/>
          <w:lang w:eastAsia="zh-CN"/>
        </w:rPr>
        <w:t>投标人认为需要加以说明的其他内容</w:t>
      </w:r>
    </w:p>
    <w:p>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hint="eastAsia" w:ascii="黑体" w:hAnsi="宋体" w:eastAsia="黑体"/>
          <w:kern w:val="0"/>
          <w:sz w:val="24"/>
          <w:szCs w:val="20"/>
        </w:rPr>
      </w:pPr>
    </w:p>
    <w:p>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pPr>
        <w:spacing w:before="156" w:beforeLines="50" w:line="380" w:lineRule="exact"/>
        <w:ind w:firstLine="422" w:firstLineChars="200"/>
        <w:rPr>
          <w:b/>
        </w:rPr>
      </w:pPr>
      <w:r>
        <w:rPr>
          <w:rFonts w:hint="eastAsia"/>
          <w:b/>
        </w:rPr>
        <w:t>一、我单位已充分知悉“隐瞒真实情况，提供虚假资料”的法定情形，包括但不限于：</w:t>
      </w:r>
    </w:p>
    <w:p>
      <w:pPr>
        <w:spacing w:line="380" w:lineRule="exact"/>
        <w:ind w:firstLine="420" w:firstLineChars="200"/>
      </w:pPr>
      <w:r>
        <w:rPr>
          <w:rFonts w:hint="eastAsia"/>
        </w:rPr>
        <w:t>（一）通过转让或者租借等方式从其他单位获取资格或者资质证书投标的。</w:t>
      </w:r>
    </w:p>
    <w:p>
      <w:pPr>
        <w:spacing w:line="380" w:lineRule="exact"/>
        <w:ind w:firstLine="420" w:firstLineChars="200"/>
      </w:pPr>
      <w:r>
        <w:rPr>
          <w:rFonts w:hint="eastAsia"/>
        </w:rPr>
        <w:t>（二）由其他单位或者其他单位负责人在投标供应商编制的投标文件上加盖印章或者签字的。</w:t>
      </w:r>
    </w:p>
    <w:p>
      <w:pPr>
        <w:spacing w:line="380" w:lineRule="exact"/>
        <w:ind w:firstLine="420" w:firstLineChars="200"/>
      </w:pPr>
      <w:r>
        <w:rPr>
          <w:rFonts w:hint="eastAsia"/>
        </w:rPr>
        <w:t>（三）项目负责人或者主要技术人员不是本单位人员的。</w:t>
      </w:r>
    </w:p>
    <w:p>
      <w:pPr>
        <w:spacing w:line="380" w:lineRule="exact"/>
        <w:ind w:firstLine="420" w:firstLineChars="200"/>
      </w:pPr>
      <w:r>
        <w:rPr>
          <w:rFonts w:hint="eastAsia"/>
        </w:rPr>
        <w:t>（四）投标保证金不是从投标供应商基本账户转出的。</w:t>
      </w:r>
    </w:p>
    <w:p>
      <w:pPr>
        <w:spacing w:line="380" w:lineRule="exact"/>
        <w:ind w:firstLine="420" w:firstLineChars="200"/>
      </w:pPr>
      <w:r>
        <w:rPr>
          <w:rFonts w:hint="eastAsia"/>
        </w:rPr>
        <w:t>（五）其他隐瞒真实情况、提供虚假资料的行为。</w:t>
      </w:r>
    </w:p>
    <w:p>
      <w:pPr>
        <w:spacing w:line="380" w:lineRule="exact"/>
        <w:ind w:firstLine="422" w:firstLineChars="200"/>
        <w:rPr>
          <w:b/>
        </w:rPr>
      </w:pPr>
      <w:r>
        <w:rPr>
          <w:rFonts w:hint="eastAsia"/>
          <w:b/>
        </w:rPr>
        <w:t>二、我单位已充分知悉“与其他采购参加人串通投标”的法定情形，包括但不限于：</w:t>
      </w:r>
    </w:p>
    <w:p>
      <w:pPr>
        <w:spacing w:line="380" w:lineRule="exact"/>
        <w:ind w:firstLine="420" w:firstLineChars="200"/>
      </w:pPr>
      <w:r>
        <w:rPr>
          <w:rFonts w:hint="eastAsia"/>
        </w:rPr>
        <w:t>（一）投标供应商之间相互约定给予未中标的供应商利益补偿。</w:t>
      </w:r>
    </w:p>
    <w:p>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pPr>
      <w:r>
        <w:rPr>
          <w:rFonts w:hint="eastAsia"/>
        </w:rPr>
        <w:t>（三）不同投标供应商的投标文件由同一单位或者同一人编制，或者由同一人分阶段参与编制的。</w:t>
      </w:r>
    </w:p>
    <w:p>
      <w:pPr>
        <w:spacing w:line="340" w:lineRule="exact"/>
        <w:ind w:firstLine="420" w:firstLineChars="200"/>
      </w:pPr>
      <w:r>
        <w:rPr>
          <w:rFonts w:hint="eastAsia"/>
        </w:rPr>
        <w:t>（四）不同投标供应商的投标文件或部分投标文件相互混装。</w:t>
      </w:r>
    </w:p>
    <w:p>
      <w:pPr>
        <w:spacing w:line="340" w:lineRule="exact"/>
        <w:ind w:firstLine="420" w:firstLineChars="200"/>
      </w:pPr>
      <w:r>
        <w:rPr>
          <w:rFonts w:hint="eastAsia"/>
        </w:rPr>
        <w:t>（五）不同投标供应商的投标文件内容存在非正常一致。</w:t>
      </w:r>
    </w:p>
    <w:p>
      <w:pPr>
        <w:spacing w:line="340" w:lineRule="exact"/>
        <w:ind w:firstLine="420" w:firstLineChars="200"/>
      </w:pPr>
      <w:r>
        <w:rPr>
          <w:rFonts w:hint="eastAsia"/>
        </w:rPr>
        <w:t>（六）由同一单位工作人员为两家以上（含两家）供应商进行同一项投标活动的。</w:t>
      </w:r>
    </w:p>
    <w:p>
      <w:pPr>
        <w:spacing w:line="340" w:lineRule="exact"/>
        <w:ind w:firstLine="420" w:firstLineChars="200"/>
      </w:pPr>
      <w:r>
        <w:rPr>
          <w:rFonts w:hint="eastAsia"/>
        </w:rPr>
        <w:t>（七）不同投标人的投标报价呈规律性差异。</w:t>
      </w:r>
    </w:p>
    <w:p>
      <w:pPr>
        <w:spacing w:line="340" w:lineRule="exact"/>
        <w:ind w:firstLine="420" w:firstLineChars="200"/>
      </w:pPr>
      <w:r>
        <w:rPr>
          <w:rFonts w:hint="eastAsia"/>
        </w:rPr>
        <w:t>（八）不同投标人的投标保证金从同一单位或者个人的账户转出。</w:t>
      </w:r>
    </w:p>
    <w:p>
      <w:pPr>
        <w:spacing w:line="340" w:lineRule="exact"/>
        <w:ind w:firstLine="420" w:firstLineChars="200"/>
      </w:pPr>
      <w:r>
        <w:rPr>
          <w:rFonts w:hint="eastAsia"/>
        </w:rPr>
        <w:t>（九）主管部门依照法律、法规认定的其他情形。</w:t>
      </w:r>
    </w:p>
    <w:p>
      <w:pPr>
        <w:spacing w:line="340" w:lineRule="exact"/>
        <w:ind w:firstLine="422" w:firstLineChars="200"/>
        <w:rPr>
          <w:b/>
        </w:rPr>
      </w:pPr>
      <w:r>
        <w:rPr>
          <w:rFonts w:hint="eastAsia"/>
          <w:b/>
        </w:rPr>
        <w:t>三、我单位已充分知悉下列情形存在法律风险，在投标前已对相关风险事项进行排查。</w:t>
      </w:r>
    </w:p>
    <w:p>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pPr>
        <w:spacing w:line="340" w:lineRule="exact"/>
        <w:ind w:firstLine="422" w:firstLineChars="200"/>
        <w:rPr>
          <w:b/>
        </w:rPr>
      </w:pPr>
      <w:r>
        <w:rPr>
          <w:rFonts w:hint="eastAsia"/>
          <w:b/>
        </w:rPr>
        <w:t>四、我单位已充分知悉政府采购违法、违规行为的法律后果。</w:t>
      </w:r>
    </w:p>
    <w:p>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3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eastAsia="宋体"/>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pPr>
        <w:widowControl/>
        <w:autoSpaceDE w:val="0"/>
        <w:autoSpaceDN w:val="0"/>
        <w:spacing w:line="340" w:lineRule="exact"/>
        <w:ind w:firstLine="406" w:firstLineChars="200"/>
        <w:jc w:val="left"/>
        <w:rPr>
          <w:rFonts w:hint="eastAsia" w:ascii="宋体" w:hAnsi="宋体" w:eastAsia="宋体"/>
          <w:b/>
          <w:bCs/>
          <w:spacing w:val="-4"/>
          <w:kern w:val="0"/>
          <w:szCs w:val="21"/>
        </w:rPr>
      </w:pPr>
    </w:p>
    <w:p>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pPr>
        <w:pStyle w:val="51"/>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autoSpaceDE w:val="0"/>
        <w:autoSpaceDN w:val="0"/>
        <w:spacing w:line="400" w:lineRule="exact"/>
        <w:ind w:right="1414" w:firstLine="480" w:firstLineChars="200"/>
        <w:jc w:val="right"/>
        <w:rPr>
          <w:kern w:val="0"/>
          <w:sz w:val="24"/>
        </w:rPr>
      </w:pPr>
    </w:p>
    <w:p>
      <w:pPr>
        <w:jc w:val="center"/>
        <w:rPr>
          <w:rFonts w:ascii="黑体" w:eastAsia="黑体"/>
          <w:sz w:val="24"/>
          <w:szCs w:val="20"/>
        </w:rPr>
      </w:pPr>
      <w:r>
        <w:rPr>
          <w:rFonts w:hint="eastAsia" w:ascii="黑体" w:eastAsia="黑体"/>
          <w:sz w:val="24"/>
          <w:szCs w:val="20"/>
        </w:rPr>
        <w:t>（二）订单融资情况</w:t>
      </w:r>
    </w:p>
    <w:p>
      <w:pPr>
        <w:ind w:firstLine="422" w:firstLineChars="200"/>
        <w:rPr>
          <w:rFonts w:hint="eastAsia" w:ascii="宋体" w:hAnsi="宋体" w:cs="宋体"/>
          <w:b/>
          <w:bCs/>
        </w:rPr>
      </w:pPr>
      <w:r>
        <w:rPr>
          <w:rFonts w:hint="eastAsia" w:ascii="宋体" w:hAnsi="宋体" w:cs="宋体"/>
          <w:b/>
          <w:bCs/>
        </w:rPr>
        <w:t>1、关于政府采购订单融资政策</w:t>
      </w:r>
    </w:p>
    <w:p>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rPr>
      </w:pPr>
      <w:r>
        <w:rPr>
          <w:rFonts w:hint="eastAsia" w:ascii="宋体" w:hAnsi="宋体" w:cs="宋体"/>
          <w:b/>
          <w:bCs/>
        </w:rPr>
        <w:t>2、供应商账户信息</w:t>
      </w:r>
    </w:p>
    <w:p>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pPr>
        <w:ind w:firstLine="720" w:firstLineChars="300"/>
        <w:rPr>
          <w:sz w:val="24"/>
        </w:rPr>
      </w:pPr>
    </w:p>
    <w:p>
      <w:pPr>
        <w:widowControl/>
        <w:spacing w:line="360" w:lineRule="auto"/>
        <w:jc w:val="left"/>
        <w:rPr>
          <w:b/>
          <w:bCs/>
          <w:kern w:val="0"/>
          <w:sz w:val="24"/>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pPr>
        <w:widowControl/>
        <w:jc w:val="center"/>
        <w:rPr>
          <w:rFonts w:hint="eastAsia" w:ascii="黑体" w:hAnsi="宋体" w:eastAsia="黑体"/>
          <w:kern w:val="0"/>
          <w:sz w:val="24"/>
          <w:szCs w:val="20"/>
        </w:rPr>
      </w:pPr>
    </w:p>
    <w:p>
      <w:pPr>
        <w:spacing w:after="78" w:afterLines="25" w:line="300" w:lineRule="auto"/>
        <w:rPr>
          <w:rFonts w:ascii="Arial" w:hAnsi="Arial" w:eastAsia="宋体" w:cs="Times New Roman"/>
          <w:sz w:val="24"/>
          <w:szCs w:val="24"/>
        </w:rPr>
      </w:pPr>
    </w:p>
    <w:p>
      <w:pPr>
        <w:spacing w:after="78" w:afterLines="25" w:line="300" w:lineRule="auto"/>
        <w:rPr>
          <w:rFonts w:ascii="Arial" w:hAnsi="Arial" w:eastAsia="宋体" w:cs="Times New Roman"/>
          <w:sz w:val="24"/>
          <w:szCs w:val="24"/>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hint="eastAsia" w:ascii="宋体" w:hAnsi="宋体" w:eastAsia="黑体" w:cs="Times New Roman"/>
          <w:bCs/>
          <w:kern w:val="44"/>
          <w:sz w:val="28"/>
          <w:szCs w:val="44"/>
        </w:rPr>
      </w:pPr>
      <w:bookmarkStart w:id="48" w:name="_Hlk72574405"/>
      <w:r>
        <w:rPr>
          <w:rFonts w:hint="eastAsia"/>
          <w:b/>
          <w:sz w:val="24"/>
        </w:rPr>
        <w:t>（仅供参考，具体以项目需求及采购结果为准）</w:t>
      </w:r>
      <w:bookmarkEnd w:id="48"/>
    </w:p>
    <w:p>
      <w:pPr>
        <w:snapToGrid w:val="0"/>
        <w:spacing w:line="300" w:lineRule="auto"/>
        <w:jc w:val="center"/>
        <w:rPr>
          <w:rFonts w:hint="eastAsia" w:ascii="仿宋" w:hAnsi="仿宋" w:eastAsia="仿宋" w:cs="Times New Roman"/>
          <w:sz w:val="28"/>
          <w:szCs w:val="28"/>
        </w:rPr>
      </w:pP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49" w:name="_Toc22209"/>
    </w:p>
    <w:p>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49"/>
    </w:p>
    <w:p>
      <w:pPr>
        <w:keepNext/>
        <w:keepLines/>
        <w:adjustRightInd w:val="0"/>
        <w:snapToGrid w:val="0"/>
        <w:spacing w:line="400" w:lineRule="exact"/>
        <w:jc w:val="center"/>
        <w:outlineLvl w:val="1"/>
        <w:rPr>
          <w:rFonts w:hint="eastAsia" w:ascii="黑体" w:hAnsi="华文中宋" w:eastAsia="黑体" w:cs="Times New Roman"/>
          <w:sz w:val="28"/>
          <w:szCs w:val="28"/>
        </w:rPr>
      </w:pPr>
    </w:p>
    <w:p>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line="400" w:lineRule="exact"/>
        <w:rPr>
          <w:rFonts w:eastAsia="宋体"/>
        </w:rPr>
      </w:pP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numPr>
          <w:ilvl w:val="0"/>
          <w:numId w:val="7"/>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pPr>
        <w:numPr>
          <w:ilvl w:val="0"/>
          <w:numId w:val="8"/>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pPr>
        <w:numPr>
          <w:ilvl w:val="0"/>
          <w:numId w:val="7"/>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7"/>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7"/>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pPr>
        <w:numPr>
          <w:ilvl w:val="0"/>
          <w:numId w:val="9"/>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pPr>
        <w:numPr>
          <w:ilvl w:val="0"/>
          <w:numId w:val="7"/>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pPr>
        <w:numPr>
          <w:ilvl w:val="0"/>
          <w:numId w:val="7"/>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7"/>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pPr>
        <w:rPr>
          <w:rFonts w:eastAsia="宋体"/>
        </w:rPr>
      </w:pPr>
      <w:r>
        <w:rPr>
          <w:rFonts w:hint="eastAsia" w:eastAsia="宋体"/>
        </w:rPr>
        <w:br w:type="page"/>
      </w:r>
    </w:p>
    <w:p>
      <w:pPr>
        <w:ind w:firstLine="420" w:firstLineChars="200"/>
        <w:rPr>
          <w:rFonts w:ascii="Times New Roman" w:hAnsi="Times New Roman" w:eastAsia="宋体" w:cs="Times New Roman"/>
          <w:szCs w:val="21"/>
        </w:rPr>
      </w:pPr>
    </w:p>
    <w:tbl>
      <w:tblPr>
        <w:tblStyle w:val="1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pPr>
        <w:ind w:firstLine="527" w:firstLineChars="250"/>
        <w:rPr>
          <w:rFonts w:hint="eastAsia" w:ascii="宋体" w:hAnsi="宋体"/>
          <w:b/>
          <w:szCs w:val="21"/>
        </w:rPr>
      </w:pPr>
    </w:p>
    <w:p>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0" w:name="_Toc27624"/>
      <w:r>
        <w:rPr>
          <w:rFonts w:hint="eastAsia" w:ascii="黑体" w:hAnsi="黑体" w:eastAsia="黑体" w:cs="Times New Roman"/>
          <w:sz w:val="28"/>
          <w:szCs w:val="28"/>
        </w:rPr>
        <w:t>第二节 政府采购合同通用条款</w:t>
      </w:r>
      <w:bookmarkEnd w:id="50"/>
    </w:p>
    <w:p>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numPr>
          <w:ilvl w:val="0"/>
          <w:numId w:val="10"/>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pPr>
        <w:numPr>
          <w:ilvl w:val="0"/>
          <w:numId w:val="11"/>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1"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1"/>
      <w:r>
        <w:rPr>
          <w:rFonts w:hint="eastAsia" w:ascii="宋体" w:hAnsi="宋体" w:eastAsia="宋体"/>
          <w:szCs w:val="21"/>
        </w:rPr>
        <w:t>。</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pPr>
        <w:numPr>
          <w:ilvl w:val="0"/>
          <w:numId w:val="12"/>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pPr>
        <w:numPr>
          <w:ilvl w:val="0"/>
          <w:numId w:val="13"/>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2" w:name="_Toc20313"/>
    </w:p>
    <w:p>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2"/>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eastAsia="宋体"/>
              </w:rPr>
            </w:pPr>
            <w:r>
              <w:rPr>
                <w:rFonts w:hint="eastAsia" w:ascii="宋体" w:hAnsi="宋体" w:eastAsia="宋体"/>
                <w:szCs w:val="21"/>
              </w:rPr>
              <w:t>第5.4款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货物质量缺陷</w:t>
            </w:r>
          </w:p>
          <w:p>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第二节</w:t>
            </w:r>
          </w:p>
          <w:p>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pPr>
              <w:adjustRightInd w:val="0"/>
              <w:snapToGrid w:val="0"/>
              <w:jc w:val="left"/>
              <w:rPr>
                <w:rFonts w:hint="eastAsia" w:ascii="宋体" w:hAnsi="宋体" w:eastAsia="宋体"/>
                <w:szCs w:val="21"/>
              </w:rPr>
            </w:pPr>
          </w:p>
        </w:tc>
      </w:tr>
    </w:tbl>
    <w:p>
      <w:pPr>
        <w:rPr>
          <w:rFonts w:eastAsia="宋体"/>
        </w:rPr>
      </w:pPr>
    </w:p>
    <w:p>
      <w:pPr>
        <w:widowControl/>
        <w:jc w:val="left"/>
        <w:rPr>
          <w:rFonts w:ascii="Arial" w:hAnsi="Arial" w:eastAsia="宋体" w:cs="Times New Roman"/>
          <w:color w:val="FF0000"/>
          <w:szCs w:val="24"/>
        </w:rPr>
      </w:pPr>
    </w:p>
    <w:p>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3"/>
        <w:keepNext/>
        <w:keepLines/>
        <w:numPr>
          <w:ilvl w:val="0"/>
          <w:numId w:val="14"/>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3" w:name="_Hlk72399513"/>
      <w:r>
        <w:rPr>
          <w:rFonts w:hint="eastAsia" w:asciiTheme="majorHAnsi" w:hAnsiTheme="majorHAnsi" w:eastAsiaTheme="majorEastAsia" w:cstheme="majorBidi"/>
          <w:b/>
          <w:bCs/>
          <w:sz w:val="28"/>
          <w:szCs w:val="28"/>
        </w:rPr>
        <w:t>总则</w:t>
      </w:r>
    </w:p>
    <w:bookmarkEnd w:id="53"/>
    <w:p>
      <w:pPr>
        <w:rPr>
          <w:rFonts w:hint="eastAsia" w:ascii="黑体" w:hAnsi="宋体" w:eastAsia="黑体"/>
          <w:sz w:val="24"/>
        </w:rPr>
      </w:pPr>
      <w:bookmarkStart w:id="54" w:name="_Hlk72439706"/>
      <w:r>
        <w:rPr>
          <w:rFonts w:hint="eastAsia" w:ascii="黑体" w:hAnsi="宋体" w:eastAsia="黑体"/>
          <w:sz w:val="24"/>
        </w:rPr>
        <w:t>1. 通用条款说明</w:t>
      </w:r>
    </w:p>
    <w:p>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5" w:name="_Hlk72399729"/>
      <w:r>
        <w:rPr>
          <w:rFonts w:hint="eastAsia" w:ascii="宋体" w:hAnsi="宋体"/>
          <w:szCs w:val="21"/>
        </w:rPr>
        <w:t>如有需要，政府集中采购机构可以对通用条款的内容进行补充。</w:t>
      </w:r>
      <w:bookmarkEnd w:id="55"/>
    </w:p>
    <w:p>
      <w:pPr>
        <w:ind w:firstLine="411" w:firstLineChars="196"/>
        <w:rPr>
          <w:rFonts w:hint="eastAsia" w:ascii="宋体" w:hAnsi="宋体"/>
          <w:szCs w:val="21"/>
        </w:rPr>
      </w:pPr>
      <w:r>
        <w:rPr>
          <w:rFonts w:hint="eastAsia" w:ascii="宋体" w:hAnsi="宋体"/>
          <w:szCs w:val="21"/>
        </w:rPr>
        <w:t>1.2招标文件分为第一册“专用条款”和第二册“通用条款”。</w:t>
      </w:r>
    </w:p>
    <w:p>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pPr>
        <w:rPr>
          <w:rFonts w:hint="eastAsia" w:ascii="黑体" w:hAnsi="宋体" w:eastAsia="黑体"/>
          <w:sz w:val="24"/>
        </w:rPr>
      </w:pPr>
      <w:r>
        <w:rPr>
          <w:rFonts w:hint="eastAsia" w:ascii="黑体" w:hAnsi="宋体" w:eastAsia="黑体"/>
          <w:sz w:val="24"/>
        </w:rPr>
        <w:t>3．定义</w:t>
      </w:r>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3.6“合同”指由本次招标所产生的合同或合约文件；</w:t>
      </w:r>
    </w:p>
    <w:p>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pPr>
        <w:rPr>
          <w:rFonts w:hint="eastAsia" w:ascii="黑体" w:hAnsi="宋体" w:eastAsia="黑体"/>
          <w:sz w:val="24"/>
        </w:rPr>
      </w:pPr>
      <w:r>
        <w:rPr>
          <w:rFonts w:hint="eastAsia" w:ascii="黑体" w:hAnsi="宋体" w:eastAsia="黑体"/>
          <w:sz w:val="24"/>
        </w:rPr>
        <w:t xml:space="preserve">4. </w:t>
      </w:r>
      <w:bookmarkStart w:id="56" w:name="_Hlk72398643"/>
      <w:r>
        <w:rPr>
          <w:rFonts w:hint="eastAsia" w:ascii="黑体" w:hAnsi="宋体" w:eastAsia="黑体"/>
          <w:sz w:val="24"/>
        </w:rPr>
        <w:t>政府采购供应商责任</w:t>
      </w:r>
    </w:p>
    <w:p>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hint="eastAsia" w:ascii="黑体" w:hAnsi="宋体" w:eastAsia="黑体"/>
          <w:sz w:val="24"/>
        </w:rPr>
      </w:pPr>
      <w:r>
        <w:rPr>
          <w:rFonts w:hint="eastAsia" w:ascii="黑体" w:hAnsi="宋体" w:eastAsia="黑体"/>
          <w:sz w:val="24"/>
        </w:rPr>
        <w:t>5．投标人参加政府采购的条件</w:t>
      </w:r>
    </w:p>
    <w:p>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pPr>
        <w:ind w:firstLine="411" w:firstLineChars="196"/>
        <w:rPr>
          <w:rFonts w:hint="eastAsia" w:ascii="宋体" w:hAnsi="宋体"/>
          <w:szCs w:val="21"/>
        </w:rPr>
      </w:pPr>
      <w:r>
        <w:rPr>
          <w:rFonts w:hint="eastAsia" w:ascii="宋体" w:hAnsi="宋体"/>
          <w:szCs w:val="21"/>
        </w:rPr>
        <w:t>5.2投标人资格要求</w:t>
      </w:r>
    </w:p>
    <w:p>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hint="eastAsia" w:ascii="宋体" w:hAnsi="宋体"/>
          <w:szCs w:val="21"/>
        </w:rPr>
      </w:pPr>
      <w:r>
        <w:rPr>
          <w:rFonts w:hint="eastAsia" w:ascii="宋体" w:hAnsi="宋体"/>
          <w:szCs w:val="21"/>
        </w:rPr>
        <w:t>5.3联合体投标</w:t>
      </w:r>
    </w:p>
    <w:p>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hint="eastAsia" w:ascii="宋体" w:hAnsi="宋体"/>
        </w:rPr>
      </w:pPr>
      <w:r>
        <w:rPr>
          <w:rFonts w:hint="eastAsia" w:ascii="宋体" w:hAnsi="宋体"/>
        </w:rPr>
        <w:t>（2）在投标截止前，投标联合体各方均应注册成政府集中采购机构供应商；</w:t>
      </w:r>
    </w:p>
    <w:p>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pPr>
        <w:rPr>
          <w:rFonts w:hint="eastAsia" w:ascii="黑体" w:hAnsi="宋体" w:eastAsia="黑体"/>
          <w:sz w:val="24"/>
        </w:rPr>
      </w:pPr>
      <w:r>
        <w:rPr>
          <w:rFonts w:hint="eastAsia" w:ascii="黑体" w:hAnsi="宋体" w:eastAsia="黑体"/>
          <w:sz w:val="24"/>
        </w:rPr>
        <w:t>6．政策导向</w:t>
      </w:r>
    </w:p>
    <w:p>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eastAsia="宋体"/>
        </w:rPr>
      </w:pPr>
      <w:r>
        <w:rPr>
          <w:rFonts w:hint="eastAsia" w:ascii="宋体" w:hAnsi="宋体"/>
        </w:rPr>
        <w:t>6.3  本项目支持投标人性别平等的相关政策。</w:t>
      </w:r>
    </w:p>
    <w:p>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7"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7"/>
    </w:p>
    <w:p>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pPr>
        <w:rPr>
          <w:rFonts w:hint="eastAsia" w:ascii="黑体" w:hAnsi="宋体" w:eastAsia="黑体"/>
          <w:sz w:val="24"/>
        </w:rPr>
      </w:pPr>
      <w:r>
        <w:rPr>
          <w:rFonts w:hint="eastAsia" w:ascii="黑体" w:hAnsi="宋体" w:eastAsia="黑体"/>
          <w:sz w:val="24"/>
        </w:rPr>
        <w:t>8．投标费用</w:t>
      </w:r>
    </w:p>
    <w:p>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pPr>
        <w:rPr>
          <w:rFonts w:hint="eastAsia" w:ascii="黑体" w:hAnsi="宋体" w:eastAsia="黑体"/>
          <w:sz w:val="24"/>
        </w:rPr>
      </w:pPr>
      <w:r>
        <w:rPr>
          <w:rFonts w:hint="eastAsia" w:ascii="黑体" w:hAnsi="宋体" w:eastAsia="黑体"/>
          <w:sz w:val="24"/>
        </w:rPr>
        <w:t>9．踏勘现场</w:t>
      </w:r>
    </w:p>
    <w:p>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6"/>
    <w:p>
      <w:pPr>
        <w:ind w:firstLine="411" w:firstLineChars="196"/>
        <w:rPr>
          <w:rFonts w:hint="eastAsia" w:ascii="宋体" w:hAnsi="宋体"/>
        </w:rPr>
      </w:pPr>
    </w:p>
    <w:p>
      <w:pPr>
        <w:pStyle w:val="5"/>
        <w:numPr>
          <w:ilvl w:val="0"/>
          <w:numId w:val="15"/>
        </w:numPr>
        <w:spacing w:before="156" w:beforeLines="50" w:after="156" w:afterLines="50"/>
        <w:ind w:left="562" w:hanging="562"/>
        <w:rPr>
          <w:sz w:val="28"/>
          <w:szCs w:val="28"/>
        </w:rPr>
      </w:pPr>
      <w:r>
        <w:rPr>
          <w:rFonts w:hint="eastAsia"/>
          <w:sz w:val="28"/>
          <w:szCs w:val="28"/>
        </w:rPr>
        <w:t>招标文件</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8" w:name="_Hlk72399819"/>
      <w:r>
        <w:rPr>
          <w:rFonts w:hint="eastAsia" w:ascii="黑体" w:hAnsi="宋体" w:eastAsia="黑体"/>
          <w:sz w:val="24"/>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hint="eastAsia" w:ascii="宋体" w:hAnsi="宋体"/>
          <w:szCs w:val="21"/>
        </w:rPr>
      </w:pPr>
      <w:r>
        <w:rPr>
          <w:rFonts w:hint="eastAsia" w:ascii="宋体" w:hAnsi="宋体"/>
          <w:szCs w:val="21"/>
        </w:rPr>
        <w:t>招标文件包括下列内容：</w:t>
      </w:r>
    </w:p>
    <w:p>
      <w:pPr>
        <w:ind w:left="420" w:leftChars="200" w:firstLine="413" w:firstLineChars="196"/>
        <w:rPr>
          <w:rFonts w:hint="eastAsia" w:ascii="宋体" w:hAnsi="宋体"/>
          <w:b/>
          <w:szCs w:val="21"/>
        </w:rPr>
      </w:pPr>
      <w:r>
        <w:rPr>
          <w:rFonts w:hint="eastAsia" w:ascii="宋体" w:hAnsi="宋体"/>
          <w:b/>
          <w:szCs w:val="21"/>
        </w:rPr>
        <w:t>第一册  专用条款</w:t>
      </w:r>
    </w:p>
    <w:p>
      <w:pPr>
        <w:ind w:left="1079" w:leftChars="514"/>
        <w:rPr>
          <w:rFonts w:hint="eastAsia" w:ascii="宋体" w:hAnsi="宋体"/>
          <w:b/>
          <w:szCs w:val="21"/>
        </w:rPr>
      </w:pPr>
      <w:r>
        <w:rPr>
          <w:rFonts w:hint="eastAsia" w:ascii="宋体" w:hAnsi="宋体"/>
          <w:b/>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第三章  用户需求书</w:t>
      </w:r>
    </w:p>
    <w:p>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hint="eastAsia" w:ascii="宋体" w:hAnsi="宋体"/>
          <w:szCs w:val="21"/>
        </w:rPr>
      </w:pPr>
      <w:r>
        <w:rPr>
          <w:rFonts w:hint="eastAsia" w:ascii="宋体" w:hAnsi="宋体"/>
          <w:szCs w:val="21"/>
        </w:rPr>
        <w:t>第五章  合同条款及格式</w:t>
      </w:r>
    </w:p>
    <w:p>
      <w:pPr>
        <w:ind w:left="420" w:leftChars="200" w:firstLine="413" w:firstLineChars="196"/>
        <w:rPr>
          <w:rFonts w:hint="eastAsia" w:ascii="宋体" w:hAnsi="宋体"/>
          <w:b/>
          <w:szCs w:val="21"/>
        </w:rPr>
      </w:pPr>
      <w:r>
        <w:rPr>
          <w:rFonts w:hint="eastAsia" w:ascii="宋体" w:hAnsi="宋体"/>
          <w:b/>
          <w:szCs w:val="21"/>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left="630" w:leftChars="300" w:firstLine="411" w:firstLineChars="196"/>
        <w:rPr>
          <w:rFonts w:hint="eastAsia" w:ascii="宋体" w:hAnsi="宋体"/>
          <w:szCs w:val="21"/>
        </w:rPr>
      </w:pPr>
      <w:r>
        <w:rPr>
          <w:rFonts w:hint="eastAsia" w:ascii="宋体" w:hAnsi="宋体"/>
          <w:szCs w:val="21"/>
        </w:rPr>
        <w:t>第十一章  质疑处理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8"/>
    </w:p>
    <w:p>
      <w:pPr>
        <w:rPr>
          <w:rFonts w:hint="eastAsia" w:ascii="宋体" w:hAnsi="宋体"/>
          <w:szCs w:val="21"/>
        </w:rPr>
      </w:pPr>
    </w:p>
    <w:p>
      <w:pPr>
        <w:pStyle w:val="5"/>
        <w:numPr>
          <w:ilvl w:val="0"/>
          <w:numId w:val="15"/>
        </w:numPr>
        <w:spacing w:before="156" w:beforeLines="50" w:after="156" w:afterLines="50"/>
        <w:ind w:left="562" w:hanging="562"/>
        <w:rPr>
          <w:sz w:val="28"/>
          <w:szCs w:val="28"/>
        </w:rPr>
      </w:pPr>
      <w:r>
        <w:rPr>
          <w:rFonts w:hint="eastAsia"/>
          <w:sz w:val="28"/>
          <w:szCs w:val="28"/>
        </w:rPr>
        <w:t>投标文件的编制</w:t>
      </w:r>
    </w:p>
    <w:p>
      <w:pPr>
        <w:rPr>
          <w:rFonts w:hint="eastAsia" w:ascii="黑体" w:hAnsi="宋体" w:eastAsia="黑体"/>
          <w:sz w:val="24"/>
        </w:rPr>
      </w:pPr>
      <w:r>
        <w:rPr>
          <w:rFonts w:hint="eastAsia" w:ascii="黑体" w:hAnsi="宋体" w:eastAsia="黑体"/>
          <w:sz w:val="24"/>
        </w:rPr>
        <w:t>14．</w:t>
      </w:r>
      <w:bookmarkStart w:id="59" w:name="_Hlk72400236"/>
      <w:r>
        <w:rPr>
          <w:rFonts w:hint="eastAsia" w:ascii="黑体" w:hAnsi="宋体" w:eastAsia="黑体"/>
          <w:sz w:val="24"/>
        </w:rPr>
        <w:t>投标文件的语言及度量单位</w:t>
      </w:r>
    </w:p>
    <w:p>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9"/>
    <w:p>
      <w:pPr>
        <w:rPr>
          <w:rFonts w:hint="eastAsia" w:ascii="黑体" w:hAnsi="宋体" w:eastAsia="黑体"/>
          <w:sz w:val="24"/>
        </w:rPr>
      </w:pPr>
      <w:r>
        <w:rPr>
          <w:rFonts w:hint="eastAsia" w:ascii="黑体" w:hAnsi="宋体" w:eastAsia="黑体"/>
          <w:sz w:val="24"/>
        </w:rPr>
        <w:t>15．</w:t>
      </w:r>
      <w:bookmarkStart w:id="60" w:name="_Hlk72401567"/>
      <w:r>
        <w:rPr>
          <w:rFonts w:hint="eastAsia" w:ascii="黑体" w:hAnsi="宋体" w:eastAsia="黑体"/>
          <w:sz w:val="24"/>
        </w:rPr>
        <w:t>投标文件的组成</w:t>
      </w:r>
    </w:p>
    <w:p>
      <w:pPr>
        <w:ind w:firstLine="411" w:firstLineChars="196"/>
        <w:rPr>
          <w:rFonts w:hint="eastAsia" w:ascii="宋体" w:hAnsi="宋体"/>
          <w:szCs w:val="21"/>
        </w:rPr>
      </w:pPr>
      <w:r>
        <w:rPr>
          <w:rFonts w:hint="eastAsia" w:ascii="宋体" w:hAnsi="宋体"/>
          <w:szCs w:val="21"/>
        </w:rPr>
        <w:t>具体内容在招标文件专用条款中进行规定。</w:t>
      </w:r>
    </w:p>
    <w:p>
      <w:pPr>
        <w:rPr>
          <w:rFonts w:hint="eastAsia" w:ascii="黑体" w:hAnsi="宋体" w:eastAsia="黑体"/>
          <w:sz w:val="24"/>
        </w:rPr>
      </w:pPr>
      <w:r>
        <w:rPr>
          <w:rFonts w:ascii="黑体" w:hAnsi="宋体" w:eastAsia="黑体"/>
          <w:sz w:val="24"/>
        </w:rPr>
        <w:t>16．投标文件格式</w:t>
      </w:r>
    </w:p>
    <w:p>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hint="eastAsia" w:ascii="黑体" w:hAnsi="宋体" w:eastAsia="黑体"/>
          <w:sz w:val="24"/>
        </w:rPr>
      </w:pPr>
      <w:r>
        <w:rPr>
          <w:rFonts w:hint="eastAsia" w:ascii="黑体" w:hAnsi="宋体" w:eastAsia="黑体"/>
          <w:sz w:val="24"/>
        </w:rPr>
        <w:t>17．投标货币</w:t>
      </w:r>
    </w:p>
    <w:p>
      <w:pPr>
        <w:ind w:firstLine="411" w:firstLineChars="196"/>
        <w:rPr>
          <w:rFonts w:hint="eastAsia" w:ascii="宋体" w:hAnsi="宋体"/>
          <w:szCs w:val="21"/>
        </w:rPr>
      </w:pPr>
      <w:r>
        <w:rPr>
          <w:rFonts w:hint="eastAsia" w:ascii="宋体" w:hAnsi="宋体"/>
          <w:szCs w:val="21"/>
        </w:rPr>
        <w:t>本项目的投标报价应以人民币计。</w:t>
      </w:r>
    </w:p>
    <w:bookmarkEnd w:id="60"/>
    <w:p>
      <w:pPr>
        <w:rPr>
          <w:rFonts w:hint="eastAsia" w:ascii="黑体" w:hAnsi="宋体" w:eastAsia="黑体"/>
          <w:sz w:val="24"/>
        </w:rPr>
      </w:pPr>
      <w:r>
        <w:rPr>
          <w:rFonts w:hint="eastAsia" w:ascii="黑体" w:hAnsi="宋体" w:eastAsia="黑体"/>
          <w:sz w:val="24"/>
        </w:rPr>
        <w:t>18．</w:t>
      </w:r>
      <w:bookmarkStart w:id="61" w:name="_Hlk72401735"/>
      <w:r>
        <w:rPr>
          <w:rFonts w:hint="eastAsia" w:ascii="黑体" w:hAnsi="宋体" w:eastAsia="黑体"/>
          <w:sz w:val="24"/>
        </w:rPr>
        <w:t>证明投标文件投标技术方案的合格性和符合招标文件规定的文件要求</w:t>
      </w:r>
    </w:p>
    <w:p>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hint="eastAsia" w:ascii="宋体" w:hAnsi="宋体"/>
          <w:szCs w:val="21"/>
        </w:rPr>
      </w:pPr>
      <w:r>
        <w:rPr>
          <w:rFonts w:hint="eastAsia" w:ascii="宋体" w:hAnsi="宋体"/>
          <w:szCs w:val="21"/>
        </w:rPr>
        <w:t>18.2.1主要技术指标和性能的详细说明。</w:t>
      </w:r>
    </w:p>
    <w:p>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1"/>
    <w:p>
      <w:pPr>
        <w:rPr>
          <w:rFonts w:hint="eastAsia" w:ascii="黑体" w:hAnsi="宋体" w:eastAsia="黑体"/>
          <w:sz w:val="24"/>
        </w:rPr>
      </w:pPr>
      <w:r>
        <w:rPr>
          <w:rFonts w:hint="eastAsia" w:ascii="黑体" w:hAnsi="宋体" w:eastAsia="黑体"/>
          <w:sz w:val="24"/>
        </w:rPr>
        <w:t>19．</w:t>
      </w:r>
      <w:bookmarkStart w:id="62" w:name="_Hlk72402034"/>
      <w:r>
        <w:rPr>
          <w:rFonts w:hint="eastAsia" w:ascii="黑体" w:hAnsi="宋体" w:eastAsia="黑体"/>
          <w:sz w:val="24"/>
        </w:rPr>
        <w:t>投标文件其他证明文件的要求</w:t>
      </w:r>
    </w:p>
    <w:p>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3"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3"/>
    <w:p>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黑体" w:hAnsi="宋体" w:eastAsia="黑体"/>
          <w:sz w:val="24"/>
        </w:rPr>
      </w:pPr>
      <w:r>
        <w:rPr>
          <w:rFonts w:hint="eastAsia" w:ascii="黑体" w:hAnsi="宋体" w:eastAsia="黑体"/>
          <w:sz w:val="24"/>
        </w:rPr>
        <w:t>20．投标有效期</w:t>
      </w:r>
    </w:p>
    <w:bookmarkEnd w:id="62"/>
    <w:p>
      <w:pPr>
        <w:ind w:firstLine="411" w:firstLineChars="196"/>
        <w:rPr>
          <w:rFonts w:hint="eastAsia" w:ascii="宋体" w:hAnsi="宋体"/>
          <w:szCs w:val="21"/>
        </w:rPr>
      </w:pPr>
      <w:bookmarkStart w:id="6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4"/>
    <w:p>
      <w:pPr>
        <w:rPr>
          <w:rFonts w:hint="eastAsia" w:ascii="黑体" w:hAnsi="宋体" w:eastAsia="黑体"/>
          <w:sz w:val="24"/>
        </w:rPr>
      </w:pPr>
      <w:r>
        <w:rPr>
          <w:rFonts w:hint="eastAsia" w:ascii="黑体" w:hAnsi="宋体" w:eastAsia="黑体"/>
          <w:sz w:val="24"/>
        </w:rPr>
        <w:t>21．</w:t>
      </w:r>
      <w:bookmarkStart w:id="65" w:name="_Hlk72402325"/>
      <w:r>
        <w:rPr>
          <w:rFonts w:hint="eastAsia" w:ascii="黑体" w:hAnsi="宋体" w:eastAsia="黑体"/>
          <w:sz w:val="24"/>
        </w:rPr>
        <w:t xml:space="preserve">关于投标保证金 </w:t>
      </w:r>
    </w:p>
    <w:p>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hint="eastAsia" w:ascii="黑体" w:hAnsi="宋体" w:eastAsia="黑体"/>
          <w:sz w:val="24"/>
        </w:rPr>
      </w:pPr>
      <w:r>
        <w:rPr>
          <w:rFonts w:hint="eastAsia" w:ascii="黑体" w:hAnsi="宋体" w:eastAsia="黑体"/>
          <w:sz w:val="24"/>
        </w:rPr>
        <w:t>22．投标人的替代方案</w:t>
      </w:r>
    </w:p>
    <w:p>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5"/>
    <w:p>
      <w:pPr>
        <w:rPr>
          <w:rFonts w:hint="eastAsia" w:ascii="黑体" w:hAnsi="宋体" w:eastAsia="黑体"/>
          <w:sz w:val="24"/>
        </w:rPr>
      </w:pPr>
      <w:r>
        <w:rPr>
          <w:rFonts w:hint="eastAsia" w:ascii="黑体" w:hAnsi="宋体" w:eastAsia="黑体"/>
          <w:sz w:val="24"/>
        </w:rPr>
        <w:t>23．</w:t>
      </w:r>
      <w:bookmarkStart w:id="6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hint="eastAsia" w:ascii="宋体" w:hAnsi="宋体"/>
        </w:rPr>
      </w:pPr>
      <w:r>
        <w:rPr>
          <w:rFonts w:hint="eastAsia" w:ascii="宋体" w:hAnsi="宋体"/>
        </w:rPr>
        <w:t>23.1投标人应准备所投项目的电子投标文件一份。</w:t>
      </w:r>
    </w:p>
    <w:p>
      <w:pPr>
        <w:ind w:firstLine="411" w:firstLineChars="196"/>
        <w:rPr>
          <w:rFonts w:hint="eastAsia" w:ascii="宋体" w:hAnsi="宋体"/>
        </w:rPr>
      </w:pPr>
      <w:r>
        <w:rPr>
          <w:rFonts w:hint="eastAsia" w:ascii="宋体" w:hAnsi="宋体"/>
        </w:rPr>
        <w:t>23.2投标人在使用《投标书编制软件》编制投标书时须注意：</w:t>
      </w:r>
    </w:p>
    <w:p>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hint="eastAsia" w:ascii="宋体" w:hAnsi="宋体"/>
        </w:rPr>
      </w:pPr>
      <w:r>
        <w:rPr>
          <w:rFonts w:hint="eastAsia" w:ascii="宋体" w:hAnsi="宋体"/>
        </w:rPr>
        <w:t>23.3电报、电话、传真形式的投标概不接受。</w:t>
      </w:r>
    </w:p>
    <w:p>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6"/>
    </w:p>
    <w:p>
      <w:pPr>
        <w:ind w:firstLine="411" w:firstLineChars="196"/>
        <w:rPr>
          <w:rFonts w:hint="eastAsia" w:ascii="宋体" w:hAnsi="宋体"/>
          <w:szCs w:val="21"/>
        </w:rPr>
      </w:pPr>
    </w:p>
    <w:p>
      <w:pPr>
        <w:pStyle w:val="5"/>
        <w:numPr>
          <w:ilvl w:val="0"/>
          <w:numId w:val="15"/>
        </w:numPr>
        <w:spacing w:before="156" w:beforeLines="50" w:after="156" w:afterLines="50"/>
        <w:ind w:left="562" w:hanging="562"/>
        <w:rPr>
          <w:sz w:val="28"/>
          <w:szCs w:val="28"/>
        </w:rPr>
      </w:pPr>
      <w:r>
        <w:rPr>
          <w:rFonts w:hint="eastAsia"/>
          <w:sz w:val="28"/>
          <w:szCs w:val="28"/>
        </w:rPr>
        <w:t>投标文件的递交</w:t>
      </w:r>
    </w:p>
    <w:p>
      <w:pPr>
        <w:rPr>
          <w:rFonts w:hint="eastAsia" w:ascii="黑体" w:hAnsi="宋体" w:eastAsia="黑体"/>
          <w:sz w:val="24"/>
        </w:rPr>
      </w:pPr>
      <w:bookmarkStart w:id="67" w:name="_Hlk72405459"/>
      <w:r>
        <w:rPr>
          <w:rFonts w:hint="eastAsia" w:ascii="黑体" w:hAnsi="宋体" w:eastAsia="黑体"/>
          <w:sz w:val="24"/>
        </w:rPr>
        <w:t>24．投标文件的保密</w:t>
      </w:r>
    </w:p>
    <w:p>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pPr>
        <w:rPr>
          <w:rFonts w:hint="eastAsia" w:ascii="宋体" w:hAnsi="宋体"/>
          <w:b/>
        </w:rPr>
      </w:pPr>
      <w:r>
        <w:rPr>
          <w:rFonts w:hint="eastAsia" w:ascii="宋体" w:hAnsi="宋体"/>
          <w:b/>
        </w:rPr>
        <w:t>24.2若采购项目出现延期情况：</w:t>
      </w:r>
    </w:p>
    <w:p>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hint="eastAsia" w:ascii="黑体" w:hAnsi="宋体" w:eastAsia="黑体"/>
          <w:sz w:val="24"/>
        </w:rPr>
      </w:pPr>
      <w:r>
        <w:rPr>
          <w:rFonts w:hint="eastAsia" w:ascii="黑体" w:hAnsi="宋体" w:eastAsia="黑体"/>
          <w:sz w:val="24"/>
        </w:rPr>
        <w:t>25．上传投标文件及投标截止日期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hint="eastAsia" w:ascii="宋体" w:hAnsi="宋体"/>
        </w:rPr>
      </w:pPr>
    </w:p>
    <w:p>
      <w:pPr>
        <w:ind w:firstLine="411" w:firstLineChars="196"/>
        <w:rPr>
          <w:rFonts w:hint="eastAsia" w:ascii="宋体" w:hAnsi="宋体"/>
        </w:rPr>
      </w:pPr>
    </w:p>
    <w:bookmarkEnd w:id="67"/>
    <w:p>
      <w:pPr>
        <w:rPr>
          <w:rFonts w:hint="eastAsia" w:ascii="黑体" w:hAnsi="宋体" w:eastAsia="黑体"/>
          <w:sz w:val="24"/>
        </w:rPr>
      </w:pPr>
      <w:r>
        <w:rPr>
          <w:rFonts w:hint="eastAsia" w:ascii="黑体" w:hAnsi="宋体" w:eastAsia="黑体"/>
          <w:sz w:val="24"/>
        </w:rPr>
        <w:t>26. 样品、现场演示、方案讲解</w:t>
      </w:r>
    </w:p>
    <w:p>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pPr>
        <w:rPr>
          <w:rFonts w:hint="eastAsia" w:ascii="黑体" w:hAnsi="宋体" w:eastAsia="黑体"/>
          <w:sz w:val="24"/>
        </w:rPr>
      </w:pPr>
      <w:bookmarkStart w:id="6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68"/>
    <w:p>
      <w:pPr>
        <w:pStyle w:val="5"/>
        <w:numPr>
          <w:ilvl w:val="0"/>
          <w:numId w:val="15"/>
        </w:numPr>
        <w:spacing w:before="156" w:beforeLines="50" w:after="156" w:afterLines="50"/>
        <w:ind w:left="562" w:hanging="562"/>
        <w:rPr>
          <w:sz w:val="28"/>
          <w:szCs w:val="28"/>
        </w:rPr>
      </w:pPr>
      <w:r>
        <w:rPr>
          <w:rFonts w:hint="eastAsia"/>
          <w:sz w:val="28"/>
          <w:szCs w:val="28"/>
        </w:rPr>
        <w:t>开标</w:t>
      </w:r>
    </w:p>
    <w:p>
      <w:pPr>
        <w:rPr>
          <w:rFonts w:hint="eastAsia" w:ascii="黑体" w:hAnsi="宋体" w:eastAsia="黑体"/>
          <w:sz w:val="24"/>
        </w:rPr>
      </w:pPr>
      <w:r>
        <w:rPr>
          <w:rFonts w:hint="eastAsia" w:ascii="黑体" w:hAnsi="宋体" w:eastAsia="黑体"/>
          <w:sz w:val="24"/>
        </w:rPr>
        <w:t>28．开标</w:t>
      </w:r>
    </w:p>
    <w:p>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5"/>
        <w:numPr>
          <w:ilvl w:val="0"/>
          <w:numId w:val="15"/>
        </w:numPr>
        <w:spacing w:before="156" w:beforeLines="50" w:after="156" w:afterLines="50"/>
        <w:ind w:left="562" w:hanging="562"/>
        <w:rPr>
          <w:sz w:val="28"/>
          <w:szCs w:val="28"/>
        </w:rPr>
      </w:pPr>
      <w:r>
        <w:rPr>
          <w:rFonts w:hint="eastAsia"/>
          <w:sz w:val="28"/>
          <w:szCs w:val="28"/>
        </w:rPr>
        <w:t>评审要求</w:t>
      </w:r>
    </w:p>
    <w:p>
      <w:pPr>
        <w:rPr>
          <w:rFonts w:hint="eastAsia" w:ascii="黑体" w:hAnsi="宋体" w:eastAsia="黑体"/>
          <w:sz w:val="24"/>
        </w:rPr>
      </w:pPr>
      <w:r>
        <w:rPr>
          <w:rFonts w:hint="eastAsia" w:ascii="黑体" w:hAnsi="宋体" w:eastAsia="黑体"/>
          <w:sz w:val="24"/>
        </w:rPr>
        <w:t>29．评审委员会组成</w:t>
      </w:r>
    </w:p>
    <w:p>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69"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hint="eastAsia" w:ascii="宋体" w:hAnsi="宋体"/>
        </w:rPr>
      </w:pPr>
      <w:r>
        <w:rPr>
          <w:rFonts w:hint="eastAsia" w:ascii="宋体" w:hAnsi="宋体"/>
        </w:rPr>
        <w:t>29.2评审定标应当遵循公平、公正、科学、择优的原则。</w:t>
      </w:r>
    </w:p>
    <w:p>
      <w:pPr>
        <w:ind w:firstLine="411" w:firstLineChars="196"/>
        <w:rPr>
          <w:rFonts w:hint="eastAsia" w:ascii="宋体" w:hAnsi="宋体"/>
        </w:rPr>
      </w:pPr>
      <w:r>
        <w:rPr>
          <w:rFonts w:hint="eastAsia" w:ascii="宋体" w:hAnsi="宋体"/>
        </w:rPr>
        <w:t>29.3评审活动依法进行，任何单位和个人不得非法干预评标过程和结果。</w:t>
      </w:r>
    </w:p>
    <w:p>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hint="eastAsia" w:ascii="黑体" w:hAnsi="宋体" w:eastAsia="黑体"/>
          <w:sz w:val="24"/>
        </w:rPr>
      </w:pPr>
      <w:r>
        <w:rPr>
          <w:rFonts w:hint="eastAsia" w:ascii="黑体" w:hAnsi="宋体" w:eastAsia="黑体"/>
          <w:sz w:val="24"/>
        </w:rPr>
        <w:t>30．向评审委员会提供的资料</w:t>
      </w:r>
    </w:p>
    <w:p>
      <w:pPr>
        <w:ind w:firstLine="411" w:firstLineChars="196"/>
        <w:rPr>
          <w:rFonts w:hint="eastAsia" w:ascii="宋体" w:hAnsi="宋体"/>
        </w:rPr>
      </w:pPr>
      <w:r>
        <w:rPr>
          <w:rFonts w:hint="eastAsia" w:ascii="宋体" w:hAnsi="宋体"/>
        </w:rPr>
        <w:t>30.1公开发布的招标文件，包括图纸、服务清单、答疑文件等；</w:t>
      </w:r>
    </w:p>
    <w:p>
      <w:pPr>
        <w:ind w:firstLine="411" w:firstLineChars="196"/>
        <w:rPr>
          <w:rFonts w:hint="eastAsia" w:ascii="宋体" w:hAnsi="宋体"/>
        </w:rPr>
      </w:pPr>
      <w:r>
        <w:rPr>
          <w:rFonts w:hint="eastAsia" w:ascii="宋体" w:hAnsi="宋体"/>
        </w:rPr>
        <w:t>30.2其他评标必须的资料。</w:t>
      </w:r>
    </w:p>
    <w:p>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hint="eastAsia" w:ascii="宋体" w:hAnsi="宋体"/>
        </w:rPr>
      </w:pPr>
      <w:r>
        <w:rPr>
          <w:rFonts w:hint="eastAsia" w:ascii="宋体" w:hAnsi="宋体"/>
        </w:rPr>
        <w:t>（1）招标的目的；</w:t>
      </w:r>
    </w:p>
    <w:p>
      <w:pPr>
        <w:ind w:firstLine="411" w:firstLineChars="196"/>
        <w:rPr>
          <w:rFonts w:hint="eastAsia" w:ascii="宋体" w:hAnsi="宋体"/>
        </w:rPr>
      </w:pPr>
      <w:r>
        <w:rPr>
          <w:rFonts w:hint="eastAsia" w:ascii="宋体" w:hAnsi="宋体"/>
        </w:rPr>
        <w:t>（2）招标项目需求的范围和性质；</w:t>
      </w:r>
    </w:p>
    <w:p>
      <w:pPr>
        <w:ind w:firstLine="411" w:firstLineChars="196"/>
        <w:rPr>
          <w:rFonts w:hint="eastAsia" w:ascii="宋体" w:hAnsi="宋体"/>
        </w:rPr>
      </w:pPr>
      <w:r>
        <w:rPr>
          <w:rFonts w:hint="eastAsia" w:ascii="宋体" w:hAnsi="宋体"/>
        </w:rPr>
        <w:t>（3）招标文件规定的投标人的资格、财政预算限额、商务条款；</w:t>
      </w:r>
    </w:p>
    <w:p>
      <w:pPr>
        <w:ind w:firstLine="411" w:firstLineChars="196"/>
        <w:rPr>
          <w:rFonts w:hint="eastAsia" w:ascii="宋体" w:hAnsi="宋体"/>
        </w:rPr>
      </w:pPr>
      <w:r>
        <w:rPr>
          <w:rFonts w:hint="eastAsia" w:ascii="宋体" w:hAnsi="宋体"/>
        </w:rPr>
        <w:t>（4）招标文件规定的评标程序、评标方法和评标因素；</w:t>
      </w:r>
    </w:p>
    <w:p>
      <w:pPr>
        <w:ind w:firstLine="411" w:firstLineChars="196"/>
        <w:rPr>
          <w:rFonts w:hint="eastAsia" w:ascii="宋体" w:hAnsi="宋体"/>
        </w:rPr>
      </w:pPr>
      <w:r>
        <w:rPr>
          <w:rFonts w:hint="eastAsia" w:ascii="宋体" w:hAnsi="宋体"/>
        </w:rPr>
        <w:t>（5）招标文件所列示的资格性审查表及符合性审查表。</w:t>
      </w:r>
    </w:p>
    <w:p>
      <w:pPr>
        <w:rPr>
          <w:rFonts w:hint="eastAsia" w:ascii="黑体" w:hAnsi="宋体" w:eastAsia="黑体"/>
          <w:sz w:val="24"/>
        </w:rPr>
      </w:pPr>
      <w:r>
        <w:rPr>
          <w:rFonts w:hint="eastAsia" w:ascii="黑体" w:hAnsi="宋体" w:eastAsia="黑体"/>
          <w:sz w:val="24"/>
        </w:rPr>
        <w:t>31．独立评审</w:t>
      </w:r>
    </w:p>
    <w:p>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5"/>
        <w:numPr>
          <w:ilvl w:val="0"/>
          <w:numId w:val="15"/>
        </w:numPr>
        <w:spacing w:before="156" w:beforeLines="50" w:after="156" w:afterLines="50"/>
        <w:ind w:left="562" w:hanging="562"/>
        <w:rPr>
          <w:sz w:val="28"/>
          <w:szCs w:val="28"/>
        </w:rPr>
      </w:pPr>
      <w:r>
        <w:rPr>
          <w:rFonts w:hint="eastAsia"/>
          <w:sz w:val="28"/>
          <w:szCs w:val="28"/>
        </w:rPr>
        <w:t>评审程序及评审方法</w:t>
      </w:r>
    </w:p>
    <w:p>
      <w:pPr>
        <w:rPr>
          <w:rFonts w:hint="eastAsia" w:ascii="黑体" w:hAnsi="宋体" w:eastAsia="黑体"/>
          <w:sz w:val="24"/>
        </w:rPr>
      </w:pPr>
      <w:r>
        <w:rPr>
          <w:rFonts w:hint="eastAsia" w:ascii="黑体" w:hAnsi="宋体" w:eastAsia="黑体"/>
          <w:sz w:val="24"/>
        </w:rPr>
        <w:t>32．投标文件初审</w:t>
      </w:r>
    </w:p>
    <w:p>
      <w:pPr>
        <w:ind w:firstLine="411" w:firstLineChars="196"/>
        <w:rPr>
          <w:rFonts w:hint="eastAsia" w:ascii="宋体" w:hAnsi="宋体"/>
        </w:rPr>
      </w:pPr>
      <w:r>
        <w:rPr>
          <w:rFonts w:hint="eastAsia" w:ascii="宋体" w:hAnsi="宋体"/>
        </w:rPr>
        <w:t>32.1投标文件初审包括资格性审查和符合性审查。</w:t>
      </w:r>
    </w:p>
    <w:p>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hint="eastAsia" w:ascii="宋体" w:hAnsi="宋体"/>
          <w:bCs/>
        </w:rPr>
      </w:pPr>
      <w:r>
        <w:rPr>
          <w:rFonts w:hint="eastAsia" w:ascii="宋体" w:hAnsi="宋体"/>
          <w:bCs/>
        </w:rPr>
        <w:t>32.3 投标文件初审中关于供应商家数的计算:</w:t>
      </w:r>
    </w:p>
    <w:p>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hint="eastAsia"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hint="eastAsia" w:ascii="宋体" w:hAnsi="宋体"/>
        </w:rPr>
      </w:pPr>
      <w:r>
        <w:rPr>
          <w:rFonts w:hint="eastAsia" w:ascii="宋体" w:hAnsi="宋体"/>
        </w:rPr>
        <w:t>32.4.3不同投标人的投标文件载明的项目管理成员或者联系人员为同一人；</w:t>
      </w:r>
    </w:p>
    <w:p>
      <w:pPr>
        <w:ind w:firstLine="411" w:firstLineChars="196"/>
        <w:rPr>
          <w:rFonts w:hint="eastAsia" w:ascii="宋体" w:hAnsi="宋体"/>
        </w:rPr>
      </w:pPr>
      <w:r>
        <w:rPr>
          <w:rFonts w:hint="eastAsia" w:ascii="宋体" w:hAnsi="宋体"/>
        </w:rPr>
        <w:t>32.4.4不同投标人的投标文件异常一致或者投标报价呈规律性差异；</w:t>
      </w:r>
    </w:p>
    <w:p>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hint="eastAsia" w:ascii="宋体" w:hAnsi="宋体"/>
        </w:rPr>
      </w:pPr>
      <w:r>
        <w:rPr>
          <w:rFonts w:hint="eastAsia" w:ascii="宋体" w:hAnsi="宋体"/>
        </w:rPr>
        <w:t>32.4.6投标供应商之间相互约定给予未中标的供应商利益补偿；</w:t>
      </w:r>
    </w:p>
    <w:p>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hint="eastAsia" w:ascii="宋体" w:hAnsi="宋体"/>
        </w:rPr>
      </w:pPr>
      <w:r>
        <w:rPr>
          <w:rFonts w:hint="eastAsia" w:ascii="宋体" w:hAnsi="宋体"/>
        </w:rPr>
        <w:t>32.4.8不同投标供应商的投标文件内容存在非正常一致；</w:t>
      </w:r>
    </w:p>
    <w:p>
      <w:pPr>
        <w:ind w:firstLine="411" w:firstLineChars="196"/>
        <w:rPr>
          <w:rFonts w:hint="eastAsia" w:ascii="宋体" w:hAnsi="宋体"/>
        </w:rPr>
      </w:pPr>
      <w:r>
        <w:rPr>
          <w:rFonts w:hint="eastAsia" w:ascii="宋体" w:hAnsi="宋体"/>
        </w:rPr>
        <w:t>32.4.9在同一单位工作人员为两家以上（含两家）供应商进行同一项投标活动；</w:t>
      </w:r>
    </w:p>
    <w:p>
      <w:pPr>
        <w:ind w:firstLine="411" w:firstLineChars="196"/>
        <w:rPr>
          <w:rFonts w:hint="eastAsia"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hint="eastAsia" w:ascii="黑体" w:hAnsi="宋体" w:eastAsia="黑体"/>
          <w:sz w:val="24"/>
        </w:rPr>
      </w:pPr>
      <w:r>
        <w:rPr>
          <w:rFonts w:hint="eastAsia" w:ascii="黑体" w:hAnsi="宋体" w:eastAsia="黑体"/>
          <w:sz w:val="24"/>
        </w:rPr>
        <w:t>33．澄清有关问题</w:t>
      </w:r>
    </w:p>
    <w:p>
      <w:pPr>
        <w:ind w:firstLine="411" w:firstLineChars="196"/>
        <w:rPr>
          <w:rFonts w:hint="eastAsia" w:ascii="宋体" w:hAnsi="宋体"/>
        </w:rPr>
      </w:pPr>
      <w:bookmarkStart w:id="7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0"/>
    </w:p>
    <w:p>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rPr>
          <w:rFonts w:hint="eastAsia" w:ascii="黑体" w:hAnsi="宋体" w:eastAsia="黑体"/>
          <w:sz w:val="24"/>
        </w:rPr>
      </w:pPr>
      <w:bookmarkStart w:id="71" w:name="_Toc73518151"/>
      <w:bookmarkStart w:id="72" w:name="_Toc73521669"/>
      <w:bookmarkStart w:id="73" w:name="_Toc100052400"/>
      <w:bookmarkStart w:id="74" w:name="_Toc73517673"/>
      <w:bookmarkStart w:id="75" w:name="_Toc73521581"/>
      <w:r>
        <w:rPr>
          <w:rFonts w:hint="eastAsia" w:ascii="黑体" w:hAnsi="宋体" w:eastAsia="黑体"/>
          <w:sz w:val="24"/>
        </w:rPr>
        <w:t>34．错误的修正</w:t>
      </w:r>
      <w:bookmarkEnd w:id="71"/>
      <w:bookmarkEnd w:id="72"/>
      <w:bookmarkEnd w:id="73"/>
      <w:bookmarkEnd w:id="74"/>
      <w:bookmarkEnd w:id="75"/>
    </w:p>
    <w:p>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hint="eastAsia" w:ascii="宋体" w:hAnsi="宋体"/>
          <w:szCs w:val="21"/>
        </w:rPr>
      </w:pPr>
      <w:r>
        <w:rPr>
          <w:rFonts w:hint="eastAsia" w:ascii="宋体" w:hAnsi="宋体"/>
          <w:szCs w:val="21"/>
        </w:rPr>
        <w:t>34.2大写金额和小写金额不一致的，以大写金额为准；</w:t>
      </w:r>
    </w:p>
    <w:p>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hint="eastAsia" w:ascii="黑体" w:hAnsi="宋体" w:eastAsia="黑体"/>
          <w:sz w:val="24"/>
        </w:rPr>
      </w:pPr>
      <w:r>
        <w:rPr>
          <w:rFonts w:hint="eastAsia" w:ascii="黑体" w:hAnsi="宋体" w:eastAsia="黑体"/>
          <w:sz w:val="24"/>
        </w:rPr>
        <w:t>35．投标文件的比较与评价</w:t>
      </w:r>
    </w:p>
    <w:p>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hint="eastAsia" w:ascii="黑体" w:hAnsi="宋体" w:eastAsia="黑体"/>
          <w:sz w:val="24"/>
        </w:rPr>
      </w:pPr>
      <w:r>
        <w:rPr>
          <w:rFonts w:hint="eastAsia" w:ascii="黑体" w:hAnsi="宋体" w:eastAsia="黑体"/>
          <w:sz w:val="24"/>
        </w:rPr>
        <w:t>36. 实地考察或资料查验</w:t>
      </w:r>
    </w:p>
    <w:p>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hint="eastAsia" w:ascii="黑体" w:hAnsi="宋体" w:eastAsia="黑体"/>
          <w:sz w:val="24"/>
        </w:rPr>
      </w:pPr>
      <w:r>
        <w:rPr>
          <w:rFonts w:hint="eastAsia" w:ascii="黑体" w:hAnsi="宋体" w:eastAsia="黑体"/>
          <w:sz w:val="24"/>
        </w:rPr>
        <w:t>37．评审方法</w:t>
      </w:r>
    </w:p>
    <w:p>
      <w:pPr>
        <w:ind w:firstLine="413" w:firstLineChars="196"/>
        <w:rPr>
          <w:rFonts w:hint="eastAsia" w:ascii="宋体" w:hAnsi="宋体"/>
          <w:b/>
          <w:bCs/>
          <w:szCs w:val="21"/>
        </w:rPr>
      </w:pPr>
      <w:bookmarkStart w:id="76" w:name="_Hlk72438142"/>
      <w:r>
        <w:rPr>
          <w:rFonts w:hint="eastAsia" w:ascii="宋体" w:hAnsi="宋体"/>
          <w:b/>
          <w:bCs/>
          <w:szCs w:val="21"/>
        </w:rPr>
        <w:t>37.1.1最低价法</w:t>
      </w:r>
    </w:p>
    <w:p>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3" w:firstLineChars="196"/>
        <w:rPr>
          <w:rFonts w:hint="eastAsia"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6"/>
    </w:p>
    <w:p>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hint="eastAsia" w:ascii="宋体" w:hAnsi="宋体"/>
          <w:b/>
          <w:bCs/>
          <w:szCs w:val="21"/>
        </w:rPr>
      </w:pPr>
      <w:r>
        <w:rPr>
          <w:rFonts w:hint="eastAsia" w:ascii="宋体" w:hAnsi="宋体"/>
          <w:b/>
          <w:bCs/>
          <w:szCs w:val="21"/>
        </w:rPr>
        <w:t>37.3重新评审的情形</w:t>
      </w:r>
    </w:p>
    <w:p>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5"/>
        <w:numPr>
          <w:ilvl w:val="0"/>
          <w:numId w:val="15"/>
        </w:numPr>
        <w:spacing w:before="156" w:beforeLines="50" w:after="156" w:afterLines="50"/>
        <w:ind w:left="562" w:hanging="562"/>
        <w:rPr>
          <w:sz w:val="28"/>
          <w:szCs w:val="28"/>
        </w:rPr>
      </w:pPr>
      <w:r>
        <w:rPr>
          <w:rFonts w:hint="eastAsia"/>
          <w:sz w:val="28"/>
          <w:szCs w:val="28"/>
        </w:rPr>
        <w:t>定标及公示</w:t>
      </w:r>
    </w:p>
    <w:p>
      <w:pPr>
        <w:rPr>
          <w:rFonts w:hint="eastAsia" w:ascii="黑体" w:hAnsi="宋体" w:eastAsia="黑体"/>
          <w:sz w:val="24"/>
        </w:rPr>
      </w:pPr>
      <w:r>
        <w:rPr>
          <w:rFonts w:hint="eastAsia" w:ascii="黑体" w:hAnsi="宋体" w:eastAsia="黑体"/>
          <w:sz w:val="24"/>
        </w:rPr>
        <w:t>38．定标方法</w:t>
      </w:r>
    </w:p>
    <w:p>
      <w:pPr>
        <w:ind w:firstLine="411" w:firstLineChars="196"/>
        <w:rPr>
          <w:rFonts w:hint="eastAsia" w:ascii="宋体" w:hAnsi="宋体"/>
          <w:szCs w:val="21"/>
        </w:rPr>
      </w:pPr>
      <w:bookmarkStart w:id="77" w:name="_Hlk73782795"/>
      <w:r>
        <w:rPr>
          <w:rFonts w:hint="eastAsia" w:ascii="宋体" w:hAnsi="宋体"/>
          <w:szCs w:val="21"/>
        </w:rPr>
        <w:t>38.1非评定分离项目定标方法</w:t>
      </w:r>
    </w:p>
    <w:p>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宋体" w:hAnsi="宋体"/>
          <w:szCs w:val="21"/>
        </w:rPr>
      </w:pPr>
      <w:r>
        <w:rPr>
          <w:rFonts w:hint="eastAsia" w:ascii="宋体" w:hAnsi="宋体"/>
          <w:szCs w:val="21"/>
        </w:rPr>
        <w:t>38.2评定分离项目定标方法</w:t>
      </w:r>
    </w:p>
    <w:p>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78"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hint="eastAsia" w:ascii="宋体" w:hAnsi="宋体"/>
          <w:szCs w:val="21"/>
        </w:rPr>
      </w:pPr>
      <w:r>
        <w:rPr>
          <w:rFonts w:hint="eastAsia" w:ascii="宋体" w:hAnsi="宋体"/>
          <w:szCs w:val="21"/>
        </w:rPr>
        <w:t>38.2.3</w:t>
      </w:r>
      <w:bookmarkStart w:id="79"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8"/>
      <w:bookmarkEnd w:id="79"/>
    </w:p>
    <w:p>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77"/>
    </w:p>
    <w:p>
      <w:pPr>
        <w:rPr>
          <w:rFonts w:hint="eastAsia" w:ascii="黑体" w:hAnsi="宋体" w:eastAsia="黑体"/>
          <w:sz w:val="24"/>
        </w:rPr>
      </w:pPr>
      <w:r>
        <w:rPr>
          <w:rFonts w:hint="eastAsia" w:ascii="黑体" w:hAnsi="宋体" w:eastAsia="黑体"/>
          <w:sz w:val="24"/>
        </w:rPr>
        <w:t>39．编写评审报告</w:t>
      </w:r>
    </w:p>
    <w:p>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hint="eastAsia" w:ascii="黑体" w:hAnsi="宋体" w:eastAsia="黑体"/>
          <w:sz w:val="24"/>
        </w:rPr>
      </w:pPr>
      <w:r>
        <w:rPr>
          <w:rFonts w:hint="eastAsia" w:ascii="黑体" w:hAnsi="宋体" w:eastAsia="黑体"/>
          <w:sz w:val="24"/>
        </w:rPr>
        <w:t>40．中标公告</w:t>
      </w:r>
    </w:p>
    <w:p>
      <w:pPr>
        <w:ind w:firstLine="411" w:firstLineChars="196"/>
        <w:rPr>
          <w:rFonts w:hint="eastAsia" w:ascii="宋体" w:hAnsi="宋体"/>
          <w:szCs w:val="21"/>
        </w:rPr>
      </w:pPr>
      <w:r>
        <w:rPr>
          <w:rFonts w:hint="eastAsia" w:ascii="宋体" w:hAnsi="宋体"/>
          <w:szCs w:val="21"/>
        </w:rPr>
        <w:t>40.1</w:t>
      </w:r>
      <w:bookmarkStart w:id="80"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0"/>
      <w:bookmarkStart w:id="81"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1"/>
    <w:p>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pPr>
        <w:rPr>
          <w:rFonts w:hint="eastAsia" w:ascii="黑体" w:hAnsi="宋体" w:eastAsia="黑体"/>
          <w:sz w:val="24"/>
        </w:rPr>
      </w:pPr>
      <w:r>
        <w:rPr>
          <w:rFonts w:hint="eastAsia" w:ascii="黑体" w:hAnsi="宋体" w:eastAsia="黑体"/>
          <w:sz w:val="24"/>
        </w:rPr>
        <w:t>41．中标通知书</w:t>
      </w:r>
    </w:p>
    <w:p>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2"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2"/>
    </w:p>
    <w:p>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hint="eastAsia" w:ascii="宋体" w:hAnsi="宋体"/>
          <w:szCs w:val="21"/>
        </w:rPr>
      </w:pPr>
      <w:bookmarkStart w:id="83" w:name="_Hlk71407340"/>
      <w:r>
        <w:rPr>
          <w:rFonts w:hint="eastAsia" w:ascii="宋体" w:hAnsi="宋体"/>
          <w:szCs w:val="21"/>
        </w:rPr>
        <w:t>41.3因质疑投诉或其它原因导致项目结果变更或采购终止的，政府集中采购机构有权吊销中标通知书。</w:t>
      </w:r>
    </w:p>
    <w:bookmarkEnd w:id="83"/>
    <w:p>
      <w:pPr>
        <w:ind w:firstLine="411" w:firstLineChars="196"/>
        <w:rPr>
          <w:rFonts w:hint="eastAsia" w:ascii="宋体" w:hAnsi="宋体"/>
          <w:szCs w:val="21"/>
        </w:rPr>
      </w:pPr>
    </w:p>
    <w:p>
      <w:pPr>
        <w:pStyle w:val="5"/>
        <w:numPr>
          <w:ilvl w:val="0"/>
          <w:numId w:val="15"/>
        </w:numPr>
        <w:spacing w:before="156" w:beforeLines="50" w:after="156" w:afterLines="50"/>
        <w:ind w:left="562" w:hanging="562"/>
        <w:rPr>
          <w:sz w:val="28"/>
          <w:szCs w:val="28"/>
        </w:rPr>
      </w:pPr>
      <w:r>
        <w:rPr>
          <w:rFonts w:hint="eastAsia"/>
          <w:sz w:val="28"/>
          <w:szCs w:val="28"/>
        </w:rPr>
        <w:t>公开招标失败的后续处理</w:t>
      </w:r>
    </w:p>
    <w:p>
      <w:pPr>
        <w:rPr>
          <w:rFonts w:hint="eastAsia" w:ascii="黑体" w:hAnsi="宋体" w:eastAsia="黑体"/>
          <w:sz w:val="24"/>
        </w:rPr>
      </w:pPr>
      <w:r>
        <w:rPr>
          <w:rFonts w:hint="eastAsia" w:ascii="黑体" w:hAnsi="宋体" w:eastAsia="黑体"/>
          <w:sz w:val="24"/>
        </w:rPr>
        <w:t>42．公开招标失败的处理</w:t>
      </w:r>
    </w:p>
    <w:p>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hint="eastAsia" w:ascii="黑体" w:hAnsi="宋体" w:eastAsia="黑体"/>
          <w:sz w:val="24"/>
        </w:rPr>
      </w:pPr>
    </w:p>
    <w:p>
      <w:pPr>
        <w:pStyle w:val="5"/>
        <w:numPr>
          <w:ilvl w:val="0"/>
          <w:numId w:val="15"/>
        </w:numPr>
        <w:spacing w:before="156" w:beforeLines="50" w:after="156" w:afterLines="50"/>
        <w:ind w:left="562" w:hanging="562"/>
        <w:rPr>
          <w:sz w:val="28"/>
          <w:szCs w:val="28"/>
        </w:rPr>
      </w:pPr>
      <w:bookmarkStart w:id="84" w:name="_Hlk72439043"/>
      <w:r>
        <w:rPr>
          <w:rFonts w:hint="eastAsia"/>
          <w:sz w:val="28"/>
          <w:szCs w:val="28"/>
        </w:rPr>
        <w:t>合同的授予与备案</w:t>
      </w:r>
      <w:bookmarkEnd w:id="84"/>
    </w:p>
    <w:p>
      <w:pPr>
        <w:rPr>
          <w:rFonts w:hint="eastAsia" w:ascii="黑体" w:hAnsi="宋体" w:eastAsia="黑体"/>
          <w:sz w:val="24"/>
        </w:rPr>
      </w:pPr>
      <w:bookmarkStart w:id="85" w:name="_Toc73521674"/>
      <w:bookmarkStart w:id="86" w:name="_Toc73518157"/>
      <w:bookmarkStart w:id="87" w:name="_Toc73517679"/>
      <w:bookmarkStart w:id="88" w:name="_Toc73521586"/>
      <w:bookmarkStart w:id="89" w:name="_Toc100052408"/>
      <w:bookmarkStart w:id="90" w:name="_Hlk72439088"/>
      <w:r>
        <w:rPr>
          <w:rFonts w:hint="eastAsia" w:ascii="黑体" w:hAnsi="宋体" w:eastAsia="黑体"/>
          <w:sz w:val="24"/>
        </w:rPr>
        <w:t>43．合同授予标准</w:t>
      </w:r>
      <w:bookmarkEnd w:id="85"/>
      <w:bookmarkEnd w:id="86"/>
      <w:bookmarkEnd w:id="87"/>
      <w:bookmarkEnd w:id="88"/>
      <w:bookmarkEnd w:id="89"/>
    </w:p>
    <w:p>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pPr>
        <w:rPr>
          <w:rFonts w:hint="eastAsia" w:ascii="黑体" w:hAnsi="宋体" w:eastAsia="黑体"/>
          <w:sz w:val="24"/>
        </w:rPr>
      </w:pPr>
      <w:bookmarkStart w:id="91" w:name="_Toc73518158"/>
      <w:bookmarkStart w:id="92" w:name="_Toc73517680"/>
      <w:bookmarkStart w:id="93" w:name="_Toc73521587"/>
      <w:bookmarkStart w:id="94" w:name="_Toc73521675"/>
      <w:bookmarkStart w:id="95" w:name="_Toc100052409"/>
      <w:r>
        <w:rPr>
          <w:rFonts w:hint="eastAsia" w:ascii="黑体" w:hAnsi="宋体" w:eastAsia="黑体"/>
          <w:sz w:val="24"/>
        </w:rPr>
        <w:t>44．</w:t>
      </w:r>
      <w:bookmarkEnd w:id="91"/>
      <w:bookmarkEnd w:id="92"/>
      <w:bookmarkEnd w:id="93"/>
      <w:bookmarkEnd w:id="94"/>
      <w:bookmarkEnd w:id="95"/>
      <w:r>
        <w:rPr>
          <w:rFonts w:hint="eastAsia" w:ascii="黑体" w:hAnsi="宋体" w:eastAsia="黑体"/>
          <w:sz w:val="24"/>
        </w:rPr>
        <w:t>接受和拒绝任何或所有投标的权力</w:t>
      </w:r>
    </w:p>
    <w:p>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hint="eastAsia" w:ascii="黑体" w:hAnsi="宋体" w:eastAsia="黑体"/>
          <w:sz w:val="24"/>
        </w:rPr>
      </w:pPr>
      <w:bookmarkStart w:id="96" w:name="_Toc73518160"/>
      <w:bookmarkStart w:id="97" w:name="_Toc73521677"/>
      <w:bookmarkStart w:id="98" w:name="_Toc73521589"/>
      <w:bookmarkStart w:id="99" w:name="_Toc100052410"/>
      <w:bookmarkStart w:id="100" w:name="_Toc73517682"/>
      <w:r>
        <w:rPr>
          <w:rFonts w:hint="eastAsia" w:ascii="黑体" w:hAnsi="宋体" w:eastAsia="黑体"/>
          <w:sz w:val="24"/>
        </w:rPr>
        <w:t>45．合同的签订</w:t>
      </w:r>
      <w:bookmarkEnd w:id="96"/>
      <w:bookmarkEnd w:id="97"/>
      <w:bookmarkEnd w:id="98"/>
      <w:bookmarkEnd w:id="99"/>
      <w:bookmarkEnd w:id="100"/>
    </w:p>
    <w:p>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pPr>
        <w:rPr>
          <w:rFonts w:hint="eastAsia" w:ascii="黑体" w:hAnsi="宋体" w:eastAsia="黑体"/>
          <w:sz w:val="24"/>
        </w:rPr>
      </w:pPr>
      <w:bookmarkStart w:id="101" w:name="_Toc73517683"/>
      <w:bookmarkStart w:id="102" w:name="_Toc73518161"/>
      <w:bookmarkStart w:id="103" w:name="_Toc73521590"/>
      <w:bookmarkStart w:id="104" w:name="_Toc100052411"/>
      <w:bookmarkStart w:id="105" w:name="_Toc73521678"/>
      <w:r>
        <w:rPr>
          <w:rFonts w:hint="eastAsia" w:ascii="黑体" w:hAnsi="宋体" w:eastAsia="黑体"/>
          <w:sz w:val="24"/>
        </w:rPr>
        <w:t>46．履约担保</w:t>
      </w:r>
      <w:bookmarkEnd w:id="101"/>
      <w:bookmarkEnd w:id="102"/>
      <w:bookmarkEnd w:id="103"/>
      <w:bookmarkEnd w:id="104"/>
      <w:bookmarkEnd w:id="105"/>
    </w:p>
    <w:p>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hint="eastAsia" w:ascii="黑体" w:hAnsi="宋体" w:eastAsia="黑体"/>
          <w:sz w:val="24"/>
        </w:rPr>
      </w:pPr>
      <w:r>
        <w:rPr>
          <w:rFonts w:hint="eastAsia" w:ascii="黑体" w:hAnsi="宋体" w:eastAsia="黑体"/>
          <w:sz w:val="24"/>
        </w:rPr>
        <w:t>47. 合同备案</w:t>
      </w:r>
    </w:p>
    <w:p>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pPr>
        <w:rPr>
          <w:rFonts w:hint="eastAsia" w:ascii="黑体" w:hAnsi="宋体" w:eastAsia="黑体"/>
          <w:sz w:val="24"/>
        </w:rPr>
      </w:pPr>
      <w:r>
        <w:rPr>
          <w:rFonts w:hint="eastAsia" w:ascii="黑体" w:hAnsi="宋体" w:eastAsia="黑体"/>
          <w:sz w:val="24"/>
        </w:rPr>
        <w:t>49. 项目验收</w:t>
      </w:r>
    </w:p>
    <w:p>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hint="eastAsia" w:ascii="黑体" w:hAnsi="宋体" w:eastAsia="黑体"/>
          <w:sz w:val="24"/>
        </w:rPr>
      </w:pPr>
      <w:r>
        <w:rPr>
          <w:rFonts w:hint="eastAsia" w:ascii="黑体" w:hAnsi="宋体" w:eastAsia="黑体"/>
          <w:sz w:val="24"/>
        </w:rPr>
        <w:t>50. 宣传</w:t>
      </w:r>
    </w:p>
    <w:p>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hint="eastAsia" w:ascii="宋体" w:hAnsi="宋体"/>
        </w:rPr>
      </w:pPr>
      <w:r>
        <w:rPr>
          <w:rFonts w:ascii="宋体" w:hAnsi="宋体"/>
        </w:rPr>
        <w:t>a.名片、宣传册、广告标语等；</w:t>
      </w:r>
    </w:p>
    <w:p>
      <w:pPr>
        <w:ind w:left="210" w:leftChars="100" w:firstLine="411" w:firstLineChars="196"/>
        <w:rPr>
          <w:rFonts w:hint="eastAsia" w:ascii="宋体" w:hAnsi="宋体"/>
        </w:rPr>
      </w:pPr>
      <w:r>
        <w:rPr>
          <w:rFonts w:ascii="宋体" w:hAnsi="宋体"/>
        </w:rPr>
        <w:t>b.案例介绍、推广等；</w:t>
      </w:r>
    </w:p>
    <w:p>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pPr>
        <w:rPr>
          <w:rFonts w:hint="eastAsia" w:ascii="黑体" w:hAnsi="宋体" w:eastAsia="黑体"/>
          <w:sz w:val="24"/>
        </w:rPr>
      </w:pPr>
      <w:r>
        <w:rPr>
          <w:rFonts w:hint="eastAsia" w:ascii="黑体" w:hAnsi="宋体" w:eastAsia="黑体"/>
          <w:sz w:val="24"/>
        </w:rPr>
        <w:t>51. 供应商违法责任</w:t>
      </w:r>
    </w:p>
    <w:p>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hint="eastAsia" w:ascii="宋体" w:hAnsi="宋体"/>
          <w:szCs w:val="21"/>
        </w:rPr>
      </w:pPr>
      <w:r>
        <w:rPr>
          <w:rFonts w:hint="eastAsia" w:ascii="宋体" w:hAnsi="宋体"/>
          <w:szCs w:val="21"/>
        </w:rPr>
        <w:t>（1）在采购活动中应当回避而未回避的；</w:t>
      </w:r>
    </w:p>
    <w:p>
      <w:pPr>
        <w:ind w:firstLine="411" w:firstLineChars="196"/>
        <w:rPr>
          <w:rFonts w:hint="eastAsia" w:ascii="宋体" w:hAnsi="宋体"/>
          <w:szCs w:val="21"/>
        </w:rPr>
      </w:pPr>
      <w:r>
        <w:rPr>
          <w:rFonts w:hint="eastAsia" w:ascii="宋体" w:hAnsi="宋体"/>
          <w:szCs w:val="21"/>
        </w:rPr>
        <w:t>（2）未按本条例规定签订、履行采购合同，造成严重后果的；</w:t>
      </w:r>
    </w:p>
    <w:p>
      <w:pPr>
        <w:ind w:firstLine="411" w:firstLineChars="196"/>
        <w:rPr>
          <w:rFonts w:hint="eastAsia" w:ascii="宋体" w:hAnsi="宋体"/>
          <w:szCs w:val="21"/>
        </w:rPr>
      </w:pPr>
      <w:r>
        <w:rPr>
          <w:rFonts w:hint="eastAsia" w:ascii="宋体" w:hAnsi="宋体"/>
          <w:szCs w:val="21"/>
        </w:rPr>
        <w:t>（3）隐瞒真实情况，提供虚假资料的；</w:t>
      </w:r>
    </w:p>
    <w:p>
      <w:pPr>
        <w:ind w:firstLine="411" w:firstLineChars="196"/>
        <w:rPr>
          <w:rFonts w:hint="eastAsia" w:ascii="宋体" w:hAnsi="宋体"/>
          <w:szCs w:val="21"/>
        </w:rPr>
      </w:pPr>
      <w:r>
        <w:rPr>
          <w:rFonts w:hint="eastAsia" w:ascii="宋体" w:hAnsi="宋体"/>
          <w:szCs w:val="21"/>
        </w:rPr>
        <w:t>（4）以非法手段排斥其他供应商参与竞争的；</w:t>
      </w:r>
    </w:p>
    <w:p>
      <w:pPr>
        <w:ind w:firstLine="411" w:firstLineChars="196"/>
        <w:rPr>
          <w:rFonts w:hint="eastAsia" w:ascii="宋体" w:hAnsi="宋体"/>
          <w:szCs w:val="21"/>
        </w:rPr>
      </w:pPr>
      <w:r>
        <w:rPr>
          <w:rFonts w:hint="eastAsia" w:ascii="宋体" w:hAnsi="宋体"/>
          <w:szCs w:val="21"/>
        </w:rPr>
        <w:t>（5）与其他采购参加人串通投标的；</w:t>
      </w:r>
    </w:p>
    <w:p>
      <w:pPr>
        <w:ind w:firstLine="411" w:firstLineChars="196"/>
        <w:rPr>
          <w:rFonts w:hint="eastAsia" w:ascii="宋体" w:hAnsi="宋体"/>
          <w:szCs w:val="21"/>
        </w:rPr>
      </w:pPr>
      <w:r>
        <w:rPr>
          <w:rFonts w:hint="eastAsia" w:ascii="宋体" w:hAnsi="宋体"/>
          <w:szCs w:val="21"/>
        </w:rPr>
        <w:t>（6）恶意投诉的；</w:t>
      </w:r>
    </w:p>
    <w:p>
      <w:pPr>
        <w:ind w:firstLine="411" w:firstLineChars="196"/>
        <w:rPr>
          <w:rFonts w:hint="eastAsia" w:ascii="宋体" w:hAnsi="宋体"/>
          <w:szCs w:val="21"/>
        </w:rPr>
      </w:pPr>
      <w:r>
        <w:rPr>
          <w:rFonts w:hint="eastAsia" w:ascii="宋体" w:hAnsi="宋体"/>
          <w:szCs w:val="21"/>
        </w:rPr>
        <w:t>（7）向采购项目相关人行贿或者提供其他不当利益的；</w:t>
      </w:r>
    </w:p>
    <w:p>
      <w:pPr>
        <w:ind w:firstLine="411" w:firstLineChars="196"/>
        <w:rPr>
          <w:rFonts w:hint="eastAsia" w:ascii="宋体" w:hAnsi="宋体"/>
          <w:szCs w:val="21"/>
        </w:rPr>
      </w:pPr>
      <w:r>
        <w:rPr>
          <w:rFonts w:hint="eastAsia" w:ascii="宋体" w:hAnsi="宋体"/>
          <w:szCs w:val="21"/>
        </w:rPr>
        <w:t>（8）阻碍、抗拒主管部门监督检查的；</w:t>
      </w:r>
    </w:p>
    <w:p>
      <w:pPr>
        <w:ind w:firstLine="411" w:firstLineChars="196"/>
        <w:rPr>
          <w:rFonts w:hint="eastAsia" w:ascii="宋体" w:hAnsi="宋体"/>
          <w:szCs w:val="21"/>
        </w:rPr>
      </w:pPr>
      <w:r>
        <w:rPr>
          <w:rFonts w:hint="eastAsia" w:ascii="宋体" w:hAnsi="宋体"/>
          <w:szCs w:val="21"/>
        </w:rPr>
        <w:t>（9）其他违反本条例规定的行为。</w:t>
      </w:r>
    </w:p>
    <w:p>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6" w:name="_Hlk72440769"/>
      <w:r>
        <w:rPr>
          <w:rFonts w:hint="eastAsia" w:ascii="宋体" w:hAnsi="宋体"/>
          <w:szCs w:val="21"/>
        </w:rPr>
        <w:t>政府集中采购机构或采购人不予退还其交纳的谈判保证金，情节严重的，并由主管部门</w:t>
      </w:r>
      <w:bookmarkEnd w:id="106"/>
      <w:r>
        <w:rPr>
          <w:rFonts w:hint="eastAsia" w:ascii="宋体" w:hAnsi="宋体"/>
          <w:szCs w:val="21"/>
        </w:rPr>
        <w:t>记入供应商诚信档案，予以通报：</w:t>
      </w:r>
    </w:p>
    <w:p>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0"/>
    <w:p>
      <w:pPr>
        <w:pStyle w:val="5"/>
        <w:numPr>
          <w:ilvl w:val="0"/>
          <w:numId w:val="15"/>
        </w:numPr>
        <w:spacing w:before="156" w:beforeLines="50" w:after="156" w:afterLines="50"/>
        <w:ind w:left="562" w:hanging="562"/>
        <w:rPr>
          <w:sz w:val="28"/>
          <w:szCs w:val="28"/>
        </w:rPr>
      </w:pPr>
      <w:r>
        <w:rPr>
          <w:rFonts w:hint="eastAsia"/>
          <w:sz w:val="28"/>
          <w:szCs w:val="28"/>
        </w:rPr>
        <w:t>质疑处理</w:t>
      </w:r>
    </w:p>
    <w:p>
      <w:pPr>
        <w:rPr>
          <w:rFonts w:hint="eastAsia" w:ascii="黑体" w:hAnsi="宋体" w:eastAsia="黑体"/>
          <w:sz w:val="24"/>
        </w:rPr>
      </w:pPr>
      <w:r>
        <w:rPr>
          <w:rFonts w:hint="eastAsia" w:ascii="黑体" w:hAnsi="宋体" w:eastAsia="黑体"/>
          <w:sz w:val="24"/>
        </w:rPr>
        <w:t>52.质疑提出与答复</w:t>
      </w:r>
    </w:p>
    <w:p>
      <w:pPr>
        <w:rPr>
          <w:rFonts w:hint="eastAsia" w:ascii="宋体" w:hAnsi="宋体"/>
          <w:szCs w:val="21"/>
        </w:rPr>
      </w:pPr>
      <w:r>
        <w:rPr>
          <w:rFonts w:hint="eastAsia" w:ascii="宋体" w:hAnsi="宋体"/>
          <w:szCs w:val="21"/>
        </w:rPr>
        <w:t xml:space="preserve">    52.1提出质疑</w:t>
      </w:r>
    </w:p>
    <w:p>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hint="eastAsia" w:ascii="宋体" w:hAnsi="宋体"/>
          <w:szCs w:val="21"/>
        </w:rPr>
      </w:pPr>
      <w:r>
        <w:rPr>
          <w:rFonts w:hint="eastAsia" w:ascii="宋体" w:hAnsi="宋体"/>
          <w:szCs w:val="21"/>
        </w:rPr>
        <w:t xml:space="preserve">    52.2</w:t>
      </w:r>
      <w:r>
        <w:rPr>
          <w:rFonts w:ascii="宋体" w:hAnsi="宋体"/>
          <w:szCs w:val="21"/>
        </w:rPr>
        <w:t>法律依据</w:t>
      </w:r>
    </w:p>
    <w:p>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07" w:name="_Hlk75374941"/>
      <w:r>
        <w:rPr>
          <w:rFonts w:hint="eastAsia" w:ascii="宋体" w:hAnsi="宋体"/>
          <w:szCs w:val="21"/>
        </w:rPr>
        <w:t>以联合体形式参与的，质疑应当由组成联合体的所有成员共同提出</w:t>
      </w:r>
      <w:bookmarkEnd w:id="107"/>
      <w:r>
        <w:rPr>
          <w:rFonts w:hint="eastAsia" w:ascii="宋体" w:hAnsi="宋体"/>
          <w:szCs w:val="21"/>
        </w:rPr>
        <w:t>；</w:t>
      </w:r>
    </w:p>
    <w:p>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hint="eastAsia" w:ascii="宋体" w:hAnsi="宋体"/>
          <w:szCs w:val="21"/>
        </w:rPr>
      </w:pPr>
      <w:r>
        <w:rPr>
          <w:rFonts w:hint="eastAsia" w:ascii="宋体" w:hAnsi="宋体"/>
          <w:szCs w:val="21"/>
        </w:rPr>
        <w:t xml:space="preserve">    自收文之日起七个工作日内。</w:t>
      </w:r>
    </w:p>
    <w:p>
      <w:pPr>
        <w:rPr>
          <w:rFonts w:hint="eastAsia" w:ascii="宋体" w:hAnsi="宋体"/>
          <w:szCs w:val="21"/>
        </w:rPr>
      </w:pPr>
      <w:r>
        <w:rPr>
          <w:rFonts w:hint="eastAsia" w:ascii="宋体" w:hAnsi="宋体"/>
          <w:szCs w:val="21"/>
        </w:rPr>
        <w:t xml:space="preserve">    52.8投诉</w:t>
      </w:r>
    </w:p>
    <w:p>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hint="eastAsia" w:ascii="黑体" w:hAnsi="宋体" w:eastAsia="黑体"/>
          <w:sz w:val="24"/>
        </w:rPr>
      </w:pPr>
      <w:r>
        <w:rPr>
          <w:rFonts w:hint="eastAsia" w:ascii="黑体" w:hAnsi="宋体" w:eastAsia="黑体"/>
          <w:sz w:val="24"/>
        </w:rPr>
        <w:t>53. 质疑后续处理</w:t>
      </w:r>
    </w:p>
    <w:p>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54"/>
    </w:p>
    <w:p>
      <w:pPr>
        <w:rPr>
          <w:b/>
          <w:color w:val="FF0000"/>
          <w:sz w:val="52"/>
          <w:szCs w:val="52"/>
        </w:rPr>
      </w:pPr>
    </w:p>
    <w:p>
      <w:pPr>
        <w:rPr>
          <w:rFonts w:hint="eastAsia" w:ascii="宋体" w:hAnsi="宋体" w:eastAsia="黑体" w:cs="Times New Roman"/>
          <w:b/>
          <w:bCs/>
          <w:color w:val="0000FF"/>
          <w:kern w:val="44"/>
          <w:sz w:val="36"/>
          <w:szCs w:val="44"/>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Noto Sans SC"/>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SC">
    <w:panose1 w:val="020B0200000000000000"/>
    <w:charset w:val="86"/>
    <w:family w:val="auto"/>
    <w:pitch w:val="default"/>
    <w:sig w:usb0="20000083" w:usb1="2ADF3C10" w:usb2="00000016" w:usb3="00000000" w:csb0="60060107"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t xml:space="preserve">- </w:t>
    </w:r>
    <w:r>
      <w:fldChar w:fldCharType="begin"/>
    </w:r>
    <w:r>
      <w:instrText xml:space="preserve"> PAGE </w:instrText>
    </w:r>
    <w:r>
      <w:fldChar w:fldCharType="separate"/>
    </w:r>
    <w:r>
      <w:t>29</w:t>
    </w:r>
    <w:r>
      <w:fldChar w:fldCharType="end"/>
    </w:r>
    <w: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pPr>
          <w:pStyle w:val="13"/>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3BCF5"/>
    <w:multiLevelType w:val="singleLevel"/>
    <w:tmpl w:val="98A3BCF5"/>
    <w:lvl w:ilvl="0" w:tentative="0">
      <w:start w:val="6"/>
      <w:numFmt w:val="chineseCounting"/>
      <w:suff w:val="nothing"/>
      <w:lvlText w:val="%1、"/>
      <w:lvlJc w:val="left"/>
      <w:rPr>
        <w:rFonts w:hint="eastAsia"/>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0686203"/>
    <w:multiLevelType w:val="singleLevel"/>
    <w:tmpl w:val="D0686203"/>
    <w:lvl w:ilvl="0" w:tentative="0">
      <w:start w:val="2"/>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F7C541D"/>
    <w:multiLevelType w:val="singleLevel"/>
    <w:tmpl w:val="1F7C541D"/>
    <w:lvl w:ilvl="0" w:tentative="0">
      <w:start w:val="2"/>
      <w:numFmt w:val="chineseCounting"/>
      <w:suff w:val="nothing"/>
      <w:lvlText w:val="%1、"/>
      <w:lvlJc w:val="left"/>
      <w:rPr>
        <w:rFonts w:hint="eastAsia"/>
      </w:rPr>
    </w:lvl>
  </w:abstractNum>
  <w:abstractNum w:abstractNumId="1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21CBBE0"/>
    <w:multiLevelType w:val="singleLevel"/>
    <w:tmpl w:val="721CBBE0"/>
    <w:lvl w:ilvl="0" w:tentative="0">
      <w:start w:val="1"/>
      <w:numFmt w:val="decimal"/>
      <w:suff w:val="nothing"/>
      <w:lvlText w:val="%1、"/>
      <w:lvlJc w:val="left"/>
    </w:lvl>
  </w:abstractNum>
  <w:abstractNum w:abstractNumId="14">
    <w:nsid w:val="7A0F6431"/>
    <w:multiLevelType w:val="singleLevel"/>
    <w:tmpl w:val="7A0F6431"/>
    <w:lvl w:ilvl="0" w:tentative="0">
      <w:start w:val="1"/>
      <w:numFmt w:val="decimal"/>
      <w:suff w:val="space"/>
      <w:lvlText w:val="%1."/>
      <w:lvlJc w:val="left"/>
    </w:lvl>
  </w:abstractNum>
  <w:num w:numId="1">
    <w:abstractNumId w:val="11"/>
  </w:num>
  <w:num w:numId="2">
    <w:abstractNumId w:val="5"/>
  </w:num>
  <w:num w:numId="3">
    <w:abstractNumId w:val="1"/>
  </w:num>
  <w:num w:numId="4">
    <w:abstractNumId w:val="13"/>
  </w:num>
  <w:num w:numId="5">
    <w:abstractNumId w:val="2"/>
  </w:num>
  <w:num w:numId="6">
    <w:abstractNumId w:val="0"/>
  </w:num>
  <w:num w:numId="7">
    <w:abstractNumId w:val="14"/>
  </w:num>
  <w:num w:numId="8">
    <w:abstractNumId w:val="4"/>
  </w:num>
  <w:num w:numId="9">
    <w:abstractNumId w:val="9"/>
  </w:num>
  <w:num w:numId="10">
    <w:abstractNumId w:val="7"/>
  </w:num>
  <w:num w:numId="11">
    <w:abstractNumId w:val="6"/>
  </w:num>
  <w:num w:numId="12">
    <w:abstractNumId w:val="3"/>
  </w:num>
  <w:num w:numId="13">
    <w:abstractNumId w:val="8"/>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13FA"/>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2F734B"/>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16A6E"/>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2E4F"/>
    <w:rsid w:val="00634CA8"/>
    <w:rsid w:val="00634D11"/>
    <w:rsid w:val="006357F8"/>
    <w:rsid w:val="00637736"/>
    <w:rsid w:val="00642E74"/>
    <w:rsid w:val="00643336"/>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0EA9"/>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0FB0"/>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2DD"/>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22DC"/>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284"/>
    <w:rsid w:val="00C24AC7"/>
    <w:rsid w:val="00C25258"/>
    <w:rsid w:val="00C255CE"/>
    <w:rsid w:val="00C26177"/>
    <w:rsid w:val="00C27633"/>
    <w:rsid w:val="00C27BEA"/>
    <w:rsid w:val="00C35401"/>
    <w:rsid w:val="00C3712E"/>
    <w:rsid w:val="00C40506"/>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4880"/>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18163A"/>
    <w:rsid w:val="012C1C02"/>
    <w:rsid w:val="014063FE"/>
    <w:rsid w:val="01721FEB"/>
    <w:rsid w:val="01722330"/>
    <w:rsid w:val="018D1303"/>
    <w:rsid w:val="01AE23C1"/>
    <w:rsid w:val="01BD0BF6"/>
    <w:rsid w:val="01CA5CC8"/>
    <w:rsid w:val="01E70628"/>
    <w:rsid w:val="01E81930"/>
    <w:rsid w:val="021444D5"/>
    <w:rsid w:val="02226211"/>
    <w:rsid w:val="022F6A9B"/>
    <w:rsid w:val="02412B40"/>
    <w:rsid w:val="02771997"/>
    <w:rsid w:val="0293255D"/>
    <w:rsid w:val="02987B74"/>
    <w:rsid w:val="02AF08DA"/>
    <w:rsid w:val="02B315C6"/>
    <w:rsid w:val="02BC2489"/>
    <w:rsid w:val="02DA6FE9"/>
    <w:rsid w:val="02E25F12"/>
    <w:rsid w:val="02ED7750"/>
    <w:rsid w:val="030516AD"/>
    <w:rsid w:val="033E13D6"/>
    <w:rsid w:val="03670B9C"/>
    <w:rsid w:val="038A3F97"/>
    <w:rsid w:val="03993BA4"/>
    <w:rsid w:val="03A66B69"/>
    <w:rsid w:val="03A978C7"/>
    <w:rsid w:val="03D06ACE"/>
    <w:rsid w:val="03E017D2"/>
    <w:rsid w:val="042C4F6C"/>
    <w:rsid w:val="04446205"/>
    <w:rsid w:val="047255F5"/>
    <w:rsid w:val="048C54B6"/>
    <w:rsid w:val="049A4077"/>
    <w:rsid w:val="050808FC"/>
    <w:rsid w:val="050C1BC4"/>
    <w:rsid w:val="05130EC4"/>
    <w:rsid w:val="051D6770"/>
    <w:rsid w:val="05452235"/>
    <w:rsid w:val="055A330C"/>
    <w:rsid w:val="05696B81"/>
    <w:rsid w:val="056B7F96"/>
    <w:rsid w:val="05A21435"/>
    <w:rsid w:val="05B41FE1"/>
    <w:rsid w:val="05F52269"/>
    <w:rsid w:val="06127C3D"/>
    <w:rsid w:val="06215480"/>
    <w:rsid w:val="062D43AF"/>
    <w:rsid w:val="062E1176"/>
    <w:rsid w:val="063E255E"/>
    <w:rsid w:val="065D710A"/>
    <w:rsid w:val="069468A4"/>
    <w:rsid w:val="06A35E92"/>
    <w:rsid w:val="06AB5681"/>
    <w:rsid w:val="06D86E6E"/>
    <w:rsid w:val="06E710CA"/>
    <w:rsid w:val="06E94E42"/>
    <w:rsid w:val="07101435"/>
    <w:rsid w:val="072B0FB7"/>
    <w:rsid w:val="075F3828"/>
    <w:rsid w:val="07724E37"/>
    <w:rsid w:val="07B37245"/>
    <w:rsid w:val="07EC1177"/>
    <w:rsid w:val="08236FF3"/>
    <w:rsid w:val="08A54D99"/>
    <w:rsid w:val="08D916F2"/>
    <w:rsid w:val="08DE3DCA"/>
    <w:rsid w:val="08E33B14"/>
    <w:rsid w:val="08FD17C0"/>
    <w:rsid w:val="09121B08"/>
    <w:rsid w:val="09403A6F"/>
    <w:rsid w:val="095742E5"/>
    <w:rsid w:val="0966767D"/>
    <w:rsid w:val="09B14CEA"/>
    <w:rsid w:val="09B4074E"/>
    <w:rsid w:val="09B47989"/>
    <w:rsid w:val="09CB6A81"/>
    <w:rsid w:val="0A0106F5"/>
    <w:rsid w:val="0A0F43A2"/>
    <w:rsid w:val="0A522CFE"/>
    <w:rsid w:val="0A537E82"/>
    <w:rsid w:val="0A670558"/>
    <w:rsid w:val="0AD31B13"/>
    <w:rsid w:val="0B0D62D3"/>
    <w:rsid w:val="0B1F1512"/>
    <w:rsid w:val="0B3913B2"/>
    <w:rsid w:val="0B493CA4"/>
    <w:rsid w:val="0B5C3158"/>
    <w:rsid w:val="0B845139"/>
    <w:rsid w:val="0B913B41"/>
    <w:rsid w:val="0B990BA4"/>
    <w:rsid w:val="0BB023D2"/>
    <w:rsid w:val="0BC027C4"/>
    <w:rsid w:val="0BC750CE"/>
    <w:rsid w:val="0BE16F32"/>
    <w:rsid w:val="0C154007"/>
    <w:rsid w:val="0C204376"/>
    <w:rsid w:val="0C254A1B"/>
    <w:rsid w:val="0C526FE5"/>
    <w:rsid w:val="0C6875C2"/>
    <w:rsid w:val="0C9866B9"/>
    <w:rsid w:val="0CA77331"/>
    <w:rsid w:val="0CB16402"/>
    <w:rsid w:val="0CC876EA"/>
    <w:rsid w:val="0CCE4C03"/>
    <w:rsid w:val="0CE73AF0"/>
    <w:rsid w:val="0CEC0DE7"/>
    <w:rsid w:val="0CF3634C"/>
    <w:rsid w:val="0D0227BA"/>
    <w:rsid w:val="0D5F19BA"/>
    <w:rsid w:val="0D5F295B"/>
    <w:rsid w:val="0D605732"/>
    <w:rsid w:val="0D6A5091"/>
    <w:rsid w:val="0D844388"/>
    <w:rsid w:val="0DD75B9C"/>
    <w:rsid w:val="0DEE34CD"/>
    <w:rsid w:val="0E036F0B"/>
    <w:rsid w:val="0E0661A0"/>
    <w:rsid w:val="0E0B29BB"/>
    <w:rsid w:val="0E0B7D94"/>
    <w:rsid w:val="0E183F30"/>
    <w:rsid w:val="0E230C39"/>
    <w:rsid w:val="0E607F86"/>
    <w:rsid w:val="0E8A0CB9"/>
    <w:rsid w:val="0E9C279A"/>
    <w:rsid w:val="0EA645EB"/>
    <w:rsid w:val="0EB421D9"/>
    <w:rsid w:val="0ECF2A4F"/>
    <w:rsid w:val="0F142273"/>
    <w:rsid w:val="0F5B4403"/>
    <w:rsid w:val="0F5D008C"/>
    <w:rsid w:val="0F6541C3"/>
    <w:rsid w:val="0F6627A1"/>
    <w:rsid w:val="0F971E23"/>
    <w:rsid w:val="0F9A5CF8"/>
    <w:rsid w:val="0FD3114F"/>
    <w:rsid w:val="0FE46009"/>
    <w:rsid w:val="0FEE5EBF"/>
    <w:rsid w:val="10153C10"/>
    <w:rsid w:val="10765DAF"/>
    <w:rsid w:val="108300B5"/>
    <w:rsid w:val="108654B0"/>
    <w:rsid w:val="108C64EF"/>
    <w:rsid w:val="10BE733F"/>
    <w:rsid w:val="10CA1840"/>
    <w:rsid w:val="10CF3F1B"/>
    <w:rsid w:val="10D97CD5"/>
    <w:rsid w:val="10F2465E"/>
    <w:rsid w:val="10FC5772"/>
    <w:rsid w:val="11093651"/>
    <w:rsid w:val="1112388E"/>
    <w:rsid w:val="111929FB"/>
    <w:rsid w:val="11662604"/>
    <w:rsid w:val="11796EDC"/>
    <w:rsid w:val="118B0DEE"/>
    <w:rsid w:val="119D5A3B"/>
    <w:rsid w:val="11AB5777"/>
    <w:rsid w:val="121C00A4"/>
    <w:rsid w:val="12313CE5"/>
    <w:rsid w:val="12635AA8"/>
    <w:rsid w:val="12696EA4"/>
    <w:rsid w:val="127840D2"/>
    <w:rsid w:val="12900790"/>
    <w:rsid w:val="12900868"/>
    <w:rsid w:val="129C3E15"/>
    <w:rsid w:val="12A02ED2"/>
    <w:rsid w:val="12E817B6"/>
    <w:rsid w:val="13192CDB"/>
    <w:rsid w:val="131E6243"/>
    <w:rsid w:val="13280779"/>
    <w:rsid w:val="133A40DB"/>
    <w:rsid w:val="134F24D1"/>
    <w:rsid w:val="13982333"/>
    <w:rsid w:val="139D188B"/>
    <w:rsid w:val="13AA7707"/>
    <w:rsid w:val="13B71069"/>
    <w:rsid w:val="13B9702D"/>
    <w:rsid w:val="13F76BB1"/>
    <w:rsid w:val="13FF3EF7"/>
    <w:rsid w:val="144E2788"/>
    <w:rsid w:val="14806439"/>
    <w:rsid w:val="149C1746"/>
    <w:rsid w:val="14B106F3"/>
    <w:rsid w:val="14E4477F"/>
    <w:rsid w:val="14EA7756"/>
    <w:rsid w:val="150F3065"/>
    <w:rsid w:val="156E7BEB"/>
    <w:rsid w:val="15BD1BCA"/>
    <w:rsid w:val="15C56A7A"/>
    <w:rsid w:val="15DA15E8"/>
    <w:rsid w:val="15FB113C"/>
    <w:rsid w:val="16105DC5"/>
    <w:rsid w:val="166E7112"/>
    <w:rsid w:val="16730284"/>
    <w:rsid w:val="16753FFC"/>
    <w:rsid w:val="169E5884"/>
    <w:rsid w:val="16B965DF"/>
    <w:rsid w:val="170E68D9"/>
    <w:rsid w:val="17233640"/>
    <w:rsid w:val="1741793A"/>
    <w:rsid w:val="1743234C"/>
    <w:rsid w:val="17933E49"/>
    <w:rsid w:val="17966F3F"/>
    <w:rsid w:val="179901BE"/>
    <w:rsid w:val="17C24EE1"/>
    <w:rsid w:val="17C27715"/>
    <w:rsid w:val="17C57205"/>
    <w:rsid w:val="17DF0A39"/>
    <w:rsid w:val="17E4768B"/>
    <w:rsid w:val="17FC3BA5"/>
    <w:rsid w:val="182513C0"/>
    <w:rsid w:val="18397E11"/>
    <w:rsid w:val="18735E22"/>
    <w:rsid w:val="187B18AE"/>
    <w:rsid w:val="18E72FF6"/>
    <w:rsid w:val="193E47DD"/>
    <w:rsid w:val="194505FE"/>
    <w:rsid w:val="19687E48"/>
    <w:rsid w:val="196B1CEA"/>
    <w:rsid w:val="198E1EAE"/>
    <w:rsid w:val="19DF6A21"/>
    <w:rsid w:val="19E05949"/>
    <w:rsid w:val="19E80331"/>
    <w:rsid w:val="19FB3499"/>
    <w:rsid w:val="1A24288D"/>
    <w:rsid w:val="1B1B5294"/>
    <w:rsid w:val="1B356450"/>
    <w:rsid w:val="1B434F04"/>
    <w:rsid w:val="1B485443"/>
    <w:rsid w:val="1B8E67A7"/>
    <w:rsid w:val="1B8F1873"/>
    <w:rsid w:val="1B9C14FB"/>
    <w:rsid w:val="1BDF430E"/>
    <w:rsid w:val="1BEB4F4B"/>
    <w:rsid w:val="1BEF4851"/>
    <w:rsid w:val="1BFE3C79"/>
    <w:rsid w:val="1C2C01A7"/>
    <w:rsid w:val="1C3154D0"/>
    <w:rsid w:val="1C4F3541"/>
    <w:rsid w:val="1C584649"/>
    <w:rsid w:val="1C604FCC"/>
    <w:rsid w:val="1C792E22"/>
    <w:rsid w:val="1CA407DB"/>
    <w:rsid w:val="1CB01607"/>
    <w:rsid w:val="1CB57848"/>
    <w:rsid w:val="1CBF2475"/>
    <w:rsid w:val="1CC00BFB"/>
    <w:rsid w:val="1CE25344"/>
    <w:rsid w:val="1CF11B30"/>
    <w:rsid w:val="1CF4323C"/>
    <w:rsid w:val="1D2A0352"/>
    <w:rsid w:val="1D2D5631"/>
    <w:rsid w:val="1D345E0F"/>
    <w:rsid w:val="1D581D92"/>
    <w:rsid w:val="1D880AB9"/>
    <w:rsid w:val="1D9569FB"/>
    <w:rsid w:val="1DAE2109"/>
    <w:rsid w:val="1DB9452C"/>
    <w:rsid w:val="1DDE5424"/>
    <w:rsid w:val="1DE33F41"/>
    <w:rsid w:val="1DE71C83"/>
    <w:rsid w:val="1E0A0261"/>
    <w:rsid w:val="1E206809"/>
    <w:rsid w:val="1E5828D6"/>
    <w:rsid w:val="1E5A0F1E"/>
    <w:rsid w:val="1E5A29B0"/>
    <w:rsid w:val="1E71779F"/>
    <w:rsid w:val="1E8A6AB3"/>
    <w:rsid w:val="1EBC700B"/>
    <w:rsid w:val="1EFB3211"/>
    <w:rsid w:val="1F103EA9"/>
    <w:rsid w:val="1F1D7927"/>
    <w:rsid w:val="1F486D04"/>
    <w:rsid w:val="1F5E7C06"/>
    <w:rsid w:val="1F784B5D"/>
    <w:rsid w:val="1F9927EB"/>
    <w:rsid w:val="1FB14636"/>
    <w:rsid w:val="1FCA3C17"/>
    <w:rsid w:val="1FDB296A"/>
    <w:rsid w:val="1FE909DC"/>
    <w:rsid w:val="1FF42436"/>
    <w:rsid w:val="20256A93"/>
    <w:rsid w:val="204333BD"/>
    <w:rsid w:val="20457135"/>
    <w:rsid w:val="205145E4"/>
    <w:rsid w:val="20631369"/>
    <w:rsid w:val="20755F4B"/>
    <w:rsid w:val="20AF152F"/>
    <w:rsid w:val="20C933FE"/>
    <w:rsid w:val="210D0B42"/>
    <w:rsid w:val="21431371"/>
    <w:rsid w:val="214866A3"/>
    <w:rsid w:val="2149055F"/>
    <w:rsid w:val="21513626"/>
    <w:rsid w:val="215C64E4"/>
    <w:rsid w:val="215D225D"/>
    <w:rsid w:val="21707EAF"/>
    <w:rsid w:val="219537A4"/>
    <w:rsid w:val="21C36564"/>
    <w:rsid w:val="21D6315B"/>
    <w:rsid w:val="21DF0EC4"/>
    <w:rsid w:val="21FC31E6"/>
    <w:rsid w:val="22046D94"/>
    <w:rsid w:val="221C055F"/>
    <w:rsid w:val="222207D1"/>
    <w:rsid w:val="22471B27"/>
    <w:rsid w:val="22525E8C"/>
    <w:rsid w:val="228D0920"/>
    <w:rsid w:val="22CE35B4"/>
    <w:rsid w:val="22F02729"/>
    <w:rsid w:val="23026659"/>
    <w:rsid w:val="230A7A8F"/>
    <w:rsid w:val="230D245F"/>
    <w:rsid w:val="23290736"/>
    <w:rsid w:val="23362D65"/>
    <w:rsid w:val="236E5E5F"/>
    <w:rsid w:val="2378337E"/>
    <w:rsid w:val="237E5141"/>
    <w:rsid w:val="23894376"/>
    <w:rsid w:val="23901997"/>
    <w:rsid w:val="239A32F4"/>
    <w:rsid w:val="23A61C99"/>
    <w:rsid w:val="23C5440E"/>
    <w:rsid w:val="23F30C56"/>
    <w:rsid w:val="24266C7C"/>
    <w:rsid w:val="2437006A"/>
    <w:rsid w:val="244A2F6C"/>
    <w:rsid w:val="246A64EC"/>
    <w:rsid w:val="248E0882"/>
    <w:rsid w:val="24AB04CD"/>
    <w:rsid w:val="24B85FE4"/>
    <w:rsid w:val="24D67678"/>
    <w:rsid w:val="24DF11A7"/>
    <w:rsid w:val="24FE4F91"/>
    <w:rsid w:val="251417B8"/>
    <w:rsid w:val="251E1D03"/>
    <w:rsid w:val="2524556B"/>
    <w:rsid w:val="252E63EA"/>
    <w:rsid w:val="25440C67"/>
    <w:rsid w:val="25493224"/>
    <w:rsid w:val="254E2618"/>
    <w:rsid w:val="25501510"/>
    <w:rsid w:val="25551BC9"/>
    <w:rsid w:val="256533FF"/>
    <w:rsid w:val="25714E00"/>
    <w:rsid w:val="25946DD0"/>
    <w:rsid w:val="25A53D6F"/>
    <w:rsid w:val="25B276F2"/>
    <w:rsid w:val="25E847EB"/>
    <w:rsid w:val="26545007"/>
    <w:rsid w:val="26572409"/>
    <w:rsid w:val="267047E0"/>
    <w:rsid w:val="26793FA2"/>
    <w:rsid w:val="26A1632F"/>
    <w:rsid w:val="26E718E0"/>
    <w:rsid w:val="26ED706D"/>
    <w:rsid w:val="27033701"/>
    <w:rsid w:val="270C05A6"/>
    <w:rsid w:val="270F7B55"/>
    <w:rsid w:val="272532E2"/>
    <w:rsid w:val="273B6B9C"/>
    <w:rsid w:val="27427F2B"/>
    <w:rsid w:val="276C3345"/>
    <w:rsid w:val="276F2332"/>
    <w:rsid w:val="27857F9B"/>
    <w:rsid w:val="2795721C"/>
    <w:rsid w:val="27A641C3"/>
    <w:rsid w:val="27A6670B"/>
    <w:rsid w:val="27C546B8"/>
    <w:rsid w:val="27E55CB6"/>
    <w:rsid w:val="27F868B5"/>
    <w:rsid w:val="281127EC"/>
    <w:rsid w:val="282633A8"/>
    <w:rsid w:val="283204F9"/>
    <w:rsid w:val="284461F5"/>
    <w:rsid w:val="286766E4"/>
    <w:rsid w:val="286F1880"/>
    <w:rsid w:val="28723E61"/>
    <w:rsid w:val="28944843"/>
    <w:rsid w:val="28A10C81"/>
    <w:rsid w:val="28BD0522"/>
    <w:rsid w:val="28DB6828"/>
    <w:rsid w:val="28EC2844"/>
    <w:rsid w:val="29025179"/>
    <w:rsid w:val="29114058"/>
    <w:rsid w:val="291259B4"/>
    <w:rsid w:val="29615703"/>
    <w:rsid w:val="29745A9F"/>
    <w:rsid w:val="29895F6F"/>
    <w:rsid w:val="298E5CC2"/>
    <w:rsid w:val="29995DFC"/>
    <w:rsid w:val="29A54525"/>
    <w:rsid w:val="29AC6F9B"/>
    <w:rsid w:val="29B91807"/>
    <w:rsid w:val="29C97866"/>
    <w:rsid w:val="29E821D3"/>
    <w:rsid w:val="29F75268"/>
    <w:rsid w:val="2A0D55C1"/>
    <w:rsid w:val="2A840919"/>
    <w:rsid w:val="2A930A9D"/>
    <w:rsid w:val="2A967EB2"/>
    <w:rsid w:val="2AD417E1"/>
    <w:rsid w:val="2AE03C52"/>
    <w:rsid w:val="2AF23B9B"/>
    <w:rsid w:val="2B065713"/>
    <w:rsid w:val="2B0D2CED"/>
    <w:rsid w:val="2B192609"/>
    <w:rsid w:val="2B2411B6"/>
    <w:rsid w:val="2B2871E7"/>
    <w:rsid w:val="2B9057FA"/>
    <w:rsid w:val="2BA35936"/>
    <w:rsid w:val="2BA70946"/>
    <w:rsid w:val="2BA9299F"/>
    <w:rsid w:val="2BBA0C84"/>
    <w:rsid w:val="2BF832AE"/>
    <w:rsid w:val="2BFE65C2"/>
    <w:rsid w:val="2C02412C"/>
    <w:rsid w:val="2C1665B8"/>
    <w:rsid w:val="2C295297"/>
    <w:rsid w:val="2C493B09"/>
    <w:rsid w:val="2C6E17C2"/>
    <w:rsid w:val="2D205D35"/>
    <w:rsid w:val="2D5D27F9"/>
    <w:rsid w:val="2D7503AA"/>
    <w:rsid w:val="2D7F69DE"/>
    <w:rsid w:val="2D9F6B68"/>
    <w:rsid w:val="2DB16F26"/>
    <w:rsid w:val="2DB3388B"/>
    <w:rsid w:val="2DC0604D"/>
    <w:rsid w:val="2DCA6ECC"/>
    <w:rsid w:val="2DDC1BB7"/>
    <w:rsid w:val="2E0A056F"/>
    <w:rsid w:val="2E7B4C91"/>
    <w:rsid w:val="2E7D2606"/>
    <w:rsid w:val="2E804392"/>
    <w:rsid w:val="2E815E80"/>
    <w:rsid w:val="2E954277"/>
    <w:rsid w:val="2ED53A12"/>
    <w:rsid w:val="2EDF69A7"/>
    <w:rsid w:val="2EF038BC"/>
    <w:rsid w:val="2F091204"/>
    <w:rsid w:val="2F1A79DF"/>
    <w:rsid w:val="2F2A413F"/>
    <w:rsid w:val="2F363171"/>
    <w:rsid w:val="2F487431"/>
    <w:rsid w:val="2F6518B8"/>
    <w:rsid w:val="2F753569"/>
    <w:rsid w:val="2F9A32C8"/>
    <w:rsid w:val="2FB32CCE"/>
    <w:rsid w:val="30311375"/>
    <w:rsid w:val="303C73AF"/>
    <w:rsid w:val="30473F91"/>
    <w:rsid w:val="306058C5"/>
    <w:rsid w:val="30B023A9"/>
    <w:rsid w:val="30B76BE8"/>
    <w:rsid w:val="30C714A1"/>
    <w:rsid w:val="30EB6F8A"/>
    <w:rsid w:val="311772A4"/>
    <w:rsid w:val="3118389A"/>
    <w:rsid w:val="31186537"/>
    <w:rsid w:val="312A7037"/>
    <w:rsid w:val="31AD1B8F"/>
    <w:rsid w:val="31B92B8B"/>
    <w:rsid w:val="31C81B78"/>
    <w:rsid w:val="32326CFB"/>
    <w:rsid w:val="324D032D"/>
    <w:rsid w:val="324D78CD"/>
    <w:rsid w:val="3257574A"/>
    <w:rsid w:val="329E21EF"/>
    <w:rsid w:val="32CE17D6"/>
    <w:rsid w:val="32D75DF9"/>
    <w:rsid w:val="32E813E9"/>
    <w:rsid w:val="32FB3683"/>
    <w:rsid w:val="32FD564D"/>
    <w:rsid w:val="3328091C"/>
    <w:rsid w:val="334409AC"/>
    <w:rsid w:val="337C1562"/>
    <w:rsid w:val="338910C0"/>
    <w:rsid w:val="338C6DB2"/>
    <w:rsid w:val="338F3097"/>
    <w:rsid w:val="33A51F6D"/>
    <w:rsid w:val="33C06DA7"/>
    <w:rsid w:val="33FE215A"/>
    <w:rsid w:val="342509B8"/>
    <w:rsid w:val="3425595B"/>
    <w:rsid w:val="34297F29"/>
    <w:rsid w:val="343819DA"/>
    <w:rsid w:val="34412E2D"/>
    <w:rsid w:val="344A5876"/>
    <w:rsid w:val="344D1C33"/>
    <w:rsid w:val="348820F0"/>
    <w:rsid w:val="348E47AF"/>
    <w:rsid w:val="34A053E5"/>
    <w:rsid w:val="34AE6BFF"/>
    <w:rsid w:val="34CA3E45"/>
    <w:rsid w:val="34CC177B"/>
    <w:rsid w:val="34D34153"/>
    <w:rsid w:val="34E34E96"/>
    <w:rsid w:val="350607E9"/>
    <w:rsid w:val="35381EF4"/>
    <w:rsid w:val="355E745E"/>
    <w:rsid w:val="359202CF"/>
    <w:rsid w:val="359758E5"/>
    <w:rsid w:val="359D5EEA"/>
    <w:rsid w:val="35BA1D81"/>
    <w:rsid w:val="35D02BA5"/>
    <w:rsid w:val="35D46B3A"/>
    <w:rsid w:val="35E033EA"/>
    <w:rsid w:val="35E11274"/>
    <w:rsid w:val="35E8637E"/>
    <w:rsid w:val="35ED210C"/>
    <w:rsid w:val="35FC7E3E"/>
    <w:rsid w:val="36085C11"/>
    <w:rsid w:val="361B0127"/>
    <w:rsid w:val="363C3B17"/>
    <w:rsid w:val="36474247"/>
    <w:rsid w:val="365612FD"/>
    <w:rsid w:val="36756424"/>
    <w:rsid w:val="3677309A"/>
    <w:rsid w:val="36AD2EE7"/>
    <w:rsid w:val="36BD75CE"/>
    <w:rsid w:val="36D30477"/>
    <w:rsid w:val="36F40B16"/>
    <w:rsid w:val="370C52DF"/>
    <w:rsid w:val="370C5E5F"/>
    <w:rsid w:val="374B6987"/>
    <w:rsid w:val="374D6BA3"/>
    <w:rsid w:val="375A306E"/>
    <w:rsid w:val="37AA6440"/>
    <w:rsid w:val="37AF0A14"/>
    <w:rsid w:val="37CE1367"/>
    <w:rsid w:val="37D746BF"/>
    <w:rsid w:val="37E528A4"/>
    <w:rsid w:val="38085F26"/>
    <w:rsid w:val="38426065"/>
    <w:rsid w:val="38B810AA"/>
    <w:rsid w:val="38BB232A"/>
    <w:rsid w:val="38C84008"/>
    <w:rsid w:val="38CA5FD2"/>
    <w:rsid w:val="38EB0F04"/>
    <w:rsid w:val="38FE081E"/>
    <w:rsid w:val="39411452"/>
    <w:rsid w:val="394B11C6"/>
    <w:rsid w:val="397B72CC"/>
    <w:rsid w:val="397C49C3"/>
    <w:rsid w:val="39B22FFA"/>
    <w:rsid w:val="39BA7DF4"/>
    <w:rsid w:val="39C15930"/>
    <w:rsid w:val="39F913A9"/>
    <w:rsid w:val="3A173499"/>
    <w:rsid w:val="3A30022F"/>
    <w:rsid w:val="3A371445"/>
    <w:rsid w:val="3A503980"/>
    <w:rsid w:val="3A553CC1"/>
    <w:rsid w:val="3A6B5E65"/>
    <w:rsid w:val="3A886145"/>
    <w:rsid w:val="3A8D72B7"/>
    <w:rsid w:val="3AB900AC"/>
    <w:rsid w:val="3AC52EF5"/>
    <w:rsid w:val="3AC91083"/>
    <w:rsid w:val="3B007A89"/>
    <w:rsid w:val="3B027CA5"/>
    <w:rsid w:val="3B0A5A2B"/>
    <w:rsid w:val="3B2E2848"/>
    <w:rsid w:val="3B5D4EDB"/>
    <w:rsid w:val="3B81506E"/>
    <w:rsid w:val="3B8F5FC8"/>
    <w:rsid w:val="3BA60D07"/>
    <w:rsid w:val="3BA6272A"/>
    <w:rsid w:val="3BAC0F6E"/>
    <w:rsid w:val="3BB22833"/>
    <w:rsid w:val="3BC4775F"/>
    <w:rsid w:val="3BDD02C5"/>
    <w:rsid w:val="3BE27C97"/>
    <w:rsid w:val="3BE473AB"/>
    <w:rsid w:val="3C9A513B"/>
    <w:rsid w:val="3CC03E16"/>
    <w:rsid w:val="3CCD2793"/>
    <w:rsid w:val="3CFA57E4"/>
    <w:rsid w:val="3D0221DE"/>
    <w:rsid w:val="3D092B74"/>
    <w:rsid w:val="3D1E60DF"/>
    <w:rsid w:val="3D272D3D"/>
    <w:rsid w:val="3D2B44D7"/>
    <w:rsid w:val="3D6D68BF"/>
    <w:rsid w:val="3D903E83"/>
    <w:rsid w:val="3D9236E4"/>
    <w:rsid w:val="3DE2791A"/>
    <w:rsid w:val="3E053B4B"/>
    <w:rsid w:val="3E0C1E60"/>
    <w:rsid w:val="3E151A9D"/>
    <w:rsid w:val="3E2174C3"/>
    <w:rsid w:val="3E2C5EC2"/>
    <w:rsid w:val="3E375EB7"/>
    <w:rsid w:val="3E38205E"/>
    <w:rsid w:val="3E7C448E"/>
    <w:rsid w:val="3E943212"/>
    <w:rsid w:val="3E9E5F37"/>
    <w:rsid w:val="3EA47C68"/>
    <w:rsid w:val="3EC45EF4"/>
    <w:rsid w:val="3ED03C16"/>
    <w:rsid w:val="3EDE27D7"/>
    <w:rsid w:val="3EDF08B2"/>
    <w:rsid w:val="3EEB27FE"/>
    <w:rsid w:val="3EF25F54"/>
    <w:rsid w:val="3F320FAA"/>
    <w:rsid w:val="3F3423F7"/>
    <w:rsid w:val="3F8E1B07"/>
    <w:rsid w:val="40161AFD"/>
    <w:rsid w:val="401D10DD"/>
    <w:rsid w:val="403326AF"/>
    <w:rsid w:val="40524297"/>
    <w:rsid w:val="408B6047"/>
    <w:rsid w:val="409A517D"/>
    <w:rsid w:val="40AC4EF8"/>
    <w:rsid w:val="40AF442B"/>
    <w:rsid w:val="40E165AE"/>
    <w:rsid w:val="411C75E7"/>
    <w:rsid w:val="41540B2E"/>
    <w:rsid w:val="415E333C"/>
    <w:rsid w:val="416B795B"/>
    <w:rsid w:val="41752D86"/>
    <w:rsid w:val="418F600A"/>
    <w:rsid w:val="419B5FD1"/>
    <w:rsid w:val="419E1DAA"/>
    <w:rsid w:val="41A7056B"/>
    <w:rsid w:val="420D5851"/>
    <w:rsid w:val="424526D7"/>
    <w:rsid w:val="424B3CDF"/>
    <w:rsid w:val="426D19F0"/>
    <w:rsid w:val="42983DA3"/>
    <w:rsid w:val="429B3C85"/>
    <w:rsid w:val="42D31F27"/>
    <w:rsid w:val="42D33CD5"/>
    <w:rsid w:val="42DD037E"/>
    <w:rsid w:val="42FC5208"/>
    <w:rsid w:val="43341596"/>
    <w:rsid w:val="43571E00"/>
    <w:rsid w:val="436F7EA2"/>
    <w:rsid w:val="43860D47"/>
    <w:rsid w:val="43DE4EDB"/>
    <w:rsid w:val="43E0541A"/>
    <w:rsid w:val="43ED0DC6"/>
    <w:rsid w:val="43FB4652"/>
    <w:rsid w:val="43FF1225"/>
    <w:rsid w:val="4410457F"/>
    <w:rsid w:val="441459B9"/>
    <w:rsid w:val="44265D5C"/>
    <w:rsid w:val="445F4788"/>
    <w:rsid w:val="44647734"/>
    <w:rsid w:val="44700650"/>
    <w:rsid w:val="449633BF"/>
    <w:rsid w:val="44B32884"/>
    <w:rsid w:val="44C147DB"/>
    <w:rsid w:val="44D94857"/>
    <w:rsid w:val="44DD3B52"/>
    <w:rsid w:val="44E032D7"/>
    <w:rsid w:val="44E73A68"/>
    <w:rsid w:val="45117DDD"/>
    <w:rsid w:val="45223845"/>
    <w:rsid w:val="45290298"/>
    <w:rsid w:val="45B51211"/>
    <w:rsid w:val="45BD6D52"/>
    <w:rsid w:val="45BF5F80"/>
    <w:rsid w:val="45E94130"/>
    <w:rsid w:val="45EF52CA"/>
    <w:rsid w:val="46276812"/>
    <w:rsid w:val="462955F1"/>
    <w:rsid w:val="462A4554"/>
    <w:rsid w:val="46517D32"/>
    <w:rsid w:val="465377A4"/>
    <w:rsid w:val="466B6D95"/>
    <w:rsid w:val="46753001"/>
    <w:rsid w:val="46821C9A"/>
    <w:rsid w:val="46E51A75"/>
    <w:rsid w:val="46F84891"/>
    <w:rsid w:val="473A07C7"/>
    <w:rsid w:val="473B1F33"/>
    <w:rsid w:val="475B4828"/>
    <w:rsid w:val="4770244E"/>
    <w:rsid w:val="47762C36"/>
    <w:rsid w:val="477C0DDF"/>
    <w:rsid w:val="480212E4"/>
    <w:rsid w:val="4802743A"/>
    <w:rsid w:val="481650EB"/>
    <w:rsid w:val="482B73A4"/>
    <w:rsid w:val="4880469E"/>
    <w:rsid w:val="48B721DD"/>
    <w:rsid w:val="48C04CFB"/>
    <w:rsid w:val="48C36A60"/>
    <w:rsid w:val="48CF42A1"/>
    <w:rsid w:val="48E442B5"/>
    <w:rsid w:val="48FF5824"/>
    <w:rsid w:val="49266FC3"/>
    <w:rsid w:val="492B03C7"/>
    <w:rsid w:val="49307A8A"/>
    <w:rsid w:val="493C6A78"/>
    <w:rsid w:val="49425710"/>
    <w:rsid w:val="494D38A5"/>
    <w:rsid w:val="498E5824"/>
    <w:rsid w:val="49BB2E76"/>
    <w:rsid w:val="49DE053E"/>
    <w:rsid w:val="4A201EF6"/>
    <w:rsid w:val="4A372B97"/>
    <w:rsid w:val="4A49107C"/>
    <w:rsid w:val="4A4F730C"/>
    <w:rsid w:val="4A515473"/>
    <w:rsid w:val="4A625D30"/>
    <w:rsid w:val="4A6617BA"/>
    <w:rsid w:val="4A767D68"/>
    <w:rsid w:val="4B475260"/>
    <w:rsid w:val="4B4B65BB"/>
    <w:rsid w:val="4B4C2876"/>
    <w:rsid w:val="4B505A8A"/>
    <w:rsid w:val="4B7F38EA"/>
    <w:rsid w:val="4B935E0E"/>
    <w:rsid w:val="4B9E1324"/>
    <w:rsid w:val="4BBF201F"/>
    <w:rsid w:val="4BC045B9"/>
    <w:rsid w:val="4BC82845"/>
    <w:rsid w:val="4BDA6435"/>
    <w:rsid w:val="4BE17463"/>
    <w:rsid w:val="4BE3521C"/>
    <w:rsid w:val="4C5317C1"/>
    <w:rsid w:val="4C596AD0"/>
    <w:rsid w:val="4C5E6D05"/>
    <w:rsid w:val="4CA26BF2"/>
    <w:rsid w:val="4CEE1E37"/>
    <w:rsid w:val="4D145F92"/>
    <w:rsid w:val="4D330192"/>
    <w:rsid w:val="4D3B1C54"/>
    <w:rsid w:val="4D461C73"/>
    <w:rsid w:val="4DE9657A"/>
    <w:rsid w:val="4E092CA1"/>
    <w:rsid w:val="4E111A5A"/>
    <w:rsid w:val="4E25051C"/>
    <w:rsid w:val="4E4156DB"/>
    <w:rsid w:val="4E93713A"/>
    <w:rsid w:val="4F1456D4"/>
    <w:rsid w:val="4F145898"/>
    <w:rsid w:val="4F305E92"/>
    <w:rsid w:val="4F4915E5"/>
    <w:rsid w:val="4F754A92"/>
    <w:rsid w:val="4F9905AE"/>
    <w:rsid w:val="4F9926C4"/>
    <w:rsid w:val="4FC33F25"/>
    <w:rsid w:val="4FD001C7"/>
    <w:rsid w:val="4FFE214A"/>
    <w:rsid w:val="4FFF4B10"/>
    <w:rsid w:val="4FFF6109"/>
    <w:rsid w:val="50095F5C"/>
    <w:rsid w:val="500B71A4"/>
    <w:rsid w:val="502E60F8"/>
    <w:rsid w:val="50333A27"/>
    <w:rsid w:val="50334005"/>
    <w:rsid w:val="50572C95"/>
    <w:rsid w:val="505E4B9C"/>
    <w:rsid w:val="50836259"/>
    <w:rsid w:val="50A30487"/>
    <w:rsid w:val="50DD1804"/>
    <w:rsid w:val="510F580A"/>
    <w:rsid w:val="51216C24"/>
    <w:rsid w:val="51543E3D"/>
    <w:rsid w:val="51A52CE0"/>
    <w:rsid w:val="51D71EBE"/>
    <w:rsid w:val="51DF6DC8"/>
    <w:rsid w:val="51E6007E"/>
    <w:rsid w:val="520D262F"/>
    <w:rsid w:val="52195EFA"/>
    <w:rsid w:val="52392BBE"/>
    <w:rsid w:val="526A0AC2"/>
    <w:rsid w:val="529674E9"/>
    <w:rsid w:val="52B1378F"/>
    <w:rsid w:val="52E72213"/>
    <w:rsid w:val="535D3873"/>
    <w:rsid w:val="53876B42"/>
    <w:rsid w:val="54045B97"/>
    <w:rsid w:val="540B40CB"/>
    <w:rsid w:val="54153BAB"/>
    <w:rsid w:val="543E18F6"/>
    <w:rsid w:val="546B1FBF"/>
    <w:rsid w:val="54834226"/>
    <w:rsid w:val="54996B2C"/>
    <w:rsid w:val="54BE4D09"/>
    <w:rsid w:val="54FA7CE1"/>
    <w:rsid w:val="550A7A2A"/>
    <w:rsid w:val="554A7E27"/>
    <w:rsid w:val="555E1B24"/>
    <w:rsid w:val="55683E45"/>
    <w:rsid w:val="556A04C9"/>
    <w:rsid w:val="558F102F"/>
    <w:rsid w:val="559D6882"/>
    <w:rsid w:val="559E5653"/>
    <w:rsid w:val="55AB3C2F"/>
    <w:rsid w:val="55AC40A5"/>
    <w:rsid w:val="55BA31FE"/>
    <w:rsid w:val="55DB4169"/>
    <w:rsid w:val="55E16072"/>
    <w:rsid w:val="55EC35D4"/>
    <w:rsid w:val="55FE20ED"/>
    <w:rsid w:val="560E52F8"/>
    <w:rsid w:val="561A4621"/>
    <w:rsid w:val="56233F5F"/>
    <w:rsid w:val="56373C3F"/>
    <w:rsid w:val="56383CF3"/>
    <w:rsid w:val="56455CD4"/>
    <w:rsid w:val="565C42B5"/>
    <w:rsid w:val="56902993"/>
    <w:rsid w:val="56AE76A6"/>
    <w:rsid w:val="56D4209E"/>
    <w:rsid w:val="56DB2C2D"/>
    <w:rsid w:val="56E4418B"/>
    <w:rsid w:val="56EC7829"/>
    <w:rsid w:val="57064221"/>
    <w:rsid w:val="57442ECA"/>
    <w:rsid w:val="576C1061"/>
    <w:rsid w:val="5773022F"/>
    <w:rsid w:val="57770C7B"/>
    <w:rsid w:val="57DF277D"/>
    <w:rsid w:val="57E50495"/>
    <w:rsid w:val="580A1AEF"/>
    <w:rsid w:val="58776655"/>
    <w:rsid w:val="58B74216"/>
    <w:rsid w:val="58C16652"/>
    <w:rsid w:val="590752B6"/>
    <w:rsid w:val="591F15CA"/>
    <w:rsid w:val="592D0FB2"/>
    <w:rsid w:val="594F4A95"/>
    <w:rsid w:val="596D67DA"/>
    <w:rsid w:val="59760D08"/>
    <w:rsid w:val="599E6993"/>
    <w:rsid w:val="59A60DC8"/>
    <w:rsid w:val="59AC5554"/>
    <w:rsid w:val="59B10AE1"/>
    <w:rsid w:val="59F8229B"/>
    <w:rsid w:val="5A564466"/>
    <w:rsid w:val="5A6B0F71"/>
    <w:rsid w:val="5A902780"/>
    <w:rsid w:val="5A9F4737"/>
    <w:rsid w:val="5AAE2C06"/>
    <w:rsid w:val="5AD04F6E"/>
    <w:rsid w:val="5AE8436A"/>
    <w:rsid w:val="5AF80325"/>
    <w:rsid w:val="5B6339F0"/>
    <w:rsid w:val="5BA20303"/>
    <w:rsid w:val="5BEE63E9"/>
    <w:rsid w:val="5BF6561B"/>
    <w:rsid w:val="5BFA4C14"/>
    <w:rsid w:val="5C260B14"/>
    <w:rsid w:val="5C2A6C04"/>
    <w:rsid w:val="5C3543D2"/>
    <w:rsid w:val="5C406532"/>
    <w:rsid w:val="5C4E69BE"/>
    <w:rsid w:val="5C5D469B"/>
    <w:rsid w:val="5CE36031"/>
    <w:rsid w:val="5CFC5838"/>
    <w:rsid w:val="5D3E4962"/>
    <w:rsid w:val="5D79752D"/>
    <w:rsid w:val="5DB26EB1"/>
    <w:rsid w:val="5DBA559D"/>
    <w:rsid w:val="5DBF6577"/>
    <w:rsid w:val="5DC34F1C"/>
    <w:rsid w:val="5DFE3EA4"/>
    <w:rsid w:val="5E465887"/>
    <w:rsid w:val="5E473A9D"/>
    <w:rsid w:val="5E804CC0"/>
    <w:rsid w:val="5E8425FB"/>
    <w:rsid w:val="5ED312D4"/>
    <w:rsid w:val="5EE50BC0"/>
    <w:rsid w:val="5F0664A4"/>
    <w:rsid w:val="5F181B76"/>
    <w:rsid w:val="5F463D55"/>
    <w:rsid w:val="5F614678"/>
    <w:rsid w:val="5F7A4B09"/>
    <w:rsid w:val="5FD4389C"/>
    <w:rsid w:val="5FEC48FC"/>
    <w:rsid w:val="6013374F"/>
    <w:rsid w:val="607620C3"/>
    <w:rsid w:val="60A05E5C"/>
    <w:rsid w:val="60B116A2"/>
    <w:rsid w:val="60B42F40"/>
    <w:rsid w:val="60B7767B"/>
    <w:rsid w:val="60CC348A"/>
    <w:rsid w:val="60D24296"/>
    <w:rsid w:val="610251FF"/>
    <w:rsid w:val="610A1B10"/>
    <w:rsid w:val="61221DAA"/>
    <w:rsid w:val="61696F59"/>
    <w:rsid w:val="6186757B"/>
    <w:rsid w:val="61A962B9"/>
    <w:rsid w:val="61D672CA"/>
    <w:rsid w:val="61E63AF5"/>
    <w:rsid w:val="626A2DAC"/>
    <w:rsid w:val="62713F4B"/>
    <w:rsid w:val="62784498"/>
    <w:rsid w:val="62A86D6B"/>
    <w:rsid w:val="62C25DC1"/>
    <w:rsid w:val="63293771"/>
    <w:rsid w:val="6354015B"/>
    <w:rsid w:val="637C0DF3"/>
    <w:rsid w:val="637C7D45"/>
    <w:rsid w:val="639808F7"/>
    <w:rsid w:val="63A675D8"/>
    <w:rsid w:val="64013379"/>
    <w:rsid w:val="64565496"/>
    <w:rsid w:val="645F2960"/>
    <w:rsid w:val="64654C7D"/>
    <w:rsid w:val="646C7950"/>
    <w:rsid w:val="64AE3702"/>
    <w:rsid w:val="64BD496D"/>
    <w:rsid w:val="64BE25DF"/>
    <w:rsid w:val="64C44758"/>
    <w:rsid w:val="64EA6A96"/>
    <w:rsid w:val="64F93617"/>
    <w:rsid w:val="65246D5E"/>
    <w:rsid w:val="655D3BA6"/>
    <w:rsid w:val="65655387"/>
    <w:rsid w:val="659A6BA8"/>
    <w:rsid w:val="65A50F20"/>
    <w:rsid w:val="65EF58FA"/>
    <w:rsid w:val="65FE7BFD"/>
    <w:rsid w:val="66397220"/>
    <w:rsid w:val="66AC3703"/>
    <w:rsid w:val="66AF4C3B"/>
    <w:rsid w:val="66EC6F90"/>
    <w:rsid w:val="66F2031E"/>
    <w:rsid w:val="675B054A"/>
    <w:rsid w:val="677C3AAE"/>
    <w:rsid w:val="67AA6A71"/>
    <w:rsid w:val="67AA7E58"/>
    <w:rsid w:val="67AB0BF9"/>
    <w:rsid w:val="67E662B3"/>
    <w:rsid w:val="67F10517"/>
    <w:rsid w:val="68077DF9"/>
    <w:rsid w:val="680F6F74"/>
    <w:rsid w:val="68382663"/>
    <w:rsid w:val="68407D8C"/>
    <w:rsid w:val="68434CD3"/>
    <w:rsid w:val="686314D3"/>
    <w:rsid w:val="68684D3A"/>
    <w:rsid w:val="6888718C"/>
    <w:rsid w:val="68E5527F"/>
    <w:rsid w:val="69112B6D"/>
    <w:rsid w:val="693354D1"/>
    <w:rsid w:val="69677B7C"/>
    <w:rsid w:val="69733B79"/>
    <w:rsid w:val="69A578CA"/>
    <w:rsid w:val="6A611A43"/>
    <w:rsid w:val="6A7343B6"/>
    <w:rsid w:val="6AA656A7"/>
    <w:rsid w:val="6AB029CA"/>
    <w:rsid w:val="6AB40090"/>
    <w:rsid w:val="6AD32E40"/>
    <w:rsid w:val="6ADE7537"/>
    <w:rsid w:val="6AE34B4E"/>
    <w:rsid w:val="6AE43EB7"/>
    <w:rsid w:val="6B1F6200"/>
    <w:rsid w:val="6B4A3375"/>
    <w:rsid w:val="6B5E5596"/>
    <w:rsid w:val="6B825FC3"/>
    <w:rsid w:val="6B8359E9"/>
    <w:rsid w:val="6B9D0892"/>
    <w:rsid w:val="6BC952E4"/>
    <w:rsid w:val="6BD12BF8"/>
    <w:rsid w:val="6C613F7C"/>
    <w:rsid w:val="6C631880"/>
    <w:rsid w:val="6C636C8C"/>
    <w:rsid w:val="6C6D16B4"/>
    <w:rsid w:val="6C806253"/>
    <w:rsid w:val="6CB542C8"/>
    <w:rsid w:val="6CD74FCF"/>
    <w:rsid w:val="6CF748E0"/>
    <w:rsid w:val="6D15191A"/>
    <w:rsid w:val="6D274972"/>
    <w:rsid w:val="6D52620C"/>
    <w:rsid w:val="6D7D3037"/>
    <w:rsid w:val="6D8E14DE"/>
    <w:rsid w:val="6D934609"/>
    <w:rsid w:val="6DAE50AD"/>
    <w:rsid w:val="6DB90012"/>
    <w:rsid w:val="6DD624F7"/>
    <w:rsid w:val="6DDA2238"/>
    <w:rsid w:val="6E0E1EE1"/>
    <w:rsid w:val="6E1130C8"/>
    <w:rsid w:val="6E5A21EA"/>
    <w:rsid w:val="6EA62628"/>
    <w:rsid w:val="6EB8009F"/>
    <w:rsid w:val="6EC55187"/>
    <w:rsid w:val="6EC72090"/>
    <w:rsid w:val="6ED22CDD"/>
    <w:rsid w:val="6F0A3093"/>
    <w:rsid w:val="6F834B73"/>
    <w:rsid w:val="6F857F81"/>
    <w:rsid w:val="6F883155"/>
    <w:rsid w:val="6FAD74D8"/>
    <w:rsid w:val="6FC6124D"/>
    <w:rsid w:val="6FC62348"/>
    <w:rsid w:val="6FDA0E82"/>
    <w:rsid w:val="6FDC27EA"/>
    <w:rsid w:val="6FDE56F1"/>
    <w:rsid w:val="6FE10E18"/>
    <w:rsid w:val="6FE309EC"/>
    <w:rsid w:val="6FEC14A9"/>
    <w:rsid w:val="6FEC6252"/>
    <w:rsid w:val="70130316"/>
    <w:rsid w:val="702E23C7"/>
    <w:rsid w:val="707357E9"/>
    <w:rsid w:val="70827584"/>
    <w:rsid w:val="70A15EF2"/>
    <w:rsid w:val="70C96037"/>
    <w:rsid w:val="70CB230C"/>
    <w:rsid w:val="71193CAD"/>
    <w:rsid w:val="712A6878"/>
    <w:rsid w:val="71AB37A1"/>
    <w:rsid w:val="71B752F6"/>
    <w:rsid w:val="71D761D7"/>
    <w:rsid w:val="71F1275F"/>
    <w:rsid w:val="721E46BD"/>
    <w:rsid w:val="72201F3D"/>
    <w:rsid w:val="72271FEC"/>
    <w:rsid w:val="722E41C4"/>
    <w:rsid w:val="72587BCF"/>
    <w:rsid w:val="72655E48"/>
    <w:rsid w:val="72712F6C"/>
    <w:rsid w:val="72824C4C"/>
    <w:rsid w:val="728A3B01"/>
    <w:rsid w:val="729809DA"/>
    <w:rsid w:val="729D4E7D"/>
    <w:rsid w:val="72D37256"/>
    <w:rsid w:val="72D93738"/>
    <w:rsid w:val="73434202"/>
    <w:rsid w:val="734819F2"/>
    <w:rsid w:val="734D6303"/>
    <w:rsid w:val="735B7378"/>
    <w:rsid w:val="737A1DC7"/>
    <w:rsid w:val="737A608E"/>
    <w:rsid w:val="73A806E2"/>
    <w:rsid w:val="73BC418E"/>
    <w:rsid w:val="73F22113"/>
    <w:rsid w:val="741D2E7E"/>
    <w:rsid w:val="74214F20"/>
    <w:rsid w:val="744B56A6"/>
    <w:rsid w:val="74A16CBA"/>
    <w:rsid w:val="74CB28DA"/>
    <w:rsid w:val="74D53759"/>
    <w:rsid w:val="74DE6E03"/>
    <w:rsid w:val="74F33BDF"/>
    <w:rsid w:val="75017A26"/>
    <w:rsid w:val="750556C0"/>
    <w:rsid w:val="752B5D11"/>
    <w:rsid w:val="752C70F1"/>
    <w:rsid w:val="75387844"/>
    <w:rsid w:val="753903C8"/>
    <w:rsid w:val="75443874"/>
    <w:rsid w:val="75CC2E8E"/>
    <w:rsid w:val="75D3559B"/>
    <w:rsid w:val="75DC4AB5"/>
    <w:rsid w:val="75EF406B"/>
    <w:rsid w:val="76391AC6"/>
    <w:rsid w:val="765B7C8E"/>
    <w:rsid w:val="7664604C"/>
    <w:rsid w:val="76707B96"/>
    <w:rsid w:val="76726D86"/>
    <w:rsid w:val="768A6FF9"/>
    <w:rsid w:val="768D36C7"/>
    <w:rsid w:val="76985EA2"/>
    <w:rsid w:val="76C3504D"/>
    <w:rsid w:val="76FE5988"/>
    <w:rsid w:val="7702703F"/>
    <w:rsid w:val="770422FE"/>
    <w:rsid w:val="7746449A"/>
    <w:rsid w:val="775546DD"/>
    <w:rsid w:val="777658B4"/>
    <w:rsid w:val="777F291C"/>
    <w:rsid w:val="778C3E77"/>
    <w:rsid w:val="7796215A"/>
    <w:rsid w:val="779807BE"/>
    <w:rsid w:val="77B635DF"/>
    <w:rsid w:val="77E31CE9"/>
    <w:rsid w:val="77FF2507"/>
    <w:rsid w:val="78376C25"/>
    <w:rsid w:val="785B43FB"/>
    <w:rsid w:val="785B7ACE"/>
    <w:rsid w:val="78746DE5"/>
    <w:rsid w:val="789932F4"/>
    <w:rsid w:val="78A72AF0"/>
    <w:rsid w:val="78A8319C"/>
    <w:rsid w:val="78CC620F"/>
    <w:rsid w:val="78FD530C"/>
    <w:rsid w:val="790F6B0E"/>
    <w:rsid w:val="79134850"/>
    <w:rsid w:val="79200163"/>
    <w:rsid w:val="79261AEA"/>
    <w:rsid w:val="79563FBF"/>
    <w:rsid w:val="7956473D"/>
    <w:rsid w:val="798661F3"/>
    <w:rsid w:val="799314ED"/>
    <w:rsid w:val="79DC4F1F"/>
    <w:rsid w:val="79EE2C15"/>
    <w:rsid w:val="7A0E547F"/>
    <w:rsid w:val="7A6C7707"/>
    <w:rsid w:val="7A7206F1"/>
    <w:rsid w:val="7AA46F38"/>
    <w:rsid w:val="7AA82657"/>
    <w:rsid w:val="7B0B0E18"/>
    <w:rsid w:val="7B272F4E"/>
    <w:rsid w:val="7B467F1D"/>
    <w:rsid w:val="7B4F58E7"/>
    <w:rsid w:val="7BA7772C"/>
    <w:rsid w:val="7BB12A63"/>
    <w:rsid w:val="7BFF5BD0"/>
    <w:rsid w:val="7C0924C9"/>
    <w:rsid w:val="7C2C0DFB"/>
    <w:rsid w:val="7C507B69"/>
    <w:rsid w:val="7C711A95"/>
    <w:rsid w:val="7C8D4919"/>
    <w:rsid w:val="7CBA4FE2"/>
    <w:rsid w:val="7CD24A22"/>
    <w:rsid w:val="7CDA3206"/>
    <w:rsid w:val="7D121F1E"/>
    <w:rsid w:val="7D2F777E"/>
    <w:rsid w:val="7D5660EF"/>
    <w:rsid w:val="7D574D28"/>
    <w:rsid w:val="7D5F0561"/>
    <w:rsid w:val="7D60202E"/>
    <w:rsid w:val="7D6458CE"/>
    <w:rsid w:val="7D8555F0"/>
    <w:rsid w:val="7D916095"/>
    <w:rsid w:val="7DB14637"/>
    <w:rsid w:val="7DC51E91"/>
    <w:rsid w:val="7E141A72"/>
    <w:rsid w:val="7E5A0FDB"/>
    <w:rsid w:val="7E703977"/>
    <w:rsid w:val="7E963DC6"/>
    <w:rsid w:val="7E9F454E"/>
    <w:rsid w:val="7EF02F3D"/>
    <w:rsid w:val="7F1B1599"/>
    <w:rsid w:val="7F437511"/>
    <w:rsid w:val="7F5F65D1"/>
    <w:rsid w:val="7F606315"/>
    <w:rsid w:val="7F610509"/>
    <w:rsid w:val="7F6210EB"/>
    <w:rsid w:val="7F8B73C1"/>
    <w:rsid w:val="7F961D37"/>
    <w:rsid w:val="7FAC3308"/>
    <w:rsid w:val="7FC86924"/>
    <w:rsid w:val="7FE874E8"/>
    <w:rsid w:val="EF975718"/>
    <w:rsid w:val="EFEFE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6"/>
    <w:next w:val="7"/>
    <w:link w:val="35"/>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paragraph" w:styleId="8">
    <w:name w:val="Normal Indent"/>
    <w:basedOn w:val="1"/>
    <w:qFormat/>
    <w:uiPriority w:val="0"/>
    <w:pPr>
      <w:ind w:firstLine="420"/>
    </w:pPr>
    <w:rPr>
      <w:szCs w:val="20"/>
    </w:rPr>
  </w:style>
  <w:style w:type="paragraph" w:styleId="9">
    <w:name w:val="Document Map"/>
    <w:basedOn w:val="1"/>
    <w:link w:val="34"/>
    <w:semiHidden/>
    <w:unhideWhenUsed/>
    <w:qFormat/>
    <w:uiPriority w:val="99"/>
    <w:rPr>
      <w:rFonts w:ascii="宋体" w:eastAsia="宋体"/>
      <w:sz w:val="18"/>
      <w:szCs w:val="18"/>
    </w:rPr>
  </w:style>
  <w:style w:type="paragraph" w:styleId="10">
    <w:name w:val="annotation text"/>
    <w:basedOn w:val="1"/>
    <w:link w:val="36"/>
    <w:unhideWhenUsed/>
    <w:qFormat/>
    <w:uiPriority w:val="99"/>
    <w:pPr>
      <w:jc w:val="left"/>
    </w:pPr>
  </w:style>
  <w:style w:type="paragraph" w:styleId="11">
    <w:name w:val="Plain Text"/>
    <w:basedOn w:val="1"/>
    <w:qFormat/>
    <w:uiPriority w:val="0"/>
    <w:rPr>
      <w:rFonts w:ascii="宋体" w:hAnsi="Courier New"/>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line="360" w:lineRule="auto"/>
    </w:pPr>
    <w:rPr>
      <w:sz w:val="24"/>
    </w:rPr>
  </w:style>
  <w:style w:type="paragraph" w:styleId="16">
    <w:name w:val="Normal (Web)"/>
    <w:basedOn w:val="1"/>
    <w:link w:val="31"/>
    <w:qFormat/>
    <w:uiPriority w:val="99"/>
    <w:pPr>
      <w:widowControl/>
      <w:spacing w:before="100" w:beforeAutospacing="1" w:afterAutospacing="1"/>
      <w:jc w:val="left"/>
    </w:pPr>
    <w:rPr>
      <w:rFonts w:ascii="宋体" w:hAnsi="宋体"/>
      <w:sz w:val="24"/>
      <w:szCs w:val="24"/>
    </w:rPr>
  </w:style>
  <w:style w:type="paragraph" w:styleId="17">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8">
    <w:name w:val="annotation subject"/>
    <w:basedOn w:val="10"/>
    <w:next w:val="10"/>
    <w:link w:val="38"/>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5">
    <w:name w:val="Hyperlink"/>
    <w:basedOn w:val="21"/>
    <w:unhideWhenUsed/>
    <w:qFormat/>
    <w:uiPriority w:val="99"/>
    <w:rPr>
      <w:color w:val="0000FF" w:themeColor="hyperlink"/>
      <w:u w:val="single"/>
      <w14:textFill>
        <w14:solidFill>
          <w14:schemeClr w14:val="hlink"/>
        </w14:solidFill>
      </w14:textFill>
    </w:rPr>
  </w:style>
  <w:style w:type="character" w:styleId="26">
    <w:name w:val="annotation reference"/>
    <w:basedOn w:val="21"/>
    <w:semiHidden/>
    <w:unhideWhenUsed/>
    <w:qFormat/>
    <w:uiPriority w:val="99"/>
    <w:rPr>
      <w:sz w:val="21"/>
      <w:szCs w:val="21"/>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character" w:customStyle="1" w:styleId="28">
    <w:name w:val="页眉 字符"/>
    <w:basedOn w:val="21"/>
    <w:link w:val="14"/>
    <w:qFormat/>
    <w:uiPriority w:val="99"/>
    <w:rPr>
      <w:sz w:val="18"/>
      <w:szCs w:val="18"/>
    </w:rPr>
  </w:style>
  <w:style w:type="character" w:customStyle="1" w:styleId="29">
    <w:name w:val="页脚 字符"/>
    <w:basedOn w:val="21"/>
    <w:link w:val="13"/>
    <w:qFormat/>
    <w:uiPriority w:val="99"/>
    <w:rPr>
      <w:sz w:val="18"/>
      <w:szCs w:val="18"/>
    </w:rPr>
  </w:style>
  <w:style w:type="character" w:customStyle="1" w:styleId="30">
    <w:name w:val="批注框文本 字符"/>
    <w:basedOn w:val="21"/>
    <w:link w:val="12"/>
    <w:semiHidden/>
    <w:qFormat/>
    <w:uiPriority w:val="99"/>
    <w:rPr>
      <w:sz w:val="18"/>
      <w:szCs w:val="18"/>
    </w:rPr>
  </w:style>
  <w:style w:type="character" w:customStyle="1" w:styleId="31">
    <w:name w:val="普通(网站) 字符"/>
    <w:link w:val="16"/>
    <w:qFormat/>
    <w:uiPriority w:val="99"/>
    <w:rPr>
      <w:rFonts w:ascii="宋体" w:hAnsi="宋体"/>
      <w:sz w:val="24"/>
      <w:szCs w:val="24"/>
    </w:rPr>
  </w:style>
  <w:style w:type="character" w:customStyle="1" w:styleId="32">
    <w:name w:val="标题 1 字符"/>
    <w:basedOn w:val="21"/>
    <w:link w:val="4"/>
    <w:qFormat/>
    <w:uiPriority w:val="0"/>
    <w:rPr>
      <w:rFonts w:ascii="Arial" w:hAnsi="Arial" w:eastAsia="宋体" w:cs="Times New Roman"/>
      <w:b/>
      <w:bCs/>
      <w:kern w:val="44"/>
      <w:sz w:val="44"/>
      <w:szCs w:val="44"/>
    </w:rPr>
  </w:style>
  <w:style w:type="paragraph" w:styleId="33">
    <w:name w:val="List Paragraph"/>
    <w:basedOn w:val="1"/>
    <w:qFormat/>
    <w:uiPriority w:val="34"/>
    <w:pPr>
      <w:ind w:firstLine="420" w:firstLineChars="200"/>
    </w:pPr>
  </w:style>
  <w:style w:type="character" w:customStyle="1" w:styleId="34">
    <w:name w:val="文档结构图 字符"/>
    <w:basedOn w:val="21"/>
    <w:link w:val="9"/>
    <w:semiHidden/>
    <w:qFormat/>
    <w:uiPriority w:val="99"/>
    <w:rPr>
      <w:rFonts w:ascii="宋体" w:eastAsia="宋体"/>
      <w:sz w:val="18"/>
      <w:szCs w:val="18"/>
    </w:rPr>
  </w:style>
  <w:style w:type="character" w:customStyle="1" w:styleId="35">
    <w:name w:val="标题 2 字符"/>
    <w:basedOn w:val="21"/>
    <w:link w:val="5"/>
    <w:semiHidden/>
    <w:qFormat/>
    <w:uiPriority w:val="9"/>
    <w:rPr>
      <w:rFonts w:asciiTheme="majorHAnsi" w:hAnsiTheme="majorHAnsi" w:eastAsiaTheme="majorEastAsia" w:cstheme="majorBidi"/>
      <w:b/>
      <w:bCs/>
      <w:sz w:val="32"/>
      <w:szCs w:val="32"/>
    </w:rPr>
  </w:style>
  <w:style w:type="character" w:customStyle="1" w:styleId="36">
    <w:name w:val="批注文字 字符"/>
    <w:basedOn w:val="21"/>
    <w:link w:val="10"/>
    <w:qFormat/>
    <w:uiPriority w:val="99"/>
  </w:style>
  <w:style w:type="character" w:customStyle="1" w:styleId="37">
    <w:name w:val="标题 3 Char"/>
    <w:qFormat/>
    <w:uiPriority w:val="0"/>
    <w:rPr>
      <w:rFonts w:ascii="黑体" w:eastAsia="黑体"/>
      <w:bCs/>
      <w:sz w:val="30"/>
    </w:rPr>
  </w:style>
  <w:style w:type="character" w:customStyle="1" w:styleId="38">
    <w:name w:val="批注主题 字符"/>
    <w:basedOn w:val="36"/>
    <w:link w:val="18"/>
    <w:semiHidden/>
    <w:qFormat/>
    <w:uiPriority w:val="99"/>
    <w:rPr>
      <w:b/>
      <w:bCs/>
    </w:rPr>
  </w:style>
  <w:style w:type="table" w:customStyle="1" w:styleId="39">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1">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font21"/>
    <w:basedOn w:val="21"/>
    <w:qFormat/>
    <w:uiPriority w:val="0"/>
    <w:rPr>
      <w:rFonts w:hint="eastAsia" w:ascii="宋体" w:hAnsi="宋体" w:eastAsia="宋体" w:cs="宋体"/>
      <w:color w:val="000000"/>
      <w:sz w:val="22"/>
      <w:szCs w:val="22"/>
      <w:u w:val="none"/>
    </w:rPr>
  </w:style>
  <w:style w:type="character" w:customStyle="1" w:styleId="46">
    <w:name w:val="font31"/>
    <w:basedOn w:val="21"/>
    <w:qFormat/>
    <w:uiPriority w:val="0"/>
    <w:rPr>
      <w:rFonts w:hint="eastAsia" w:ascii="宋体" w:hAnsi="宋体" w:eastAsia="宋体" w:cs="宋体"/>
      <w:color w:val="000000"/>
      <w:sz w:val="22"/>
      <w:szCs w:val="22"/>
      <w:u w:val="none"/>
    </w:rPr>
  </w:style>
  <w:style w:type="character" w:customStyle="1" w:styleId="47">
    <w:name w:val="font51"/>
    <w:basedOn w:val="21"/>
    <w:qFormat/>
    <w:uiPriority w:val="0"/>
    <w:rPr>
      <w:rFonts w:hint="eastAsia" w:ascii="宋体" w:hAnsi="宋体" w:eastAsia="宋体" w:cs="宋体"/>
      <w:color w:val="000000"/>
      <w:sz w:val="21"/>
      <w:szCs w:val="21"/>
      <w:u w:val="none"/>
    </w:rPr>
  </w:style>
  <w:style w:type="character" w:customStyle="1" w:styleId="48">
    <w:name w:val="font61"/>
    <w:basedOn w:val="21"/>
    <w:qFormat/>
    <w:uiPriority w:val="0"/>
    <w:rPr>
      <w:rFonts w:hint="default" w:ascii="Times New Roman" w:hAnsi="Times New Roman" w:cs="Times New Roman"/>
      <w:color w:val="000000"/>
      <w:sz w:val="21"/>
      <w:szCs w:val="21"/>
      <w:u w:val="none"/>
    </w:rPr>
  </w:style>
  <w:style w:type="paragraph" w:customStyle="1" w:styleId="49">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font41"/>
    <w:qFormat/>
    <w:uiPriority w:val="0"/>
    <w:rPr>
      <w:rFonts w:hint="eastAsia" w:ascii="宋体" w:hAnsi="宋体" w:eastAsia="宋体"/>
      <w:color w:val="000000"/>
      <w:kern w:val="2"/>
      <w:sz w:val="18"/>
      <w:u w:val="none"/>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fontstyle01"/>
    <w:basedOn w:val="21"/>
    <w:qFormat/>
    <w:uiPriority w:val="0"/>
    <w:rPr>
      <w:rFonts w:hint="eastAsia" w:ascii="宋体" w:hAnsi="宋体" w:eastAsia="宋体"/>
      <w:color w:val="000000"/>
      <w:sz w:val="22"/>
      <w:szCs w:val="22"/>
    </w:rPr>
  </w:style>
  <w:style w:type="character" w:customStyle="1" w:styleId="53">
    <w:name w:val="font81"/>
    <w:basedOn w:val="21"/>
    <w:qFormat/>
    <w:uiPriority w:val="0"/>
    <w:rPr>
      <w:rFonts w:hint="default" w:ascii="Arial" w:hAnsi="Arial" w:cs="Arial"/>
      <w:color w:val="000000"/>
      <w:sz w:val="21"/>
      <w:szCs w:val="21"/>
      <w:u w:val="none"/>
    </w:rPr>
  </w:style>
  <w:style w:type="paragraph" w:customStyle="1" w:styleId="5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5">
    <w:name w:val="表格小五F4"/>
    <w:basedOn w:val="56"/>
    <w:qFormat/>
    <w:uiPriority w:val="0"/>
    <w:rPr>
      <w:sz w:val="18"/>
    </w:rPr>
  </w:style>
  <w:style w:type="paragraph" w:customStyle="1" w:styleId="56">
    <w:name w:val="表格F2"/>
    <w:qFormat/>
    <w:uiPriority w:val="0"/>
    <w:pPr>
      <w:jc w:val="center"/>
    </w:pPr>
    <w:rPr>
      <w:rFonts w:ascii="Times New Roman" w:hAnsi="Times New Roman" w:eastAsia="楷体" w:cs="Times New Roman"/>
      <w:sz w:val="24"/>
      <w:szCs w:val="22"/>
      <w:lang w:val="en-US" w:eastAsia="zh-CN" w:bidi="ar-SA"/>
    </w:rPr>
  </w:style>
  <w:style w:type="character" w:customStyle="1" w:styleId="57">
    <w:name w:val="font1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67</Pages>
  <Words>5384</Words>
  <Characters>5678</Characters>
  <Lines>2232</Lines>
  <Paragraphs>2179</Paragraphs>
  <TotalTime>2</TotalTime>
  <ScaleCrop>false</ScaleCrop>
  <LinksUpToDate>false</LinksUpToDate>
  <CharactersWithSpaces>5698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2024-07-19T16:53:00Z</dcterms:created>
  <dc:creator>win7-1</dc:creator>
  <cp:lastModifiedBy>DELL</cp:lastModifiedBy>
  <cp:lastPrinted>2021-01-16T09:17:00Z</cp:lastPrinted>
  <dcterms:modified xsi:type="dcterms:W3CDTF">2025-11-26T03:26:40Z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C758D35B5D0943C093D70F27B250508E_13</vt:lpwstr>
  </property>
  <property fmtid="{D5CDD505-2E9C-101B-9397-08002B2CF9AE}" pid="4" name="KSOTemplateDocerSaveRecord">
    <vt:lpwstr>eyJoZGlkIjoiMzJlOGQzMjM3YTk0NDg5NjcwOTEyM2E0N2Y0ZTQ4OTIiLCJ1c2VySWQiOiIzMzY3MjY4MTYifQ==</vt:lpwstr>
  </property>
</Properties>
</file>