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54" w:firstLineChars="1300"/>
        <w:rPr>
          <w:rFonts w:hint="eastAsia" w:ascii="宋体" w:hAnsi="宋体"/>
          <w:color w:val="FF0000"/>
          <w:szCs w:val="21"/>
        </w:rPr>
      </w:pPr>
      <w:r>
        <w:rPr>
          <w:rFonts w:hint="eastAsia" w:ascii="宋体" w:hAnsi="宋体" w:eastAsia="黑体"/>
          <w:b/>
          <w:bCs/>
          <w:color w:val="FF0000"/>
          <w:kern w:val="44"/>
          <w:sz w:val="28"/>
          <w:szCs w:val="44"/>
        </w:rPr>
        <w:t>特别警示条款</w:t>
      </w:r>
    </w:p>
    <w:p>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hint="eastAsia" w:ascii="宋体" w:hAnsi="宋体" w:eastAsia="宋体" w:cs="宋体"/>
          <w:b/>
          <w:bCs/>
          <w:color w:val="FF0000"/>
          <w:szCs w:val="21"/>
          <w:highlight w:val="yellow"/>
        </w:rPr>
      </w:pPr>
      <w:r>
        <w:rPr>
          <w:rFonts w:hint="eastAsia" w:ascii="宋体" w:hAnsi="宋体" w:eastAsia="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序号</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b/>
                <w:bCs/>
                <w:color w:val="FF0000"/>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1</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与其他投标供应商的法定代表人、主要经营负责人、投标授权代表人、项目负责人、主要技术人员为</w:t>
            </w:r>
            <w:r>
              <w:rPr>
                <w:rFonts w:hint="eastAsia" w:ascii="宋体" w:hAnsi="宋体" w:eastAsia="宋体" w:cs="宋体"/>
                <w:b/>
                <w:bCs/>
                <w:color w:val="FF0000"/>
                <w:szCs w:val="21"/>
              </w:rPr>
              <w:t>同一人、属同一单位或者在同一单位缴纳社会保险</w:t>
            </w:r>
            <w:r>
              <w:rPr>
                <w:rFonts w:hint="eastAsia" w:ascii="宋体" w:hAnsi="宋体" w:eastAsia="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2</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参与本项目政府采购活动时，与其他投标供应商存在单位负责人为</w:t>
            </w:r>
            <w:r>
              <w:rPr>
                <w:rFonts w:hint="eastAsia" w:ascii="宋体" w:hAnsi="宋体" w:eastAsia="宋体" w:cs="宋体"/>
                <w:b/>
                <w:bCs/>
                <w:color w:val="FF0000"/>
                <w:szCs w:val="21"/>
              </w:rPr>
              <w:t>同一人或直接控股、管理关系</w:t>
            </w:r>
            <w:r>
              <w:rPr>
                <w:rFonts w:hint="eastAsia" w:ascii="宋体" w:hAnsi="宋体" w:eastAsia="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3</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与其他投标供应商的投标文件或部分投标文件</w:t>
            </w:r>
            <w:r>
              <w:rPr>
                <w:rFonts w:hint="eastAsia" w:ascii="宋体" w:hAnsi="宋体" w:eastAsia="宋体" w:cs="宋体"/>
                <w:b/>
                <w:bCs/>
                <w:color w:val="FF0000"/>
                <w:szCs w:val="21"/>
              </w:rPr>
              <w:t>相互混装或存在非正常一致</w:t>
            </w:r>
            <w:r>
              <w:rPr>
                <w:rFonts w:hint="eastAsia" w:ascii="宋体" w:hAnsi="宋体" w:eastAsia="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4</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与其他投标供应商的投标文件由</w:t>
            </w:r>
            <w:r>
              <w:rPr>
                <w:rFonts w:hint="eastAsia" w:ascii="宋体" w:hAnsi="宋体" w:eastAsia="宋体" w:cs="宋体"/>
                <w:b/>
                <w:bCs/>
                <w:color w:val="FF0000"/>
                <w:szCs w:val="21"/>
              </w:rPr>
              <w:t>同一单位或者同一人编制</w:t>
            </w:r>
            <w:r>
              <w:rPr>
                <w:rFonts w:hint="eastAsia" w:ascii="宋体" w:hAnsi="宋体" w:eastAsia="宋体" w:cs="宋体"/>
                <w:color w:val="FF0000"/>
                <w:szCs w:val="21"/>
              </w:rPr>
              <w:t>，或者使用</w:t>
            </w:r>
            <w:r>
              <w:rPr>
                <w:rFonts w:hint="eastAsia" w:ascii="宋体" w:hAnsi="宋体" w:eastAsia="宋体" w:cs="宋体"/>
                <w:b/>
                <w:bCs/>
                <w:color w:val="FF0000"/>
                <w:szCs w:val="21"/>
              </w:rPr>
              <w:t>同一设备编制</w:t>
            </w:r>
            <w:r>
              <w:rPr>
                <w:rFonts w:hint="eastAsia" w:ascii="宋体" w:hAnsi="宋体" w:eastAsia="宋体" w:cs="宋体"/>
                <w:color w:val="FF0000"/>
                <w:szCs w:val="21"/>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5</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提供</w:t>
            </w:r>
            <w:r>
              <w:rPr>
                <w:rFonts w:hint="eastAsia" w:ascii="宋体" w:hAnsi="宋体" w:eastAsia="宋体" w:cs="宋体"/>
                <w:b/>
                <w:bCs/>
                <w:color w:val="FF0000"/>
                <w:szCs w:val="21"/>
              </w:rPr>
              <w:t>未经出具机构核实</w:t>
            </w:r>
            <w:r>
              <w:rPr>
                <w:rFonts w:hint="eastAsia" w:ascii="宋体" w:hAnsi="宋体" w:eastAsia="宋体" w:cs="宋体"/>
                <w:color w:val="FF0000"/>
                <w:szCs w:val="21"/>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6</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擅自将投标密钥或电子营业执照出借他人使用或未妥善保管。</w:t>
            </w:r>
          </w:p>
        </w:tc>
      </w:tr>
    </w:tbl>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w:t>
      </w:r>
      <w:r>
        <w:rPr>
          <w:rFonts w:hint="eastAsia" w:ascii="Times New Roman" w:eastAsia="宋体"/>
          <w:bCs/>
          <w:color w:val="FF0000"/>
          <w:sz w:val="20"/>
          <w:szCs w:val="20"/>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ascii="Times New Roman" w:eastAsia="宋体"/>
          <w:bCs/>
          <w:color w:val="FF0000"/>
          <w:sz w:val="20"/>
          <w:szCs w:val="20"/>
        </w:rPr>
        <w:t>为避免出现不同供应商投标文件的文件制作机器码、文件创建标识码、IP地址一致的异常情况，建议各供应商编制、上传投标文件时不要使用公共电脑设备或公共网络。</w:t>
      </w:r>
    </w:p>
    <w:p>
      <w:pPr>
        <w:pBdr>
          <w:top w:val="none" w:color="auto" w:sz="0" w:space="1"/>
          <w:left w:val="none" w:color="auto" w:sz="0" w:space="4"/>
          <w:bottom w:val="none" w:color="auto" w:sz="0" w:space="1"/>
          <w:right w:val="none" w:color="auto" w:sz="0" w:space="4"/>
        </w:pBdr>
        <w:ind w:firstLine="400" w:firstLineChars="200"/>
        <w:rPr>
          <w:rFonts w:ascii="Times New Roman" w:eastAsia="宋体"/>
          <w:bCs/>
          <w:color w:val="FF0000"/>
          <w:sz w:val="20"/>
          <w:szCs w:val="20"/>
        </w:rPr>
      </w:pPr>
      <w:r>
        <w:rPr>
          <w:rFonts w:hint="eastAsia" w:ascii="Times New Roman" w:eastAsia="宋体"/>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ascii="Times New Roman" w:eastAsia="宋体"/>
          <w:bCs/>
          <w:color w:val="FF0000"/>
          <w:sz w:val="20"/>
          <w:szCs w:val="20"/>
        </w:rPr>
        <w:t>，请各供应商独立编制、上传投标文件，妥善保管和使用电子秘钥。</w:t>
      </w:r>
    </w:p>
    <w:p>
      <w:pPr>
        <w:pBdr>
          <w:top w:val="none" w:color="auto" w:sz="0" w:space="1"/>
          <w:left w:val="none" w:color="auto" w:sz="0" w:space="4"/>
          <w:bottom w:val="none" w:color="auto" w:sz="0" w:space="1"/>
          <w:right w:val="none" w:color="auto" w:sz="0" w:space="4"/>
        </w:pBdr>
        <w:ind w:firstLine="422" w:firstLineChars="200"/>
      </w:pPr>
      <w:r>
        <w:rPr>
          <w:rFonts w:hint="eastAsia" w:ascii="Times New Roman" w:eastAsia="宋体"/>
          <w:b/>
          <w:color w:val="FF0000"/>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pStyle w:val="51"/>
        <w:pBdr>
          <w:top w:val="none" w:color="auto" w:sz="0" w:space="1"/>
          <w:left w:val="none" w:color="auto" w:sz="0" w:space="4"/>
          <w:bottom w:val="none" w:color="auto" w:sz="0" w:space="1"/>
          <w:right w:val="none" w:color="auto" w:sz="0" w:space="4"/>
        </w:pBdr>
        <w:rPr>
          <w:bCs/>
          <w:color w:val="FF0000"/>
          <w:sz w:val="20"/>
          <w:szCs w:val="20"/>
        </w:rPr>
      </w:pPr>
    </w:p>
    <w:p>
      <w:pPr>
        <w:pStyle w:val="16"/>
        <w:pBdr>
          <w:top w:val="none" w:color="auto" w:sz="0" w:space="1"/>
          <w:left w:val="none" w:color="auto" w:sz="0" w:space="4"/>
          <w:bottom w:val="none" w:color="auto" w:sz="0" w:space="1"/>
          <w:right w:val="none" w:color="auto" w:sz="0" w:space="4"/>
        </w:pBdr>
        <w:jc w:val="both"/>
        <w:outlineLvl w:val="1"/>
        <w:rPr>
          <w:rFonts w:hint="eastAsia" w:ascii="黑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sz w:val="21"/>
        </w:rPr>
        <w:t>注：“特别警示条款”和《政府采购违法行为风险知悉确认书》用于对供应商违法行为的提醒，不作为供应商资格性审查及符合性审查条件。</w:t>
      </w:r>
    </w:p>
    <w:p>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8"/>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pPr>
              <w:spacing w:line="29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 xml:space="preserve"> LHAZXCG-2025-00114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深圳市龙华外国语高级中学校园门禁通行考勤管理设备采购项目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综合评分法</w:t>
            </w:r>
          </w:p>
        </w:tc>
      </w:tr>
    </w:tbl>
    <w:p>
      <w:pPr>
        <w:tabs>
          <w:tab w:val="left" w:pos="2790"/>
        </w:tabs>
        <w:snapToGrid w:val="0"/>
        <w:spacing w:line="440" w:lineRule="exact"/>
        <w:jc w:val="left"/>
        <w:rPr>
          <w:rFonts w:hint="eastAsia" w:asciiTheme="minorEastAsia" w:hAnsiTheme="minorEastAsia"/>
          <w:sz w:val="30"/>
          <w:szCs w:val="30"/>
        </w:rPr>
      </w:pPr>
    </w:p>
    <w:p>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8"/>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tabs>
          <w:tab w:val="left" w:pos="2790"/>
        </w:tabs>
        <w:snapToGrid w:val="0"/>
        <w:jc w:val="center"/>
        <w:rPr>
          <w:rFonts w:hint="eastAsia" w:ascii="黑体" w:hAnsi="黑体" w:eastAsia="黑体" w:cs="Times New Roman"/>
          <w:sz w:val="40"/>
          <w:szCs w:val="40"/>
        </w:rPr>
      </w:pPr>
    </w:p>
    <w:p>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8"/>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tcPr>
          <w:p>
            <w:r>
              <w:rPr>
                <w:rFonts w:hint="eastAsia"/>
              </w:rPr>
              <w:t>采购标的/服务</w:t>
            </w:r>
            <w:r>
              <w:rPr>
                <w:rFonts w:hint="eastAsia" w:ascii="Times New Roman" w:eastAsia="宋体"/>
              </w:rPr>
              <w:t>清单</w:t>
            </w:r>
            <w:r>
              <w:rPr>
                <w:rFonts w:hint="eastAsia"/>
              </w:rPr>
              <w:t>/报价等任意一类</w:t>
            </w:r>
            <w:r>
              <w:rPr>
                <w:rFonts w:hint="eastAsia" w:ascii="Times New Roman" w:eastAsia="宋体"/>
              </w:rPr>
              <w:t>有缺漏项或响应不全</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szCs w:val="24"/>
              </w:rPr>
            </w:pPr>
            <w:r>
              <w:rPr>
                <w:rFonts w:hint="eastAsia" w:ascii="Times New Roman" w:hAnsi="Times New Roman" w:eastAsia="宋体" w:cs="Times New Roman"/>
                <w:szCs w:val="24"/>
              </w:rPr>
              <w:t>不同投标供应商投标文件“文件制作机器码”一致；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szCs w:val="24"/>
              </w:rPr>
            </w:pPr>
            <w:r>
              <w:rPr>
                <w:rFonts w:hint="eastAsia" w:ascii="Times New Roman" w:hAnsi="Times New Roman" w:eastAsia="宋体" w:cs="Times New Roman"/>
                <w:szCs w:val="24"/>
              </w:rPr>
              <w:t>不同投标供应商投标文件“文件创建标识码”一致；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法律、法规、规章、规范性文件规定的其他情形。</w:t>
            </w:r>
          </w:p>
        </w:tc>
      </w:tr>
    </w:tbl>
    <w:p>
      <w:pPr>
        <w:tabs>
          <w:tab w:val="left" w:pos="2790"/>
        </w:tabs>
        <w:snapToGrid w:val="0"/>
        <w:jc w:val="left"/>
        <w:rPr>
          <w:sz w:val="24"/>
          <w:szCs w:val="24"/>
        </w:rPr>
      </w:pPr>
    </w:p>
    <w:p>
      <w:pPr>
        <w:tabs>
          <w:tab w:val="left" w:pos="2790"/>
        </w:tabs>
        <w:snapToGrid w:val="0"/>
        <w:jc w:val="left"/>
        <w:rPr>
          <w:sz w:val="24"/>
          <w:szCs w:val="24"/>
        </w:rPr>
      </w:pPr>
    </w:p>
    <w:p>
      <w:pPr>
        <w:tabs>
          <w:tab w:val="left" w:pos="2790"/>
        </w:tabs>
        <w:snapToGrid w:val="0"/>
        <w:jc w:val="left"/>
        <w:rPr>
          <w:sz w:val="24"/>
          <w:szCs w:val="24"/>
        </w:rPr>
      </w:pPr>
    </w:p>
    <w:p>
      <w:pPr>
        <w:tabs>
          <w:tab w:val="left" w:pos="2790"/>
        </w:tabs>
        <w:snapToGrid w:val="0"/>
        <w:jc w:val="left"/>
        <w:rPr>
          <w:sz w:val="24"/>
          <w:szCs w:val="24"/>
        </w:rPr>
      </w:pPr>
    </w:p>
    <w:p>
      <w:pPr>
        <w:pStyle w:val="16"/>
        <w:jc w:val="center"/>
        <w:outlineLvl w:val="0"/>
        <w:rPr>
          <w:rFonts w:hint="eastAsia" w:ascii="黑体" w:eastAsia="黑体"/>
          <w:sz w:val="40"/>
          <w:szCs w:val="40"/>
        </w:rPr>
      </w:pPr>
      <w:r>
        <w:rPr>
          <w:rFonts w:hint="eastAsia" w:ascii="黑体" w:hAnsi="黑体" w:eastAsia="黑体"/>
          <w:sz w:val="40"/>
          <w:szCs w:val="40"/>
        </w:rPr>
        <w:t>评标信息</w:t>
      </w:r>
    </w:p>
    <w:tbl>
      <w:tblPr>
        <w:tblStyle w:val="18"/>
        <w:tblW w:w="9224"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3"/>
        <w:gridCol w:w="353"/>
        <w:gridCol w:w="485"/>
        <w:gridCol w:w="1473"/>
        <w:gridCol w:w="979"/>
        <w:gridCol w:w="5768"/>
        <w:gridCol w:w="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83" w:type="dxa"/>
          <w:tblCellSpacing w:w="0" w:type="dxa"/>
          <w:jc w:val="center"/>
        </w:trPr>
        <w:tc>
          <w:tcPr>
            <w:tcW w:w="9141" w:type="dxa"/>
            <w:gridSpan w:val="6"/>
            <w:shd w:val="clear" w:color="auto" w:fill="auto"/>
            <w:vAlign w:val="center"/>
          </w:tcPr>
          <w:p>
            <w:pPr>
              <w:jc w:val="left"/>
              <w:rPr>
                <w:rFonts w:ascii="宋体"/>
                <w:b/>
                <w:bCs/>
                <w:sz w:val="24"/>
              </w:rPr>
            </w:pPr>
            <w:r>
              <w:rPr>
                <w:b/>
                <w:bCs/>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83" w:type="dxa"/>
          <w:tblCellSpacing w:w="0" w:type="dxa"/>
          <w:jc w:val="center"/>
        </w:trPr>
        <w:tc>
          <w:tcPr>
            <w:tcW w:w="9141" w:type="dxa"/>
            <w:gridSpan w:val="6"/>
            <w:shd w:val="clear" w:color="auto" w:fill="auto"/>
            <w:vAlign w:val="center"/>
          </w:tcPr>
          <w:p>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pPr>
              <w:ind w:firstLine="420"/>
            </w:pPr>
          </w:p>
          <w:p>
            <w:pPr>
              <w:ind w:firstLine="420"/>
              <w:rPr>
                <w:szCs w:val="21"/>
              </w:rPr>
            </w:pPr>
            <w:r>
              <w:rPr>
                <w:szCs w:val="21"/>
              </w:rPr>
              <w:t>价格分计算方法：</w:t>
            </w:r>
          </w:p>
          <w:p>
            <w:pPr>
              <w:pStyle w:val="16"/>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pPr>
              <w:pStyle w:val="16"/>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b/>
                <w:bCs/>
                <w:szCs w:val="21"/>
              </w:rPr>
            </w:pPr>
            <w:r>
              <w:rPr>
                <w:rFonts w:hint="eastAsia" w:ascii="宋体" w:hAnsi="宋体" w:cs="宋体"/>
                <w:b/>
                <w:bCs/>
                <w:szCs w:val="21"/>
              </w:rPr>
              <w:t>序号</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b/>
                <w:bCs/>
                <w:szCs w:val="21"/>
              </w:rPr>
            </w:pPr>
            <w:r>
              <w:rPr>
                <w:rFonts w:hint="eastAsia" w:ascii="宋体" w:hAnsi="宋体" w:cs="宋体"/>
                <w:b/>
                <w:bCs/>
                <w:szCs w:val="21"/>
              </w:rPr>
              <w:t>评分项</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b/>
                <w:bCs/>
                <w:szCs w:val="21"/>
              </w:rPr>
            </w:pPr>
            <w:r>
              <w:rPr>
                <w:rFonts w:hint="eastAsia" w:ascii="宋体" w:hAnsi="宋体" w:cs="宋体"/>
                <w:b/>
                <w:bCs/>
                <w:szCs w:val="21"/>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1</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ascii="宋体" w:hAnsi="宋体" w:cs="宋体"/>
                <w:b/>
                <w:bCs/>
                <w:szCs w:val="21"/>
              </w:rPr>
            </w:pPr>
            <w:r>
              <w:rPr>
                <w:rFonts w:hint="eastAsia" w:ascii="宋体" w:hAnsi="宋体" w:cs="宋体"/>
                <w:b/>
                <w:bCs/>
                <w:szCs w:val="21"/>
              </w:rPr>
              <w:t>价格</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ascii="宋体" w:hAnsi="宋体" w:cs="宋体"/>
                <w:b/>
                <w:bCs/>
                <w:szCs w:val="21"/>
              </w:rPr>
            </w:pPr>
            <w:r>
              <w:rPr>
                <w:rFonts w:hint="eastAsia" w:ascii="宋体" w:hAnsi="宋体" w:cs="宋体"/>
                <w:b/>
                <w:bCs/>
                <w:szCs w:val="21"/>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2</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ascii="宋体" w:hAnsi="宋体" w:cs="宋体"/>
                <w:b/>
                <w:bCs/>
                <w:szCs w:val="21"/>
              </w:rPr>
            </w:pPr>
            <w:r>
              <w:rPr>
                <w:rFonts w:hint="eastAsia" w:ascii="宋体" w:hAnsi="宋体" w:cs="宋体"/>
                <w:b/>
                <w:bCs/>
                <w:szCs w:val="21"/>
              </w:rPr>
              <w:t>技术部分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hint="default" w:ascii="宋体" w:hAnsi="宋体" w:cs="宋体" w:eastAsiaTheme="minorEastAsia"/>
                <w:b/>
                <w:bCs/>
                <w:szCs w:val="21"/>
                <w:lang w:val="en-US" w:eastAsia="zh-CN"/>
              </w:rPr>
            </w:pPr>
            <w:r>
              <w:rPr>
                <w:rFonts w:hint="eastAsia" w:ascii="宋体" w:hAnsi="宋体" w:cs="宋体"/>
                <w:b/>
                <w:bCs/>
                <w:szCs w:val="21"/>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序号</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评分因素</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240" w:lineRule="exact"/>
              <w:jc w:val="center"/>
              <w:rPr>
                <w:rFonts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s="宋体"/>
                <w:szCs w:val="21"/>
              </w:rPr>
            </w:pPr>
            <w:r>
              <w:rPr>
                <w:rFonts w:ascii="宋体" w:hAnsi="宋体"/>
                <w:szCs w:val="21"/>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技术保障措施</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cstheme="minorEastAsia"/>
                <w:sz w:val="21"/>
                <w:szCs w:val="21"/>
                <w:lang w:val="en-US" w:eastAsia="zh-CN"/>
              </w:rPr>
              <w:t>10</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考察内容：</w:t>
            </w:r>
          </w:p>
          <w:p>
            <w:pPr>
              <w:keepNext w:val="0"/>
              <w:keepLines w:val="0"/>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投标人提供的</w:t>
            </w:r>
            <w:r>
              <w:rPr>
                <w:rFonts w:hint="eastAsia" w:asciiTheme="minorEastAsia" w:hAnsiTheme="minorEastAsia" w:eastAsiaTheme="minorEastAsia" w:cstheme="minorEastAsia"/>
                <w:kern w:val="0"/>
                <w:szCs w:val="21"/>
                <w:lang w:val="en-US" w:eastAsia="zh-CN"/>
              </w:rPr>
              <w:t>施工组织</w:t>
            </w:r>
            <w:r>
              <w:rPr>
                <w:rFonts w:hint="eastAsia" w:asciiTheme="minorEastAsia" w:hAnsiTheme="minorEastAsia" w:eastAsiaTheme="minorEastAsia" w:cstheme="minorEastAsia"/>
                <w:kern w:val="0"/>
                <w:szCs w:val="21"/>
              </w:rPr>
              <w:t>方案</w:t>
            </w:r>
            <w:r>
              <w:rPr>
                <w:rFonts w:hint="eastAsia" w:asciiTheme="minorEastAsia" w:hAnsiTheme="minorEastAsia" w:eastAsiaTheme="minorEastAsia" w:cstheme="minorEastAsia"/>
                <w:b w:val="0"/>
                <w:bCs w:val="0"/>
                <w:szCs w:val="21"/>
              </w:rPr>
              <w:t>方案中包括：</w:t>
            </w:r>
          </w:p>
          <w:p>
            <w:pPr>
              <w:keepNext w:val="0"/>
              <w:keepLines w:val="0"/>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（1）项目</w:t>
            </w:r>
            <w:r>
              <w:rPr>
                <w:rFonts w:hint="eastAsia" w:asciiTheme="minorEastAsia" w:hAnsiTheme="minorEastAsia" w:eastAsiaTheme="minorEastAsia" w:cstheme="minorEastAsia"/>
                <w:b w:val="0"/>
                <w:bCs w:val="0"/>
                <w:szCs w:val="21"/>
                <w:lang w:val="en-US" w:eastAsia="zh-CN"/>
              </w:rPr>
              <w:t>项目</w:t>
            </w:r>
            <w:r>
              <w:rPr>
                <w:rFonts w:hint="eastAsia" w:asciiTheme="minorEastAsia" w:hAnsiTheme="minorEastAsia" w:eastAsiaTheme="minorEastAsia" w:cstheme="minorEastAsia"/>
                <w:b w:val="0"/>
                <w:bCs w:val="0"/>
                <w:szCs w:val="21"/>
              </w:rPr>
              <w:t>组织方案；</w:t>
            </w:r>
          </w:p>
          <w:p>
            <w:pPr>
              <w:keepNext w:val="0"/>
              <w:keepLines w:val="0"/>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（2）项目分项设计方案；</w:t>
            </w:r>
          </w:p>
          <w:p>
            <w:pPr>
              <w:keepNext w:val="0"/>
              <w:keepLines w:val="0"/>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（3）</w:t>
            </w:r>
            <w:r>
              <w:rPr>
                <w:rFonts w:hint="eastAsia" w:asciiTheme="minorEastAsia" w:hAnsiTheme="minorEastAsia" w:eastAsiaTheme="minorEastAsia" w:cstheme="minorEastAsia"/>
                <w:b w:val="0"/>
                <w:bCs w:val="0"/>
                <w:szCs w:val="21"/>
                <w:lang w:val="en-US" w:eastAsia="zh-CN"/>
              </w:rPr>
              <w:t>项目</w:t>
            </w:r>
            <w:r>
              <w:rPr>
                <w:rFonts w:hint="eastAsia" w:asciiTheme="minorEastAsia" w:hAnsiTheme="minorEastAsia" w:eastAsiaTheme="minorEastAsia" w:cstheme="minorEastAsia"/>
                <w:b w:val="0"/>
                <w:bCs w:val="0"/>
                <w:szCs w:val="21"/>
              </w:rPr>
              <w:t>工期保证措施；</w:t>
            </w:r>
          </w:p>
          <w:p>
            <w:pPr>
              <w:keepNext w:val="0"/>
              <w:keepLines w:val="0"/>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（4）</w:t>
            </w:r>
            <w:r>
              <w:rPr>
                <w:rFonts w:hint="eastAsia" w:asciiTheme="minorEastAsia" w:hAnsiTheme="minorEastAsia" w:eastAsiaTheme="minorEastAsia" w:cstheme="minorEastAsia"/>
                <w:b w:val="0"/>
                <w:bCs w:val="0"/>
                <w:szCs w:val="21"/>
                <w:lang w:val="en-US" w:eastAsia="zh-CN"/>
              </w:rPr>
              <w:t>项目</w:t>
            </w:r>
            <w:r>
              <w:rPr>
                <w:rFonts w:hint="eastAsia" w:asciiTheme="minorEastAsia" w:hAnsiTheme="minorEastAsia" w:eastAsiaTheme="minorEastAsia" w:cstheme="minorEastAsia"/>
                <w:b w:val="0"/>
                <w:bCs w:val="0"/>
                <w:szCs w:val="21"/>
              </w:rPr>
              <w:t>质量保证及安全文明</w:t>
            </w:r>
            <w:r>
              <w:rPr>
                <w:rFonts w:hint="eastAsia" w:asciiTheme="minorEastAsia" w:hAnsiTheme="minorEastAsia" w:eastAsiaTheme="minorEastAsia" w:cstheme="minorEastAsia"/>
                <w:b w:val="0"/>
                <w:bCs w:val="0"/>
                <w:szCs w:val="21"/>
                <w:lang w:val="en-US" w:eastAsia="zh-CN"/>
              </w:rPr>
              <w:t>保障</w:t>
            </w:r>
            <w:r>
              <w:rPr>
                <w:rFonts w:hint="eastAsia" w:asciiTheme="minorEastAsia" w:hAnsiTheme="minorEastAsia" w:eastAsiaTheme="minorEastAsia" w:cstheme="minorEastAsia"/>
                <w:b w:val="0"/>
                <w:bCs w:val="0"/>
                <w:szCs w:val="21"/>
              </w:rPr>
              <w:t>措施；</w:t>
            </w:r>
          </w:p>
          <w:p>
            <w:pPr>
              <w:keepNext w:val="0"/>
              <w:keepLines w:val="0"/>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（5）服务组织机构设置（含人员安排、车辆工具配置、备品备件配置等）。</w:t>
            </w:r>
          </w:p>
          <w:p>
            <w:pPr>
              <w:keepNext w:val="0"/>
              <w:keepLines w:val="0"/>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评审标准：</w:t>
            </w:r>
          </w:p>
          <w:p>
            <w:pPr>
              <w:keepNext w:val="0"/>
              <w:keepLines w:val="0"/>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评审委员会根据招标文件的需求和投标文件的响应情况，进行评价及分档评分： </w:t>
            </w:r>
          </w:p>
          <w:p>
            <w:pPr>
              <w:keepNext w:val="0"/>
              <w:keepLines w:val="0"/>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1、满足5点得</w:t>
            </w:r>
            <w:r>
              <w:rPr>
                <w:rFonts w:hint="eastAsia" w:asciiTheme="minorEastAsia" w:hAnsiTheme="minorEastAsia" w:eastAsiaTheme="minorEastAsia" w:cstheme="minorEastAsia"/>
                <w:b w:val="0"/>
                <w:bCs w:val="0"/>
                <w:szCs w:val="21"/>
                <w:lang w:val="en-US" w:eastAsia="zh-CN"/>
              </w:rPr>
              <w:t>50</w:t>
            </w:r>
            <w:r>
              <w:rPr>
                <w:rFonts w:hint="eastAsia" w:asciiTheme="minorEastAsia" w:hAnsiTheme="minorEastAsia" w:eastAsiaTheme="minorEastAsia" w:cstheme="minorEastAsia"/>
                <w:b w:val="0"/>
                <w:bCs w:val="0"/>
                <w:szCs w:val="21"/>
              </w:rPr>
              <w:t>分；</w:t>
            </w:r>
          </w:p>
          <w:p>
            <w:pPr>
              <w:keepNext w:val="0"/>
              <w:keepLines w:val="0"/>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2、满足任意4点得</w:t>
            </w:r>
            <w:r>
              <w:rPr>
                <w:rFonts w:hint="eastAsia" w:asciiTheme="minorEastAsia" w:hAnsiTheme="minorEastAsia" w:eastAsiaTheme="minorEastAsia" w:cstheme="minorEastAsia"/>
                <w:b w:val="0"/>
                <w:bCs w:val="0"/>
                <w:szCs w:val="21"/>
                <w:lang w:val="en-US" w:eastAsia="zh-CN"/>
              </w:rPr>
              <w:t>25</w:t>
            </w:r>
            <w:r>
              <w:rPr>
                <w:rFonts w:hint="eastAsia" w:asciiTheme="minorEastAsia" w:hAnsiTheme="minorEastAsia" w:eastAsiaTheme="minorEastAsia" w:cstheme="minorEastAsia"/>
                <w:b w:val="0"/>
                <w:bCs w:val="0"/>
                <w:szCs w:val="21"/>
              </w:rPr>
              <w:t>分；</w:t>
            </w:r>
          </w:p>
          <w:p>
            <w:pPr>
              <w:keepNext w:val="0"/>
              <w:keepLines w:val="0"/>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3、满足任意3点得</w:t>
            </w:r>
            <w:r>
              <w:rPr>
                <w:rFonts w:hint="eastAsia" w:asciiTheme="minorEastAsia" w:hAnsiTheme="minorEastAsia" w:eastAsiaTheme="minorEastAsia" w:cstheme="minorEastAsia"/>
                <w:b w:val="0"/>
                <w:bCs w:val="0"/>
                <w:szCs w:val="21"/>
                <w:lang w:val="en-US" w:eastAsia="zh-CN"/>
              </w:rPr>
              <w:t>10</w:t>
            </w:r>
            <w:r>
              <w:rPr>
                <w:rFonts w:hint="eastAsia" w:asciiTheme="minorEastAsia" w:hAnsiTheme="minorEastAsia" w:eastAsiaTheme="minorEastAsia" w:cstheme="minorEastAsia"/>
                <w:b w:val="0"/>
                <w:bCs w:val="0"/>
                <w:szCs w:val="21"/>
              </w:rPr>
              <w:t>分；</w:t>
            </w:r>
          </w:p>
          <w:p>
            <w:pPr>
              <w:keepNext w:val="0"/>
              <w:keepLines w:val="0"/>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4、其他情况不得分。</w:t>
            </w:r>
          </w:p>
          <w:p>
            <w:pPr>
              <w:keepNext w:val="0"/>
              <w:keepLines w:val="0"/>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在此基础上，专家根据各投标人的具体响应内容按照量化的评审因素指标进一步评审：</w:t>
            </w:r>
          </w:p>
          <w:p>
            <w:pPr>
              <w:keepNext w:val="0"/>
              <w:keepLines w:val="0"/>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（1）评审为优（如项目实施方案完善，工作内容和安排考虑周到，流程合理，可行性高）的加</w:t>
            </w:r>
            <w:r>
              <w:rPr>
                <w:rFonts w:hint="eastAsia" w:asciiTheme="minorEastAsia" w:hAnsiTheme="minorEastAsia" w:eastAsiaTheme="minorEastAsia" w:cstheme="minorEastAsia"/>
                <w:b w:val="0"/>
                <w:bCs w:val="0"/>
                <w:szCs w:val="21"/>
                <w:lang w:val="en-US" w:eastAsia="zh-CN"/>
              </w:rPr>
              <w:t>50</w:t>
            </w:r>
            <w:r>
              <w:rPr>
                <w:rFonts w:hint="eastAsia" w:asciiTheme="minorEastAsia" w:hAnsiTheme="minorEastAsia" w:eastAsiaTheme="minorEastAsia" w:cstheme="minorEastAsia"/>
                <w:b w:val="0"/>
                <w:bCs w:val="0"/>
                <w:szCs w:val="21"/>
              </w:rPr>
              <w:t>分；</w:t>
            </w:r>
          </w:p>
          <w:p>
            <w:pPr>
              <w:keepNext w:val="0"/>
              <w:keepLines w:val="0"/>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（2）评审为良（如项目实施方案较完善，工作内容和安排考虑较周到，流程较合理，可行性较高）的加</w:t>
            </w:r>
            <w:r>
              <w:rPr>
                <w:rFonts w:hint="eastAsia" w:asciiTheme="minorEastAsia" w:hAnsiTheme="minorEastAsia" w:eastAsiaTheme="minorEastAsia" w:cstheme="minorEastAsia"/>
                <w:b w:val="0"/>
                <w:bCs w:val="0"/>
                <w:szCs w:val="21"/>
                <w:lang w:val="en-US" w:eastAsia="zh-CN"/>
              </w:rPr>
              <w:t>25</w:t>
            </w:r>
            <w:r>
              <w:rPr>
                <w:rFonts w:hint="eastAsia" w:asciiTheme="minorEastAsia" w:hAnsiTheme="minorEastAsia" w:eastAsiaTheme="minorEastAsia" w:cstheme="minorEastAsia"/>
                <w:b w:val="0"/>
                <w:bCs w:val="0"/>
                <w:szCs w:val="21"/>
              </w:rPr>
              <w:t>分；</w:t>
            </w:r>
          </w:p>
          <w:p>
            <w:pPr>
              <w:keepNext w:val="0"/>
              <w:keepLines w:val="0"/>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（3）评审为中（如项目实施方案一般，工作内容和安排考虑基本周到，流程基本合理，可行性一般）的</w:t>
            </w:r>
            <w:r>
              <w:rPr>
                <w:rFonts w:hint="eastAsia" w:asciiTheme="minorEastAsia" w:hAnsiTheme="minorEastAsia" w:cstheme="minorEastAsia"/>
                <w:b w:val="0"/>
                <w:bCs w:val="0"/>
                <w:szCs w:val="21"/>
                <w:lang w:val="en-US" w:eastAsia="zh-CN"/>
              </w:rPr>
              <w:t>加</w:t>
            </w:r>
            <w:r>
              <w:rPr>
                <w:rFonts w:hint="eastAsia" w:asciiTheme="minorEastAsia" w:hAnsiTheme="minorEastAsia" w:eastAsiaTheme="minorEastAsia" w:cstheme="minorEastAsia"/>
                <w:b w:val="0"/>
                <w:bCs w:val="0"/>
                <w:szCs w:val="21"/>
                <w:lang w:val="en-US" w:eastAsia="zh-CN"/>
              </w:rPr>
              <w:t>10</w:t>
            </w:r>
            <w:r>
              <w:rPr>
                <w:rFonts w:hint="eastAsia" w:asciiTheme="minorEastAsia" w:hAnsiTheme="minorEastAsia" w:eastAsiaTheme="minorEastAsia" w:cstheme="minorEastAsia"/>
                <w:b w:val="0"/>
                <w:bCs w:val="0"/>
                <w:szCs w:val="21"/>
              </w:rPr>
              <w:t>分；</w:t>
            </w:r>
          </w:p>
          <w:p>
            <w:pPr>
              <w:keepNext w:val="0"/>
              <w:keepLines w:val="0"/>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Cs w:val="21"/>
              </w:rPr>
              <w:t>（4）评审为差（如项目实施方案不完善，工作内容和安排考虑欠周到，流程不合理，可行性差）的不加分。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Theme="minorEastAsia"/>
                <w:szCs w:val="21"/>
                <w:lang w:val="en-US" w:eastAsia="zh-CN"/>
              </w:rPr>
            </w:pPr>
            <w:r>
              <w:rPr>
                <w:rFonts w:hint="eastAsia" w:ascii="宋体" w:hAnsi="宋体"/>
                <w:szCs w:val="21"/>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技术要求偏离情况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宋体" w:hAnsi="宋体" w:cs="宋体"/>
                <w:kern w:val="0"/>
                <w:szCs w:val="21"/>
                <w:lang w:val="en-US" w:eastAsia="zh-CN"/>
              </w:rPr>
              <w:t>40</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kinsoku/>
              <w:wordWrap/>
              <w:overflowPunct/>
              <w:topLinePunct w:val="0"/>
              <w:autoSpaceDE/>
              <w:autoSpaceDN/>
              <w:bidi w:val="0"/>
              <w:adjustRightInd/>
              <w:spacing w:line="360" w:lineRule="exact"/>
              <w:jc w:val="left"/>
              <w:textAlignment w:val="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考察内容：</w:t>
            </w:r>
          </w:p>
          <w:p>
            <w:pPr>
              <w:keepNext w:val="0"/>
              <w:keepLines w:val="0"/>
              <w:pageBreakBefore w:val="0"/>
              <w:kinsoku/>
              <w:wordWrap/>
              <w:overflowPunct/>
              <w:topLinePunct w:val="0"/>
              <w:autoSpaceDE/>
              <w:autoSpaceDN/>
              <w:bidi w:val="0"/>
              <w:adjustRightInd/>
              <w:spacing w:line="36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评审委员会根据《技术要求偏离表》（以下简称“偏离表”）响应情况进行打分，全部满足的得</w:t>
            </w:r>
            <w:r>
              <w:rPr>
                <w:rFonts w:hint="eastAsia" w:asciiTheme="minorEastAsia" w:hAnsiTheme="minorEastAsia" w:eastAsiaTheme="minorEastAsia" w:cstheme="minorEastAsia"/>
                <w:szCs w:val="21"/>
                <w:lang w:val="en-US" w:eastAsia="zh-CN"/>
              </w:rPr>
              <w:t>100</w:t>
            </w:r>
            <w:r>
              <w:rPr>
                <w:rFonts w:hint="eastAsia" w:asciiTheme="minorEastAsia" w:hAnsiTheme="minorEastAsia" w:eastAsiaTheme="minorEastAsia" w:cstheme="minorEastAsia"/>
                <w:szCs w:val="21"/>
              </w:rPr>
              <w:t>分，一般参数每负偏离一项扣</w:t>
            </w:r>
            <w:r>
              <w:rPr>
                <w:rFonts w:hint="eastAsia" w:asciiTheme="minorEastAsia" w:hAnsiTheme="minorEastAsia" w:cstheme="minorEastAsia"/>
                <w:szCs w:val="21"/>
                <w:lang w:val="en-US" w:eastAsia="zh-CN"/>
              </w:rPr>
              <w:t>1</w:t>
            </w:r>
            <w:r>
              <w:rPr>
                <w:rFonts w:hint="eastAsia" w:asciiTheme="minorEastAsia" w:hAnsiTheme="minorEastAsia" w:eastAsiaTheme="minorEastAsia" w:cstheme="minorEastAsia"/>
                <w:szCs w:val="21"/>
              </w:rPr>
              <w:t>分，重点技术参数▲项每负偏离一项扣</w:t>
            </w:r>
            <w:r>
              <w:rPr>
                <w:rFonts w:hint="eastAsia" w:asciiTheme="minorEastAsia" w:hAnsiTheme="minorEastAsia" w:cstheme="minorEastAsia"/>
                <w:szCs w:val="21"/>
                <w:lang w:val="en-US" w:eastAsia="zh-CN"/>
              </w:rPr>
              <w:t>20</w:t>
            </w:r>
            <w:r>
              <w:rPr>
                <w:rFonts w:hint="eastAsia" w:asciiTheme="minorEastAsia" w:hAnsiTheme="minorEastAsia" w:eastAsiaTheme="minorEastAsia" w:cstheme="minorEastAsia"/>
                <w:szCs w:val="21"/>
              </w:rPr>
              <w:t>分。扣完为止。</w:t>
            </w:r>
          </w:p>
          <w:p>
            <w:pPr>
              <w:keepNext w:val="0"/>
              <w:keepLines w:val="0"/>
              <w:pageBreakBefore w:val="0"/>
              <w:kinsoku/>
              <w:wordWrap/>
              <w:overflowPunct/>
              <w:topLinePunct w:val="0"/>
              <w:autoSpaceDE/>
              <w:autoSpaceDN/>
              <w:bidi w:val="0"/>
              <w:adjustRightInd/>
              <w:spacing w:line="360" w:lineRule="exact"/>
              <w:jc w:val="left"/>
              <w:textAlignment w:val="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证明文件：</w:t>
            </w:r>
          </w:p>
          <w:p>
            <w:pPr>
              <w:keepNext w:val="0"/>
              <w:keepLines w:val="0"/>
              <w:pageBreakBefore w:val="0"/>
              <w:kinsoku/>
              <w:wordWrap/>
              <w:overflowPunct/>
              <w:topLinePunct w:val="0"/>
              <w:autoSpaceDE/>
              <w:autoSpaceDN/>
              <w:bidi w:val="0"/>
              <w:adjustRightIn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Cs w:val="21"/>
              </w:rPr>
              <w:t>偏离表应如实对应填写所投产品的具体参数。如要求提供证明资料的，需按要求提供相关证明资料；提供的证明资料与所填写内容不一致的，以证明资料为准，原件备查。证明材料不能满足招标要求的，该项按负偏离处理。（未提供或未按要求提供或提供的不清晰导致专家无法判断的，不得分）投标人的“技术要求响应情况”“技术要求偏离情况”等必须与客观实际保持一致，响应不实且情节严重的，经查实，将依法记入供应商诚信档案或受到行政处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3</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s="宋体"/>
                <w:b/>
                <w:bCs/>
                <w:szCs w:val="21"/>
              </w:rPr>
            </w:pPr>
            <w:r>
              <w:rPr>
                <w:rFonts w:hint="eastAsia" w:asciiTheme="minorEastAsia" w:hAnsiTheme="minorEastAsia"/>
                <w:b/>
                <w:bCs/>
                <w:szCs w:val="21"/>
              </w:rPr>
              <w:t>商务</w:t>
            </w:r>
            <w:r>
              <w:rPr>
                <w:rFonts w:hint="eastAsia" w:ascii="宋体" w:hAnsi="宋体" w:cs="宋体"/>
                <w:b/>
                <w:bCs/>
                <w:szCs w:val="21"/>
              </w:rPr>
              <w:t>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宋体" w:hAnsi="宋体" w:cs="宋体" w:eastAsiaTheme="minorEastAsia"/>
                <w:b/>
                <w:bCs/>
                <w:szCs w:val="21"/>
                <w:lang w:val="en-US" w:eastAsia="zh-CN"/>
              </w:rPr>
            </w:pPr>
            <w:r>
              <w:rPr>
                <w:rFonts w:hint="eastAsia" w:ascii="宋体" w:hAnsi="宋体" w:cs="宋体"/>
                <w:b/>
                <w:bCs/>
                <w:szCs w:val="21"/>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s="宋体"/>
                <w:szCs w:val="21"/>
              </w:rPr>
            </w:pPr>
            <w:r>
              <w:rPr>
                <w:rFonts w:hint="eastAsia" w:ascii="宋体" w:hAnsi="宋体" w:cs="宋体"/>
                <w:szCs w:val="21"/>
              </w:rPr>
              <w:t>序号</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s="宋体"/>
                <w:szCs w:val="21"/>
              </w:rPr>
            </w:pPr>
            <w:r>
              <w:rPr>
                <w:rFonts w:hint="eastAsia" w:ascii="宋体" w:hAnsi="宋体" w:cs="宋体"/>
                <w:szCs w:val="21"/>
              </w:rPr>
              <w:t>评分因素</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s="宋体"/>
                <w:szCs w:val="21"/>
              </w:rPr>
            </w:pPr>
            <w:r>
              <w:rPr>
                <w:rFonts w:hint="eastAsia" w:ascii="宋体" w:hAnsi="宋体" w:cs="宋体"/>
                <w:szCs w:val="21"/>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ascii="宋体" w:hAnsi="宋体" w:cs="宋体"/>
                <w:szCs w:val="21"/>
              </w:rPr>
            </w:pPr>
            <w:r>
              <w:rPr>
                <w:rFonts w:hint="eastAsia" w:ascii="宋体" w:hAnsi="宋体" w:cs="宋体"/>
                <w:kern w:val="0"/>
                <w:szCs w:val="21"/>
              </w:rPr>
              <w:t>投标人通过相关认证情况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ascii="宋体" w:hAnsi="宋体" w:cs="宋体"/>
                <w:szCs w:val="21"/>
              </w:rPr>
            </w:pPr>
            <w:r>
              <w:rPr>
                <w:rFonts w:hint="eastAsia" w:ascii="宋体" w:hAnsi="宋体" w:cs="宋体"/>
                <w:kern w:val="0"/>
                <w:szCs w:val="21"/>
                <w:lang w:val="en-US" w:eastAsia="zh-CN"/>
              </w:rPr>
              <w:t>7</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auto"/>
              <w:rPr>
                <w:rFonts w:ascii="宋体" w:hAnsi="宋体" w:cs="宋体" w:eastAsiaTheme="minorEastAsia"/>
                <w:szCs w:val="21"/>
              </w:rPr>
            </w:pPr>
            <w:r>
              <w:rPr>
                <w:rFonts w:hint="eastAsia" w:ascii="宋体" w:hAnsi="宋体" w:eastAsia="宋体" w:cs="宋体"/>
                <w:b/>
                <w:bCs/>
                <w:i w:val="0"/>
                <w:iCs w:val="0"/>
                <w:kern w:val="0"/>
                <w:sz w:val="21"/>
                <w:szCs w:val="21"/>
                <w:u w:val="none"/>
                <w:lang w:val="en-US" w:eastAsia="zh-CN" w:bidi="ar"/>
              </w:rPr>
              <w:t>考察内容：</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1.具有</w:t>
            </w:r>
            <w:r>
              <w:rPr>
                <w:rFonts w:hint="eastAsia" w:ascii="宋体" w:hAnsi="宋体" w:cs="宋体"/>
                <w:szCs w:val="21"/>
              </w:rPr>
              <w:t>质量管理体系认证证书</w:t>
            </w:r>
            <w:r>
              <w:rPr>
                <w:rFonts w:hint="eastAsia" w:ascii="宋体" w:hAnsi="宋体" w:eastAsia="宋体" w:cs="宋体"/>
                <w:i w:val="0"/>
                <w:iCs w:val="0"/>
                <w:kern w:val="0"/>
                <w:sz w:val="21"/>
                <w:szCs w:val="21"/>
                <w:u w:val="none"/>
                <w:lang w:val="en-US" w:eastAsia="zh-CN" w:bidi="ar"/>
              </w:rPr>
              <w:t>得</w:t>
            </w:r>
            <w:r>
              <w:rPr>
                <w:rFonts w:hint="eastAsia" w:ascii="宋体" w:hAnsi="宋体" w:cs="宋体"/>
                <w:i w:val="0"/>
                <w:iCs w:val="0"/>
                <w:kern w:val="0"/>
                <w:sz w:val="21"/>
                <w:szCs w:val="21"/>
                <w:u w:val="none"/>
                <w:lang w:val="en-US" w:eastAsia="zh-CN" w:bidi="ar"/>
              </w:rPr>
              <w:t>35</w:t>
            </w:r>
            <w:r>
              <w:rPr>
                <w:rFonts w:hint="eastAsia" w:ascii="宋体" w:hAnsi="宋体" w:eastAsia="宋体" w:cs="宋体"/>
                <w:i w:val="0"/>
                <w:iCs w:val="0"/>
                <w:kern w:val="0"/>
                <w:sz w:val="21"/>
                <w:szCs w:val="21"/>
                <w:u w:val="none"/>
                <w:lang w:val="en-US" w:eastAsia="zh-CN" w:bidi="ar"/>
              </w:rPr>
              <w:t>分；</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2.具有</w:t>
            </w:r>
            <w:r>
              <w:rPr>
                <w:rFonts w:hint="eastAsia" w:ascii="宋体" w:hAnsi="宋体" w:cs="宋体"/>
                <w:szCs w:val="21"/>
              </w:rPr>
              <w:t>环境管理体系认证证书</w:t>
            </w:r>
            <w:r>
              <w:rPr>
                <w:rFonts w:hint="eastAsia" w:ascii="宋体" w:hAnsi="宋体" w:eastAsia="宋体" w:cs="宋体"/>
                <w:i w:val="0"/>
                <w:iCs w:val="0"/>
                <w:kern w:val="0"/>
                <w:sz w:val="21"/>
                <w:szCs w:val="21"/>
                <w:u w:val="none"/>
                <w:lang w:val="en-US" w:eastAsia="zh-CN" w:bidi="ar"/>
              </w:rPr>
              <w:t>得35分；</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3.具有</w:t>
            </w:r>
            <w:r>
              <w:rPr>
                <w:rFonts w:hint="eastAsia" w:ascii="宋体" w:hAnsi="宋体" w:cs="宋体"/>
                <w:szCs w:val="21"/>
              </w:rPr>
              <w:t>职业健康安全管理体系认证证书</w:t>
            </w:r>
            <w:r>
              <w:rPr>
                <w:rFonts w:hint="eastAsia" w:ascii="宋体" w:hAnsi="宋体" w:eastAsia="宋体" w:cs="宋体"/>
                <w:i w:val="0"/>
                <w:iCs w:val="0"/>
                <w:kern w:val="0"/>
                <w:sz w:val="21"/>
                <w:szCs w:val="21"/>
                <w:u w:val="none"/>
                <w:lang w:val="en-US" w:eastAsia="zh-CN" w:bidi="ar"/>
              </w:rPr>
              <w:t>得35分；</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以上最高累计得100分。</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b/>
                <w:bCs/>
                <w:i w:val="0"/>
                <w:iCs w:val="0"/>
                <w:kern w:val="0"/>
                <w:sz w:val="21"/>
                <w:szCs w:val="21"/>
                <w:u w:val="none"/>
                <w:lang w:val="en-US" w:eastAsia="zh-CN" w:bidi="ar"/>
              </w:rPr>
              <w:t>证明文件：</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1.提供证书扫描件及全国认证认可信息公共服务平台（cx.cnca.cn）认证信息查询截图（截图需显示证书状态为有效）。相关证书在公开渠道无法查询的，投标人需提供颁发部门或者监管机构的证明材料，证明证书真实有效且为合法机构颁发；</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2.如投标人为分支机构，提供其总公司的证书也可按照评分规则计分；证书单位名称需与投标人名称或其总公司名称一致，否则不得分；</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3.未提供或未按要求提供或提供的不清晰导致评审委员会无法判断的，不得分。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szCs w:val="21"/>
                <w:lang w:val="en-US" w:eastAsia="zh-CN"/>
              </w:rPr>
            </w:pPr>
            <w:r>
              <w:rPr>
                <w:rFonts w:hint="eastAsia" w:ascii="宋体" w:hAnsi="宋体" w:cs="宋体"/>
                <w:szCs w:val="21"/>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szCs w:val="21"/>
              </w:rPr>
            </w:pPr>
            <w:r>
              <w:rPr>
                <w:rFonts w:hint="eastAsia" w:ascii="宋体" w:hAnsi="宋体" w:cs="宋体"/>
                <w:kern w:val="0"/>
                <w:szCs w:val="21"/>
              </w:rPr>
              <w:t>同类项目业绩</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cs="宋体"/>
                <w:szCs w:val="21"/>
                <w:lang w:val="en-US" w:eastAsia="zh-CN"/>
              </w:rPr>
            </w:pPr>
            <w:r>
              <w:rPr>
                <w:rFonts w:hint="eastAsia" w:ascii="宋体" w:hAnsi="宋体" w:cs="宋体"/>
                <w:kern w:val="0"/>
                <w:szCs w:val="21"/>
                <w:lang w:val="en-US" w:eastAsia="zh-CN"/>
              </w:rPr>
              <w:t>8</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
                <w:bCs/>
                <w:kern w:val="0"/>
                <w:szCs w:val="21"/>
              </w:rPr>
            </w:pPr>
            <w:r>
              <w:rPr>
                <w:rFonts w:hint="eastAsia" w:ascii="宋体" w:hAnsi="宋体" w:cs="宋体"/>
                <w:b/>
                <w:bCs/>
                <w:kern w:val="0"/>
                <w:szCs w:val="21"/>
              </w:rPr>
              <w:t>考察内容：</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 w:val="0"/>
                <w:bCs w:val="0"/>
                <w:kern w:val="0"/>
                <w:szCs w:val="21"/>
              </w:rPr>
            </w:pPr>
            <w:r>
              <w:rPr>
                <w:rFonts w:hint="eastAsia" w:ascii="宋体" w:hAnsi="宋体" w:cs="宋体"/>
                <w:b w:val="0"/>
                <w:bCs w:val="0"/>
                <w:kern w:val="0"/>
                <w:szCs w:val="21"/>
              </w:rPr>
              <w:t>投标人2022年1月1日至本项目投标截止时间，（以签订合同日期为准）在同类项目业绩情况：每提供1个</w:t>
            </w:r>
            <w:r>
              <w:rPr>
                <w:rFonts w:hint="eastAsia" w:ascii="宋体" w:hAnsi="宋体" w:eastAsia="宋体" w:cs="宋体"/>
                <w:kern w:val="2"/>
                <w:sz w:val="21"/>
                <w:szCs w:val="21"/>
                <w:lang w:eastAsia="zh-CN"/>
              </w:rPr>
              <w:t>信息化项目业绩</w:t>
            </w:r>
            <w:r>
              <w:rPr>
                <w:rFonts w:hint="eastAsia" w:ascii="宋体" w:hAnsi="宋体" w:cs="宋体"/>
                <w:b w:val="0"/>
                <w:bCs w:val="0"/>
                <w:kern w:val="0"/>
                <w:szCs w:val="21"/>
              </w:rPr>
              <w:t>得</w:t>
            </w:r>
            <w:r>
              <w:rPr>
                <w:rFonts w:hint="eastAsia" w:ascii="宋体" w:hAnsi="宋体" w:cs="宋体"/>
                <w:b w:val="0"/>
                <w:bCs w:val="0"/>
                <w:kern w:val="0"/>
                <w:szCs w:val="21"/>
                <w:lang w:val="en-US" w:eastAsia="zh-CN"/>
              </w:rPr>
              <w:t>20</w:t>
            </w:r>
            <w:r>
              <w:rPr>
                <w:rFonts w:hint="eastAsia" w:ascii="宋体" w:hAnsi="宋体" w:cs="宋体"/>
                <w:b w:val="0"/>
                <w:bCs w:val="0"/>
                <w:kern w:val="0"/>
                <w:szCs w:val="21"/>
              </w:rPr>
              <w:t>分，最高得</w:t>
            </w:r>
            <w:r>
              <w:rPr>
                <w:rFonts w:hint="eastAsia" w:ascii="宋体" w:hAnsi="宋体" w:cs="宋体"/>
                <w:b w:val="0"/>
                <w:bCs w:val="0"/>
                <w:kern w:val="0"/>
                <w:szCs w:val="21"/>
                <w:lang w:val="en-US" w:eastAsia="zh-CN"/>
              </w:rPr>
              <w:t>100</w:t>
            </w:r>
            <w:r>
              <w:rPr>
                <w:rFonts w:hint="eastAsia" w:ascii="宋体" w:hAnsi="宋体" w:cs="宋体"/>
                <w:b w:val="0"/>
                <w:bCs w:val="0"/>
                <w:kern w:val="0"/>
                <w:szCs w:val="21"/>
              </w:rPr>
              <w:t>分。</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
                <w:bCs/>
                <w:kern w:val="0"/>
                <w:szCs w:val="21"/>
              </w:rPr>
            </w:pPr>
            <w:r>
              <w:rPr>
                <w:rFonts w:hint="eastAsia" w:ascii="宋体" w:hAnsi="宋体" w:cs="宋体"/>
                <w:b/>
                <w:bCs/>
                <w:kern w:val="0"/>
                <w:szCs w:val="21"/>
              </w:rPr>
              <w:t>二、证明文件：</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 w:val="0"/>
                <w:bCs w:val="0"/>
                <w:kern w:val="0"/>
                <w:szCs w:val="21"/>
              </w:rPr>
            </w:pPr>
            <w:r>
              <w:rPr>
                <w:rFonts w:hint="eastAsia" w:ascii="宋体" w:hAnsi="宋体" w:cs="宋体"/>
                <w:b w:val="0"/>
                <w:bCs w:val="0"/>
                <w:kern w:val="0"/>
                <w:szCs w:val="21"/>
              </w:rPr>
              <w:t>1.提供合同或协议关键页（关键信息包括但不仅限于合同的项目名称、服务内容、签订日期等），未提供的不得分，原件备查。</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 w:val="0"/>
                <w:bCs w:val="0"/>
                <w:kern w:val="0"/>
                <w:szCs w:val="21"/>
              </w:rPr>
            </w:pPr>
            <w:r>
              <w:rPr>
                <w:rFonts w:hint="eastAsia" w:ascii="宋体" w:hAnsi="宋体" w:cs="宋体"/>
                <w:b w:val="0"/>
                <w:bCs w:val="0"/>
                <w:kern w:val="0"/>
                <w:szCs w:val="21"/>
              </w:rPr>
              <w:t>2.未提供或未按要求提供或提供的不清晰导致评审委员会无法判断的，不得分。</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auto"/>
                <w:szCs w:val="21"/>
              </w:rPr>
            </w:pPr>
            <w:r>
              <w:rPr>
                <w:rFonts w:hint="eastAsia" w:ascii="宋体" w:hAnsi="宋体" w:cs="宋体"/>
                <w:b w:val="0"/>
                <w:bCs w:val="0"/>
                <w:kern w:val="0"/>
                <w:szCs w:val="21"/>
              </w:rPr>
              <w:t>3.通过上述资料无法判断是否得分的，也可以同时提供能证明得分的其它资料，如项目报告或采购单位（或被服务单位）出具的证明文件等。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4</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s="宋体"/>
                <w:b/>
                <w:bCs/>
                <w:szCs w:val="21"/>
              </w:rPr>
            </w:pPr>
            <w:r>
              <w:rPr>
                <w:rFonts w:hint="eastAsia" w:ascii="宋体" w:hAnsi="宋体" w:cs="宋体"/>
                <w:b/>
                <w:bCs/>
                <w:szCs w:val="21"/>
              </w:rPr>
              <w:t>其他部分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s="宋体"/>
                <w:b/>
                <w:bCs/>
                <w:szCs w:val="21"/>
              </w:rPr>
            </w:pPr>
            <w:r>
              <w:rPr>
                <w:rFonts w:hint="eastAsia" w:ascii="宋体" w:hAnsi="宋体" w:cs="宋体"/>
                <w:b/>
                <w:bCs/>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s="宋体"/>
                <w:szCs w:val="21"/>
              </w:rPr>
            </w:pPr>
            <w:r>
              <w:rPr>
                <w:rFonts w:hint="eastAsia" w:ascii="宋体" w:hAnsi="宋体" w:cs="宋体"/>
                <w:szCs w:val="21"/>
              </w:rPr>
              <w:t>序号</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s="宋体"/>
                <w:szCs w:val="21"/>
              </w:rPr>
            </w:pPr>
            <w:r>
              <w:rPr>
                <w:rFonts w:hint="eastAsia" w:ascii="宋体" w:hAnsi="宋体" w:cs="宋体"/>
                <w:szCs w:val="21"/>
              </w:rPr>
              <w:t>评分因素</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s="宋体"/>
                <w:szCs w:val="21"/>
              </w:rPr>
            </w:pPr>
            <w:r>
              <w:rPr>
                <w:rFonts w:hint="eastAsia" w:ascii="宋体" w:hAnsi="宋体" w:cs="宋体"/>
                <w:szCs w:val="21"/>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s="宋体"/>
                <w:szCs w:val="21"/>
              </w:rPr>
            </w:pPr>
            <w:r>
              <w:rPr>
                <w:rFonts w:hint="eastAsia" w:ascii="宋体" w:hAnsi="宋体" w:cs="宋体"/>
                <w:szCs w:val="21"/>
              </w:rPr>
              <w:t>诚信情况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s="宋体"/>
                <w:szCs w:val="21"/>
              </w:rPr>
            </w:pPr>
            <w:r>
              <w:rPr>
                <w:rFonts w:hint="eastAsia" w:ascii="宋体" w:hAnsi="宋体" w:cs="宋体"/>
                <w:szCs w:val="21"/>
              </w:rPr>
              <w:t>5</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pStyle w:val="2"/>
              <w:keepNext w:val="0"/>
              <w:keepLines w:val="0"/>
              <w:pageBreakBefore w:val="0"/>
              <w:kinsoku/>
              <w:wordWrap/>
              <w:overflowPunct/>
              <w:topLinePunct w:val="0"/>
              <w:autoSpaceDE/>
              <w:autoSpaceDN/>
              <w:bidi w:val="0"/>
              <w:adjustRightInd/>
              <w:spacing w:line="360" w:lineRule="exact"/>
              <w:textAlignment w:val="auto"/>
            </w:pPr>
            <w:r>
              <w:rPr>
                <w:rFonts w:hint="eastAsia" w:asciiTheme="minorEastAsia" w:hAnsiTheme="minorEastAsia" w:cstheme="minorEastAsia"/>
                <w:b w:val="0"/>
                <w:bCs w:val="0"/>
                <w:sz w:val="21"/>
                <w:szCs w:val="21"/>
              </w:rPr>
              <w:t>投标人存在 《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r>
    </w:tbl>
    <w:p>
      <w:pPr>
        <w:rPr>
          <w:b/>
          <w:sz w:val="120"/>
          <w:szCs w:val="120"/>
        </w:rPr>
      </w:pPr>
      <w:r>
        <w:rPr>
          <w:rFonts w:hint="eastAsia"/>
          <w:b/>
          <w:sz w:val="120"/>
          <w:szCs w:val="120"/>
        </w:rPr>
        <w:br w:type="page"/>
      </w:r>
    </w:p>
    <w:p/>
    <w:p>
      <w:pPr>
        <w:pStyle w:val="2"/>
        <w:rPr>
          <w:sz w:val="120"/>
          <w:szCs w:val="120"/>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Pr>
        <w:jc w:val="center"/>
        <w:rPr>
          <w:b/>
          <w:sz w:val="44"/>
          <w:szCs w:val="44"/>
        </w:rPr>
      </w:pPr>
      <w:r>
        <w:rPr>
          <w:rFonts w:hint="eastAsia" w:ascii="宋体" w:hAnsi="宋体"/>
          <w:b/>
          <w:sz w:val="44"/>
          <w:szCs w:val="44"/>
        </w:rPr>
        <w:t>深圳公共资源交易中心</w:t>
      </w:r>
    </w:p>
    <w:p>
      <w:pPr>
        <w:jc w:val="center"/>
        <w:rPr>
          <w:b/>
          <w:sz w:val="44"/>
          <w:szCs w:val="44"/>
        </w:rPr>
      </w:pPr>
      <w:r>
        <w:rPr>
          <w:rFonts w:hint="eastAsia" w:ascii="宋体" w:hAnsi="宋体"/>
          <w:b/>
          <w:sz w:val="44"/>
          <w:szCs w:val="44"/>
        </w:rPr>
        <w:t>（</w:t>
      </w:r>
      <w:r>
        <w:rPr>
          <w:b/>
          <w:sz w:val="44"/>
          <w:szCs w:val="44"/>
        </w:rPr>
        <w:t>20</w:t>
      </w:r>
      <w:r>
        <w:rPr>
          <w:rFonts w:hint="eastAsia"/>
          <w:b/>
          <w:sz w:val="44"/>
          <w:szCs w:val="44"/>
        </w:rPr>
        <w:t>25</w:t>
      </w:r>
      <w:r>
        <w:rPr>
          <w:rFonts w:hint="eastAsia" w:ascii="宋体" w:hAnsi="宋体"/>
          <w:b/>
          <w:sz w:val="44"/>
          <w:szCs w:val="44"/>
        </w:rPr>
        <w:t>）</w:t>
      </w:r>
    </w:p>
    <w:p>
      <w:pPr>
        <w:ind w:firstLine="6786" w:firstLineChars="1300"/>
        <w:jc w:val="center"/>
        <w:rPr>
          <w:bCs/>
          <w:color w:val="FF0000"/>
        </w:rPr>
      </w:pPr>
      <w:r>
        <w:rPr>
          <w:rFonts w:hint="eastAsia"/>
          <w:b/>
          <w:color w:val="FF0000"/>
          <w:sz w:val="52"/>
          <w:szCs w:val="52"/>
        </w:rPr>
        <w:br w:type="page"/>
      </w:r>
    </w:p>
    <w:p>
      <w:pPr>
        <w:snapToGrid w:val="0"/>
        <w:spacing w:line="360" w:lineRule="exact"/>
        <w:jc w:val="left"/>
        <w:rPr>
          <w:rFonts w:hint="eastAsia" w:ascii="宋体" w:hAnsi="宋体" w:eastAsia="宋体" w:cs="宋体"/>
          <w:color w:val="000000"/>
          <w:kern w:val="0"/>
          <w:sz w:val="24"/>
          <w:szCs w:val="24"/>
        </w:rPr>
      </w:pPr>
    </w:p>
    <w:p>
      <w:pPr>
        <w:snapToGrid w:val="0"/>
        <w:spacing w:line="360" w:lineRule="exact"/>
        <w:jc w:val="left"/>
        <w:rPr>
          <w:rFonts w:hint="eastAsia" w:ascii="宋体" w:hAnsi="宋体" w:eastAsia="宋体" w:cs="宋体"/>
          <w:color w:val="000000"/>
          <w:kern w:val="0"/>
          <w:sz w:val="24"/>
          <w:szCs w:val="24"/>
        </w:rPr>
      </w:pPr>
    </w:p>
    <w:p>
      <w:pPr>
        <w:snapToGrid w:val="0"/>
        <w:spacing w:line="360" w:lineRule="exact"/>
        <w:jc w:val="left"/>
        <w:rPr>
          <w:rFonts w:hint="eastAsia" w:ascii="宋体" w:hAnsi="宋体" w:eastAsia="宋体" w:cs="宋体"/>
          <w:color w:val="000000"/>
          <w:kern w:val="0"/>
          <w:sz w:val="24"/>
          <w:szCs w:val="24"/>
        </w:rPr>
      </w:pPr>
    </w:p>
    <w:p>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pPr>
        <w:rPr>
          <w:b/>
          <w:sz w:val="24"/>
          <w:szCs w:val="24"/>
        </w:rPr>
      </w:pPr>
      <w:r>
        <w:rPr>
          <w:rFonts w:hint="eastAsia"/>
          <w:b/>
          <w:sz w:val="24"/>
          <w:szCs w:val="24"/>
        </w:rPr>
        <w:t>第一册  专用条款</w:t>
      </w:r>
    </w:p>
    <w:p>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pPr>
        <w:ind w:left="630" w:leftChars="300" w:firstLine="411" w:firstLineChars="196"/>
        <w:rPr>
          <w:rFonts w:hint="eastAsia" w:ascii="宋体" w:hAnsi="宋体"/>
          <w:szCs w:val="21"/>
        </w:rPr>
      </w:pPr>
      <w:r>
        <w:rPr>
          <w:rFonts w:hint="eastAsia" w:ascii="宋体" w:hAnsi="宋体"/>
          <w:szCs w:val="21"/>
        </w:rPr>
        <w:t>第一章  招标公告</w:t>
      </w:r>
    </w:p>
    <w:p>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411" w:firstLineChars="196"/>
        <w:rPr>
          <w:rFonts w:hint="eastAsia" w:ascii="宋体" w:hAnsi="宋体"/>
          <w:szCs w:val="21"/>
        </w:rPr>
      </w:pPr>
      <w:r>
        <w:rPr>
          <w:rFonts w:hint="eastAsia" w:ascii="宋体" w:hAnsi="宋体"/>
          <w:szCs w:val="21"/>
        </w:rPr>
        <w:t>第五章  合同条款及格式</w:t>
      </w:r>
    </w:p>
    <w:p>
      <w:pPr>
        <w:rPr>
          <w:b/>
          <w:sz w:val="24"/>
        </w:rPr>
      </w:pPr>
    </w:p>
    <w:p>
      <w:pPr>
        <w:rPr>
          <w:b/>
          <w:sz w:val="24"/>
          <w:szCs w:val="24"/>
        </w:rPr>
      </w:pPr>
      <w:r>
        <w:rPr>
          <w:rFonts w:hint="eastAsia"/>
          <w:b/>
          <w:sz w:val="24"/>
          <w:szCs w:val="24"/>
        </w:rPr>
        <w:t>第二册  通用条款</w:t>
      </w:r>
    </w:p>
    <w:p>
      <w:pPr>
        <w:ind w:left="630" w:leftChars="300" w:firstLine="411" w:firstLineChars="196"/>
        <w:rPr>
          <w:rFonts w:hint="eastAsia" w:ascii="宋体" w:hAnsi="宋体"/>
          <w:szCs w:val="21"/>
        </w:rPr>
      </w:pPr>
      <w:r>
        <w:rPr>
          <w:rFonts w:hint="eastAsia" w:ascii="宋体" w:hAnsi="宋体"/>
          <w:szCs w:val="21"/>
        </w:rPr>
        <w:t>第一章  总则</w:t>
      </w:r>
    </w:p>
    <w:p>
      <w:pPr>
        <w:ind w:left="630" w:leftChars="300" w:firstLine="411" w:firstLineChars="196"/>
        <w:rPr>
          <w:rFonts w:hint="eastAsia" w:ascii="宋体" w:hAnsi="宋体"/>
          <w:szCs w:val="21"/>
        </w:rPr>
      </w:pPr>
      <w:r>
        <w:rPr>
          <w:rFonts w:hint="eastAsia" w:ascii="宋体" w:hAnsi="宋体"/>
          <w:szCs w:val="21"/>
        </w:rPr>
        <w:t>第二章  招标文件</w:t>
      </w:r>
    </w:p>
    <w:p>
      <w:pPr>
        <w:ind w:left="630" w:leftChars="300" w:firstLine="411" w:firstLineChars="196"/>
        <w:rPr>
          <w:rFonts w:hint="eastAsia" w:ascii="宋体" w:hAnsi="宋体"/>
          <w:szCs w:val="21"/>
        </w:rPr>
      </w:pPr>
      <w:r>
        <w:rPr>
          <w:rFonts w:hint="eastAsia" w:ascii="宋体" w:hAnsi="宋体"/>
          <w:szCs w:val="21"/>
        </w:rPr>
        <w:t>第三章  投标文件的编制</w:t>
      </w:r>
    </w:p>
    <w:p>
      <w:pPr>
        <w:ind w:left="630" w:leftChars="300" w:firstLine="411" w:firstLineChars="196"/>
        <w:rPr>
          <w:rFonts w:hint="eastAsia" w:ascii="宋体" w:hAnsi="宋体"/>
          <w:szCs w:val="21"/>
        </w:rPr>
      </w:pPr>
      <w:r>
        <w:rPr>
          <w:rFonts w:hint="eastAsia" w:ascii="宋体" w:hAnsi="宋体"/>
          <w:szCs w:val="21"/>
        </w:rPr>
        <w:t>第四章  投标文件的递交</w:t>
      </w:r>
    </w:p>
    <w:p>
      <w:pPr>
        <w:ind w:left="630" w:leftChars="300" w:firstLine="411" w:firstLineChars="196"/>
        <w:rPr>
          <w:rFonts w:hint="eastAsia" w:ascii="宋体" w:hAnsi="宋体"/>
          <w:szCs w:val="21"/>
        </w:rPr>
      </w:pPr>
      <w:r>
        <w:rPr>
          <w:rFonts w:hint="eastAsia" w:ascii="宋体" w:hAnsi="宋体"/>
          <w:szCs w:val="21"/>
        </w:rPr>
        <w:t>第五章  开标</w:t>
      </w:r>
    </w:p>
    <w:p>
      <w:pPr>
        <w:ind w:left="630" w:leftChars="300" w:firstLine="411" w:firstLineChars="196"/>
        <w:rPr>
          <w:rFonts w:hint="eastAsia" w:ascii="宋体" w:hAnsi="宋体"/>
          <w:szCs w:val="21"/>
        </w:rPr>
      </w:pPr>
      <w:r>
        <w:rPr>
          <w:rFonts w:hint="eastAsia" w:ascii="宋体" w:hAnsi="宋体"/>
          <w:szCs w:val="21"/>
        </w:rPr>
        <w:t>第六章  评审要求</w:t>
      </w:r>
    </w:p>
    <w:p>
      <w:pPr>
        <w:ind w:left="630" w:leftChars="300" w:firstLine="411" w:firstLineChars="196"/>
        <w:rPr>
          <w:rFonts w:hint="eastAsia" w:ascii="宋体" w:hAnsi="宋体"/>
          <w:szCs w:val="21"/>
        </w:rPr>
      </w:pPr>
      <w:r>
        <w:rPr>
          <w:rFonts w:hint="eastAsia" w:ascii="宋体" w:hAnsi="宋体"/>
          <w:szCs w:val="21"/>
        </w:rPr>
        <w:t>第七章  评审程序及评审方法</w:t>
      </w:r>
    </w:p>
    <w:p>
      <w:pPr>
        <w:ind w:left="630" w:leftChars="300" w:firstLine="411" w:firstLineChars="196"/>
        <w:rPr>
          <w:rFonts w:hint="eastAsia" w:ascii="宋体" w:hAnsi="宋体"/>
          <w:szCs w:val="21"/>
        </w:rPr>
      </w:pPr>
      <w:r>
        <w:rPr>
          <w:rFonts w:hint="eastAsia" w:ascii="宋体" w:hAnsi="宋体"/>
          <w:szCs w:val="21"/>
        </w:rPr>
        <w:t>第八章  定标及公示</w:t>
      </w:r>
    </w:p>
    <w:p>
      <w:pPr>
        <w:ind w:left="630" w:leftChars="300" w:firstLine="411" w:firstLineChars="196"/>
        <w:rPr>
          <w:rFonts w:hint="eastAsia" w:ascii="宋体" w:hAnsi="宋体"/>
          <w:szCs w:val="21"/>
        </w:rPr>
      </w:pPr>
      <w:r>
        <w:rPr>
          <w:rFonts w:hint="eastAsia" w:ascii="宋体" w:hAnsi="宋体"/>
          <w:szCs w:val="21"/>
        </w:rPr>
        <w:t>第九章  公开招标失败的后续处理</w:t>
      </w:r>
    </w:p>
    <w:p>
      <w:pPr>
        <w:ind w:left="630" w:leftChars="300" w:firstLine="411" w:firstLineChars="196"/>
        <w:rPr>
          <w:rFonts w:hint="eastAsia" w:ascii="宋体" w:hAnsi="宋体"/>
          <w:szCs w:val="21"/>
        </w:rPr>
      </w:pPr>
      <w:r>
        <w:rPr>
          <w:rFonts w:hint="eastAsia" w:ascii="宋体" w:hAnsi="宋体"/>
          <w:szCs w:val="21"/>
        </w:rPr>
        <w:t>第十章  合同的授予与备案</w:t>
      </w:r>
    </w:p>
    <w:p>
      <w:r>
        <w:rPr>
          <w:rFonts w:hint="eastAsia"/>
        </w:rPr>
        <w:t xml:space="preserve">          第十一章  质疑处理</w:t>
      </w:r>
    </w:p>
    <w:p/>
    <w:p/>
    <w:p>
      <w:pPr>
        <w:widowControl/>
        <w:jc w:val="left"/>
      </w:pPr>
      <w:r>
        <w:br w:type="page"/>
      </w:r>
    </w:p>
    <w:p>
      <w:pPr>
        <w:pStyle w:val="4"/>
        <w:spacing w:after="78"/>
        <w:jc w:val="center"/>
        <w:rPr>
          <w:sz w:val="32"/>
          <w:szCs w:val="32"/>
        </w:rPr>
      </w:pPr>
      <w:r>
        <w:rPr>
          <w:rFonts w:hint="eastAsia"/>
          <w:sz w:val="32"/>
          <w:szCs w:val="32"/>
        </w:rPr>
        <w:t>第一册  专用条款</w:t>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pPr>
        <w:ind w:firstLine="630" w:firstLineChars="300"/>
        <w:rPr>
          <w:rFonts w:hint="eastAsia" w:ascii="宋体" w:hAnsi="宋体" w:eastAsia="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Cs w:val="21"/>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Cs w:val="21"/>
        </w:rPr>
        <w:t>的营业执照及其</w:t>
      </w:r>
      <w:r>
        <w:rPr>
          <w:rFonts w:hint="eastAsia" w:ascii="宋体" w:hAnsi="宋体" w:eastAsia="宋体" w:cs="宋体"/>
          <w:szCs w:val="21"/>
        </w:rPr>
        <w:t>出具的载明愿为其参与本项目投标的行为以及履约等行为承担民事责任的加盖总公司公章的授权函）</w:t>
      </w:r>
      <w:r>
        <w:rPr>
          <w:rFonts w:hint="eastAsia" w:ascii="宋体" w:hAnsi="宋体" w:cs="宋体"/>
          <w:szCs w:val="21"/>
        </w:rPr>
        <w:t>；</w:t>
      </w:r>
    </w:p>
    <w:p>
      <w:pPr>
        <w:ind w:firstLine="630" w:firstLineChars="300"/>
        <w:rPr>
          <w:rFonts w:hint="eastAsia" w:ascii="宋体" w:hAnsi="宋体" w:eastAsia="宋体" w:cs="宋体"/>
          <w:szCs w:val="21"/>
        </w:rPr>
      </w:pPr>
      <w:r>
        <w:rPr>
          <w:rFonts w:hint="eastAsia" w:ascii="宋体" w:hAnsi="宋体" w:cs="宋体"/>
          <w:color w:val="FF0000"/>
          <w:kern w:val="0"/>
          <w:szCs w:val="21"/>
        </w:rPr>
        <w:t>2.</w:t>
      </w:r>
      <w:bookmarkStart w:id="0" w:name="OLE_LINK9"/>
      <w:r>
        <w:rPr>
          <w:rFonts w:hint="eastAsia" w:ascii="宋体" w:hAnsi="宋体" w:cs="宋体"/>
          <w:color w:val="FF0000"/>
          <w:kern w:val="0"/>
          <w:szCs w:val="21"/>
        </w:rPr>
        <w:t>本项</w:t>
      </w:r>
      <w:bookmarkStart w:id="1" w:name="OLE_LINK8"/>
      <w:r>
        <w:rPr>
          <w:rFonts w:hint="eastAsia" w:ascii="宋体" w:hAnsi="宋体" w:cs="宋体"/>
          <w:color w:val="FF0000"/>
          <w:kern w:val="0"/>
          <w:szCs w:val="21"/>
        </w:rPr>
        <w:t>目不接受联合体投标</w:t>
      </w:r>
      <w:bookmarkEnd w:id="1"/>
      <w:r>
        <w:rPr>
          <w:rFonts w:hint="eastAsia" w:ascii="宋体" w:hAnsi="宋体" w:cs="宋体"/>
          <w:color w:val="FF0000"/>
          <w:kern w:val="0"/>
          <w:szCs w:val="21"/>
        </w:rPr>
        <w:t>，</w:t>
      </w:r>
      <w:bookmarkStart w:id="2" w:name="OLE_LINK7"/>
      <w:r>
        <w:rPr>
          <w:rFonts w:hint="eastAsia" w:ascii="宋体" w:hAnsi="宋体" w:cs="宋体"/>
          <w:color w:val="FF0000"/>
          <w:kern w:val="0"/>
          <w:szCs w:val="21"/>
        </w:rPr>
        <w:t>不接受投标人选用进口产品参与投标，详见招标文件“第三章 用户需求书”</w:t>
      </w:r>
      <w:bookmarkEnd w:id="2"/>
      <w:r>
        <w:rPr>
          <w:rFonts w:hint="eastAsia" w:ascii="宋体" w:hAnsi="宋体" w:cs="宋体"/>
          <w:color w:val="FF0000"/>
          <w:kern w:val="0"/>
          <w:szCs w:val="21"/>
        </w:rPr>
        <w:t>；</w:t>
      </w:r>
      <w:bookmarkEnd w:id="0"/>
    </w:p>
    <w:p>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pPr>
        <w:ind w:firstLine="630" w:firstLineChars="300"/>
        <w:rPr>
          <w:rFonts w:hint="eastAsia" w:ascii="宋体" w:hAnsi="宋体" w:eastAsia="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w:t>
      </w:r>
      <w:r>
        <w:rPr>
          <w:rFonts w:hint="eastAsia" w:ascii="宋体" w:hAnsi="宋体" w:cs="宋体"/>
          <w:b/>
          <w:bCs/>
          <w:color w:val="FF0000"/>
          <w:kern w:val="0"/>
          <w:szCs w:val="21"/>
        </w:rPr>
        <w:t>否。</w:t>
      </w:r>
    </w:p>
    <w:p>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pPr>
        <w:snapToGrid w:val="0"/>
        <w:spacing w:line="300" w:lineRule="auto"/>
        <w:ind w:firstLine="480" w:firstLineChars="200"/>
        <w:rPr>
          <w:rFonts w:ascii="Arial" w:hAnsi="Arial" w:eastAsia="宋体" w:cs="Times New Roman"/>
          <w:sz w:val="24"/>
          <w:szCs w:val="24"/>
        </w:rPr>
      </w:pPr>
    </w:p>
    <w:p>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pPr>
        <w:spacing w:after="78" w:afterLines="25"/>
        <w:rPr>
          <w:rFonts w:ascii="Arial" w:hAnsi="Arial" w:eastAsia="宋体" w:cs="Times New Roman"/>
          <w:b/>
          <w:color w:val="FF0000"/>
          <w:sz w:val="30"/>
          <w:szCs w:val="30"/>
        </w:rPr>
      </w:pPr>
    </w:p>
    <w:p>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3" w:name="_Hlk71926094"/>
      <w:r>
        <w:rPr>
          <w:rFonts w:hint="eastAsia" w:ascii="宋体" w:hAnsi="宋体" w:eastAsia="宋体" w:cs="Times New Roman"/>
          <w:b/>
          <w:bCs/>
          <w:kern w:val="0"/>
          <w:sz w:val="28"/>
          <w:szCs w:val="28"/>
        </w:rPr>
        <w:t>对通用条款的补充内容及其他关键信息</w:t>
      </w:r>
      <w:bookmarkEnd w:id="3"/>
    </w:p>
    <w:p>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4" w:name="_Toc101074876"/>
      <w:bookmarkStart w:id="5" w:name="_Toc60560625"/>
      <w:bookmarkStart w:id="6" w:name="_Toc100052364"/>
      <w:bookmarkStart w:id="7" w:name="_Toc73521635"/>
      <w:bookmarkStart w:id="8" w:name="_Toc73518117"/>
      <w:bookmarkStart w:id="9" w:name="_Toc73521547"/>
      <w:bookmarkStart w:id="10" w:name="_Toc73517639"/>
      <w:bookmarkStart w:id="11" w:name="_Toc60631620"/>
      <w:r>
        <w:rPr>
          <w:rFonts w:hint="eastAsia" w:ascii="宋体" w:hAnsi="宋体" w:eastAsia="宋体" w:cs="Times New Roman"/>
          <w:b/>
          <w:bCs/>
          <w:kern w:val="0"/>
          <w:sz w:val="24"/>
          <w:szCs w:val="24"/>
        </w:rPr>
        <w:t>一、对通用条款的补充内容</w:t>
      </w:r>
    </w:p>
    <w:tbl>
      <w:tblPr>
        <w:tblStyle w:val="18"/>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b/>
                <w:bCs/>
              </w:rPr>
            </w:pPr>
            <w:r>
              <w:rPr>
                <w:rFonts w:hint="eastAsia" w:ascii="宋体" w:hAnsi="宋体"/>
                <w:b/>
                <w:bCs/>
              </w:rPr>
              <w:t>通用条款序号</w:t>
            </w:r>
          </w:p>
        </w:tc>
        <w:tc>
          <w:tcPr>
            <w:tcW w:w="1755" w:type="dxa"/>
            <w:vAlign w:val="center"/>
          </w:tcPr>
          <w:p>
            <w:pPr>
              <w:jc w:val="center"/>
              <w:rPr>
                <w:rFonts w:hint="eastAsia" w:ascii="宋体" w:hAnsi="宋体"/>
                <w:b/>
                <w:bCs/>
              </w:rPr>
            </w:pPr>
            <w:r>
              <w:rPr>
                <w:rFonts w:hint="eastAsia" w:ascii="宋体" w:hAnsi="宋体"/>
                <w:b/>
                <w:bCs/>
              </w:rPr>
              <w:t>涉及事项</w:t>
            </w:r>
          </w:p>
        </w:tc>
        <w:tc>
          <w:tcPr>
            <w:tcW w:w="6795" w:type="dxa"/>
            <w:vAlign w:val="center"/>
          </w:tcPr>
          <w:p>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.1</w:t>
            </w:r>
          </w:p>
        </w:tc>
        <w:tc>
          <w:tcPr>
            <w:tcW w:w="1755" w:type="dxa"/>
            <w:vAlign w:val="center"/>
          </w:tcPr>
          <w:p>
            <w:pPr>
              <w:jc w:val="left"/>
              <w:rPr>
                <w:rFonts w:hint="eastAsia" w:ascii="宋体" w:hAnsi="宋体"/>
              </w:rPr>
            </w:pPr>
            <w:r>
              <w:rPr>
                <w:rFonts w:hint="eastAsia" w:ascii="宋体" w:hAnsi="宋体"/>
              </w:rPr>
              <w:t>采购人</w:t>
            </w:r>
          </w:p>
        </w:tc>
        <w:tc>
          <w:tcPr>
            <w:tcW w:w="6795" w:type="dxa"/>
            <w:vAlign w:val="center"/>
          </w:tcPr>
          <w:p>
            <w:pPr>
              <w:jc w:val="left"/>
              <w:rPr>
                <w:rFonts w:hint="eastAsia" w:ascii="宋体" w:hAnsi="宋体"/>
              </w:rPr>
            </w:pPr>
            <w:r>
              <w:rPr>
                <w:rFonts w:hint="eastAsia" w:ascii="宋体" w:hAnsi="宋体"/>
              </w:rPr>
              <w:t>深圳市龙华外国语高级中学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.2</w:t>
            </w:r>
          </w:p>
        </w:tc>
        <w:tc>
          <w:tcPr>
            <w:tcW w:w="1755" w:type="dxa"/>
            <w:vAlign w:val="center"/>
          </w:tcPr>
          <w:p>
            <w:pPr>
              <w:jc w:val="center"/>
              <w:rPr>
                <w:rFonts w:hint="eastAsia" w:ascii="宋体" w:hAnsi="宋体"/>
              </w:rPr>
            </w:pPr>
            <w:r>
              <w:rPr>
                <w:rFonts w:hint="eastAsia" w:ascii="宋体" w:hAnsi="宋体"/>
              </w:rPr>
              <w:t>政府集中采购机构</w:t>
            </w:r>
          </w:p>
        </w:tc>
        <w:tc>
          <w:tcPr>
            <w:tcW w:w="6795" w:type="dxa"/>
            <w:vAlign w:val="center"/>
          </w:tcPr>
          <w:p>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5</w:t>
            </w:r>
            <w:r>
              <w:rPr>
                <w:rFonts w:ascii="宋体" w:hAnsi="宋体"/>
              </w:rPr>
              <w:t>.3</w:t>
            </w:r>
          </w:p>
        </w:tc>
        <w:tc>
          <w:tcPr>
            <w:tcW w:w="1755" w:type="dxa"/>
            <w:vAlign w:val="center"/>
          </w:tcPr>
          <w:p>
            <w:pPr>
              <w:jc w:val="center"/>
              <w:rPr>
                <w:rFonts w:hint="eastAsia" w:ascii="宋体" w:hAnsi="宋体"/>
              </w:rPr>
            </w:pPr>
            <w:r>
              <w:rPr>
                <w:rFonts w:hint="eastAsia" w:ascii="宋体" w:hAnsi="宋体"/>
              </w:rPr>
              <w:t>联合体投标</w:t>
            </w:r>
          </w:p>
        </w:tc>
        <w:tc>
          <w:tcPr>
            <w:tcW w:w="6795" w:type="dxa"/>
            <w:vAlign w:val="center"/>
          </w:tcPr>
          <w:p>
            <w:pPr>
              <w:jc w:val="left"/>
              <w:rPr>
                <w:rFonts w:ascii="Arial" w:hAnsi="Arial" w:eastAsia="宋体" w:cs="Times New Roman"/>
                <w:szCs w:val="24"/>
              </w:rPr>
            </w:pPr>
            <w:r>
              <w:rPr>
                <w:rFonts w:hint="eastAsia" w:ascii="Arial" w:hAnsi="Arial" w:eastAsia="宋体" w:cs="Times New Roman"/>
                <w:szCs w:val="24"/>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9</w:t>
            </w:r>
          </w:p>
        </w:tc>
        <w:tc>
          <w:tcPr>
            <w:tcW w:w="1755" w:type="dxa"/>
            <w:vAlign w:val="center"/>
          </w:tcPr>
          <w:p>
            <w:pPr>
              <w:jc w:val="center"/>
              <w:rPr>
                <w:rFonts w:hint="eastAsia" w:ascii="宋体" w:hAnsi="宋体"/>
                <w:b/>
                <w:bCs/>
                <w:highlight w:val="yellow"/>
              </w:rPr>
            </w:pPr>
            <w:r>
              <w:rPr>
                <w:rFonts w:hint="eastAsia" w:ascii="宋体" w:hAnsi="宋体"/>
              </w:rPr>
              <w:t>踏勘现场</w:t>
            </w:r>
          </w:p>
        </w:tc>
        <w:tc>
          <w:tcPr>
            <w:tcW w:w="6795" w:type="dxa"/>
            <w:vAlign w:val="center"/>
          </w:tcPr>
          <w:p>
            <w:pPr>
              <w:jc w:val="left"/>
              <w:rPr>
                <w:rFonts w:ascii="Arial" w:hAnsi="Arial" w:cs="Times New Roman"/>
                <w:szCs w:val="24"/>
              </w:rPr>
            </w:pPr>
            <w:r>
              <w:rPr>
                <w:rFonts w:hint="eastAsia" w:ascii="宋体" w:hAnsi="宋体" w:eastAsia="宋体" w:cs="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1</w:t>
            </w:r>
            <w:r>
              <w:rPr>
                <w:rFonts w:ascii="宋体" w:hAnsi="宋体"/>
              </w:rPr>
              <w:t>0</w:t>
            </w:r>
          </w:p>
        </w:tc>
        <w:tc>
          <w:tcPr>
            <w:tcW w:w="1755" w:type="dxa"/>
            <w:vAlign w:val="center"/>
          </w:tcPr>
          <w:p>
            <w:pPr>
              <w:jc w:val="center"/>
              <w:rPr>
                <w:rFonts w:hint="eastAsia" w:ascii="宋体" w:hAnsi="宋体"/>
              </w:rPr>
            </w:pPr>
            <w:r>
              <w:rPr>
                <w:rFonts w:hint="eastAsia" w:ascii="宋体" w:hAnsi="宋体"/>
              </w:rPr>
              <w:t>标前会议</w:t>
            </w:r>
          </w:p>
        </w:tc>
        <w:tc>
          <w:tcPr>
            <w:tcW w:w="6795" w:type="dxa"/>
            <w:vAlign w:val="center"/>
          </w:tcPr>
          <w:p>
            <w:pPr>
              <w:jc w:val="left"/>
              <w:rPr>
                <w:rFonts w:ascii="Arial" w:hAnsi="Arial" w:eastAsia="宋体" w:cs="Times New Roman"/>
                <w:szCs w:val="24"/>
              </w:rPr>
            </w:pPr>
            <w:r>
              <w:rPr>
                <w:rFonts w:hint="eastAsia" w:ascii="宋体" w:hAnsi="宋体" w:eastAsia="宋体" w:cs="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pPr>
              <w:jc w:val="center"/>
              <w:rPr>
                <w:rFonts w:hint="eastAsia" w:ascii="宋体" w:hAnsi="宋体"/>
              </w:rPr>
            </w:pPr>
            <w:r>
              <w:rPr>
                <w:rFonts w:hint="eastAsia" w:ascii="宋体" w:hAnsi="宋体"/>
              </w:rPr>
              <w:t>招标文件的澄清和修改</w:t>
            </w:r>
          </w:p>
        </w:tc>
        <w:tc>
          <w:tcPr>
            <w:tcW w:w="6795" w:type="dxa"/>
            <w:vAlign w:val="center"/>
          </w:tcPr>
          <w:p>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0</w:t>
            </w:r>
          </w:p>
        </w:tc>
        <w:tc>
          <w:tcPr>
            <w:tcW w:w="1755" w:type="dxa"/>
            <w:vAlign w:val="center"/>
          </w:tcPr>
          <w:p>
            <w:pPr>
              <w:jc w:val="center"/>
              <w:rPr>
                <w:rFonts w:hint="eastAsia" w:ascii="宋体" w:hAnsi="宋体"/>
              </w:rPr>
            </w:pPr>
            <w:r>
              <w:rPr>
                <w:rFonts w:hint="eastAsia" w:ascii="宋体" w:hAnsi="宋体"/>
              </w:rPr>
              <w:t>投标有效期</w:t>
            </w:r>
          </w:p>
        </w:tc>
        <w:tc>
          <w:tcPr>
            <w:tcW w:w="6795" w:type="dxa"/>
            <w:vAlign w:val="center"/>
          </w:tcPr>
          <w:p>
            <w:pPr>
              <w:jc w:val="left"/>
              <w:rPr>
                <w:rFonts w:hint="eastAsia" w:ascii="宋体" w:hAnsi="宋体"/>
              </w:rPr>
            </w:pPr>
            <w:r>
              <w:rPr>
                <w:rFonts w:hint="eastAsia" w:ascii="宋体" w:hAnsi="宋体"/>
              </w:rPr>
              <w:t>120日历天（从投标截止之日算起）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2</w:t>
            </w:r>
          </w:p>
        </w:tc>
        <w:tc>
          <w:tcPr>
            <w:tcW w:w="1755" w:type="dxa"/>
            <w:vAlign w:val="center"/>
          </w:tcPr>
          <w:p>
            <w:pPr>
              <w:jc w:val="center"/>
              <w:rPr>
                <w:rFonts w:hint="eastAsia" w:ascii="宋体" w:hAnsi="宋体"/>
              </w:rPr>
            </w:pPr>
            <w:r>
              <w:rPr>
                <w:rFonts w:hint="eastAsia" w:ascii="宋体" w:hAnsi="宋体"/>
              </w:rPr>
              <w:t>投标人的替代方案</w:t>
            </w:r>
          </w:p>
        </w:tc>
        <w:tc>
          <w:tcPr>
            <w:tcW w:w="6795" w:type="dxa"/>
            <w:vAlign w:val="center"/>
          </w:tcPr>
          <w:p>
            <w:pPr>
              <w:jc w:val="left"/>
              <w:rPr>
                <w:rFonts w:hint="eastAsia"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5</w:t>
            </w:r>
          </w:p>
        </w:tc>
        <w:tc>
          <w:tcPr>
            <w:tcW w:w="1755" w:type="dxa"/>
            <w:vAlign w:val="center"/>
          </w:tcPr>
          <w:p>
            <w:pPr>
              <w:jc w:val="center"/>
              <w:rPr>
                <w:rFonts w:hint="eastAsia" w:ascii="宋体" w:hAnsi="宋体"/>
              </w:rPr>
            </w:pPr>
            <w:r>
              <w:rPr>
                <w:rFonts w:hint="eastAsia" w:ascii="宋体" w:hAnsi="宋体"/>
              </w:rPr>
              <w:t>投标文件的大小</w:t>
            </w:r>
          </w:p>
        </w:tc>
        <w:tc>
          <w:tcPr>
            <w:tcW w:w="6795" w:type="dxa"/>
            <w:vAlign w:val="center"/>
          </w:tcPr>
          <w:p>
            <w:pPr>
              <w:jc w:val="left"/>
              <w:rPr>
                <w:rFonts w:hint="eastAsia"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6</w:t>
            </w:r>
          </w:p>
        </w:tc>
        <w:tc>
          <w:tcPr>
            <w:tcW w:w="1755" w:type="dxa"/>
            <w:vAlign w:val="center"/>
          </w:tcPr>
          <w:p>
            <w:pPr>
              <w:jc w:val="center"/>
              <w:rPr>
                <w:rFonts w:hint="eastAsia" w:ascii="宋体" w:hAnsi="宋体"/>
              </w:rPr>
            </w:pPr>
            <w:r>
              <w:rPr>
                <w:rFonts w:hint="eastAsia" w:ascii="宋体" w:hAnsi="宋体"/>
              </w:rPr>
              <w:t>样品、现场演示、方案讲解</w:t>
            </w:r>
          </w:p>
        </w:tc>
        <w:tc>
          <w:tcPr>
            <w:tcW w:w="6795" w:type="dxa"/>
            <w:vAlign w:val="center"/>
          </w:tcPr>
          <w:p>
            <w:pPr>
              <w:jc w:val="left"/>
              <w:rPr>
                <w:rFonts w:hint="eastAsia"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7</w:t>
            </w:r>
          </w:p>
        </w:tc>
        <w:tc>
          <w:tcPr>
            <w:tcW w:w="1755" w:type="dxa"/>
            <w:vAlign w:val="center"/>
          </w:tcPr>
          <w:p>
            <w:pPr>
              <w:jc w:val="center"/>
              <w:rPr>
                <w:rFonts w:hint="eastAsia" w:ascii="宋体" w:hAnsi="宋体"/>
              </w:rPr>
            </w:pPr>
            <w:r>
              <w:rPr>
                <w:rFonts w:hint="eastAsia" w:ascii="宋体" w:hAnsi="宋体"/>
              </w:rPr>
              <w:t>评审方法</w:t>
            </w:r>
          </w:p>
        </w:tc>
        <w:tc>
          <w:tcPr>
            <w:tcW w:w="6795" w:type="dxa"/>
            <w:vAlign w:val="center"/>
          </w:tcPr>
          <w:p>
            <w:pPr>
              <w:jc w:val="left"/>
              <w:rPr>
                <w:rFonts w:hint="eastAsia" w:ascii="宋体" w:hAnsi="宋体"/>
              </w:rPr>
            </w:pPr>
            <w:r>
              <w:rPr>
                <w:rFonts w:ascii="宋体" w:hAnsi="宋体"/>
                <w:b/>
                <w:bCs/>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8</w:t>
            </w:r>
          </w:p>
        </w:tc>
        <w:tc>
          <w:tcPr>
            <w:tcW w:w="1755" w:type="dxa"/>
            <w:vAlign w:val="center"/>
          </w:tcPr>
          <w:p>
            <w:pPr>
              <w:jc w:val="center"/>
              <w:rPr>
                <w:rFonts w:hint="eastAsia" w:ascii="宋体" w:hAnsi="宋体"/>
              </w:rPr>
            </w:pPr>
            <w:r>
              <w:rPr>
                <w:rFonts w:hint="eastAsia" w:ascii="宋体" w:hAnsi="宋体"/>
              </w:rPr>
              <w:t>定标方法</w:t>
            </w:r>
          </w:p>
        </w:tc>
        <w:tc>
          <w:tcPr>
            <w:tcW w:w="6795" w:type="dxa"/>
            <w:vAlign w:val="center"/>
          </w:tcPr>
          <w:p>
            <w:pPr>
              <w:jc w:val="left"/>
              <w:rPr>
                <w:rFonts w:hint="eastAsia" w:ascii="宋体" w:hAnsi="宋体"/>
                <w:b/>
                <w:bCs/>
                <w:highlight w:val="yellow"/>
              </w:rPr>
            </w:pPr>
            <w:r>
              <w:rPr>
                <w:rFonts w:hint="eastAsia" w:ascii="宋体" w:hAnsi="宋体" w:eastAsia="宋体" w:cs="Times New Roman"/>
                <w:b/>
                <w:bCs/>
                <w:szCs w:val="21"/>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4</w:t>
            </w:r>
            <w:r>
              <w:rPr>
                <w:rFonts w:ascii="宋体" w:hAnsi="宋体"/>
              </w:rPr>
              <w:t>6</w:t>
            </w:r>
          </w:p>
        </w:tc>
        <w:tc>
          <w:tcPr>
            <w:tcW w:w="1755" w:type="dxa"/>
            <w:vAlign w:val="center"/>
          </w:tcPr>
          <w:p>
            <w:pPr>
              <w:jc w:val="center"/>
              <w:rPr>
                <w:rFonts w:hint="eastAsia" w:ascii="宋体" w:hAnsi="宋体"/>
              </w:rPr>
            </w:pPr>
            <w:r>
              <w:rPr>
                <w:rFonts w:hint="eastAsia" w:ascii="宋体" w:hAnsi="宋体"/>
              </w:rPr>
              <w:t>履约担保</w:t>
            </w:r>
          </w:p>
        </w:tc>
        <w:tc>
          <w:tcPr>
            <w:tcW w:w="6795" w:type="dxa"/>
            <w:vAlign w:val="center"/>
          </w:tcPr>
          <w:p>
            <w:pPr>
              <w:jc w:val="left"/>
              <w:rPr>
                <w:rFonts w:hint="eastAsia" w:ascii="宋体" w:hAnsi="宋体"/>
              </w:rPr>
            </w:pPr>
            <w:r>
              <w:rPr>
                <w:rFonts w:hint="eastAsia" w:ascii="宋体" w:hAnsi="宋体"/>
              </w:rPr>
              <w:t>不需要</w:t>
            </w:r>
          </w:p>
        </w:tc>
      </w:tr>
      <w:bookmarkEnd w:id="4"/>
      <w:bookmarkEnd w:id="5"/>
      <w:bookmarkEnd w:id="6"/>
      <w:bookmarkEnd w:id="7"/>
      <w:bookmarkEnd w:id="8"/>
      <w:bookmarkEnd w:id="9"/>
      <w:bookmarkEnd w:id="10"/>
      <w:bookmarkEnd w:id="11"/>
    </w:tbl>
    <w:p>
      <w:pPr>
        <w:widowControl/>
        <w:jc w:val="center"/>
        <w:rPr>
          <w:szCs w:val="21"/>
        </w:rPr>
      </w:pPr>
      <w:r>
        <w:rPr>
          <w:rFonts w:hint="eastAsia"/>
          <w:szCs w:val="21"/>
        </w:rPr>
        <w:t>备注：本表是通用条款相关条款的补充和明确，如与通用条款内容相冲突的，以本表为准。</w:t>
      </w:r>
    </w:p>
    <w:p>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pPr>
        <w:tabs>
          <w:tab w:val="left" w:pos="720"/>
        </w:tabs>
        <w:rPr>
          <w:rFonts w:hint="eastAsia" w:ascii="黑体" w:hAnsi="宋体" w:eastAsia="黑体"/>
          <w:bCs/>
          <w:sz w:val="24"/>
        </w:rPr>
      </w:pPr>
      <w:r>
        <w:rPr>
          <w:rFonts w:hint="eastAsia" w:ascii="黑体" w:hAnsi="宋体" w:eastAsia="黑体"/>
          <w:bCs/>
          <w:sz w:val="24"/>
        </w:rPr>
        <w:t>1、评标定标信息</w:t>
      </w:r>
    </w:p>
    <w:p>
      <w:pPr>
        <w:jc w:val="center"/>
      </w:pPr>
      <w:r>
        <w:rPr>
          <w:rFonts w:hint="eastAsia"/>
          <w:b/>
        </w:rPr>
        <w:t>非评定分离项目</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3235" w:type="dxa"/>
          </w:tcPr>
          <w:p>
            <w:pPr>
              <w:jc w:val="center"/>
              <w:rPr>
                <w:rFonts w:eastAsia="宋体"/>
              </w:rPr>
            </w:pPr>
            <w:r>
              <w:rPr>
                <w:rFonts w:hint="eastAsia"/>
              </w:rPr>
              <w:sym w:font="Wingdings" w:char="00FE"/>
            </w:r>
            <w:r>
              <w:rPr>
                <w:rFonts w:hint="eastAsia"/>
              </w:rPr>
              <w:t>综合评分法</w:t>
            </w:r>
          </w:p>
        </w:tc>
        <w:tc>
          <w:tcPr>
            <w:tcW w:w="2450" w:type="dxa"/>
          </w:tcPr>
          <w:p>
            <w:pPr>
              <w:jc w:val="center"/>
            </w:pPr>
            <w:r>
              <w:rPr>
                <w:rFonts w:hint="eastAsia" w:ascii="Times New Roman" w:eastAsia="宋体"/>
              </w:rPr>
              <w:sym w:font="Wingdings" w:char="00A8"/>
            </w:r>
            <w:r>
              <w:rPr>
                <w:rFonts w:hint="eastAsia" w:ascii="Times New Roman" w:eastAsia="宋体"/>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3235" w:type="dxa"/>
          </w:tcPr>
          <w:p>
            <w:pPr>
              <w:jc w:val="center"/>
              <w:rPr>
                <w:rFonts w:eastAsia="宋体"/>
              </w:rPr>
            </w:pPr>
            <w:r>
              <w:rPr>
                <w:rFonts w:hint="eastAsia" w:eastAsia="宋体"/>
              </w:rPr>
              <w:t>3</w:t>
            </w:r>
          </w:p>
        </w:tc>
        <w:tc>
          <w:tcPr>
            <w:tcW w:w="2450"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3235" w:type="dxa"/>
          </w:tcPr>
          <w:p>
            <w:pPr>
              <w:jc w:val="center"/>
            </w:pPr>
            <w:r>
              <w:rPr>
                <w:rFonts w:hint="eastAsia"/>
              </w:rPr>
              <w:t>1</w:t>
            </w:r>
          </w:p>
        </w:tc>
        <w:tc>
          <w:tcPr>
            <w:tcW w:w="2450" w:type="dxa"/>
          </w:tcPr>
          <w:p>
            <w:pPr>
              <w:jc w:val="center"/>
            </w:pPr>
            <w:r>
              <w:rPr>
                <w:rFonts w:hint="eastAsia"/>
              </w:rPr>
              <w:t>1</w:t>
            </w:r>
          </w:p>
        </w:tc>
      </w:tr>
    </w:tbl>
    <w:p>
      <w:pPr>
        <w:tabs>
          <w:tab w:val="left" w:pos="720"/>
        </w:tabs>
        <w:rPr>
          <w:rFonts w:hint="eastAsia" w:ascii="黑体" w:hAnsi="宋体" w:eastAsia="黑体"/>
          <w:sz w:val="24"/>
        </w:rPr>
      </w:pPr>
      <w:r>
        <w:rPr>
          <w:rFonts w:hint="eastAsia" w:ascii="黑体" w:hAnsi="宋体" w:eastAsia="黑体"/>
          <w:sz w:val="24"/>
        </w:rPr>
        <w:t>（二）其他事项</w:t>
      </w:r>
    </w:p>
    <w:p>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pPr>
        <w:ind w:firstLine="413" w:firstLineChars="196"/>
        <w:rPr>
          <w:rFonts w:hint="eastAsia" w:ascii="宋体" w:hAnsi="宋体"/>
          <w:color w:val="FF0000"/>
          <w:highlight w:val="none"/>
        </w:rPr>
      </w:pPr>
      <w:r>
        <w:rPr>
          <w:rFonts w:hint="eastAsia" w:ascii="宋体" w:hAnsi="宋体"/>
          <w:b/>
          <w:bCs/>
          <w:color w:val="FF0000"/>
          <w:highlight w:val="none"/>
        </w:rPr>
        <w:t>（1）</w:t>
      </w:r>
      <w:r>
        <w:rPr>
          <w:rFonts w:hint="eastAsia"/>
          <w:b/>
          <w:bCs/>
          <w:color w:val="FF0000"/>
          <w:highlight w:val="none"/>
        </w:rPr>
        <w:t>专门面向中小企业采购的项目（包括联合体或分包预留中小企业份额的项目），不再执行价格扣除比例。</w:t>
      </w:r>
    </w:p>
    <w:p>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w:t>
      </w:r>
      <w:r>
        <w:rPr>
          <w:rFonts w:hint="eastAsia" w:ascii="Times New Roman" w:eastAsia="宋体"/>
        </w:rPr>
        <w:t>小企业采购的项目，</w:t>
      </w:r>
      <w:r>
        <w:rPr>
          <w:rFonts w:hint="eastAsia"/>
        </w:rPr>
        <w:t>应</w:t>
      </w:r>
      <w:r>
        <w:rPr>
          <w:rFonts w:hint="eastAsia" w:ascii="Times New Roman" w:eastAsia="宋体"/>
        </w:rPr>
        <w:t>执行价格扣除比例</w:t>
      </w:r>
      <w:r>
        <w:rPr>
          <w:rFonts w:hint="eastAsia"/>
        </w:rPr>
        <w:t>：</w:t>
      </w:r>
      <w:r>
        <w:rPr>
          <w:rFonts w:hint="eastAsia" w:ascii="宋体" w:hAnsi="宋体"/>
        </w:rPr>
        <w:t>投标人提供的货物（以招标文件用户需求书“货物需求明细”的“货物名称”一栏为准）全部均由优惠主体制造的，对其投标总价给予</w:t>
      </w:r>
      <w:r>
        <w:rPr>
          <w:rFonts w:hint="eastAsia" w:ascii="宋体" w:hAnsi="宋体"/>
          <w:b/>
          <w:bCs/>
          <w:u w:val="single"/>
        </w:rPr>
        <w:t xml:space="preserve"> 10%</w:t>
      </w:r>
      <w:r>
        <w:rPr>
          <w:rFonts w:hint="eastAsia" w:ascii="宋体" w:hAnsi="宋体" w:eastAsia="宋体" w:cs="Times New Roman"/>
          <w:b/>
          <w:bCs/>
          <w:sz w:val="24"/>
          <w:szCs w:val="24"/>
          <w:u w:val="single"/>
        </w:rPr>
        <w:t xml:space="preserve"> </w:t>
      </w:r>
      <w:r>
        <w:rPr>
          <w:rFonts w:hint="eastAsia" w:ascii="宋体" w:hAnsi="宋体"/>
          <w:b/>
          <w:bCs/>
        </w:rPr>
        <w:t>的</w:t>
      </w:r>
      <w:r>
        <w:rPr>
          <w:rFonts w:hint="eastAsia" w:ascii="宋体" w:hAnsi="宋体"/>
        </w:rPr>
        <w:t>扣除，用扣除后的价格参与评审。满足多项优惠政策的企业，不重复享受多项价格扣除政策。</w:t>
      </w:r>
      <w:r>
        <w:rPr>
          <w:rFonts w:hint="eastAsia" w:ascii="Arial" w:hAnsi="Arial" w:eastAsia="宋体" w:cs="Times New Roman"/>
          <w:b/>
          <w:szCs w:val="21"/>
        </w:rPr>
        <w:t>政策调整后价格仅作为评审依据，不作为中标价格。</w:t>
      </w:r>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2"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2"/>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pPr>
        <w:tabs>
          <w:tab w:val="left" w:pos="720"/>
        </w:tabs>
        <w:ind w:firstLine="480" w:firstLineChars="200"/>
        <w:rPr>
          <w:rFonts w:hint="eastAsia" w:ascii="黑体" w:hAnsi="宋体" w:eastAsia="黑体"/>
          <w:sz w:val="24"/>
        </w:rPr>
      </w:pPr>
    </w:p>
    <w:p>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r>
    </w:tbl>
    <w:p>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pPr>
        <w:widowControl/>
        <w:ind w:firstLine="420"/>
        <w:jc w:val="left"/>
        <w:rPr>
          <w:rFonts w:hint="eastAsia" w:ascii="宋体" w:hAnsi="宋体"/>
          <w:color w:val="FF0000"/>
          <w:szCs w:val="21"/>
        </w:rPr>
      </w:pPr>
    </w:p>
    <w:p>
      <w:pPr>
        <w:widowControl/>
        <w:ind w:firstLine="420"/>
        <w:jc w:val="left"/>
        <w:rPr>
          <w:rFonts w:hint="eastAsia" w:ascii="宋体" w:hAnsi="宋体" w:eastAsia="黑体" w:cs="Times New Roman"/>
          <w:bCs/>
          <w:kern w:val="44"/>
          <w:szCs w:val="21"/>
        </w:rPr>
      </w:pPr>
    </w:p>
    <w:p>
      <w:pPr>
        <w:widowControl/>
        <w:jc w:val="left"/>
        <w:rPr>
          <w:rFonts w:hint="eastAsia" w:ascii="宋体" w:hAnsi="宋体" w:eastAsia="黑体" w:cs="Times New Roman"/>
          <w:bCs/>
          <w:kern w:val="44"/>
          <w:sz w:val="28"/>
          <w:szCs w:val="44"/>
        </w:rPr>
      </w:pPr>
      <w:r>
        <w:rPr>
          <w:rFonts w:ascii="宋体" w:hAnsi="宋体" w:eastAsia="黑体" w:cs="Times New Roman"/>
          <w:bCs/>
          <w:kern w:val="44"/>
          <w:sz w:val="28"/>
          <w:szCs w:val="44"/>
        </w:rPr>
        <w:br w:type="page"/>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pPr>
        <w:keepNext/>
        <w:keepLines/>
        <w:tabs>
          <w:tab w:val="left" w:pos="1680"/>
        </w:tabs>
        <w:spacing w:before="260" w:after="78" w:afterLines="25"/>
        <w:jc w:val="center"/>
        <w:outlineLvl w:val="2"/>
        <w:rPr>
          <w:rFonts w:ascii="Arial" w:hAnsi="Arial" w:eastAsia="宋体" w:cs="Times New Roman"/>
          <w:b/>
          <w:sz w:val="32"/>
          <w:szCs w:val="32"/>
        </w:rPr>
      </w:pPr>
      <w:bookmarkStart w:id="108" w:name="_GoBack"/>
      <w:bookmarkEnd w:id="108"/>
      <w:r>
        <w:rPr>
          <w:rFonts w:hint="eastAsia" w:ascii="Arial" w:hAnsi="Arial" w:eastAsia="宋体" w:cs="Times New Roman"/>
          <w:b/>
          <w:sz w:val="32"/>
          <w:szCs w:val="32"/>
        </w:rPr>
        <w:t>一、项目基本信息</w:t>
      </w:r>
    </w:p>
    <w:tbl>
      <w:tblPr>
        <w:tblStyle w:val="18"/>
        <w:tblW w:w="8931" w:type="dxa"/>
        <w:jc w:val="center"/>
        <w:tblLayout w:type="fixed"/>
        <w:tblCellMar>
          <w:top w:w="15" w:type="dxa"/>
          <w:left w:w="15" w:type="dxa"/>
          <w:bottom w:w="15" w:type="dxa"/>
          <w:right w:w="15" w:type="dxa"/>
        </w:tblCellMar>
      </w:tblPr>
      <w:tblGrid>
        <w:gridCol w:w="710"/>
        <w:gridCol w:w="2693"/>
        <w:gridCol w:w="2906"/>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pPr>
              <w:jc w:val="center"/>
            </w:pPr>
            <w:r>
              <w:rPr>
                <w:rFonts w:hint="eastAsia"/>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pPr>
              <w:jc w:val="center"/>
            </w:pPr>
            <w:r>
              <w:rPr>
                <w:rFonts w:hint="eastAsia"/>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pPr>
            <w:r>
              <w:rPr>
                <w:rFonts w:hint="eastAsia"/>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pPr>
            <w:r>
              <w:rPr>
                <w:rFonts w:hint="eastAsia" w:asciiTheme="minorEastAsia" w:hAnsiTheme="minorEastAsia"/>
                <w:sz w:val="24"/>
                <w:szCs w:val="24"/>
              </w:rPr>
              <w:t>财政预算限额（元）</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heme="minorEastAsia" w:hAnsiTheme="minorEastAsia"/>
                <w:sz w:val="24"/>
                <w:szCs w:val="24"/>
              </w:rPr>
            </w:pPr>
            <w:r>
              <w:rPr>
                <w:rFonts w:hint="eastAsia" w:asciiTheme="minorEastAsia" w:hAnsiTheme="minorEastAsia"/>
                <w:sz w:val="24"/>
                <w:szCs w:val="24"/>
              </w:rPr>
              <w:t>1</w:t>
            </w:r>
          </w:p>
        </w:tc>
        <w:tc>
          <w:tcPr>
            <w:tcW w:w="2693"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Theme="minorEastAsia" w:hAnsiTheme="minorEastAsia" w:eastAsiaTheme="minorEastAsia"/>
                <w:sz w:val="24"/>
                <w:szCs w:val="24"/>
                <w:lang w:eastAsia="zh-CN"/>
              </w:rPr>
            </w:pPr>
            <w:r>
              <w:rPr>
                <w:rFonts w:hint="eastAsia" w:ascii="宋体" w:hAnsi="宋体" w:eastAsia="宋体" w:cs="宋体"/>
                <w:sz w:val="24"/>
                <w:szCs w:val="24"/>
                <w:lang w:val="en-US" w:eastAsia="zh-CN"/>
              </w:rPr>
              <w:t xml:space="preserve"> LHAZXCG-2025-00114</w:t>
            </w:r>
          </w:p>
        </w:tc>
        <w:tc>
          <w:tcPr>
            <w:tcW w:w="2906" w:type="dxa"/>
            <w:tcBorders>
              <w:top w:val="single" w:color="000000" w:sz="4" w:space="0"/>
              <w:left w:val="single" w:color="000000" w:sz="4" w:space="0"/>
              <w:right w:val="single" w:color="000000" w:sz="4" w:space="0"/>
            </w:tcBorders>
            <w:vAlign w:val="center"/>
          </w:tcPr>
          <w:p>
            <w:pPr>
              <w:jc w:val="center"/>
              <w:rPr>
                <w:rFonts w:hint="eastAsia" w:eastAsia="宋体"/>
                <w:lang w:eastAsia="zh-CN"/>
              </w:rPr>
            </w:pPr>
            <w:r>
              <w:rPr>
                <w:rFonts w:hint="eastAsia" w:eastAsia="宋体"/>
                <w:lang w:eastAsia="zh-CN"/>
              </w:rPr>
              <w:t>深圳市龙华外国语高级中学校园门禁通行考勤管理设备采购项目</w:t>
            </w:r>
          </w:p>
        </w:tc>
        <w:tc>
          <w:tcPr>
            <w:tcW w:w="2622" w:type="dxa"/>
            <w:vMerge w:val="restart"/>
            <w:tcBorders>
              <w:top w:val="single" w:color="000000" w:sz="4" w:space="0"/>
              <w:left w:val="single" w:color="000000" w:sz="4" w:space="0"/>
              <w:right w:val="single" w:color="000000" w:sz="4" w:space="0"/>
            </w:tcBorders>
            <w:vAlign w:val="center"/>
          </w:tcPr>
          <w:p>
            <w:pPr>
              <w:jc w:val="center"/>
              <w:rPr>
                <w:rFonts w:hint="eastAsia" w:asciiTheme="minorEastAsia" w:hAnsiTheme="minorEastAsia" w:eastAsiaTheme="minorEastAsia"/>
                <w:sz w:val="24"/>
                <w:szCs w:val="24"/>
                <w:lang w:eastAsia="zh-CN"/>
              </w:rPr>
            </w:pPr>
            <w:r>
              <w:rPr>
                <w:rFonts w:hint="default" w:ascii="Arial" w:hAnsi="Arial" w:eastAsia="宋体" w:cs="Arial"/>
                <w:i w:val="0"/>
                <w:iCs w:val="0"/>
                <w:caps w:val="0"/>
                <w:color w:val="333333"/>
                <w:spacing w:val="8"/>
                <w:kern w:val="0"/>
                <w:sz w:val="21"/>
                <w:szCs w:val="21"/>
                <w:lang w:val="en-US" w:eastAsia="zh-CN" w:bidi="ar"/>
              </w:rPr>
              <w:t>150000</w:t>
            </w:r>
            <w:r>
              <w:rPr>
                <w:rFonts w:hint="eastAsia" w:asciiTheme="minorEastAsia" w:hAnsiTheme="minorEastAsia"/>
                <w:sz w:val="24"/>
                <w:szCs w:val="24"/>
                <w:lang w:val="en-US" w:eastAsia="zh-CN"/>
              </w:rPr>
              <w:t xml:space="preserve"> </w:t>
            </w:r>
          </w:p>
        </w:tc>
      </w:tr>
      <w:tr>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合计（元）</w:t>
            </w:r>
          </w:p>
        </w:tc>
        <w:tc>
          <w:tcPr>
            <w:tcW w:w="2622" w:type="dxa"/>
            <w:vMerge w:val="continue"/>
            <w:tcBorders>
              <w:left w:val="single" w:color="000000" w:sz="4" w:space="0"/>
              <w:bottom w:val="single" w:color="auto" w:sz="4" w:space="0"/>
              <w:right w:val="single" w:color="000000" w:sz="4" w:space="0"/>
            </w:tcBorders>
            <w:vAlign w:val="center"/>
          </w:tcPr>
          <w:p>
            <w:pPr>
              <w:jc w:val="center"/>
              <w:rPr>
                <w:rFonts w:hint="eastAsia" w:asciiTheme="minorEastAsia" w:hAnsiTheme="minorEastAsia"/>
                <w:sz w:val="24"/>
                <w:szCs w:val="24"/>
              </w:rPr>
            </w:pPr>
          </w:p>
        </w:tc>
      </w:tr>
    </w:tbl>
    <w:p>
      <w:pPr>
        <w:rPr>
          <w:sz w:val="24"/>
          <w:szCs w:val="24"/>
        </w:rPr>
      </w:pPr>
    </w:p>
    <w:p>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tbl>
      <w:tblPr>
        <w:tblStyle w:val="18"/>
        <w:tblpPr w:leftFromText="180" w:rightFromText="180" w:vertAnchor="text" w:horzAnchor="page" w:tblpX="1677" w:tblpY="10"/>
        <w:tblOverlap w:val="never"/>
        <w:tblW w:w="8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24"/>
        <w:gridCol w:w="1010"/>
        <w:gridCol w:w="723"/>
        <w:gridCol w:w="1058"/>
        <w:gridCol w:w="1404"/>
        <w:gridCol w:w="1074"/>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vMerge w:val="restart"/>
            <w:noWrap w:val="0"/>
            <w:vAlign w:val="center"/>
          </w:tcPr>
          <w:p>
            <w:pPr>
              <w:jc w:val="center"/>
              <w:rPr>
                <w:bCs/>
                <w:szCs w:val="21"/>
              </w:rPr>
            </w:pPr>
            <w:r>
              <w:rPr>
                <w:rFonts w:hint="eastAsia" w:ascii="宋体" w:hAnsi="宋体"/>
                <w:b/>
                <w:color w:val="FF0000"/>
                <w:sz w:val="32"/>
                <w:szCs w:val="32"/>
                <w:lang w:val="en-US" w:eastAsia="zh-CN"/>
              </w:rPr>
              <w:t xml:space="preserve"> </w:t>
            </w:r>
            <w:r>
              <w:rPr>
                <w:rFonts w:hint="eastAsia"/>
                <w:bCs/>
                <w:szCs w:val="21"/>
              </w:rPr>
              <w:t>序号</w:t>
            </w:r>
          </w:p>
        </w:tc>
        <w:tc>
          <w:tcPr>
            <w:tcW w:w="1824" w:type="dxa"/>
            <w:vMerge w:val="restart"/>
            <w:noWrap w:val="0"/>
            <w:vAlign w:val="center"/>
          </w:tcPr>
          <w:p>
            <w:pPr>
              <w:jc w:val="center"/>
              <w:rPr>
                <w:rFonts w:hint="eastAsia" w:eastAsia="宋体"/>
                <w:bCs/>
                <w:szCs w:val="21"/>
                <w:lang w:eastAsia="zh-CN"/>
              </w:rPr>
            </w:pPr>
            <w:r>
              <w:rPr>
                <w:rFonts w:hint="eastAsia"/>
                <w:bCs/>
                <w:szCs w:val="21"/>
                <w:lang w:eastAsia="zh-CN"/>
              </w:rPr>
              <w:t>货物名称</w:t>
            </w:r>
          </w:p>
        </w:tc>
        <w:tc>
          <w:tcPr>
            <w:tcW w:w="1010" w:type="dxa"/>
            <w:vMerge w:val="restart"/>
            <w:noWrap w:val="0"/>
            <w:vAlign w:val="center"/>
          </w:tcPr>
          <w:p>
            <w:pPr>
              <w:jc w:val="center"/>
              <w:rPr>
                <w:bCs/>
                <w:szCs w:val="21"/>
              </w:rPr>
            </w:pPr>
            <w:r>
              <w:rPr>
                <w:rFonts w:hint="eastAsia"/>
                <w:bCs/>
                <w:szCs w:val="21"/>
              </w:rPr>
              <w:t>数量</w:t>
            </w:r>
          </w:p>
        </w:tc>
        <w:tc>
          <w:tcPr>
            <w:tcW w:w="723" w:type="dxa"/>
            <w:vMerge w:val="restart"/>
            <w:noWrap w:val="0"/>
            <w:vAlign w:val="center"/>
          </w:tcPr>
          <w:p>
            <w:pPr>
              <w:jc w:val="center"/>
              <w:rPr>
                <w:bCs/>
                <w:szCs w:val="21"/>
              </w:rPr>
            </w:pPr>
            <w:r>
              <w:rPr>
                <w:rFonts w:hint="eastAsia"/>
                <w:bCs/>
                <w:szCs w:val="21"/>
              </w:rPr>
              <w:t>单位</w:t>
            </w:r>
          </w:p>
        </w:tc>
        <w:tc>
          <w:tcPr>
            <w:tcW w:w="2462" w:type="dxa"/>
            <w:gridSpan w:val="2"/>
            <w:noWrap w:val="0"/>
            <w:vAlign w:val="center"/>
          </w:tcPr>
          <w:p>
            <w:pPr>
              <w:jc w:val="center"/>
              <w:rPr>
                <w:rFonts w:hint="eastAsia"/>
                <w:bCs/>
                <w:szCs w:val="21"/>
                <w:lang w:eastAsia="zh-CN"/>
              </w:rPr>
            </w:pPr>
            <w:r>
              <w:rPr>
                <w:rFonts w:hint="eastAsia"/>
                <w:bCs/>
                <w:szCs w:val="21"/>
                <w:lang w:eastAsia="zh-CN"/>
              </w:rPr>
              <w:t>单价限额（元）</w:t>
            </w:r>
          </w:p>
        </w:tc>
        <w:tc>
          <w:tcPr>
            <w:tcW w:w="1074" w:type="dxa"/>
            <w:vMerge w:val="restart"/>
            <w:noWrap w:val="0"/>
            <w:vAlign w:val="center"/>
          </w:tcPr>
          <w:p>
            <w:pPr>
              <w:jc w:val="center"/>
              <w:rPr>
                <w:b/>
                <w:bCs/>
                <w:color w:val="FF0000"/>
                <w:szCs w:val="21"/>
              </w:rPr>
            </w:pPr>
            <w:r>
              <w:rPr>
                <w:rFonts w:hint="eastAsia" w:ascii="Times New Roman" w:eastAsia="宋体"/>
                <w:b/>
                <w:bCs/>
                <w:color w:val="FF0000"/>
                <w:szCs w:val="21"/>
                <w:lang w:val="en-US" w:eastAsia="zh-CN"/>
              </w:rPr>
              <w:t>标的所属行业</w:t>
            </w:r>
          </w:p>
        </w:tc>
        <w:tc>
          <w:tcPr>
            <w:tcW w:w="1101" w:type="dxa"/>
            <w:vMerge w:val="restart"/>
            <w:noWrap w:val="0"/>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vMerge w:val="continue"/>
            <w:noWrap w:val="0"/>
            <w:vAlign w:val="center"/>
          </w:tcPr>
          <w:p>
            <w:pPr>
              <w:jc w:val="center"/>
              <w:rPr>
                <w:rFonts w:hint="eastAsia"/>
                <w:bCs/>
                <w:szCs w:val="21"/>
              </w:rPr>
            </w:pPr>
          </w:p>
        </w:tc>
        <w:tc>
          <w:tcPr>
            <w:tcW w:w="1824" w:type="dxa"/>
            <w:vMerge w:val="continue"/>
            <w:noWrap w:val="0"/>
            <w:vAlign w:val="center"/>
          </w:tcPr>
          <w:p>
            <w:pPr>
              <w:jc w:val="center"/>
              <w:rPr>
                <w:rFonts w:hint="eastAsia"/>
                <w:bCs/>
                <w:szCs w:val="21"/>
              </w:rPr>
            </w:pPr>
          </w:p>
        </w:tc>
        <w:tc>
          <w:tcPr>
            <w:tcW w:w="1010" w:type="dxa"/>
            <w:vMerge w:val="continue"/>
            <w:noWrap w:val="0"/>
            <w:vAlign w:val="center"/>
          </w:tcPr>
          <w:p>
            <w:pPr>
              <w:jc w:val="center"/>
              <w:rPr>
                <w:rFonts w:hint="eastAsia"/>
                <w:bCs/>
                <w:szCs w:val="21"/>
              </w:rPr>
            </w:pPr>
          </w:p>
        </w:tc>
        <w:tc>
          <w:tcPr>
            <w:tcW w:w="723" w:type="dxa"/>
            <w:vMerge w:val="continue"/>
            <w:noWrap w:val="0"/>
            <w:vAlign w:val="center"/>
          </w:tcPr>
          <w:p>
            <w:pPr>
              <w:jc w:val="center"/>
              <w:rPr>
                <w:rFonts w:hint="eastAsia"/>
                <w:bCs/>
                <w:szCs w:val="21"/>
              </w:rPr>
            </w:pPr>
          </w:p>
        </w:tc>
        <w:tc>
          <w:tcPr>
            <w:tcW w:w="1058" w:type="dxa"/>
            <w:noWrap w:val="0"/>
            <w:vAlign w:val="center"/>
          </w:tcPr>
          <w:p>
            <w:pPr>
              <w:jc w:val="center"/>
              <w:rPr>
                <w:rFonts w:hint="eastAsia"/>
                <w:bCs/>
                <w:szCs w:val="21"/>
                <w:lang w:eastAsia="zh-CN"/>
              </w:rPr>
            </w:pPr>
            <w:r>
              <w:rPr>
                <w:rFonts w:hint="eastAsia"/>
                <w:bCs/>
                <w:szCs w:val="21"/>
                <w:lang w:eastAsia="zh-CN"/>
              </w:rPr>
              <w:t>单价</w:t>
            </w:r>
          </w:p>
        </w:tc>
        <w:tc>
          <w:tcPr>
            <w:tcW w:w="1404" w:type="dxa"/>
            <w:noWrap w:val="0"/>
            <w:vAlign w:val="center"/>
          </w:tcPr>
          <w:p>
            <w:pPr>
              <w:jc w:val="center"/>
              <w:rPr>
                <w:rFonts w:hint="eastAsia"/>
                <w:bCs/>
                <w:szCs w:val="21"/>
                <w:lang w:eastAsia="zh-CN"/>
              </w:rPr>
            </w:pPr>
            <w:r>
              <w:rPr>
                <w:rFonts w:hint="eastAsia"/>
                <w:bCs/>
                <w:szCs w:val="21"/>
                <w:lang w:eastAsia="zh-CN"/>
              </w:rPr>
              <w:t>单项总额（单价乘以数量）</w:t>
            </w:r>
          </w:p>
        </w:tc>
        <w:tc>
          <w:tcPr>
            <w:tcW w:w="1074" w:type="dxa"/>
            <w:vMerge w:val="continue"/>
            <w:noWrap w:val="0"/>
            <w:vAlign w:val="center"/>
          </w:tcPr>
          <w:p>
            <w:pPr>
              <w:jc w:val="center"/>
              <w:rPr>
                <w:rFonts w:hint="eastAsia"/>
                <w:b/>
                <w:bCs/>
                <w:color w:val="FF0000"/>
                <w:szCs w:val="21"/>
              </w:rPr>
            </w:pPr>
          </w:p>
        </w:tc>
        <w:tc>
          <w:tcPr>
            <w:tcW w:w="1101" w:type="dxa"/>
            <w:vMerge w:val="continue"/>
            <w:noWrap w:val="0"/>
            <w:vAlign w:val="center"/>
          </w:tcPr>
          <w:p>
            <w:pPr>
              <w:jc w:val="center"/>
              <w:rPr>
                <w:rFonts w:hint="eastAsia"/>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8"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4"/>
                <w:szCs w:val="24"/>
                <w:u w:val="none"/>
                <w:lang w:val="en-US" w:eastAsia="zh-CN" w:bidi="ar"/>
              </w:rPr>
              <w:t>1</w:t>
            </w:r>
          </w:p>
        </w:tc>
        <w:tc>
          <w:tcPr>
            <w:tcW w:w="1824" w:type="dxa"/>
            <w:noWrap w:val="0"/>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智慧校园安全综合管理平台</w:t>
            </w:r>
          </w:p>
        </w:tc>
        <w:tc>
          <w:tcPr>
            <w:tcW w:w="1010"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23"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58"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r>
              <w:rPr>
                <w:rFonts w:ascii="Arial" w:hAnsi="Arial" w:eastAsia="宋体" w:cs="Arial"/>
                <w:i w:val="0"/>
                <w:iCs w:val="0"/>
                <w:caps w:val="0"/>
                <w:color w:val="333333"/>
                <w:spacing w:val="8"/>
                <w:sz w:val="21"/>
                <w:szCs w:val="21"/>
              </w:rPr>
              <w:t>150000</w:t>
            </w:r>
          </w:p>
        </w:tc>
        <w:tc>
          <w:tcPr>
            <w:tcW w:w="1404" w:type="dxa"/>
            <w:noWrap w:val="0"/>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ascii="Arial" w:hAnsi="Arial" w:eastAsia="宋体" w:cs="Arial"/>
                <w:i w:val="0"/>
                <w:iCs w:val="0"/>
                <w:caps w:val="0"/>
                <w:color w:val="333333"/>
                <w:spacing w:val="8"/>
                <w:sz w:val="21"/>
                <w:szCs w:val="21"/>
              </w:rPr>
              <w:t>150000</w:t>
            </w:r>
            <w:r>
              <w:rPr>
                <w:rFonts w:hint="eastAsia" w:ascii="宋体" w:hAnsi="宋体" w:eastAsia="宋体" w:cs="宋体"/>
                <w:i w:val="0"/>
                <w:iCs w:val="0"/>
                <w:color w:val="000000"/>
                <w:kern w:val="0"/>
                <w:sz w:val="24"/>
                <w:szCs w:val="24"/>
                <w:u w:val="none"/>
                <w:lang w:val="en-US" w:eastAsia="zh-CN" w:bidi="ar"/>
              </w:rPr>
              <w:t xml:space="preserve"> </w:t>
            </w:r>
          </w:p>
        </w:tc>
        <w:tc>
          <w:tcPr>
            <w:tcW w:w="1074" w:type="dxa"/>
            <w:noWrap w:val="0"/>
            <w:vAlign w:val="top"/>
          </w:tcPr>
          <w:p>
            <w:pPr>
              <w:jc w:val="center"/>
              <w:rPr>
                <w:b/>
                <w:bCs/>
                <w:color w:val="FF0000"/>
                <w:szCs w:val="21"/>
              </w:rPr>
            </w:pPr>
            <w:r>
              <w:rPr>
                <w:rFonts w:hint="eastAsia"/>
                <w:b/>
                <w:bCs/>
                <w:color w:val="FF0000"/>
                <w:szCs w:val="21"/>
                <w:lang w:val="en-US" w:eastAsia="zh-CN"/>
              </w:rPr>
              <w:t>软件和信息技术服务业</w:t>
            </w:r>
          </w:p>
        </w:tc>
        <w:tc>
          <w:tcPr>
            <w:tcW w:w="1101" w:type="dxa"/>
            <w:noWrap w:val="0"/>
            <w:vAlign w:val="center"/>
          </w:tcPr>
          <w:p>
            <w:pPr>
              <w:jc w:val="center"/>
              <w:rPr>
                <w:rFonts w:hint="default" w:eastAsia="宋体"/>
                <w:bCs/>
                <w:szCs w:val="21"/>
                <w:lang w:val="en-US" w:eastAsia="zh-CN"/>
              </w:rPr>
            </w:pPr>
            <w:r>
              <w:rPr>
                <w:rFonts w:hint="eastAsia" w:ascii="宋体" w:hAnsi="宋体" w:eastAsia="宋体" w:cs="宋体"/>
                <w:i w:val="0"/>
                <w:iCs w:val="0"/>
                <w:color w:val="000000"/>
                <w:kern w:val="0"/>
                <w:sz w:val="24"/>
                <w:szCs w:val="24"/>
                <w:u w:val="none"/>
                <w:lang w:val="en-US" w:eastAsia="zh-CN" w:bidi="ar"/>
              </w:rPr>
              <w:t xml:space="preserve">150000 </w:t>
            </w:r>
          </w:p>
        </w:tc>
      </w:tr>
    </w:tbl>
    <w:p>
      <w:pPr>
        <w:rPr>
          <w:color w:val="FF0000"/>
        </w:rPr>
      </w:pPr>
      <w:r>
        <w:rPr>
          <w:rFonts w:hint="eastAsia"/>
          <w:color w:val="FF0000"/>
        </w:rPr>
        <w:t>备注：</w:t>
      </w:r>
    </w:p>
    <w:p>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0" w:firstLineChars="200"/>
        <w:rPr>
          <w:color w:val="FF0000"/>
        </w:rPr>
      </w:pPr>
      <w:r>
        <w:rPr>
          <w:rFonts w:hint="eastAsia"/>
          <w:color w:val="FF0000"/>
        </w:rPr>
        <w:t>3、如注明有单价控制金额的产品，投标人对该产品的报价不得超过控制金额，否则将作投标无效处理。</w:t>
      </w:r>
    </w:p>
    <w:p>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pPr>
        <w:pStyle w:val="6"/>
        <w:jc w:val="center"/>
        <w:rPr>
          <w:rFonts w:hint="eastAsia"/>
        </w:rPr>
      </w:pPr>
      <w:bookmarkStart w:id="13" w:name="_Toc128884461"/>
      <w:r>
        <w:rPr>
          <w:rFonts w:hint="eastAsia"/>
        </w:rPr>
        <w:t>三、实质性条款</w:t>
      </w:r>
    </w:p>
    <w:tbl>
      <w:tblPr>
        <w:tblStyle w:val="18"/>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r>
              <w:rPr>
                <w:rFonts w:hint="eastAsia"/>
              </w:rPr>
              <w:t>序号</w:t>
            </w:r>
          </w:p>
        </w:tc>
        <w:tc>
          <w:tcPr>
            <w:tcW w:w="7483" w:type="dxa"/>
            <w:vAlign w:val="center"/>
          </w:tcPr>
          <w:p>
            <w:pPr>
              <w:jc w:val="center"/>
            </w:pPr>
            <w:r>
              <w:rPr>
                <w:rFonts w:hint="eastAsia"/>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jc w:val="center"/>
            </w:pPr>
            <w:r>
              <w:rPr>
                <w:rFonts w:hint="eastAsia"/>
              </w:rPr>
              <w:t>1</w:t>
            </w:r>
          </w:p>
        </w:tc>
        <w:tc>
          <w:tcPr>
            <w:tcW w:w="7483" w:type="dxa"/>
          </w:tcPr>
          <w:p>
            <w:pPr>
              <w:jc w:val="center"/>
            </w:pPr>
            <w:r>
              <w:rPr>
                <w:rFonts w:hint="eastAsia"/>
              </w:rPr>
              <w:t>本项目招标文件中所有带★号条款内容</w:t>
            </w:r>
          </w:p>
        </w:tc>
      </w:tr>
      <w:bookmarkEnd w:id="13"/>
    </w:tbl>
    <w:p>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pStyle w:val="6"/>
        <w:jc w:val="center"/>
        <w:rPr>
          <w:rFonts w:hint="eastAsia" w:ascii="宋体" w:hAnsi="宋体" w:eastAsia="宋体"/>
        </w:rPr>
      </w:pPr>
      <w:r>
        <w:rPr>
          <w:rFonts w:hint="eastAsia" w:ascii="宋体" w:hAnsi="宋体" w:eastAsia="宋体"/>
        </w:rPr>
        <w:t>四、商务和服务条款要求</w:t>
      </w:r>
    </w:p>
    <w:p>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pPr>
        <w:numPr>
          <w:ilvl w:val="0"/>
          <w:numId w:val="1"/>
        </w:numPr>
        <w:ind w:firstLine="422" w:firstLineChars="200"/>
        <w:rPr>
          <w:b/>
          <w:szCs w:val="21"/>
        </w:rPr>
      </w:pP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8"/>
        <w:tblW w:w="84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noWrap w:val="0"/>
            <w:vAlign w:val="center"/>
          </w:tcPr>
          <w:p>
            <w:pPr>
              <w:jc w:val="center"/>
              <w:rPr>
                <w:b/>
              </w:rPr>
            </w:pPr>
            <w:r>
              <w:rPr>
                <w:rFonts w:hint="eastAsia"/>
                <w:b/>
              </w:rPr>
              <w:t>序号</w:t>
            </w:r>
          </w:p>
        </w:tc>
        <w:tc>
          <w:tcPr>
            <w:tcW w:w="1620" w:type="dxa"/>
            <w:noWrap w:val="0"/>
            <w:vAlign w:val="center"/>
          </w:tcPr>
          <w:p>
            <w:pPr>
              <w:jc w:val="center"/>
              <w:rPr>
                <w:b/>
              </w:rPr>
            </w:pPr>
            <w:r>
              <w:rPr>
                <w:rFonts w:hint="eastAsia"/>
                <w:b/>
              </w:rPr>
              <w:t>目录</w:t>
            </w:r>
          </w:p>
        </w:tc>
        <w:tc>
          <w:tcPr>
            <w:tcW w:w="5594" w:type="dxa"/>
            <w:noWrap w:val="0"/>
            <w:vAlign w:val="center"/>
          </w:tcPr>
          <w:p>
            <w:pPr>
              <w:jc w:val="center"/>
              <w:rPr>
                <w:b/>
              </w:rPr>
            </w:pPr>
            <w:r>
              <w:rPr>
                <w:rFonts w:hint="eastAsia"/>
                <w:b/>
              </w:rPr>
              <w:t>采购商务需求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74" w:type="dxa"/>
            <w:gridSpan w:val="3"/>
            <w:noWrap w:val="0"/>
            <w:vAlign w:val="top"/>
          </w:tcPr>
          <w:p>
            <w:pPr>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noWrap w:val="0"/>
            <w:vAlign w:val="center"/>
          </w:tcPr>
          <w:p>
            <w:pPr>
              <w:jc w:val="center"/>
              <w:rPr>
                <w:b/>
              </w:rPr>
            </w:pPr>
            <w:r>
              <w:rPr>
                <w:rFonts w:hint="eastAsia"/>
                <w:b/>
              </w:rPr>
              <w:t>1</w:t>
            </w:r>
          </w:p>
        </w:tc>
        <w:tc>
          <w:tcPr>
            <w:tcW w:w="1620" w:type="dxa"/>
            <w:noWrap w:val="0"/>
            <w:vAlign w:val="center"/>
          </w:tcPr>
          <w:p>
            <w:r>
              <w:rPr>
                <w:rFonts w:hint="eastAsia"/>
              </w:rPr>
              <w:t>免费保修期</w:t>
            </w:r>
          </w:p>
        </w:tc>
        <w:tc>
          <w:tcPr>
            <w:tcW w:w="5594" w:type="dxa"/>
            <w:noWrap w:val="0"/>
            <w:vAlign w:val="top"/>
          </w:tcPr>
          <w:p>
            <w:pPr>
              <w:rPr>
                <w:b/>
              </w:rPr>
            </w:pPr>
            <w:r>
              <w:rPr>
                <w:rFonts w:hint="eastAsia" w:ascii="宋体" w:hAnsi="宋体" w:cs="宋体"/>
                <w:szCs w:val="21"/>
              </w:rPr>
              <w:t>★</w:t>
            </w:r>
            <w:r>
              <w:rPr>
                <w:rFonts w:hint="eastAsia"/>
                <w:bCs/>
                <w:szCs w:val="21"/>
              </w:rPr>
              <w:t>货物免费保修期至少</w:t>
            </w:r>
            <w:r>
              <w:rPr>
                <w:rFonts w:hint="eastAsia"/>
                <w:bCs/>
                <w:szCs w:val="21"/>
                <w:u w:val="single"/>
              </w:rPr>
              <w:t>1</w:t>
            </w:r>
            <w:r>
              <w:rPr>
                <w:rFonts w:hint="eastAsia"/>
                <w:bCs/>
                <w:szCs w:val="21"/>
              </w:rPr>
              <w:t>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noWrap w:val="0"/>
            <w:vAlign w:val="center"/>
          </w:tcPr>
          <w:p>
            <w:pPr>
              <w:jc w:val="center"/>
              <w:rPr>
                <w:b/>
              </w:rPr>
            </w:pPr>
            <w:r>
              <w:rPr>
                <w:rFonts w:hint="eastAsia"/>
                <w:b/>
              </w:rPr>
              <w:t>2</w:t>
            </w:r>
          </w:p>
        </w:tc>
        <w:tc>
          <w:tcPr>
            <w:tcW w:w="1620" w:type="dxa"/>
            <w:noWrap w:val="0"/>
            <w:vAlign w:val="top"/>
          </w:tcPr>
          <w:p>
            <w:r>
              <w:rPr>
                <w:rFonts w:hint="eastAsia"/>
              </w:rPr>
              <w:t>维修响应及故障解决时间</w:t>
            </w:r>
          </w:p>
        </w:tc>
        <w:tc>
          <w:tcPr>
            <w:tcW w:w="5594" w:type="dxa"/>
            <w:noWrap w:val="0"/>
            <w:vAlign w:val="top"/>
          </w:tcPr>
          <w:p>
            <w:pPr>
              <w:rPr>
                <w:b/>
              </w:rPr>
            </w:pPr>
            <w:r>
              <w:rPr>
                <w:rFonts w:hint="eastAsia"/>
                <w:bCs/>
                <w:szCs w:val="21"/>
              </w:rPr>
              <w:t>投标人承诺中标后，在保修期内，一旦发生质量问题，投标人保证在接到通知24小时内赶到现场进行修理或更换。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noWrap w:val="0"/>
            <w:vAlign w:val="center"/>
          </w:tcPr>
          <w:p>
            <w:pPr>
              <w:jc w:val="center"/>
              <w:rPr>
                <w:b/>
              </w:rPr>
            </w:pPr>
            <w:r>
              <w:rPr>
                <w:rFonts w:hint="eastAsia"/>
                <w:b/>
              </w:rPr>
              <w:t>3</w:t>
            </w:r>
          </w:p>
        </w:tc>
        <w:tc>
          <w:tcPr>
            <w:tcW w:w="1620" w:type="dxa"/>
            <w:noWrap w:val="0"/>
            <w:vAlign w:val="center"/>
          </w:tcPr>
          <w:p>
            <w:pPr>
              <w:rPr>
                <w:b/>
              </w:rPr>
            </w:pPr>
            <w:r>
              <w:rPr>
                <w:rFonts w:hint="eastAsia"/>
              </w:rPr>
              <w:t>其他</w:t>
            </w:r>
          </w:p>
        </w:tc>
        <w:tc>
          <w:tcPr>
            <w:tcW w:w="5594" w:type="dxa"/>
            <w:noWrap w:val="0"/>
            <w:vAlign w:val="center"/>
          </w:tcPr>
          <w:p>
            <w:pPr>
              <w:rPr>
                <w:b/>
              </w:rPr>
            </w:pPr>
            <w:r>
              <w:rPr>
                <w:rFonts w:hint="eastAsia"/>
                <w:bCs/>
                <w:szCs w:val="21"/>
              </w:rPr>
              <w:t>投标人中标后，应按其投标文件中的承诺，进行其他售后服务工作。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474" w:type="dxa"/>
            <w:gridSpan w:val="3"/>
            <w:noWrap w:val="0"/>
            <w:vAlign w:val="top"/>
          </w:tcPr>
          <w:p>
            <w:pPr>
              <w:rPr>
                <w:b/>
              </w:rPr>
            </w:pPr>
            <w:r>
              <w:rPr>
                <w:rFonts w:hint="eastAsia" w:ascii="宋体" w:hAnsi="宋体" w:cs="宋体"/>
                <w:szCs w:val="21"/>
              </w:rPr>
              <w:t>★</w:t>
            </w:r>
            <w:r>
              <w:rPr>
                <w:rFonts w:hint="eastAsia"/>
                <w:b/>
              </w:rPr>
              <w:t>（</w:t>
            </w:r>
            <w:r>
              <w:rPr>
                <w:rFonts w:hint="eastAsia"/>
                <w:b/>
                <w:lang w:val="en-US" w:eastAsia="zh-CN"/>
              </w:rPr>
              <w:t>二</w:t>
            </w:r>
            <w:r>
              <w:rPr>
                <w:rFonts w:hint="eastAsia"/>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noWrap w:val="0"/>
            <w:vAlign w:val="center"/>
          </w:tcPr>
          <w:p>
            <w:pPr>
              <w:jc w:val="center"/>
              <w:rPr>
                <w:b/>
              </w:rPr>
            </w:pPr>
            <w:r>
              <w:rPr>
                <w:rFonts w:hint="eastAsia"/>
                <w:b/>
              </w:rPr>
              <w:t>1</w:t>
            </w:r>
          </w:p>
        </w:tc>
        <w:tc>
          <w:tcPr>
            <w:tcW w:w="1620" w:type="dxa"/>
            <w:vMerge w:val="restart"/>
            <w:noWrap w:val="0"/>
            <w:vAlign w:val="center"/>
          </w:tcPr>
          <w:p>
            <w:pPr>
              <w:jc w:val="center"/>
            </w:pPr>
            <w:r>
              <w:rPr>
                <w:rFonts w:hint="eastAsia"/>
              </w:rPr>
              <w:t>关于交货</w:t>
            </w:r>
          </w:p>
        </w:tc>
        <w:tc>
          <w:tcPr>
            <w:tcW w:w="5594" w:type="dxa"/>
            <w:noWrap w:val="0"/>
            <w:vAlign w:val="top"/>
          </w:tcPr>
          <w:p>
            <w:pPr>
              <w:rPr>
                <w:b/>
              </w:rPr>
            </w:pPr>
            <w:r>
              <w:rPr>
                <w:rFonts w:hint="eastAsia"/>
                <w:bCs/>
                <w:szCs w:val="21"/>
              </w:rPr>
              <w:t>1.1签订合同后</w:t>
            </w:r>
            <w:r>
              <w:rPr>
                <w:rFonts w:hint="eastAsia"/>
                <w:bCs/>
                <w:szCs w:val="21"/>
                <w:u w:val="single"/>
              </w:rPr>
              <w:t>30</w:t>
            </w:r>
            <w:r>
              <w:rPr>
                <w:rFonts w:hint="eastAsia"/>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noWrap w:val="0"/>
            <w:vAlign w:val="center"/>
          </w:tcPr>
          <w:p>
            <w:pPr>
              <w:jc w:val="center"/>
              <w:rPr>
                <w:b/>
              </w:rPr>
            </w:pPr>
          </w:p>
        </w:tc>
        <w:tc>
          <w:tcPr>
            <w:tcW w:w="1620" w:type="dxa"/>
            <w:vMerge w:val="continue"/>
            <w:noWrap w:val="0"/>
            <w:vAlign w:val="center"/>
          </w:tcPr>
          <w:p>
            <w:pPr>
              <w:jc w:val="center"/>
            </w:pPr>
          </w:p>
        </w:tc>
        <w:tc>
          <w:tcPr>
            <w:tcW w:w="5594" w:type="dxa"/>
            <w:noWrap w:val="0"/>
            <w:vAlign w:val="top"/>
          </w:tcPr>
          <w:p>
            <w:pPr>
              <w:rPr>
                <w:bCs/>
                <w:szCs w:val="21"/>
              </w:rPr>
            </w:pPr>
            <w:r>
              <w:rPr>
                <w:rFonts w:hint="eastAsia"/>
                <w:bCs/>
                <w:szCs w:val="21"/>
              </w:rPr>
              <w:t>1.2投标人中标后，必须承担设备运输、安装调试、验收检测和提供设备操作说明书、图纸等其他类似的义务。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noWrap w:val="0"/>
            <w:vAlign w:val="center"/>
          </w:tcPr>
          <w:p>
            <w:pPr>
              <w:jc w:val="center"/>
              <w:rPr>
                <w:b/>
              </w:rPr>
            </w:pPr>
            <w:r>
              <w:rPr>
                <w:rFonts w:hint="eastAsia"/>
                <w:b/>
              </w:rPr>
              <w:t>2</w:t>
            </w:r>
          </w:p>
        </w:tc>
        <w:tc>
          <w:tcPr>
            <w:tcW w:w="1620" w:type="dxa"/>
            <w:vMerge w:val="restart"/>
            <w:noWrap w:val="0"/>
            <w:vAlign w:val="center"/>
          </w:tcPr>
          <w:p>
            <w:pPr>
              <w:jc w:val="center"/>
            </w:pPr>
            <w:r>
              <w:rPr>
                <w:rFonts w:hint="eastAsia"/>
              </w:rPr>
              <w:t>关于验收</w:t>
            </w:r>
          </w:p>
        </w:tc>
        <w:tc>
          <w:tcPr>
            <w:tcW w:w="5594" w:type="dxa"/>
            <w:noWrap w:val="0"/>
            <w:vAlign w:val="top"/>
          </w:tcPr>
          <w:p>
            <w:pPr>
              <w:spacing w:line="340" w:lineRule="exact"/>
              <w:rPr>
                <w:bCs/>
                <w:szCs w:val="21"/>
              </w:rPr>
            </w:pPr>
            <w:r>
              <w:rPr>
                <w:rFonts w:hint="eastAsia"/>
                <w:bCs/>
                <w:szCs w:val="21"/>
              </w:rPr>
              <w:t>2.1投标人中标后，其货物经过双方检验认可后，签署验收报告，产品保修期自验收合格之日起算，由投标人提供产品保修文件。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b/>
              </w:rPr>
            </w:pPr>
          </w:p>
        </w:tc>
        <w:tc>
          <w:tcPr>
            <w:tcW w:w="1620" w:type="dxa"/>
            <w:vMerge w:val="continue"/>
            <w:noWrap w:val="0"/>
            <w:vAlign w:val="top"/>
          </w:tcPr>
          <w:p>
            <w:pPr>
              <w:rPr>
                <w:b/>
              </w:rPr>
            </w:pPr>
          </w:p>
        </w:tc>
        <w:tc>
          <w:tcPr>
            <w:tcW w:w="5594" w:type="dxa"/>
            <w:noWrap w:val="0"/>
            <w:vAlign w:val="top"/>
          </w:tcPr>
          <w:p>
            <w:pPr>
              <w:spacing w:line="340" w:lineRule="exact"/>
              <w:rPr>
                <w:bCs/>
                <w:szCs w:val="21"/>
              </w:rPr>
            </w:pPr>
            <w:r>
              <w:rPr>
                <w:rFonts w:hint="eastAsia"/>
                <w:bCs/>
                <w:szCs w:val="21"/>
              </w:rPr>
              <w:t>2.2投标人中标后，当满足以下条件时，采购人才向投标人签发货物验收报告：</w:t>
            </w:r>
          </w:p>
          <w:p>
            <w:pPr>
              <w:tabs>
                <w:tab w:val="left" w:pos="1260"/>
              </w:tabs>
              <w:spacing w:line="340" w:lineRule="exact"/>
              <w:rPr>
                <w:bCs/>
                <w:szCs w:val="21"/>
              </w:rPr>
            </w:pPr>
            <w:r>
              <w:rPr>
                <w:bCs/>
                <w:szCs w:val="21"/>
              </w:rPr>
              <w:t>a</w:t>
            </w:r>
            <w:r>
              <w:rPr>
                <w:rFonts w:hint="eastAsia"/>
                <w:bCs/>
                <w:szCs w:val="21"/>
              </w:rPr>
              <w:t>、投标人已按照合同规定提供了全部产品及完整的技术资料。</w:t>
            </w:r>
          </w:p>
          <w:p>
            <w:pPr>
              <w:tabs>
                <w:tab w:val="left" w:pos="1260"/>
              </w:tabs>
              <w:spacing w:line="340" w:lineRule="exact"/>
              <w:rPr>
                <w:bCs/>
                <w:szCs w:val="21"/>
              </w:rPr>
            </w:pPr>
            <w:r>
              <w:rPr>
                <w:bCs/>
                <w:szCs w:val="21"/>
              </w:rPr>
              <w:t>b</w:t>
            </w:r>
            <w:r>
              <w:rPr>
                <w:rFonts w:hint="eastAsia"/>
                <w:bCs/>
                <w:szCs w:val="21"/>
              </w:rPr>
              <w:t>、货物符合采购文件技术规格书的要求，性能满足要求。</w:t>
            </w:r>
          </w:p>
          <w:p>
            <w:pPr>
              <w:tabs>
                <w:tab w:val="left" w:pos="1260"/>
              </w:tabs>
              <w:spacing w:line="340" w:lineRule="exact"/>
              <w:rPr>
                <w:bCs/>
                <w:szCs w:val="21"/>
              </w:rPr>
            </w:pPr>
            <w:r>
              <w:rPr>
                <w:bCs/>
                <w:szCs w:val="21"/>
              </w:rPr>
              <w:t>c</w:t>
            </w:r>
            <w:r>
              <w:rPr>
                <w:rFonts w:hint="eastAsia"/>
                <w:bCs/>
                <w:szCs w:val="21"/>
              </w:rPr>
              <w:t>、货物具备产品合格证。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noWrap w:val="0"/>
            <w:vAlign w:val="center"/>
          </w:tcPr>
          <w:p>
            <w:pPr>
              <w:jc w:val="center"/>
              <w:rPr>
                <w:rFonts w:hint="eastAsia"/>
                <w:bCs/>
              </w:rPr>
            </w:pPr>
            <w:r>
              <w:rPr>
                <w:rFonts w:hint="eastAsia"/>
                <w:bCs/>
              </w:rPr>
              <w:t>3</w:t>
            </w:r>
          </w:p>
        </w:tc>
        <w:tc>
          <w:tcPr>
            <w:tcW w:w="1620" w:type="dxa"/>
            <w:vMerge w:val="restart"/>
            <w:noWrap w:val="0"/>
            <w:vAlign w:val="center"/>
          </w:tcPr>
          <w:p>
            <w:pPr>
              <w:jc w:val="center"/>
              <w:rPr>
                <w:rFonts w:hint="eastAsia"/>
                <w:bCs/>
              </w:rPr>
            </w:pPr>
            <w:r>
              <w:rPr>
                <w:rFonts w:hint="eastAsia"/>
                <w:bCs/>
              </w:rPr>
              <w:t>违约责任</w:t>
            </w:r>
          </w:p>
        </w:tc>
        <w:tc>
          <w:tcPr>
            <w:tcW w:w="5594" w:type="dxa"/>
            <w:noWrap w:val="0"/>
            <w:vAlign w:val="top"/>
          </w:tcPr>
          <w:p>
            <w:pPr>
              <w:spacing w:line="340" w:lineRule="exact"/>
              <w:rPr>
                <w:rFonts w:hint="eastAsia" w:ascii="宋体" w:hAnsi="宋体" w:cs="宋体"/>
                <w:bCs/>
                <w:szCs w:val="21"/>
              </w:rPr>
            </w:pPr>
            <w:r>
              <w:rPr>
                <w:rFonts w:hint="eastAsia"/>
              </w:rPr>
              <w:t>3.1如</w:t>
            </w:r>
            <w:r>
              <w:rPr>
                <w:rFonts w:hint="eastAsia"/>
                <w:bCs/>
                <w:szCs w:val="21"/>
              </w:rPr>
              <w:t>投标人中标后</w:t>
            </w:r>
            <w:r>
              <w:rPr>
                <w:rFonts w:hint="eastAsia"/>
              </w:rPr>
              <w:t>未按照投标文件中承诺的时间交货或提供服务，</w:t>
            </w:r>
            <w:r>
              <w:rPr>
                <w:rFonts w:hint="eastAsia"/>
                <w:bCs/>
                <w:szCs w:val="21"/>
              </w:rPr>
              <w:t>投标人</w:t>
            </w:r>
            <w:r>
              <w:rPr>
                <w:rFonts w:hint="eastAsia"/>
              </w:rPr>
              <w:t>应承担延期交货和延期服务的违约责任，并赔偿采购人因此造成的实际经济损失，采购人有权终止合同。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center"/>
          </w:tcPr>
          <w:p>
            <w:pPr>
              <w:jc w:val="center"/>
              <w:rPr>
                <w:rFonts w:hint="eastAsia"/>
                <w:bCs/>
              </w:rPr>
            </w:pPr>
          </w:p>
        </w:tc>
        <w:tc>
          <w:tcPr>
            <w:tcW w:w="5594" w:type="dxa"/>
            <w:noWrap w:val="0"/>
            <w:vAlign w:val="top"/>
          </w:tcPr>
          <w:p>
            <w:pPr>
              <w:spacing w:line="340" w:lineRule="exact"/>
              <w:rPr>
                <w:rFonts w:hint="eastAsia" w:ascii="宋体" w:hAnsi="宋体" w:cs="宋体"/>
                <w:bCs/>
                <w:szCs w:val="21"/>
                <w:highlight w:val="none"/>
              </w:rPr>
            </w:pPr>
            <w:r>
              <w:rPr>
                <w:rFonts w:hint="eastAsia" w:ascii="宋体" w:hAnsi="宋体" w:cs="宋体"/>
                <w:bCs/>
                <w:szCs w:val="21"/>
                <w:highlight w:val="none"/>
              </w:rPr>
              <w:t>3.2</w:t>
            </w:r>
            <w:r>
              <w:rPr>
                <w:rFonts w:hint="eastAsia"/>
                <w:bCs/>
                <w:szCs w:val="21"/>
                <w:highlight w:val="none"/>
              </w:rPr>
              <w:t>投标人中标后</w:t>
            </w:r>
            <w:r>
              <w:rPr>
                <w:rFonts w:hint="eastAsia" w:ascii="宋体" w:hAnsi="宋体" w:cs="宋体"/>
                <w:bCs/>
                <w:szCs w:val="21"/>
                <w:highlight w:val="none"/>
              </w:rPr>
              <w:t>所交设备的品种、型号、规格、质量、功能、技术参数等方面不能实质性满足采购文件要求的，采购人有权拒绝收货，</w:t>
            </w:r>
            <w:r>
              <w:rPr>
                <w:rFonts w:hint="eastAsia"/>
                <w:bCs/>
                <w:szCs w:val="21"/>
                <w:highlight w:val="none"/>
              </w:rPr>
              <w:t>投标人</w:t>
            </w:r>
            <w:r>
              <w:rPr>
                <w:rFonts w:hint="eastAsia" w:ascii="宋体" w:hAnsi="宋体" w:cs="宋体"/>
                <w:bCs/>
                <w:szCs w:val="21"/>
                <w:highlight w:val="none"/>
              </w:rPr>
              <w:t xml:space="preserve">向采购人偿付项目采购金额【15】% 的违约金并采取更换、补足等补救措施，致使逾期交付的，还应承担逾期交付的违约责任。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center"/>
          </w:tcPr>
          <w:p>
            <w:pPr>
              <w:jc w:val="center"/>
              <w:rPr>
                <w:rFonts w:hint="eastAsia"/>
                <w:bCs/>
              </w:rPr>
            </w:pPr>
          </w:p>
        </w:tc>
        <w:tc>
          <w:tcPr>
            <w:tcW w:w="5594" w:type="dxa"/>
            <w:noWrap w:val="0"/>
            <w:vAlign w:val="top"/>
          </w:tcPr>
          <w:p>
            <w:pPr>
              <w:spacing w:line="340" w:lineRule="exact"/>
              <w:rPr>
                <w:rFonts w:hint="eastAsia" w:ascii="宋体" w:hAnsi="宋体" w:cs="宋体"/>
                <w:bCs/>
                <w:szCs w:val="21"/>
                <w:highlight w:val="none"/>
              </w:rPr>
            </w:pPr>
            <w:r>
              <w:rPr>
                <w:rFonts w:hint="eastAsia" w:ascii="宋体" w:hAnsi="宋体" w:cs="宋体"/>
                <w:bCs/>
                <w:szCs w:val="21"/>
                <w:highlight w:val="none"/>
              </w:rPr>
              <w:t>3.3</w:t>
            </w:r>
            <w:r>
              <w:rPr>
                <w:rFonts w:hint="eastAsia"/>
                <w:bCs/>
                <w:szCs w:val="21"/>
                <w:highlight w:val="none"/>
              </w:rPr>
              <w:t>投标人中标后</w:t>
            </w:r>
            <w:r>
              <w:rPr>
                <w:rFonts w:hint="eastAsia" w:ascii="宋体" w:hAnsi="宋体" w:cs="宋体"/>
                <w:bCs/>
                <w:szCs w:val="21"/>
                <w:highlight w:val="none"/>
              </w:rPr>
              <w:t>不能交付设备的，</w:t>
            </w:r>
            <w:r>
              <w:rPr>
                <w:rFonts w:hint="eastAsia"/>
                <w:bCs/>
                <w:szCs w:val="21"/>
                <w:highlight w:val="none"/>
              </w:rPr>
              <w:t>投标人</w:t>
            </w:r>
            <w:r>
              <w:rPr>
                <w:rFonts w:hint="eastAsia" w:ascii="宋体" w:hAnsi="宋体" w:cs="宋体"/>
                <w:bCs/>
                <w:szCs w:val="21"/>
                <w:highlight w:val="none"/>
              </w:rPr>
              <w:t>向采购人偿付项目采购金额【15】%的违约金。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top"/>
          </w:tcPr>
          <w:p>
            <w:pPr>
              <w:rPr>
                <w:rFonts w:hint="eastAsia"/>
                <w:bCs/>
              </w:rPr>
            </w:pPr>
          </w:p>
        </w:tc>
        <w:tc>
          <w:tcPr>
            <w:tcW w:w="5594" w:type="dxa"/>
            <w:noWrap w:val="0"/>
            <w:vAlign w:val="top"/>
          </w:tcPr>
          <w:p>
            <w:pPr>
              <w:spacing w:line="340" w:lineRule="exact"/>
              <w:rPr>
                <w:rFonts w:hint="eastAsia" w:ascii="宋体" w:hAnsi="宋体" w:cs="宋体"/>
                <w:bCs/>
                <w:szCs w:val="21"/>
                <w:highlight w:val="none"/>
              </w:rPr>
            </w:pPr>
            <w:r>
              <w:rPr>
                <w:rFonts w:hint="eastAsia" w:ascii="宋体" w:hAnsi="宋体" w:cs="宋体"/>
                <w:bCs/>
                <w:szCs w:val="21"/>
                <w:highlight w:val="none"/>
              </w:rPr>
              <w:t>3.4</w:t>
            </w:r>
            <w:r>
              <w:rPr>
                <w:rFonts w:hint="eastAsia"/>
                <w:bCs/>
                <w:szCs w:val="21"/>
                <w:highlight w:val="none"/>
              </w:rPr>
              <w:t>投标人中标后</w:t>
            </w:r>
            <w:r>
              <w:rPr>
                <w:rFonts w:hint="eastAsia" w:ascii="宋体" w:hAnsi="宋体" w:cs="宋体"/>
                <w:bCs/>
                <w:szCs w:val="21"/>
                <w:highlight w:val="none"/>
              </w:rPr>
              <w:t>逾期交付货物的，每逾期1天，</w:t>
            </w:r>
            <w:r>
              <w:rPr>
                <w:rFonts w:hint="eastAsia"/>
                <w:bCs/>
                <w:szCs w:val="21"/>
                <w:highlight w:val="none"/>
              </w:rPr>
              <w:t>投标人</w:t>
            </w:r>
            <w:r>
              <w:rPr>
                <w:rFonts w:hint="eastAsia" w:ascii="宋体" w:hAnsi="宋体" w:cs="宋体"/>
                <w:bCs/>
                <w:szCs w:val="21"/>
                <w:highlight w:val="none"/>
              </w:rPr>
              <w:t>向采购人偿付项目采购金额的【3】‰的违约金。如</w:t>
            </w:r>
            <w:r>
              <w:rPr>
                <w:rFonts w:hint="eastAsia"/>
                <w:bCs/>
                <w:szCs w:val="21"/>
                <w:highlight w:val="none"/>
              </w:rPr>
              <w:t>投标人</w:t>
            </w:r>
            <w:r>
              <w:rPr>
                <w:rFonts w:hint="eastAsia" w:ascii="宋体" w:hAnsi="宋体" w:cs="宋体"/>
                <w:bCs/>
                <w:szCs w:val="21"/>
                <w:highlight w:val="none"/>
              </w:rPr>
              <w:t>逾期交货达</w:t>
            </w:r>
            <w:r>
              <w:rPr>
                <w:rFonts w:hint="eastAsia" w:ascii="宋体" w:hAnsi="宋体" w:cs="宋体"/>
                <w:bCs/>
                <w:szCs w:val="21"/>
                <w:highlight w:val="none"/>
                <w:u w:val="single"/>
              </w:rPr>
              <w:t>30</w:t>
            </w:r>
            <w:r>
              <w:rPr>
                <w:rFonts w:hint="eastAsia" w:ascii="宋体" w:hAnsi="宋体" w:cs="宋体"/>
                <w:bCs/>
                <w:szCs w:val="21"/>
                <w:highlight w:val="none"/>
              </w:rPr>
              <w:t>天，采购人有权解除合同。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top"/>
          </w:tcPr>
          <w:p>
            <w:pPr>
              <w:rPr>
                <w:bCs/>
              </w:rPr>
            </w:pPr>
          </w:p>
        </w:tc>
        <w:tc>
          <w:tcPr>
            <w:tcW w:w="5594" w:type="dxa"/>
            <w:noWrap w:val="0"/>
            <w:vAlign w:val="top"/>
          </w:tcPr>
          <w:p>
            <w:pPr>
              <w:rPr>
                <w:rFonts w:hint="eastAsia" w:ascii="宋体" w:hAnsi="宋体" w:cs="宋体"/>
                <w:b/>
              </w:rPr>
            </w:pPr>
            <w:r>
              <w:rPr>
                <w:rFonts w:hint="eastAsia" w:ascii="宋体" w:hAnsi="宋体" w:cs="宋体"/>
                <w:bCs/>
              </w:rPr>
              <w:t>3.5</w:t>
            </w:r>
            <w:r>
              <w:rPr>
                <w:rFonts w:hint="eastAsia"/>
                <w:bCs/>
                <w:szCs w:val="21"/>
              </w:rPr>
              <w:t>投标人中标后，在其</w:t>
            </w:r>
            <w:r>
              <w:rPr>
                <w:rFonts w:hint="eastAsia" w:ascii="宋体" w:hAnsi="宋体" w:cs="宋体"/>
                <w:bCs/>
              </w:rPr>
              <w:t>承诺的或国家规定的质量保证期内（取两者中最长的期限），如经</w:t>
            </w:r>
            <w:r>
              <w:rPr>
                <w:rFonts w:hint="eastAsia"/>
                <w:bCs/>
                <w:szCs w:val="21"/>
              </w:rPr>
              <w:t>投标人</w:t>
            </w:r>
            <w:r>
              <w:rPr>
                <w:rFonts w:hint="eastAsia" w:ascii="宋体" w:hAnsi="宋体" w:cs="宋体"/>
                <w:bCs/>
              </w:rPr>
              <w:t>两次维修或更换，货物仍不能达到采购文件要求及投标文件承诺的质量标准，采购人有权退货，</w:t>
            </w:r>
            <w:r>
              <w:rPr>
                <w:rFonts w:hint="eastAsia"/>
                <w:bCs/>
                <w:szCs w:val="21"/>
              </w:rPr>
              <w:t>投标人</w:t>
            </w:r>
            <w:r>
              <w:rPr>
                <w:rFonts w:hint="eastAsia" w:ascii="宋体" w:hAnsi="宋体" w:cs="宋体"/>
                <w:bCs/>
              </w:rPr>
              <w:t>应退回全部货款并赔偿采购人因此遭受的损失。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top"/>
          </w:tcPr>
          <w:p>
            <w:pPr>
              <w:rPr>
                <w:bCs/>
              </w:rPr>
            </w:pPr>
          </w:p>
        </w:tc>
        <w:tc>
          <w:tcPr>
            <w:tcW w:w="5594" w:type="dxa"/>
            <w:noWrap w:val="0"/>
            <w:vAlign w:val="top"/>
          </w:tcPr>
          <w:p>
            <w:pPr>
              <w:rPr>
                <w:rFonts w:hint="eastAsia" w:ascii="宋体" w:hAnsi="宋体" w:cs="宋体"/>
                <w:b/>
              </w:rPr>
            </w:pPr>
            <w:r>
              <w:rPr>
                <w:rFonts w:hint="eastAsia" w:ascii="宋体" w:hAnsi="宋体" w:cs="宋体"/>
                <w:bCs/>
              </w:rPr>
              <w:t>3.6</w:t>
            </w:r>
            <w:r>
              <w:rPr>
                <w:rFonts w:hint="eastAsia"/>
                <w:bCs/>
                <w:szCs w:val="21"/>
              </w:rPr>
              <w:t>投标人中标后</w:t>
            </w:r>
            <w:r>
              <w:rPr>
                <w:rFonts w:hint="eastAsia" w:ascii="宋体" w:hAnsi="宋体" w:cs="宋体"/>
                <w:bCs/>
              </w:rPr>
              <w:t>在承担上述一项或多项违约责任后，仍应继续履行合同规定的义务（采购人解除合同的除外）。采购人未能及时追究</w:t>
            </w:r>
            <w:r>
              <w:rPr>
                <w:rFonts w:hint="eastAsia"/>
                <w:bCs/>
                <w:szCs w:val="21"/>
              </w:rPr>
              <w:t>投标人</w:t>
            </w:r>
            <w:r>
              <w:rPr>
                <w:rFonts w:hint="eastAsia" w:ascii="宋体" w:hAnsi="宋体" w:cs="宋体"/>
                <w:bCs/>
              </w:rPr>
              <w:t>的任何一项违约责任并不表明采购人放弃追究</w:t>
            </w:r>
            <w:r>
              <w:rPr>
                <w:rFonts w:hint="eastAsia"/>
                <w:bCs/>
                <w:szCs w:val="21"/>
              </w:rPr>
              <w:t>投标人</w:t>
            </w:r>
            <w:r>
              <w:rPr>
                <w:rFonts w:hint="eastAsia" w:ascii="宋体" w:hAnsi="宋体" w:cs="宋体"/>
                <w:bCs/>
              </w:rPr>
              <w:t>该项或其他违约责任。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noWrap w:val="0"/>
            <w:vAlign w:val="center"/>
          </w:tcPr>
          <w:p>
            <w:pPr>
              <w:jc w:val="center"/>
              <w:rPr>
                <w:rFonts w:hint="eastAsia"/>
                <w:bCs/>
              </w:rPr>
            </w:pPr>
            <w:r>
              <w:rPr>
                <w:rFonts w:hint="eastAsia"/>
                <w:bCs/>
              </w:rPr>
              <w:t>4</w:t>
            </w:r>
          </w:p>
        </w:tc>
        <w:tc>
          <w:tcPr>
            <w:tcW w:w="1620" w:type="dxa"/>
            <w:noWrap w:val="0"/>
            <w:vAlign w:val="top"/>
          </w:tcPr>
          <w:p>
            <w:pPr>
              <w:rPr>
                <w:rFonts w:hint="eastAsia"/>
                <w:bCs/>
              </w:rPr>
            </w:pPr>
            <w:r>
              <w:rPr>
                <w:rFonts w:hint="eastAsia"/>
                <w:bCs/>
              </w:rPr>
              <w:t>其他</w:t>
            </w:r>
          </w:p>
        </w:tc>
        <w:tc>
          <w:tcPr>
            <w:tcW w:w="5594" w:type="dxa"/>
            <w:noWrap w:val="0"/>
            <w:vAlign w:val="top"/>
          </w:tcPr>
          <w:p>
            <w:pPr>
              <w:rPr>
                <w:rFonts w:hint="eastAsia" w:ascii="宋体" w:hAnsi="宋体" w:cs="宋体"/>
                <w:bCs/>
              </w:rPr>
            </w:pPr>
            <w:r>
              <w:rPr>
                <w:rFonts w:hint="eastAsia" w:ascii="宋体" w:hAnsi="宋体" w:cs="宋体"/>
                <w:bCs/>
              </w:rPr>
              <w:t>投标人</w:t>
            </w:r>
            <w:r>
              <w:rPr>
                <w:rFonts w:hint="eastAsia"/>
                <w:bCs/>
                <w:szCs w:val="21"/>
              </w:rPr>
              <w:t>中标后</w:t>
            </w:r>
            <w:r>
              <w:rPr>
                <w:rFonts w:hint="eastAsia" w:ascii="宋体" w:hAnsi="宋体" w:cs="宋体"/>
                <w:bCs/>
              </w:rPr>
              <w:t>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noWrap w:val="0"/>
            <w:vAlign w:val="center"/>
          </w:tcPr>
          <w:p>
            <w:pPr>
              <w:jc w:val="center"/>
              <w:rPr>
                <w:rFonts w:hint="eastAsia" w:eastAsiaTheme="minorEastAsia"/>
                <w:bCs/>
                <w:lang w:val="en-US" w:eastAsia="zh-CN"/>
              </w:rPr>
            </w:pPr>
            <w:r>
              <w:rPr>
                <w:rFonts w:hint="eastAsia"/>
                <w:bCs/>
                <w:lang w:val="en-US" w:eastAsia="zh-CN"/>
              </w:rPr>
              <w:t>5</w:t>
            </w:r>
          </w:p>
        </w:tc>
        <w:tc>
          <w:tcPr>
            <w:tcW w:w="1620" w:type="dxa"/>
            <w:noWrap w:val="0"/>
            <w:vAlign w:val="top"/>
          </w:tcPr>
          <w:p>
            <w:pPr>
              <w:rPr>
                <w:rFonts w:hint="default" w:eastAsiaTheme="minorEastAsia"/>
                <w:bCs/>
                <w:lang w:val="en-US" w:eastAsia="zh-CN"/>
              </w:rPr>
            </w:pPr>
            <w:r>
              <w:rPr>
                <w:rFonts w:hint="eastAsia"/>
                <w:bCs/>
                <w:lang w:val="en-US" w:eastAsia="zh-CN"/>
              </w:rPr>
              <w:t>付款方式</w:t>
            </w:r>
          </w:p>
        </w:tc>
        <w:tc>
          <w:tcPr>
            <w:tcW w:w="5594" w:type="dxa"/>
            <w:noWrap w:val="0"/>
            <w:vAlign w:val="top"/>
          </w:tcPr>
          <w:p>
            <w:pPr>
              <w:pStyle w:val="2"/>
              <w:rPr>
                <w:rFonts w:hint="eastAsia" w:ascii="宋体" w:hAnsi="宋体" w:cs="宋体"/>
                <w:b w:val="0"/>
                <w:bCs w:val="0"/>
                <w:sz w:val="21"/>
                <w:szCs w:val="21"/>
              </w:rPr>
            </w:pPr>
            <w:r>
              <w:rPr>
                <w:rFonts w:hint="eastAsia" w:ascii="宋体" w:hAnsi="宋体" w:cs="宋体"/>
                <w:b w:val="0"/>
                <w:bCs w:val="0"/>
                <w:sz w:val="21"/>
                <w:szCs w:val="21"/>
              </w:rPr>
              <w:t>1、合同签订后</w:t>
            </w:r>
            <w:r>
              <w:rPr>
                <w:rFonts w:hint="eastAsia" w:ascii="宋体" w:hAnsi="宋体" w:cs="宋体"/>
                <w:b w:val="0"/>
                <w:bCs w:val="0"/>
                <w:sz w:val="21"/>
                <w:szCs w:val="21"/>
                <w:u w:val="single"/>
              </w:rPr>
              <w:t xml:space="preserve">  30 </w:t>
            </w:r>
            <w:r>
              <w:rPr>
                <w:rFonts w:hint="eastAsia" w:ascii="宋体" w:hAnsi="宋体" w:cs="宋体"/>
                <w:b w:val="0"/>
                <w:bCs w:val="0"/>
                <w:sz w:val="21"/>
                <w:szCs w:val="21"/>
              </w:rPr>
              <w:t>个工作日内，采购人向中标供应商支付合同总价【50】%的款项；</w:t>
            </w:r>
          </w:p>
          <w:p>
            <w:pPr>
              <w:pStyle w:val="2"/>
              <w:rPr>
                <w:rFonts w:hint="eastAsia" w:ascii="宋体" w:hAnsi="宋体" w:cs="宋体"/>
                <w:b w:val="0"/>
                <w:bCs w:val="0"/>
                <w:sz w:val="21"/>
                <w:szCs w:val="21"/>
              </w:rPr>
            </w:pPr>
            <w:r>
              <w:rPr>
                <w:rFonts w:hint="eastAsia" w:ascii="宋体" w:hAnsi="宋体" w:cs="宋体"/>
                <w:b w:val="0"/>
                <w:bCs w:val="0"/>
                <w:sz w:val="21"/>
                <w:szCs w:val="21"/>
              </w:rPr>
              <w:t>2、全部货物送到采购人指定地点、完成安装并验收合格后</w:t>
            </w:r>
            <w:r>
              <w:rPr>
                <w:rFonts w:hint="eastAsia" w:ascii="宋体" w:hAnsi="宋体" w:cs="宋体"/>
                <w:b w:val="0"/>
                <w:bCs w:val="0"/>
                <w:sz w:val="21"/>
                <w:szCs w:val="21"/>
                <w:u w:val="single"/>
              </w:rPr>
              <w:t xml:space="preserve">  30 </w:t>
            </w:r>
            <w:r>
              <w:rPr>
                <w:rFonts w:hint="eastAsia" w:ascii="宋体" w:hAnsi="宋体" w:cs="宋体"/>
                <w:b w:val="0"/>
                <w:bCs w:val="0"/>
                <w:sz w:val="21"/>
                <w:szCs w:val="21"/>
              </w:rPr>
              <w:t>个工作日内，采购人向中标供应商支付合同总价【50】%的款项；</w:t>
            </w:r>
          </w:p>
          <w:p>
            <w:pPr>
              <w:pStyle w:val="2"/>
              <w:rPr>
                <w:rFonts w:hint="eastAsia" w:ascii="宋体" w:hAnsi="宋体" w:cs="宋体"/>
                <w:bCs/>
              </w:rPr>
            </w:pPr>
            <w:r>
              <w:rPr>
                <w:rFonts w:hint="eastAsia" w:ascii="宋体" w:hAnsi="宋体" w:cs="宋体"/>
                <w:b w:val="0"/>
                <w:bCs w:val="0"/>
                <w:sz w:val="21"/>
                <w:szCs w:val="21"/>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tc>
      </w:tr>
    </w:tbl>
    <w:p>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tbl>
      <w:tblPr>
        <w:tblStyle w:val="18"/>
        <w:tblW w:w="8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6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6150"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招标技术要求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080"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智慧校园安全综合管理平台</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一、硬件参数：                                                                                 </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1.CPU不低于六核 CPU，主频不低于2.0G,睿频3.0G；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2.内存不小于8G；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3.硬盘：采用RAID1，不低于2T 双备份；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二、软件参数：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nil"/>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校务管理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auto" w:sz="4" w:space="0"/>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18"/>
                <w:szCs w:val="18"/>
                <w:u w:val="none"/>
                <w:lang w:val="en-US" w:eastAsia="zh-CN" w:bidi="ar"/>
              </w:rPr>
              <w:t>1、学生管理：支持单独和批量方式添加学生信息，可设置学生的身份证号、班级、学号、宿舍信息、手机号、性别等相关信息。（需提供具有CMA标识的第三方检测机构出具的检验报告）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2、班级管理：支持添加不同的年级与班级，可批量添加班级信息。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18"/>
                <w:szCs w:val="18"/>
                <w:u w:val="none"/>
                <w:lang w:val="en-US" w:eastAsia="zh-CN" w:bidi="ar"/>
              </w:rPr>
              <w:t>3.教职工管理：支持单独和批量方式添加教职工信息，可设置教职工关联的身份证号、班级、工号、职务、手机号、车牌号、性别等相关信息。（需提供具有CMA标识的第三方检测机构出具的检验报告）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4.学期管理：支持设置年度学期，学期时长可自定义。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5.毕业管理：支持设置毕业班关联的学生名单，毕业班学生毕业后会自动回收人脸信息。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6.组织架构：支持设置系部、专业、级别、年级、班级等信息。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学生考勤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18"/>
                <w:szCs w:val="18"/>
                <w:u w:val="none"/>
                <w:lang w:val="en-US" w:eastAsia="zh-CN" w:bidi="ar"/>
              </w:rPr>
              <w:t>1.考勤设置：支持设置考勤班次，考勤名单，考勤规则，考勤班次支持一天多次上下学打卡，每个打卡班次都可自定义打卡开始和结束时间，住宿学生与走读学生或教职工可设置不同考勤规则，可关联节假日留校申请表，自动获取学生留校时间，自动分配考勤组进行考勤。（需提供具有CMA标识的第三方检测机构出具的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2.学生考勤：支持查看学生的具体考勤信息报表，可查询每日和每月的考勤数据，支持以姓名，日期，班级，学号等筛选条件来筛选查询指定学生的考勤信息，并可以导出考勤报表。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3.校门签到记录：支持查看学生和教职工的考勤签到通行记录，可按设备名称、姓名、编号、班级、门禁设备ID、指定时间段等条件来筛选查看指定记录，记录可导出excel报表。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4.校门可视化大屏：可视化大屏界面可直观显示全校考勤应到人数、已到人数、未到人数、迟到人数、请假人数，实时显示最新的学生/教职工考勤打卡记录，可查看全校和各年级的到校率、未到和迟到学生明细。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假期管理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1.学生假期：支持设置学生假期类型，如事假、病假等，每种假期类型可自定义时长。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3.审批管理：支持设置学生/教职工请假审批流程预案，可根据请假时长或类型关联审批人员，支持多级审批。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智能出入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18"/>
                <w:szCs w:val="18"/>
                <w:u w:val="none"/>
                <w:lang w:val="en-US" w:eastAsia="zh-CN" w:bidi="ar"/>
              </w:rPr>
              <w:t>1.人员通行记录：支持查看检索所有人员的通行记录，可按姓名、抓拍时间、抓拍设备、进出方向、人员ID、学生/教职工/陌生人/黑名单类型、设备ID、指定时间段等条件来筛选查看相关记录，并可导出记录。（需提供具有CMA标识的第三方检测机构出具的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通行策略管理：支持设置住宿生、走读生、教职工等不同类型的通行策略，同一策略支持同时关联多台设备，支持同时设置多个通行时间段，星期一至星期日可分别设置不同的通行时间，设置通行策略后在禁止通行时间段无法出入通行，可限制住宿生/走读生在规定时间段通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3.策略下发列表：支持查看各个设备通行策略的下发状态，可按策略名称搜索指定策略的下发状态。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手机端应用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1.手机端应用部署：支持微信公众号、企业微信、钉钉等手机端等部署方式，用于校园平台业务交互推送\查询\操作。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18"/>
                <w:szCs w:val="18"/>
                <w:u w:val="none"/>
                <w:lang w:val="en-US" w:eastAsia="zh-CN" w:bidi="ar"/>
              </w:rPr>
              <w:t>2.学生考勤推送（校门）</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家长端：学生打卡后，家长可在手机端应用实时接收自己孩子的考勤打卡信息。</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职工端：教职工可在学生考勤班次结束后，在手机端应用收到负责班级的学生考勤统计汇总及明细，对于异常的考勤记录教师可在推送信息上备注处理结果。（需提供具有CMA标识的第三方检测机构出具的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3.通讯录：班主任/导师可通过手机端应用查询本班级通讯录，可以给学生进行拍照提交上传至后台，修改或更新学生照片。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7.学生请假审批：学生请假可通过手机端应用进行申请，班主任审批后，请假申请结果会自动推送给申请人。  </w:t>
            </w:r>
            <w:r>
              <w:rPr>
                <w:rFonts w:ascii="等线" w:hAnsi="等线" w:eastAsia="等线" w:cs="等线"/>
                <w:i w:val="0"/>
                <w:iCs w:val="0"/>
                <w:color w:val="000000"/>
                <w:kern w:val="0"/>
                <w:sz w:val="18"/>
                <w:szCs w:val="18"/>
                <w:u w:val="none"/>
                <w:lang w:val="en-US" w:eastAsia="zh-CN" w:bidi="ar"/>
              </w:rPr>
              <w:t xml:space="preserve">                      </w:t>
            </w:r>
          </w:p>
        </w:tc>
      </w:tr>
    </w:tbl>
    <w:p>
      <w:pPr>
        <w:rPr>
          <w:rFonts w:hint="eastAsia" w:ascii="宋体" w:hAnsi="宋体" w:eastAsia="宋体" w:cs="Times New Roman"/>
          <w:b/>
          <w:color w:val="FF0000"/>
          <w:szCs w:val="21"/>
        </w:rPr>
      </w:pPr>
    </w:p>
    <w:p>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如注明要求提供相关佐证材料的，需以佐证材料作为是否偏离的依据。</w:t>
      </w:r>
    </w:p>
    <w:p>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4）检验（检测）报告若要求具有CMA、CNAS等标识的，若有材料证明相关检测事项不在实施该项检测的机构许可（认可）CMA、CNAS等资质范围或检测范围内的，该检验（检测）报告视为不满足招标文件要求，作负偏离处理。</w:t>
      </w:r>
    </w:p>
    <w:p>
      <w:pPr>
        <w:pStyle w:val="6"/>
        <w:spacing w:before="156" w:beforeLines="50" w:after="156" w:afterLines="50" w:line="416" w:lineRule="auto"/>
        <w:jc w:val="center"/>
        <w:rPr>
          <w:rFonts w:hint="eastAsia"/>
          <w:szCs w:val="28"/>
        </w:rPr>
      </w:pPr>
      <w:r>
        <w:rPr>
          <w:rFonts w:hint="eastAsia"/>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pPr>
        <w:pStyle w:val="2"/>
      </w:pPr>
      <w:bookmarkStart w:id="14" w:name="_Hlk72257167"/>
    </w:p>
    <w:bookmarkEnd w:id="14"/>
    <w:p>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pPr>
        <w:ind w:firstLine="1200" w:firstLineChars="500"/>
        <w:outlineLvl w:val="0"/>
        <w:rPr>
          <w:rFonts w:hint="eastAsia" w:ascii="宋体" w:hAnsi="宋体"/>
          <w:sz w:val="24"/>
        </w:rPr>
      </w:pPr>
      <w:bookmarkStart w:id="15" w:name="_Hlk72257771"/>
      <w:r>
        <w:rPr>
          <w:rFonts w:hint="eastAsia" w:ascii="宋体" w:hAnsi="宋体"/>
          <w:sz w:val="24"/>
        </w:rPr>
        <w:t>1.投标文件正文，主要包括以下内容：</w:t>
      </w:r>
    </w:p>
    <w:p>
      <w:pPr>
        <w:ind w:left="718" w:leftChars="342" w:firstLine="1417" w:firstLineChars="675"/>
        <w:rPr>
          <w:szCs w:val="21"/>
        </w:rPr>
      </w:pPr>
      <w:r>
        <w:rPr>
          <w:rFonts w:hint="eastAsia"/>
          <w:szCs w:val="21"/>
        </w:rPr>
        <w:t>（1）</w:t>
      </w:r>
      <w:bookmarkStart w:id="16" w:name="_Hlk72070784"/>
      <w:r>
        <w:rPr>
          <w:rFonts w:hint="eastAsia"/>
          <w:szCs w:val="21"/>
        </w:rPr>
        <w:t>投标函</w:t>
      </w:r>
      <w:bookmarkEnd w:id="16"/>
    </w:p>
    <w:p>
      <w:pPr>
        <w:ind w:left="718" w:leftChars="342" w:firstLine="1417" w:firstLineChars="675"/>
        <w:rPr>
          <w:szCs w:val="21"/>
        </w:rPr>
      </w:pPr>
      <w:r>
        <w:rPr>
          <w:rFonts w:hint="eastAsia"/>
          <w:szCs w:val="21"/>
        </w:rPr>
        <w:t>（2）</w:t>
      </w:r>
      <w:bookmarkStart w:id="17" w:name="_Hlk72062521"/>
      <w:r>
        <w:rPr>
          <w:rFonts w:hint="eastAsia"/>
          <w:szCs w:val="21"/>
        </w:rPr>
        <w:t>政府采购投标及履约承诺函</w:t>
      </w:r>
      <w:bookmarkEnd w:id="17"/>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18" w:name="_Hlk72257201"/>
      <w:r>
        <w:rPr>
          <w:rFonts w:hint="eastAsia"/>
          <w:szCs w:val="21"/>
        </w:rPr>
        <w:t>（</w:t>
      </w:r>
      <w:r>
        <w:rPr>
          <w:szCs w:val="21"/>
        </w:rPr>
        <w:t>4</w:t>
      </w:r>
      <w:r>
        <w:rPr>
          <w:rFonts w:hint="eastAsia"/>
          <w:szCs w:val="21"/>
        </w:rPr>
        <w:t>）项目详细报价</w:t>
      </w:r>
    </w:p>
    <w:bookmarkEnd w:id="18"/>
    <w:p>
      <w:pPr>
        <w:ind w:left="718" w:leftChars="342" w:firstLine="1417" w:firstLineChars="675"/>
        <w:rPr>
          <w:rFonts w:hint="eastAsia"/>
          <w:szCs w:val="21"/>
        </w:rPr>
      </w:pPr>
      <w:r>
        <w:rPr>
          <w:rFonts w:hint="eastAsia"/>
          <w:szCs w:val="21"/>
        </w:rPr>
        <w:t>（5）供应商情况表</w:t>
      </w:r>
    </w:p>
    <w:p>
      <w:pPr>
        <w:ind w:left="718" w:leftChars="342" w:firstLine="1417" w:firstLineChars="675"/>
        <w:rPr>
          <w:szCs w:val="21"/>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szCs w:val="21"/>
        </w:rPr>
        <w:t>供应商基本情况表</w:t>
      </w:r>
    </w:p>
    <w:p>
      <w:pPr>
        <w:ind w:firstLine="1200" w:firstLineChars="500"/>
        <w:outlineLvl w:val="0"/>
        <w:rPr>
          <w:rFonts w:hint="eastAsia" w:ascii="宋体" w:hAnsi="宋体"/>
          <w:sz w:val="24"/>
        </w:rPr>
      </w:pPr>
      <w:r>
        <w:rPr>
          <w:rFonts w:hint="eastAsia" w:ascii="宋体" w:hAnsi="宋体"/>
          <w:sz w:val="24"/>
        </w:rPr>
        <w:t>2.投标文件附件：主要包括以下内容：</w:t>
      </w:r>
    </w:p>
    <w:p>
      <w:pPr>
        <w:ind w:firstLine="2100" w:firstLineChars="1000"/>
        <w:rPr>
          <w:szCs w:val="21"/>
        </w:rPr>
      </w:pPr>
      <w:r>
        <w:rPr>
          <w:rFonts w:hint="eastAsia"/>
          <w:szCs w:val="21"/>
        </w:rPr>
        <w:t>（1）法定代表人（负责人）证明书</w:t>
      </w:r>
    </w:p>
    <w:p>
      <w:pPr>
        <w:ind w:left="718" w:leftChars="342" w:firstLine="1417" w:firstLineChars="675"/>
        <w:rPr>
          <w:szCs w:val="21"/>
        </w:rPr>
      </w:pPr>
      <w:r>
        <w:rPr>
          <w:rFonts w:hint="eastAsia"/>
          <w:szCs w:val="21"/>
        </w:rPr>
        <w:t>（2）投标文件签署授权委托书</w:t>
      </w:r>
    </w:p>
    <w:p>
      <w:pPr>
        <w:ind w:left="718" w:leftChars="342" w:firstLine="1417" w:firstLineChars="675"/>
        <w:rPr>
          <w:szCs w:val="21"/>
        </w:rPr>
      </w:pPr>
      <w:r>
        <w:rPr>
          <w:rFonts w:hint="eastAsia"/>
          <w:szCs w:val="21"/>
        </w:rPr>
        <w:t>（3）实质性条款响应情况表</w:t>
      </w:r>
    </w:p>
    <w:p>
      <w:pPr>
        <w:ind w:left="718" w:leftChars="342" w:firstLine="1417" w:firstLineChars="675"/>
        <w:rPr>
          <w:szCs w:val="21"/>
        </w:rPr>
      </w:pPr>
      <w:r>
        <w:rPr>
          <w:rFonts w:hint="eastAsia"/>
          <w:szCs w:val="21"/>
        </w:rPr>
        <w:t>（</w:t>
      </w:r>
      <w:r>
        <w:rPr>
          <w:szCs w:val="21"/>
        </w:rPr>
        <w:t>4</w:t>
      </w:r>
      <w:r>
        <w:rPr>
          <w:rFonts w:hint="eastAsia"/>
          <w:szCs w:val="21"/>
        </w:rPr>
        <w:t>）商务要求偏离表</w:t>
      </w:r>
    </w:p>
    <w:p>
      <w:pPr>
        <w:ind w:left="718" w:leftChars="342" w:firstLine="1417" w:firstLineChars="675"/>
        <w:rPr>
          <w:szCs w:val="21"/>
        </w:rPr>
      </w:pPr>
      <w:r>
        <w:rPr>
          <w:rFonts w:hint="eastAsia"/>
          <w:szCs w:val="21"/>
        </w:rPr>
        <w:t>（</w:t>
      </w:r>
      <w:r>
        <w:rPr>
          <w:szCs w:val="21"/>
        </w:rPr>
        <w:t>5</w:t>
      </w:r>
      <w:r>
        <w:rPr>
          <w:rFonts w:hint="eastAsia"/>
          <w:szCs w:val="21"/>
        </w:rPr>
        <w:t>）技术要求偏离表</w:t>
      </w:r>
    </w:p>
    <w:p>
      <w:pPr>
        <w:ind w:left="718" w:leftChars="342" w:firstLine="1417" w:firstLineChars="675"/>
        <w:rPr>
          <w:szCs w:val="21"/>
        </w:rPr>
      </w:pPr>
      <w:r>
        <w:rPr>
          <w:rFonts w:hint="eastAsia"/>
          <w:szCs w:val="21"/>
        </w:rPr>
        <w:t>（6）技术保障措施</w:t>
      </w:r>
    </w:p>
    <w:p>
      <w:pPr>
        <w:ind w:left="718" w:leftChars="342" w:firstLine="1417" w:firstLineChars="675"/>
        <w:rPr>
          <w:rFonts w:hint="eastAsia"/>
          <w:szCs w:val="21"/>
        </w:rPr>
      </w:pPr>
      <w:r>
        <w:rPr>
          <w:rFonts w:hint="eastAsia"/>
          <w:szCs w:val="21"/>
        </w:rPr>
        <w:t>（7）投标人通过相关认证情况</w:t>
      </w:r>
    </w:p>
    <w:p>
      <w:pPr>
        <w:ind w:left="718" w:leftChars="342" w:firstLine="1417" w:firstLineChars="675"/>
        <w:rPr>
          <w:szCs w:val="21"/>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szCs w:val="21"/>
        </w:rPr>
        <w:t>同类项目业绩</w:t>
      </w:r>
    </w:p>
    <w:p>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）投标人认为需要加以说明的其他内容</w:t>
      </w:r>
    </w:p>
    <w:p>
      <w:pPr>
        <w:spacing w:line="320" w:lineRule="atLeast"/>
        <w:rPr>
          <w:rFonts w:hint="eastAsia" w:ascii="宋体" w:hAnsi="宋体"/>
          <w:b/>
          <w:sz w:val="24"/>
          <w:szCs w:val="24"/>
        </w:rPr>
      </w:pPr>
      <w:r>
        <w:rPr>
          <w:rFonts w:hint="eastAsia" w:ascii="宋体" w:hAnsi="宋体"/>
          <w:b/>
          <w:sz w:val="24"/>
          <w:szCs w:val="24"/>
        </w:rPr>
        <w:t>备注：</w:t>
      </w:r>
    </w:p>
    <w:p>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pPr>
        <w:snapToGrid w:val="0"/>
        <w:spacing w:after="78" w:afterLines="25"/>
        <w:ind w:firstLine="482" w:firstLineChars="200"/>
        <w:rPr>
          <w:rFonts w:hint="eastAsia" w:ascii="宋体" w:hAnsi="宋体" w:eastAsia="黑体" w:cs="Times New Roman"/>
          <w:bCs/>
          <w:kern w:val="44"/>
          <w:sz w:val="32"/>
          <w:szCs w:val="32"/>
        </w:rPr>
      </w:pPr>
      <w:bookmarkStart w:id="19" w:name="_Hlk72263559"/>
      <w:r>
        <w:rPr>
          <w:rFonts w:hint="eastAsia" w:ascii="宋体" w:hAnsi="宋体"/>
          <w:b/>
          <w:sz w:val="24"/>
          <w:szCs w:val="24"/>
        </w:rPr>
        <w:t>2.关于填写“开标一览表”的说明：“开标一览表”中除“投标总价”外，其他信息不作评审依据。</w:t>
      </w:r>
      <w:bookmarkEnd w:id="15"/>
      <w:bookmarkEnd w:id="19"/>
      <w:r>
        <w:rPr>
          <w:rFonts w:ascii="宋体" w:hAnsi="宋体" w:eastAsia="黑体" w:cs="Times New Roman"/>
          <w:bCs/>
          <w:kern w:val="44"/>
          <w:sz w:val="32"/>
          <w:szCs w:val="32"/>
        </w:rPr>
        <w:br w:type="page"/>
      </w:r>
    </w:p>
    <w:p>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pPr>
        <w:pStyle w:val="6"/>
        <w:jc w:val="center"/>
        <w:rPr>
          <w:rFonts w:hint="eastAsia" w:ascii="黑体" w:eastAsia="黑体"/>
          <w:b w:val="0"/>
          <w:sz w:val="24"/>
        </w:rPr>
      </w:pPr>
      <w:r>
        <w:rPr>
          <w:rFonts w:hint="eastAsia" w:ascii="黑体" w:eastAsia="黑体"/>
          <w:b w:val="0"/>
          <w:sz w:val="24"/>
        </w:rPr>
        <w:t>一、投标函</w:t>
      </w:r>
    </w:p>
    <w:p>
      <w:pPr>
        <w:spacing w:line="360" w:lineRule="auto"/>
        <w:rPr>
          <w:rFonts w:hint="eastAsia" w:ascii="宋体" w:hAnsi="宋体"/>
          <w:szCs w:val="21"/>
        </w:rPr>
      </w:pPr>
      <w:bookmarkStart w:id="20"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ind w:firstLine="420" w:firstLineChars="200"/>
        <w:rPr>
          <w:rFonts w:hint="eastAsia" w:ascii="宋体" w:hAnsi="宋体"/>
          <w:szCs w:val="21"/>
        </w:rPr>
      </w:pPr>
      <w:bookmarkStart w:id="21"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2" w:name="_Hlk72263588"/>
      <w:r>
        <w:rPr>
          <w:rFonts w:hint="eastAsia"/>
          <w:szCs w:val="21"/>
        </w:rPr>
        <w:t>愿意按照招标文件要求承包上述项目并修补其任何缺陷。</w:t>
      </w:r>
      <w:bookmarkEnd w:id="22"/>
    </w:p>
    <w:p>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3" w:name="_Hlk73819847"/>
      <w:r>
        <w:rPr>
          <w:rFonts w:hint="eastAsia" w:ascii="宋体" w:hAnsi="宋体"/>
          <w:szCs w:val="21"/>
        </w:rPr>
        <w:t>投标价格见</w:t>
      </w:r>
      <w:r>
        <w:rPr>
          <w:rFonts w:hint="eastAsia"/>
          <w:szCs w:val="21"/>
        </w:rPr>
        <w:t>投标书编制软件中《开标一览表》中填写的投标总价。</w:t>
      </w:r>
      <w:bookmarkEnd w:id="23"/>
    </w:p>
    <w:p>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1"/>
    </w:p>
    <w:p>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szCs w:val="21"/>
        </w:rPr>
      </w:pPr>
    </w:p>
    <w:p>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hint="eastAsia" w:ascii="黑体" w:hAnsi="宋体" w:eastAsia="黑体"/>
        </w:rPr>
      </w:pPr>
    </w:p>
    <w:p>
      <w:pPr>
        <w:rPr>
          <w:rFonts w:hint="eastAsia" w:ascii="黑体" w:hAnsi="宋体" w:eastAsia="黑体"/>
        </w:rPr>
      </w:pPr>
    </w:p>
    <w:bookmarkEnd w:id="20"/>
    <w:p>
      <w:pPr>
        <w:pStyle w:val="6"/>
        <w:jc w:val="center"/>
        <w:rPr>
          <w:rFonts w:hint="eastAsia" w:ascii="黑体" w:eastAsia="黑体"/>
          <w:b w:val="0"/>
          <w:sz w:val="24"/>
        </w:rPr>
      </w:pPr>
      <w:r>
        <w:rPr>
          <w:rFonts w:hint="eastAsia" w:ascii="黑体" w:eastAsia="黑体"/>
          <w:b w:val="0"/>
          <w:sz w:val="24"/>
        </w:rPr>
        <w:t>二、政府采购投标及履约承诺函</w:t>
      </w:r>
    </w:p>
    <w:p>
      <w:pPr>
        <w:rPr>
          <w:rFonts w:hint="eastAsia" w:ascii="宋体" w:hAnsi="宋体"/>
          <w:color w:val="FF0000"/>
          <w:szCs w:val="21"/>
        </w:rPr>
      </w:pPr>
      <w:bookmarkStart w:id="24"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hint="eastAsia" w:ascii="宋体" w:hAnsi="宋体"/>
          <w:szCs w:val="21"/>
        </w:rPr>
      </w:pPr>
      <w:r>
        <w:rPr>
          <w:rFonts w:hint="eastAsia" w:ascii="宋体" w:hAnsi="宋体"/>
          <w:szCs w:val="21"/>
        </w:rPr>
        <w:t>我单位承诺：</w:t>
      </w:r>
    </w:p>
    <w:p>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hint="eastAsia"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pPr>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pPr>
      <w:r>
        <w:rPr>
          <w:rFonts w:hint="eastAsia" w:ascii="Times New Roman" w:eastAsia="宋体"/>
          <w:color w:val="FF0000"/>
        </w:rPr>
        <w:t>5.我单位不存在《深圳市财政局政府采购供应商信用信息管理办法》（深财规〔2023〕3号）列明的严重违法失信行为。</w:t>
      </w:r>
    </w:p>
    <w:p>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w:t>
      </w:r>
      <w:r>
        <w:rPr>
          <w:rFonts w:hint="eastAsia" w:eastAsia="宋体"/>
        </w:rPr>
        <w:t>（</w:t>
      </w:r>
      <w:r>
        <w:rPr>
          <w:rFonts w:hint="eastAsia"/>
        </w:rPr>
        <w:t>财库〔2023〕7号）</w:t>
      </w:r>
      <w:r>
        <w:rPr>
          <w:rFonts w:hint="eastAsia" w:ascii="Times New Roman" w:eastAsia="宋体"/>
        </w:rPr>
        <w:t>要求。若所投产品涉及国家强制性标准的，所投产品应符合国家强制性标准相关要求。</w:t>
      </w:r>
    </w:p>
    <w:p>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pPr>
        <w:ind w:firstLine="420" w:firstLineChars="200"/>
        <w:rPr>
          <w:rFonts w:hint="eastAsia" w:ascii="宋体" w:hAnsi="宋体"/>
          <w:bCs/>
        </w:rPr>
      </w:pPr>
      <w:r>
        <w:rPr>
          <w:rFonts w:hint="eastAsia" w:ascii="宋体" w:hAnsi="宋体"/>
          <w:bCs/>
        </w:rPr>
        <w:t>13.</w:t>
      </w:r>
      <w:bookmarkStart w:id="25" w:name="OLE_LINK12"/>
      <w:bookmarkStart w:id="26" w:name="OLE_LINK3"/>
      <w:r>
        <w:rPr>
          <w:rFonts w:hint="eastAsia" w:ascii="宋体" w:hAnsi="宋体"/>
          <w:bCs/>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bookmarkEnd w:id="25"/>
      <w:r>
        <w:rPr>
          <w:rFonts w:hint="eastAsia" w:ascii="宋体" w:hAnsi="宋体"/>
          <w:bCs/>
        </w:rPr>
        <w:t>。</w:t>
      </w:r>
      <w:bookmarkEnd w:id="26"/>
    </w:p>
    <w:p>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pPr>
        <w:ind w:firstLine="422" w:firstLineChars="200"/>
        <w:rPr>
          <w:rFonts w:hint="eastAsia" w:ascii="宋体" w:hAnsi="宋体"/>
          <w:b/>
        </w:rPr>
      </w:pPr>
    </w:p>
    <w:p>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4"/>
    <w:p>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pPr>
        <w:ind w:firstLine="645"/>
        <w:rPr>
          <w:rFonts w:hint="eastAsia" w:ascii="宋体" w:hAnsi="宋体"/>
          <w:szCs w:val="21"/>
        </w:rPr>
      </w:pPr>
    </w:p>
    <w:p>
      <w:pPr>
        <w:rPr>
          <w:rFonts w:ascii="宋体"/>
          <w:b/>
          <w:szCs w:val="21"/>
        </w:rPr>
      </w:pPr>
    </w:p>
    <w:p>
      <w:pPr>
        <w:ind w:firstLine="482" w:firstLineChars="200"/>
        <w:jc w:val="center"/>
        <w:rPr>
          <w:rFonts w:hint="eastAsia" w:hAnsi="宋体"/>
          <w:b/>
          <w:bCs/>
          <w:sz w:val="24"/>
        </w:rPr>
      </w:pPr>
    </w:p>
    <w:p>
      <w:pPr>
        <w:pStyle w:val="6"/>
        <w:jc w:val="center"/>
        <w:rPr>
          <w:rFonts w:hint="eastAsia"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hint="eastAsia" w:ascii="黑体" w:hAnsi="宋体" w:eastAsia="黑体"/>
          <w:bCs/>
          <w:kern w:val="0"/>
          <w:sz w:val="24"/>
          <w:szCs w:val="32"/>
        </w:rPr>
      </w:pPr>
      <w:bookmarkStart w:id="27" w:name="_Hlk72257590"/>
      <w:r>
        <w:rPr>
          <w:rFonts w:hint="eastAsia" w:ascii="黑体" w:hAnsi="宋体" w:eastAsia="黑体"/>
          <w:bCs/>
          <w:kern w:val="0"/>
          <w:sz w:val="24"/>
          <w:szCs w:val="32"/>
        </w:rPr>
        <w:t>（一）投标人资格证明文件</w:t>
      </w:r>
    </w:p>
    <w:p>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pPr>
        <w:rPr>
          <w:b/>
          <w:bCs/>
          <w:sz w:val="24"/>
        </w:rPr>
      </w:pPr>
    </w:p>
    <w:p>
      <w:pPr>
        <w:ind w:firstLine="480" w:firstLineChars="200"/>
        <w:outlineLvl w:val="3"/>
        <w:rPr>
          <w:rFonts w:hint="eastAsia" w:ascii="黑体" w:hAnsi="宋体" w:eastAsia="黑体"/>
          <w:bCs/>
          <w:kern w:val="0"/>
          <w:sz w:val="24"/>
          <w:szCs w:val="32"/>
        </w:rPr>
      </w:pPr>
      <w:bookmarkStart w:id="28" w:name="_Hlk72257908"/>
      <w:r>
        <w:rPr>
          <w:rFonts w:hint="eastAsia" w:ascii="黑体" w:hAnsi="宋体" w:eastAsia="黑体"/>
          <w:bCs/>
          <w:kern w:val="0"/>
          <w:sz w:val="24"/>
          <w:szCs w:val="32"/>
        </w:rPr>
        <w:t>（二）中小企业声明函、残疾人福利性单位声明函及监狱企业声明函</w:t>
      </w:r>
    </w:p>
    <w:bookmarkEnd w:id="27"/>
    <w:p>
      <w:pPr>
        <w:jc w:val="left"/>
        <w:outlineLvl w:val="3"/>
        <w:rPr>
          <w:rFonts w:hint="eastAsia" w:ascii="黑体" w:hAnsi="宋体" w:eastAsia="黑体"/>
          <w:bCs/>
          <w:kern w:val="0"/>
          <w:sz w:val="24"/>
          <w:szCs w:val="32"/>
        </w:rPr>
      </w:pP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29"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29"/>
      <w:r>
        <w:rPr>
          <w:rFonts w:hint="eastAsia" w:ascii="黑体" w:hAnsi="黑体" w:eastAsia="黑体"/>
          <w:color w:val="FF0000"/>
          <w:szCs w:val="21"/>
        </w:rPr>
        <w:t>）</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服务承接商名称。</w:t>
      </w:r>
      <w:r>
        <w:rPr>
          <w:rFonts w:hint="eastAsia" w:ascii="黑体" w:hAnsi="宋体" w:eastAsia="黑体"/>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Cs w:val="21"/>
        </w:rPr>
        <w:t>第六、</w:t>
      </w:r>
      <w:r>
        <w:rPr>
          <w:rFonts w:hint="eastAsia" w:ascii="黑体" w:hAnsi="宋体" w:eastAsia="黑体"/>
          <w:bCs/>
          <w:color w:val="FF0000"/>
          <w:kern w:val="0"/>
          <w:szCs w:val="21"/>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pStyle w:val="51"/>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5、本项目属于服务类项目，相关服务承接商应当为中小企业或残疾人福利性单位或监狱企业，如包含硬件设备、产品等货物采购的，不再对其中涉及的货物制造商作出要求。</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pPr>
    </w:p>
    <w:p>
      <w:pPr>
        <w:numPr>
          <w:ilvl w:val="0"/>
          <w:numId w:val="2"/>
        </w:numPr>
        <w:jc w:val="center"/>
        <w:outlineLvl w:val="3"/>
        <w:rPr>
          <w:b/>
          <w:sz w:val="24"/>
        </w:rPr>
      </w:pPr>
      <w:r>
        <w:rPr>
          <w:b/>
          <w:sz w:val="24"/>
        </w:rPr>
        <w:t>中小企业声明函（货物）</w:t>
      </w:r>
    </w:p>
    <w:p>
      <w:pPr>
        <w:pStyle w:val="2"/>
      </w:pPr>
    </w:p>
    <w:p>
      <w:pPr>
        <w:pStyle w:val="15"/>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pPr>
        <w:pStyle w:val="15"/>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pPr>
        <w:pStyle w:val="15"/>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pPr>
        <w:pStyle w:val="15"/>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pPr>
        <w:pStyle w:val="15"/>
        <w:ind w:firstLine="420" w:firstLineChars="200"/>
        <w:rPr>
          <w:rFonts w:hint="eastAsia" w:asciiTheme="minorEastAsia" w:hAnsiTheme="minorEastAsia" w:cstheme="minorEastAsia"/>
          <w:sz w:val="21"/>
          <w:szCs w:val="21"/>
        </w:rPr>
      </w:pPr>
    </w:p>
    <w:p>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pPr>
        <w:spacing w:line="360" w:lineRule="auto"/>
        <w:ind w:firstLine="420" w:firstLineChars="200"/>
        <w:rPr>
          <w:rFonts w:hint="eastAsia" w:asciiTheme="minorEastAsia" w:hAnsiTheme="minorEastAsia" w:cstheme="minorEastAsia"/>
          <w:szCs w:val="21"/>
        </w:rPr>
      </w:pPr>
      <w:bookmarkStart w:id="30" w:name="_Hlk73562203"/>
      <w:r>
        <w:rPr>
          <w:rFonts w:hint="eastAsia" w:asciiTheme="minorEastAsia" w:hAnsiTheme="minorEastAsia" w:cstheme="minorEastAsia"/>
          <w:szCs w:val="21"/>
        </w:rPr>
        <w:t>本投标人对上述声明内容的真实性负责。如有虚假，将依法承担相应责任。</w:t>
      </w:r>
    </w:p>
    <w:p>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0"/>
    </w:p>
    <w:p>
      <w:pPr>
        <w:ind w:firstLine="420" w:firstLineChars="200"/>
        <w:outlineLvl w:val="3"/>
        <w:rPr>
          <w:rFonts w:hint="eastAsia" w:ascii="宋体" w:hAnsi="宋体"/>
          <w:bCs/>
          <w:color w:val="FF0000"/>
          <w:kern w:val="0"/>
          <w:szCs w:val="21"/>
        </w:rPr>
      </w:pPr>
    </w:p>
    <w:p/>
    <w:p>
      <w:pPr>
        <w:ind w:firstLine="420" w:firstLineChars="200"/>
      </w:pPr>
    </w:p>
    <w:p>
      <w:pPr>
        <w:jc w:val="center"/>
        <w:outlineLvl w:val="3"/>
        <w:rPr>
          <w:b/>
          <w:sz w:val="24"/>
        </w:rPr>
      </w:pPr>
      <w:r>
        <w:rPr>
          <w:rFonts w:hint="eastAsia"/>
          <w:b/>
          <w:sz w:val="24"/>
        </w:rPr>
        <w:t>2、残疾人福利性单位声明函（货物类）</w:t>
      </w:r>
    </w:p>
    <w:p>
      <w:pPr>
        <w:rPr>
          <w:b/>
          <w:bCs/>
        </w:rPr>
      </w:pPr>
    </w:p>
    <w:p>
      <w:pPr>
        <w:spacing w:line="360" w:lineRule="auto"/>
        <w:ind w:firstLine="420" w:firstLineChars="200"/>
        <w:rPr>
          <w:rFonts w:hint="eastAsia" w:asciiTheme="minorEastAsia" w:hAnsiTheme="minorEastAsia" w:cstheme="minorEastAsia"/>
          <w:szCs w:val="21"/>
        </w:rPr>
      </w:pPr>
      <w:bookmarkStart w:id="31" w:name="_Hlk73562331"/>
      <w:bookmarkStart w:id="32"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1"/>
    </w:p>
    <w:bookmarkEnd w:id="32"/>
    <w:p>
      <w:pPr>
        <w:ind w:firstLine="420" w:firstLineChars="200"/>
        <w:rPr>
          <w:rFonts w:hint="eastAsia" w:ascii="宋体" w:hAnsi="宋体"/>
          <w:szCs w:val="21"/>
        </w:rPr>
      </w:pPr>
    </w:p>
    <w:p>
      <w:pPr>
        <w:ind w:firstLine="420" w:firstLineChars="200"/>
        <w:rPr>
          <w:rFonts w:hint="eastAsia" w:ascii="宋体" w:hAnsi="宋体"/>
          <w:szCs w:val="21"/>
        </w:rPr>
      </w:pPr>
    </w:p>
    <w:p>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pPr>
        <w:spacing w:line="360" w:lineRule="auto"/>
        <w:ind w:firstLine="420" w:firstLineChars="200"/>
        <w:outlineLvl w:val="3"/>
        <w:rPr>
          <w:rFonts w:hint="eastAsia" w:ascii="宋体" w:hAnsi="宋体"/>
          <w:szCs w:val="21"/>
        </w:rPr>
      </w:pPr>
      <w:r>
        <w:rPr>
          <w:rFonts w:ascii="宋体" w:hAnsi="宋体"/>
          <w:szCs w:val="21"/>
        </w:rPr>
        <w:t xml:space="preserve">…… </w:t>
      </w:r>
    </w:p>
    <w:p>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28"/>
    </w:p>
    <w:p>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分项报价清单</w:t>
      </w:r>
    </w:p>
    <w:p>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pPr>
        <w:tabs>
          <w:tab w:val="left" w:pos="720"/>
        </w:tabs>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（一）项目报价表</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9"/>
        <w:gridCol w:w="679"/>
        <w:gridCol w:w="796"/>
        <w:gridCol w:w="883"/>
        <w:gridCol w:w="660"/>
        <w:gridCol w:w="462"/>
        <w:gridCol w:w="462"/>
        <w:gridCol w:w="657"/>
        <w:gridCol w:w="880"/>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pPr>
              <w:spacing w:line="300" w:lineRule="auto"/>
              <w:jc w:val="center"/>
              <w:rPr>
                <w:rFonts w:ascii="Arial" w:hAnsi="Arial" w:eastAsia="宋体" w:cs="Times New Roman"/>
                <w:szCs w:val="24"/>
              </w:rPr>
            </w:pPr>
            <w:r>
              <w:rPr>
                <w:rFonts w:hint="eastAsia" w:ascii="Arial" w:hAnsi="Arial" w:eastAsia="宋体" w:cs="Times New Roman"/>
                <w:szCs w:val="24"/>
              </w:rPr>
              <w:t>序号</w:t>
            </w:r>
          </w:p>
        </w:tc>
        <w:tc>
          <w:tcPr>
            <w:tcW w:w="903"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货物名称</w:t>
            </w:r>
          </w:p>
        </w:tc>
        <w:tc>
          <w:tcPr>
            <w:tcW w:w="409"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品牌</w:t>
            </w:r>
          </w:p>
        </w:tc>
        <w:tc>
          <w:tcPr>
            <w:tcW w:w="478"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规格/型号</w:t>
            </w:r>
          </w:p>
        </w:tc>
        <w:tc>
          <w:tcPr>
            <w:tcW w:w="529" w:type="pct"/>
            <w:vAlign w:val="center"/>
          </w:tcPr>
          <w:p>
            <w:pPr>
              <w:spacing w:line="300" w:lineRule="auto"/>
              <w:jc w:val="center"/>
              <w:rPr>
                <w:rFonts w:ascii="Arial" w:hAnsi="Arial" w:eastAsia="宋体" w:cs="Times New Roman"/>
                <w:b/>
                <w:szCs w:val="24"/>
              </w:rPr>
            </w:pPr>
            <w:r>
              <w:rPr>
                <w:rFonts w:hint="eastAsia" w:ascii="Arial" w:hAnsi="Arial" w:eastAsia="宋体" w:cs="Times New Roman"/>
                <w:bCs/>
                <w:szCs w:val="24"/>
              </w:rPr>
              <w:t>制造商名称</w:t>
            </w:r>
          </w:p>
        </w:tc>
        <w:tc>
          <w:tcPr>
            <w:tcW w:w="395"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原产地</w:t>
            </w:r>
          </w:p>
        </w:tc>
        <w:tc>
          <w:tcPr>
            <w:tcW w:w="282"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数量</w:t>
            </w:r>
          </w:p>
        </w:tc>
        <w:tc>
          <w:tcPr>
            <w:tcW w:w="282" w:type="pct"/>
          </w:tcPr>
          <w:p>
            <w:pPr>
              <w:spacing w:line="300" w:lineRule="auto"/>
              <w:jc w:val="center"/>
              <w:rPr>
                <w:rFonts w:ascii="Arial" w:hAnsi="Arial" w:eastAsia="宋体" w:cs="Times New Roman"/>
                <w:szCs w:val="24"/>
              </w:rPr>
            </w:pPr>
            <w:r>
              <w:rPr>
                <w:rFonts w:hint="eastAsia" w:ascii="Arial" w:hAnsi="Arial" w:eastAsia="宋体" w:cs="Times New Roman"/>
                <w:szCs w:val="24"/>
              </w:rPr>
              <w:t>单位</w:t>
            </w:r>
          </w:p>
        </w:tc>
        <w:tc>
          <w:tcPr>
            <w:tcW w:w="396"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单价(元)</w:t>
            </w:r>
          </w:p>
        </w:tc>
        <w:tc>
          <w:tcPr>
            <w:tcW w:w="527"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合价(元)</w:t>
            </w:r>
          </w:p>
        </w:tc>
        <w:tc>
          <w:tcPr>
            <w:tcW w:w="527" w:type="pct"/>
            <w:vAlign w:val="center"/>
          </w:tcPr>
          <w:p>
            <w:pPr>
              <w:spacing w:line="300" w:lineRule="auto"/>
              <w:jc w:val="center"/>
              <w:rPr>
                <w:rFonts w:ascii="Arial" w:hAnsi="Arial" w:eastAsia="宋体" w:cs="Times New Roman"/>
                <w:szCs w:val="24"/>
              </w:rPr>
            </w:pPr>
            <w:r>
              <w:rPr>
                <w:rFonts w:hint="eastAsia" w:ascii="Times New Roman" w:hAnsi="Times New Roman" w:eastAsia="宋体" w:cs="Times New Roman"/>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1</w:t>
            </w:r>
          </w:p>
        </w:tc>
        <w:tc>
          <w:tcPr>
            <w:tcW w:w="903" w:type="pct"/>
            <w:vAlign w:val="center"/>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restart"/>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2</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3</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pPr>
              <w:spacing w:after="78" w:afterLines="25" w:line="300" w:lineRule="auto"/>
              <w:jc w:val="center"/>
              <w:rPr>
                <w:rFonts w:ascii="Arial" w:hAnsi="Arial" w:eastAsia="宋体" w:cs="Times New Roman"/>
                <w:szCs w:val="24"/>
              </w:rPr>
            </w:pPr>
            <w:r>
              <w:rPr>
                <w:rFonts w:hint="eastAsia" w:ascii="Arial" w:hAnsi="Arial" w:eastAsia="宋体" w:cs="Times New Roman"/>
                <w:b/>
                <w:szCs w:val="24"/>
              </w:rPr>
              <w:t>投标总价</w:t>
            </w:r>
            <w:r>
              <w:rPr>
                <w:rFonts w:hint="eastAsia" w:ascii="Arial" w:hAnsi="Arial" w:eastAsia="宋体" w:cs="Times New Roman"/>
                <w:szCs w:val="24"/>
              </w:rPr>
              <w:t>（以上各项之和；币种：人民币；单位：元）</w:t>
            </w:r>
          </w:p>
        </w:tc>
        <w:tc>
          <w:tcPr>
            <w:tcW w:w="2015" w:type="pct"/>
            <w:gridSpan w:val="5"/>
          </w:tcPr>
          <w:p>
            <w:pPr>
              <w:spacing w:after="78" w:afterLines="25" w:line="300" w:lineRule="auto"/>
              <w:rPr>
                <w:rFonts w:ascii="Arial" w:hAnsi="Arial" w:eastAsia="宋体" w:cs="Times New Roman"/>
                <w:szCs w:val="24"/>
              </w:rPr>
            </w:pPr>
          </w:p>
        </w:tc>
      </w:tr>
    </w:tbl>
    <w:p>
      <w:pPr>
        <w:snapToGrid w:val="0"/>
        <w:rPr>
          <w:rFonts w:hint="eastAsia" w:cs="Times New Roman" w:asciiTheme="minorEastAsia" w:hAnsiTheme="minorEastAsia"/>
          <w:b/>
          <w:szCs w:val="24"/>
        </w:rPr>
      </w:pPr>
      <w:r>
        <w:rPr>
          <w:rFonts w:hint="eastAsia" w:cs="Times New Roman" w:asciiTheme="minorEastAsia" w:hAnsiTheme="minorEastAsia"/>
          <w:b/>
          <w:szCs w:val="24"/>
        </w:rPr>
        <w:t>填写说明：</w:t>
      </w:r>
    </w:p>
    <w:p>
      <w:pPr>
        <w:snapToGrid w:val="0"/>
        <w:rPr>
          <w:rFonts w:hint="eastAsia" w:cs="Times New Roman" w:asciiTheme="minorEastAsia" w:hAnsiTheme="minorEastAsia"/>
          <w:b/>
          <w:szCs w:val="24"/>
        </w:rPr>
      </w:pPr>
      <w:r>
        <w:rPr>
          <w:rFonts w:hint="eastAsia" w:cs="Times New Roman" w:asciiTheme="minorEastAsia" w:hAnsiTheme="minorEastAsia"/>
          <w:b/>
          <w:szCs w:val="24"/>
        </w:rPr>
        <w:t>1.本表可按同样格式扩展。</w:t>
      </w:r>
    </w:p>
    <w:p>
      <w:pPr>
        <w:snapToGrid w:val="0"/>
        <w:rPr>
          <w:rFonts w:hint="eastAsia" w:cs="Times New Roman" w:asciiTheme="minorEastAsia" w:hAnsiTheme="minorEastAsia"/>
          <w:b/>
          <w:szCs w:val="24"/>
        </w:rPr>
      </w:pPr>
      <w:r>
        <w:rPr>
          <w:rFonts w:hint="eastAsia" w:cs="Times New Roman" w:asciiTheme="minorEastAsia" w:hAnsiTheme="minorEastAsia"/>
          <w:b/>
          <w:szCs w:val="24"/>
        </w:rPr>
        <w:t>2. “品牌”可以与商标一致，也可以填写便于区分其他公司商品的制造商简称或者制造商认可的品牌名称。</w:t>
      </w:r>
    </w:p>
    <w:p>
      <w:pPr>
        <w:snapToGrid w:val="0"/>
        <w:rPr>
          <w:rFonts w:hint="eastAsia"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3.如所投货物属于定制类的非量产货物或无具体型号的货物，可以在“规格/型号”一栏仅填写规格信息而不填写型号信息（型号信息用“定制”描述即可）；</w:t>
      </w:r>
      <w:bookmarkStart w:id="33" w:name="_Hlk73646428"/>
      <w:r>
        <w:rPr>
          <w:rFonts w:hint="eastAsia" w:cs="Times New Roman" w:asciiTheme="minorEastAsia" w:hAnsiTheme="minorEastAsia"/>
          <w:b/>
          <w:szCs w:val="24"/>
        </w:rPr>
        <w:t>此类填写错误或缺漏（所投货物为定制类的非量产货物但供应商却错误填报了型号）可能带来的不利后果由供应商承担。</w:t>
      </w:r>
      <w:bookmarkEnd w:id="33"/>
    </w:p>
    <w:p>
      <w:pPr>
        <w:snapToGrid w:val="0"/>
        <w:rPr>
          <w:rFonts w:hint="eastAsia" w:cs="Times New Roman" w:asciiTheme="minorEastAsia" w:hAnsiTheme="minorEastAsia"/>
          <w:b/>
          <w:szCs w:val="24"/>
        </w:rPr>
      </w:pPr>
      <w:r>
        <w:rPr>
          <w:rFonts w:hint="eastAsia" w:cs="Times New Roman" w:asciiTheme="minorEastAsia" w:hAnsiTheme="minorEastAsia"/>
          <w:b/>
          <w:szCs w:val="24"/>
        </w:rPr>
        <w:t>4.</w:t>
      </w:r>
      <w:bookmarkStart w:id="34" w:name="_Hlk72074795"/>
      <w:r>
        <w:rPr>
          <w:rFonts w:hint="eastAsia" w:cs="Times New Roman" w:asciiTheme="minorEastAsia" w:hAnsiTheme="minorEastAsia"/>
          <w:b/>
          <w:szCs w:val="24"/>
        </w:rPr>
        <w:t>“原产地”是指该货物的实际生产加工地，而非品牌所在地</w:t>
      </w:r>
      <w:bookmarkEnd w:id="34"/>
      <w:r>
        <w:rPr>
          <w:rFonts w:hint="eastAsia" w:cs="Times New Roman" w:asciiTheme="minorEastAsia" w:hAnsiTheme="minorEastAsia"/>
          <w:b/>
          <w:szCs w:val="24"/>
        </w:rPr>
        <w:t>。</w:t>
      </w:r>
    </w:p>
    <w:p>
      <w:pPr>
        <w:snapToGrid w:val="0"/>
        <w:rPr>
          <w:rFonts w:hint="eastAsia" w:cs="Times New Roman" w:asciiTheme="minorEastAsia" w:hAnsiTheme="minorEastAsia"/>
          <w:b/>
          <w:szCs w:val="24"/>
        </w:rPr>
      </w:pPr>
      <w:r>
        <w:rPr>
          <w:rFonts w:hint="eastAsia" w:cs="Times New Roman" w:asciiTheme="minorEastAsia" w:hAnsiTheme="minorEastAsia"/>
          <w:b/>
          <w:szCs w:val="24"/>
        </w:rPr>
        <w:t>5.所投货物均应填写制造商名称。“制造商”是指产品制造厂商，产品代工制造的，应填写接受委托生产制造的制造商。</w:t>
      </w:r>
    </w:p>
    <w:p>
      <w:pPr>
        <w:snapToGrid w:val="0"/>
        <w:rPr>
          <w:rFonts w:hint="eastAsia" w:cs="Times New Roman" w:asciiTheme="minorEastAsia" w:hAnsiTheme="minorEastAsia"/>
          <w:b/>
          <w:szCs w:val="24"/>
        </w:rPr>
      </w:pPr>
      <w:r>
        <w:rPr>
          <w:rFonts w:hint="eastAsia" w:cs="Times New Roman" w:asciiTheme="minorEastAsia" w:hAnsiTheme="minorEastAsia"/>
          <w:b/>
          <w:szCs w:val="24"/>
        </w:rPr>
        <w:t>6.以上分项报价表的投标总价应当与开标一览表的投标总价一致。</w:t>
      </w:r>
    </w:p>
    <w:p>
      <w:pPr>
        <w:snapToGrid w:val="0"/>
        <w:rPr>
          <w:rFonts w:hint="eastAsia" w:cs="Times New Roman" w:asciiTheme="minorEastAsia" w:hAnsiTheme="minorEastAsia"/>
          <w:b/>
          <w:szCs w:val="24"/>
        </w:rPr>
      </w:pPr>
      <w:r>
        <w:rPr>
          <w:rFonts w:hint="eastAsia" w:cs="Times New Roman" w:asciiTheme="minorEastAsia" w:hAnsiTheme="minorEastAsia"/>
          <w:b/>
          <w:szCs w:val="24"/>
        </w:rPr>
        <w:t>7.单价、合价和投标总价为包干价，即三者均应包含货物的价款、包装、运输、装卸、安装、调试、技术指导、培训、咨询、服务、保险、税费、检测、验收合格交付使用之前以及技术和售后服务等其他各项有关费用。</w:t>
      </w:r>
    </w:p>
    <w:p>
      <w:pPr>
        <w:snapToGrid w:val="0"/>
        <w:rPr>
          <w:rFonts w:hint="eastAsia" w:cs="Times New Roman" w:asciiTheme="minorEastAsia" w:hAnsiTheme="minorEastAsia"/>
          <w:b/>
          <w:szCs w:val="24"/>
        </w:rPr>
      </w:pPr>
      <w:r>
        <w:rPr>
          <w:rFonts w:hint="eastAsia" w:cs="Times New Roman" w:asciiTheme="minorEastAsia" w:hAnsiTheme="minorEastAsia"/>
          <w:b/>
          <w:szCs w:val="24"/>
        </w:rPr>
        <w:t>8.所有价格应按“招标文件”中规定的货币单位填写；投标总价应为以上各分项价格之和；投标总价和项目报价表中单个采购预算条目报价均不得超过对应的财政预算限额，否则将导致投标无效。</w:t>
      </w:r>
    </w:p>
    <w:p>
      <w:pPr>
        <w:snapToGrid w:val="0"/>
        <w:rPr>
          <w:rFonts w:hint="eastAsia" w:cs="Times New Roman" w:asciiTheme="minorEastAsia" w:hAnsiTheme="minorEastAsia"/>
          <w:b/>
          <w:szCs w:val="24"/>
        </w:rPr>
      </w:pPr>
    </w:p>
    <w:p>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pPr>
        <w:tabs>
          <w:tab w:val="left" w:pos="720"/>
        </w:tabs>
        <w:rPr>
          <w:rFonts w:ascii="Times New Roman" w:hAnsi="Times New Roman" w:eastAsia="宋体" w:cs="Times New Roman"/>
          <w:b/>
          <w:sz w:val="24"/>
          <w:szCs w:val="24"/>
        </w:rPr>
      </w:pPr>
    </w:p>
    <w:p>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pPr>
        <w:spacing w:after="78" w:afterLines="25" w:line="300" w:lineRule="auto"/>
        <w:rPr>
          <w:rFonts w:ascii="Arial" w:hAnsi="Arial" w:eastAsia="宋体" w:cs="Times New Roman"/>
          <w:b/>
          <w:szCs w:val="24"/>
        </w:rPr>
      </w:pPr>
    </w:p>
    <w:p>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pPr>
        <w:ind w:firstLine="422" w:firstLineChars="200"/>
        <w:rPr>
          <w:rFonts w:hint="eastAsia" w:hAnsi="宋体"/>
          <w:b/>
          <w:bCs/>
          <w:szCs w:val="21"/>
        </w:rPr>
      </w:pPr>
    </w:p>
    <w:p>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pPr>
        <w:rPr>
          <w:b/>
          <w:bCs/>
          <w:color w:val="FF0000"/>
          <w:sz w:val="24"/>
        </w:rPr>
      </w:pPr>
    </w:p>
    <w:p>
      <w:pPr>
        <w:jc w:val="center"/>
        <w:rPr>
          <w:rFonts w:ascii="黑体" w:eastAsia="黑体"/>
          <w:sz w:val="24"/>
          <w:szCs w:val="24"/>
        </w:rPr>
      </w:pPr>
      <w:r>
        <w:rPr>
          <w:rFonts w:hint="eastAsia"/>
          <w:b/>
          <w:bCs/>
          <w:color w:val="FF0000"/>
          <w:sz w:val="24"/>
        </w:rPr>
        <w:t>★</w:t>
      </w:r>
      <w:r>
        <w:rPr>
          <w:rFonts w:hint="eastAsia" w:ascii="黑体" w:eastAsia="黑体"/>
          <w:sz w:val="24"/>
          <w:szCs w:val="24"/>
        </w:rPr>
        <w:t>五、供应商情况表</w:t>
      </w:r>
    </w:p>
    <w:p>
      <w:pPr>
        <w:jc w:val="center"/>
        <w:rPr>
          <w:rFonts w:hint="eastAsia" w:ascii="宋体" w:hAnsi="宋体"/>
        </w:rPr>
      </w:pPr>
    </w:p>
    <w:p>
      <w:pPr>
        <w:pStyle w:val="6"/>
        <w:numPr>
          <w:ilvl w:val="0"/>
          <w:numId w:val="3"/>
        </w:numPr>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提供投标人所在地的市场监督管理部门“商事登记簿查询（商事主体登记及备案信息查询）”查询截图；参考示例“深圳市市场监督管理局——商事登记簿查询（商事主体登记及备案信息查询）：</w:t>
      </w:r>
      <w:r>
        <w:fldChar w:fldCharType="begin"/>
      </w:r>
      <w:r>
        <w:instrText xml:space="preserve"> HYPERLINK "https://amr.sz.gov.cn/outer/entSelect/gs.html" </w:instrText>
      </w:r>
      <w:r>
        <w:fldChar w:fldCharType="separate"/>
      </w:r>
      <w:r>
        <w:rPr>
          <w:rStyle w:val="24"/>
          <w:rFonts w:hint="eastAsia" w:ascii="Times New Roman" w:hAnsi="Times New Roman" w:cs="Times New Roman"/>
          <w:b w:val="0"/>
          <w:bCs w:val="0"/>
          <w:sz w:val="21"/>
          <w:szCs w:val="24"/>
        </w:rPr>
        <w:t>https://amr.sz.gov.cn/outer/entSelect/gs.html”。</w:t>
      </w:r>
      <w:r>
        <w:rPr>
          <w:rStyle w:val="24"/>
          <w:rFonts w:hint="eastAsia" w:ascii="Times New Roman" w:hAnsi="Times New Roman" w:cs="Times New Roman"/>
          <w:b w:val="0"/>
          <w:bCs w:val="0"/>
          <w:sz w:val="21"/>
          <w:szCs w:val="24"/>
        </w:rPr>
        <w:fldChar w:fldCharType="end"/>
      </w:r>
    </w:p>
    <w:p>
      <w:pPr>
        <w:rPr>
          <w:b/>
          <w:bCs/>
          <w:color w:val="FF0000"/>
          <w:highlight w:val="yellow"/>
        </w:rPr>
      </w:pPr>
      <w:r>
        <w:rPr>
          <w:rFonts w:hint="eastAsia"/>
          <w:b/>
          <w:bCs/>
          <w:color w:val="FF0000"/>
          <w:highlight w:val="yellow"/>
        </w:rPr>
        <w:t>提示：如果投标供应商</w:t>
      </w:r>
      <w:r>
        <w:rPr>
          <w:rFonts w:ascii="宋体" w:hAnsi="宋体"/>
          <w:b/>
          <w:bCs/>
          <w:color w:val="FF0000"/>
          <w:highlight w:val="yellow"/>
        </w:rPr>
        <w:t>存在单位负责人为同一人</w:t>
      </w:r>
      <w:r>
        <w:rPr>
          <w:rFonts w:hint="eastAsia" w:ascii="宋体" w:hAnsi="宋体"/>
          <w:b/>
          <w:bCs/>
          <w:color w:val="FF0000"/>
          <w:highlight w:val="yellow"/>
        </w:rPr>
        <w:t>，</w:t>
      </w:r>
      <w:r>
        <w:rPr>
          <w:rFonts w:ascii="宋体" w:hAnsi="宋体"/>
          <w:b/>
          <w:bCs/>
          <w:color w:val="FF0000"/>
          <w:highlight w:val="yellow"/>
        </w:rPr>
        <w:t>或者存在直接控股、</w:t>
      </w:r>
      <w:r>
        <w:rPr>
          <w:rFonts w:hint="eastAsia" w:ascii="宋体" w:hAnsi="宋体"/>
          <w:b/>
          <w:bCs/>
          <w:color w:val="FF0000"/>
          <w:highlight w:val="yellow"/>
        </w:rPr>
        <w:t>间接控股、</w:t>
      </w:r>
      <w:r>
        <w:rPr>
          <w:rFonts w:ascii="宋体" w:hAnsi="宋体"/>
          <w:b/>
          <w:bCs/>
          <w:color w:val="FF0000"/>
          <w:highlight w:val="yellow"/>
        </w:rPr>
        <w:t>管理关系</w:t>
      </w:r>
      <w:r>
        <w:rPr>
          <w:rFonts w:hint="eastAsia" w:ascii="宋体" w:hAnsi="宋体"/>
          <w:b/>
          <w:bCs/>
          <w:color w:val="FF0000"/>
          <w:highlight w:val="yellow"/>
        </w:rPr>
        <w:t>等情形，将被纳入交易监管平台产生示警信息，由此产生的负面影响，由投标人自行承担。</w:t>
      </w:r>
    </w:p>
    <w:p/>
    <w:p>
      <w:pPr>
        <w:pStyle w:val="6"/>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2、股东构成审查表</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4"/>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□是，其控股股东为：</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其他主要股东及其股份占比：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□是，该单位为：</w:t>
            </w:r>
            <w:r>
              <w:rPr>
                <w:rFonts w:hint="eastAsia" w:ascii="宋体" w:hAnsi="宋体" w:cs="Segoe UI Symbol"/>
                <w:color w:val="000000"/>
                <w:kern w:val="0"/>
                <w:szCs w:val="21"/>
                <w:u w:val="single"/>
              </w:rPr>
              <w:t xml:space="preserve">                                          </w:t>
            </w:r>
          </w:p>
          <w:p>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□是，与招标人的关系为：</w:t>
            </w:r>
            <w:r>
              <w:rPr>
                <w:rFonts w:hint="eastAsia" w:ascii="宋体" w:hAnsi="宋体" w:cs="Segoe UI Symbol"/>
                <w:color w:val="000000"/>
                <w:kern w:val="0"/>
                <w:szCs w:val="21"/>
                <w:u w:val="single"/>
              </w:rPr>
              <w:t xml:space="preserve">                                   </w:t>
            </w:r>
          </w:p>
          <w:p>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□否</w:t>
            </w:r>
          </w:p>
        </w:tc>
      </w:tr>
    </w:tbl>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注：</w:t>
      </w:r>
    </w:p>
    <w:p>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2、投标人需如实填写上述信息，如查实上述信息与实际不符，视为提供虚假证明材料骗取中标，投标人应承担相应法律后果。</w:t>
      </w:r>
    </w:p>
    <w:p>
      <w:pPr>
        <w:pStyle w:val="6"/>
        <w:ind w:firstLine="3120" w:firstLineChars="1300"/>
        <w:rPr>
          <w:rFonts w:hint="eastAsia" w:ascii="黑体" w:eastAsia="黑体"/>
          <w:b w:val="0"/>
          <w:sz w:val="24"/>
        </w:rPr>
      </w:pPr>
      <w:r>
        <w:rPr>
          <w:rFonts w:hint="eastAsia" w:ascii="黑体" w:eastAsia="黑体" w:cs="Times New Roman"/>
          <w:b w:val="0"/>
          <w:sz w:val="24"/>
          <w:lang w:val="en-US" w:eastAsia="zh-CN"/>
        </w:rPr>
        <w:t>六、</w:t>
      </w:r>
      <w:r>
        <w:rPr>
          <w:rFonts w:hint="eastAsia" w:ascii="黑体" w:eastAsia="黑体" w:cs="Times New Roman"/>
          <w:b w:val="0"/>
          <w:sz w:val="24"/>
        </w:rPr>
        <w:t>供应商基本情况表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4"/>
        <w:gridCol w:w="1528"/>
        <w:gridCol w:w="903"/>
        <w:gridCol w:w="751"/>
        <w:gridCol w:w="1145"/>
        <w:gridCol w:w="1428"/>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pPr>
              <w:jc w:val="center"/>
              <w:rPr>
                <w:rFonts w:hint="eastAsia" w:ascii="宋体" w:hAnsi="宋体" w:eastAsia="宋体" w:cs="宋体"/>
                <w:szCs w:val="21"/>
              </w:rPr>
            </w:pPr>
            <w:r>
              <w:rPr>
                <w:rFonts w:hint="eastAsia" w:ascii="宋体" w:hAnsi="宋体" w:eastAsia="宋体" w:cs="宋体"/>
                <w:szCs w:val="21"/>
              </w:rPr>
              <w:t>投标（响应）供应商</w:t>
            </w:r>
          </w:p>
        </w:tc>
        <w:tc>
          <w:tcPr>
            <w:tcW w:w="1427" w:type="pct"/>
            <w:gridSpan w:val="2"/>
            <w:vAlign w:val="center"/>
          </w:tcPr>
          <w:p>
            <w:pPr>
              <w:jc w:val="center"/>
              <w:rPr>
                <w:rFonts w:hint="eastAsia" w:ascii="宋体" w:hAnsi="宋体" w:eastAsia="宋体" w:cs="宋体"/>
                <w:szCs w:val="21"/>
              </w:rPr>
            </w:pPr>
          </w:p>
        </w:tc>
        <w:tc>
          <w:tcPr>
            <w:tcW w:w="1113" w:type="pct"/>
            <w:gridSpan w:val="2"/>
            <w:vAlign w:val="center"/>
          </w:tcPr>
          <w:p>
            <w:pPr>
              <w:jc w:val="center"/>
              <w:rPr>
                <w:rFonts w:hint="eastAsia" w:ascii="宋体" w:hAnsi="宋体" w:eastAsia="宋体" w:cs="宋体"/>
                <w:szCs w:val="21"/>
              </w:rPr>
            </w:pPr>
            <w:r>
              <w:rPr>
                <w:rFonts w:hint="eastAsia" w:ascii="宋体" w:hAnsi="宋体" w:eastAsia="宋体" w:cs="宋体"/>
                <w:szCs w:val="21"/>
              </w:rPr>
              <w:t>项目名称及编号</w:t>
            </w:r>
          </w:p>
        </w:tc>
        <w:tc>
          <w:tcPr>
            <w:tcW w:w="1669" w:type="pct"/>
            <w:gridSpan w:val="2"/>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jc w:val="center"/>
              <w:rPr>
                <w:rFonts w:hint="eastAsia" w:ascii="宋体" w:hAnsi="宋体" w:eastAsia="宋体" w:cs="宋体"/>
                <w:szCs w:val="21"/>
              </w:rPr>
            </w:pPr>
            <w:r>
              <w:rPr>
                <w:rFonts w:hint="eastAsia" w:ascii="宋体" w:hAnsi="宋体" w:eastAsia="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序号</w:t>
            </w:r>
          </w:p>
        </w:tc>
        <w:tc>
          <w:tcPr>
            <w:tcW w:w="1275" w:type="pct"/>
            <w:gridSpan w:val="2"/>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职务</w:t>
            </w:r>
          </w:p>
        </w:tc>
        <w:tc>
          <w:tcPr>
            <w:tcW w:w="529" w:type="pct"/>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姓名</w:t>
            </w:r>
          </w:p>
        </w:tc>
        <w:tc>
          <w:tcPr>
            <w:tcW w:w="1113" w:type="pct"/>
            <w:gridSpan w:val="2"/>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身份证号码</w:t>
            </w:r>
          </w:p>
        </w:tc>
        <w:tc>
          <w:tcPr>
            <w:tcW w:w="838" w:type="pct"/>
            <w:tcBorders>
              <w:bottom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劳动合同</w:t>
            </w:r>
          </w:p>
          <w:p>
            <w:pPr>
              <w:snapToGrid w:val="0"/>
              <w:jc w:val="center"/>
              <w:rPr>
                <w:rFonts w:hint="eastAsia" w:ascii="宋体" w:hAnsi="宋体" w:eastAsia="宋体" w:cs="宋体"/>
                <w:szCs w:val="21"/>
              </w:rPr>
            </w:pPr>
            <w:r>
              <w:rPr>
                <w:rFonts w:hint="eastAsia" w:ascii="宋体" w:hAnsi="宋体" w:eastAsia="宋体" w:cs="宋体"/>
                <w:szCs w:val="21"/>
              </w:rPr>
              <w:t>关系单位</w:t>
            </w:r>
          </w:p>
        </w:tc>
        <w:tc>
          <w:tcPr>
            <w:tcW w:w="830" w:type="pct"/>
            <w:tcBorders>
              <w:bottom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缴纳社会</w:t>
            </w:r>
          </w:p>
          <w:p>
            <w:pPr>
              <w:snapToGrid w:val="0"/>
              <w:jc w:val="center"/>
              <w:rPr>
                <w:rFonts w:hint="eastAsia" w:ascii="宋体" w:hAnsi="宋体" w:eastAsia="宋体" w:cs="宋体"/>
                <w:szCs w:val="21"/>
              </w:rPr>
            </w:pPr>
            <w:r>
              <w:rPr>
                <w:rFonts w:hint="eastAsia" w:ascii="宋体" w:hAnsi="宋体" w:eastAsia="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Cs w:val="21"/>
              </w:rPr>
            </w:pPr>
            <w:r>
              <w:rPr>
                <w:rFonts w:hint="eastAsia" w:ascii="宋体" w:hAnsi="宋体" w:eastAsia="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lang w:bidi="ar"/>
              </w:rPr>
              <w:t>3</w:t>
            </w:r>
          </w:p>
        </w:tc>
        <w:tc>
          <w:tcPr>
            <w:tcW w:w="1275" w:type="pct"/>
            <w:gridSpan w:val="2"/>
            <w:tcBorders>
              <w:top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项目负责人</w:t>
            </w:r>
          </w:p>
        </w:tc>
        <w:tc>
          <w:tcPr>
            <w:tcW w:w="529" w:type="pct"/>
            <w:tcBorders>
              <w:top w:val="single" w:color="auto" w:sz="4" w:space="0"/>
            </w:tcBorders>
            <w:vAlign w:val="center"/>
          </w:tcPr>
          <w:p>
            <w:pPr>
              <w:jc w:val="center"/>
              <w:rPr>
                <w:rFonts w:hint="eastAsia" w:ascii="宋体" w:hAnsi="宋体" w:eastAsia="宋体" w:cs="宋体"/>
                <w:szCs w:val="21"/>
              </w:rPr>
            </w:pPr>
          </w:p>
        </w:tc>
        <w:tc>
          <w:tcPr>
            <w:tcW w:w="1113" w:type="pct"/>
            <w:gridSpan w:val="2"/>
            <w:tcBorders>
              <w:top w:val="single" w:color="auto" w:sz="4" w:space="0"/>
            </w:tcBorders>
            <w:vAlign w:val="center"/>
          </w:tcPr>
          <w:p>
            <w:pPr>
              <w:jc w:val="center"/>
              <w:rPr>
                <w:rFonts w:hint="eastAsia" w:ascii="宋体" w:hAnsi="宋体" w:eastAsia="宋体" w:cs="宋体"/>
                <w:szCs w:val="21"/>
              </w:rPr>
            </w:pPr>
          </w:p>
        </w:tc>
        <w:tc>
          <w:tcPr>
            <w:tcW w:w="838" w:type="pct"/>
            <w:tcBorders>
              <w:top w:val="single" w:color="auto" w:sz="4" w:space="0"/>
            </w:tcBorders>
            <w:vAlign w:val="center"/>
          </w:tcPr>
          <w:p>
            <w:pPr>
              <w:jc w:val="center"/>
              <w:rPr>
                <w:rFonts w:hint="eastAsia" w:ascii="宋体" w:hAnsi="宋体" w:eastAsia="宋体" w:cs="宋体"/>
                <w:szCs w:val="21"/>
              </w:rPr>
            </w:pPr>
          </w:p>
        </w:tc>
        <w:tc>
          <w:tcPr>
            <w:tcW w:w="830" w:type="pct"/>
            <w:tcBorders>
              <w:top w:val="single" w:color="auto" w:sz="4" w:space="0"/>
            </w:tcBorders>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pPr>
              <w:jc w:val="center"/>
              <w:rPr>
                <w:rFonts w:hint="eastAsia" w:ascii="宋体" w:hAnsi="宋体" w:eastAsia="宋体" w:cs="宋体"/>
                <w:szCs w:val="21"/>
              </w:rPr>
            </w:pPr>
            <w:r>
              <w:rPr>
                <w:rFonts w:hint="eastAsia" w:ascii="宋体" w:hAnsi="宋体" w:eastAsia="宋体" w:cs="宋体"/>
                <w:szCs w:val="21"/>
                <w:lang w:bidi="ar"/>
              </w:rPr>
              <w:t>4</w:t>
            </w:r>
          </w:p>
        </w:tc>
        <w:tc>
          <w:tcPr>
            <w:tcW w:w="1275" w:type="pct"/>
            <w:gridSpan w:val="2"/>
            <w:vAlign w:val="center"/>
          </w:tcPr>
          <w:p>
            <w:pPr>
              <w:jc w:val="center"/>
              <w:rPr>
                <w:rFonts w:hint="eastAsia" w:ascii="宋体" w:hAnsi="宋体" w:eastAsia="宋体" w:cs="宋体"/>
                <w:szCs w:val="21"/>
              </w:rPr>
            </w:pPr>
            <w:r>
              <w:rPr>
                <w:rFonts w:hint="eastAsia" w:ascii="宋体" w:hAnsi="宋体" w:eastAsia="宋体" w:cs="宋体"/>
                <w:szCs w:val="21"/>
              </w:rPr>
              <w:t>主要技术人员</w:t>
            </w:r>
          </w:p>
        </w:tc>
        <w:tc>
          <w:tcPr>
            <w:tcW w:w="529" w:type="pct"/>
            <w:vAlign w:val="center"/>
          </w:tcPr>
          <w:p>
            <w:pPr>
              <w:jc w:val="center"/>
              <w:rPr>
                <w:rFonts w:hint="eastAsia" w:ascii="宋体" w:hAnsi="宋体" w:eastAsia="宋体" w:cs="宋体"/>
                <w:szCs w:val="21"/>
              </w:rPr>
            </w:pPr>
          </w:p>
        </w:tc>
        <w:tc>
          <w:tcPr>
            <w:tcW w:w="1113" w:type="pct"/>
            <w:gridSpan w:val="2"/>
            <w:vAlign w:val="center"/>
          </w:tcPr>
          <w:p>
            <w:pPr>
              <w:jc w:val="center"/>
              <w:rPr>
                <w:rFonts w:hint="eastAsia" w:ascii="宋体" w:hAnsi="宋体" w:eastAsia="宋体" w:cs="宋体"/>
                <w:szCs w:val="21"/>
              </w:rPr>
            </w:pPr>
          </w:p>
        </w:tc>
        <w:tc>
          <w:tcPr>
            <w:tcW w:w="838" w:type="pct"/>
            <w:vAlign w:val="center"/>
          </w:tcPr>
          <w:p>
            <w:pPr>
              <w:jc w:val="center"/>
              <w:rPr>
                <w:rFonts w:hint="eastAsia" w:ascii="宋体" w:hAnsi="宋体" w:eastAsia="宋体" w:cs="宋体"/>
                <w:szCs w:val="21"/>
              </w:rPr>
            </w:pPr>
          </w:p>
        </w:tc>
        <w:tc>
          <w:tcPr>
            <w:tcW w:w="830" w:type="pct"/>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pPr>
              <w:jc w:val="center"/>
              <w:rPr>
                <w:rFonts w:hint="eastAsia" w:ascii="宋体" w:hAnsi="宋体" w:eastAsia="宋体" w:cs="宋体"/>
                <w:szCs w:val="21"/>
              </w:rPr>
            </w:pPr>
            <w:r>
              <w:rPr>
                <w:rFonts w:hint="eastAsia" w:ascii="宋体" w:hAnsi="宋体" w:eastAsia="宋体" w:cs="宋体"/>
                <w:szCs w:val="21"/>
                <w:lang w:bidi="ar"/>
              </w:rPr>
              <w:t>5</w:t>
            </w:r>
          </w:p>
        </w:tc>
        <w:tc>
          <w:tcPr>
            <w:tcW w:w="1275" w:type="pct"/>
            <w:gridSpan w:val="2"/>
            <w:vAlign w:val="center"/>
          </w:tcPr>
          <w:p>
            <w:pPr>
              <w:snapToGrid w:val="0"/>
              <w:jc w:val="center"/>
              <w:rPr>
                <w:rFonts w:hint="eastAsia" w:ascii="宋体" w:hAnsi="宋体" w:eastAsia="宋体" w:cs="宋体"/>
                <w:szCs w:val="21"/>
              </w:rPr>
            </w:pPr>
            <w:r>
              <w:rPr>
                <w:rFonts w:hint="eastAsia" w:ascii="宋体" w:hAnsi="宋体" w:eastAsia="宋体" w:cs="宋体"/>
                <w:szCs w:val="21"/>
              </w:rPr>
              <w:t>投标文件编制人员</w:t>
            </w:r>
          </w:p>
        </w:tc>
        <w:tc>
          <w:tcPr>
            <w:tcW w:w="529" w:type="pct"/>
            <w:vAlign w:val="center"/>
          </w:tcPr>
          <w:p>
            <w:pPr>
              <w:jc w:val="center"/>
              <w:rPr>
                <w:rFonts w:hint="eastAsia" w:ascii="宋体" w:hAnsi="宋体" w:eastAsia="宋体" w:cs="宋体"/>
                <w:szCs w:val="21"/>
              </w:rPr>
            </w:pPr>
          </w:p>
        </w:tc>
        <w:tc>
          <w:tcPr>
            <w:tcW w:w="1113" w:type="pct"/>
            <w:gridSpan w:val="2"/>
            <w:vAlign w:val="center"/>
          </w:tcPr>
          <w:p>
            <w:pPr>
              <w:jc w:val="center"/>
              <w:rPr>
                <w:rFonts w:hint="eastAsia" w:ascii="宋体" w:hAnsi="宋体" w:eastAsia="宋体" w:cs="宋体"/>
                <w:szCs w:val="21"/>
              </w:rPr>
            </w:pPr>
          </w:p>
        </w:tc>
        <w:tc>
          <w:tcPr>
            <w:tcW w:w="838" w:type="pct"/>
            <w:vAlign w:val="center"/>
          </w:tcPr>
          <w:p>
            <w:pPr>
              <w:jc w:val="center"/>
              <w:rPr>
                <w:rFonts w:hint="eastAsia" w:ascii="宋体" w:hAnsi="宋体" w:eastAsia="宋体" w:cs="宋体"/>
                <w:szCs w:val="21"/>
              </w:rPr>
            </w:pPr>
          </w:p>
        </w:tc>
        <w:tc>
          <w:tcPr>
            <w:tcW w:w="830" w:type="pct"/>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jc w:val="left"/>
              <w:rPr>
                <w:rFonts w:hint="eastAsia" w:ascii="宋体" w:hAnsi="宋体" w:eastAsia="宋体" w:cs="宋体"/>
                <w:szCs w:val="21"/>
              </w:rPr>
            </w:pPr>
            <w:r>
              <w:rPr>
                <w:rFonts w:hint="eastAsia" w:ascii="宋体" w:hAnsi="宋体" w:eastAsia="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jc w:val="center"/>
              <w:rPr>
                <w:rFonts w:hint="eastAsia" w:ascii="宋体" w:hAnsi="宋体" w:eastAsia="宋体" w:cs="宋体"/>
                <w:b/>
                <w:bCs/>
                <w:szCs w:val="21"/>
              </w:rPr>
            </w:pPr>
            <w:r>
              <w:rPr>
                <w:rFonts w:hint="eastAsia" w:ascii="宋体" w:hAnsi="宋体" w:eastAsia="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pPr>
              <w:jc w:val="center"/>
              <w:rPr>
                <w:rFonts w:hint="eastAsia" w:ascii="宋体" w:hAnsi="宋体" w:eastAsia="宋体" w:cs="宋体"/>
                <w:szCs w:val="21"/>
                <w:lang w:bidi="ar"/>
              </w:rPr>
            </w:pPr>
            <w:r>
              <w:rPr>
                <w:rFonts w:hint="eastAsia" w:ascii="宋体" w:hAnsi="宋体" w:eastAsia="宋体" w:cs="宋体"/>
                <w:szCs w:val="21"/>
                <w:lang w:bidi="ar"/>
              </w:rPr>
              <w:t>序号</w:t>
            </w:r>
          </w:p>
        </w:tc>
        <w:tc>
          <w:tcPr>
            <w:tcW w:w="1275" w:type="pct"/>
            <w:gridSpan w:val="2"/>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关联关系类型</w:t>
            </w:r>
          </w:p>
        </w:tc>
        <w:tc>
          <w:tcPr>
            <w:tcW w:w="971" w:type="pct"/>
            <w:gridSpan w:val="2"/>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关联主体名称</w:t>
            </w:r>
          </w:p>
        </w:tc>
        <w:tc>
          <w:tcPr>
            <w:tcW w:w="2340" w:type="pct"/>
            <w:gridSpan w:val="3"/>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bidi="ar"/>
              </w:rPr>
            </w:pPr>
            <w:r>
              <w:rPr>
                <w:rFonts w:hint="eastAsia" w:ascii="宋体" w:hAnsi="宋体" w:eastAsia="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szCs w:val="21"/>
              </w:rPr>
            </w:pPr>
            <w:r>
              <w:rPr>
                <w:rFonts w:hint="eastAsia" w:ascii="宋体" w:hAnsi="宋体" w:eastAsia="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bidi="ar"/>
              </w:rPr>
            </w:pPr>
            <w:r>
              <w:rPr>
                <w:rFonts w:hint="eastAsia" w:ascii="宋体" w:hAnsi="宋体" w:eastAsia="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szCs w:val="21"/>
              </w:rPr>
            </w:pPr>
            <w:r>
              <w:rPr>
                <w:rFonts w:hint="eastAsia" w:ascii="宋体" w:hAnsi="宋体" w:eastAsia="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b/>
                <w:bCs/>
                <w:color w:val="FF0000"/>
                <w:szCs w:val="21"/>
              </w:rPr>
            </w:pPr>
            <w:r>
              <w:rPr>
                <w:rFonts w:ascii="宋体" w:hAnsi="宋体" w:eastAsia="宋体" w:cs="宋体"/>
                <w:b/>
                <w:bCs/>
                <w:color w:val="FF0000"/>
                <w:szCs w:val="21"/>
              </w:rPr>
              <w:t>说明：1.同一关联关系类型有多个主体的，应分行填写。</w:t>
            </w:r>
          </w:p>
          <w:p>
            <w:pPr>
              <w:snapToGrid w:val="0"/>
              <w:jc w:val="left"/>
              <w:rPr>
                <w:rFonts w:hint="eastAsia" w:ascii="宋体" w:hAnsi="宋体" w:eastAsia="宋体" w:cs="宋体"/>
                <w:szCs w:val="21"/>
              </w:rPr>
            </w:pPr>
            <w:r>
              <w:rPr>
                <w:rFonts w:ascii="宋体" w:hAnsi="宋体" w:eastAsia="宋体" w:cs="宋体"/>
                <w:b/>
                <w:bCs/>
                <w:color w:val="FF0000"/>
                <w:szCs w:val="21"/>
              </w:rPr>
              <w:t>2.《供应商基本情况表》为必填内容，若存在异常且不符合要求的供应商资格性审查将不予通过，作投标无效处理。</w:t>
            </w:r>
          </w:p>
        </w:tc>
      </w:tr>
    </w:tbl>
    <w:p>
      <w:pPr>
        <w:pStyle w:val="2"/>
      </w:pPr>
    </w:p>
    <w:p>
      <w:pPr>
        <w:autoSpaceDE w:val="0"/>
        <w:autoSpaceDN w:val="0"/>
        <w:adjustRightInd w:val="0"/>
        <w:snapToGrid w:val="0"/>
        <w:jc w:val="left"/>
        <w:rPr>
          <w:rFonts w:ascii="Arial" w:hAnsi="Arial" w:eastAsia="宋体" w:cs="Times New Roman"/>
          <w:b/>
          <w:sz w:val="24"/>
          <w:szCs w:val="24"/>
        </w:rPr>
      </w:pPr>
    </w:p>
    <w:p>
      <w:pPr>
        <w:widowControl/>
        <w:jc w:val="center"/>
        <w:rPr>
          <w:rFonts w:ascii="Arial" w:hAnsi="Arial" w:eastAsia="宋体" w:cs="Times New Roman"/>
          <w:b/>
          <w:sz w:val="24"/>
          <w:szCs w:val="24"/>
        </w:rPr>
      </w:pPr>
    </w:p>
    <w:p>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pPr>
        <w:widowControl/>
        <w:jc w:val="center"/>
        <w:rPr>
          <w:rFonts w:ascii="Arial" w:hAnsi="Arial" w:eastAsia="宋体" w:cs="Times New Roman"/>
          <w:szCs w:val="24"/>
        </w:rPr>
      </w:pPr>
      <w:r>
        <w:rPr>
          <w:rFonts w:ascii="Arial" w:hAnsi="Arial" w:eastAsia="宋体" w:cs="Times New Roman"/>
          <w:szCs w:val="24"/>
        </w:rPr>
        <w:br w:type="page"/>
      </w:r>
    </w:p>
    <w:p>
      <w:pPr>
        <w:bidi w:val="0"/>
        <w:jc w:val="left"/>
        <w:rPr>
          <w:rFonts w:asciiTheme="minorHAnsi" w:hAnsiTheme="minorHAnsi" w:eastAsiaTheme="minorEastAsia" w:cstheme="minorBidi"/>
          <w:kern w:val="2"/>
          <w:sz w:val="21"/>
          <w:szCs w:val="22"/>
          <w:lang w:val="en-US" w:eastAsia="zh-CN" w:bidi="ar-SA"/>
        </w:rPr>
      </w:pPr>
    </w:p>
    <w:p>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pPr>
        <w:pStyle w:val="6"/>
        <w:jc w:val="center"/>
        <w:rPr>
          <w:rFonts w:hint="eastAsia" w:ascii="黑体" w:eastAsia="黑体"/>
          <w:b w:val="0"/>
          <w:sz w:val="24"/>
        </w:rPr>
      </w:pPr>
      <w:r>
        <w:rPr>
          <w:rFonts w:hint="eastAsia" w:ascii="黑体" w:eastAsia="黑体"/>
          <w:b w:val="0"/>
          <w:sz w:val="24"/>
        </w:rPr>
        <w:t>一、</w:t>
      </w:r>
      <w:bookmarkStart w:id="35" w:name="_Hlk72092499"/>
      <w:r>
        <w:rPr>
          <w:rFonts w:hint="eastAsia" w:ascii="黑体" w:eastAsia="黑体"/>
          <w:b w:val="0"/>
          <w:sz w:val="24"/>
        </w:rPr>
        <w:t>法定代表人（负责人）证明书</w:t>
      </w:r>
      <w:bookmarkEnd w:id="35"/>
    </w:p>
    <w:p>
      <w:pPr>
        <w:rPr>
          <w:sz w:val="24"/>
        </w:rPr>
      </w:pPr>
    </w:p>
    <w:p>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rPr>
      </w:pPr>
      <w:r>
        <w:rPr>
          <w:rFonts w:hint="eastAsia"/>
          <w:szCs w:val="21"/>
        </w:rPr>
        <w:t>说明：1、法定代表人为投标人（企业事业单位、国家机关、社会团体）的主要行政负责人。</w:t>
      </w:r>
    </w:p>
    <w:p>
      <w:pPr>
        <w:numPr>
          <w:ilvl w:val="0"/>
          <w:numId w:val="4"/>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4"/>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4"/>
        </w:numPr>
        <w:spacing w:line="360" w:lineRule="auto"/>
        <w:ind w:firstLine="420" w:firstLineChars="200"/>
        <w:rPr>
          <w:szCs w:val="21"/>
        </w:rPr>
      </w:pPr>
      <w:r>
        <w:rPr>
          <w:rFonts w:hint="eastAsia"/>
          <w:szCs w:val="21"/>
        </w:rPr>
        <w:t>内容必须填写真实、清楚，涂改无效，不得转让、买卖。</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2"/>
              <w:jc w:val="center"/>
            </w:pPr>
          </w:p>
          <w:p>
            <w:pPr>
              <w:pStyle w:val="15"/>
              <w:jc w:val="center"/>
            </w:pPr>
          </w:p>
        </w:tc>
        <w:tc>
          <w:tcPr>
            <w:tcW w:w="4265" w:type="dxa"/>
          </w:tcPr>
          <w:p>
            <w:pPr>
              <w:jc w:val="center"/>
            </w:pPr>
            <w:r>
              <w:rPr>
                <w:rFonts w:hint="eastAsia"/>
              </w:rPr>
              <w:t>证件扫描件反面</w:t>
            </w:r>
          </w:p>
          <w:p>
            <w:pPr>
              <w:pStyle w:val="2"/>
              <w:jc w:val="center"/>
            </w:pPr>
          </w:p>
          <w:p>
            <w:pPr>
              <w:pStyle w:val="15"/>
              <w:jc w:val="center"/>
            </w:pPr>
          </w:p>
        </w:tc>
      </w:tr>
    </w:tbl>
    <w:p>
      <w:pPr>
        <w:rPr>
          <w:b/>
          <w:bCs/>
          <w:color w:val="FF0000"/>
          <w:szCs w:val="21"/>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pPr>
        <w:rPr>
          <w:b/>
          <w:bCs/>
          <w:color w:val="FF0000"/>
          <w:szCs w:val="21"/>
        </w:rPr>
      </w:pPr>
    </w:p>
    <w:p>
      <w:pPr>
        <w:pStyle w:val="6"/>
        <w:spacing w:before="120" w:after="120"/>
        <w:jc w:val="center"/>
        <w:rPr>
          <w:rFonts w:hint="eastAsia" w:ascii="黑体" w:eastAsia="黑体"/>
          <w:b w:val="0"/>
          <w:sz w:val="24"/>
        </w:rPr>
      </w:pPr>
      <w:r>
        <w:rPr>
          <w:rFonts w:hint="eastAsia" w:ascii="黑体" w:eastAsia="黑体"/>
          <w:b w:val="0"/>
          <w:sz w:val="24"/>
        </w:rPr>
        <w:t>二、投标文件签署授权委托书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ascii="Times New Roman" w:eastAsia="宋体"/>
              </w:rPr>
              <w:t>证件扫描件正面</w:t>
            </w:r>
          </w:p>
          <w:p>
            <w:pPr>
              <w:pStyle w:val="2"/>
              <w:jc w:val="center"/>
            </w:pPr>
          </w:p>
          <w:p>
            <w:pPr>
              <w:pStyle w:val="15"/>
              <w:jc w:val="center"/>
            </w:pPr>
          </w:p>
        </w:tc>
        <w:tc>
          <w:tcPr>
            <w:tcW w:w="4265" w:type="dxa"/>
          </w:tcPr>
          <w:p>
            <w:pPr>
              <w:jc w:val="center"/>
            </w:pPr>
            <w:r>
              <w:rPr>
                <w:rFonts w:hint="eastAsia" w:ascii="Times New Roman" w:eastAsia="宋体"/>
              </w:rPr>
              <w:t>证件扫描件反面</w:t>
            </w:r>
          </w:p>
          <w:p>
            <w:pPr>
              <w:pStyle w:val="2"/>
              <w:jc w:val="center"/>
            </w:pPr>
          </w:p>
          <w:p>
            <w:pPr>
              <w:pStyle w:val="15"/>
              <w:jc w:val="center"/>
            </w:pPr>
          </w:p>
        </w:tc>
      </w:tr>
    </w:tbl>
    <w:p>
      <w:pPr>
        <w:tabs>
          <w:tab w:val="left" w:pos="651"/>
        </w:tabs>
        <w:snapToGrid w:val="0"/>
        <w:rPr>
          <w:rFonts w:ascii="黑体" w:eastAsia="黑体"/>
          <w:kern w:val="0"/>
          <w:sz w:val="24"/>
          <w:szCs w:val="24"/>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pPr>
        <w:tabs>
          <w:tab w:val="left" w:pos="651"/>
        </w:tabs>
        <w:snapToGrid w:val="0"/>
        <w:jc w:val="center"/>
        <w:rPr>
          <w:rFonts w:ascii="黑体" w:eastAsia="黑体"/>
          <w:kern w:val="0"/>
          <w:sz w:val="24"/>
          <w:szCs w:val="24"/>
        </w:rPr>
      </w:pPr>
    </w:p>
    <w:p>
      <w:pPr>
        <w:tabs>
          <w:tab w:val="left" w:pos="651"/>
        </w:tabs>
        <w:snapToGrid w:val="0"/>
        <w:jc w:val="center"/>
        <w:rPr>
          <w:rFonts w:ascii="黑体" w:eastAsia="黑体"/>
          <w:kern w:val="0"/>
          <w:sz w:val="24"/>
          <w:szCs w:val="24"/>
        </w:rPr>
      </w:pPr>
    </w:p>
    <w:p>
      <w:pPr>
        <w:tabs>
          <w:tab w:val="left" w:pos="651"/>
        </w:tabs>
        <w:snapToGrid w:val="0"/>
        <w:jc w:val="center"/>
        <w:rPr>
          <w:rFonts w:ascii="黑体" w:eastAsia="黑体"/>
          <w:kern w:val="0"/>
          <w:sz w:val="24"/>
          <w:szCs w:val="24"/>
        </w:rPr>
      </w:pPr>
    </w:p>
    <w:p>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6" w:name="_Hlk72092634"/>
      <w:r>
        <w:rPr>
          <w:rFonts w:hint="eastAsia" w:ascii="黑体" w:eastAsia="黑体"/>
          <w:kern w:val="0"/>
          <w:sz w:val="24"/>
          <w:szCs w:val="24"/>
        </w:rPr>
        <w:t>实质性条款响应情况表</w:t>
      </w:r>
      <w:bookmarkEnd w:id="36"/>
    </w:p>
    <w:p>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pPr>
        <w:snapToGrid w:val="0"/>
        <w:rPr>
          <w:rFonts w:hint="eastAsia" w:cs="Times New Roman" w:asciiTheme="minorEastAsia" w:hAnsiTheme="minorEastAsia"/>
          <w:b/>
          <w:sz w:val="24"/>
          <w:szCs w:val="24"/>
        </w:rPr>
      </w:pPr>
    </w:p>
    <w:tbl>
      <w:tblPr>
        <w:tblStyle w:val="18"/>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pPr>
              <w:jc w:val="center"/>
              <w:rPr>
                <w:rFonts w:hint="eastAsia"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pPr>
              <w:spacing w:line="300" w:lineRule="auto"/>
              <w:jc w:val="center"/>
              <w:rPr>
                <w:rFonts w:hint="eastAsia" w:ascii="宋体" w:hAnsi="宋体" w:eastAsia="宋体" w:cs="Times New Roman"/>
                <w:b/>
                <w:color w:val="FF0000"/>
                <w:kern w:val="0"/>
                <w:szCs w:val="21"/>
              </w:rPr>
            </w:pPr>
          </w:p>
        </w:tc>
      </w:tr>
    </w:tbl>
    <w:p>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pPr>
        <w:pStyle w:val="6"/>
        <w:jc w:val="center"/>
        <w:rPr>
          <w:rFonts w:hint="eastAsia"/>
          <w:sz w:val="24"/>
        </w:rPr>
      </w:pPr>
      <w:r>
        <w:rPr>
          <w:rFonts w:hint="eastAsia" w:ascii="黑体" w:eastAsia="黑体"/>
          <w:b w:val="0"/>
          <w:bCs w:val="0"/>
          <w:sz w:val="24"/>
          <w:szCs w:val="20"/>
        </w:rPr>
        <w:t>四、商务要求偏离表</w:t>
      </w:r>
    </w:p>
    <w:tbl>
      <w:tblPr>
        <w:tblStyle w:val="18"/>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pPr>
              <w:jc w:val="center"/>
              <w:rPr>
                <w:b/>
              </w:rPr>
            </w:pPr>
            <w:r>
              <w:rPr>
                <w:rFonts w:hint="eastAsia"/>
                <w:sz w:val="24"/>
              </w:rPr>
              <w:t>序号</w:t>
            </w:r>
          </w:p>
        </w:tc>
        <w:tc>
          <w:tcPr>
            <w:tcW w:w="1408" w:type="dxa"/>
            <w:vAlign w:val="center"/>
          </w:tcPr>
          <w:p>
            <w:pPr>
              <w:jc w:val="center"/>
              <w:rPr>
                <w:b/>
              </w:rPr>
            </w:pPr>
            <w:r>
              <w:rPr>
                <w:rFonts w:hint="eastAsia"/>
                <w:b/>
              </w:rPr>
              <w:t>商务需求项</w:t>
            </w:r>
          </w:p>
        </w:tc>
        <w:tc>
          <w:tcPr>
            <w:tcW w:w="4918" w:type="dxa"/>
            <w:vAlign w:val="center"/>
          </w:tcPr>
          <w:p>
            <w:pPr>
              <w:jc w:val="center"/>
              <w:rPr>
                <w:b/>
              </w:rPr>
            </w:pPr>
            <w:r>
              <w:rPr>
                <w:rFonts w:hint="eastAsia"/>
                <w:sz w:val="24"/>
              </w:rPr>
              <w:t>招标商务要求</w:t>
            </w:r>
          </w:p>
        </w:tc>
        <w:tc>
          <w:tcPr>
            <w:tcW w:w="973" w:type="dxa"/>
            <w:vAlign w:val="center"/>
          </w:tcPr>
          <w:p>
            <w:pPr>
              <w:jc w:val="center"/>
              <w:rPr>
                <w:b/>
              </w:rPr>
            </w:pPr>
            <w:r>
              <w:rPr>
                <w:rFonts w:hint="eastAsia"/>
                <w:sz w:val="24"/>
              </w:rPr>
              <w:t>投标商务响应</w:t>
            </w:r>
          </w:p>
        </w:tc>
        <w:tc>
          <w:tcPr>
            <w:tcW w:w="642" w:type="dxa"/>
            <w:vAlign w:val="center"/>
          </w:tcPr>
          <w:p>
            <w:pPr>
              <w:jc w:val="center"/>
              <w:rPr>
                <w:b/>
              </w:rPr>
            </w:pPr>
            <w:r>
              <w:rPr>
                <w:rFonts w:hint="eastAsia"/>
              </w:rPr>
              <w:t>偏离情况</w:t>
            </w:r>
          </w:p>
        </w:tc>
        <w:tc>
          <w:tcPr>
            <w:tcW w:w="540" w:type="dxa"/>
            <w:vAlign w:val="center"/>
          </w:tcPr>
          <w:p>
            <w:pPr>
              <w:jc w:val="center"/>
              <w:rPr>
                <w:b/>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pPr>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pPr>
              <w:jc w:val="center"/>
              <w:rPr>
                <w:bCs/>
              </w:rPr>
            </w:pPr>
            <w:r>
              <w:rPr>
                <w:rFonts w:hint="eastAsia"/>
                <w:bCs/>
              </w:rPr>
              <w:t>1</w:t>
            </w:r>
          </w:p>
        </w:tc>
        <w:tc>
          <w:tcPr>
            <w:tcW w:w="1408" w:type="dxa"/>
          </w:tcPr>
          <w:p>
            <w:pPr>
              <w:jc w:val="center"/>
            </w:pPr>
            <w:r>
              <w:rPr>
                <w:rFonts w:hint="eastAsia"/>
              </w:rPr>
              <w:t>*</w:t>
            </w:r>
            <w:r>
              <w:t>***</w:t>
            </w:r>
          </w:p>
        </w:tc>
        <w:tc>
          <w:tcPr>
            <w:tcW w:w="4918" w:type="dxa"/>
          </w:tcPr>
          <w:p>
            <w:pPr>
              <w:jc w:val="center"/>
              <w:rPr>
                <w:b/>
              </w:rPr>
            </w:pPr>
            <w:r>
              <w:rPr>
                <w:rFonts w:hint="eastAsia"/>
                <w:bCs/>
                <w:szCs w:val="21"/>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pPr>
              <w:jc w:val="center"/>
              <w:rPr>
                <w:bCs/>
              </w:rPr>
            </w:pPr>
            <w:r>
              <w:rPr>
                <w:bCs/>
              </w:rPr>
              <w:t>2</w:t>
            </w:r>
          </w:p>
        </w:tc>
        <w:tc>
          <w:tcPr>
            <w:tcW w:w="1408" w:type="dxa"/>
          </w:tcPr>
          <w:p>
            <w:pPr>
              <w:jc w:val="center"/>
            </w:pPr>
            <w:r>
              <w:rPr>
                <w:rFonts w:hint="eastAsia"/>
              </w:rPr>
              <w:t>****</w:t>
            </w:r>
          </w:p>
        </w:tc>
        <w:tc>
          <w:tcPr>
            <w:tcW w:w="4918" w:type="dxa"/>
          </w:tcPr>
          <w:p>
            <w:pPr>
              <w:jc w:val="center"/>
              <w:rPr>
                <w:bCs/>
                <w:szCs w:val="21"/>
              </w:rP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pPr>
              <w:rPr>
                <w:bCs/>
                <w:szCs w:val="21"/>
              </w:rPr>
            </w:pPr>
            <w:r>
              <w:rPr>
                <w:rFonts w:hint="eastAsia"/>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pPr>
              <w:jc w:val="center"/>
              <w:rPr>
                <w:bCs/>
              </w:rPr>
            </w:pPr>
            <w:r>
              <w:rPr>
                <w:rFonts w:hint="eastAsia"/>
              </w:rPr>
              <w:t>1</w:t>
            </w:r>
          </w:p>
        </w:tc>
        <w:tc>
          <w:tcPr>
            <w:tcW w:w="1408" w:type="dxa"/>
          </w:tcPr>
          <w:p>
            <w:pPr>
              <w:jc w:val="center"/>
            </w:pPr>
            <w:r>
              <w:rPr>
                <w:rFonts w:hint="eastAsia"/>
              </w:rPr>
              <w:t>****</w:t>
            </w:r>
          </w:p>
        </w:tc>
        <w:tc>
          <w:tcPr>
            <w:tcW w:w="4918" w:type="dxa"/>
          </w:tcPr>
          <w:p>
            <w:pPr>
              <w:jc w:val="cente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pPr>
              <w:rPr>
                <w:bCs/>
                <w:szCs w:val="21"/>
              </w:rPr>
            </w:pPr>
            <w:r>
              <w:rPr>
                <w:rFonts w:hint="eastAsia"/>
                <w:b/>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pPr>
              <w:jc w:val="center"/>
            </w:pPr>
            <w:r>
              <w:rPr>
                <w:rFonts w:hint="eastAsia"/>
              </w:rPr>
              <w:t>1</w:t>
            </w:r>
          </w:p>
        </w:tc>
        <w:tc>
          <w:tcPr>
            <w:tcW w:w="1408" w:type="dxa"/>
          </w:tcPr>
          <w:p>
            <w:pPr>
              <w:jc w:val="center"/>
            </w:pPr>
            <w:r>
              <w:rPr>
                <w:rFonts w:hint="eastAsia"/>
              </w:rPr>
              <w:t>****</w:t>
            </w:r>
          </w:p>
        </w:tc>
        <w:tc>
          <w:tcPr>
            <w:tcW w:w="4918" w:type="dxa"/>
          </w:tcPr>
          <w:p>
            <w:pPr>
              <w:jc w:val="cente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bl>
    <w:p>
      <w:pPr>
        <w:ind w:firstLine="420" w:firstLineChars="200"/>
        <w:rPr>
          <w:bCs/>
          <w:szCs w:val="21"/>
        </w:rPr>
      </w:pPr>
      <w:r>
        <w:rPr>
          <w:rFonts w:hint="eastAsia"/>
          <w:bCs/>
          <w:szCs w:val="21"/>
        </w:rPr>
        <w:t>《商务要求偏离表》编制指引：</w:t>
      </w:r>
    </w:p>
    <w:p>
      <w:pPr>
        <w:ind w:firstLine="420" w:firstLineChars="200"/>
        <w:rPr>
          <w:bCs/>
          <w:szCs w:val="21"/>
        </w:rPr>
      </w:pPr>
      <w:r>
        <w:rPr>
          <w:rFonts w:hint="eastAsia"/>
          <w:bCs/>
          <w:szCs w:val="21"/>
        </w:rPr>
        <w:t>1、商务要求偏离表的序号、商务需求项、招标商务要求等栏目对应“用户需求书”中的“商务要求”章节相关内容。</w:t>
      </w:r>
    </w:p>
    <w:p>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pPr>
        <w:rPr>
          <w:bCs/>
          <w:szCs w:val="21"/>
        </w:rPr>
      </w:pPr>
      <w:r>
        <w:rPr>
          <w:rFonts w:hint="eastAsia"/>
          <w:bCs/>
          <w:szCs w:val="21"/>
        </w:rPr>
        <w:t>“投标商务响应”对比“招标商务要求”存在响应不全（包括未响应整项招标商务要求或者未响应一项招标商务要求的部分内容），均视为“负偏离”。</w:t>
      </w:r>
    </w:p>
    <w:p>
      <w:pPr>
        <w:ind w:firstLine="420" w:firstLineChars="200"/>
        <w:rPr>
          <w:bCs/>
          <w:szCs w:val="21"/>
        </w:rPr>
      </w:pPr>
      <w:r>
        <w:rPr>
          <w:rFonts w:hint="eastAsia"/>
          <w:bCs/>
          <w:szCs w:val="21"/>
        </w:rPr>
        <w:t>4、带★号条款为不可偏离条款，如未响应或出现负偏离的，将作投标无效处理。</w:t>
      </w:r>
    </w:p>
    <w:p>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pPr>
        <w:pStyle w:val="6"/>
        <w:jc w:val="center"/>
        <w:rPr>
          <w:rFonts w:hint="eastAsia"/>
          <w:sz w:val="24"/>
        </w:rPr>
      </w:pPr>
      <w:r>
        <w:rPr>
          <w:rFonts w:hint="eastAsia" w:ascii="黑体" w:eastAsia="黑体"/>
          <w:b w:val="0"/>
          <w:sz w:val="24"/>
          <w:szCs w:val="24"/>
        </w:rPr>
        <w:t>五、技术要求偏离表</w:t>
      </w:r>
    </w:p>
    <w:tbl>
      <w:tblPr>
        <w:tblStyle w:val="18"/>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pPr>
              <w:jc w:val="center"/>
              <w:rPr>
                <w:color w:val="000000" w:themeColor="text1"/>
                <w:szCs w:val="21"/>
                <w14:textFill>
                  <w14:solidFill>
                    <w14:schemeClr w14:val="tx1"/>
                  </w14:solidFill>
                </w14:textFill>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rStyle w:val="21"/>
                <w:b w:val="0"/>
                <w:bCs w:val="0"/>
                <w:color w:val="000000" w:themeColor="text1"/>
                <w:szCs w:val="21"/>
                <w14:textFill>
                  <w14:solidFill>
                    <w14:schemeClr w14:val="tx1"/>
                  </w14:solidFill>
                </w14:textFill>
              </w:rPr>
            </w:pPr>
          </w:p>
        </w:tc>
        <w:tc>
          <w:tcPr>
            <w:tcW w:w="710" w:type="dxa"/>
          </w:tcPr>
          <w:p>
            <w:pPr>
              <w:rPr>
                <w:rStyle w:val="21"/>
                <w:b w:val="0"/>
                <w:bCs w:val="0"/>
                <w:color w:val="000000" w:themeColor="text1"/>
                <w:szCs w:val="21"/>
                <w14:textFill>
                  <w14:solidFill>
                    <w14:schemeClr w14:val="tx1"/>
                  </w14:solidFill>
                </w14:textFill>
              </w:rPr>
            </w:pPr>
          </w:p>
        </w:tc>
        <w:tc>
          <w:tcPr>
            <w:tcW w:w="390" w:type="dxa"/>
          </w:tcPr>
          <w:p>
            <w:pPr>
              <w:rPr>
                <w:rStyle w:val="21"/>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pPr>
              <w:jc w:val="center"/>
              <w:rPr>
                <w:b/>
                <w:bCs/>
                <w:color w:val="000000" w:themeColor="text1"/>
                <w:szCs w:val="21"/>
                <w14:textFill>
                  <w14:solidFill>
                    <w14:schemeClr w14:val="tx1"/>
                  </w14:solidFill>
                </w14:textFill>
              </w:rPr>
            </w:pPr>
            <w:r>
              <w:rPr>
                <w:rFonts w:hint="eastAsia"/>
              </w:rPr>
              <w:t>（填写相关内容）</w:t>
            </w:r>
          </w:p>
        </w:tc>
        <w:tc>
          <w:tcPr>
            <w:tcW w:w="2623"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bl>
    <w:p>
      <w:pPr>
        <w:rPr>
          <w:sz w:val="24"/>
        </w:rPr>
      </w:pPr>
    </w:p>
    <w:p>
      <w:pPr>
        <w:rPr>
          <w:szCs w:val="21"/>
        </w:rPr>
      </w:pPr>
      <w:bookmarkStart w:id="37" w:name="_Hlk72095977"/>
      <w:r>
        <w:rPr>
          <w:rFonts w:hint="eastAsia"/>
          <w:szCs w:val="21"/>
        </w:rPr>
        <w:t>证明资料【如有的话，提供的证明资料应统一编号（排序），格式自定】</w:t>
      </w:r>
      <w:bookmarkEnd w:id="37"/>
      <w:r>
        <w:rPr>
          <w:rFonts w:hint="eastAsia"/>
          <w:szCs w:val="21"/>
        </w:rPr>
        <w:t>：</w:t>
      </w:r>
    </w:p>
    <w:p>
      <w:pPr>
        <w:rPr>
          <w:b/>
          <w:szCs w:val="21"/>
        </w:rPr>
      </w:pPr>
    </w:p>
    <w:p>
      <w:pPr>
        <w:ind w:firstLine="420" w:firstLineChars="200"/>
        <w:rPr>
          <w:bCs/>
          <w:szCs w:val="21"/>
        </w:rPr>
      </w:pPr>
      <w:r>
        <w:rPr>
          <w:rFonts w:hint="eastAsia"/>
          <w:bCs/>
          <w:szCs w:val="21"/>
        </w:rPr>
        <w:t>《技术要求偏离表》编制指引：</w:t>
      </w:r>
    </w:p>
    <w:p>
      <w:pPr>
        <w:ind w:firstLine="420" w:firstLineChars="200"/>
        <w:rPr>
          <w:bCs/>
          <w:szCs w:val="21"/>
        </w:rPr>
      </w:pPr>
      <w:r>
        <w:rPr>
          <w:rFonts w:hint="eastAsia"/>
          <w:bCs/>
          <w:szCs w:val="21"/>
        </w:rPr>
        <w:t>1、技术要求偏离表的序号、货物名称、招标技术要求等栏目</w:t>
      </w:r>
      <w:bookmarkStart w:id="38" w:name="_Hlk72094407"/>
      <w:r>
        <w:rPr>
          <w:rFonts w:hint="eastAsia"/>
          <w:bCs/>
          <w:szCs w:val="21"/>
        </w:rPr>
        <w:t>对应“用户需求书”中的“技术要求”章节</w:t>
      </w:r>
      <w:bookmarkEnd w:id="38"/>
      <w:r>
        <w:rPr>
          <w:rFonts w:hint="eastAsia"/>
          <w:bCs/>
          <w:szCs w:val="21"/>
        </w:rPr>
        <w:t>相关内容。</w:t>
      </w:r>
    </w:p>
    <w:p>
      <w:pPr>
        <w:pStyle w:val="16"/>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39" w:name="_Hlk72158270"/>
      <w:r>
        <w:rPr>
          <w:rFonts w:hint="eastAsia"/>
          <w:bCs/>
          <w:szCs w:val="21"/>
        </w:rPr>
        <w:t>“偏离情况”</w:t>
      </w:r>
      <w:bookmarkEnd w:id="39"/>
      <w:r>
        <w:rPr>
          <w:rFonts w:hint="eastAsia"/>
          <w:bCs/>
          <w:szCs w:val="21"/>
        </w:rPr>
        <w:t>一栏填写如实填写“正偏离”、“负偏离”或“无偏离”，其中：</w:t>
      </w:r>
      <w:bookmarkStart w:id="40" w:name="_Hlk72093866"/>
      <w:r>
        <w:rPr>
          <w:rFonts w:hint="eastAsia"/>
          <w:bCs/>
          <w:szCs w:val="21"/>
        </w:rPr>
        <w:t>“正偏离”表示“投标响应优于招标技术要求”，“负偏离”表示“投标响应不满足招标技术要求”，“无偏离”表示“投标响应与招标技术要求一致”</w:t>
      </w:r>
      <w:bookmarkEnd w:id="40"/>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pPr>
        <w:ind w:firstLine="420" w:firstLineChars="200"/>
        <w:rPr>
          <w:bCs/>
          <w:szCs w:val="21"/>
        </w:rPr>
      </w:pPr>
      <w:r>
        <w:rPr>
          <w:bCs/>
          <w:szCs w:val="21"/>
        </w:rPr>
        <w:t>4</w:t>
      </w:r>
      <w:r>
        <w:rPr>
          <w:rFonts w:hint="eastAsia"/>
          <w:bCs/>
          <w:szCs w:val="21"/>
        </w:rPr>
        <w:t>、未要求提供证明资料的招标技术要求，可以不提供证明资料（如实响应即可）。</w:t>
      </w:r>
    </w:p>
    <w:p>
      <w:pPr>
        <w:ind w:firstLine="420" w:firstLineChars="200"/>
        <w:rPr>
          <w:bCs/>
          <w:szCs w:val="21"/>
        </w:rPr>
      </w:pPr>
      <w:r>
        <w:rPr>
          <w:rFonts w:hint="eastAsia"/>
          <w:bCs/>
          <w:szCs w:val="21"/>
        </w:rPr>
        <w:t>5、</w:t>
      </w:r>
      <w:bookmarkStart w:id="41" w:name="_Hlk72096106"/>
      <w:r>
        <w:rPr>
          <w:rFonts w:hint="eastAsia"/>
          <w:bCs/>
          <w:szCs w:val="21"/>
        </w:rPr>
        <w:t>证明资料条款响应要求</w:t>
      </w:r>
      <w:bookmarkEnd w:id="41"/>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2"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3" w:name="_Hlk73558164"/>
      <w:r>
        <w:rPr>
          <w:rFonts w:hint="eastAsia"/>
          <w:bCs/>
          <w:szCs w:val="21"/>
        </w:rPr>
        <w:t>且投标人在“偏离情况”一栏响应为“正偏离”或“无偏离”的，经评审委员会认定，将判定为负偏离。</w:t>
      </w:r>
      <w:bookmarkEnd w:id="42"/>
      <w:bookmarkEnd w:id="43"/>
    </w:p>
    <w:p>
      <w:pPr>
        <w:ind w:firstLine="420" w:firstLineChars="200"/>
        <w:rPr>
          <w:bCs/>
          <w:szCs w:val="21"/>
        </w:rPr>
      </w:pPr>
      <w:r>
        <w:rPr>
          <w:rFonts w:hint="eastAsia"/>
          <w:bCs/>
          <w:szCs w:val="21"/>
        </w:rPr>
        <w:t>6、</w:t>
      </w:r>
      <w:bookmarkStart w:id="44" w:name="_Hlk72096137"/>
      <w:r>
        <w:rPr>
          <w:rFonts w:hint="eastAsia"/>
          <w:bCs/>
          <w:szCs w:val="21"/>
        </w:rPr>
        <w:t>表后“证明资料”部分内容的编制</w:t>
      </w:r>
      <w:bookmarkEnd w:id="44"/>
      <w:r>
        <w:rPr>
          <w:rFonts w:hint="eastAsia"/>
          <w:bCs/>
          <w:szCs w:val="21"/>
        </w:rPr>
        <w:t>：提供的所有证明资料应当统一编号（排序），且证明资料的编号（顺序）、数量和名称（形式）均应与“说明”一栏所填内容保持一致（一一对应），以便评审委员会查看。</w:t>
      </w:r>
      <w:bookmarkStart w:id="45" w:name="_Hlk73558180"/>
      <w:r>
        <w:rPr>
          <w:rFonts w:hint="eastAsia"/>
          <w:bCs/>
          <w:szCs w:val="21"/>
        </w:rPr>
        <w:t>未按照招标文件要求在表后放置证明材料的供应商将承担不利后果，经评审委员会认定，相关技术要求将判定为负偏离。</w:t>
      </w:r>
      <w:bookmarkEnd w:id="45"/>
    </w:p>
    <w:p>
      <w:pPr>
        <w:ind w:firstLine="420" w:firstLineChars="200"/>
        <w:rPr>
          <w:bCs/>
          <w:szCs w:val="21"/>
        </w:rPr>
      </w:pPr>
      <w:r>
        <w:rPr>
          <w:rFonts w:hint="eastAsia"/>
          <w:bCs/>
          <w:szCs w:val="21"/>
        </w:rPr>
        <w:t>7、</w:t>
      </w:r>
      <w:bookmarkStart w:id="46" w:name="_Hlk72096176"/>
      <w:r>
        <w:rPr>
          <w:rFonts w:hint="eastAsia"/>
          <w:bCs/>
          <w:szCs w:val="21"/>
        </w:rPr>
        <w:t>证明资料的形式及其它具体要求</w:t>
      </w:r>
      <w:bookmarkEnd w:id="46"/>
      <w:r>
        <w:rPr>
          <w:rFonts w:hint="eastAsia"/>
          <w:bCs/>
          <w:szCs w:val="21"/>
        </w:rPr>
        <w:t>：</w:t>
      </w:r>
    </w:p>
    <w:p>
      <w:pPr>
        <w:ind w:firstLine="420" w:firstLineChars="200"/>
        <w:rPr>
          <w:bCs/>
          <w:szCs w:val="21"/>
        </w:rPr>
      </w:pPr>
      <w:r>
        <w:rPr>
          <w:rFonts w:hint="eastAsia"/>
          <w:bCs/>
          <w:szCs w:val="21"/>
        </w:rPr>
        <w:t>（1）除照片、图片（截图）及不需加盖公章的文字说明（技术说明）外，其它证明资料均要求为原件扫描件；</w:t>
      </w:r>
    </w:p>
    <w:p>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Cs/>
          <w:szCs w:val="21"/>
        </w:rPr>
      </w:pPr>
      <w:r>
        <w:rPr>
          <w:rFonts w:hint="eastAsia"/>
          <w:bCs/>
          <w:szCs w:val="21"/>
        </w:rPr>
        <w:t>其它证明资料的形式要求参照以上要求执行；</w:t>
      </w:r>
    </w:p>
    <w:p>
      <w:pPr>
        <w:ind w:firstLine="420" w:firstLineChars="200"/>
        <w:rPr>
          <w:bCs/>
          <w:szCs w:val="21"/>
        </w:rPr>
      </w:pPr>
      <w:r>
        <w:rPr>
          <w:rFonts w:hint="eastAsia"/>
          <w:bCs/>
          <w:szCs w:val="21"/>
        </w:rPr>
        <w:t>（4）证明资料均要求原件备查。</w:t>
      </w:r>
    </w:p>
    <w:p>
      <w:pPr>
        <w:ind w:firstLine="420" w:firstLineChars="200"/>
        <w:rPr>
          <w:bCs/>
          <w:szCs w:val="21"/>
        </w:rPr>
      </w:pPr>
      <w:r>
        <w:rPr>
          <w:rFonts w:hint="eastAsia"/>
          <w:bCs/>
          <w:szCs w:val="21"/>
        </w:rPr>
        <w:t>8、其它注意事项：</w:t>
      </w:r>
    </w:p>
    <w:p>
      <w:pPr>
        <w:ind w:firstLine="420" w:firstLineChars="200"/>
        <w:rPr>
          <w:bCs/>
          <w:szCs w:val="21"/>
        </w:rPr>
      </w:pPr>
      <w:r>
        <w:rPr>
          <w:rFonts w:hint="eastAsia"/>
          <w:bCs/>
          <w:szCs w:val="21"/>
        </w:rPr>
        <w:t>（1）评审委员会有权对投标人的响应情况作出判断（评审结论）；</w:t>
      </w:r>
    </w:p>
    <w:p>
      <w:pPr>
        <w:ind w:firstLine="420" w:firstLineChars="200"/>
        <w:rPr>
          <w:bCs/>
          <w:szCs w:val="21"/>
        </w:rPr>
      </w:pPr>
      <w:r>
        <w:rPr>
          <w:rFonts w:hint="eastAsia"/>
          <w:bCs/>
          <w:szCs w:val="21"/>
        </w:rPr>
        <w:t>（2）</w:t>
      </w:r>
      <w:bookmarkStart w:id="47"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47"/>
    </w:p>
    <w:p>
      <w:pPr>
        <w:ind w:firstLine="482" w:firstLineChars="200"/>
        <w:rPr>
          <w:b/>
          <w:sz w:val="24"/>
        </w:rPr>
      </w:pPr>
    </w:p>
    <w:p>
      <w:pPr>
        <w:rPr>
          <w:rFonts w:hint="eastAsia" w:ascii="宋体" w:hAnsi="宋体"/>
        </w:rPr>
      </w:pPr>
      <w:r>
        <w:rPr>
          <w:rFonts w:ascii="宋体" w:hAnsi="宋体" w:eastAsia="宋体" w:cs="Times New Roman"/>
          <w:color w:val="FF0000"/>
          <w:sz w:val="32"/>
          <w:szCs w:val="32"/>
        </w:rPr>
        <w:br w:type="page"/>
      </w:r>
    </w:p>
    <w:p>
      <w:pPr>
        <w:numPr>
          <w:ilvl w:val="0"/>
          <w:numId w:val="5"/>
        </w:numPr>
        <w:ind w:left="718" w:leftChars="342" w:firstLine="1620" w:firstLineChars="675"/>
        <w:rPr>
          <w:rFonts w:hint="eastAsia" w:ascii="黑体" w:hAnsi="宋体" w:eastAsia="黑体"/>
          <w:sz w:val="24"/>
          <w:szCs w:val="20"/>
        </w:rPr>
      </w:pPr>
      <w:r>
        <w:rPr>
          <w:rFonts w:hint="eastAsia" w:ascii="黑体" w:hAnsi="宋体" w:eastAsia="黑体"/>
          <w:sz w:val="24"/>
          <w:szCs w:val="20"/>
        </w:rPr>
        <w:t>技术保障措施</w:t>
      </w:r>
    </w:p>
    <w:p>
      <w:pPr>
        <w:pStyle w:val="2"/>
        <w:rPr>
          <w:rFonts w:hint="eastAsia"/>
        </w:rPr>
      </w:pPr>
    </w:p>
    <w:p>
      <w:pPr>
        <w:numPr>
          <w:ilvl w:val="0"/>
          <w:numId w:val="5"/>
        </w:numPr>
        <w:ind w:left="718" w:leftChars="342" w:firstLine="1620" w:firstLineChars="675"/>
        <w:rPr>
          <w:rFonts w:hint="eastAsia" w:ascii="黑体" w:hAnsi="宋体" w:eastAsia="黑体"/>
          <w:sz w:val="24"/>
          <w:szCs w:val="20"/>
          <w:lang w:eastAsia="zh-CN"/>
        </w:rPr>
      </w:pPr>
      <w:r>
        <w:rPr>
          <w:rFonts w:hint="eastAsia" w:ascii="黑体" w:hAnsi="宋体" w:eastAsia="黑体"/>
          <w:sz w:val="24"/>
          <w:szCs w:val="20"/>
          <w:lang w:eastAsia="zh-CN"/>
        </w:rPr>
        <w:t>投标人通过相关认证情况</w:t>
      </w:r>
    </w:p>
    <w:p>
      <w:pPr>
        <w:pStyle w:val="2"/>
        <w:rPr>
          <w:rFonts w:hint="eastAsia"/>
          <w:lang w:eastAsia="zh-CN"/>
        </w:rPr>
      </w:pPr>
    </w:p>
    <w:p>
      <w:pPr>
        <w:numPr>
          <w:ilvl w:val="0"/>
          <w:numId w:val="5"/>
        </w:numPr>
        <w:ind w:left="718" w:leftChars="342" w:firstLine="1620" w:firstLineChars="675"/>
        <w:rPr>
          <w:rFonts w:hint="eastAsia" w:ascii="黑体" w:hAnsi="宋体" w:eastAsia="黑体"/>
          <w:sz w:val="24"/>
          <w:szCs w:val="20"/>
        </w:rPr>
      </w:pPr>
      <w:r>
        <w:rPr>
          <w:rFonts w:hint="eastAsia" w:ascii="黑体" w:hAnsi="宋体" w:eastAsia="黑体"/>
          <w:sz w:val="24"/>
          <w:szCs w:val="20"/>
        </w:rPr>
        <w:t>同类项目业绩</w:t>
      </w:r>
    </w:p>
    <w:p>
      <w:pPr>
        <w:pStyle w:val="2"/>
        <w:rPr>
          <w:rFonts w:hint="eastAsia"/>
        </w:rPr>
      </w:pPr>
    </w:p>
    <w:p>
      <w:pPr>
        <w:numPr>
          <w:ilvl w:val="0"/>
          <w:numId w:val="5"/>
        </w:numPr>
        <w:ind w:left="718" w:leftChars="342" w:firstLine="1620" w:firstLineChars="675"/>
        <w:rPr>
          <w:rFonts w:hint="eastAsia" w:ascii="黑体" w:hAnsi="宋体" w:eastAsia="黑体"/>
          <w:sz w:val="24"/>
          <w:szCs w:val="20"/>
          <w:lang w:eastAsia="zh-CN"/>
        </w:rPr>
      </w:pPr>
      <w:r>
        <w:rPr>
          <w:rFonts w:hint="eastAsia" w:ascii="黑体" w:hAnsi="宋体" w:eastAsia="黑体"/>
          <w:sz w:val="24"/>
          <w:szCs w:val="20"/>
          <w:lang w:eastAsia="zh-CN"/>
        </w:rPr>
        <w:t>投标人认为需要加以说明的其他内容</w:t>
      </w:r>
    </w:p>
    <w:p>
      <w:pPr>
        <w:widowControl/>
        <w:jc w:val="center"/>
        <w:rPr>
          <w:rFonts w:hint="eastAsia" w:ascii="黑体" w:hAnsi="宋体" w:eastAsia="黑体"/>
          <w:kern w:val="0"/>
          <w:sz w:val="24"/>
          <w:szCs w:val="20"/>
        </w:rPr>
      </w:pPr>
    </w:p>
    <w:p>
      <w:pPr>
        <w:widowControl/>
        <w:jc w:val="center"/>
        <w:rPr>
          <w:rFonts w:hint="eastAsia"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widowControl/>
        <w:jc w:val="center"/>
        <w:rPr>
          <w:rFonts w:hint="eastAsia" w:ascii="黑体" w:hAnsi="宋体" w:eastAsia="黑体"/>
          <w:kern w:val="0"/>
          <w:sz w:val="24"/>
          <w:szCs w:val="20"/>
        </w:rPr>
      </w:pPr>
    </w:p>
    <w:p>
      <w:pPr>
        <w:spacing w:after="156" w:afterLines="50" w:line="360" w:lineRule="exact"/>
        <w:ind w:firstLine="482" w:firstLineChars="200"/>
        <w:rPr>
          <w:rFonts w:eastAsia="宋体" w:cs="Times New Roman"/>
          <w:b/>
          <w:bCs/>
          <w:sz w:val="24"/>
        </w:rPr>
      </w:pPr>
      <w:r>
        <w:rPr>
          <w:rFonts w:hint="eastAsia"/>
          <w:b/>
          <w:bCs/>
          <w:sz w:val="24"/>
        </w:rPr>
        <w:t>我</w:t>
      </w:r>
      <w:r>
        <w:rPr>
          <w:rFonts w:hint="eastAsia" w:ascii="Calibri" w:hAnsi="Calibri" w:eastAsia="宋体" w:cs="Times New Roman"/>
          <w:b/>
          <w:bCs/>
          <w:sz w:val="24"/>
          <w:szCs w:val="24"/>
        </w:rPr>
        <w:t>单位</w:t>
      </w:r>
      <w:r>
        <w:rPr>
          <w:rFonts w:hint="eastAsia" w:eastAsia="宋体"/>
          <w:b/>
          <w:bCs/>
          <w:sz w:val="24"/>
        </w:rPr>
        <w:t>在</w:t>
      </w:r>
      <w:r>
        <w:rPr>
          <w:rFonts w:hint="eastAsia"/>
          <w:b/>
          <w:bCs/>
          <w:sz w:val="24"/>
        </w:rPr>
        <w:t>投标前已充分知悉以下情形为参与政府采购活动时的重大风险事项，并承诺已对下述风险提示事项重点排查，</w:t>
      </w:r>
      <w:r>
        <w:rPr>
          <w:rFonts w:hint="eastAsia" w:eastAsia="宋体" w:cs="Times New Roman"/>
          <w:b/>
          <w:bCs/>
          <w:sz w:val="24"/>
        </w:rPr>
        <w:t>若存在下述情况，我单位愿意依法承担被记入供应商诚信档案、罚款、取消参与政府采购资格、吊销营业执照等处罚；构成犯罪的，依法承担刑事责任。</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8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与其他投标供应商的法定代表人、主要经营负责人、投标授权代表人、项目负责人、主要技术人员为</w:t>
            </w:r>
            <w:r>
              <w:rPr>
                <w:rFonts w:hint="eastAsia" w:ascii="仿宋_GB2312" w:hAnsi="仿宋_GB2312" w:eastAsia="仿宋_GB2312" w:cs="仿宋_GB2312"/>
                <w:b/>
                <w:bCs/>
                <w:sz w:val="24"/>
                <w:szCs w:val="24"/>
              </w:rPr>
              <w:t>同一人、属同一单位或者在同一单位缴纳社会保险</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参与本项目政府采购活动时，与其他投标供应商存在单位负责人为</w:t>
            </w:r>
            <w:r>
              <w:rPr>
                <w:rFonts w:hint="eastAsia" w:ascii="仿宋_GB2312" w:hAnsi="仿宋_GB2312" w:eastAsia="仿宋_GB2312" w:cs="仿宋_GB2312"/>
                <w:b/>
                <w:bCs/>
                <w:sz w:val="24"/>
                <w:szCs w:val="24"/>
              </w:rPr>
              <w:t>同一人或直接控股、管理关系</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与其他投标供应商的投标文件或部分投标文件</w:t>
            </w:r>
            <w:r>
              <w:rPr>
                <w:rFonts w:hint="eastAsia" w:ascii="仿宋_GB2312" w:hAnsi="仿宋_GB2312" w:eastAsia="仿宋_GB2312" w:cs="仿宋_GB2312"/>
                <w:b/>
                <w:bCs/>
                <w:sz w:val="24"/>
                <w:szCs w:val="24"/>
              </w:rPr>
              <w:t>相互混装或存在非正常一致</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与其他投标供应商的投标文件由</w:t>
            </w:r>
            <w:r>
              <w:rPr>
                <w:rFonts w:hint="eastAsia" w:ascii="仿宋_GB2312" w:hAnsi="仿宋_GB2312" w:eastAsia="仿宋_GB2312" w:cs="仿宋_GB2312"/>
                <w:b/>
                <w:bCs/>
                <w:sz w:val="24"/>
                <w:szCs w:val="24"/>
              </w:rPr>
              <w:t>同一单位或者同一人编制</w:t>
            </w:r>
            <w:r>
              <w:rPr>
                <w:rFonts w:hint="eastAsia" w:ascii="仿宋_GB2312" w:hAnsi="仿宋_GB2312" w:eastAsia="仿宋_GB2312" w:cs="仿宋_GB2312"/>
                <w:sz w:val="24"/>
                <w:szCs w:val="24"/>
              </w:rPr>
              <w:t>，或者使用</w:t>
            </w:r>
            <w:r>
              <w:rPr>
                <w:rFonts w:hint="eastAsia" w:ascii="仿宋_GB2312" w:hAnsi="仿宋_GB2312" w:eastAsia="仿宋_GB2312" w:cs="仿宋_GB2312"/>
                <w:b/>
                <w:bCs/>
                <w:sz w:val="24"/>
                <w:szCs w:val="24"/>
              </w:rPr>
              <w:t>同一设备编制</w:t>
            </w:r>
            <w:r>
              <w:rPr>
                <w:rFonts w:hint="eastAsia" w:ascii="仿宋_GB2312" w:hAnsi="仿宋_GB2312" w:eastAsia="仿宋_GB2312" w:cs="仿宋_GB2312"/>
                <w:sz w:val="24"/>
                <w:szCs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w:t>
            </w:r>
            <w:r>
              <w:rPr>
                <w:rFonts w:hint="eastAsia" w:ascii="仿宋_GB2312" w:hAnsi="仿宋_GB2312" w:eastAsia="仿宋_GB2312" w:cs="仿宋_GB2312"/>
                <w:b/>
                <w:bCs/>
                <w:sz w:val="24"/>
                <w:szCs w:val="24"/>
              </w:rPr>
              <w:t>未经出具机构核实</w:t>
            </w:r>
            <w:r>
              <w:rPr>
                <w:rFonts w:hint="eastAsia" w:ascii="仿宋_GB2312" w:hAnsi="仿宋_GB2312" w:eastAsia="仿宋_GB2312" w:cs="仿宋_GB2312"/>
                <w:sz w:val="24"/>
                <w:szCs w:val="24"/>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擅自将投标密钥或电子营业执照出借他人使用或未妥善保管。</w:t>
            </w:r>
          </w:p>
        </w:tc>
      </w:tr>
    </w:tbl>
    <w:p>
      <w:pPr>
        <w:spacing w:before="156" w:beforeLines="50" w:line="380" w:lineRule="exact"/>
        <w:ind w:firstLine="422" w:firstLineChars="200"/>
        <w:rPr>
          <w:b/>
        </w:rPr>
      </w:pPr>
      <w:r>
        <w:rPr>
          <w:rFonts w:hint="eastAsia"/>
          <w:b/>
        </w:rPr>
        <w:t>一、我单位已充分知悉“隐瞒真实情况，提供虚假资料”的法定情形，包括但不限于：</w:t>
      </w:r>
    </w:p>
    <w:p>
      <w:pPr>
        <w:spacing w:line="380" w:lineRule="exact"/>
        <w:ind w:firstLine="420" w:firstLineChars="200"/>
      </w:pPr>
      <w:r>
        <w:rPr>
          <w:rFonts w:hint="eastAsia"/>
        </w:rPr>
        <w:t>（一）通过转让或者租借等方式从其他单位获取资格或者资质证书投标的。</w:t>
      </w:r>
    </w:p>
    <w:p>
      <w:pPr>
        <w:spacing w:line="380" w:lineRule="exact"/>
        <w:ind w:firstLine="420" w:firstLineChars="200"/>
      </w:pPr>
      <w:r>
        <w:rPr>
          <w:rFonts w:hint="eastAsia"/>
        </w:rPr>
        <w:t>（二）由其他单位或者其他单位负责人在投标供应商编制的投标文件上加盖印章或者签字的。</w:t>
      </w:r>
    </w:p>
    <w:p>
      <w:pPr>
        <w:spacing w:line="380" w:lineRule="exact"/>
        <w:ind w:firstLine="420" w:firstLineChars="200"/>
      </w:pPr>
      <w:r>
        <w:rPr>
          <w:rFonts w:hint="eastAsia"/>
        </w:rPr>
        <w:t>（三）项目负责人或者主要技术人员不是本单位人员的。</w:t>
      </w:r>
    </w:p>
    <w:p>
      <w:pPr>
        <w:spacing w:line="380" w:lineRule="exact"/>
        <w:ind w:firstLine="420" w:firstLineChars="200"/>
      </w:pPr>
      <w:r>
        <w:rPr>
          <w:rFonts w:hint="eastAsia"/>
        </w:rPr>
        <w:t>（四）投标保证金不是从投标供应商基本账户转出的。</w:t>
      </w:r>
    </w:p>
    <w:p>
      <w:pPr>
        <w:spacing w:line="380" w:lineRule="exact"/>
        <w:ind w:firstLine="420" w:firstLineChars="200"/>
      </w:pPr>
      <w:r>
        <w:rPr>
          <w:rFonts w:hint="eastAsia"/>
        </w:rPr>
        <w:t>（五）其他隐瞒真实情况、提供虚假资料的行为。</w:t>
      </w:r>
    </w:p>
    <w:p>
      <w:pPr>
        <w:spacing w:line="380" w:lineRule="exact"/>
        <w:ind w:firstLine="422" w:firstLineChars="200"/>
        <w:rPr>
          <w:b/>
        </w:rPr>
      </w:pPr>
      <w:r>
        <w:rPr>
          <w:rFonts w:hint="eastAsia"/>
          <w:b/>
        </w:rPr>
        <w:t>二、我单位已充分知悉“与其他采购参加人串通投标”的法定情形，包括但不限于：</w:t>
      </w:r>
    </w:p>
    <w:p>
      <w:pPr>
        <w:spacing w:line="380" w:lineRule="exact"/>
        <w:ind w:firstLine="420" w:firstLineChars="200"/>
      </w:pPr>
      <w:r>
        <w:rPr>
          <w:rFonts w:hint="eastAsia"/>
        </w:rPr>
        <w:t>（一）投标供应商之间相互约定给予未中标的供应商利益补偿。</w:t>
      </w:r>
    </w:p>
    <w:p>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pPr>
      <w:r>
        <w:rPr>
          <w:rFonts w:hint="eastAsia"/>
        </w:rPr>
        <w:t>（三）不同投标供应商的投标文件由同一单位或者同一人编制，或者由同一人分阶段参与编制的。</w:t>
      </w:r>
    </w:p>
    <w:p>
      <w:pPr>
        <w:spacing w:line="340" w:lineRule="exact"/>
        <w:ind w:firstLine="420" w:firstLineChars="200"/>
      </w:pPr>
      <w:r>
        <w:rPr>
          <w:rFonts w:hint="eastAsia"/>
        </w:rPr>
        <w:t>（四）不同投标供应商的投标文件或部分投标文件相互混装。</w:t>
      </w:r>
    </w:p>
    <w:p>
      <w:pPr>
        <w:spacing w:line="340" w:lineRule="exact"/>
        <w:ind w:firstLine="420" w:firstLineChars="200"/>
      </w:pPr>
      <w:r>
        <w:rPr>
          <w:rFonts w:hint="eastAsia"/>
        </w:rPr>
        <w:t>（五）不同投标供应商的投标文件内容存在非正常一致。</w:t>
      </w:r>
    </w:p>
    <w:p>
      <w:pPr>
        <w:spacing w:line="340" w:lineRule="exact"/>
        <w:ind w:firstLine="420" w:firstLineChars="200"/>
      </w:pPr>
      <w:r>
        <w:rPr>
          <w:rFonts w:hint="eastAsia"/>
        </w:rPr>
        <w:t>（六）由同一单位工作人员为两家以上（含两家）供应商进行同一项投标活动的。</w:t>
      </w:r>
    </w:p>
    <w:p>
      <w:pPr>
        <w:spacing w:line="340" w:lineRule="exact"/>
        <w:ind w:firstLine="420" w:firstLineChars="200"/>
      </w:pPr>
      <w:r>
        <w:rPr>
          <w:rFonts w:hint="eastAsia"/>
        </w:rPr>
        <w:t>（七）不同投标人的投标报价呈规律性差异。</w:t>
      </w:r>
    </w:p>
    <w:p>
      <w:pPr>
        <w:spacing w:line="340" w:lineRule="exact"/>
        <w:ind w:firstLine="420" w:firstLineChars="200"/>
      </w:pPr>
      <w:r>
        <w:rPr>
          <w:rFonts w:hint="eastAsia"/>
        </w:rPr>
        <w:t>（八）不同投标人的投标保证金从同一单位或者个人的账户转出。</w:t>
      </w:r>
    </w:p>
    <w:p>
      <w:pPr>
        <w:spacing w:line="340" w:lineRule="exact"/>
        <w:ind w:firstLine="420" w:firstLineChars="200"/>
      </w:pPr>
      <w:r>
        <w:rPr>
          <w:rFonts w:hint="eastAsia"/>
        </w:rPr>
        <w:t>（九）主管部门依照法律、法规认定的其他情形。</w:t>
      </w:r>
    </w:p>
    <w:p>
      <w:pPr>
        <w:spacing w:line="340" w:lineRule="exact"/>
        <w:ind w:firstLine="422" w:firstLineChars="200"/>
        <w:rPr>
          <w:b/>
        </w:rPr>
      </w:pPr>
      <w:r>
        <w:rPr>
          <w:rFonts w:hint="eastAsia"/>
          <w:b/>
        </w:rPr>
        <w:t>三、我单位已充分知悉下列情形存在法律风险，在投标前已对相关风险事项进行排查。</w:t>
      </w:r>
    </w:p>
    <w:p>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pPr>
        <w:spacing w:line="340" w:lineRule="exact"/>
        <w:ind w:firstLine="422" w:firstLineChars="200"/>
        <w:rPr>
          <w:b/>
        </w:rPr>
      </w:pPr>
      <w:r>
        <w:rPr>
          <w:rFonts w:hint="eastAsia"/>
          <w:b/>
        </w:rPr>
        <w:t>四、我单位已充分知悉政府采购违法、违规行为的法律后果。</w:t>
      </w:r>
    </w:p>
    <w:p>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0" w:firstLineChars="200"/>
        <w:rPr>
          <w:highlight w:val="yellow"/>
        </w:rPr>
      </w:pPr>
      <w:r>
        <w:rPr>
          <w:rFonts w:hint="eastAsia"/>
          <w:highlight w:val="yellow"/>
        </w:rPr>
        <w:t>以下文字请投标供应商抄写并确认：“我单位已仔细阅读《政府采购违法行为风险知悉确认书》，充分知悉违法行为的法律后果，并承诺将严谨、诚信、依法依规参与政府采购活动”。</w:t>
      </w:r>
    </w:p>
    <w:tbl>
      <w:tblPr>
        <w:tblStyle w:val="39"/>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340" w:lineRule="exact"/>
              <w:ind w:firstLine="1866"/>
              <w:rPr>
                <w:rFonts w:hint="eastAsia" w:ascii="宋体" w:hAnsi="宋体" w:eastAsia="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eastAsia="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eastAsia="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340" w:lineRule="exact"/>
              <w:ind w:firstLine="1866"/>
              <w:rPr>
                <w:rFonts w:hint="eastAsia" w:ascii="宋体" w:hAnsi="宋体" w:eastAsia="宋体"/>
                <w:spacing w:val="-4"/>
                <w:kern w:val="0"/>
                <w:szCs w:val="21"/>
              </w:rPr>
            </w:pPr>
          </w:p>
        </w:tc>
      </w:tr>
    </w:tbl>
    <w:p>
      <w:pPr>
        <w:widowControl/>
        <w:wordWrap w:val="0"/>
        <w:autoSpaceDE w:val="0"/>
        <w:autoSpaceDN w:val="0"/>
        <w:spacing w:line="340" w:lineRule="exact"/>
        <w:ind w:right="808" w:firstLine="404" w:firstLineChars="200"/>
        <w:jc w:val="right"/>
        <w:rPr>
          <w:rFonts w:hint="eastAsia" w:ascii="宋体" w:hAnsi="宋体" w:eastAsia="宋体"/>
          <w:spacing w:val="-4"/>
          <w:kern w:val="0"/>
          <w:szCs w:val="21"/>
        </w:rPr>
      </w:pPr>
    </w:p>
    <w:p>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单位负责人签名：</w:t>
      </w:r>
      <w:r>
        <w:rPr>
          <w:rFonts w:hint="eastAsia" w:ascii="宋体" w:hAnsi="宋体" w:eastAsia="宋体"/>
          <w:spacing w:val="-4"/>
          <w:kern w:val="0"/>
          <w:szCs w:val="21"/>
          <w:u w:val="single"/>
        </w:rPr>
        <w:t xml:space="preserve">              </w:t>
      </w:r>
    </w:p>
    <w:p>
      <w:pPr>
        <w:widowControl/>
        <w:wordWrap w:val="0"/>
        <w:autoSpaceDE w:val="0"/>
        <w:autoSpaceDN w:val="0"/>
        <w:spacing w:line="340" w:lineRule="exact"/>
        <w:ind w:right="808" w:firstLine="404" w:firstLineChars="200"/>
        <w:jc w:val="center"/>
        <w:rPr>
          <w:rFonts w:hint="eastAsia" w:ascii="宋体" w:hAnsi="宋体" w:eastAsia="宋体"/>
          <w:spacing w:val="-4"/>
          <w:kern w:val="0"/>
          <w:szCs w:val="21"/>
          <w:u w:val="single"/>
        </w:rPr>
      </w:pPr>
      <w:r>
        <w:rPr>
          <w:rFonts w:hint="eastAsia" w:ascii="宋体" w:hAnsi="宋体" w:eastAsia="宋体"/>
          <w:spacing w:val="-4"/>
          <w:kern w:val="0"/>
          <w:szCs w:val="21"/>
        </w:rPr>
        <w:t xml:space="preserve">                                 （加盖公章）</w:t>
      </w:r>
    </w:p>
    <w:p>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 xml:space="preserve">     日期：</w:t>
      </w:r>
      <w:r>
        <w:rPr>
          <w:rFonts w:hint="eastAsia" w:ascii="宋体" w:hAnsi="宋体" w:eastAsia="宋体"/>
          <w:spacing w:val="-4"/>
          <w:kern w:val="0"/>
          <w:szCs w:val="21"/>
          <w:u w:val="single"/>
        </w:rPr>
        <w:t xml:space="preserve">              </w:t>
      </w:r>
    </w:p>
    <w:p>
      <w:pPr>
        <w:widowControl/>
        <w:autoSpaceDE w:val="0"/>
        <w:autoSpaceDN w:val="0"/>
        <w:spacing w:line="340" w:lineRule="exact"/>
        <w:ind w:firstLine="406" w:firstLineChars="200"/>
        <w:jc w:val="left"/>
        <w:rPr>
          <w:rFonts w:hint="eastAsia" w:ascii="宋体" w:hAnsi="宋体" w:eastAsia="宋体"/>
          <w:b/>
          <w:bCs/>
          <w:spacing w:val="-4"/>
          <w:kern w:val="0"/>
          <w:szCs w:val="21"/>
        </w:rPr>
      </w:pPr>
    </w:p>
    <w:p>
      <w:pPr>
        <w:widowControl/>
        <w:autoSpaceDE w:val="0"/>
        <w:autoSpaceDN w:val="0"/>
        <w:spacing w:line="340" w:lineRule="exact"/>
        <w:ind w:firstLine="406" w:firstLineChars="200"/>
        <w:jc w:val="left"/>
        <w:rPr>
          <w:rFonts w:hint="eastAsia" w:ascii="宋体" w:hAnsi="宋体" w:eastAsia="宋体"/>
          <w:b/>
          <w:bCs/>
          <w:spacing w:val="-4"/>
          <w:kern w:val="0"/>
          <w:szCs w:val="21"/>
        </w:rPr>
      </w:pPr>
      <w:r>
        <w:rPr>
          <w:rFonts w:hint="eastAsia" w:ascii="宋体" w:hAnsi="宋体" w:eastAsia="宋体"/>
          <w:b/>
          <w:bCs/>
          <w:spacing w:val="-4"/>
          <w:kern w:val="0"/>
          <w:szCs w:val="21"/>
        </w:rPr>
        <w:t>注：</w:t>
      </w:r>
      <w:r>
        <w:rPr>
          <w:rFonts w:hint="eastAsia" w:ascii="宋体" w:hAnsi="宋体"/>
          <w:b/>
          <w:bCs/>
          <w:spacing w:val="-4"/>
          <w:kern w:val="0"/>
          <w:szCs w:val="21"/>
        </w:rPr>
        <w:t>1.</w:t>
      </w:r>
      <w:r>
        <w:rPr>
          <w:rFonts w:hint="eastAsia" w:ascii="宋体" w:hAnsi="宋体" w:eastAsia="宋体"/>
          <w:b/>
          <w:bCs/>
          <w:spacing w:val="-4"/>
          <w:kern w:val="0"/>
          <w:szCs w:val="21"/>
        </w:rPr>
        <w:t>《政府采购违法行为风险知悉确认书》需由投标供应商负责人签字并加盖单位公章后，扫描上传至投标文件一并提交。</w:t>
      </w:r>
    </w:p>
    <w:p>
      <w:pPr>
        <w:pStyle w:val="51"/>
        <w:ind w:firstLine="422" w:firstLineChars="200"/>
        <w:rPr>
          <w:b/>
          <w:bCs/>
        </w:rPr>
      </w:pPr>
      <w:r>
        <w:rPr>
          <w:rFonts w:hint="eastAsia"/>
          <w:b/>
          <w:bCs/>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widowControl/>
        <w:autoSpaceDE w:val="0"/>
        <w:autoSpaceDN w:val="0"/>
        <w:spacing w:line="400" w:lineRule="exact"/>
        <w:ind w:right="1414" w:firstLine="480" w:firstLineChars="200"/>
        <w:jc w:val="right"/>
        <w:rPr>
          <w:kern w:val="0"/>
          <w:sz w:val="24"/>
        </w:rPr>
      </w:pPr>
    </w:p>
    <w:p>
      <w:pPr>
        <w:jc w:val="center"/>
        <w:rPr>
          <w:rFonts w:ascii="黑体" w:eastAsia="黑体"/>
          <w:sz w:val="24"/>
          <w:szCs w:val="20"/>
        </w:rPr>
      </w:pPr>
      <w:r>
        <w:rPr>
          <w:rFonts w:hint="eastAsia" w:ascii="黑体" w:eastAsia="黑体"/>
          <w:sz w:val="24"/>
          <w:szCs w:val="20"/>
        </w:rPr>
        <w:t>（二）订单融资情况</w:t>
      </w:r>
    </w:p>
    <w:p>
      <w:pPr>
        <w:ind w:firstLine="422" w:firstLineChars="200"/>
        <w:rPr>
          <w:rFonts w:hint="eastAsia" w:ascii="宋体" w:hAnsi="宋体" w:cs="宋体"/>
          <w:b/>
          <w:bCs/>
        </w:rPr>
      </w:pPr>
      <w:r>
        <w:rPr>
          <w:rFonts w:hint="eastAsia" w:ascii="宋体" w:hAnsi="宋体" w:cs="宋体"/>
          <w:b/>
          <w:bCs/>
        </w:rPr>
        <w:t>1、关于政府采购订单融资政策</w:t>
      </w:r>
    </w:p>
    <w:p>
      <w:pPr>
        <w:pStyle w:val="2"/>
        <w:spacing w:line="240" w:lineRule="auto"/>
        <w:ind w:firstLine="420" w:firstLineChars="200"/>
        <w:rPr>
          <w:rFonts w:ascii="Times New Roman" w:hAnsi="Times New Roman" w:eastAsia="宋体" w:cs="Times New Roman"/>
          <w:b w:val="0"/>
          <w:sz w:val="21"/>
          <w:szCs w:val="21"/>
        </w:rPr>
      </w:pPr>
      <w:r>
        <w:rPr>
          <w:rFonts w:hint="eastAsia" w:ascii="Times New Roman" w:hAnsi="Times New Roman" w:eastAsia="宋体" w:cs="Times New Roman"/>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rFonts w:hint="eastAsia" w:ascii="宋体" w:hAnsi="宋体" w:cs="宋体"/>
          <w:b/>
          <w:bCs/>
        </w:rPr>
      </w:pPr>
      <w:r>
        <w:rPr>
          <w:rFonts w:hint="eastAsia" w:ascii="宋体" w:hAnsi="宋体" w:cs="宋体"/>
          <w:b/>
          <w:bCs/>
        </w:rPr>
        <w:t>2、供应商账户信息</w:t>
      </w:r>
    </w:p>
    <w:p>
      <w:pPr>
        <w:wordWrap w:val="0"/>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eastAsia="宋体"/>
          <w:szCs w:val="21"/>
        </w:rPr>
        <w:t>；</w:t>
      </w:r>
      <w:r>
        <w:rPr>
          <w:rFonts w:hint="eastAsia"/>
          <w:szCs w:val="21"/>
        </w:rPr>
        <w:t xml:space="preserve">  </w:t>
      </w:r>
    </w:p>
    <w:p>
      <w:pPr>
        <w:wordWrap w:val="0"/>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ascii="Times New Roman" w:eastAsia="宋体"/>
          <w:szCs w:val="21"/>
          <w:u w:val="thick"/>
        </w:rPr>
        <w:t xml:space="preserve">   </w:t>
      </w:r>
      <w:r>
        <w:rPr>
          <w:rFonts w:hint="eastAsia" w:eastAsia="宋体"/>
          <w:szCs w:val="21"/>
        </w:rPr>
        <w:t>；</w:t>
      </w:r>
    </w:p>
    <w:p>
      <w:pPr>
        <w:wordWrap w:val="0"/>
        <w:ind w:left="420" w:leftChars="200" w:firstLine="210" w:firstLineChars="100"/>
        <w:rPr>
          <w:szCs w:val="21"/>
        </w:rPr>
      </w:pPr>
      <w:r>
        <w:rPr>
          <w:rFonts w:hint="eastAsia"/>
          <w:szCs w:val="21"/>
        </w:rPr>
        <w:t>法定代表人（负责人）或其</w:t>
      </w:r>
      <w:r>
        <w:rPr>
          <w:rFonts w:hint="eastAsia" w:ascii="Times New Roman" w:eastAsia="宋体"/>
          <w:szCs w:val="21"/>
        </w:rPr>
        <w:t>授权</w:t>
      </w:r>
      <w:r>
        <w:rPr>
          <w:rFonts w:hint="eastAsia"/>
          <w:szCs w:val="21"/>
        </w:rPr>
        <w:t>委托代理人：</w:t>
      </w:r>
      <w:r>
        <w:rPr>
          <w:rFonts w:hint="eastAsia"/>
          <w:szCs w:val="21"/>
          <w:u w:val="thick"/>
        </w:rPr>
        <w:t xml:space="preserve">              </w:t>
      </w:r>
      <w:r>
        <w:rPr>
          <w:rFonts w:hint="eastAsia" w:eastAsia="宋体"/>
          <w:szCs w:val="21"/>
        </w:rPr>
        <w:t>；</w:t>
      </w:r>
    </w:p>
    <w:p>
      <w:pPr>
        <w:wordWrap w:val="0"/>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eastAsia="宋体"/>
          <w:szCs w:val="21"/>
        </w:rPr>
        <w:t>；</w:t>
      </w:r>
    </w:p>
    <w:p>
      <w:pPr>
        <w:wordWrap w:val="0"/>
        <w:ind w:left="420" w:leftChars="200" w:firstLine="210" w:firstLineChars="100"/>
        <w:rPr>
          <w:szCs w:val="21"/>
        </w:rPr>
      </w:pPr>
      <w:r>
        <w:rPr>
          <w:rFonts w:hint="eastAsia" w:ascii="Times New Roman" w:eastAsia="宋体"/>
          <w:szCs w:val="21"/>
        </w:rPr>
        <w:t>开户银行名称：</w:t>
      </w:r>
      <w:r>
        <w:rPr>
          <w:rFonts w:hint="eastAsia"/>
          <w:szCs w:val="21"/>
          <w:u w:val="thick"/>
        </w:rPr>
        <w:t xml:space="preserve">                     </w:t>
      </w:r>
      <w:r>
        <w:rPr>
          <w:rFonts w:hint="eastAsia" w:eastAsia="宋体"/>
          <w:szCs w:val="21"/>
        </w:rPr>
        <w:t>；</w:t>
      </w:r>
    </w:p>
    <w:p>
      <w:pPr>
        <w:wordWrap w:val="0"/>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pPr>
        <w:wordWrap w:val="0"/>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 xml:space="preserve"> </w:t>
      </w:r>
      <w:r>
        <w:rPr>
          <w:rFonts w:hint="eastAsia" w:ascii="宋体" w:hAnsi="宋体"/>
          <w:b/>
          <w:bCs/>
          <w:color w:val="FF0000"/>
          <w:spacing w:val="-4"/>
          <w:kern w:val="0"/>
          <w:szCs w:val="21"/>
        </w:rPr>
        <w:t>注：本项填写内容作为订单融资开展的参考信息，不作为供应商资格性审查及符合性审查条件。</w:t>
      </w:r>
    </w:p>
    <w:p>
      <w:pPr>
        <w:widowControl/>
        <w:tabs>
          <w:tab w:val="left" w:pos="8200"/>
        </w:tabs>
        <w:autoSpaceDE w:val="0"/>
        <w:autoSpaceDN w:val="0"/>
        <w:spacing w:line="400" w:lineRule="exact"/>
        <w:ind w:right="1414" w:firstLine="406" w:firstLineChars="200"/>
        <w:rPr>
          <w:rFonts w:hint="eastAsia" w:ascii="宋体" w:hAnsi="宋体"/>
          <w:b/>
          <w:bCs/>
          <w:color w:val="FF0000"/>
          <w:spacing w:val="-4"/>
          <w:kern w:val="0"/>
          <w:szCs w:val="21"/>
        </w:rPr>
      </w:pPr>
    </w:p>
    <w:p>
      <w:pPr>
        <w:ind w:firstLine="720" w:firstLineChars="300"/>
        <w:rPr>
          <w:sz w:val="24"/>
        </w:rPr>
      </w:pPr>
    </w:p>
    <w:p>
      <w:pPr>
        <w:widowControl/>
        <w:spacing w:line="360" w:lineRule="auto"/>
        <w:jc w:val="left"/>
        <w:rPr>
          <w:b/>
          <w:bCs/>
          <w:kern w:val="0"/>
          <w:sz w:val="24"/>
        </w:rPr>
      </w:pPr>
    </w:p>
    <w:p>
      <w:pPr>
        <w:widowControl/>
        <w:jc w:val="center"/>
        <w:rPr>
          <w:rFonts w:hint="eastAsia"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pPr>
        <w:widowControl/>
        <w:jc w:val="center"/>
        <w:rPr>
          <w:rFonts w:hint="eastAsia" w:ascii="黑体" w:hAnsi="宋体" w:eastAsia="黑体"/>
          <w:kern w:val="0"/>
          <w:sz w:val="24"/>
          <w:szCs w:val="20"/>
        </w:rPr>
      </w:pPr>
    </w:p>
    <w:p>
      <w:pPr>
        <w:spacing w:after="78" w:afterLines="25" w:line="300" w:lineRule="auto"/>
        <w:rPr>
          <w:rFonts w:ascii="Arial" w:hAnsi="Arial" w:eastAsia="宋体" w:cs="Times New Roman"/>
          <w:sz w:val="24"/>
          <w:szCs w:val="24"/>
        </w:rPr>
      </w:pPr>
    </w:p>
    <w:p>
      <w:pPr>
        <w:spacing w:after="78" w:afterLines="25" w:line="300" w:lineRule="auto"/>
        <w:rPr>
          <w:rFonts w:ascii="Arial" w:hAnsi="Arial" w:eastAsia="宋体" w:cs="Times New Roman"/>
          <w:sz w:val="24"/>
          <w:szCs w:val="24"/>
        </w:rPr>
      </w:pP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pPr>
        <w:widowControl/>
        <w:jc w:val="center"/>
        <w:rPr>
          <w:rFonts w:hint="eastAsia" w:ascii="宋体" w:hAnsi="宋体" w:eastAsia="黑体" w:cs="Times New Roman"/>
          <w:bCs/>
          <w:kern w:val="44"/>
          <w:sz w:val="28"/>
          <w:szCs w:val="44"/>
        </w:rPr>
      </w:pPr>
      <w:bookmarkStart w:id="48" w:name="_Hlk72574405"/>
      <w:r>
        <w:rPr>
          <w:rFonts w:hint="eastAsia"/>
          <w:b/>
          <w:sz w:val="24"/>
        </w:rPr>
        <w:t>（仅供参考，具体以项目需求及采购结果为准）</w:t>
      </w:r>
      <w:bookmarkEnd w:id="48"/>
    </w:p>
    <w:p>
      <w:pPr>
        <w:snapToGrid w:val="0"/>
        <w:spacing w:line="300" w:lineRule="auto"/>
        <w:jc w:val="center"/>
        <w:rPr>
          <w:rFonts w:hint="eastAsia" w:ascii="仿宋" w:hAnsi="仿宋" w:eastAsia="仿宋" w:cs="Times New Roman"/>
          <w:sz w:val="28"/>
          <w:szCs w:val="28"/>
        </w:rPr>
      </w:pPr>
    </w:p>
    <w:p>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pPr>
        <w:rPr>
          <w:rFonts w:hint="eastAsia" w:ascii="宋体" w:hAnsi="宋体" w:eastAsia="宋体" w:cs="宋体"/>
          <w:b/>
          <w:bCs/>
          <w:spacing w:val="-20"/>
          <w:kern w:val="44"/>
          <w:sz w:val="40"/>
          <w:szCs w:val="40"/>
        </w:rPr>
      </w:pPr>
    </w:p>
    <w:p>
      <w:pPr>
        <w:rPr>
          <w:rFonts w:hint="eastAsia" w:ascii="宋体" w:hAnsi="宋体" w:eastAsia="宋体" w:cs="宋体"/>
          <w:b/>
          <w:bCs/>
          <w:spacing w:val="-20"/>
          <w:kern w:val="44"/>
          <w:sz w:val="40"/>
          <w:szCs w:val="40"/>
        </w:rPr>
      </w:pPr>
    </w:p>
    <w:p>
      <w:pPr>
        <w:rPr>
          <w:rFonts w:hint="eastAsia"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eastAsia="黑体"/>
          <w:sz w:val="44"/>
          <w:szCs w:val="44"/>
        </w:rPr>
      </w:pPr>
      <w:r>
        <w:rPr>
          <w:rFonts w:hint="eastAsia" w:eastAsia="黑体"/>
          <w:sz w:val="44"/>
          <w:szCs w:val="44"/>
        </w:rPr>
        <w:t>使 用 说 明</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49" w:name="_Toc22209"/>
    </w:p>
    <w:p>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49"/>
    </w:p>
    <w:p>
      <w:pPr>
        <w:keepNext/>
        <w:keepLines/>
        <w:adjustRightInd w:val="0"/>
        <w:snapToGrid w:val="0"/>
        <w:spacing w:line="400" w:lineRule="exact"/>
        <w:jc w:val="center"/>
        <w:outlineLvl w:val="1"/>
        <w:rPr>
          <w:rFonts w:hint="eastAsia" w:ascii="黑体" w:hAnsi="华文中宋" w:eastAsia="黑体" w:cs="Times New Roman"/>
          <w:sz w:val="28"/>
          <w:szCs w:val="28"/>
        </w:rPr>
      </w:pPr>
    </w:p>
    <w:p>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line="400" w:lineRule="exact"/>
        <w:rPr>
          <w:rFonts w:eastAsia="宋体"/>
        </w:rPr>
      </w:pPr>
    </w:p>
    <w:p>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pPr>
        <w:numPr>
          <w:ilvl w:val="0"/>
          <w:numId w:val="7"/>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6"/>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pPr>
        <w:numPr>
          <w:ilvl w:val="0"/>
          <w:numId w:val="8"/>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pPr>
        <w:rPr>
          <w:rFonts w:eastAsia="宋体"/>
        </w:rPr>
      </w:pPr>
      <w:r>
        <w:rPr>
          <w:rFonts w:hint="eastAsia" w:eastAsia="宋体"/>
        </w:rPr>
        <w:br w:type="page"/>
      </w:r>
    </w:p>
    <w:p>
      <w:pPr>
        <w:ind w:firstLine="420" w:firstLineChars="200"/>
        <w:rPr>
          <w:rFonts w:ascii="Times New Roman" w:hAnsi="Times New Roman" w:eastAsia="宋体" w:cs="Times New Roman"/>
          <w:szCs w:val="21"/>
        </w:rPr>
      </w:pPr>
    </w:p>
    <w:tbl>
      <w:tblPr>
        <w:tblStyle w:val="18"/>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pPr>
        <w:ind w:firstLine="527" w:firstLineChars="250"/>
        <w:rPr>
          <w:rFonts w:hint="eastAsia" w:ascii="宋体" w:hAnsi="宋体"/>
          <w:b/>
          <w:szCs w:val="21"/>
        </w:rPr>
      </w:pPr>
    </w:p>
    <w:p>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50" w:name="_Toc27624"/>
      <w:r>
        <w:rPr>
          <w:rFonts w:hint="eastAsia" w:ascii="黑体" w:hAnsi="黑体" w:eastAsia="黑体" w:cs="Times New Roman"/>
          <w:sz w:val="28"/>
          <w:szCs w:val="28"/>
        </w:rPr>
        <w:t>第二节 政府采购合同通用条款</w:t>
      </w:r>
      <w:bookmarkEnd w:id="50"/>
    </w:p>
    <w:p>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pPr>
        <w:numPr>
          <w:ilvl w:val="0"/>
          <w:numId w:val="9"/>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pPr>
        <w:numPr>
          <w:ilvl w:val="0"/>
          <w:numId w:val="10"/>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1"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1"/>
      <w:r>
        <w:rPr>
          <w:rFonts w:hint="eastAsia" w:ascii="宋体" w:hAnsi="宋体" w:eastAsia="宋体"/>
          <w:szCs w:val="21"/>
        </w:rPr>
        <w:t>。</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pPr>
        <w:numPr>
          <w:ilvl w:val="0"/>
          <w:numId w:val="11"/>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pPr>
        <w:numPr>
          <w:ilvl w:val="0"/>
          <w:numId w:val="12"/>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2" w:name="_Toc20313"/>
    </w:p>
    <w:p>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2"/>
    </w:p>
    <w:tbl>
      <w:tblPr>
        <w:tblStyle w:val="1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snapToGrid w:val="0"/>
              <w:jc w:val="center"/>
              <w:rPr>
                <w:rFonts w:eastAsia="宋体"/>
              </w:rPr>
            </w:pPr>
            <w:r>
              <w:rPr>
                <w:rFonts w:hint="eastAsia" w:ascii="宋体" w:hAnsi="宋体" w:eastAsia="宋体"/>
                <w:szCs w:val="21"/>
              </w:rPr>
              <w:t>第5.4款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货物质量缺陷</w:t>
            </w:r>
          </w:p>
          <w:p>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第二节</w:t>
            </w:r>
          </w:p>
          <w:p>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pPr>
              <w:adjustRightInd w:val="0"/>
              <w:snapToGrid w:val="0"/>
              <w:jc w:val="left"/>
              <w:rPr>
                <w:rFonts w:hint="eastAsia" w:ascii="宋体" w:hAnsi="宋体" w:eastAsia="宋体"/>
                <w:szCs w:val="21"/>
              </w:rPr>
            </w:pPr>
          </w:p>
        </w:tc>
      </w:tr>
    </w:tbl>
    <w:p>
      <w:pPr>
        <w:rPr>
          <w:rFonts w:eastAsia="宋体"/>
        </w:rPr>
      </w:pPr>
    </w:p>
    <w:p>
      <w:pPr>
        <w:widowControl/>
        <w:jc w:val="left"/>
        <w:rPr>
          <w:rFonts w:ascii="Arial" w:hAnsi="Arial" w:eastAsia="宋体" w:cs="Times New Roman"/>
          <w:color w:val="FF0000"/>
          <w:szCs w:val="24"/>
        </w:rPr>
      </w:pPr>
    </w:p>
    <w:p>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pPr>
        <w:pStyle w:val="33"/>
        <w:keepNext/>
        <w:keepLines/>
        <w:numPr>
          <w:ilvl w:val="0"/>
          <w:numId w:val="13"/>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3" w:name="_Hlk72399513"/>
      <w:r>
        <w:rPr>
          <w:rFonts w:hint="eastAsia" w:asciiTheme="majorHAnsi" w:hAnsiTheme="majorHAnsi" w:eastAsiaTheme="majorEastAsia" w:cstheme="majorBidi"/>
          <w:b/>
          <w:bCs/>
          <w:sz w:val="28"/>
          <w:szCs w:val="28"/>
        </w:rPr>
        <w:t>总则</w:t>
      </w:r>
    </w:p>
    <w:bookmarkEnd w:id="53"/>
    <w:p>
      <w:pPr>
        <w:rPr>
          <w:rFonts w:hint="eastAsia" w:ascii="黑体" w:hAnsi="宋体" w:eastAsia="黑体"/>
          <w:sz w:val="24"/>
        </w:rPr>
      </w:pPr>
      <w:bookmarkStart w:id="54" w:name="_Hlk72439706"/>
      <w:r>
        <w:rPr>
          <w:rFonts w:hint="eastAsia" w:ascii="黑体" w:hAnsi="宋体" w:eastAsia="黑体"/>
          <w:sz w:val="24"/>
        </w:rPr>
        <w:t>1. 通用条款说明</w:t>
      </w:r>
    </w:p>
    <w:p>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5" w:name="_Hlk72399729"/>
      <w:r>
        <w:rPr>
          <w:rFonts w:hint="eastAsia" w:ascii="宋体" w:hAnsi="宋体"/>
          <w:szCs w:val="21"/>
        </w:rPr>
        <w:t>如有需要，政府集中采购机构可以对通用条款的内容进行补充。</w:t>
      </w:r>
      <w:bookmarkEnd w:id="55"/>
    </w:p>
    <w:p>
      <w:pPr>
        <w:ind w:firstLine="411" w:firstLineChars="196"/>
        <w:rPr>
          <w:rFonts w:hint="eastAsia" w:ascii="宋体" w:hAnsi="宋体"/>
          <w:szCs w:val="21"/>
        </w:rPr>
      </w:pPr>
      <w:r>
        <w:rPr>
          <w:rFonts w:hint="eastAsia" w:ascii="宋体" w:hAnsi="宋体"/>
          <w:szCs w:val="21"/>
        </w:rPr>
        <w:t>1.2招标文件分为第一册“专用条款”和第二册“通用条款”。</w:t>
      </w:r>
    </w:p>
    <w:p>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pPr>
        <w:rPr>
          <w:rFonts w:hint="eastAsia" w:ascii="黑体" w:hAnsi="宋体" w:eastAsia="黑体"/>
          <w:sz w:val="24"/>
        </w:rPr>
      </w:pPr>
      <w:r>
        <w:rPr>
          <w:rFonts w:hint="eastAsia" w:ascii="黑体" w:hAnsi="宋体" w:eastAsia="黑体"/>
          <w:sz w:val="24"/>
        </w:rPr>
        <w:t>3．定义</w:t>
      </w:r>
    </w:p>
    <w:p>
      <w:pPr>
        <w:ind w:firstLine="420" w:firstLineChars="200"/>
        <w:rPr>
          <w:rFonts w:hint="eastAsia" w:ascii="宋体" w:hAnsi="宋体"/>
          <w:szCs w:val="21"/>
        </w:rPr>
      </w:pPr>
      <w:r>
        <w:rPr>
          <w:rFonts w:ascii="宋体" w:hAnsi="宋体"/>
          <w:szCs w:val="21"/>
        </w:rPr>
        <w:t>招标文件中下列术语应解释为：</w:t>
      </w:r>
    </w:p>
    <w:p>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hint="eastAsia" w:ascii="宋体" w:hAnsi="宋体"/>
          <w:szCs w:val="21"/>
        </w:rPr>
      </w:pPr>
      <w:r>
        <w:rPr>
          <w:rFonts w:hint="eastAsia" w:ascii="宋体" w:hAnsi="宋体"/>
          <w:szCs w:val="21"/>
        </w:rPr>
        <w:t>3.6“合同”指由本次招标所产生的合同或合约文件；</w:t>
      </w:r>
    </w:p>
    <w:p>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pPr>
        <w:rPr>
          <w:rFonts w:hint="eastAsia" w:ascii="黑体" w:hAnsi="宋体" w:eastAsia="黑体"/>
          <w:sz w:val="24"/>
        </w:rPr>
      </w:pPr>
      <w:r>
        <w:rPr>
          <w:rFonts w:hint="eastAsia" w:ascii="黑体" w:hAnsi="宋体" w:eastAsia="黑体"/>
          <w:sz w:val="24"/>
        </w:rPr>
        <w:t xml:space="preserve">4. </w:t>
      </w:r>
      <w:bookmarkStart w:id="56" w:name="_Hlk72398643"/>
      <w:r>
        <w:rPr>
          <w:rFonts w:hint="eastAsia" w:ascii="黑体" w:hAnsi="宋体" w:eastAsia="黑体"/>
          <w:sz w:val="24"/>
        </w:rPr>
        <w:t>政府采购供应商责任</w:t>
      </w:r>
    </w:p>
    <w:p>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rPr>
          <w:rFonts w:hint="eastAsia" w:ascii="黑体" w:hAnsi="宋体" w:eastAsia="黑体"/>
          <w:sz w:val="24"/>
        </w:rPr>
      </w:pPr>
      <w:r>
        <w:rPr>
          <w:rFonts w:hint="eastAsia" w:ascii="黑体" w:hAnsi="宋体" w:eastAsia="黑体"/>
          <w:sz w:val="24"/>
        </w:rPr>
        <w:t>5．投标人参加政府采购的条件</w:t>
      </w:r>
    </w:p>
    <w:p>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pPr>
        <w:ind w:firstLine="411" w:firstLineChars="196"/>
        <w:rPr>
          <w:rFonts w:hint="eastAsia" w:ascii="宋体" w:hAnsi="宋体"/>
          <w:szCs w:val="21"/>
        </w:rPr>
      </w:pPr>
      <w:r>
        <w:rPr>
          <w:rFonts w:hint="eastAsia" w:ascii="宋体" w:hAnsi="宋体"/>
          <w:szCs w:val="21"/>
        </w:rPr>
        <w:t>5.2投标人资格要求</w:t>
      </w:r>
    </w:p>
    <w:p>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pPr>
        <w:ind w:firstLine="411" w:firstLineChars="196"/>
        <w:rPr>
          <w:rFonts w:hint="eastAsia" w:ascii="宋体" w:hAnsi="宋体"/>
          <w:szCs w:val="21"/>
        </w:rPr>
      </w:pPr>
      <w:r>
        <w:rPr>
          <w:rFonts w:hint="eastAsia" w:ascii="宋体" w:hAnsi="宋体"/>
          <w:szCs w:val="21"/>
        </w:rPr>
        <w:t>5.3联合体投标</w:t>
      </w:r>
    </w:p>
    <w:p>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hint="eastAsia" w:ascii="宋体" w:hAnsi="宋体"/>
        </w:rPr>
      </w:pPr>
      <w:r>
        <w:rPr>
          <w:rFonts w:hint="eastAsia" w:ascii="宋体" w:hAnsi="宋体"/>
        </w:rPr>
        <w:t>（2）在投标截止前，投标联合体各方均应注册成政府集中采购机构供应商；</w:t>
      </w:r>
    </w:p>
    <w:p>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pPr>
        <w:rPr>
          <w:rFonts w:hint="eastAsia" w:ascii="黑体" w:hAnsi="宋体" w:eastAsia="黑体"/>
          <w:sz w:val="24"/>
        </w:rPr>
      </w:pPr>
      <w:r>
        <w:rPr>
          <w:rFonts w:hint="eastAsia" w:ascii="黑体" w:hAnsi="宋体" w:eastAsia="黑体"/>
          <w:sz w:val="24"/>
        </w:rPr>
        <w:t>6．政策导向</w:t>
      </w:r>
    </w:p>
    <w:p>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pPr>
        <w:ind w:firstLine="405"/>
        <w:rPr>
          <w:rFonts w:eastAsia="宋体"/>
        </w:rPr>
      </w:pPr>
      <w:r>
        <w:rPr>
          <w:rFonts w:hint="eastAsia" w:ascii="宋体" w:hAnsi="宋体"/>
        </w:rPr>
        <w:t>6.3  本项目支持投标人性别平等的相关政策。</w:t>
      </w:r>
    </w:p>
    <w:p>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7"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7"/>
    </w:p>
    <w:p>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pPr>
        <w:rPr>
          <w:rFonts w:hint="eastAsia" w:ascii="黑体" w:hAnsi="宋体" w:eastAsia="黑体"/>
          <w:sz w:val="24"/>
        </w:rPr>
      </w:pPr>
      <w:r>
        <w:rPr>
          <w:rFonts w:hint="eastAsia" w:ascii="黑体" w:hAnsi="宋体" w:eastAsia="黑体"/>
          <w:sz w:val="24"/>
        </w:rPr>
        <w:t>8．投标费用</w:t>
      </w:r>
    </w:p>
    <w:p>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pPr>
        <w:rPr>
          <w:rFonts w:hint="eastAsia" w:ascii="黑体" w:hAnsi="宋体" w:eastAsia="黑体"/>
          <w:sz w:val="24"/>
        </w:rPr>
      </w:pPr>
      <w:r>
        <w:rPr>
          <w:rFonts w:hint="eastAsia" w:ascii="黑体" w:hAnsi="宋体" w:eastAsia="黑体"/>
          <w:sz w:val="24"/>
        </w:rPr>
        <w:t>9．踏勘现场</w:t>
      </w:r>
    </w:p>
    <w:p>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6"/>
    <w:p>
      <w:pPr>
        <w:ind w:firstLine="411" w:firstLineChars="196"/>
        <w:rPr>
          <w:rFonts w:hint="eastAsia" w:ascii="宋体" w:hAnsi="宋体"/>
        </w:rPr>
      </w:pPr>
    </w:p>
    <w:p>
      <w:pPr>
        <w:pStyle w:val="5"/>
        <w:numPr>
          <w:ilvl w:val="0"/>
          <w:numId w:val="14"/>
        </w:numPr>
        <w:spacing w:before="156" w:beforeLines="50" w:after="156" w:afterLines="50"/>
        <w:ind w:left="562" w:hanging="562"/>
        <w:rPr>
          <w:sz w:val="28"/>
          <w:szCs w:val="28"/>
        </w:rPr>
      </w:pPr>
      <w:r>
        <w:rPr>
          <w:rFonts w:hint="eastAsia"/>
          <w:sz w:val="28"/>
          <w:szCs w:val="28"/>
        </w:rPr>
        <w:t>招标文件</w:t>
      </w:r>
    </w:p>
    <w:p>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8" w:name="_Hlk72399819"/>
      <w:r>
        <w:rPr>
          <w:rFonts w:hint="eastAsia" w:ascii="黑体" w:hAnsi="宋体" w:eastAsia="黑体"/>
          <w:sz w:val="24"/>
        </w:rPr>
        <w:t>招标文件的编制与组成</w:t>
      </w:r>
    </w:p>
    <w:p>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11" w:firstLineChars="196"/>
        <w:rPr>
          <w:rFonts w:hint="eastAsia" w:ascii="宋体" w:hAnsi="宋体"/>
          <w:szCs w:val="21"/>
        </w:rPr>
      </w:pPr>
      <w:r>
        <w:rPr>
          <w:rFonts w:hint="eastAsia" w:ascii="宋体" w:hAnsi="宋体"/>
          <w:szCs w:val="21"/>
        </w:rPr>
        <w:t>招标文件包括下列内容：</w:t>
      </w:r>
    </w:p>
    <w:p>
      <w:pPr>
        <w:ind w:left="420" w:leftChars="200" w:firstLine="413" w:firstLineChars="196"/>
        <w:rPr>
          <w:rFonts w:hint="eastAsia" w:ascii="宋体" w:hAnsi="宋体"/>
          <w:b/>
          <w:szCs w:val="21"/>
        </w:rPr>
      </w:pPr>
      <w:r>
        <w:rPr>
          <w:rFonts w:hint="eastAsia" w:ascii="宋体" w:hAnsi="宋体"/>
          <w:b/>
          <w:szCs w:val="21"/>
        </w:rPr>
        <w:t>第一册  专用条款</w:t>
      </w:r>
    </w:p>
    <w:p>
      <w:pPr>
        <w:ind w:left="1079" w:leftChars="514"/>
        <w:rPr>
          <w:rFonts w:hint="eastAsia" w:ascii="宋体" w:hAnsi="宋体"/>
          <w:b/>
          <w:szCs w:val="21"/>
        </w:rPr>
      </w:pPr>
      <w:r>
        <w:rPr>
          <w:rFonts w:hint="eastAsia" w:ascii="宋体" w:hAnsi="宋体"/>
          <w:b/>
          <w:szCs w:val="21"/>
        </w:rPr>
        <w:t>关键信息</w:t>
      </w:r>
    </w:p>
    <w:p>
      <w:pPr>
        <w:ind w:left="630" w:leftChars="300" w:firstLine="411" w:firstLineChars="196"/>
        <w:rPr>
          <w:rFonts w:hint="eastAsia" w:ascii="宋体" w:hAnsi="宋体"/>
          <w:szCs w:val="21"/>
        </w:rPr>
      </w:pPr>
      <w:r>
        <w:rPr>
          <w:rFonts w:hint="eastAsia" w:ascii="宋体" w:hAnsi="宋体"/>
          <w:szCs w:val="21"/>
        </w:rPr>
        <w:t>第一章  招标公告</w:t>
      </w:r>
    </w:p>
    <w:p>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pPr>
        <w:ind w:left="630" w:leftChars="300" w:firstLine="411" w:firstLineChars="196"/>
        <w:rPr>
          <w:rFonts w:hint="eastAsia" w:ascii="宋体" w:hAnsi="宋体"/>
          <w:szCs w:val="21"/>
        </w:rPr>
      </w:pPr>
      <w:r>
        <w:rPr>
          <w:rFonts w:hint="eastAsia" w:ascii="宋体" w:hAnsi="宋体"/>
          <w:szCs w:val="21"/>
        </w:rPr>
        <w:t>第三章  用户需求书</w:t>
      </w:r>
    </w:p>
    <w:p>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pPr>
        <w:ind w:left="630" w:leftChars="300" w:firstLine="411" w:firstLineChars="196"/>
        <w:rPr>
          <w:rFonts w:hint="eastAsia" w:ascii="宋体" w:hAnsi="宋体"/>
          <w:szCs w:val="21"/>
        </w:rPr>
      </w:pPr>
      <w:r>
        <w:rPr>
          <w:rFonts w:hint="eastAsia" w:ascii="宋体" w:hAnsi="宋体"/>
          <w:szCs w:val="21"/>
        </w:rPr>
        <w:t>第五章  合同条款及格式</w:t>
      </w:r>
    </w:p>
    <w:p>
      <w:pPr>
        <w:ind w:left="420" w:leftChars="200" w:firstLine="413" w:firstLineChars="196"/>
        <w:rPr>
          <w:rFonts w:hint="eastAsia" w:ascii="宋体" w:hAnsi="宋体"/>
          <w:b/>
          <w:szCs w:val="21"/>
        </w:rPr>
      </w:pPr>
      <w:r>
        <w:rPr>
          <w:rFonts w:hint="eastAsia" w:ascii="宋体" w:hAnsi="宋体"/>
          <w:b/>
          <w:szCs w:val="21"/>
        </w:rPr>
        <w:t>第二册  通用条款</w:t>
      </w:r>
    </w:p>
    <w:p>
      <w:pPr>
        <w:ind w:left="630" w:leftChars="300" w:firstLine="411" w:firstLineChars="196"/>
        <w:rPr>
          <w:rFonts w:hint="eastAsia" w:ascii="宋体" w:hAnsi="宋体"/>
          <w:szCs w:val="21"/>
        </w:rPr>
      </w:pPr>
      <w:r>
        <w:rPr>
          <w:rFonts w:hint="eastAsia" w:ascii="宋体" w:hAnsi="宋体"/>
          <w:szCs w:val="21"/>
        </w:rPr>
        <w:t>第一章  总则</w:t>
      </w:r>
    </w:p>
    <w:p>
      <w:pPr>
        <w:ind w:left="630" w:leftChars="300" w:firstLine="411" w:firstLineChars="196"/>
        <w:rPr>
          <w:rFonts w:hint="eastAsia" w:ascii="宋体" w:hAnsi="宋体"/>
          <w:szCs w:val="21"/>
        </w:rPr>
      </w:pPr>
      <w:r>
        <w:rPr>
          <w:rFonts w:hint="eastAsia" w:ascii="宋体" w:hAnsi="宋体"/>
          <w:szCs w:val="21"/>
        </w:rPr>
        <w:t>第二章  招标文件</w:t>
      </w:r>
    </w:p>
    <w:p>
      <w:pPr>
        <w:ind w:left="630" w:leftChars="300" w:firstLine="411" w:firstLineChars="196"/>
        <w:rPr>
          <w:rFonts w:hint="eastAsia" w:ascii="宋体" w:hAnsi="宋体"/>
          <w:szCs w:val="21"/>
        </w:rPr>
      </w:pPr>
      <w:r>
        <w:rPr>
          <w:rFonts w:hint="eastAsia" w:ascii="宋体" w:hAnsi="宋体"/>
          <w:szCs w:val="21"/>
        </w:rPr>
        <w:t>第三章  投标文件的编制</w:t>
      </w:r>
    </w:p>
    <w:p>
      <w:pPr>
        <w:ind w:left="630" w:leftChars="300" w:firstLine="411" w:firstLineChars="196"/>
        <w:rPr>
          <w:rFonts w:hint="eastAsia" w:ascii="宋体" w:hAnsi="宋体"/>
          <w:szCs w:val="21"/>
        </w:rPr>
      </w:pPr>
      <w:r>
        <w:rPr>
          <w:rFonts w:hint="eastAsia" w:ascii="宋体" w:hAnsi="宋体"/>
          <w:szCs w:val="21"/>
        </w:rPr>
        <w:t>第四章  投标文件的递交</w:t>
      </w:r>
    </w:p>
    <w:p>
      <w:pPr>
        <w:ind w:left="630" w:leftChars="300" w:firstLine="411" w:firstLineChars="196"/>
        <w:rPr>
          <w:rFonts w:hint="eastAsia" w:ascii="宋体" w:hAnsi="宋体"/>
          <w:szCs w:val="21"/>
        </w:rPr>
      </w:pPr>
      <w:r>
        <w:rPr>
          <w:rFonts w:hint="eastAsia" w:ascii="宋体" w:hAnsi="宋体"/>
          <w:szCs w:val="21"/>
        </w:rPr>
        <w:t>第五章  开标</w:t>
      </w:r>
    </w:p>
    <w:p>
      <w:pPr>
        <w:ind w:left="630" w:leftChars="300" w:firstLine="411" w:firstLineChars="196"/>
        <w:rPr>
          <w:rFonts w:hint="eastAsia" w:ascii="宋体" w:hAnsi="宋体"/>
          <w:szCs w:val="21"/>
        </w:rPr>
      </w:pPr>
      <w:r>
        <w:rPr>
          <w:rFonts w:hint="eastAsia" w:ascii="宋体" w:hAnsi="宋体"/>
          <w:szCs w:val="21"/>
        </w:rPr>
        <w:t>第六章  评审要求</w:t>
      </w:r>
    </w:p>
    <w:p>
      <w:pPr>
        <w:ind w:left="630" w:leftChars="300" w:firstLine="411" w:firstLineChars="196"/>
        <w:rPr>
          <w:rFonts w:hint="eastAsia" w:ascii="宋体" w:hAnsi="宋体"/>
          <w:szCs w:val="21"/>
        </w:rPr>
      </w:pPr>
      <w:r>
        <w:rPr>
          <w:rFonts w:hint="eastAsia" w:ascii="宋体" w:hAnsi="宋体"/>
          <w:szCs w:val="21"/>
        </w:rPr>
        <w:t>第七章  评审程序及评审方法</w:t>
      </w:r>
    </w:p>
    <w:p>
      <w:pPr>
        <w:ind w:left="630" w:leftChars="300" w:firstLine="411" w:firstLineChars="196"/>
        <w:rPr>
          <w:rFonts w:hint="eastAsia" w:ascii="宋体" w:hAnsi="宋体"/>
          <w:szCs w:val="21"/>
        </w:rPr>
      </w:pPr>
      <w:r>
        <w:rPr>
          <w:rFonts w:hint="eastAsia" w:ascii="宋体" w:hAnsi="宋体"/>
          <w:szCs w:val="21"/>
        </w:rPr>
        <w:t>第八章  定标及公示</w:t>
      </w:r>
    </w:p>
    <w:p>
      <w:pPr>
        <w:ind w:left="630" w:leftChars="300" w:firstLine="411" w:firstLineChars="196"/>
        <w:rPr>
          <w:rFonts w:hint="eastAsia" w:ascii="宋体" w:hAnsi="宋体"/>
          <w:szCs w:val="21"/>
        </w:rPr>
      </w:pPr>
      <w:r>
        <w:rPr>
          <w:rFonts w:hint="eastAsia" w:ascii="宋体" w:hAnsi="宋体"/>
          <w:szCs w:val="21"/>
        </w:rPr>
        <w:t>第九章  公开招标失败的后续处理</w:t>
      </w:r>
    </w:p>
    <w:p>
      <w:pPr>
        <w:ind w:left="630" w:leftChars="300" w:firstLine="411" w:firstLineChars="196"/>
        <w:rPr>
          <w:rFonts w:hint="eastAsia" w:ascii="宋体" w:hAnsi="宋体"/>
          <w:szCs w:val="21"/>
        </w:rPr>
      </w:pPr>
      <w:r>
        <w:rPr>
          <w:rFonts w:hint="eastAsia" w:ascii="宋体" w:hAnsi="宋体"/>
          <w:szCs w:val="21"/>
        </w:rPr>
        <w:t>第十章  合同的授予与备案</w:t>
      </w:r>
    </w:p>
    <w:p>
      <w:pPr>
        <w:ind w:left="630" w:leftChars="300" w:firstLine="411" w:firstLineChars="196"/>
        <w:rPr>
          <w:rFonts w:hint="eastAsia" w:ascii="宋体" w:hAnsi="宋体"/>
          <w:szCs w:val="21"/>
        </w:rPr>
      </w:pPr>
      <w:r>
        <w:rPr>
          <w:rFonts w:hint="eastAsia" w:ascii="宋体" w:hAnsi="宋体"/>
          <w:szCs w:val="21"/>
        </w:rPr>
        <w:t>第十一章  质疑处理</w:t>
      </w:r>
    </w:p>
    <w:p>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8"/>
    </w:p>
    <w:p>
      <w:pPr>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投标文件的编制</w:t>
      </w:r>
    </w:p>
    <w:p>
      <w:pPr>
        <w:rPr>
          <w:rFonts w:hint="eastAsia" w:ascii="黑体" w:hAnsi="宋体" w:eastAsia="黑体"/>
          <w:sz w:val="24"/>
        </w:rPr>
      </w:pPr>
      <w:r>
        <w:rPr>
          <w:rFonts w:hint="eastAsia" w:ascii="黑体" w:hAnsi="宋体" w:eastAsia="黑体"/>
          <w:sz w:val="24"/>
        </w:rPr>
        <w:t>14．</w:t>
      </w:r>
      <w:bookmarkStart w:id="59" w:name="_Hlk72400236"/>
      <w:r>
        <w:rPr>
          <w:rFonts w:hint="eastAsia" w:ascii="黑体" w:hAnsi="宋体" w:eastAsia="黑体"/>
          <w:sz w:val="24"/>
        </w:rPr>
        <w:t>投标文件的语言及度量单位</w:t>
      </w:r>
    </w:p>
    <w:p>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9"/>
    <w:p>
      <w:pPr>
        <w:rPr>
          <w:rFonts w:hint="eastAsia" w:ascii="黑体" w:hAnsi="宋体" w:eastAsia="黑体"/>
          <w:sz w:val="24"/>
        </w:rPr>
      </w:pPr>
      <w:r>
        <w:rPr>
          <w:rFonts w:hint="eastAsia" w:ascii="黑体" w:hAnsi="宋体" w:eastAsia="黑体"/>
          <w:sz w:val="24"/>
        </w:rPr>
        <w:t>15．</w:t>
      </w:r>
      <w:bookmarkStart w:id="60" w:name="_Hlk72401567"/>
      <w:r>
        <w:rPr>
          <w:rFonts w:hint="eastAsia" w:ascii="黑体" w:hAnsi="宋体" w:eastAsia="黑体"/>
          <w:sz w:val="24"/>
        </w:rPr>
        <w:t>投标文件的组成</w:t>
      </w:r>
    </w:p>
    <w:p>
      <w:pPr>
        <w:ind w:firstLine="411" w:firstLineChars="196"/>
        <w:rPr>
          <w:rFonts w:hint="eastAsia" w:ascii="宋体" w:hAnsi="宋体"/>
          <w:szCs w:val="21"/>
        </w:rPr>
      </w:pPr>
      <w:r>
        <w:rPr>
          <w:rFonts w:hint="eastAsia" w:ascii="宋体" w:hAnsi="宋体"/>
          <w:szCs w:val="21"/>
        </w:rPr>
        <w:t>具体内容在招标文件专用条款中进行规定。</w:t>
      </w:r>
    </w:p>
    <w:p>
      <w:pPr>
        <w:rPr>
          <w:rFonts w:hint="eastAsia" w:ascii="黑体" w:hAnsi="宋体" w:eastAsia="黑体"/>
          <w:sz w:val="24"/>
        </w:rPr>
      </w:pPr>
      <w:r>
        <w:rPr>
          <w:rFonts w:ascii="黑体" w:hAnsi="宋体" w:eastAsia="黑体"/>
          <w:sz w:val="24"/>
        </w:rPr>
        <w:t>16．投标文件格式</w:t>
      </w:r>
    </w:p>
    <w:p>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rPr>
          <w:rFonts w:hint="eastAsia" w:ascii="黑体" w:hAnsi="宋体" w:eastAsia="黑体"/>
          <w:sz w:val="24"/>
        </w:rPr>
      </w:pPr>
      <w:r>
        <w:rPr>
          <w:rFonts w:hint="eastAsia" w:ascii="黑体" w:hAnsi="宋体" w:eastAsia="黑体"/>
          <w:sz w:val="24"/>
        </w:rPr>
        <w:t>17．投标货币</w:t>
      </w:r>
    </w:p>
    <w:p>
      <w:pPr>
        <w:ind w:firstLine="411" w:firstLineChars="196"/>
        <w:rPr>
          <w:rFonts w:hint="eastAsia" w:ascii="宋体" w:hAnsi="宋体"/>
          <w:szCs w:val="21"/>
        </w:rPr>
      </w:pPr>
      <w:r>
        <w:rPr>
          <w:rFonts w:hint="eastAsia" w:ascii="宋体" w:hAnsi="宋体"/>
          <w:szCs w:val="21"/>
        </w:rPr>
        <w:t>本项目的投标报价应以人民币计。</w:t>
      </w:r>
    </w:p>
    <w:bookmarkEnd w:id="60"/>
    <w:p>
      <w:pPr>
        <w:rPr>
          <w:rFonts w:hint="eastAsia" w:ascii="黑体" w:hAnsi="宋体" w:eastAsia="黑体"/>
          <w:sz w:val="24"/>
        </w:rPr>
      </w:pPr>
      <w:r>
        <w:rPr>
          <w:rFonts w:hint="eastAsia" w:ascii="黑体" w:hAnsi="宋体" w:eastAsia="黑体"/>
          <w:sz w:val="24"/>
        </w:rPr>
        <w:t>18．</w:t>
      </w:r>
      <w:bookmarkStart w:id="61" w:name="_Hlk72401735"/>
      <w:r>
        <w:rPr>
          <w:rFonts w:hint="eastAsia" w:ascii="黑体" w:hAnsi="宋体" w:eastAsia="黑体"/>
          <w:sz w:val="24"/>
        </w:rPr>
        <w:t>证明投标文件投标技术方案的合格性和符合招标文件规定的文件要求</w:t>
      </w:r>
    </w:p>
    <w:p>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hint="eastAsia" w:ascii="宋体" w:hAnsi="宋体"/>
          <w:szCs w:val="21"/>
        </w:rPr>
      </w:pPr>
      <w:r>
        <w:rPr>
          <w:rFonts w:hint="eastAsia" w:ascii="宋体" w:hAnsi="宋体"/>
          <w:szCs w:val="21"/>
        </w:rPr>
        <w:t>18.2.1主要技术指标和性能的详细说明。</w:t>
      </w:r>
    </w:p>
    <w:p>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1"/>
    <w:p>
      <w:pPr>
        <w:rPr>
          <w:rFonts w:hint="eastAsia" w:ascii="黑体" w:hAnsi="宋体" w:eastAsia="黑体"/>
          <w:sz w:val="24"/>
        </w:rPr>
      </w:pPr>
      <w:r>
        <w:rPr>
          <w:rFonts w:hint="eastAsia" w:ascii="黑体" w:hAnsi="宋体" w:eastAsia="黑体"/>
          <w:sz w:val="24"/>
        </w:rPr>
        <w:t>19．</w:t>
      </w:r>
      <w:bookmarkStart w:id="62" w:name="_Hlk72402034"/>
      <w:r>
        <w:rPr>
          <w:rFonts w:hint="eastAsia" w:ascii="黑体" w:hAnsi="宋体" w:eastAsia="黑体"/>
          <w:sz w:val="24"/>
        </w:rPr>
        <w:t>投标文件其他证明文件的要求</w:t>
      </w:r>
    </w:p>
    <w:p>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3"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3"/>
    <w:p>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hint="eastAsia" w:ascii="黑体" w:hAnsi="宋体" w:eastAsia="黑体"/>
          <w:sz w:val="24"/>
        </w:rPr>
      </w:pPr>
      <w:r>
        <w:rPr>
          <w:rFonts w:hint="eastAsia" w:ascii="黑体" w:hAnsi="宋体" w:eastAsia="黑体"/>
          <w:sz w:val="24"/>
        </w:rPr>
        <w:t>20．投标有效期</w:t>
      </w:r>
    </w:p>
    <w:bookmarkEnd w:id="62"/>
    <w:p>
      <w:pPr>
        <w:ind w:firstLine="411" w:firstLineChars="196"/>
        <w:rPr>
          <w:rFonts w:hint="eastAsia" w:ascii="宋体" w:hAnsi="宋体"/>
          <w:szCs w:val="21"/>
        </w:rPr>
      </w:pPr>
      <w:bookmarkStart w:id="64"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4"/>
    <w:p>
      <w:pPr>
        <w:rPr>
          <w:rFonts w:hint="eastAsia" w:ascii="黑体" w:hAnsi="宋体" w:eastAsia="黑体"/>
          <w:sz w:val="24"/>
        </w:rPr>
      </w:pPr>
      <w:r>
        <w:rPr>
          <w:rFonts w:hint="eastAsia" w:ascii="黑体" w:hAnsi="宋体" w:eastAsia="黑体"/>
          <w:sz w:val="24"/>
        </w:rPr>
        <w:t>21．</w:t>
      </w:r>
      <w:bookmarkStart w:id="65" w:name="_Hlk72402325"/>
      <w:r>
        <w:rPr>
          <w:rFonts w:hint="eastAsia" w:ascii="黑体" w:hAnsi="宋体" w:eastAsia="黑体"/>
          <w:sz w:val="24"/>
        </w:rPr>
        <w:t xml:space="preserve">关于投标保证金 </w:t>
      </w:r>
    </w:p>
    <w:p>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pPr>
        <w:rPr>
          <w:rFonts w:hint="eastAsia" w:ascii="黑体" w:hAnsi="宋体" w:eastAsia="黑体"/>
          <w:sz w:val="24"/>
        </w:rPr>
      </w:pPr>
      <w:r>
        <w:rPr>
          <w:rFonts w:hint="eastAsia" w:ascii="黑体" w:hAnsi="宋体" w:eastAsia="黑体"/>
          <w:sz w:val="24"/>
        </w:rPr>
        <w:t>22．投标人的替代方案</w:t>
      </w:r>
    </w:p>
    <w:p>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5"/>
    <w:p>
      <w:pPr>
        <w:rPr>
          <w:rFonts w:hint="eastAsia" w:ascii="黑体" w:hAnsi="宋体" w:eastAsia="黑体"/>
          <w:sz w:val="24"/>
        </w:rPr>
      </w:pPr>
      <w:r>
        <w:rPr>
          <w:rFonts w:hint="eastAsia" w:ascii="黑体" w:hAnsi="宋体" w:eastAsia="黑体"/>
          <w:sz w:val="24"/>
        </w:rPr>
        <w:t>23．</w:t>
      </w:r>
      <w:bookmarkStart w:id="66"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ind w:firstLine="411" w:firstLineChars="196"/>
        <w:rPr>
          <w:rFonts w:hint="eastAsia" w:ascii="宋体" w:hAnsi="宋体"/>
        </w:rPr>
      </w:pPr>
      <w:r>
        <w:rPr>
          <w:rFonts w:hint="eastAsia" w:ascii="宋体" w:hAnsi="宋体"/>
        </w:rPr>
        <w:t>23.1投标人应准备所投项目的电子投标文件一份。</w:t>
      </w:r>
    </w:p>
    <w:p>
      <w:pPr>
        <w:ind w:firstLine="411" w:firstLineChars="196"/>
        <w:rPr>
          <w:rFonts w:hint="eastAsia" w:ascii="宋体" w:hAnsi="宋体"/>
        </w:rPr>
      </w:pPr>
      <w:r>
        <w:rPr>
          <w:rFonts w:hint="eastAsia" w:ascii="宋体" w:hAnsi="宋体"/>
        </w:rPr>
        <w:t>23.2投标人在使用《投标书编制软件》编制投标书时须注意：</w:t>
      </w:r>
    </w:p>
    <w:p>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hint="eastAsia" w:ascii="宋体" w:hAnsi="宋体"/>
        </w:rPr>
      </w:pPr>
      <w:r>
        <w:rPr>
          <w:rFonts w:hint="eastAsia" w:ascii="宋体" w:hAnsi="宋体"/>
        </w:rPr>
        <w:t>23.3电报、电话、传真形式的投标概不接受。</w:t>
      </w:r>
    </w:p>
    <w:p>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66"/>
    </w:p>
    <w:p>
      <w:pPr>
        <w:ind w:firstLine="411" w:firstLineChars="196"/>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投标文件的递交</w:t>
      </w:r>
    </w:p>
    <w:p>
      <w:pPr>
        <w:rPr>
          <w:rFonts w:hint="eastAsia" w:ascii="黑体" w:hAnsi="宋体" w:eastAsia="黑体"/>
          <w:sz w:val="24"/>
        </w:rPr>
      </w:pPr>
      <w:bookmarkStart w:id="67" w:name="_Hlk72405459"/>
      <w:r>
        <w:rPr>
          <w:rFonts w:hint="eastAsia" w:ascii="黑体" w:hAnsi="宋体" w:eastAsia="黑体"/>
          <w:sz w:val="24"/>
        </w:rPr>
        <w:t>24．投标文件的保密</w:t>
      </w:r>
    </w:p>
    <w:p>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pPr>
        <w:rPr>
          <w:rFonts w:hint="eastAsia" w:ascii="宋体" w:hAnsi="宋体"/>
          <w:b/>
        </w:rPr>
      </w:pPr>
      <w:r>
        <w:rPr>
          <w:rFonts w:hint="eastAsia" w:ascii="宋体" w:hAnsi="宋体"/>
          <w:b/>
        </w:rPr>
        <w:t>24.2若采购项目出现延期情况：</w:t>
      </w:r>
    </w:p>
    <w:p>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pPr>
        <w:rPr>
          <w:rFonts w:hint="eastAsia" w:ascii="黑体" w:hAnsi="宋体" w:eastAsia="黑体"/>
          <w:sz w:val="24"/>
        </w:rPr>
      </w:pPr>
      <w:r>
        <w:rPr>
          <w:rFonts w:hint="eastAsia" w:ascii="黑体" w:hAnsi="宋体" w:eastAsia="黑体"/>
          <w:sz w:val="24"/>
        </w:rPr>
        <w:t>25．上传投标文件及投标截止日期</w:t>
      </w:r>
    </w:p>
    <w:p>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pPr>
        <w:ind w:firstLine="411" w:firstLineChars="196"/>
        <w:rPr>
          <w:rFonts w:hint="eastAsia" w:ascii="宋体" w:hAnsi="宋体"/>
        </w:rPr>
      </w:pPr>
    </w:p>
    <w:p>
      <w:pPr>
        <w:ind w:firstLine="411" w:firstLineChars="196"/>
        <w:rPr>
          <w:rFonts w:hint="eastAsia" w:ascii="宋体" w:hAnsi="宋体"/>
        </w:rPr>
      </w:pPr>
    </w:p>
    <w:bookmarkEnd w:id="67"/>
    <w:p>
      <w:pPr>
        <w:rPr>
          <w:rFonts w:hint="eastAsia" w:ascii="黑体" w:hAnsi="宋体" w:eastAsia="黑体"/>
          <w:sz w:val="24"/>
        </w:rPr>
      </w:pPr>
      <w:r>
        <w:rPr>
          <w:rFonts w:hint="eastAsia" w:ascii="黑体" w:hAnsi="宋体" w:eastAsia="黑体"/>
          <w:sz w:val="24"/>
        </w:rPr>
        <w:t>26. 样品、现场演示、方案讲解</w:t>
      </w:r>
    </w:p>
    <w:p>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pPr>
        <w:rPr>
          <w:rFonts w:hint="eastAsia" w:ascii="黑体" w:hAnsi="宋体" w:eastAsia="黑体"/>
          <w:sz w:val="24"/>
        </w:rPr>
      </w:pPr>
      <w:bookmarkStart w:id="68"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68"/>
    <w:p>
      <w:pPr>
        <w:pStyle w:val="5"/>
        <w:numPr>
          <w:ilvl w:val="0"/>
          <w:numId w:val="14"/>
        </w:numPr>
        <w:spacing w:before="156" w:beforeLines="50" w:after="156" w:afterLines="50"/>
        <w:ind w:left="562" w:hanging="562"/>
        <w:rPr>
          <w:sz w:val="28"/>
          <w:szCs w:val="28"/>
        </w:rPr>
      </w:pPr>
      <w:r>
        <w:rPr>
          <w:rFonts w:hint="eastAsia"/>
          <w:sz w:val="28"/>
          <w:szCs w:val="28"/>
        </w:rPr>
        <w:t>开标</w:t>
      </w:r>
    </w:p>
    <w:p>
      <w:pPr>
        <w:rPr>
          <w:rFonts w:hint="eastAsia" w:ascii="黑体" w:hAnsi="宋体" w:eastAsia="黑体"/>
          <w:sz w:val="24"/>
        </w:rPr>
      </w:pPr>
      <w:r>
        <w:rPr>
          <w:rFonts w:hint="eastAsia" w:ascii="黑体" w:hAnsi="宋体" w:eastAsia="黑体"/>
          <w:sz w:val="24"/>
        </w:rPr>
        <w:t>28．开标</w:t>
      </w:r>
    </w:p>
    <w:p>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评审要求</w:t>
      </w:r>
    </w:p>
    <w:p>
      <w:pPr>
        <w:rPr>
          <w:rFonts w:hint="eastAsia" w:ascii="黑体" w:hAnsi="宋体" w:eastAsia="黑体"/>
          <w:sz w:val="24"/>
        </w:rPr>
      </w:pPr>
      <w:r>
        <w:rPr>
          <w:rFonts w:hint="eastAsia" w:ascii="黑体" w:hAnsi="宋体" w:eastAsia="黑体"/>
          <w:sz w:val="24"/>
        </w:rPr>
        <w:t>29．评审委员会组成</w:t>
      </w:r>
    </w:p>
    <w:p>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hint="eastAsia" w:ascii="宋体" w:hAnsi="宋体"/>
        </w:rPr>
      </w:pPr>
      <w:bookmarkStart w:id="69"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9"/>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ind w:firstLine="411" w:firstLineChars="196"/>
        <w:rPr>
          <w:rFonts w:hint="eastAsia" w:ascii="宋体" w:hAnsi="宋体"/>
        </w:rPr>
      </w:pPr>
      <w:r>
        <w:rPr>
          <w:rFonts w:hint="eastAsia" w:ascii="宋体" w:hAnsi="宋体"/>
        </w:rPr>
        <w:t>29.2评审定标应当遵循公平、公正、科学、择优的原则。</w:t>
      </w:r>
    </w:p>
    <w:p>
      <w:pPr>
        <w:ind w:firstLine="411" w:firstLineChars="196"/>
        <w:rPr>
          <w:rFonts w:hint="eastAsia" w:ascii="宋体" w:hAnsi="宋体"/>
        </w:rPr>
      </w:pPr>
      <w:r>
        <w:rPr>
          <w:rFonts w:hint="eastAsia" w:ascii="宋体" w:hAnsi="宋体"/>
        </w:rPr>
        <w:t>29.3评审活动依法进行，任何单位和个人不得非法干预评标过程和结果。</w:t>
      </w:r>
    </w:p>
    <w:p>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rPr>
          <w:rFonts w:hint="eastAsia" w:ascii="黑体" w:hAnsi="宋体" w:eastAsia="黑体"/>
          <w:sz w:val="24"/>
        </w:rPr>
      </w:pPr>
      <w:r>
        <w:rPr>
          <w:rFonts w:hint="eastAsia" w:ascii="黑体" w:hAnsi="宋体" w:eastAsia="黑体"/>
          <w:sz w:val="24"/>
        </w:rPr>
        <w:t>30．向评审委员会提供的资料</w:t>
      </w:r>
    </w:p>
    <w:p>
      <w:pPr>
        <w:ind w:firstLine="411" w:firstLineChars="196"/>
        <w:rPr>
          <w:rFonts w:hint="eastAsia" w:ascii="宋体" w:hAnsi="宋体"/>
        </w:rPr>
      </w:pPr>
      <w:r>
        <w:rPr>
          <w:rFonts w:hint="eastAsia" w:ascii="宋体" w:hAnsi="宋体"/>
        </w:rPr>
        <w:t>30.1公开发布的招标文件，包括图纸、服务清单、答疑文件等；</w:t>
      </w:r>
    </w:p>
    <w:p>
      <w:pPr>
        <w:ind w:firstLine="411" w:firstLineChars="196"/>
        <w:rPr>
          <w:rFonts w:hint="eastAsia" w:ascii="宋体" w:hAnsi="宋体"/>
        </w:rPr>
      </w:pPr>
      <w:r>
        <w:rPr>
          <w:rFonts w:hint="eastAsia" w:ascii="宋体" w:hAnsi="宋体"/>
        </w:rPr>
        <w:t>30.2其他评标必须的资料。</w:t>
      </w:r>
    </w:p>
    <w:p>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ind w:firstLine="411" w:firstLineChars="196"/>
        <w:rPr>
          <w:rFonts w:hint="eastAsia" w:ascii="宋体" w:hAnsi="宋体"/>
        </w:rPr>
      </w:pPr>
      <w:r>
        <w:rPr>
          <w:rFonts w:hint="eastAsia" w:ascii="宋体" w:hAnsi="宋体"/>
        </w:rPr>
        <w:t>（1）招标的目的；</w:t>
      </w:r>
    </w:p>
    <w:p>
      <w:pPr>
        <w:ind w:firstLine="411" w:firstLineChars="196"/>
        <w:rPr>
          <w:rFonts w:hint="eastAsia" w:ascii="宋体" w:hAnsi="宋体"/>
        </w:rPr>
      </w:pPr>
      <w:r>
        <w:rPr>
          <w:rFonts w:hint="eastAsia" w:ascii="宋体" w:hAnsi="宋体"/>
        </w:rPr>
        <w:t>（2）招标项目需求的范围和性质；</w:t>
      </w:r>
    </w:p>
    <w:p>
      <w:pPr>
        <w:ind w:firstLine="411" w:firstLineChars="196"/>
        <w:rPr>
          <w:rFonts w:hint="eastAsia" w:ascii="宋体" w:hAnsi="宋体"/>
        </w:rPr>
      </w:pPr>
      <w:r>
        <w:rPr>
          <w:rFonts w:hint="eastAsia" w:ascii="宋体" w:hAnsi="宋体"/>
        </w:rPr>
        <w:t>（3）招标文件规定的投标人的资格、财政预算限额、商务条款；</w:t>
      </w:r>
    </w:p>
    <w:p>
      <w:pPr>
        <w:ind w:firstLine="411" w:firstLineChars="196"/>
        <w:rPr>
          <w:rFonts w:hint="eastAsia" w:ascii="宋体" w:hAnsi="宋体"/>
        </w:rPr>
      </w:pPr>
      <w:r>
        <w:rPr>
          <w:rFonts w:hint="eastAsia" w:ascii="宋体" w:hAnsi="宋体"/>
        </w:rPr>
        <w:t>（4）招标文件规定的评标程序、评标方法和评标因素；</w:t>
      </w:r>
    </w:p>
    <w:p>
      <w:pPr>
        <w:ind w:firstLine="411" w:firstLineChars="196"/>
        <w:rPr>
          <w:rFonts w:hint="eastAsia" w:ascii="宋体" w:hAnsi="宋体"/>
        </w:rPr>
      </w:pPr>
      <w:r>
        <w:rPr>
          <w:rFonts w:hint="eastAsia" w:ascii="宋体" w:hAnsi="宋体"/>
        </w:rPr>
        <w:t>（5）招标文件所列示的资格性审查表及符合性审查表。</w:t>
      </w:r>
    </w:p>
    <w:p>
      <w:pPr>
        <w:rPr>
          <w:rFonts w:hint="eastAsia" w:ascii="黑体" w:hAnsi="宋体" w:eastAsia="黑体"/>
          <w:sz w:val="24"/>
        </w:rPr>
      </w:pPr>
      <w:r>
        <w:rPr>
          <w:rFonts w:hint="eastAsia" w:ascii="黑体" w:hAnsi="宋体" w:eastAsia="黑体"/>
          <w:sz w:val="24"/>
        </w:rPr>
        <w:t>31．独立评审</w:t>
      </w:r>
    </w:p>
    <w:p>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ind w:firstLine="411" w:firstLineChars="196"/>
        <w:rPr>
          <w:rFonts w:hint="eastAsia" w:ascii="宋体" w:hAnsi="宋体"/>
          <w:bCs/>
          <w:szCs w:val="21"/>
        </w:rPr>
      </w:pPr>
    </w:p>
    <w:p>
      <w:pPr>
        <w:pStyle w:val="5"/>
        <w:numPr>
          <w:ilvl w:val="0"/>
          <w:numId w:val="14"/>
        </w:numPr>
        <w:spacing w:before="156" w:beforeLines="50" w:after="156" w:afterLines="50"/>
        <w:ind w:left="562" w:hanging="562"/>
        <w:rPr>
          <w:sz w:val="28"/>
          <w:szCs w:val="28"/>
        </w:rPr>
      </w:pPr>
      <w:r>
        <w:rPr>
          <w:rFonts w:hint="eastAsia"/>
          <w:sz w:val="28"/>
          <w:szCs w:val="28"/>
        </w:rPr>
        <w:t>评审程序及评审方法</w:t>
      </w:r>
    </w:p>
    <w:p>
      <w:pPr>
        <w:rPr>
          <w:rFonts w:hint="eastAsia" w:ascii="黑体" w:hAnsi="宋体" w:eastAsia="黑体"/>
          <w:sz w:val="24"/>
        </w:rPr>
      </w:pPr>
      <w:r>
        <w:rPr>
          <w:rFonts w:hint="eastAsia" w:ascii="黑体" w:hAnsi="宋体" w:eastAsia="黑体"/>
          <w:sz w:val="24"/>
        </w:rPr>
        <w:t>32．投标文件初审</w:t>
      </w:r>
    </w:p>
    <w:p>
      <w:pPr>
        <w:ind w:firstLine="411" w:firstLineChars="196"/>
        <w:rPr>
          <w:rFonts w:hint="eastAsia" w:ascii="宋体" w:hAnsi="宋体"/>
        </w:rPr>
      </w:pPr>
      <w:r>
        <w:rPr>
          <w:rFonts w:hint="eastAsia" w:ascii="宋体" w:hAnsi="宋体"/>
        </w:rPr>
        <w:t>32.1投标文件初审包括资格性审查和符合性审查。</w:t>
      </w:r>
    </w:p>
    <w:p>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pPr>
        <w:ind w:firstLine="411" w:firstLineChars="196"/>
        <w:rPr>
          <w:rFonts w:hint="eastAsia" w:ascii="宋体" w:hAnsi="宋体"/>
          <w:bCs/>
        </w:rPr>
      </w:pPr>
      <w:r>
        <w:rPr>
          <w:rFonts w:hint="eastAsia" w:ascii="宋体" w:hAnsi="宋体"/>
          <w:bCs/>
        </w:rPr>
        <w:t>32.3 投标文件初审中关于供应商家数的计算:</w:t>
      </w:r>
    </w:p>
    <w:p>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hint="eastAsia" w:ascii="宋体" w:hAnsi="宋体"/>
        </w:rPr>
      </w:pPr>
      <w:r>
        <w:rPr>
          <w:rFonts w:hint="eastAsia" w:ascii="宋体" w:hAnsi="宋体"/>
        </w:rPr>
        <w:t>32.4投标人投标文件作无效处理的情形，具体包括但不限于以下：</w:t>
      </w:r>
    </w:p>
    <w:p>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ind w:firstLine="411" w:firstLineChars="196"/>
        <w:rPr>
          <w:rFonts w:hint="eastAsia" w:ascii="宋体" w:hAnsi="宋体"/>
        </w:rPr>
      </w:pPr>
      <w:r>
        <w:rPr>
          <w:rFonts w:hint="eastAsia" w:ascii="宋体" w:hAnsi="宋体"/>
        </w:rPr>
        <w:t>32.4.3不同投标人的投标文件载明的项目管理成员或者联系人员为同一人；</w:t>
      </w:r>
    </w:p>
    <w:p>
      <w:pPr>
        <w:ind w:firstLine="411" w:firstLineChars="196"/>
        <w:rPr>
          <w:rFonts w:hint="eastAsia" w:ascii="宋体" w:hAnsi="宋体"/>
        </w:rPr>
      </w:pPr>
      <w:r>
        <w:rPr>
          <w:rFonts w:hint="eastAsia" w:ascii="宋体" w:hAnsi="宋体"/>
        </w:rPr>
        <w:t>32.4.4不同投标人的投标文件异常一致或者投标报价呈规律性差异；</w:t>
      </w:r>
    </w:p>
    <w:p>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ind w:firstLine="411" w:firstLineChars="196"/>
        <w:rPr>
          <w:rFonts w:hint="eastAsia" w:ascii="宋体" w:hAnsi="宋体"/>
        </w:rPr>
      </w:pPr>
      <w:r>
        <w:rPr>
          <w:rFonts w:hint="eastAsia" w:ascii="宋体" w:hAnsi="宋体"/>
        </w:rPr>
        <w:t>32.4.6投标供应商之间相互约定给予未中标的供应商利益补偿；</w:t>
      </w:r>
    </w:p>
    <w:p>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11" w:firstLineChars="196"/>
        <w:rPr>
          <w:rFonts w:hint="eastAsia" w:ascii="宋体" w:hAnsi="宋体"/>
        </w:rPr>
      </w:pPr>
      <w:r>
        <w:rPr>
          <w:rFonts w:hint="eastAsia" w:ascii="宋体" w:hAnsi="宋体"/>
        </w:rPr>
        <w:t>32.4.8不同投标供应商的投标文件内容存在非正常一致；</w:t>
      </w:r>
    </w:p>
    <w:p>
      <w:pPr>
        <w:ind w:firstLine="411" w:firstLineChars="196"/>
        <w:rPr>
          <w:rFonts w:hint="eastAsia" w:ascii="宋体" w:hAnsi="宋体"/>
        </w:rPr>
      </w:pPr>
      <w:r>
        <w:rPr>
          <w:rFonts w:hint="eastAsia" w:ascii="宋体" w:hAnsi="宋体"/>
        </w:rPr>
        <w:t>32.4.9在同一单位工作人员为两家以上（含两家）供应商进行同一项投标活动；</w:t>
      </w:r>
    </w:p>
    <w:p>
      <w:pPr>
        <w:ind w:firstLine="411" w:firstLineChars="196"/>
        <w:rPr>
          <w:rFonts w:hint="eastAsia" w:ascii="宋体" w:hAnsi="宋体"/>
        </w:rPr>
      </w:pPr>
      <w:r>
        <w:rPr>
          <w:rFonts w:hint="eastAsia" w:ascii="宋体" w:hAnsi="宋体"/>
        </w:rPr>
        <w:t>32.4.10主管部门依照法律、法规认定的其他情形。</w:t>
      </w:r>
    </w:p>
    <w:p>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rPr>
          <w:rFonts w:hint="eastAsia" w:ascii="黑体" w:hAnsi="宋体" w:eastAsia="黑体"/>
          <w:sz w:val="24"/>
        </w:rPr>
      </w:pPr>
      <w:r>
        <w:rPr>
          <w:rFonts w:hint="eastAsia" w:ascii="黑体" w:hAnsi="宋体" w:eastAsia="黑体"/>
          <w:sz w:val="24"/>
        </w:rPr>
        <w:t>33．澄清有关问题</w:t>
      </w:r>
    </w:p>
    <w:p>
      <w:pPr>
        <w:ind w:firstLine="411" w:firstLineChars="196"/>
        <w:rPr>
          <w:rFonts w:hint="eastAsia" w:ascii="宋体" w:hAnsi="宋体"/>
        </w:rPr>
      </w:pPr>
      <w:bookmarkStart w:id="70"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0"/>
    </w:p>
    <w:p>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pPr>
        <w:rPr>
          <w:rFonts w:hint="eastAsia" w:ascii="黑体" w:hAnsi="宋体" w:eastAsia="黑体"/>
          <w:sz w:val="24"/>
        </w:rPr>
      </w:pPr>
      <w:bookmarkStart w:id="71" w:name="_Toc73518151"/>
      <w:bookmarkStart w:id="72" w:name="_Toc73521669"/>
      <w:bookmarkStart w:id="73" w:name="_Toc73521581"/>
      <w:bookmarkStart w:id="74" w:name="_Toc100052400"/>
      <w:bookmarkStart w:id="75" w:name="_Toc73517673"/>
      <w:r>
        <w:rPr>
          <w:rFonts w:hint="eastAsia" w:ascii="黑体" w:hAnsi="宋体" w:eastAsia="黑体"/>
          <w:sz w:val="24"/>
        </w:rPr>
        <w:t>34．错误的修正</w:t>
      </w:r>
      <w:bookmarkEnd w:id="71"/>
      <w:bookmarkEnd w:id="72"/>
      <w:bookmarkEnd w:id="73"/>
      <w:bookmarkEnd w:id="74"/>
      <w:bookmarkEnd w:id="75"/>
    </w:p>
    <w:p>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11" w:firstLineChars="196"/>
        <w:rPr>
          <w:rFonts w:hint="eastAsia" w:ascii="宋体" w:hAnsi="宋体"/>
          <w:szCs w:val="21"/>
        </w:rPr>
      </w:pPr>
      <w:r>
        <w:rPr>
          <w:rFonts w:hint="eastAsia" w:ascii="宋体" w:hAnsi="宋体"/>
          <w:szCs w:val="21"/>
        </w:rPr>
        <w:t>34.2大写金额和小写金额不一致的，以大写金额为准；</w:t>
      </w:r>
    </w:p>
    <w:p>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rPr>
          <w:rFonts w:hint="eastAsia" w:ascii="黑体" w:hAnsi="宋体" w:eastAsia="黑体"/>
          <w:sz w:val="24"/>
        </w:rPr>
      </w:pPr>
      <w:r>
        <w:rPr>
          <w:rFonts w:hint="eastAsia" w:ascii="黑体" w:hAnsi="宋体" w:eastAsia="黑体"/>
          <w:sz w:val="24"/>
        </w:rPr>
        <w:t>35．投标文件的比较与评价</w:t>
      </w:r>
    </w:p>
    <w:p>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rPr>
          <w:rFonts w:hint="eastAsia" w:ascii="黑体" w:hAnsi="宋体" w:eastAsia="黑体"/>
          <w:sz w:val="24"/>
        </w:rPr>
      </w:pPr>
      <w:r>
        <w:rPr>
          <w:rFonts w:hint="eastAsia" w:ascii="黑体" w:hAnsi="宋体" w:eastAsia="黑体"/>
          <w:sz w:val="24"/>
        </w:rPr>
        <w:t>36. 实地考察或资料查验</w:t>
      </w:r>
    </w:p>
    <w:p>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rPr>
          <w:rFonts w:hint="eastAsia" w:ascii="黑体" w:hAnsi="宋体" w:eastAsia="黑体"/>
          <w:sz w:val="24"/>
        </w:rPr>
      </w:pPr>
      <w:r>
        <w:rPr>
          <w:rFonts w:hint="eastAsia" w:ascii="黑体" w:hAnsi="宋体" w:eastAsia="黑体"/>
          <w:sz w:val="24"/>
        </w:rPr>
        <w:t>37．评审方法</w:t>
      </w:r>
    </w:p>
    <w:p>
      <w:pPr>
        <w:ind w:firstLine="413" w:firstLineChars="196"/>
        <w:rPr>
          <w:rFonts w:hint="eastAsia" w:ascii="宋体" w:hAnsi="宋体"/>
          <w:b/>
          <w:bCs/>
          <w:szCs w:val="21"/>
        </w:rPr>
      </w:pPr>
      <w:bookmarkStart w:id="76" w:name="_Hlk72438142"/>
      <w:r>
        <w:rPr>
          <w:rFonts w:hint="eastAsia" w:ascii="宋体" w:hAnsi="宋体"/>
          <w:b/>
          <w:bCs/>
          <w:szCs w:val="21"/>
        </w:rPr>
        <w:t>37.1.1最低价法</w:t>
      </w:r>
    </w:p>
    <w:p>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3" w:firstLineChars="196"/>
        <w:rPr>
          <w:rFonts w:hint="eastAsia" w:ascii="宋体" w:hAnsi="宋体"/>
          <w:b/>
          <w:bCs/>
          <w:szCs w:val="21"/>
        </w:rPr>
      </w:pPr>
      <w:r>
        <w:rPr>
          <w:rFonts w:hint="eastAsia" w:ascii="宋体" w:hAnsi="宋体"/>
          <w:b/>
          <w:bCs/>
          <w:szCs w:val="21"/>
        </w:rPr>
        <w:t>37.1.2综合评分法</w:t>
      </w:r>
    </w:p>
    <w:p>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76"/>
    </w:p>
    <w:p>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pPr>
        <w:ind w:firstLine="413" w:firstLineChars="196"/>
        <w:rPr>
          <w:rFonts w:hint="eastAsia" w:ascii="宋体" w:hAnsi="宋体"/>
          <w:b/>
          <w:bCs/>
          <w:szCs w:val="21"/>
        </w:rPr>
      </w:pPr>
      <w:r>
        <w:rPr>
          <w:rFonts w:hint="eastAsia" w:ascii="宋体" w:hAnsi="宋体"/>
          <w:b/>
          <w:bCs/>
          <w:szCs w:val="21"/>
        </w:rPr>
        <w:t>37.3重新评审的情形</w:t>
      </w:r>
    </w:p>
    <w:p>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定标及公示</w:t>
      </w:r>
    </w:p>
    <w:p>
      <w:pPr>
        <w:rPr>
          <w:rFonts w:hint="eastAsia" w:ascii="黑体" w:hAnsi="宋体" w:eastAsia="黑体"/>
          <w:sz w:val="24"/>
        </w:rPr>
      </w:pPr>
      <w:r>
        <w:rPr>
          <w:rFonts w:hint="eastAsia" w:ascii="黑体" w:hAnsi="宋体" w:eastAsia="黑体"/>
          <w:sz w:val="24"/>
        </w:rPr>
        <w:t>38．定标方法</w:t>
      </w:r>
    </w:p>
    <w:p>
      <w:pPr>
        <w:ind w:firstLine="411" w:firstLineChars="196"/>
        <w:rPr>
          <w:rFonts w:hint="eastAsia" w:ascii="宋体" w:hAnsi="宋体"/>
          <w:szCs w:val="21"/>
        </w:rPr>
      </w:pPr>
      <w:bookmarkStart w:id="77" w:name="_Hlk73782795"/>
      <w:r>
        <w:rPr>
          <w:rFonts w:hint="eastAsia" w:ascii="宋体" w:hAnsi="宋体"/>
          <w:szCs w:val="21"/>
        </w:rPr>
        <w:t>38.1非评定分离项目定标方法</w:t>
      </w:r>
    </w:p>
    <w:p>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hint="eastAsia" w:ascii="宋体" w:hAnsi="宋体"/>
          <w:szCs w:val="21"/>
        </w:rPr>
      </w:pPr>
      <w:r>
        <w:rPr>
          <w:rFonts w:hint="eastAsia" w:ascii="宋体" w:hAnsi="宋体"/>
          <w:szCs w:val="21"/>
        </w:rPr>
        <w:t>38.2评定分离项目定标方法</w:t>
      </w:r>
    </w:p>
    <w:p>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pPr>
      <w:r>
        <w:rPr>
          <w:rFonts w:ascii="宋体" w:hAnsi="宋体"/>
          <w:szCs w:val="21"/>
        </w:rPr>
        <w:t xml:space="preserve">38.2.2 </w:t>
      </w:r>
      <w:bookmarkStart w:id="78"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pPr>
        <w:ind w:firstLine="411" w:firstLineChars="196"/>
        <w:rPr>
          <w:rFonts w:hint="eastAsia" w:ascii="宋体" w:hAnsi="宋体"/>
          <w:szCs w:val="21"/>
        </w:rPr>
      </w:pPr>
      <w:r>
        <w:rPr>
          <w:rFonts w:hint="eastAsia" w:ascii="宋体" w:hAnsi="宋体"/>
          <w:szCs w:val="21"/>
        </w:rPr>
        <w:t>38.2.3</w:t>
      </w:r>
      <w:bookmarkStart w:id="79"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8"/>
      <w:bookmarkEnd w:id="79"/>
    </w:p>
    <w:p>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77"/>
    </w:p>
    <w:p>
      <w:pPr>
        <w:rPr>
          <w:rFonts w:hint="eastAsia" w:ascii="黑体" w:hAnsi="宋体" w:eastAsia="黑体"/>
          <w:sz w:val="24"/>
        </w:rPr>
      </w:pPr>
      <w:r>
        <w:rPr>
          <w:rFonts w:hint="eastAsia" w:ascii="黑体" w:hAnsi="宋体" w:eastAsia="黑体"/>
          <w:sz w:val="24"/>
        </w:rPr>
        <w:t>39．编写评审报告</w:t>
      </w:r>
    </w:p>
    <w:p>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hint="eastAsia" w:ascii="黑体" w:hAnsi="宋体" w:eastAsia="黑体"/>
          <w:sz w:val="24"/>
        </w:rPr>
      </w:pPr>
      <w:r>
        <w:rPr>
          <w:rFonts w:hint="eastAsia" w:ascii="黑体" w:hAnsi="宋体" w:eastAsia="黑体"/>
          <w:sz w:val="24"/>
        </w:rPr>
        <w:t>40．中标公告</w:t>
      </w:r>
    </w:p>
    <w:p>
      <w:pPr>
        <w:ind w:firstLine="411" w:firstLineChars="196"/>
        <w:rPr>
          <w:rFonts w:hint="eastAsia" w:ascii="宋体" w:hAnsi="宋体"/>
          <w:szCs w:val="21"/>
        </w:rPr>
      </w:pPr>
      <w:r>
        <w:rPr>
          <w:rFonts w:hint="eastAsia" w:ascii="宋体" w:hAnsi="宋体"/>
          <w:szCs w:val="21"/>
        </w:rPr>
        <w:t>40.1</w:t>
      </w:r>
      <w:bookmarkStart w:id="80"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80"/>
      <w:bookmarkStart w:id="81"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1"/>
    <w:p>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pPr>
        <w:rPr>
          <w:rFonts w:hint="eastAsia" w:ascii="黑体" w:hAnsi="宋体" w:eastAsia="黑体"/>
          <w:sz w:val="24"/>
        </w:rPr>
      </w:pPr>
      <w:r>
        <w:rPr>
          <w:rFonts w:hint="eastAsia" w:ascii="黑体" w:hAnsi="宋体" w:eastAsia="黑体"/>
          <w:sz w:val="24"/>
        </w:rPr>
        <w:t>41．中标通知书</w:t>
      </w:r>
    </w:p>
    <w:p>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2"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2"/>
    </w:p>
    <w:p>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11" w:firstLineChars="196"/>
        <w:rPr>
          <w:rFonts w:hint="eastAsia" w:ascii="宋体" w:hAnsi="宋体"/>
          <w:szCs w:val="21"/>
        </w:rPr>
      </w:pPr>
      <w:bookmarkStart w:id="83" w:name="_Hlk71407340"/>
      <w:r>
        <w:rPr>
          <w:rFonts w:hint="eastAsia" w:ascii="宋体" w:hAnsi="宋体"/>
          <w:szCs w:val="21"/>
        </w:rPr>
        <w:t>41.3因质疑投诉或其它原因导致项目结果变更或采购终止的，政府集中采购机构有权吊销中标通知书。</w:t>
      </w:r>
    </w:p>
    <w:bookmarkEnd w:id="83"/>
    <w:p>
      <w:pPr>
        <w:ind w:firstLine="411" w:firstLineChars="196"/>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公开招标失败的后续处理</w:t>
      </w:r>
    </w:p>
    <w:p>
      <w:pPr>
        <w:rPr>
          <w:rFonts w:hint="eastAsia" w:ascii="黑体" w:hAnsi="宋体" w:eastAsia="黑体"/>
          <w:sz w:val="24"/>
        </w:rPr>
      </w:pPr>
      <w:r>
        <w:rPr>
          <w:rFonts w:hint="eastAsia" w:ascii="黑体" w:hAnsi="宋体" w:eastAsia="黑体"/>
          <w:sz w:val="24"/>
        </w:rPr>
        <w:t>42．公开招标失败的处理</w:t>
      </w:r>
    </w:p>
    <w:p>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hint="eastAsia" w:ascii="宋体" w:hAnsi="宋体"/>
          <w:szCs w:val="21"/>
        </w:rPr>
      </w:pPr>
      <w:r>
        <w:rPr>
          <w:rFonts w:hint="eastAsia" w:ascii="宋体" w:hAnsi="宋体"/>
          <w:szCs w:val="21"/>
        </w:rPr>
        <w:t>42.3重新组织采购有以下两种组织形式：</w:t>
      </w:r>
    </w:p>
    <w:p>
      <w:pPr>
        <w:ind w:firstLine="411" w:firstLineChars="196"/>
        <w:rPr>
          <w:rFonts w:hint="eastAsia" w:ascii="宋体" w:hAnsi="宋体"/>
        </w:rPr>
      </w:pPr>
      <w:r>
        <w:rPr>
          <w:rFonts w:hint="eastAsia" w:ascii="宋体" w:hAnsi="宋体"/>
        </w:rPr>
        <w:t>（1）由政府集中采购机构重新组织公开招标；</w:t>
      </w:r>
    </w:p>
    <w:p>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pPr>
        <w:rPr>
          <w:rFonts w:hint="eastAsia" w:ascii="黑体" w:hAnsi="宋体" w:eastAsia="黑体"/>
          <w:sz w:val="24"/>
        </w:rPr>
      </w:pPr>
    </w:p>
    <w:p>
      <w:pPr>
        <w:pStyle w:val="5"/>
        <w:numPr>
          <w:ilvl w:val="0"/>
          <w:numId w:val="14"/>
        </w:numPr>
        <w:spacing w:before="156" w:beforeLines="50" w:after="156" w:afterLines="50"/>
        <w:ind w:left="562" w:hanging="562"/>
        <w:rPr>
          <w:sz w:val="28"/>
          <w:szCs w:val="28"/>
        </w:rPr>
      </w:pPr>
      <w:bookmarkStart w:id="84" w:name="_Hlk72439043"/>
      <w:r>
        <w:rPr>
          <w:rFonts w:hint="eastAsia"/>
          <w:sz w:val="28"/>
          <w:szCs w:val="28"/>
        </w:rPr>
        <w:t>合同的授予与备案</w:t>
      </w:r>
      <w:bookmarkEnd w:id="84"/>
    </w:p>
    <w:p>
      <w:pPr>
        <w:rPr>
          <w:rFonts w:hint="eastAsia" w:ascii="黑体" w:hAnsi="宋体" w:eastAsia="黑体"/>
          <w:sz w:val="24"/>
        </w:rPr>
      </w:pPr>
      <w:bookmarkStart w:id="85" w:name="_Toc73517679"/>
      <w:bookmarkStart w:id="86" w:name="_Toc73518157"/>
      <w:bookmarkStart w:id="87" w:name="_Toc73521674"/>
      <w:bookmarkStart w:id="88" w:name="_Toc73521586"/>
      <w:bookmarkStart w:id="89" w:name="_Toc100052408"/>
      <w:bookmarkStart w:id="90" w:name="_Hlk72439088"/>
      <w:r>
        <w:rPr>
          <w:rFonts w:hint="eastAsia" w:ascii="黑体" w:hAnsi="宋体" w:eastAsia="黑体"/>
          <w:sz w:val="24"/>
        </w:rPr>
        <w:t>43．合同授予标准</w:t>
      </w:r>
      <w:bookmarkEnd w:id="85"/>
      <w:bookmarkEnd w:id="86"/>
      <w:bookmarkEnd w:id="87"/>
      <w:bookmarkEnd w:id="88"/>
      <w:bookmarkEnd w:id="89"/>
    </w:p>
    <w:p>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pPr>
        <w:rPr>
          <w:rFonts w:hint="eastAsia" w:ascii="黑体" w:hAnsi="宋体" w:eastAsia="黑体"/>
          <w:sz w:val="24"/>
        </w:rPr>
      </w:pPr>
      <w:bookmarkStart w:id="91" w:name="_Toc73517680"/>
      <w:bookmarkStart w:id="92" w:name="_Toc73521675"/>
      <w:bookmarkStart w:id="93" w:name="_Toc100052409"/>
      <w:bookmarkStart w:id="94" w:name="_Toc73521587"/>
      <w:bookmarkStart w:id="95" w:name="_Toc73518158"/>
      <w:r>
        <w:rPr>
          <w:rFonts w:hint="eastAsia" w:ascii="黑体" w:hAnsi="宋体" w:eastAsia="黑体"/>
          <w:sz w:val="24"/>
        </w:rPr>
        <w:t>44．</w:t>
      </w:r>
      <w:bookmarkEnd w:id="91"/>
      <w:bookmarkEnd w:id="92"/>
      <w:bookmarkEnd w:id="93"/>
      <w:bookmarkEnd w:id="94"/>
      <w:bookmarkEnd w:id="95"/>
      <w:r>
        <w:rPr>
          <w:rFonts w:hint="eastAsia" w:ascii="黑体" w:hAnsi="宋体" w:eastAsia="黑体"/>
          <w:sz w:val="24"/>
        </w:rPr>
        <w:t>接受和拒绝任何或所有投标的权力</w:t>
      </w:r>
    </w:p>
    <w:p>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hint="eastAsia" w:ascii="黑体" w:hAnsi="宋体" w:eastAsia="黑体"/>
          <w:sz w:val="24"/>
        </w:rPr>
      </w:pPr>
      <w:bookmarkStart w:id="96" w:name="_Toc73518160"/>
      <w:bookmarkStart w:id="97" w:name="_Toc73521589"/>
      <w:bookmarkStart w:id="98" w:name="_Toc73517682"/>
      <w:bookmarkStart w:id="99" w:name="_Toc73521677"/>
      <w:bookmarkStart w:id="100" w:name="_Toc100052410"/>
      <w:r>
        <w:rPr>
          <w:rFonts w:hint="eastAsia" w:ascii="黑体" w:hAnsi="宋体" w:eastAsia="黑体"/>
          <w:sz w:val="24"/>
        </w:rPr>
        <w:t>45．合同的签订</w:t>
      </w:r>
      <w:bookmarkEnd w:id="96"/>
      <w:bookmarkEnd w:id="97"/>
      <w:bookmarkEnd w:id="98"/>
      <w:bookmarkEnd w:id="99"/>
      <w:bookmarkEnd w:id="100"/>
    </w:p>
    <w:p>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pPr>
        <w:rPr>
          <w:rFonts w:hint="eastAsia" w:ascii="黑体" w:hAnsi="宋体" w:eastAsia="黑体"/>
          <w:sz w:val="24"/>
        </w:rPr>
      </w:pPr>
      <w:bookmarkStart w:id="101" w:name="_Toc73517683"/>
      <w:bookmarkStart w:id="102" w:name="_Toc73521590"/>
      <w:bookmarkStart w:id="103" w:name="_Toc100052411"/>
      <w:bookmarkStart w:id="104" w:name="_Toc73518161"/>
      <w:bookmarkStart w:id="105" w:name="_Toc73521678"/>
      <w:r>
        <w:rPr>
          <w:rFonts w:hint="eastAsia" w:ascii="黑体" w:hAnsi="宋体" w:eastAsia="黑体"/>
          <w:sz w:val="24"/>
        </w:rPr>
        <w:t>46．履约担保</w:t>
      </w:r>
      <w:bookmarkEnd w:id="101"/>
      <w:bookmarkEnd w:id="102"/>
      <w:bookmarkEnd w:id="103"/>
      <w:bookmarkEnd w:id="104"/>
      <w:bookmarkEnd w:id="105"/>
    </w:p>
    <w:p>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hint="eastAsia" w:ascii="黑体" w:hAnsi="宋体" w:eastAsia="黑体"/>
          <w:sz w:val="24"/>
        </w:rPr>
      </w:pPr>
      <w:r>
        <w:rPr>
          <w:rFonts w:hint="eastAsia" w:ascii="黑体" w:hAnsi="宋体" w:eastAsia="黑体"/>
          <w:sz w:val="24"/>
        </w:rPr>
        <w:t>47. 合同备案</w:t>
      </w:r>
    </w:p>
    <w:p>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pPr>
        <w:rPr>
          <w:rFonts w:hint="eastAsia" w:ascii="黑体" w:hAnsi="宋体" w:eastAsia="黑体"/>
          <w:sz w:val="24"/>
        </w:rPr>
      </w:pPr>
      <w:r>
        <w:rPr>
          <w:rFonts w:hint="eastAsia" w:ascii="黑体" w:hAnsi="宋体" w:eastAsia="黑体"/>
          <w:sz w:val="24"/>
        </w:rPr>
        <w:t>49. 项目验收</w:t>
      </w:r>
    </w:p>
    <w:p>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pPr>
        <w:rPr>
          <w:rFonts w:hint="eastAsia" w:ascii="黑体" w:hAnsi="宋体" w:eastAsia="黑体"/>
          <w:sz w:val="24"/>
        </w:rPr>
      </w:pPr>
      <w:r>
        <w:rPr>
          <w:rFonts w:hint="eastAsia" w:ascii="黑体" w:hAnsi="宋体" w:eastAsia="黑体"/>
          <w:sz w:val="24"/>
        </w:rPr>
        <w:t>50. 宣传</w:t>
      </w:r>
    </w:p>
    <w:p>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hint="eastAsia" w:ascii="宋体" w:hAnsi="宋体"/>
        </w:rPr>
      </w:pPr>
      <w:r>
        <w:rPr>
          <w:rFonts w:ascii="宋体" w:hAnsi="宋体"/>
        </w:rPr>
        <w:t>a.名片、宣传册、广告标语等；</w:t>
      </w:r>
    </w:p>
    <w:p>
      <w:pPr>
        <w:ind w:left="210" w:leftChars="100" w:firstLine="411" w:firstLineChars="196"/>
        <w:rPr>
          <w:rFonts w:hint="eastAsia" w:ascii="宋体" w:hAnsi="宋体"/>
        </w:rPr>
      </w:pPr>
      <w:r>
        <w:rPr>
          <w:rFonts w:ascii="宋体" w:hAnsi="宋体"/>
        </w:rPr>
        <w:t>b.案例介绍、推广等；</w:t>
      </w:r>
    </w:p>
    <w:p>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pPr>
        <w:rPr>
          <w:rFonts w:hint="eastAsia" w:ascii="黑体" w:hAnsi="宋体" w:eastAsia="黑体"/>
          <w:sz w:val="24"/>
        </w:rPr>
      </w:pPr>
      <w:r>
        <w:rPr>
          <w:rFonts w:hint="eastAsia" w:ascii="黑体" w:hAnsi="宋体" w:eastAsia="黑体"/>
          <w:sz w:val="24"/>
        </w:rPr>
        <w:t>51. 供应商违法责任</w:t>
      </w:r>
    </w:p>
    <w:p>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hint="eastAsia" w:ascii="宋体" w:hAnsi="宋体"/>
          <w:szCs w:val="21"/>
        </w:rPr>
      </w:pPr>
      <w:r>
        <w:rPr>
          <w:rFonts w:hint="eastAsia" w:ascii="宋体" w:hAnsi="宋体"/>
          <w:szCs w:val="21"/>
        </w:rPr>
        <w:t>（1）在采购活动中应当回避而未回避的；</w:t>
      </w:r>
    </w:p>
    <w:p>
      <w:pPr>
        <w:ind w:firstLine="411" w:firstLineChars="196"/>
        <w:rPr>
          <w:rFonts w:hint="eastAsia" w:ascii="宋体" w:hAnsi="宋体"/>
          <w:szCs w:val="21"/>
        </w:rPr>
      </w:pPr>
      <w:r>
        <w:rPr>
          <w:rFonts w:hint="eastAsia" w:ascii="宋体" w:hAnsi="宋体"/>
          <w:szCs w:val="21"/>
        </w:rPr>
        <w:t>（2）未按本条例规定签订、履行采购合同，造成严重后果的；</w:t>
      </w:r>
    </w:p>
    <w:p>
      <w:pPr>
        <w:ind w:firstLine="411" w:firstLineChars="196"/>
        <w:rPr>
          <w:rFonts w:hint="eastAsia" w:ascii="宋体" w:hAnsi="宋体"/>
          <w:szCs w:val="21"/>
        </w:rPr>
      </w:pPr>
      <w:r>
        <w:rPr>
          <w:rFonts w:hint="eastAsia" w:ascii="宋体" w:hAnsi="宋体"/>
          <w:szCs w:val="21"/>
        </w:rPr>
        <w:t>（3）隐瞒真实情况，提供虚假资料的；</w:t>
      </w:r>
    </w:p>
    <w:p>
      <w:pPr>
        <w:ind w:firstLine="411" w:firstLineChars="196"/>
        <w:rPr>
          <w:rFonts w:hint="eastAsia" w:ascii="宋体" w:hAnsi="宋体"/>
          <w:szCs w:val="21"/>
        </w:rPr>
      </w:pPr>
      <w:r>
        <w:rPr>
          <w:rFonts w:hint="eastAsia" w:ascii="宋体" w:hAnsi="宋体"/>
          <w:szCs w:val="21"/>
        </w:rPr>
        <w:t>（4）以非法手段排斥其他供应商参与竞争的；</w:t>
      </w:r>
    </w:p>
    <w:p>
      <w:pPr>
        <w:ind w:firstLine="411" w:firstLineChars="196"/>
        <w:rPr>
          <w:rFonts w:hint="eastAsia" w:ascii="宋体" w:hAnsi="宋体"/>
          <w:szCs w:val="21"/>
        </w:rPr>
      </w:pPr>
      <w:r>
        <w:rPr>
          <w:rFonts w:hint="eastAsia" w:ascii="宋体" w:hAnsi="宋体"/>
          <w:szCs w:val="21"/>
        </w:rPr>
        <w:t>（5）与其他采购参加人串通投标的；</w:t>
      </w:r>
    </w:p>
    <w:p>
      <w:pPr>
        <w:ind w:firstLine="411" w:firstLineChars="196"/>
        <w:rPr>
          <w:rFonts w:hint="eastAsia" w:ascii="宋体" w:hAnsi="宋体"/>
          <w:szCs w:val="21"/>
        </w:rPr>
      </w:pPr>
      <w:r>
        <w:rPr>
          <w:rFonts w:hint="eastAsia" w:ascii="宋体" w:hAnsi="宋体"/>
          <w:szCs w:val="21"/>
        </w:rPr>
        <w:t>（6）恶意投诉的；</w:t>
      </w:r>
    </w:p>
    <w:p>
      <w:pPr>
        <w:ind w:firstLine="411" w:firstLineChars="196"/>
        <w:rPr>
          <w:rFonts w:hint="eastAsia" w:ascii="宋体" w:hAnsi="宋体"/>
          <w:szCs w:val="21"/>
        </w:rPr>
      </w:pPr>
      <w:r>
        <w:rPr>
          <w:rFonts w:hint="eastAsia" w:ascii="宋体" w:hAnsi="宋体"/>
          <w:szCs w:val="21"/>
        </w:rPr>
        <w:t>（7）向采购项目相关人行贿或者提供其他不当利益的；</w:t>
      </w:r>
    </w:p>
    <w:p>
      <w:pPr>
        <w:ind w:firstLine="411" w:firstLineChars="196"/>
        <w:rPr>
          <w:rFonts w:hint="eastAsia" w:ascii="宋体" w:hAnsi="宋体"/>
          <w:szCs w:val="21"/>
        </w:rPr>
      </w:pPr>
      <w:r>
        <w:rPr>
          <w:rFonts w:hint="eastAsia" w:ascii="宋体" w:hAnsi="宋体"/>
          <w:szCs w:val="21"/>
        </w:rPr>
        <w:t>（8）阻碍、抗拒主管部门监督检查的；</w:t>
      </w:r>
    </w:p>
    <w:p>
      <w:pPr>
        <w:ind w:firstLine="411" w:firstLineChars="196"/>
        <w:rPr>
          <w:rFonts w:hint="eastAsia" w:ascii="宋体" w:hAnsi="宋体"/>
          <w:szCs w:val="21"/>
        </w:rPr>
      </w:pPr>
      <w:r>
        <w:rPr>
          <w:rFonts w:hint="eastAsia" w:ascii="宋体" w:hAnsi="宋体"/>
          <w:szCs w:val="21"/>
        </w:rPr>
        <w:t>（9）其他违反本条例规定的行为。</w:t>
      </w:r>
    </w:p>
    <w:p>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06" w:name="_Hlk72440769"/>
      <w:r>
        <w:rPr>
          <w:rFonts w:hint="eastAsia" w:ascii="宋体" w:hAnsi="宋体"/>
          <w:szCs w:val="21"/>
        </w:rPr>
        <w:t>政府集中采购机构或采购人不予退还其交纳的谈判保证金，情节严重的，并由主管部门</w:t>
      </w:r>
      <w:bookmarkEnd w:id="106"/>
      <w:r>
        <w:rPr>
          <w:rFonts w:hint="eastAsia" w:ascii="宋体" w:hAnsi="宋体"/>
          <w:szCs w:val="21"/>
        </w:rPr>
        <w:t>记入供应商诚信档案，予以通报：</w:t>
      </w:r>
    </w:p>
    <w:p>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0"/>
    <w:p>
      <w:pPr>
        <w:pStyle w:val="5"/>
        <w:numPr>
          <w:ilvl w:val="0"/>
          <w:numId w:val="14"/>
        </w:numPr>
        <w:spacing w:before="156" w:beforeLines="50" w:after="156" w:afterLines="50"/>
        <w:ind w:left="562" w:hanging="562"/>
        <w:rPr>
          <w:sz w:val="28"/>
          <w:szCs w:val="28"/>
        </w:rPr>
      </w:pPr>
      <w:r>
        <w:rPr>
          <w:rFonts w:hint="eastAsia"/>
          <w:sz w:val="28"/>
          <w:szCs w:val="28"/>
        </w:rPr>
        <w:t>质疑处理</w:t>
      </w:r>
    </w:p>
    <w:p>
      <w:pPr>
        <w:rPr>
          <w:rFonts w:hint="eastAsia" w:ascii="黑体" w:hAnsi="宋体" w:eastAsia="黑体"/>
          <w:sz w:val="24"/>
        </w:rPr>
      </w:pPr>
      <w:r>
        <w:rPr>
          <w:rFonts w:hint="eastAsia" w:ascii="黑体" w:hAnsi="宋体" w:eastAsia="黑体"/>
          <w:sz w:val="24"/>
        </w:rPr>
        <w:t>52.质疑提出与答复</w:t>
      </w:r>
    </w:p>
    <w:p>
      <w:pPr>
        <w:rPr>
          <w:rFonts w:hint="eastAsia" w:ascii="宋体" w:hAnsi="宋体"/>
          <w:szCs w:val="21"/>
        </w:rPr>
      </w:pPr>
      <w:r>
        <w:rPr>
          <w:rFonts w:hint="eastAsia" w:ascii="宋体" w:hAnsi="宋体"/>
          <w:szCs w:val="21"/>
        </w:rPr>
        <w:t xml:space="preserve">    52.1提出质疑</w:t>
      </w:r>
    </w:p>
    <w:p>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hint="eastAsia" w:ascii="宋体" w:hAnsi="宋体"/>
          <w:szCs w:val="21"/>
        </w:rPr>
      </w:pPr>
      <w:r>
        <w:rPr>
          <w:rFonts w:hint="eastAsia" w:ascii="宋体" w:hAnsi="宋体"/>
          <w:szCs w:val="21"/>
        </w:rPr>
        <w:t xml:space="preserve">    52.2</w:t>
      </w:r>
      <w:r>
        <w:rPr>
          <w:rFonts w:ascii="宋体" w:hAnsi="宋体"/>
          <w:szCs w:val="21"/>
        </w:rPr>
        <w:t>法律依据</w:t>
      </w:r>
    </w:p>
    <w:p>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07" w:name="_Hlk75374941"/>
      <w:r>
        <w:rPr>
          <w:rFonts w:hint="eastAsia" w:ascii="宋体" w:hAnsi="宋体"/>
          <w:szCs w:val="21"/>
        </w:rPr>
        <w:t>以联合体形式参与的，质疑应当由组成联合体的所有成员共同提出</w:t>
      </w:r>
      <w:bookmarkEnd w:id="107"/>
      <w:r>
        <w:rPr>
          <w:rFonts w:hint="eastAsia" w:ascii="宋体" w:hAnsi="宋体"/>
          <w:szCs w:val="21"/>
        </w:rPr>
        <w:t>；</w:t>
      </w:r>
    </w:p>
    <w:p>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szCs w:val="21"/>
        </w:rPr>
      </w:pPr>
      <w:r>
        <w:rPr>
          <w:rFonts w:hint="eastAsia" w:ascii="宋体" w:hAnsi="宋体"/>
          <w:szCs w:val="21"/>
        </w:rPr>
        <w:t>52.5收文地点</w:t>
      </w:r>
    </w:p>
    <w:p>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szCs w:val="21"/>
        </w:rPr>
      </w:pPr>
      <w:r>
        <w:rPr>
          <w:rFonts w:hint="eastAsia" w:ascii="宋体" w:hAnsi="宋体"/>
          <w:szCs w:val="21"/>
        </w:rPr>
        <w:t>供应商提交的质疑存在下列情形之一的，不予受理：</w:t>
      </w:r>
    </w:p>
    <w:p>
      <w:pPr>
        <w:ind w:firstLine="420" w:firstLineChars="200"/>
        <w:rPr>
          <w:rFonts w:hint="eastAsia" w:ascii="宋体" w:hAnsi="宋体"/>
          <w:szCs w:val="21"/>
        </w:rPr>
      </w:pPr>
      <w:r>
        <w:rPr>
          <w:rFonts w:hint="eastAsia" w:ascii="宋体" w:hAnsi="宋体"/>
          <w:szCs w:val="21"/>
        </w:rPr>
        <w:t>（1）质疑主体不满足要求的；</w:t>
      </w:r>
    </w:p>
    <w:p>
      <w:pPr>
        <w:ind w:firstLine="420" w:firstLineChars="200"/>
        <w:rPr>
          <w:rFonts w:hint="eastAsia" w:ascii="宋体" w:hAnsi="宋体"/>
          <w:szCs w:val="21"/>
        </w:rPr>
      </w:pPr>
      <w:r>
        <w:rPr>
          <w:rFonts w:hint="eastAsia" w:ascii="宋体" w:hAnsi="宋体"/>
          <w:szCs w:val="21"/>
        </w:rPr>
        <w:t>（2）供应商自身权益未受到损害的；</w:t>
      </w:r>
    </w:p>
    <w:p>
      <w:pPr>
        <w:ind w:firstLine="420" w:firstLineChars="200"/>
        <w:rPr>
          <w:rFonts w:hint="eastAsia" w:ascii="宋体" w:hAnsi="宋体"/>
          <w:szCs w:val="21"/>
        </w:rPr>
      </w:pPr>
      <w:r>
        <w:rPr>
          <w:rFonts w:hint="eastAsia" w:ascii="宋体" w:hAnsi="宋体"/>
          <w:szCs w:val="21"/>
        </w:rPr>
        <w:t>（3）供应商未在法定质疑期限内提出质疑的；</w:t>
      </w:r>
    </w:p>
    <w:p>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hint="eastAsia" w:ascii="宋体" w:hAnsi="宋体"/>
          <w:szCs w:val="21"/>
        </w:rPr>
      </w:pPr>
      <w:r>
        <w:rPr>
          <w:rFonts w:hint="eastAsia" w:ascii="宋体" w:hAnsi="宋体"/>
          <w:szCs w:val="21"/>
        </w:rPr>
        <w:t>（5）其他不符合受理条件情形的。</w:t>
      </w:r>
    </w:p>
    <w:p>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rPr>
          <w:rFonts w:hint="eastAsia" w:ascii="宋体" w:hAnsi="宋体"/>
          <w:szCs w:val="21"/>
        </w:rPr>
      </w:pPr>
      <w:r>
        <w:rPr>
          <w:rFonts w:hint="eastAsia" w:ascii="宋体" w:hAnsi="宋体"/>
          <w:szCs w:val="21"/>
        </w:rPr>
        <w:t xml:space="preserve">    自收文之日起七个工作日内。</w:t>
      </w:r>
    </w:p>
    <w:p>
      <w:pPr>
        <w:rPr>
          <w:rFonts w:hint="eastAsia" w:ascii="宋体" w:hAnsi="宋体"/>
          <w:szCs w:val="21"/>
        </w:rPr>
      </w:pPr>
      <w:r>
        <w:rPr>
          <w:rFonts w:hint="eastAsia" w:ascii="宋体" w:hAnsi="宋体"/>
          <w:szCs w:val="21"/>
        </w:rPr>
        <w:t xml:space="preserve">    52.8投诉</w:t>
      </w:r>
    </w:p>
    <w:p>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pPr>
        <w:rPr>
          <w:rFonts w:hint="eastAsia" w:ascii="黑体" w:hAnsi="宋体" w:eastAsia="黑体"/>
          <w:sz w:val="24"/>
        </w:rPr>
      </w:pPr>
      <w:r>
        <w:rPr>
          <w:rFonts w:hint="eastAsia" w:ascii="黑体" w:hAnsi="宋体" w:eastAsia="黑体"/>
          <w:sz w:val="24"/>
        </w:rPr>
        <w:t>53. 质疑后续处理</w:t>
      </w:r>
    </w:p>
    <w:p>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pPr>
        <w:jc w:val="center"/>
        <w:rPr>
          <w:rFonts w:ascii="Times New Roman" w:hAnsi="Times New Roman" w:eastAsia="宋体" w:cs="Times New Roman"/>
          <w:szCs w:val="24"/>
        </w:rPr>
      </w:pPr>
      <w:r>
        <w:rPr>
          <w:rFonts w:ascii="Times New Roman" w:hAnsi="Times New Roman" w:eastAsia="宋体" w:cs="Times New Roman"/>
          <w:szCs w:val="24"/>
        </w:rPr>
        <w:t>---- END ----</w:t>
      </w:r>
      <w:bookmarkEnd w:id="54"/>
    </w:p>
    <w:p>
      <w:pPr>
        <w:rPr>
          <w:b/>
          <w:color w:val="FF0000"/>
          <w:sz w:val="52"/>
          <w:szCs w:val="52"/>
        </w:rPr>
      </w:pPr>
    </w:p>
    <w:p>
      <w:pPr>
        <w:rPr>
          <w:rFonts w:hint="eastAsia" w:ascii="宋体" w:hAnsi="宋体" w:eastAsia="黑体" w:cs="Times New Roman"/>
          <w:b/>
          <w:bCs/>
          <w:color w:val="0000FF"/>
          <w:kern w:val="44"/>
          <w:sz w:val="36"/>
          <w:szCs w:val="44"/>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华文中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t xml:space="preserve">- </w:t>
    </w:r>
    <w:r>
      <w:fldChar w:fldCharType="begin"/>
    </w:r>
    <w:r>
      <w:instrText xml:space="preserve"> PAGE </w:instrText>
    </w:r>
    <w:r>
      <w:fldChar w:fldCharType="separate"/>
    </w:r>
    <w:r>
      <w:t>29</w:t>
    </w:r>
    <w:r>
      <w:fldChar w:fldCharType="end"/>
    </w:r>
    <w:r>
      <w:t xml:space="preserve"> -</w: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pPr>
          <w:pStyle w:val="13"/>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13"/>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3BCF5"/>
    <w:multiLevelType w:val="singleLevel"/>
    <w:tmpl w:val="98A3BCF5"/>
    <w:lvl w:ilvl="0" w:tentative="0">
      <w:start w:val="6"/>
      <w:numFmt w:val="chineseCounting"/>
      <w:suff w:val="nothing"/>
      <w:lvlText w:val="%1、"/>
      <w:lvlJc w:val="left"/>
      <w:rPr>
        <w:rFonts w:hint="eastAsia"/>
      </w:r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0686203"/>
    <w:multiLevelType w:val="singleLevel"/>
    <w:tmpl w:val="D0686203"/>
    <w:lvl w:ilvl="0" w:tentative="0">
      <w:start w:val="2"/>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21CBBE0"/>
    <w:multiLevelType w:val="singleLevel"/>
    <w:tmpl w:val="721CBBE0"/>
    <w:lvl w:ilvl="0" w:tentative="0">
      <w:start w:val="1"/>
      <w:numFmt w:val="decimal"/>
      <w:suff w:val="nothing"/>
      <w:lvlText w:val="%1、"/>
      <w:lvlJc w:val="left"/>
    </w:lvl>
  </w:abstractNum>
  <w:abstractNum w:abstractNumId="13">
    <w:nsid w:val="7A0F6431"/>
    <w:multiLevelType w:val="singleLevel"/>
    <w:tmpl w:val="7A0F6431"/>
    <w:lvl w:ilvl="0" w:tentative="0">
      <w:start w:val="1"/>
      <w:numFmt w:val="decimal"/>
      <w:suff w:val="space"/>
      <w:lvlText w:val="%1."/>
      <w:lvlJc w:val="left"/>
    </w:lvl>
  </w:abstractNum>
  <w:num w:numId="1">
    <w:abstractNumId w:val="5"/>
  </w:num>
  <w:num w:numId="2">
    <w:abstractNumId w:val="1"/>
  </w:num>
  <w:num w:numId="3">
    <w:abstractNumId w:val="12"/>
  </w:num>
  <w:num w:numId="4">
    <w:abstractNumId w:val="2"/>
  </w:num>
  <w:num w:numId="5">
    <w:abstractNumId w:val="0"/>
  </w:num>
  <w:num w:numId="6">
    <w:abstractNumId w:val="13"/>
  </w:num>
  <w:num w:numId="7">
    <w:abstractNumId w:val="4"/>
  </w:num>
  <w:num w:numId="8">
    <w:abstractNumId w:val="9"/>
  </w:num>
  <w:num w:numId="9">
    <w:abstractNumId w:val="7"/>
  </w:num>
  <w:num w:numId="10">
    <w:abstractNumId w:val="6"/>
  </w:num>
  <w:num w:numId="11">
    <w:abstractNumId w:val="3"/>
  </w:num>
  <w:num w:numId="12">
    <w:abstractNumId w:val="8"/>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13FA"/>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2F734B"/>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16A6E"/>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2E4F"/>
    <w:rsid w:val="00634CA8"/>
    <w:rsid w:val="00634D11"/>
    <w:rsid w:val="006357F8"/>
    <w:rsid w:val="00637736"/>
    <w:rsid w:val="00642E74"/>
    <w:rsid w:val="00643336"/>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0EA9"/>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0FB0"/>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2DD"/>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22DC"/>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284"/>
    <w:rsid w:val="00C24AC7"/>
    <w:rsid w:val="00C25258"/>
    <w:rsid w:val="00C255CE"/>
    <w:rsid w:val="00C26177"/>
    <w:rsid w:val="00C27633"/>
    <w:rsid w:val="00C27BEA"/>
    <w:rsid w:val="00C35401"/>
    <w:rsid w:val="00C3712E"/>
    <w:rsid w:val="00C40506"/>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4880"/>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8D1303"/>
    <w:rsid w:val="01CA5CC8"/>
    <w:rsid w:val="01E70628"/>
    <w:rsid w:val="01E81930"/>
    <w:rsid w:val="021444D5"/>
    <w:rsid w:val="02226211"/>
    <w:rsid w:val="02412B40"/>
    <w:rsid w:val="02771997"/>
    <w:rsid w:val="0293255D"/>
    <w:rsid w:val="02987B74"/>
    <w:rsid w:val="02AF08DA"/>
    <w:rsid w:val="02B315C6"/>
    <w:rsid w:val="02E25F12"/>
    <w:rsid w:val="02ED7750"/>
    <w:rsid w:val="030516AD"/>
    <w:rsid w:val="033E13D6"/>
    <w:rsid w:val="03670B9C"/>
    <w:rsid w:val="038A3F97"/>
    <w:rsid w:val="03993BA4"/>
    <w:rsid w:val="03A66B69"/>
    <w:rsid w:val="03A978C7"/>
    <w:rsid w:val="03D06ACE"/>
    <w:rsid w:val="03E017D2"/>
    <w:rsid w:val="042C4F6C"/>
    <w:rsid w:val="04446205"/>
    <w:rsid w:val="044E13F2"/>
    <w:rsid w:val="047255F5"/>
    <w:rsid w:val="048C54B6"/>
    <w:rsid w:val="049A4077"/>
    <w:rsid w:val="050808FC"/>
    <w:rsid w:val="05130EC4"/>
    <w:rsid w:val="051D6770"/>
    <w:rsid w:val="05452235"/>
    <w:rsid w:val="054D2BA5"/>
    <w:rsid w:val="055A330C"/>
    <w:rsid w:val="05696B81"/>
    <w:rsid w:val="056B7F96"/>
    <w:rsid w:val="05A21435"/>
    <w:rsid w:val="05B41FE1"/>
    <w:rsid w:val="05F52269"/>
    <w:rsid w:val="06127C3D"/>
    <w:rsid w:val="06215480"/>
    <w:rsid w:val="062D43AF"/>
    <w:rsid w:val="062E1176"/>
    <w:rsid w:val="063E255E"/>
    <w:rsid w:val="065D710A"/>
    <w:rsid w:val="069468A4"/>
    <w:rsid w:val="06A35E92"/>
    <w:rsid w:val="06AB5681"/>
    <w:rsid w:val="06D86E6E"/>
    <w:rsid w:val="06E710CA"/>
    <w:rsid w:val="06E94E42"/>
    <w:rsid w:val="07101435"/>
    <w:rsid w:val="072B0FB7"/>
    <w:rsid w:val="075F3828"/>
    <w:rsid w:val="07724E37"/>
    <w:rsid w:val="07B37245"/>
    <w:rsid w:val="07CD7BA4"/>
    <w:rsid w:val="07EC1177"/>
    <w:rsid w:val="08236FF3"/>
    <w:rsid w:val="08A54D99"/>
    <w:rsid w:val="08D916F2"/>
    <w:rsid w:val="08DE3DCA"/>
    <w:rsid w:val="08E33B14"/>
    <w:rsid w:val="08FD17C0"/>
    <w:rsid w:val="09121B08"/>
    <w:rsid w:val="09403A6F"/>
    <w:rsid w:val="0966767D"/>
    <w:rsid w:val="09B14CEA"/>
    <w:rsid w:val="09B4074E"/>
    <w:rsid w:val="09B47989"/>
    <w:rsid w:val="09CB6A81"/>
    <w:rsid w:val="0A0106F5"/>
    <w:rsid w:val="0A0F43A2"/>
    <w:rsid w:val="0A522CFE"/>
    <w:rsid w:val="0A537E82"/>
    <w:rsid w:val="0A670558"/>
    <w:rsid w:val="0AD31B13"/>
    <w:rsid w:val="0B1F1512"/>
    <w:rsid w:val="0B3913B2"/>
    <w:rsid w:val="0B493CA4"/>
    <w:rsid w:val="0B5C3158"/>
    <w:rsid w:val="0B845139"/>
    <w:rsid w:val="0B913B41"/>
    <w:rsid w:val="0B990BA4"/>
    <w:rsid w:val="0BB023D2"/>
    <w:rsid w:val="0BC027C4"/>
    <w:rsid w:val="0BC750CE"/>
    <w:rsid w:val="0BE16F32"/>
    <w:rsid w:val="0C154007"/>
    <w:rsid w:val="0C204376"/>
    <w:rsid w:val="0C254A1B"/>
    <w:rsid w:val="0C526FE5"/>
    <w:rsid w:val="0C6875C2"/>
    <w:rsid w:val="0C9866B9"/>
    <w:rsid w:val="0CA77331"/>
    <w:rsid w:val="0CB16402"/>
    <w:rsid w:val="0CC876EA"/>
    <w:rsid w:val="0CCE4C03"/>
    <w:rsid w:val="0CE73AF0"/>
    <w:rsid w:val="0CEC0DE7"/>
    <w:rsid w:val="0CF3634C"/>
    <w:rsid w:val="0D0227BA"/>
    <w:rsid w:val="0D5F19BA"/>
    <w:rsid w:val="0D5F295B"/>
    <w:rsid w:val="0D605732"/>
    <w:rsid w:val="0D6A5091"/>
    <w:rsid w:val="0D844388"/>
    <w:rsid w:val="0DEE34CD"/>
    <w:rsid w:val="0E036F0B"/>
    <w:rsid w:val="0E0661A0"/>
    <w:rsid w:val="0E0B29BB"/>
    <w:rsid w:val="0E0B7D94"/>
    <w:rsid w:val="0E183F30"/>
    <w:rsid w:val="0E230C39"/>
    <w:rsid w:val="0E607F86"/>
    <w:rsid w:val="0E8A0CB9"/>
    <w:rsid w:val="0E9C279A"/>
    <w:rsid w:val="0EA645EB"/>
    <w:rsid w:val="0EB421D9"/>
    <w:rsid w:val="0ECF2A4F"/>
    <w:rsid w:val="0F142273"/>
    <w:rsid w:val="0F5B4403"/>
    <w:rsid w:val="0F5D008C"/>
    <w:rsid w:val="0F6541C3"/>
    <w:rsid w:val="0F6627A1"/>
    <w:rsid w:val="0F9A5CF8"/>
    <w:rsid w:val="0FD3114F"/>
    <w:rsid w:val="0FE46009"/>
    <w:rsid w:val="0FEE5EBF"/>
    <w:rsid w:val="10153C10"/>
    <w:rsid w:val="10765DAF"/>
    <w:rsid w:val="108300B5"/>
    <w:rsid w:val="108654B0"/>
    <w:rsid w:val="108C64EF"/>
    <w:rsid w:val="10BE733F"/>
    <w:rsid w:val="10CA1840"/>
    <w:rsid w:val="10CF3F1B"/>
    <w:rsid w:val="10D97CD5"/>
    <w:rsid w:val="10FC5772"/>
    <w:rsid w:val="11093651"/>
    <w:rsid w:val="111929FB"/>
    <w:rsid w:val="11662604"/>
    <w:rsid w:val="11796EDC"/>
    <w:rsid w:val="118B0DEE"/>
    <w:rsid w:val="119D5A3B"/>
    <w:rsid w:val="11AB5777"/>
    <w:rsid w:val="121C00A4"/>
    <w:rsid w:val="12635AA8"/>
    <w:rsid w:val="12696EA4"/>
    <w:rsid w:val="127840D2"/>
    <w:rsid w:val="12900790"/>
    <w:rsid w:val="12900868"/>
    <w:rsid w:val="129C3E15"/>
    <w:rsid w:val="12A02ED2"/>
    <w:rsid w:val="13192CDB"/>
    <w:rsid w:val="131E6243"/>
    <w:rsid w:val="13280779"/>
    <w:rsid w:val="133A40DB"/>
    <w:rsid w:val="134F24D1"/>
    <w:rsid w:val="13982333"/>
    <w:rsid w:val="139D188B"/>
    <w:rsid w:val="13AA7707"/>
    <w:rsid w:val="13B71069"/>
    <w:rsid w:val="13FF3EF7"/>
    <w:rsid w:val="144E2788"/>
    <w:rsid w:val="14806439"/>
    <w:rsid w:val="149C1746"/>
    <w:rsid w:val="14B106F3"/>
    <w:rsid w:val="14E4477F"/>
    <w:rsid w:val="156E7BEB"/>
    <w:rsid w:val="15BD1BCA"/>
    <w:rsid w:val="15FB113C"/>
    <w:rsid w:val="16105DC5"/>
    <w:rsid w:val="166E7112"/>
    <w:rsid w:val="16730284"/>
    <w:rsid w:val="16753FFC"/>
    <w:rsid w:val="169E5884"/>
    <w:rsid w:val="16B965DF"/>
    <w:rsid w:val="170E68D9"/>
    <w:rsid w:val="17233640"/>
    <w:rsid w:val="1741793A"/>
    <w:rsid w:val="1743234C"/>
    <w:rsid w:val="17933E49"/>
    <w:rsid w:val="17966F3F"/>
    <w:rsid w:val="179901BE"/>
    <w:rsid w:val="17C24EE1"/>
    <w:rsid w:val="17C27715"/>
    <w:rsid w:val="17C57205"/>
    <w:rsid w:val="17DF0A39"/>
    <w:rsid w:val="17E4768B"/>
    <w:rsid w:val="17FC3BA5"/>
    <w:rsid w:val="182513C0"/>
    <w:rsid w:val="18397E11"/>
    <w:rsid w:val="18735E22"/>
    <w:rsid w:val="189932A2"/>
    <w:rsid w:val="18FD340F"/>
    <w:rsid w:val="193E47DD"/>
    <w:rsid w:val="194505FE"/>
    <w:rsid w:val="19687E48"/>
    <w:rsid w:val="196B1CEA"/>
    <w:rsid w:val="198E1EAE"/>
    <w:rsid w:val="19DF6A21"/>
    <w:rsid w:val="19E05949"/>
    <w:rsid w:val="19E80331"/>
    <w:rsid w:val="19FB3499"/>
    <w:rsid w:val="1A24288D"/>
    <w:rsid w:val="1B1B5294"/>
    <w:rsid w:val="1B356450"/>
    <w:rsid w:val="1B434F04"/>
    <w:rsid w:val="1B485443"/>
    <w:rsid w:val="1B8F1873"/>
    <w:rsid w:val="1B9C14FB"/>
    <w:rsid w:val="1BDF430E"/>
    <w:rsid w:val="1BEB4F4B"/>
    <w:rsid w:val="1BEF4851"/>
    <w:rsid w:val="1BFE3C79"/>
    <w:rsid w:val="1C2C01A7"/>
    <w:rsid w:val="1C3154D0"/>
    <w:rsid w:val="1C4F3541"/>
    <w:rsid w:val="1C584649"/>
    <w:rsid w:val="1C604FCC"/>
    <w:rsid w:val="1C792E22"/>
    <w:rsid w:val="1CB01607"/>
    <w:rsid w:val="1CB57848"/>
    <w:rsid w:val="1CBF2475"/>
    <w:rsid w:val="1CE25344"/>
    <w:rsid w:val="1CF11B30"/>
    <w:rsid w:val="1CF4323C"/>
    <w:rsid w:val="1D2A0352"/>
    <w:rsid w:val="1D2D5631"/>
    <w:rsid w:val="1D345E0F"/>
    <w:rsid w:val="1D581D92"/>
    <w:rsid w:val="1D880AB9"/>
    <w:rsid w:val="1D9569FB"/>
    <w:rsid w:val="1DAE2109"/>
    <w:rsid w:val="1DB9452C"/>
    <w:rsid w:val="1DDE5424"/>
    <w:rsid w:val="1DE33F41"/>
    <w:rsid w:val="1DE71C83"/>
    <w:rsid w:val="1E0A0261"/>
    <w:rsid w:val="1E206809"/>
    <w:rsid w:val="1E5828D6"/>
    <w:rsid w:val="1E5A0F1E"/>
    <w:rsid w:val="1E5A29B0"/>
    <w:rsid w:val="1E71779F"/>
    <w:rsid w:val="1E8A6AB3"/>
    <w:rsid w:val="1EBC700B"/>
    <w:rsid w:val="1EFB3211"/>
    <w:rsid w:val="1F103EA9"/>
    <w:rsid w:val="1F1D7927"/>
    <w:rsid w:val="1F486D04"/>
    <w:rsid w:val="1F5E7C06"/>
    <w:rsid w:val="1F784B5D"/>
    <w:rsid w:val="1F9927EB"/>
    <w:rsid w:val="1FB14636"/>
    <w:rsid w:val="1FCA3C17"/>
    <w:rsid w:val="1FDB296A"/>
    <w:rsid w:val="1FE909DC"/>
    <w:rsid w:val="1FF42436"/>
    <w:rsid w:val="204333BD"/>
    <w:rsid w:val="20457135"/>
    <w:rsid w:val="20631369"/>
    <w:rsid w:val="20755F4B"/>
    <w:rsid w:val="20AF152F"/>
    <w:rsid w:val="210D0B42"/>
    <w:rsid w:val="21431371"/>
    <w:rsid w:val="2149055F"/>
    <w:rsid w:val="21513626"/>
    <w:rsid w:val="215C64E4"/>
    <w:rsid w:val="215D225D"/>
    <w:rsid w:val="21707EAF"/>
    <w:rsid w:val="219537A4"/>
    <w:rsid w:val="21C36564"/>
    <w:rsid w:val="21DF0EC4"/>
    <w:rsid w:val="21FC31E6"/>
    <w:rsid w:val="221C055F"/>
    <w:rsid w:val="222207D1"/>
    <w:rsid w:val="223460AA"/>
    <w:rsid w:val="22471B27"/>
    <w:rsid w:val="22525E8C"/>
    <w:rsid w:val="228D0920"/>
    <w:rsid w:val="22CE35B4"/>
    <w:rsid w:val="22F02729"/>
    <w:rsid w:val="23026659"/>
    <w:rsid w:val="230A7A8F"/>
    <w:rsid w:val="23290736"/>
    <w:rsid w:val="23362D65"/>
    <w:rsid w:val="236E5E5F"/>
    <w:rsid w:val="2378337E"/>
    <w:rsid w:val="237E5141"/>
    <w:rsid w:val="23894376"/>
    <w:rsid w:val="23901997"/>
    <w:rsid w:val="239A32F4"/>
    <w:rsid w:val="23A61C99"/>
    <w:rsid w:val="23C5440E"/>
    <w:rsid w:val="23F30C56"/>
    <w:rsid w:val="24266C7C"/>
    <w:rsid w:val="2437006A"/>
    <w:rsid w:val="244A2F6C"/>
    <w:rsid w:val="246A64EC"/>
    <w:rsid w:val="248E0882"/>
    <w:rsid w:val="24AB04CD"/>
    <w:rsid w:val="24B85FE4"/>
    <w:rsid w:val="24D67678"/>
    <w:rsid w:val="24DF11A7"/>
    <w:rsid w:val="24FE4F91"/>
    <w:rsid w:val="251417B8"/>
    <w:rsid w:val="251E1D03"/>
    <w:rsid w:val="2524556B"/>
    <w:rsid w:val="252E63EA"/>
    <w:rsid w:val="25440C67"/>
    <w:rsid w:val="25493224"/>
    <w:rsid w:val="254E2618"/>
    <w:rsid w:val="25501510"/>
    <w:rsid w:val="25551BC9"/>
    <w:rsid w:val="256533FF"/>
    <w:rsid w:val="25714E00"/>
    <w:rsid w:val="25946DD0"/>
    <w:rsid w:val="25A53D6F"/>
    <w:rsid w:val="25E847EB"/>
    <w:rsid w:val="26545007"/>
    <w:rsid w:val="26572409"/>
    <w:rsid w:val="267047E0"/>
    <w:rsid w:val="26793FA2"/>
    <w:rsid w:val="26A1632F"/>
    <w:rsid w:val="26E718E0"/>
    <w:rsid w:val="26ED706D"/>
    <w:rsid w:val="27033701"/>
    <w:rsid w:val="270C05A6"/>
    <w:rsid w:val="270F7B55"/>
    <w:rsid w:val="272532E2"/>
    <w:rsid w:val="273B6B9C"/>
    <w:rsid w:val="27427F2B"/>
    <w:rsid w:val="276C3345"/>
    <w:rsid w:val="276F2332"/>
    <w:rsid w:val="27857F9B"/>
    <w:rsid w:val="2795721C"/>
    <w:rsid w:val="27A641C3"/>
    <w:rsid w:val="27A6670B"/>
    <w:rsid w:val="27C546B8"/>
    <w:rsid w:val="27E55CB6"/>
    <w:rsid w:val="281127EC"/>
    <w:rsid w:val="282633A8"/>
    <w:rsid w:val="284461F5"/>
    <w:rsid w:val="286766E4"/>
    <w:rsid w:val="286F1880"/>
    <w:rsid w:val="28944843"/>
    <w:rsid w:val="28A10C81"/>
    <w:rsid w:val="28BD0522"/>
    <w:rsid w:val="28DB6828"/>
    <w:rsid w:val="28EC2844"/>
    <w:rsid w:val="29025179"/>
    <w:rsid w:val="29114058"/>
    <w:rsid w:val="29745A9F"/>
    <w:rsid w:val="29895F6F"/>
    <w:rsid w:val="298E5CC2"/>
    <w:rsid w:val="29995DFC"/>
    <w:rsid w:val="29A54525"/>
    <w:rsid w:val="29AC6F9B"/>
    <w:rsid w:val="29B91807"/>
    <w:rsid w:val="29C97866"/>
    <w:rsid w:val="29E821D3"/>
    <w:rsid w:val="29F75268"/>
    <w:rsid w:val="2A0D55C1"/>
    <w:rsid w:val="2A840919"/>
    <w:rsid w:val="2A930A9D"/>
    <w:rsid w:val="2A967EB2"/>
    <w:rsid w:val="2AD417E1"/>
    <w:rsid w:val="2B065713"/>
    <w:rsid w:val="2B0D2CED"/>
    <w:rsid w:val="2B192609"/>
    <w:rsid w:val="2B2411B6"/>
    <w:rsid w:val="2B2871E7"/>
    <w:rsid w:val="2B9057FA"/>
    <w:rsid w:val="2BA35936"/>
    <w:rsid w:val="2BA70946"/>
    <w:rsid w:val="2BA9299F"/>
    <w:rsid w:val="2BBA0C84"/>
    <w:rsid w:val="2BF832AE"/>
    <w:rsid w:val="2BFE65C2"/>
    <w:rsid w:val="2C02412C"/>
    <w:rsid w:val="2C1665B8"/>
    <w:rsid w:val="2C295297"/>
    <w:rsid w:val="2C493B09"/>
    <w:rsid w:val="2C6E17C2"/>
    <w:rsid w:val="2D205D35"/>
    <w:rsid w:val="2D7503AA"/>
    <w:rsid w:val="2D7F69DE"/>
    <w:rsid w:val="2D9F6B68"/>
    <w:rsid w:val="2DB16F26"/>
    <w:rsid w:val="2DB3388B"/>
    <w:rsid w:val="2DC0604D"/>
    <w:rsid w:val="2DCA6ECC"/>
    <w:rsid w:val="2E0A056F"/>
    <w:rsid w:val="2E7B4C91"/>
    <w:rsid w:val="2E815E80"/>
    <w:rsid w:val="2E954277"/>
    <w:rsid w:val="2ED53A12"/>
    <w:rsid w:val="2EDF69A7"/>
    <w:rsid w:val="2EF038BC"/>
    <w:rsid w:val="2F091204"/>
    <w:rsid w:val="2F1A79DF"/>
    <w:rsid w:val="2F2A413F"/>
    <w:rsid w:val="2F363171"/>
    <w:rsid w:val="2F487431"/>
    <w:rsid w:val="2F6518B8"/>
    <w:rsid w:val="2F753569"/>
    <w:rsid w:val="2F9A32C8"/>
    <w:rsid w:val="2FB32CCE"/>
    <w:rsid w:val="30311375"/>
    <w:rsid w:val="30473F91"/>
    <w:rsid w:val="306058C5"/>
    <w:rsid w:val="30B023A9"/>
    <w:rsid w:val="30C714A1"/>
    <w:rsid w:val="30EB6F8A"/>
    <w:rsid w:val="311772A4"/>
    <w:rsid w:val="3118389A"/>
    <w:rsid w:val="31186537"/>
    <w:rsid w:val="312A7037"/>
    <w:rsid w:val="31B92B8B"/>
    <w:rsid w:val="32326CFB"/>
    <w:rsid w:val="324D032D"/>
    <w:rsid w:val="324D78CD"/>
    <w:rsid w:val="3257574A"/>
    <w:rsid w:val="32725BE7"/>
    <w:rsid w:val="329E21EF"/>
    <w:rsid w:val="32CE17D6"/>
    <w:rsid w:val="32D75DF9"/>
    <w:rsid w:val="32FB3683"/>
    <w:rsid w:val="32FD564D"/>
    <w:rsid w:val="3328091C"/>
    <w:rsid w:val="334409AC"/>
    <w:rsid w:val="337C1562"/>
    <w:rsid w:val="338910C0"/>
    <w:rsid w:val="338C6DB2"/>
    <w:rsid w:val="338F3097"/>
    <w:rsid w:val="33A51F6D"/>
    <w:rsid w:val="33C06DA7"/>
    <w:rsid w:val="33FE215A"/>
    <w:rsid w:val="342509B8"/>
    <w:rsid w:val="3425595B"/>
    <w:rsid w:val="34297F29"/>
    <w:rsid w:val="343819DA"/>
    <w:rsid w:val="344A5876"/>
    <w:rsid w:val="344D1C33"/>
    <w:rsid w:val="348820F0"/>
    <w:rsid w:val="348E47AF"/>
    <w:rsid w:val="34AE6BFF"/>
    <w:rsid w:val="34CA3E45"/>
    <w:rsid w:val="34CC177B"/>
    <w:rsid w:val="34D34153"/>
    <w:rsid w:val="34E34E96"/>
    <w:rsid w:val="350607E9"/>
    <w:rsid w:val="35381EF4"/>
    <w:rsid w:val="355E745E"/>
    <w:rsid w:val="359202CF"/>
    <w:rsid w:val="359758E5"/>
    <w:rsid w:val="359D5EEA"/>
    <w:rsid w:val="35BA1D81"/>
    <w:rsid w:val="35D02BA5"/>
    <w:rsid w:val="35D46B3A"/>
    <w:rsid w:val="35E033EA"/>
    <w:rsid w:val="35E8637E"/>
    <w:rsid w:val="35ED210C"/>
    <w:rsid w:val="35FC7E3E"/>
    <w:rsid w:val="36085C11"/>
    <w:rsid w:val="361B0127"/>
    <w:rsid w:val="363C3B17"/>
    <w:rsid w:val="36474247"/>
    <w:rsid w:val="365612FD"/>
    <w:rsid w:val="36756424"/>
    <w:rsid w:val="3677309A"/>
    <w:rsid w:val="36AD2EE7"/>
    <w:rsid w:val="36BD75CE"/>
    <w:rsid w:val="36F40B16"/>
    <w:rsid w:val="370C52DF"/>
    <w:rsid w:val="370C5E5F"/>
    <w:rsid w:val="374B6987"/>
    <w:rsid w:val="374D6BA3"/>
    <w:rsid w:val="375A306E"/>
    <w:rsid w:val="37AA6440"/>
    <w:rsid w:val="37AF0A14"/>
    <w:rsid w:val="37CE1367"/>
    <w:rsid w:val="37D746BF"/>
    <w:rsid w:val="37E528A4"/>
    <w:rsid w:val="38085F26"/>
    <w:rsid w:val="38426065"/>
    <w:rsid w:val="38B810AA"/>
    <w:rsid w:val="38C84008"/>
    <w:rsid w:val="38C8511B"/>
    <w:rsid w:val="38CA5FD2"/>
    <w:rsid w:val="38EB0F04"/>
    <w:rsid w:val="38FE081E"/>
    <w:rsid w:val="39411452"/>
    <w:rsid w:val="397B72CC"/>
    <w:rsid w:val="397C49C3"/>
    <w:rsid w:val="39B22FFA"/>
    <w:rsid w:val="39BA7DF4"/>
    <w:rsid w:val="39C15930"/>
    <w:rsid w:val="39F913A9"/>
    <w:rsid w:val="3A173499"/>
    <w:rsid w:val="3A30022F"/>
    <w:rsid w:val="3A371445"/>
    <w:rsid w:val="3A503980"/>
    <w:rsid w:val="3A553CC1"/>
    <w:rsid w:val="3A6B5E65"/>
    <w:rsid w:val="3A886145"/>
    <w:rsid w:val="3A8D72B7"/>
    <w:rsid w:val="3AB900AC"/>
    <w:rsid w:val="3AC52EF5"/>
    <w:rsid w:val="3AC91083"/>
    <w:rsid w:val="3B007A89"/>
    <w:rsid w:val="3B027CA5"/>
    <w:rsid w:val="3B0A5A2B"/>
    <w:rsid w:val="3B2E2848"/>
    <w:rsid w:val="3B5D4EDB"/>
    <w:rsid w:val="3B81506E"/>
    <w:rsid w:val="3BA60D07"/>
    <w:rsid w:val="3BA6272A"/>
    <w:rsid w:val="3BAC0F6E"/>
    <w:rsid w:val="3BB22833"/>
    <w:rsid w:val="3BC4775F"/>
    <w:rsid w:val="3BDD02C5"/>
    <w:rsid w:val="3BE27C97"/>
    <w:rsid w:val="3BE473AB"/>
    <w:rsid w:val="3C9A513B"/>
    <w:rsid w:val="3CC03E16"/>
    <w:rsid w:val="3CCD2793"/>
    <w:rsid w:val="3CFA57E4"/>
    <w:rsid w:val="3D0221DE"/>
    <w:rsid w:val="3D092B74"/>
    <w:rsid w:val="3D0C448F"/>
    <w:rsid w:val="3D1E60DF"/>
    <w:rsid w:val="3D272D3D"/>
    <w:rsid w:val="3D2B44D7"/>
    <w:rsid w:val="3D6D68BF"/>
    <w:rsid w:val="3D9236E4"/>
    <w:rsid w:val="3DA8784D"/>
    <w:rsid w:val="3DE2791A"/>
    <w:rsid w:val="3E053B4B"/>
    <w:rsid w:val="3E0C1E60"/>
    <w:rsid w:val="3E151A9D"/>
    <w:rsid w:val="3E2174C3"/>
    <w:rsid w:val="3E375EB7"/>
    <w:rsid w:val="3E38205E"/>
    <w:rsid w:val="3E9E5F37"/>
    <w:rsid w:val="3EA47C68"/>
    <w:rsid w:val="3EC45EF4"/>
    <w:rsid w:val="3ED03C16"/>
    <w:rsid w:val="3EDE27D7"/>
    <w:rsid w:val="3EDF08B2"/>
    <w:rsid w:val="3EEB27FE"/>
    <w:rsid w:val="3EF25F54"/>
    <w:rsid w:val="3F320FAA"/>
    <w:rsid w:val="3F3423F7"/>
    <w:rsid w:val="3F8E1B07"/>
    <w:rsid w:val="40161AFD"/>
    <w:rsid w:val="401D10DD"/>
    <w:rsid w:val="403326AF"/>
    <w:rsid w:val="403A53E2"/>
    <w:rsid w:val="40524297"/>
    <w:rsid w:val="408B6047"/>
    <w:rsid w:val="409A517D"/>
    <w:rsid w:val="40AF442B"/>
    <w:rsid w:val="40E165AE"/>
    <w:rsid w:val="411C75E7"/>
    <w:rsid w:val="41540B2E"/>
    <w:rsid w:val="415E333C"/>
    <w:rsid w:val="416B795B"/>
    <w:rsid w:val="418F600A"/>
    <w:rsid w:val="419B5FD1"/>
    <w:rsid w:val="419E1DAA"/>
    <w:rsid w:val="41A7056B"/>
    <w:rsid w:val="420D5851"/>
    <w:rsid w:val="424B3CDF"/>
    <w:rsid w:val="426D19F0"/>
    <w:rsid w:val="42983DA3"/>
    <w:rsid w:val="429B3C85"/>
    <w:rsid w:val="42D31F27"/>
    <w:rsid w:val="42D33CD5"/>
    <w:rsid w:val="42DD037E"/>
    <w:rsid w:val="42FC5208"/>
    <w:rsid w:val="43341596"/>
    <w:rsid w:val="43571E00"/>
    <w:rsid w:val="436F7EA2"/>
    <w:rsid w:val="43860D47"/>
    <w:rsid w:val="43DE4EDB"/>
    <w:rsid w:val="43E0541A"/>
    <w:rsid w:val="43ED0DC6"/>
    <w:rsid w:val="43FB4652"/>
    <w:rsid w:val="43FF1225"/>
    <w:rsid w:val="4410457F"/>
    <w:rsid w:val="441459B9"/>
    <w:rsid w:val="44265D5C"/>
    <w:rsid w:val="445F4788"/>
    <w:rsid w:val="449633BF"/>
    <w:rsid w:val="44B32884"/>
    <w:rsid w:val="44C147DB"/>
    <w:rsid w:val="44D94857"/>
    <w:rsid w:val="44DD3B52"/>
    <w:rsid w:val="44E032D7"/>
    <w:rsid w:val="44E73A68"/>
    <w:rsid w:val="45117DDD"/>
    <w:rsid w:val="45223845"/>
    <w:rsid w:val="45290298"/>
    <w:rsid w:val="45B51211"/>
    <w:rsid w:val="45BD6D52"/>
    <w:rsid w:val="45BF5F80"/>
    <w:rsid w:val="45E94130"/>
    <w:rsid w:val="45EF52CA"/>
    <w:rsid w:val="46276812"/>
    <w:rsid w:val="462955F1"/>
    <w:rsid w:val="462A4554"/>
    <w:rsid w:val="463F5DF5"/>
    <w:rsid w:val="46517D32"/>
    <w:rsid w:val="465377A4"/>
    <w:rsid w:val="46753001"/>
    <w:rsid w:val="46821C9A"/>
    <w:rsid w:val="46E51A75"/>
    <w:rsid w:val="46F84891"/>
    <w:rsid w:val="473A07C7"/>
    <w:rsid w:val="473B1F33"/>
    <w:rsid w:val="475B4828"/>
    <w:rsid w:val="4770244E"/>
    <w:rsid w:val="47762C36"/>
    <w:rsid w:val="477C0DDF"/>
    <w:rsid w:val="480212E4"/>
    <w:rsid w:val="4802743A"/>
    <w:rsid w:val="481650EB"/>
    <w:rsid w:val="482B73A4"/>
    <w:rsid w:val="4880469E"/>
    <w:rsid w:val="48C04CFB"/>
    <w:rsid w:val="48CF42A1"/>
    <w:rsid w:val="48FF5824"/>
    <w:rsid w:val="490842E1"/>
    <w:rsid w:val="49266FC3"/>
    <w:rsid w:val="492B03C7"/>
    <w:rsid w:val="49307A8A"/>
    <w:rsid w:val="493C6A78"/>
    <w:rsid w:val="49425710"/>
    <w:rsid w:val="494D38A5"/>
    <w:rsid w:val="498E5824"/>
    <w:rsid w:val="49BB2E76"/>
    <w:rsid w:val="49DE053E"/>
    <w:rsid w:val="49DE368B"/>
    <w:rsid w:val="4A201EF6"/>
    <w:rsid w:val="4A49107C"/>
    <w:rsid w:val="4A4F730C"/>
    <w:rsid w:val="4A515473"/>
    <w:rsid w:val="4A625D30"/>
    <w:rsid w:val="4A6617BA"/>
    <w:rsid w:val="4A767D68"/>
    <w:rsid w:val="4B475260"/>
    <w:rsid w:val="4B4B65BB"/>
    <w:rsid w:val="4B4C2876"/>
    <w:rsid w:val="4B7F38EA"/>
    <w:rsid w:val="4B935E0E"/>
    <w:rsid w:val="4B9E1324"/>
    <w:rsid w:val="4BBF201F"/>
    <w:rsid w:val="4BC045B9"/>
    <w:rsid w:val="4BC82845"/>
    <w:rsid w:val="4BDA6435"/>
    <w:rsid w:val="4BE17463"/>
    <w:rsid w:val="4C5317C1"/>
    <w:rsid w:val="4C596AD0"/>
    <w:rsid w:val="4CA26BF2"/>
    <w:rsid w:val="4CEE1E37"/>
    <w:rsid w:val="4D145F92"/>
    <w:rsid w:val="4D330192"/>
    <w:rsid w:val="4D3B1C54"/>
    <w:rsid w:val="4D461C73"/>
    <w:rsid w:val="4DAC634B"/>
    <w:rsid w:val="4E092CA1"/>
    <w:rsid w:val="4E111A5A"/>
    <w:rsid w:val="4E25051C"/>
    <w:rsid w:val="4E4156DB"/>
    <w:rsid w:val="4E93713A"/>
    <w:rsid w:val="4F1456D4"/>
    <w:rsid w:val="4F145898"/>
    <w:rsid w:val="4F4915E5"/>
    <w:rsid w:val="4F754A92"/>
    <w:rsid w:val="4F9905AE"/>
    <w:rsid w:val="4F9926C4"/>
    <w:rsid w:val="4FC33F25"/>
    <w:rsid w:val="4FD001C7"/>
    <w:rsid w:val="4FFE214A"/>
    <w:rsid w:val="4FFF4B10"/>
    <w:rsid w:val="4FFF6109"/>
    <w:rsid w:val="50095F5C"/>
    <w:rsid w:val="500B71A4"/>
    <w:rsid w:val="502E60F8"/>
    <w:rsid w:val="50333A27"/>
    <w:rsid w:val="50334005"/>
    <w:rsid w:val="50572C95"/>
    <w:rsid w:val="505E4B9C"/>
    <w:rsid w:val="50836259"/>
    <w:rsid w:val="50A30487"/>
    <w:rsid w:val="50DD1804"/>
    <w:rsid w:val="510F580A"/>
    <w:rsid w:val="51216C24"/>
    <w:rsid w:val="51543E3D"/>
    <w:rsid w:val="51A52CE0"/>
    <w:rsid w:val="51DF6DC8"/>
    <w:rsid w:val="51E6007E"/>
    <w:rsid w:val="520D262F"/>
    <w:rsid w:val="52195EFA"/>
    <w:rsid w:val="52392BBE"/>
    <w:rsid w:val="526A0AC2"/>
    <w:rsid w:val="529674E9"/>
    <w:rsid w:val="52B1378F"/>
    <w:rsid w:val="52C07F46"/>
    <w:rsid w:val="52E72213"/>
    <w:rsid w:val="535D3873"/>
    <w:rsid w:val="53876B42"/>
    <w:rsid w:val="54045B97"/>
    <w:rsid w:val="54153BAB"/>
    <w:rsid w:val="543E18F6"/>
    <w:rsid w:val="54547704"/>
    <w:rsid w:val="546B1FBF"/>
    <w:rsid w:val="54834226"/>
    <w:rsid w:val="54996B2C"/>
    <w:rsid w:val="54BE4D09"/>
    <w:rsid w:val="54FA7CE1"/>
    <w:rsid w:val="550A7A2A"/>
    <w:rsid w:val="554A7E27"/>
    <w:rsid w:val="555E1B24"/>
    <w:rsid w:val="55683E45"/>
    <w:rsid w:val="556A04C9"/>
    <w:rsid w:val="558F102F"/>
    <w:rsid w:val="559D6882"/>
    <w:rsid w:val="559E5653"/>
    <w:rsid w:val="55AB3C2F"/>
    <w:rsid w:val="55AC40A5"/>
    <w:rsid w:val="55BA31FE"/>
    <w:rsid w:val="55DB4169"/>
    <w:rsid w:val="55E16072"/>
    <w:rsid w:val="55EC35D4"/>
    <w:rsid w:val="55FE20ED"/>
    <w:rsid w:val="560E52F8"/>
    <w:rsid w:val="561A4621"/>
    <w:rsid w:val="56373C3F"/>
    <w:rsid w:val="56383CF3"/>
    <w:rsid w:val="56455CD4"/>
    <w:rsid w:val="565C42B5"/>
    <w:rsid w:val="56902993"/>
    <w:rsid w:val="56AE76A6"/>
    <w:rsid w:val="56D4209E"/>
    <w:rsid w:val="56DB2C2D"/>
    <w:rsid w:val="56E4418B"/>
    <w:rsid w:val="56EC7829"/>
    <w:rsid w:val="57064221"/>
    <w:rsid w:val="576C1061"/>
    <w:rsid w:val="5773022F"/>
    <w:rsid w:val="57770C7B"/>
    <w:rsid w:val="57DF277D"/>
    <w:rsid w:val="57E50495"/>
    <w:rsid w:val="580A1AEF"/>
    <w:rsid w:val="58776655"/>
    <w:rsid w:val="58B74216"/>
    <w:rsid w:val="58C16652"/>
    <w:rsid w:val="590752B6"/>
    <w:rsid w:val="591F15CA"/>
    <w:rsid w:val="592D0FB2"/>
    <w:rsid w:val="594F4A95"/>
    <w:rsid w:val="596D67DA"/>
    <w:rsid w:val="59760D08"/>
    <w:rsid w:val="599E6993"/>
    <w:rsid w:val="59A60DC8"/>
    <w:rsid w:val="59AC5554"/>
    <w:rsid w:val="59B10AE1"/>
    <w:rsid w:val="59F8229B"/>
    <w:rsid w:val="5A564466"/>
    <w:rsid w:val="5A6B0F71"/>
    <w:rsid w:val="5A902780"/>
    <w:rsid w:val="5A9F4737"/>
    <w:rsid w:val="5AAE2C06"/>
    <w:rsid w:val="5AD04F6E"/>
    <w:rsid w:val="5AE8436A"/>
    <w:rsid w:val="5AF80325"/>
    <w:rsid w:val="5B6339F0"/>
    <w:rsid w:val="5BA20303"/>
    <w:rsid w:val="5BEE63E9"/>
    <w:rsid w:val="5BF6561B"/>
    <w:rsid w:val="5BFA4C14"/>
    <w:rsid w:val="5C260B14"/>
    <w:rsid w:val="5C2A6C04"/>
    <w:rsid w:val="5C3543D2"/>
    <w:rsid w:val="5C406532"/>
    <w:rsid w:val="5C4E69BE"/>
    <w:rsid w:val="5CE36031"/>
    <w:rsid w:val="5CFC5838"/>
    <w:rsid w:val="5D3E4962"/>
    <w:rsid w:val="5D79752D"/>
    <w:rsid w:val="5DB26EB1"/>
    <w:rsid w:val="5DBA559D"/>
    <w:rsid w:val="5DBF6577"/>
    <w:rsid w:val="5DC34F1C"/>
    <w:rsid w:val="5DFE3EA4"/>
    <w:rsid w:val="5E465887"/>
    <w:rsid w:val="5E473A9D"/>
    <w:rsid w:val="5E804CC0"/>
    <w:rsid w:val="5E8425FB"/>
    <w:rsid w:val="5EE50BC0"/>
    <w:rsid w:val="5F0664A4"/>
    <w:rsid w:val="5F181B76"/>
    <w:rsid w:val="5F463D55"/>
    <w:rsid w:val="5F7A4B09"/>
    <w:rsid w:val="5FD4389C"/>
    <w:rsid w:val="5FEC48FC"/>
    <w:rsid w:val="6013374F"/>
    <w:rsid w:val="607620C3"/>
    <w:rsid w:val="60A05E5C"/>
    <w:rsid w:val="60B116A2"/>
    <w:rsid w:val="60B42F40"/>
    <w:rsid w:val="60B7767B"/>
    <w:rsid w:val="60CC348A"/>
    <w:rsid w:val="60D24296"/>
    <w:rsid w:val="610A1B10"/>
    <w:rsid w:val="61221DAA"/>
    <w:rsid w:val="61696F59"/>
    <w:rsid w:val="6186757B"/>
    <w:rsid w:val="61A962B9"/>
    <w:rsid w:val="61D672CA"/>
    <w:rsid w:val="61E63AF5"/>
    <w:rsid w:val="626A2DAC"/>
    <w:rsid w:val="62713F4B"/>
    <w:rsid w:val="62784498"/>
    <w:rsid w:val="62A86D6B"/>
    <w:rsid w:val="62C25DC1"/>
    <w:rsid w:val="63293771"/>
    <w:rsid w:val="637C0DF3"/>
    <w:rsid w:val="637C7D45"/>
    <w:rsid w:val="639808F7"/>
    <w:rsid w:val="64013379"/>
    <w:rsid w:val="64565496"/>
    <w:rsid w:val="645F2960"/>
    <w:rsid w:val="64654C7D"/>
    <w:rsid w:val="646C7950"/>
    <w:rsid w:val="64AE3702"/>
    <w:rsid w:val="64BD496D"/>
    <w:rsid w:val="64BE25DF"/>
    <w:rsid w:val="64C44758"/>
    <w:rsid w:val="64EA6A96"/>
    <w:rsid w:val="64F93617"/>
    <w:rsid w:val="65246D5E"/>
    <w:rsid w:val="655D3BA6"/>
    <w:rsid w:val="65655387"/>
    <w:rsid w:val="659A6BA8"/>
    <w:rsid w:val="65A50F20"/>
    <w:rsid w:val="65EF58FA"/>
    <w:rsid w:val="65FE7BFD"/>
    <w:rsid w:val="66397220"/>
    <w:rsid w:val="66AF4C3B"/>
    <w:rsid w:val="66EC6F90"/>
    <w:rsid w:val="66F2031E"/>
    <w:rsid w:val="675B054A"/>
    <w:rsid w:val="677C3AAE"/>
    <w:rsid w:val="67AA6A71"/>
    <w:rsid w:val="67AA7E58"/>
    <w:rsid w:val="67AB0BF9"/>
    <w:rsid w:val="67E662B3"/>
    <w:rsid w:val="68077DF9"/>
    <w:rsid w:val="680F6F74"/>
    <w:rsid w:val="68382663"/>
    <w:rsid w:val="686314D3"/>
    <w:rsid w:val="68684D3A"/>
    <w:rsid w:val="6888718C"/>
    <w:rsid w:val="68E5527F"/>
    <w:rsid w:val="69112B6D"/>
    <w:rsid w:val="693354D1"/>
    <w:rsid w:val="69677B7C"/>
    <w:rsid w:val="69733B79"/>
    <w:rsid w:val="69A578CA"/>
    <w:rsid w:val="6A611A43"/>
    <w:rsid w:val="6A7343B6"/>
    <w:rsid w:val="6AA656A7"/>
    <w:rsid w:val="6AB029CA"/>
    <w:rsid w:val="6AB40090"/>
    <w:rsid w:val="6AD32E40"/>
    <w:rsid w:val="6ADE7537"/>
    <w:rsid w:val="6AE34B4E"/>
    <w:rsid w:val="6B1F6200"/>
    <w:rsid w:val="6B4A3375"/>
    <w:rsid w:val="6B5E5596"/>
    <w:rsid w:val="6B825FC3"/>
    <w:rsid w:val="6B8359E9"/>
    <w:rsid w:val="6B9D0892"/>
    <w:rsid w:val="6BC952E4"/>
    <w:rsid w:val="6BD12BF8"/>
    <w:rsid w:val="6C613F7C"/>
    <w:rsid w:val="6C631880"/>
    <w:rsid w:val="6C636C8C"/>
    <w:rsid w:val="6C6D16B4"/>
    <w:rsid w:val="6C806253"/>
    <w:rsid w:val="6CB542C8"/>
    <w:rsid w:val="6CD74FCF"/>
    <w:rsid w:val="6CE133B2"/>
    <w:rsid w:val="6CF748E0"/>
    <w:rsid w:val="6D15191A"/>
    <w:rsid w:val="6D52620C"/>
    <w:rsid w:val="6D7D3037"/>
    <w:rsid w:val="6D8E14DE"/>
    <w:rsid w:val="6D934609"/>
    <w:rsid w:val="6DAE50AD"/>
    <w:rsid w:val="6DB90012"/>
    <w:rsid w:val="6DD624F7"/>
    <w:rsid w:val="6DDA2238"/>
    <w:rsid w:val="6E0E1EE1"/>
    <w:rsid w:val="6E5A21EA"/>
    <w:rsid w:val="6EB8009F"/>
    <w:rsid w:val="6EC72090"/>
    <w:rsid w:val="6F0A3093"/>
    <w:rsid w:val="6F834B73"/>
    <w:rsid w:val="6F857F81"/>
    <w:rsid w:val="6F883155"/>
    <w:rsid w:val="6FAD74D8"/>
    <w:rsid w:val="6FC6124D"/>
    <w:rsid w:val="6FC62348"/>
    <w:rsid w:val="6FDA0E82"/>
    <w:rsid w:val="6FDC27EA"/>
    <w:rsid w:val="6FDE56F1"/>
    <w:rsid w:val="6FE10E18"/>
    <w:rsid w:val="6FE309EC"/>
    <w:rsid w:val="6FEC14A9"/>
    <w:rsid w:val="6FEC6252"/>
    <w:rsid w:val="70130316"/>
    <w:rsid w:val="702E23C7"/>
    <w:rsid w:val="70827584"/>
    <w:rsid w:val="70A15EF2"/>
    <w:rsid w:val="70C96037"/>
    <w:rsid w:val="70CB230C"/>
    <w:rsid w:val="71193CAD"/>
    <w:rsid w:val="712A6878"/>
    <w:rsid w:val="71AB37A1"/>
    <w:rsid w:val="71B752F6"/>
    <w:rsid w:val="71D761D7"/>
    <w:rsid w:val="71F1275F"/>
    <w:rsid w:val="721E46BD"/>
    <w:rsid w:val="72201F3D"/>
    <w:rsid w:val="72271FEC"/>
    <w:rsid w:val="722E41C4"/>
    <w:rsid w:val="72587BCF"/>
    <w:rsid w:val="72655E48"/>
    <w:rsid w:val="72712F6C"/>
    <w:rsid w:val="72824C4C"/>
    <w:rsid w:val="728A3B01"/>
    <w:rsid w:val="729D4E7D"/>
    <w:rsid w:val="72D37256"/>
    <w:rsid w:val="72D93738"/>
    <w:rsid w:val="73434202"/>
    <w:rsid w:val="734819F2"/>
    <w:rsid w:val="734D6303"/>
    <w:rsid w:val="735B7378"/>
    <w:rsid w:val="735E3FA1"/>
    <w:rsid w:val="737A1DC7"/>
    <w:rsid w:val="737A608E"/>
    <w:rsid w:val="73A806E2"/>
    <w:rsid w:val="73BC418E"/>
    <w:rsid w:val="73FE4ED9"/>
    <w:rsid w:val="741D2E7E"/>
    <w:rsid w:val="744B56A6"/>
    <w:rsid w:val="74A16CBA"/>
    <w:rsid w:val="74CB28DA"/>
    <w:rsid w:val="74D53759"/>
    <w:rsid w:val="74DE6E03"/>
    <w:rsid w:val="74F33BDF"/>
    <w:rsid w:val="75017A26"/>
    <w:rsid w:val="750556C0"/>
    <w:rsid w:val="752B5D11"/>
    <w:rsid w:val="752C70F1"/>
    <w:rsid w:val="75387844"/>
    <w:rsid w:val="753903C8"/>
    <w:rsid w:val="75443874"/>
    <w:rsid w:val="75CC2E8E"/>
    <w:rsid w:val="75D3559B"/>
    <w:rsid w:val="75DC4AB5"/>
    <w:rsid w:val="75EF406B"/>
    <w:rsid w:val="76391AC6"/>
    <w:rsid w:val="765B7C8E"/>
    <w:rsid w:val="7664604C"/>
    <w:rsid w:val="76707B96"/>
    <w:rsid w:val="76726D86"/>
    <w:rsid w:val="768A6FF9"/>
    <w:rsid w:val="768D36C7"/>
    <w:rsid w:val="76985EA2"/>
    <w:rsid w:val="76C3504D"/>
    <w:rsid w:val="76FE5988"/>
    <w:rsid w:val="7702703F"/>
    <w:rsid w:val="770422FE"/>
    <w:rsid w:val="7746449A"/>
    <w:rsid w:val="775546DD"/>
    <w:rsid w:val="777658B4"/>
    <w:rsid w:val="777F291C"/>
    <w:rsid w:val="778C3E77"/>
    <w:rsid w:val="7796215A"/>
    <w:rsid w:val="779807BE"/>
    <w:rsid w:val="77B635DF"/>
    <w:rsid w:val="77E31CE9"/>
    <w:rsid w:val="77FF2507"/>
    <w:rsid w:val="78376C25"/>
    <w:rsid w:val="785B7ACE"/>
    <w:rsid w:val="78746DE5"/>
    <w:rsid w:val="789932F4"/>
    <w:rsid w:val="78A72AF0"/>
    <w:rsid w:val="78A8319C"/>
    <w:rsid w:val="78CC620F"/>
    <w:rsid w:val="790F6B0E"/>
    <w:rsid w:val="79134850"/>
    <w:rsid w:val="79200163"/>
    <w:rsid w:val="79261AEA"/>
    <w:rsid w:val="79563FBF"/>
    <w:rsid w:val="7956473D"/>
    <w:rsid w:val="798661F3"/>
    <w:rsid w:val="799314ED"/>
    <w:rsid w:val="79DC4F1F"/>
    <w:rsid w:val="79EE2C15"/>
    <w:rsid w:val="7A0E547F"/>
    <w:rsid w:val="7A6C7707"/>
    <w:rsid w:val="7A7206F1"/>
    <w:rsid w:val="7AA46F38"/>
    <w:rsid w:val="7AA82657"/>
    <w:rsid w:val="7B0B0E18"/>
    <w:rsid w:val="7B467F1D"/>
    <w:rsid w:val="7B4F58E7"/>
    <w:rsid w:val="7BA7772C"/>
    <w:rsid w:val="7BB12A63"/>
    <w:rsid w:val="7BFF5BD0"/>
    <w:rsid w:val="7C0924C9"/>
    <w:rsid w:val="7C507B69"/>
    <w:rsid w:val="7C711A95"/>
    <w:rsid w:val="7C8D4919"/>
    <w:rsid w:val="7CBA4FE2"/>
    <w:rsid w:val="7CD24A22"/>
    <w:rsid w:val="7CDA3206"/>
    <w:rsid w:val="7D121F1E"/>
    <w:rsid w:val="7D2F777E"/>
    <w:rsid w:val="7D5660EF"/>
    <w:rsid w:val="7D574D28"/>
    <w:rsid w:val="7D5F0561"/>
    <w:rsid w:val="7D60202E"/>
    <w:rsid w:val="7D6458CE"/>
    <w:rsid w:val="7D8555F0"/>
    <w:rsid w:val="7D916095"/>
    <w:rsid w:val="7DB14637"/>
    <w:rsid w:val="7DC51E91"/>
    <w:rsid w:val="7E141A72"/>
    <w:rsid w:val="7E5A0FDB"/>
    <w:rsid w:val="7E703977"/>
    <w:rsid w:val="7E963DC6"/>
    <w:rsid w:val="7E9F454E"/>
    <w:rsid w:val="7EF02F3D"/>
    <w:rsid w:val="7F1B1599"/>
    <w:rsid w:val="7F5F65D1"/>
    <w:rsid w:val="7F606315"/>
    <w:rsid w:val="7F610509"/>
    <w:rsid w:val="7F6210EB"/>
    <w:rsid w:val="7F8B73C1"/>
    <w:rsid w:val="7F961D37"/>
    <w:rsid w:val="7FAC3308"/>
    <w:rsid w:val="7FC86924"/>
    <w:rsid w:val="7FE874E8"/>
    <w:rsid w:val="EF975718"/>
    <w:rsid w:val="EFEFE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5">
    <w:name w:val="heading 2"/>
    <w:basedOn w:val="6"/>
    <w:next w:val="7"/>
    <w:link w:val="35"/>
    <w:semiHidden/>
    <w:unhideWhenUsed/>
    <w:qFormat/>
    <w:uiPriority w:val="9"/>
    <w:pPr>
      <w:spacing w:line="416" w:lineRule="auto"/>
      <w:outlineLvl w:val="1"/>
    </w:pPr>
    <w:rPr>
      <w:rFonts w:asciiTheme="majorHAnsi" w:hAnsiTheme="majorHAnsi" w:eastAsiaTheme="majorEastAsia" w:cstheme="majorBidi"/>
      <w:sz w:val="32"/>
    </w:rPr>
  </w:style>
  <w:style w:type="paragraph" w:styleId="6">
    <w:name w:val="heading 3"/>
    <w:basedOn w:val="7"/>
    <w:next w:val="1"/>
    <w:qFormat/>
    <w:uiPriority w:val="9"/>
    <w:pPr>
      <w:spacing w:before="260" w:after="260" w:line="240" w:lineRule="auto"/>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Title"/>
    <w:basedOn w:val="1"/>
    <w:next w:val="1"/>
    <w:qFormat/>
    <w:uiPriority w:val="0"/>
    <w:pPr>
      <w:spacing w:before="240" w:after="60"/>
      <w:jc w:val="center"/>
      <w:outlineLvl w:val="0"/>
    </w:pPr>
    <w:rPr>
      <w:rFonts w:ascii="Arial" w:hAnsi="Arial" w:eastAsia="隶书" w:cs="Arial"/>
      <w:b/>
      <w:bCs/>
      <w:sz w:val="32"/>
      <w:szCs w:val="32"/>
    </w:rPr>
  </w:style>
  <w:style w:type="paragraph" w:styleId="8">
    <w:name w:val="Normal Indent"/>
    <w:basedOn w:val="1"/>
    <w:qFormat/>
    <w:uiPriority w:val="0"/>
    <w:pPr>
      <w:ind w:firstLine="420"/>
    </w:pPr>
    <w:rPr>
      <w:szCs w:val="20"/>
    </w:rPr>
  </w:style>
  <w:style w:type="paragraph" w:styleId="9">
    <w:name w:val="Document Map"/>
    <w:basedOn w:val="1"/>
    <w:link w:val="34"/>
    <w:semiHidden/>
    <w:unhideWhenUsed/>
    <w:qFormat/>
    <w:uiPriority w:val="99"/>
    <w:rPr>
      <w:rFonts w:ascii="宋体" w:eastAsia="宋体"/>
      <w:sz w:val="18"/>
      <w:szCs w:val="18"/>
    </w:rPr>
  </w:style>
  <w:style w:type="paragraph" w:styleId="10">
    <w:name w:val="annotation text"/>
    <w:basedOn w:val="1"/>
    <w:link w:val="36"/>
    <w:unhideWhenUsed/>
    <w:qFormat/>
    <w:uiPriority w:val="99"/>
    <w:pPr>
      <w:jc w:val="left"/>
    </w:pPr>
  </w:style>
  <w:style w:type="paragraph" w:styleId="11">
    <w:name w:val="Plain Text"/>
    <w:basedOn w:val="1"/>
    <w:qFormat/>
    <w:uiPriority w:val="0"/>
    <w:rPr>
      <w:rFonts w:ascii="宋体" w:hAnsi="Courier New"/>
      <w:szCs w:val="20"/>
    </w:rPr>
  </w:style>
  <w:style w:type="paragraph" w:styleId="12">
    <w:name w:val="Balloon Text"/>
    <w:basedOn w:val="1"/>
    <w:link w:val="30"/>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spacing w:line="360" w:lineRule="auto"/>
    </w:pPr>
    <w:rPr>
      <w:sz w:val="24"/>
    </w:rPr>
  </w:style>
  <w:style w:type="paragraph" w:styleId="16">
    <w:name w:val="Normal (Web)"/>
    <w:basedOn w:val="1"/>
    <w:link w:val="31"/>
    <w:qFormat/>
    <w:uiPriority w:val="99"/>
    <w:pPr>
      <w:widowControl/>
      <w:spacing w:before="100" w:beforeAutospacing="1" w:afterAutospacing="1"/>
      <w:jc w:val="left"/>
    </w:pPr>
    <w:rPr>
      <w:rFonts w:ascii="宋体" w:hAnsi="宋体"/>
      <w:sz w:val="24"/>
      <w:szCs w:val="24"/>
    </w:rPr>
  </w:style>
  <w:style w:type="paragraph" w:styleId="17">
    <w:name w:val="annotation subject"/>
    <w:basedOn w:val="10"/>
    <w:next w:val="10"/>
    <w:link w:val="38"/>
    <w:semiHidden/>
    <w:unhideWhenUsed/>
    <w:qFormat/>
    <w:uiPriority w:val="99"/>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800080" w:themeColor="followedHyperlink"/>
      <w:u w:val="single"/>
      <w14:textFill>
        <w14:solidFill>
          <w14:schemeClr w14:val="folHlink"/>
        </w14:solidFill>
      </w14:textFill>
    </w:rPr>
  </w:style>
  <w:style w:type="character" w:styleId="24">
    <w:name w:val="Hyperlink"/>
    <w:basedOn w:val="20"/>
    <w:unhideWhenUsed/>
    <w:qFormat/>
    <w:uiPriority w:val="99"/>
    <w:rPr>
      <w:color w:val="0000FF" w:themeColor="hyperlink"/>
      <w:u w:val="single"/>
      <w14:textFill>
        <w14:solidFill>
          <w14:schemeClr w14:val="hlink"/>
        </w14:solidFill>
      </w14:textFill>
    </w:rPr>
  </w:style>
  <w:style w:type="character" w:styleId="25">
    <w:name w:val="annotation reference"/>
    <w:basedOn w:val="20"/>
    <w:semiHidden/>
    <w:unhideWhenUsed/>
    <w:qFormat/>
    <w:uiPriority w:val="99"/>
    <w:rPr>
      <w:sz w:val="21"/>
      <w:szCs w:val="21"/>
    </w:rPr>
  </w:style>
  <w:style w:type="paragraph" w:styleId="26">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paragraph" w:customStyle="1" w:styleId="27">
    <w:name w:val="正文内容格式"/>
    <w:basedOn w:val="1"/>
    <w:qFormat/>
    <w:uiPriority w:val="0"/>
    <w:pPr>
      <w:widowControl/>
      <w:ind w:firstLine="482"/>
      <w:textAlignment w:val="baseline"/>
    </w:pPr>
    <w:rPr>
      <w:rFonts w:eastAsia="仿宋_GB2312"/>
      <w:kern w:val="0"/>
      <w:sz w:val="28"/>
    </w:rPr>
  </w:style>
  <w:style w:type="character" w:customStyle="1" w:styleId="28">
    <w:name w:val="页眉 字符"/>
    <w:basedOn w:val="20"/>
    <w:link w:val="14"/>
    <w:qFormat/>
    <w:uiPriority w:val="99"/>
    <w:rPr>
      <w:sz w:val="18"/>
      <w:szCs w:val="18"/>
    </w:rPr>
  </w:style>
  <w:style w:type="character" w:customStyle="1" w:styleId="29">
    <w:name w:val="页脚 字符"/>
    <w:basedOn w:val="20"/>
    <w:link w:val="13"/>
    <w:qFormat/>
    <w:uiPriority w:val="99"/>
    <w:rPr>
      <w:sz w:val="18"/>
      <w:szCs w:val="18"/>
    </w:rPr>
  </w:style>
  <w:style w:type="character" w:customStyle="1" w:styleId="30">
    <w:name w:val="批注框文本 字符"/>
    <w:basedOn w:val="20"/>
    <w:link w:val="12"/>
    <w:semiHidden/>
    <w:qFormat/>
    <w:uiPriority w:val="99"/>
    <w:rPr>
      <w:sz w:val="18"/>
      <w:szCs w:val="18"/>
    </w:rPr>
  </w:style>
  <w:style w:type="character" w:customStyle="1" w:styleId="31">
    <w:name w:val="普通(网站) 字符"/>
    <w:link w:val="16"/>
    <w:qFormat/>
    <w:uiPriority w:val="99"/>
    <w:rPr>
      <w:rFonts w:ascii="宋体" w:hAnsi="宋体"/>
      <w:sz w:val="24"/>
      <w:szCs w:val="24"/>
    </w:rPr>
  </w:style>
  <w:style w:type="character" w:customStyle="1" w:styleId="32">
    <w:name w:val="标题 1 字符"/>
    <w:basedOn w:val="20"/>
    <w:link w:val="4"/>
    <w:qFormat/>
    <w:uiPriority w:val="0"/>
    <w:rPr>
      <w:rFonts w:ascii="Arial" w:hAnsi="Arial" w:eastAsia="宋体" w:cs="Times New Roman"/>
      <w:b/>
      <w:bCs/>
      <w:kern w:val="44"/>
      <w:sz w:val="44"/>
      <w:szCs w:val="44"/>
    </w:rPr>
  </w:style>
  <w:style w:type="paragraph" w:styleId="33">
    <w:name w:val="List Paragraph"/>
    <w:basedOn w:val="1"/>
    <w:qFormat/>
    <w:uiPriority w:val="34"/>
    <w:pPr>
      <w:ind w:firstLine="420" w:firstLineChars="200"/>
    </w:pPr>
  </w:style>
  <w:style w:type="character" w:customStyle="1" w:styleId="34">
    <w:name w:val="文档结构图 字符"/>
    <w:basedOn w:val="20"/>
    <w:link w:val="9"/>
    <w:semiHidden/>
    <w:qFormat/>
    <w:uiPriority w:val="99"/>
    <w:rPr>
      <w:rFonts w:ascii="宋体" w:eastAsia="宋体"/>
      <w:sz w:val="18"/>
      <w:szCs w:val="18"/>
    </w:rPr>
  </w:style>
  <w:style w:type="character" w:customStyle="1" w:styleId="35">
    <w:name w:val="标题 2 字符"/>
    <w:basedOn w:val="20"/>
    <w:link w:val="5"/>
    <w:semiHidden/>
    <w:qFormat/>
    <w:uiPriority w:val="9"/>
    <w:rPr>
      <w:rFonts w:asciiTheme="majorHAnsi" w:hAnsiTheme="majorHAnsi" w:eastAsiaTheme="majorEastAsia" w:cstheme="majorBidi"/>
      <w:b/>
      <w:bCs/>
      <w:sz w:val="32"/>
      <w:szCs w:val="32"/>
    </w:rPr>
  </w:style>
  <w:style w:type="character" w:customStyle="1" w:styleId="36">
    <w:name w:val="批注文字 字符"/>
    <w:basedOn w:val="20"/>
    <w:link w:val="10"/>
    <w:qFormat/>
    <w:uiPriority w:val="99"/>
  </w:style>
  <w:style w:type="character" w:customStyle="1" w:styleId="37">
    <w:name w:val="标题 3 Char"/>
    <w:qFormat/>
    <w:uiPriority w:val="0"/>
    <w:rPr>
      <w:rFonts w:ascii="黑体" w:eastAsia="黑体"/>
      <w:bCs/>
      <w:sz w:val="30"/>
    </w:rPr>
  </w:style>
  <w:style w:type="character" w:customStyle="1" w:styleId="38">
    <w:name w:val="批注主题 字符"/>
    <w:basedOn w:val="36"/>
    <w:link w:val="17"/>
    <w:semiHidden/>
    <w:qFormat/>
    <w:uiPriority w:val="99"/>
    <w:rPr>
      <w:b/>
      <w:bCs/>
    </w:rPr>
  </w:style>
  <w:style w:type="table" w:customStyle="1" w:styleId="39">
    <w:name w:val="网格型1"/>
    <w:basedOn w:val="18"/>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1">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5">
    <w:name w:val="font21"/>
    <w:basedOn w:val="20"/>
    <w:qFormat/>
    <w:uiPriority w:val="0"/>
    <w:rPr>
      <w:rFonts w:hint="eastAsia" w:ascii="宋体" w:hAnsi="宋体" w:eastAsia="宋体" w:cs="宋体"/>
      <w:color w:val="000000"/>
      <w:sz w:val="22"/>
      <w:szCs w:val="22"/>
      <w:u w:val="none"/>
    </w:rPr>
  </w:style>
  <w:style w:type="character" w:customStyle="1" w:styleId="46">
    <w:name w:val="font31"/>
    <w:basedOn w:val="20"/>
    <w:qFormat/>
    <w:uiPriority w:val="0"/>
    <w:rPr>
      <w:rFonts w:hint="eastAsia" w:ascii="宋体" w:hAnsi="宋体" w:eastAsia="宋体" w:cs="宋体"/>
      <w:color w:val="000000"/>
      <w:sz w:val="22"/>
      <w:szCs w:val="22"/>
      <w:u w:val="none"/>
    </w:rPr>
  </w:style>
  <w:style w:type="character" w:customStyle="1" w:styleId="47">
    <w:name w:val="font51"/>
    <w:basedOn w:val="20"/>
    <w:qFormat/>
    <w:uiPriority w:val="0"/>
    <w:rPr>
      <w:rFonts w:hint="eastAsia" w:ascii="宋体" w:hAnsi="宋体" w:eastAsia="宋体" w:cs="宋体"/>
      <w:color w:val="000000"/>
      <w:sz w:val="21"/>
      <w:szCs w:val="21"/>
      <w:u w:val="none"/>
    </w:rPr>
  </w:style>
  <w:style w:type="character" w:customStyle="1" w:styleId="48">
    <w:name w:val="font61"/>
    <w:basedOn w:val="20"/>
    <w:qFormat/>
    <w:uiPriority w:val="0"/>
    <w:rPr>
      <w:rFonts w:hint="default" w:ascii="Times New Roman" w:hAnsi="Times New Roman" w:cs="Times New Roman"/>
      <w:color w:val="000000"/>
      <w:sz w:val="21"/>
      <w:szCs w:val="21"/>
      <w:u w:val="none"/>
    </w:rPr>
  </w:style>
  <w:style w:type="paragraph" w:customStyle="1" w:styleId="49">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0">
    <w:name w:val="font41"/>
    <w:qFormat/>
    <w:uiPriority w:val="0"/>
    <w:rPr>
      <w:rFonts w:hint="eastAsia" w:ascii="宋体" w:hAnsi="宋体" w:eastAsia="宋体"/>
      <w:color w:val="000000"/>
      <w:kern w:val="2"/>
      <w:sz w:val="18"/>
      <w:u w:val="none"/>
    </w:rPr>
  </w:style>
  <w:style w:type="paragraph" w:styleId="5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2">
    <w:name w:val="fontstyle01"/>
    <w:basedOn w:val="20"/>
    <w:qFormat/>
    <w:uiPriority w:val="0"/>
    <w:rPr>
      <w:rFonts w:hint="eastAsia" w:ascii="宋体" w:hAnsi="宋体" w:eastAsia="宋体"/>
      <w:color w:val="000000"/>
      <w:sz w:val="22"/>
      <w:szCs w:val="22"/>
    </w:rPr>
  </w:style>
  <w:style w:type="character" w:customStyle="1" w:styleId="53">
    <w:name w:val="font81"/>
    <w:basedOn w:val="20"/>
    <w:qFormat/>
    <w:uiPriority w:val="0"/>
    <w:rPr>
      <w:rFonts w:hint="default" w:ascii="Arial" w:hAnsi="Arial" w:cs="Arial"/>
      <w:color w:val="000000"/>
      <w:sz w:val="21"/>
      <w:szCs w:val="21"/>
      <w:u w:val="none"/>
    </w:rPr>
  </w:style>
  <w:style w:type="paragraph" w:customStyle="1" w:styleId="54">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5">
    <w:name w:val="表格小五F4"/>
    <w:basedOn w:val="56"/>
    <w:qFormat/>
    <w:uiPriority w:val="0"/>
    <w:rPr>
      <w:sz w:val="18"/>
    </w:rPr>
  </w:style>
  <w:style w:type="paragraph" w:customStyle="1" w:styleId="56">
    <w:name w:val="表格F2"/>
    <w:qFormat/>
    <w:uiPriority w:val="0"/>
    <w:pPr>
      <w:jc w:val="center"/>
    </w:pPr>
    <w:rPr>
      <w:rFonts w:ascii="Times New Roman" w:hAnsi="Times New Roman" w:eastAsia="楷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71</Pages>
  <Words>2071</Words>
  <Characters>2094</Characters>
  <Lines>2232</Lines>
  <Paragraphs>2179</Paragraphs>
  <TotalTime>2</TotalTime>
  <ScaleCrop>false</ScaleCrop>
  <LinksUpToDate>false</LinksUpToDate>
  <CharactersWithSpaces>2097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2024-07-19T16:53:00Z</dcterms:created>
  <dc:creator>win7-1</dc:creator>
  <cp:lastModifiedBy>DELL</cp:lastModifiedBy>
  <cp:lastPrinted>2021-01-16T09:17:00Z</cp:lastPrinted>
  <dcterms:modified xsi:type="dcterms:W3CDTF">2025-11-26T02:55:22Z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BCDE4ED0404F4F15BD2E65E5E60733D6_13</vt:lpwstr>
  </property>
  <property fmtid="{D5CDD505-2E9C-101B-9397-08002B2CF9AE}" pid="4" name="KSOTemplateDocerSaveRecord">
    <vt:lpwstr>eyJoZGlkIjoiY2I3MTE2ODgzZWU3YmExZWE3ZjhmYjdhMmQ0Y2RjMTgiLCJ1c2VySWQiOiIxNDUxNjA0MDU3In0=</vt:lpwstr>
  </property>
</Properties>
</file>