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935" w:firstLineChars="1400"/>
        <w:rPr>
          <w:rFonts w:ascii="宋体" w:hAnsi="宋体"/>
          <w:color w:val="FF0000"/>
          <w:szCs w:val="21"/>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ascii="Times New Roman" w:eastAsia="宋体"/>
          <w:b/>
          <w:color w:val="FF0000"/>
          <w:lang w:val="en-US" w:eastAsia="zh-CN"/>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52"/>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pPr>
        <w:pStyle w:val="14"/>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both"/>
        <w:textAlignment w:val="auto"/>
        <w:outlineLvl w:val="1"/>
        <w:rPr>
          <w:rFonts w:hint="eastAsia" w:ascii="黑体" w:hAnsi="宋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kern w:val="2"/>
          <w:sz w:val="21"/>
          <w:szCs w:val="24"/>
          <w:lang w:val="en-US" w:eastAsia="zh-CN" w:bidi="ar-SA"/>
        </w:rPr>
        <w:t>注：“特别警示条款”和《政府采购违法行为风险知悉确认书》用于对供应商违法行为的提醒，不作为供应商资格性审查及符合性审查条件。</w:t>
      </w:r>
    </w:p>
    <w:p>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7"/>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LHAZXCG-2025-00120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深圳市龙华外国语高级中学物联设备采购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pPr>
              <w:spacing w:line="290" w:lineRule="exact"/>
              <w:jc w:val="center"/>
              <w:rPr>
                <w:rFonts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pPr>
              <w:spacing w:line="290" w:lineRule="exact"/>
              <w:jc w:val="center"/>
              <w:rPr>
                <w:rFonts w:ascii="宋体" w:hAnsi="宋体" w:eastAsia="宋体" w:cs="Times New Roman"/>
                <w:sz w:val="28"/>
                <w:szCs w:val="28"/>
              </w:rPr>
            </w:pPr>
            <w:r>
              <w:rPr>
                <w:rFonts w:ascii="宋体" w:hAnsi="宋体" w:eastAsia="宋体" w:cs="Times New Roman"/>
                <w:sz w:val="28"/>
                <w:szCs w:val="28"/>
              </w:rPr>
              <w:t>综合评分法</w:t>
            </w:r>
          </w:p>
        </w:tc>
      </w:tr>
    </w:tbl>
    <w:p>
      <w:pPr>
        <w:tabs>
          <w:tab w:val="left" w:pos="2790"/>
        </w:tabs>
        <w:snapToGrid w:val="0"/>
        <w:spacing w:line="440" w:lineRule="exact"/>
        <w:jc w:val="left"/>
        <w:rPr>
          <w:rFonts w:hint="eastAsia" w:asciiTheme="minorEastAsia" w:hAnsiTheme="minorEastAsia"/>
          <w:sz w:val="30"/>
          <w:szCs w:val="3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7"/>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tabs>
          <w:tab w:val="left" w:pos="2790"/>
        </w:tabs>
        <w:snapToGrid w:val="0"/>
        <w:jc w:val="center"/>
        <w:rPr>
          <w:rFonts w:hint="eastAsia" w:ascii="黑体" w:hAnsi="黑体" w:eastAsia="黑体" w:cs="Times New Roman"/>
          <w:sz w:val="40"/>
          <w:szCs w:val="4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lang w:val="en-US" w:eastAsia="zh-CN"/>
              </w:rPr>
              <w:t>不得</w:t>
            </w:r>
            <w:r>
              <w:rPr>
                <w:rFonts w:hint="eastAsia"/>
              </w:rPr>
              <w:t>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r>
              <w:rPr>
                <w:rFonts w:hint="eastAsia"/>
                <w:color w:val="auto"/>
                <w:lang w:val="en-US" w:eastAsia="zh-CN"/>
              </w:rPr>
              <w:t>采购标的/服务</w:t>
            </w:r>
            <w:r>
              <w:rPr>
                <w:rFonts w:hint="eastAsia" w:ascii="Times New Roman" w:eastAsia="宋体"/>
                <w:color w:val="auto"/>
                <w:lang w:val="en-US" w:eastAsia="zh-CN"/>
              </w:rPr>
              <w:t>清单</w:t>
            </w:r>
            <w:r>
              <w:rPr>
                <w:rFonts w:hint="eastAsia"/>
                <w:color w:val="auto"/>
                <w:lang w:val="en-US" w:eastAsia="zh-CN"/>
              </w:rPr>
              <w:t>/报价等任意一类</w:t>
            </w:r>
            <w:r>
              <w:rPr>
                <w:rFonts w:hint="eastAsia" w:ascii="Times New Roman" w:eastAsia="宋体"/>
                <w:color w:val="auto"/>
                <w:lang w:val="en-US" w:eastAsia="zh-CN"/>
              </w:rPr>
              <w:t>有缺漏项或响应不全</w:t>
            </w:r>
            <w:r>
              <w:rPr>
                <w:rFonts w:hint="eastAsia"/>
                <w:color w:val="auto"/>
                <w:lang w:val="en-US" w:eastAsia="zh-CN"/>
              </w:rPr>
              <w:t>，</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投标文件电子文档</w:t>
            </w:r>
            <w:r>
              <w:rPr>
                <w:rFonts w:hint="eastAsia"/>
                <w:lang w:val="en-US" w:eastAsia="zh-CN"/>
              </w:rPr>
              <w:t>不得</w:t>
            </w:r>
            <w:r>
              <w:rPr>
                <w:rFonts w:hint="eastAsia"/>
              </w:rPr>
              <w:t>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rFonts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pPr>
              <w:rPr>
                <w:szCs w:val="21"/>
              </w:rPr>
            </w:pPr>
            <w:r>
              <w:rPr>
                <w:rFonts w:hint="eastAsia"/>
              </w:rPr>
              <w:t>法律、法规、规章、规范性文件规定的其他情形。</w:t>
            </w:r>
          </w:p>
        </w:tc>
      </w:tr>
    </w:tbl>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pStyle w:val="14"/>
        <w:jc w:val="center"/>
        <w:outlineLvl w:val="0"/>
        <w:rPr>
          <w:rFonts w:hint="eastAsia" w:ascii="黑体" w:eastAsia="黑体"/>
          <w:sz w:val="40"/>
          <w:szCs w:val="40"/>
        </w:rPr>
      </w:pPr>
      <w:r>
        <w:rPr>
          <w:rFonts w:hint="eastAsia" w:ascii="黑体" w:hAnsi="黑体" w:eastAsia="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4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pPr>
              <w:jc w:val="left"/>
              <w:rPr>
                <w:rFonts w:ascii="宋体"/>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pPr>
              <w:ind w:firstLine="420"/>
            </w:pPr>
          </w:p>
          <w:p>
            <w:pPr>
              <w:ind w:firstLine="420"/>
              <w:rPr>
                <w:szCs w:val="21"/>
              </w:rPr>
            </w:pPr>
            <w:r>
              <w:rPr>
                <w:szCs w:val="21"/>
              </w:rPr>
              <w:t>价格分计算方法：</w:t>
            </w:r>
          </w:p>
          <w:p>
            <w:pPr>
              <w:pStyle w:val="14"/>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pPr>
              <w:pStyle w:val="14"/>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bl>
    <w:p/>
    <w:tbl>
      <w:tblPr>
        <w:tblStyle w:val="17"/>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autofit"/>
        <w:tblCellMar>
          <w:top w:w="20" w:type="dxa"/>
          <w:left w:w="108" w:type="dxa"/>
          <w:bottom w:w="20" w:type="dxa"/>
          <w:right w:w="108" w:type="dxa"/>
        </w:tblCellMar>
      </w:tblPr>
      <w:tblGrid>
        <w:gridCol w:w="607"/>
        <w:gridCol w:w="652"/>
        <w:gridCol w:w="1473"/>
        <w:gridCol w:w="979"/>
        <w:gridCol w:w="53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评分项</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1</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价格</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2</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技术部分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59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eastAsia="宋体" w:cs="宋体"/>
                <w:szCs w:val="21"/>
                <w:highlight w:val="none"/>
              </w:rPr>
            </w:pPr>
            <w:r>
              <w:rPr>
                <w:rFonts w:hint="eastAsia" w:ascii="宋体" w:hAnsi="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szCs w:val="21"/>
                <w:highlight w:val="none"/>
              </w:rPr>
            </w:pPr>
            <w:r>
              <w:rPr>
                <w:rFonts w:hint="eastAsia" w:ascii="宋体" w:hAnsi="宋体" w:eastAsia="宋体" w:cs="宋体"/>
                <w:szCs w:val="21"/>
              </w:rPr>
              <w:t>技术保障措施</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eastAsiaTheme="minorEastAsia"/>
                <w:szCs w:val="21"/>
                <w:highlight w:val="none"/>
                <w:lang w:val="en-US" w:eastAsia="zh-CN"/>
              </w:rPr>
            </w:pPr>
            <w:r>
              <w:rPr>
                <w:rFonts w:hint="eastAsia" w:ascii="宋体" w:hAnsi="宋体" w:eastAsia="宋体"/>
                <w:szCs w:val="21"/>
              </w:rPr>
              <w:t>8</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pStyle w:val="9"/>
              <w:rPr>
                <w:rFonts w:ascii="宋体" w:hAnsi="宋体" w:eastAsia="宋体" w:cs="宋体"/>
                <w:szCs w:val="21"/>
              </w:rPr>
            </w:pPr>
            <w:r>
              <w:rPr>
                <w:rFonts w:hint="eastAsia" w:ascii="宋体" w:hAnsi="宋体" w:eastAsia="宋体" w:cs="宋体"/>
                <w:szCs w:val="21"/>
              </w:rPr>
              <w:t>考察内容：</w:t>
            </w:r>
          </w:p>
          <w:p>
            <w:pPr>
              <w:pStyle w:val="9"/>
              <w:rPr>
                <w:rFonts w:ascii="宋体" w:hAnsi="宋体" w:eastAsia="宋体" w:cs="宋体"/>
                <w:szCs w:val="21"/>
              </w:rPr>
            </w:pPr>
            <w:r>
              <w:rPr>
                <w:rFonts w:hint="eastAsia" w:ascii="宋体" w:hAnsi="宋体" w:eastAsia="宋体" w:cs="宋体"/>
                <w:szCs w:val="21"/>
              </w:rPr>
              <w:t>投标人需针对本项目提供技术保障措施方案，方案内容须包括：技术保障团队、技术实施方案、技术人员配置、安全措施。</w:t>
            </w:r>
          </w:p>
          <w:p>
            <w:pPr>
              <w:pStyle w:val="9"/>
              <w:rPr>
                <w:rFonts w:ascii="宋体" w:hAnsi="宋体" w:eastAsia="宋体" w:cs="宋体"/>
                <w:szCs w:val="21"/>
              </w:rPr>
            </w:pPr>
            <w:r>
              <w:rPr>
                <w:rFonts w:hint="eastAsia" w:ascii="宋体" w:hAnsi="宋体" w:eastAsia="宋体" w:cs="宋体"/>
                <w:szCs w:val="21"/>
              </w:rPr>
              <w:t>评审标准：</w:t>
            </w:r>
          </w:p>
          <w:p>
            <w:pPr>
              <w:pStyle w:val="9"/>
              <w:rPr>
                <w:rFonts w:ascii="宋体" w:hAnsi="宋体" w:eastAsia="宋体" w:cs="宋体"/>
                <w:szCs w:val="21"/>
              </w:rPr>
            </w:pPr>
            <w:r>
              <w:rPr>
                <w:rFonts w:hint="eastAsia" w:ascii="宋体" w:hAnsi="宋体" w:eastAsia="宋体" w:cs="宋体"/>
                <w:szCs w:val="21"/>
              </w:rPr>
              <w:t>1、每满足以上任意一点得10分，全部满足得40分，其他情况不得分。</w:t>
            </w:r>
          </w:p>
          <w:p>
            <w:pPr>
              <w:pStyle w:val="9"/>
              <w:rPr>
                <w:rFonts w:ascii="宋体" w:hAnsi="宋体" w:eastAsia="宋体" w:cs="宋体"/>
                <w:szCs w:val="21"/>
              </w:rPr>
            </w:pPr>
            <w:r>
              <w:rPr>
                <w:rFonts w:hint="eastAsia" w:ascii="宋体" w:hAnsi="宋体" w:eastAsia="宋体" w:cs="宋体"/>
                <w:szCs w:val="21"/>
              </w:rPr>
              <w:t>2、在此基础上，评审委员会根据各投标人的具体响应情况按照以下评审标准进一步评审：</w:t>
            </w:r>
          </w:p>
          <w:p>
            <w:pPr>
              <w:pStyle w:val="9"/>
              <w:rPr>
                <w:rFonts w:ascii="宋体" w:hAnsi="宋体" w:eastAsia="宋体" w:cs="宋体"/>
                <w:szCs w:val="21"/>
              </w:rPr>
            </w:pPr>
            <w:r>
              <w:rPr>
                <w:rFonts w:hint="eastAsia" w:ascii="宋体" w:hAnsi="宋体" w:eastAsia="宋体" w:cs="宋体"/>
                <w:szCs w:val="21"/>
              </w:rPr>
              <w:t>评审为优（方案整体科学合理、针对性强、可操作性强、条理非常清晰的）的加60分；</w:t>
            </w:r>
          </w:p>
          <w:p>
            <w:pPr>
              <w:pStyle w:val="9"/>
              <w:rPr>
                <w:rFonts w:ascii="宋体" w:hAnsi="宋体" w:eastAsia="宋体" w:cs="宋体"/>
                <w:szCs w:val="21"/>
              </w:rPr>
            </w:pPr>
            <w:r>
              <w:rPr>
                <w:rFonts w:hint="eastAsia" w:ascii="宋体" w:hAnsi="宋体" w:eastAsia="宋体" w:cs="宋体"/>
                <w:szCs w:val="21"/>
              </w:rPr>
              <w:t>评审为良（方案整体较比科学合理、有较强针对性、有较强可操作性、比较条理清晰的）的加30分；</w:t>
            </w:r>
          </w:p>
          <w:p>
            <w:pPr>
              <w:pStyle w:val="9"/>
              <w:rPr>
                <w:rFonts w:ascii="宋体" w:hAnsi="宋体" w:eastAsia="宋体" w:cs="宋体"/>
                <w:szCs w:val="21"/>
              </w:rPr>
            </w:pPr>
            <w:r>
              <w:rPr>
                <w:rFonts w:hint="eastAsia" w:ascii="宋体" w:hAnsi="宋体" w:eastAsia="宋体" w:cs="宋体"/>
                <w:szCs w:val="21"/>
              </w:rPr>
              <w:t>评审为中（方案整体科学合理性一般、针对性一般、可操作性一般，条理清晰度一般的）的加10分；</w:t>
            </w:r>
          </w:p>
          <w:p>
            <w:pPr>
              <w:pStyle w:val="9"/>
              <w:rPr>
                <w:rFonts w:hint="eastAsia" w:ascii="宋体" w:hAnsi="宋体"/>
                <w:szCs w:val="21"/>
                <w:highlight w:val="none"/>
              </w:rPr>
            </w:pPr>
            <w:r>
              <w:rPr>
                <w:rFonts w:hint="eastAsia" w:ascii="宋体" w:hAnsi="宋体" w:eastAsia="宋体" w:cs="宋体"/>
                <w:szCs w:val="21"/>
              </w:rPr>
              <w:t>评审为差的不加分。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b w:val="0"/>
                <w:bCs w:val="0"/>
                <w:szCs w:val="21"/>
                <w:highlight w:val="none"/>
              </w:rPr>
            </w:pPr>
            <w:r>
              <w:rPr>
                <w:rFonts w:hint="eastAsia" w:ascii="宋体" w:hAnsi="宋体" w:cs="宋体"/>
                <w:kern w:val="0"/>
                <w:szCs w:val="21"/>
              </w:rPr>
              <w:t>技术规格偏离情况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eastAsiaTheme="minorEastAsia"/>
                <w:b w:val="0"/>
                <w:bCs w:val="0"/>
                <w:szCs w:val="21"/>
                <w:highlight w:val="none"/>
                <w:lang w:val="en-US" w:eastAsia="zh-CN"/>
              </w:rPr>
            </w:pPr>
            <w:r>
              <w:rPr>
                <w:rFonts w:hint="eastAsia" w:ascii="宋体" w:hAnsi="宋体" w:eastAsia="宋体" w:cs="宋体"/>
                <w:szCs w:val="21"/>
              </w:rPr>
              <w:t>41</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300" w:lineRule="auto"/>
              <w:rPr>
                <w:rFonts w:ascii="宋体" w:hAnsi="宋体" w:cs="宋体"/>
                <w:szCs w:val="21"/>
              </w:rPr>
            </w:pPr>
            <w:r>
              <w:rPr>
                <w:rFonts w:hint="eastAsia" w:ascii="宋体" w:hAnsi="宋体" w:cs="宋体"/>
                <w:szCs w:val="21"/>
              </w:rPr>
              <w:t>评审小组根据《技术规格偏离表》（以下简 称“偏离表 ”）响应情况进行打分，全部满足的得 100分，一般参数负偏离一项扣</w:t>
            </w:r>
            <w:r>
              <w:rPr>
                <w:rFonts w:hint="eastAsia" w:ascii="宋体" w:hAnsi="宋体" w:cs="宋体"/>
                <w:szCs w:val="21"/>
                <w:lang w:val="en-US" w:eastAsia="zh-CN"/>
              </w:rPr>
              <w:t>0.3</w:t>
            </w:r>
            <w:r>
              <w:rPr>
                <w:rFonts w:hint="eastAsia" w:ascii="宋体" w:hAnsi="宋体" w:cs="宋体"/>
                <w:szCs w:val="21"/>
              </w:rPr>
              <w:t>分， 重点技术参数▲项负偏离一项扣</w:t>
            </w:r>
            <w:r>
              <w:rPr>
                <w:rFonts w:hint="eastAsia" w:ascii="宋体" w:hAnsi="宋体" w:cs="宋体"/>
                <w:szCs w:val="21"/>
                <w:lang w:val="en-US" w:eastAsia="zh-CN"/>
              </w:rPr>
              <w:t>7</w:t>
            </w:r>
            <w:r>
              <w:rPr>
                <w:rFonts w:hint="eastAsia" w:ascii="宋体" w:hAnsi="宋体" w:cs="宋体"/>
                <w:szCs w:val="21"/>
              </w:rPr>
              <w:t>分。扣完为止。</w:t>
            </w:r>
          </w:p>
          <w:p>
            <w:pPr>
              <w:snapToGrid w:val="0"/>
              <w:spacing w:line="300" w:lineRule="auto"/>
              <w:rPr>
                <w:rFonts w:hint="eastAsia" w:ascii="宋体" w:hAnsi="宋体"/>
                <w:b w:val="0"/>
                <w:bCs w:val="0"/>
                <w:szCs w:val="21"/>
                <w:highlight w:val="none"/>
              </w:rPr>
            </w:pPr>
            <w:r>
              <w:rPr>
                <w:rFonts w:hint="eastAsia" w:ascii="宋体" w:hAnsi="宋体" w:cs="宋体"/>
                <w:szCs w:val="21"/>
              </w:rPr>
              <w:t>偏离表应如实对应填写所投产品的具体参数。如要求提供“厂家网站截图/说明书/厂家出具的参数文件/检验报告 ”等证 明资料的，需按要求提供相关证明资料；提供的证明资料与所填写内容不一致的，以证明资料为准，原件备查。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szCs w:val="21"/>
              </w:rPr>
              <w:t>设计方案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Cs w:val="21"/>
                <w:lang w:val="en-US" w:eastAsia="zh-CN"/>
              </w:rPr>
              <w:t>8</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300" w:lineRule="auto"/>
              <w:rPr>
                <w:rFonts w:ascii="宋体" w:hAnsi="宋体" w:cs="宋体"/>
                <w:szCs w:val="21"/>
              </w:rPr>
            </w:pPr>
            <w:r>
              <w:rPr>
                <w:rFonts w:hint="eastAsia" w:ascii="宋体" w:hAnsi="宋体" w:cs="宋体"/>
                <w:szCs w:val="21"/>
              </w:rPr>
              <w:t>（一）评审内容：</w:t>
            </w:r>
          </w:p>
          <w:p>
            <w:pPr>
              <w:snapToGrid w:val="0"/>
              <w:spacing w:line="300" w:lineRule="auto"/>
              <w:rPr>
                <w:rFonts w:ascii="宋体" w:hAnsi="宋体" w:cs="宋体"/>
                <w:szCs w:val="21"/>
              </w:rPr>
            </w:pPr>
            <w:r>
              <w:rPr>
                <w:rFonts w:hint="eastAsia" w:ascii="宋体" w:hAnsi="宋体" w:cs="宋体"/>
                <w:szCs w:val="21"/>
              </w:rPr>
              <w:t>投标人提供</w:t>
            </w:r>
            <w:r>
              <w:rPr>
                <w:rFonts w:hint="eastAsia" w:ascii="宋体" w:hAnsi="宋体" w:cs="宋体"/>
                <w:szCs w:val="21"/>
                <w:lang w:val="en-US" w:eastAsia="zh-CN"/>
              </w:rPr>
              <w:t>校园物联整体</w:t>
            </w:r>
            <w:r>
              <w:rPr>
                <w:rFonts w:hint="eastAsia" w:ascii="宋体" w:hAnsi="宋体" w:cs="宋体"/>
                <w:szCs w:val="21"/>
              </w:rPr>
              <w:t>设计方案，</w:t>
            </w:r>
            <w:r>
              <w:rPr>
                <w:rFonts w:hint="eastAsia" w:ascii="宋体" w:hAnsi="宋体" w:cs="宋体"/>
                <w:szCs w:val="21"/>
                <w:lang w:val="en-US" w:eastAsia="zh-CN"/>
              </w:rPr>
              <w:t>该方案要兼具先进性及可扩展性；同时提供校园整体及各区域系统图；</w:t>
            </w:r>
            <w:r>
              <w:rPr>
                <w:rFonts w:hint="eastAsia" w:ascii="宋体" w:hAnsi="宋体" w:cs="宋体"/>
                <w:szCs w:val="21"/>
              </w:rPr>
              <w:t>以各投标人的深化设计图纸作为评分依据，图纸内容包括</w:t>
            </w:r>
            <w:r>
              <w:rPr>
                <w:rFonts w:hint="eastAsia" w:ascii="宋体" w:hAnsi="宋体" w:cs="宋体"/>
                <w:szCs w:val="21"/>
                <w:lang w:val="en-US" w:eastAsia="zh-CN"/>
              </w:rPr>
              <w:t>校园物联系统图</w:t>
            </w:r>
            <w:r>
              <w:rPr>
                <w:rFonts w:hint="eastAsia" w:ascii="宋体" w:hAnsi="宋体" w:cs="宋体"/>
                <w:szCs w:val="21"/>
              </w:rPr>
              <w:t>、</w:t>
            </w:r>
            <w:r>
              <w:rPr>
                <w:rFonts w:hint="eastAsia" w:ascii="宋体" w:hAnsi="宋体" w:eastAsia="宋体" w:cs="宋体"/>
                <w:i w:val="0"/>
                <w:iCs w:val="0"/>
                <w:color w:val="000000"/>
                <w:kern w:val="0"/>
                <w:sz w:val="18"/>
                <w:szCs w:val="18"/>
                <w:u w:val="none"/>
                <w:lang w:val="en-US" w:eastAsia="zh-CN" w:bidi="ar"/>
              </w:rPr>
              <w:t>教室物联系统图</w:t>
            </w:r>
            <w:r>
              <w:rPr>
                <w:rFonts w:hint="eastAsia" w:ascii="宋体" w:hAnsi="宋体" w:cs="宋体"/>
                <w:szCs w:val="21"/>
              </w:rPr>
              <w:t>、</w:t>
            </w:r>
            <w:r>
              <w:rPr>
                <w:rFonts w:hint="eastAsia" w:ascii="宋体" w:hAnsi="宋体" w:cs="宋体"/>
                <w:szCs w:val="21"/>
                <w:lang w:val="en-US" w:eastAsia="zh-CN"/>
              </w:rPr>
              <w:t>各区域走廊物联系统图</w:t>
            </w:r>
            <w:r>
              <w:rPr>
                <w:rFonts w:hint="eastAsia" w:ascii="宋体" w:hAnsi="宋体" w:cs="宋体"/>
                <w:szCs w:val="21"/>
              </w:rPr>
              <w:t>、</w:t>
            </w:r>
            <w:r>
              <w:rPr>
                <w:rFonts w:hint="eastAsia" w:ascii="宋体" w:hAnsi="宋体" w:cs="宋体"/>
                <w:szCs w:val="21"/>
                <w:lang w:val="en-US" w:eastAsia="zh-CN"/>
              </w:rPr>
              <w:t>各功能室物联系统图及宿舍区物联系统图</w:t>
            </w:r>
            <w:r>
              <w:rPr>
                <w:rFonts w:hint="eastAsia" w:ascii="宋体" w:hAnsi="宋体" w:cs="宋体"/>
                <w:szCs w:val="21"/>
              </w:rPr>
              <w:t>；</w:t>
            </w:r>
          </w:p>
          <w:p>
            <w:pPr>
              <w:snapToGrid w:val="0"/>
              <w:spacing w:line="300" w:lineRule="auto"/>
              <w:rPr>
                <w:rFonts w:ascii="宋体" w:hAnsi="宋体" w:cs="宋体"/>
                <w:szCs w:val="21"/>
              </w:rPr>
            </w:pPr>
            <w:r>
              <w:rPr>
                <w:rFonts w:hint="eastAsia" w:ascii="宋体" w:hAnsi="宋体" w:cs="宋体"/>
                <w:szCs w:val="21"/>
              </w:rPr>
              <w:t>评标委员会根据设计图纸的完整性，各部分的空间层次感，整体融合效果及安全性进行评价，结合采购方的需求，根据响应情况进行分档评分。</w:t>
            </w:r>
          </w:p>
          <w:p>
            <w:pPr>
              <w:snapToGrid w:val="0"/>
              <w:spacing w:line="300" w:lineRule="auto"/>
              <w:rPr>
                <w:rFonts w:ascii="宋体" w:hAnsi="宋体" w:cs="宋体"/>
                <w:szCs w:val="21"/>
              </w:rPr>
            </w:pPr>
            <w:r>
              <w:rPr>
                <w:rFonts w:hint="eastAsia" w:ascii="宋体" w:hAnsi="宋体" w:cs="宋体"/>
                <w:szCs w:val="21"/>
              </w:rPr>
              <w:t>投标人提供</w:t>
            </w:r>
            <w:r>
              <w:rPr>
                <w:rFonts w:hint="eastAsia" w:ascii="宋体" w:hAnsi="宋体" w:cs="宋体"/>
                <w:szCs w:val="21"/>
                <w:lang w:val="en-US" w:eastAsia="zh-CN"/>
              </w:rPr>
              <w:t>5张及以上符合现场环境的</w:t>
            </w:r>
            <w:r>
              <w:rPr>
                <w:rFonts w:hint="eastAsia" w:ascii="宋体" w:hAnsi="宋体" w:cs="宋体"/>
                <w:szCs w:val="21"/>
              </w:rPr>
              <w:t>图纸得40分，</w:t>
            </w:r>
            <w:r>
              <w:rPr>
                <w:rFonts w:hint="eastAsia" w:ascii="宋体" w:hAnsi="宋体" w:cs="宋体"/>
                <w:szCs w:val="21"/>
                <w:lang w:val="en-US" w:eastAsia="zh-CN"/>
              </w:rPr>
              <w:t>4</w:t>
            </w:r>
            <w:r>
              <w:rPr>
                <w:rFonts w:hint="eastAsia" w:ascii="宋体" w:hAnsi="宋体" w:cs="宋体"/>
                <w:szCs w:val="21"/>
              </w:rPr>
              <w:t>张图纸得30分，</w:t>
            </w:r>
            <w:r>
              <w:rPr>
                <w:rFonts w:hint="eastAsia" w:ascii="宋体" w:hAnsi="宋体" w:cs="宋体"/>
                <w:szCs w:val="21"/>
                <w:lang w:val="en-US" w:eastAsia="zh-CN"/>
              </w:rPr>
              <w:t>3</w:t>
            </w:r>
            <w:r>
              <w:rPr>
                <w:rFonts w:hint="eastAsia" w:ascii="宋体" w:hAnsi="宋体" w:cs="宋体"/>
                <w:szCs w:val="21"/>
              </w:rPr>
              <w:t>张图纸得20分，</w:t>
            </w:r>
            <w:r>
              <w:rPr>
                <w:rFonts w:hint="eastAsia" w:ascii="宋体" w:hAnsi="宋体" w:cs="宋体"/>
                <w:szCs w:val="21"/>
                <w:lang w:val="en-US" w:eastAsia="zh-CN"/>
              </w:rPr>
              <w:t>2</w:t>
            </w:r>
            <w:r>
              <w:rPr>
                <w:rFonts w:hint="eastAsia" w:ascii="宋体" w:hAnsi="宋体" w:cs="宋体"/>
                <w:szCs w:val="21"/>
              </w:rPr>
              <w:t>张图纸得10分，少于</w:t>
            </w:r>
            <w:r>
              <w:rPr>
                <w:rFonts w:hint="eastAsia" w:ascii="宋体" w:hAnsi="宋体" w:cs="宋体"/>
                <w:szCs w:val="21"/>
                <w:lang w:val="en-US" w:eastAsia="zh-CN"/>
              </w:rPr>
              <w:t>2</w:t>
            </w:r>
            <w:r>
              <w:rPr>
                <w:rFonts w:hint="eastAsia" w:ascii="宋体" w:hAnsi="宋体" w:cs="宋体"/>
                <w:szCs w:val="21"/>
              </w:rPr>
              <w:t>张图纸的得0分。</w:t>
            </w:r>
          </w:p>
          <w:p>
            <w:pPr>
              <w:snapToGrid w:val="0"/>
              <w:spacing w:line="300" w:lineRule="auto"/>
              <w:rPr>
                <w:rFonts w:ascii="宋体" w:hAnsi="宋体" w:cs="宋体"/>
                <w:szCs w:val="21"/>
              </w:rPr>
            </w:pPr>
            <w:r>
              <w:rPr>
                <w:rFonts w:hint="eastAsia" w:ascii="宋体" w:hAnsi="宋体" w:cs="宋体"/>
                <w:szCs w:val="21"/>
              </w:rPr>
              <w:t>未结合本项目具体情况、采购单位的实际布置需求提供的深化设计图纸不得分。</w:t>
            </w:r>
          </w:p>
          <w:p>
            <w:pPr>
              <w:snapToGrid w:val="0"/>
              <w:spacing w:line="300" w:lineRule="auto"/>
              <w:rPr>
                <w:rFonts w:ascii="宋体" w:hAnsi="宋体" w:cs="宋体"/>
                <w:szCs w:val="21"/>
              </w:rPr>
            </w:pPr>
            <w:r>
              <w:rPr>
                <w:rFonts w:hint="eastAsia" w:ascii="宋体" w:hAnsi="宋体" w:cs="宋体"/>
                <w:szCs w:val="21"/>
              </w:rPr>
              <w:t>（二）评审标准：</w:t>
            </w:r>
          </w:p>
          <w:p>
            <w:pPr>
              <w:snapToGrid w:val="0"/>
              <w:spacing w:line="300" w:lineRule="auto"/>
              <w:rPr>
                <w:rFonts w:ascii="宋体" w:hAnsi="宋体" w:cs="宋体"/>
                <w:szCs w:val="21"/>
              </w:rPr>
            </w:pPr>
            <w:r>
              <w:rPr>
                <w:rFonts w:hint="eastAsia" w:ascii="宋体" w:hAnsi="宋体" w:cs="宋体"/>
                <w:szCs w:val="21"/>
              </w:rPr>
              <w:t>提供的相关整体设计</w:t>
            </w:r>
            <w:r>
              <w:rPr>
                <w:rFonts w:hint="eastAsia" w:ascii="宋体" w:hAnsi="宋体" w:cs="宋体"/>
                <w:szCs w:val="21"/>
                <w:lang w:val="en-US" w:eastAsia="zh-CN"/>
              </w:rPr>
              <w:t>系统图</w:t>
            </w:r>
            <w:r>
              <w:rPr>
                <w:rFonts w:hint="eastAsia" w:ascii="宋体" w:hAnsi="宋体" w:cs="宋体"/>
                <w:szCs w:val="21"/>
              </w:rPr>
              <w:t>和</w:t>
            </w:r>
            <w:r>
              <w:rPr>
                <w:rFonts w:hint="eastAsia" w:ascii="宋体" w:hAnsi="宋体" w:cs="宋体"/>
                <w:szCs w:val="21"/>
                <w:lang w:val="en-US" w:eastAsia="zh-CN"/>
              </w:rPr>
              <w:t>各区域系统</w:t>
            </w:r>
            <w:r>
              <w:rPr>
                <w:rFonts w:hint="eastAsia" w:ascii="宋体" w:hAnsi="宋体" w:cs="宋体"/>
                <w:szCs w:val="21"/>
              </w:rPr>
              <w:t>图的基础上，由评审专家进行进一步评价。</w:t>
            </w:r>
          </w:p>
          <w:p>
            <w:pPr>
              <w:snapToGrid w:val="0"/>
              <w:spacing w:line="300" w:lineRule="auto"/>
              <w:rPr>
                <w:rFonts w:hint="default" w:ascii="宋体" w:hAnsi="宋体" w:cs="宋体" w:eastAsiaTheme="minorEastAsia"/>
                <w:szCs w:val="21"/>
                <w:lang w:val="en-US" w:eastAsia="zh-CN"/>
              </w:rPr>
            </w:pPr>
            <w:r>
              <w:rPr>
                <w:rFonts w:hint="eastAsia" w:ascii="宋体" w:hAnsi="宋体" w:cs="宋体"/>
                <w:szCs w:val="21"/>
              </w:rPr>
              <w:t>①提供上述所需图纸合理完善、设计</w:t>
            </w:r>
            <w:r>
              <w:rPr>
                <w:rFonts w:hint="eastAsia" w:ascii="宋体" w:hAnsi="宋体" w:cs="宋体"/>
                <w:szCs w:val="21"/>
                <w:lang w:val="en-US" w:eastAsia="zh-CN"/>
              </w:rPr>
              <w:t>系统</w:t>
            </w:r>
            <w:r>
              <w:rPr>
                <w:rFonts w:hint="eastAsia" w:ascii="宋体" w:hAnsi="宋体" w:cs="宋体"/>
                <w:szCs w:val="21"/>
              </w:rPr>
              <w:t>图完整</w:t>
            </w:r>
            <w:r>
              <w:rPr>
                <w:rFonts w:hint="eastAsia" w:ascii="宋体" w:hAnsi="宋体" w:cs="宋体"/>
                <w:szCs w:val="21"/>
                <w:lang w:val="en-US" w:eastAsia="zh-CN"/>
              </w:rPr>
              <w:t>准确</w:t>
            </w:r>
            <w:r>
              <w:rPr>
                <w:rFonts w:hint="eastAsia" w:ascii="宋体" w:hAnsi="宋体" w:cs="宋体"/>
                <w:szCs w:val="21"/>
              </w:rPr>
              <w:t>，规划清晰、可实现性强、安全性强的评价为优，加</w:t>
            </w:r>
            <w:r>
              <w:rPr>
                <w:rFonts w:hint="eastAsia" w:ascii="宋体" w:hAnsi="宋体" w:cs="宋体"/>
                <w:szCs w:val="21"/>
                <w:lang w:val="en-US" w:eastAsia="zh-CN"/>
              </w:rPr>
              <w:t>60分；</w:t>
            </w:r>
          </w:p>
          <w:p>
            <w:pPr>
              <w:snapToGrid w:val="0"/>
              <w:spacing w:line="300" w:lineRule="auto"/>
              <w:rPr>
                <w:rFonts w:ascii="宋体" w:hAnsi="宋体" w:cs="宋体"/>
                <w:szCs w:val="21"/>
              </w:rPr>
            </w:pPr>
            <w:r>
              <w:rPr>
                <w:rFonts w:hint="eastAsia" w:ascii="宋体" w:hAnsi="宋体" w:cs="宋体"/>
                <w:szCs w:val="21"/>
              </w:rPr>
              <w:t>②提供上述所需图纸较合理、设计</w:t>
            </w:r>
            <w:r>
              <w:rPr>
                <w:rFonts w:hint="eastAsia" w:ascii="宋体" w:hAnsi="宋体" w:cs="宋体"/>
                <w:szCs w:val="21"/>
                <w:lang w:val="en-US" w:eastAsia="zh-CN"/>
              </w:rPr>
              <w:t>系统</w:t>
            </w:r>
            <w:r>
              <w:rPr>
                <w:rFonts w:hint="eastAsia" w:ascii="宋体" w:hAnsi="宋体" w:cs="宋体"/>
                <w:szCs w:val="21"/>
              </w:rPr>
              <w:t>图较完整</w:t>
            </w:r>
            <w:r>
              <w:rPr>
                <w:rFonts w:hint="eastAsia" w:ascii="宋体" w:hAnsi="宋体" w:cs="宋体"/>
                <w:szCs w:val="21"/>
                <w:lang w:val="en-US" w:eastAsia="zh-CN"/>
              </w:rPr>
              <w:t>准确</w:t>
            </w:r>
            <w:r>
              <w:rPr>
                <w:rFonts w:hint="eastAsia" w:ascii="宋体" w:hAnsi="宋体" w:cs="宋体"/>
                <w:szCs w:val="21"/>
              </w:rPr>
              <w:t>，规划较清晰、可实现性较强、安全性较强的评价为良，加40分；</w:t>
            </w:r>
          </w:p>
          <w:p>
            <w:pPr>
              <w:snapToGrid w:val="0"/>
              <w:spacing w:line="300" w:lineRule="auto"/>
              <w:rPr>
                <w:rFonts w:ascii="宋体" w:hAnsi="宋体" w:cs="宋体"/>
                <w:szCs w:val="21"/>
              </w:rPr>
            </w:pPr>
            <w:r>
              <w:rPr>
                <w:rFonts w:hint="eastAsia" w:ascii="宋体" w:hAnsi="宋体" w:cs="宋体"/>
                <w:szCs w:val="21"/>
              </w:rPr>
              <w:t>③提供上述所需图纸布局一般、设计</w:t>
            </w:r>
            <w:r>
              <w:rPr>
                <w:rFonts w:hint="eastAsia" w:ascii="宋体" w:hAnsi="宋体" w:cs="宋体"/>
                <w:szCs w:val="21"/>
                <w:lang w:val="en-US" w:eastAsia="zh-CN"/>
              </w:rPr>
              <w:t>系统</w:t>
            </w:r>
            <w:r>
              <w:rPr>
                <w:rFonts w:hint="eastAsia" w:ascii="宋体" w:hAnsi="宋体" w:cs="宋体"/>
                <w:szCs w:val="21"/>
              </w:rPr>
              <w:t>图一般，规划一般、可实现性一般、安全性一般的评价为中，加10分；</w:t>
            </w:r>
          </w:p>
          <w:p>
            <w:pPr>
              <w:snapToGrid w:val="0"/>
              <w:spacing w:line="300" w:lineRule="auto"/>
              <w:rPr>
                <w:rFonts w:hint="eastAsia" w:ascii="宋体" w:hAnsi="宋体" w:eastAsia="宋体" w:cs="宋体"/>
                <w:color w:val="auto"/>
                <w:sz w:val="21"/>
                <w:szCs w:val="21"/>
                <w:highlight w:val="none"/>
                <w:lang w:val="en-US" w:eastAsia="zh-CN"/>
              </w:rPr>
            </w:pPr>
            <w:r>
              <w:rPr>
                <w:rFonts w:hint="eastAsia" w:ascii="宋体" w:hAnsi="宋体" w:cs="宋体"/>
                <w:szCs w:val="21"/>
              </w:rPr>
              <w:t>④设计规划不全面且不科学、可操作性较差的不得分。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szCs w:val="21"/>
                <w:highlight w:val="none"/>
                <w:lang w:val="en-US" w:eastAsia="zh-CN"/>
              </w:rPr>
            </w:pPr>
            <w:r>
              <w:rPr>
                <w:rFonts w:hint="eastAsia" w:ascii="宋体" w:hAnsi="宋体"/>
                <w:szCs w:val="21"/>
              </w:rPr>
              <w:t>现场勘察</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eastAsia" w:ascii="宋体" w:hAnsi="宋体"/>
                <w:szCs w:val="21"/>
                <w:highlight w:val="none"/>
                <w:lang w:val="en-US" w:eastAsia="zh-CN"/>
              </w:rPr>
            </w:pPr>
            <w:r>
              <w:rPr>
                <w:rFonts w:hint="eastAsia" w:ascii="宋体" w:hAnsi="宋体"/>
                <w:szCs w:val="21"/>
              </w:rPr>
              <w:t>2</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300" w:lineRule="auto"/>
              <w:rPr>
                <w:rFonts w:hint="eastAsia" w:ascii="宋体" w:hAnsi="宋体" w:cs="宋体"/>
                <w:szCs w:val="21"/>
              </w:rPr>
            </w:pPr>
            <w:r>
              <w:rPr>
                <w:rFonts w:hint="eastAsia" w:ascii="宋体" w:hAnsi="宋体" w:cs="宋体"/>
                <w:szCs w:val="21"/>
              </w:rPr>
              <w:t>投标人应自行到学校进行现场踏勘</w:t>
            </w:r>
          </w:p>
          <w:p>
            <w:pPr>
              <w:snapToGrid w:val="0"/>
              <w:spacing w:line="300" w:lineRule="auto"/>
              <w:rPr>
                <w:rFonts w:hint="eastAsia" w:ascii="宋体" w:hAnsi="宋体" w:cs="宋体"/>
                <w:szCs w:val="21"/>
              </w:rPr>
            </w:pPr>
            <w:r>
              <w:rPr>
                <w:rFonts w:hint="eastAsia" w:ascii="宋体" w:hAnsi="宋体" w:cs="宋体"/>
                <w:szCs w:val="21"/>
              </w:rPr>
              <w:t>（1）现场勘察时间：采购公告载明的采购文件领取时间之日起的</w:t>
            </w:r>
            <w:r>
              <w:rPr>
                <w:rFonts w:hint="eastAsia" w:ascii="宋体" w:hAnsi="宋体" w:cs="宋体"/>
                <w:szCs w:val="21"/>
                <w:lang w:val="en-US" w:eastAsia="zh-CN"/>
              </w:rPr>
              <w:t>第三</w:t>
            </w:r>
            <w:r>
              <w:rPr>
                <w:rFonts w:hint="eastAsia" w:ascii="宋体" w:hAnsi="宋体" w:cs="宋体"/>
                <w:szCs w:val="21"/>
              </w:rPr>
              <w:t>个日历日（采购文件领取时间之日为第一个日历日）9：00—11:00；</w:t>
            </w:r>
          </w:p>
          <w:p>
            <w:pPr>
              <w:snapToGrid w:val="0"/>
              <w:spacing w:line="300" w:lineRule="auto"/>
              <w:rPr>
                <w:rFonts w:hint="eastAsia" w:ascii="宋体" w:hAnsi="宋体" w:cs="宋体"/>
                <w:color w:val="FF0000"/>
                <w:szCs w:val="21"/>
              </w:rPr>
            </w:pPr>
            <w:r>
              <w:rPr>
                <w:rFonts w:hint="eastAsia" w:ascii="宋体" w:hAnsi="宋体" w:cs="宋体"/>
                <w:color w:val="auto"/>
                <w:szCs w:val="21"/>
              </w:rPr>
              <w:t>（2）联系人：</w:t>
            </w:r>
            <w:r>
              <w:rPr>
                <w:rFonts w:hint="eastAsia" w:ascii="宋体" w:hAnsi="宋体" w:cs="宋体"/>
                <w:color w:val="auto"/>
                <w:szCs w:val="21"/>
                <w:lang w:val="en-US" w:eastAsia="zh-CN"/>
              </w:rPr>
              <w:t>徐</w:t>
            </w:r>
            <w:r>
              <w:rPr>
                <w:rFonts w:hint="eastAsia" w:ascii="宋体" w:hAnsi="宋体" w:cs="宋体"/>
                <w:color w:val="auto"/>
                <w:szCs w:val="21"/>
              </w:rPr>
              <w:t>老师</w:t>
            </w:r>
            <w:r>
              <w:rPr>
                <w:rFonts w:hint="eastAsia" w:ascii="宋体" w:hAnsi="宋体" w:cs="宋体"/>
                <w:color w:val="auto"/>
                <w:szCs w:val="21"/>
                <w:lang w:val="en-US" w:eastAsia="zh-CN"/>
              </w:rPr>
              <w:t xml:space="preserve"> 0755-2718866</w:t>
            </w:r>
            <w:r>
              <w:rPr>
                <w:rFonts w:hint="eastAsia" w:ascii="宋体" w:hAnsi="宋体" w:cs="宋体"/>
                <w:color w:val="FF0000"/>
                <w:szCs w:val="21"/>
              </w:rPr>
              <w:t xml:space="preserve"> </w:t>
            </w:r>
          </w:p>
          <w:p>
            <w:pPr>
              <w:snapToGrid w:val="0"/>
              <w:spacing w:line="300" w:lineRule="auto"/>
              <w:rPr>
                <w:rFonts w:hint="default" w:ascii="宋体" w:hAnsi="宋体" w:cs="宋体" w:eastAsiaTheme="minorEastAsia"/>
                <w:szCs w:val="21"/>
                <w:lang w:val="en-US" w:eastAsia="zh-CN"/>
              </w:rPr>
            </w:pPr>
            <w:r>
              <w:rPr>
                <w:rFonts w:hint="eastAsia" w:ascii="宋体" w:hAnsi="宋体" w:cs="宋体"/>
                <w:szCs w:val="21"/>
              </w:rPr>
              <w:t>（3）地址：深圳市龙华</w:t>
            </w:r>
            <w:r>
              <w:rPr>
                <w:rFonts w:hint="eastAsia" w:ascii="宋体" w:hAnsi="宋体" w:cs="宋体"/>
                <w:szCs w:val="21"/>
                <w:lang w:val="en-US" w:eastAsia="zh-CN"/>
              </w:rPr>
              <w:t>区民治</w:t>
            </w:r>
            <w:r>
              <w:rPr>
                <w:rFonts w:hint="eastAsia" w:ascii="宋体" w:hAnsi="宋体" w:cs="宋体"/>
                <w:szCs w:val="21"/>
              </w:rPr>
              <w:t>街道</w:t>
            </w:r>
            <w:r>
              <w:rPr>
                <w:rFonts w:hint="eastAsia" w:ascii="宋体" w:hAnsi="宋体" w:cs="宋体"/>
                <w:szCs w:val="21"/>
                <w:lang w:val="en-US" w:eastAsia="zh-CN"/>
              </w:rPr>
              <w:t>临龙路1号</w:t>
            </w:r>
          </w:p>
          <w:p>
            <w:pPr>
              <w:snapToGrid w:val="0"/>
              <w:spacing w:line="300" w:lineRule="auto"/>
              <w:rPr>
                <w:rFonts w:ascii="宋体" w:hAnsi="宋体" w:cs="宋体"/>
                <w:szCs w:val="21"/>
              </w:rPr>
            </w:pPr>
            <w:r>
              <w:rPr>
                <w:rFonts w:hint="eastAsia" w:ascii="宋体" w:hAnsi="宋体" w:cs="宋体"/>
                <w:szCs w:val="21"/>
              </w:rPr>
              <w:t>（4）踏勘携带资料：为保证投标人对项目的正确理解从而确保项目顺利实施，需投标人携带加盖公章的法定代表授权委托书到现场进行勘察。</w:t>
            </w:r>
          </w:p>
          <w:p>
            <w:pPr>
              <w:snapToGrid w:val="0"/>
              <w:spacing w:line="300" w:lineRule="auto"/>
              <w:rPr>
                <w:rFonts w:hint="eastAsia" w:ascii="宋体" w:hAnsi="宋体" w:cs="仿宋_GB2312"/>
                <w:szCs w:val="21"/>
                <w:highlight w:val="none"/>
              </w:rPr>
            </w:pPr>
            <w:r>
              <w:rPr>
                <w:rFonts w:hint="eastAsia" w:ascii="宋体" w:hAnsi="宋体" w:cs="宋体"/>
                <w:szCs w:val="21"/>
              </w:rPr>
              <w:t>提供采购单位（含其所属机构）出具的现场勘察证明（加盖采购单位或其所属机构的公章）及现场照片（不少于3张）的得100分，不按要求提供证明材料不得分。逾期视作放弃踏勘。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Theme="minorEastAsia" w:hAnsiTheme="minorEastAsia"/>
                <w:b/>
                <w:bCs/>
                <w:szCs w:val="21"/>
                <w:highlight w:val="none"/>
              </w:rPr>
              <w:t>商务</w:t>
            </w:r>
            <w:r>
              <w:rPr>
                <w:rFonts w:hint="eastAsia" w:ascii="宋体" w:hAnsi="宋体" w:eastAsia="宋体" w:cs="宋体"/>
                <w:b/>
                <w:bCs/>
                <w:szCs w:val="21"/>
                <w:highlight w:val="none"/>
              </w:rPr>
              <w:t>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trHeight w:val="90" w:hRule="atLeast"/>
          <w:jc w:val="center"/>
        </w:trPr>
        <w:tc>
          <w:tcPr>
            <w:tcW w:w="607" w:type="dxa"/>
            <w:vMerge w:val="continue"/>
            <w:tcBorders>
              <w:left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szCs w:val="21"/>
                <w:highlight w:val="none"/>
                <w:lang w:val="en-US" w:eastAsia="zh-CN"/>
              </w:rPr>
            </w:pPr>
            <w:r>
              <w:rPr>
                <w:rFonts w:hint="eastAsia" w:ascii="宋体" w:hAnsi="宋体"/>
                <w:szCs w:val="21"/>
              </w:rPr>
              <w:t>商务条款偏离情况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szCs w:val="21"/>
                <w:highlight w:val="none"/>
                <w:lang w:val="en-US" w:eastAsia="zh-CN"/>
              </w:rPr>
            </w:pPr>
            <w:r>
              <w:rPr>
                <w:rFonts w:hint="eastAsia" w:ascii="宋体" w:hAnsi="宋体"/>
                <w:szCs w:val="21"/>
              </w:rPr>
              <w:t>4</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300" w:lineRule="auto"/>
              <w:rPr>
                <w:rFonts w:hint="eastAsia" w:ascii="宋体" w:hAnsi="宋体" w:cs="宋体"/>
                <w:kern w:val="2"/>
                <w:szCs w:val="21"/>
              </w:rPr>
            </w:pPr>
            <w:r>
              <w:rPr>
                <w:rFonts w:hint="eastAsia" w:ascii="宋体" w:hAnsi="宋体" w:cs="宋体"/>
                <w:szCs w:val="21"/>
              </w:rPr>
              <w:t>投标人应如实填写《商务条款偏离情况》，评审小组根据响应情况进行打分，全部满足要求的得100分，除实质性条款外，每负偏离一项扣20分，扣完为止。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szCs w:val="21"/>
                <w:highlight w:val="none"/>
              </w:rPr>
            </w:pPr>
            <w:r>
              <w:rPr>
                <w:rFonts w:hint="eastAsia" w:ascii="宋体" w:hAnsi="宋体"/>
                <w:szCs w:val="21"/>
              </w:rPr>
              <w:t>同类项目业绩</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cs="宋体" w:eastAsiaTheme="minorEastAsia"/>
                <w:szCs w:val="21"/>
                <w:highlight w:val="none"/>
                <w:lang w:val="en-US" w:eastAsia="zh-CN"/>
              </w:rPr>
            </w:pPr>
            <w:r>
              <w:rPr>
                <w:rFonts w:hint="eastAsia" w:ascii="宋体" w:hAnsi="宋体"/>
                <w:szCs w:val="21"/>
                <w:lang w:val="en-US" w:eastAsia="zh-CN"/>
              </w:rPr>
              <w:t>2</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numPr>
                <w:ilvl w:val="0"/>
                <w:numId w:val="1"/>
              </w:numPr>
              <w:snapToGrid w:val="0"/>
              <w:spacing w:line="300" w:lineRule="auto"/>
              <w:rPr>
                <w:rFonts w:ascii="宋体" w:hAnsi="宋体" w:cs="宋体"/>
                <w:szCs w:val="21"/>
              </w:rPr>
            </w:pPr>
            <w:r>
              <w:rPr>
                <w:rFonts w:hint="eastAsia" w:ascii="宋体" w:hAnsi="宋体" w:cs="宋体"/>
                <w:szCs w:val="21"/>
              </w:rPr>
              <w:t>评审内容：</w:t>
            </w:r>
          </w:p>
          <w:p>
            <w:pPr>
              <w:snapToGrid w:val="0"/>
              <w:spacing w:line="300" w:lineRule="auto"/>
            </w:pPr>
            <w:r>
              <w:rPr>
                <w:rFonts w:hint="eastAsia" w:ascii="宋体" w:hAnsi="宋体" w:cs="宋体"/>
                <w:szCs w:val="21"/>
              </w:rPr>
              <w:t>202</w:t>
            </w:r>
            <w:r>
              <w:rPr>
                <w:rFonts w:hint="eastAsia" w:ascii="宋体" w:hAnsi="宋体" w:cs="宋体"/>
                <w:szCs w:val="21"/>
                <w:lang w:val="en-US" w:eastAsia="zh-CN"/>
              </w:rPr>
              <w:t>2</w:t>
            </w:r>
            <w:r>
              <w:rPr>
                <w:rFonts w:hint="eastAsia" w:ascii="宋体" w:hAnsi="宋体" w:cs="宋体"/>
                <w:szCs w:val="21"/>
              </w:rPr>
              <w:t>年1月1日至本项目投标截止之日，具有</w:t>
            </w:r>
            <w:r>
              <w:rPr>
                <w:rFonts w:hint="eastAsia" w:ascii="宋体" w:hAnsi="宋体" w:cs="宋体"/>
                <w:szCs w:val="21"/>
                <w:lang w:val="en-US" w:eastAsia="zh-CN"/>
              </w:rPr>
              <w:t>校园物联设备</w:t>
            </w:r>
            <w:r>
              <w:rPr>
                <w:rFonts w:hint="eastAsia" w:ascii="宋体" w:hAnsi="宋体" w:cs="宋体"/>
                <w:szCs w:val="21"/>
              </w:rPr>
              <w:t>类项目经验,每提供1个同类经验的得50分，最高得100分。</w:t>
            </w:r>
          </w:p>
          <w:p>
            <w:pPr>
              <w:numPr>
                <w:ilvl w:val="0"/>
                <w:numId w:val="1"/>
              </w:numPr>
              <w:snapToGrid w:val="0"/>
              <w:spacing w:line="300" w:lineRule="auto"/>
            </w:pPr>
            <w:r>
              <w:rPr>
                <w:rFonts w:hint="eastAsia"/>
              </w:rPr>
              <w:t>评审标准：</w:t>
            </w:r>
          </w:p>
          <w:p>
            <w:pPr>
              <w:snapToGrid w:val="0"/>
              <w:spacing w:line="300" w:lineRule="auto"/>
              <w:rPr>
                <w:rFonts w:hint="eastAsia" w:ascii="宋体" w:hAnsi="宋体" w:cs="宋体" w:eastAsiaTheme="minorEastAsia"/>
                <w:sz w:val="21"/>
                <w:szCs w:val="21"/>
                <w:highlight w:val="none"/>
                <w:lang w:eastAsia="zh-CN"/>
              </w:rPr>
            </w:pPr>
            <w:r>
              <w:rPr>
                <w:rFonts w:hint="eastAsia" w:ascii="宋体" w:hAnsi="宋体" w:cs="宋体"/>
                <w:szCs w:val="21"/>
              </w:rPr>
              <w:t>提供中标通知书及合同关键页</w:t>
            </w:r>
            <w:r>
              <w:rPr>
                <w:rFonts w:hint="eastAsia" w:ascii="宋体" w:hAnsi="宋体" w:cs="宋体"/>
                <w:szCs w:val="21"/>
                <w:lang w:eastAsia="zh-CN"/>
              </w:rPr>
              <w:t>（</w:t>
            </w:r>
            <w:r>
              <w:rPr>
                <w:rFonts w:hint="eastAsia" w:ascii="宋体" w:hAnsi="宋体" w:cs="宋体"/>
                <w:szCs w:val="21"/>
                <w:lang w:val="en-US" w:eastAsia="zh-CN"/>
              </w:rPr>
              <w:t>至少显示签订页和合同事项</w:t>
            </w:r>
            <w:r>
              <w:rPr>
                <w:rFonts w:hint="eastAsia" w:ascii="宋体" w:hAnsi="宋体" w:cs="宋体"/>
                <w:szCs w:val="21"/>
                <w:lang w:eastAsia="zh-CN"/>
              </w:rPr>
              <w:t>）</w:t>
            </w:r>
            <w:r>
              <w:rPr>
                <w:rFonts w:hint="eastAsia" w:ascii="宋体" w:hAnsi="宋体" w:cs="宋体"/>
                <w:szCs w:val="21"/>
              </w:rPr>
              <w:t>及验收报告扫描件，原件备查。未提供或提供的不符合或提供不清晰导致无法判断的均不得分</w:t>
            </w:r>
            <w:r>
              <w:rPr>
                <w:rFonts w:hint="eastAsia" w:ascii="宋体" w:hAnsi="宋体" w:cs="宋体"/>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4</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其他部分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pStyle w:val="2"/>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Style w:val="2"/>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tbl>
    <w:p>
      <w:pPr>
        <w:jc w:val="center"/>
        <w:rPr>
          <w:b/>
          <w:sz w:val="120"/>
          <w:szCs w:val="120"/>
        </w:rPr>
      </w:pPr>
    </w:p>
    <w:p>
      <w:pPr>
        <w:pStyle w:val="2"/>
        <w:rPr>
          <w:rFonts w:hint="eastAsia"/>
          <w:b/>
          <w:sz w:val="120"/>
          <w:szCs w:val="120"/>
        </w:rPr>
      </w:pPr>
    </w:p>
    <w:p>
      <w:pPr>
        <w:pStyle w:val="2"/>
        <w:rPr>
          <w:rFonts w:hint="eastAsia"/>
          <w:b/>
          <w:sz w:val="120"/>
          <w:szCs w:val="120"/>
        </w:rPr>
      </w:pPr>
    </w:p>
    <w:p>
      <w:pPr>
        <w:rPr>
          <w:rFonts w:hint="eastAsia"/>
          <w:b/>
          <w:sz w:val="120"/>
          <w:szCs w:val="120"/>
        </w:rPr>
      </w:pPr>
    </w:p>
    <w:p>
      <w:pPr>
        <w:rPr>
          <w:rFonts w:hint="eastAsia"/>
          <w:b/>
          <w:sz w:val="120"/>
          <w:szCs w:val="120"/>
        </w:rPr>
      </w:pPr>
    </w:p>
    <w:p>
      <w:pPr>
        <w:pStyle w:val="13"/>
        <w:rPr>
          <w:rFonts w:hint="eastAsia"/>
          <w:b/>
          <w:sz w:val="120"/>
          <w:szCs w:val="120"/>
        </w:rPr>
      </w:pPr>
    </w:p>
    <w:p>
      <w:pPr>
        <w:pStyle w:val="13"/>
        <w:rPr>
          <w:rFonts w:hint="eastAsia"/>
          <w:b/>
          <w:sz w:val="120"/>
          <w:szCs w:val="120"/>
        </w:rPr>
      </w:pPr>
    </w:p>
    <w:p>
      <w:pPr>
        <w:pStyle w:val="13"/>
        <w:rPr>
          <w:rFonts w:hint="eastAsia"/>
          <w:b/>
          <w:sz w:val="120"/>
          <w:szCs w:val="120"/>
        </w:rPr>
      </w:pPr>
    </w:p>
    <w:p>
      <w:pPr>
        <w:pStyle w:val="13"/>
        <w:rPr>
          <w:rFonts w:hint="eastAsia"/>
          <w:b/>
          <w:sz w:val="120"/>
          <w:szCs w:val="120"/>
        </w:rPr>
      </w:pPr>
    </w:p>
    <w:p>
      <w:pPr>
        <w:pStyle w:val="13"/>
        <w:rPr>
          <w:rFonts w:hint="eastAsia"/>
          <w:b/>
          <w:sz w:val="120"/>
          <w:szCs w:val="120"/>
        </w:rPr>
      </w:pPr>
    </w:p>
    <w:p>
      <w:pPr>
        <w:jc w:val="center"/>
        <w:rPr>
          <w:b/>
          <w:sz w:val="120"/>
          <w:szCs w:val="120"/>
        </w:rPr>
      </w:pPr>
      <w:r>
        <w:rPr>
          <w:rFonts w:hint="eastAsia"/>
          <w:b/>
          <w:sz w:val="120"/>
          <w:szCs w:val="120"/>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Pr>
        <w:jc w:val="center"/>
        <w:rPr>
          <w:b/>
          <w:sz w:val="44"/>
          <w:szCs w:val="44"/>
        </w:rPr>
      </w:pPr>
      <w:r>
        <w:rPr>
          <w:rFonts w:hint="eastAsia" w:ascii="宋体" w:hAnsi="宋体"/>
          <w:b/>
          <w:sz w:val="44"/>
          <w:szCs w:val="44"/>
        </w:rPr>
        <w:t>深圳公共资源交易中心</w:t>
      </w:r>
    </w:p>
    <w:p>
      <w:pPr>
        <w:jc w:val="center"/>
        <w:rPr>
          <w:b/>
          <w:sz w:val="44"/>
          <w:szCs w:val="44"/>
        </w:rPr>
      </w:pPr>
      <w:r>
        <w:rPr>
          <w:rFonts w:hint="eastAsia" w:ascii="宋体" w:hAnsi="宋体"/>
          <w:b/>
          <w:sz w:val="44"/>
          <w:szCs w:val="44"/>
        </w:rPr>
        <w:t>（</w:t>
      </w:r>
      <w:r>
        <w:rPr>
          <w:rFonts w:hint="eastAsia"/>
          <w:b/>
          <w:sz w:val="44"/>
          <w:szCs w:val="44"/>
          <w:lang w:eastAsia="zh-CN"/>
        </w:rPr>
        <w:t>2025</w:t>
      </w:r>
      <w:r>
        <w:rPr>
          <w:rFonts w:hint="eastAsia" w:ascii="宋体" w:hAnsi="宋体"/>
          <w:b/>
          <w:sz w:val="44"/>
          <w:szCs w:val="44"/>
        </w:rPr>
        <w:t>）</w:t>
      </w:r>
    </w:p>
    <w:p>
      <w:pPr>
        <w:ind w:firstLine="6786" w:firstLineChars="1300"/>
        <w:jc w:val="center"/>
        <w:rPr>
          <w:bCs/>
          <w:color w:val="FF0000"/>
        </w:rPr>
      </w:pPr>
      <w:r>
        <w:rPr>
          <w:rFonts w:hint="eastAsia"/>
          <w:b/>
          <w:color w:val="FF0000"/>
          <w:sz w:val="52"/>
          <w:szCs w:val="52"/>
        </w:rPr>
        <w:br w:type="page"/>
      </w: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pPr>
        <w:rPr>
          <w:b/>
          <w:sz w:val="24"/>
          <w:szCs w:val="24"/>
        </w:rPr>
      </w:pPr>
      <w:r>
        <w:rPr>
          <w:rFonts w:hint="eastAsia"/>
          <w:b/>
          <w:sz w:val="24"/>
          <w:szCs w:val="24"/>
        </w:rPr>
        <w:t>第一册  专用条款</w:t>
      </w:r>
    </w:p>
    <w:p>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411" w:firstLineChars="196"/>
        <w:rPr>
          <w:rFonts w:hint="eastAsia" w:ascii="宋体" w:hAnsi="宋体"/>
          <w:szCs w:val="21"/>
        </w:rPr>
      </w:pPr>
      <w:r>
        <w:rPr>
          <w:rFonts w:hint="eastAsia" w:ascii="宋体" w:hAnsi="宋体"/>
          <w:szCs w:val="21"/>
        </w:rPr>
        <w:t>第五章  合同条款及格式</w:t>
      </w:r>
    </w:p>
    <w:p>
      <w:pPr>
        <w:rPr>
          <w:b/>
          <w:sz w:val="24"/>
        </w:rPr>
      </w:pPr>
    </w:p>
    <w:p>
      <w:pPr>
        <w:rPr>
          <w:b/>
          <w:sz w:val="24"/>
          <w:szCs w:val="24"/>
        </w:rPr>
      </w:pPr>
      <w:r>
        <w:rPr>
          <w:rFonts w:hint="eastAsia"/>
          <w:b/>
          <w:sz w:val="24"/>
          <w:szCs w:val="24"/>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r>
        <w:rPr>
          <w:rFonts w:hint="eastAsia"/>
        </w:rPr>
        <w:t xml:space="preserve">          第十一章  质疑处理</w:t>
      </w:r>
    </w:p>
    <w:p/>
    <w:p/>
    <w:p>
      <w:pPr>
        <w:widowControl/>
        <w:jc w:val="left"/>
      </w:pPr>
      <w:r>
        <w:br w:type="page"/>
      </w:r>
    </w:p>
    <w:p>
      <w:pPr>
        <w:pStyle w:val="3"/>
        <w:spacing w:after="78"/>
        <w:jc w:val="center"/>
        <w:rPr>
          <w:sz w:val="32"/>
          <w:szCs w:val="32"/>
        </w:rPr>
      </w:pPr>
      <w:r>
        <w:rPr>
          <w:rFonts w:hint="eastAsia"/>
          <w:sz w:val="32"/>
          <w:szCs w:val="32"/>
        </w:rPr>
        <w:t>第一册  专用条款</w:t>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pPr>
        <w:ind w:firstLine="630" w:firstLineChars="300"/>
        <w:rPr>
          <w:rFonts w:hint="eastAsia" w:ascii="宋体" w:hAnsi="宋体" w:eastAsia="宋体" w:cs="宋体"/>
          <w:kern w:val="0"/>
          <w:szCs w:val="21"/>
          <w:lang w:eastAsia="zh-CN"/>
        </w:rPr>
      </w:pPr>
      <w:bookmarkStart w:id="0" w:name="OLE_LINK2"/>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 w:val="21"/>
          <w:szCs w:val="21"/>
          <w:highlight w:val="none"/>
          <w:lang w:eastAsia="zh-CN"/>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 w:val="21"/>
          <w:szCs w:val="21"/>
          <w:highlight w:val="none"/>
          <w:lang w:eastAsia="zh-CN"/>
        </w:rPr>
        <w:t>的营业执照及其</w:t>
      </w:r>
      <w:r>
        <w:rPr>
          <w:rFonts w:hint="eastAsia" w:ascii="宋体" w:hAnsi="宋体" w:eastAsia="宋体" w:cs="宋体"/>
          <w:sz w:val="21"/>
          <w:szCs w:val="21"/>
          <w:highlight w:val="none"/>
          <w:lang w:eastAsia="zh-CN"/>
        </w:rPr>
        <w:t>出具的载明愿为其参与本项目投标的行为以及履约等行为承担民事责任的加盖总公司公章的授权函）</w:t>
      </w:r>
      <w:r>
        <w:rPr>
          <w:rFonts w:hint="eastAsia" w:ascii="宋体" w:hAnsi="宋体" w:cs="宋体"/>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30" w:firstLineChars="300"/>
        <w:textAlignment w:val="auto"/>
        <w:rPr>
          <w:rFonts w:hint="default" w:ascii="宋体" w:hAnsi="宋体" w:eastAsia="宋体" w:cs="宋体"/>
          <w:sz w:val="21"/>
          <w:szCs w:val="21"/>
          <w:highlight w:val="none"/>
          <w:lang w:val="en-US" w:eastAsia="zh-CN"/>
        </w:rPr>
      </w:pPr>
      <w:r>
        <w:rPr>
          <w:rFonts w:hint="eastAsia" w:ascii="宋体" w:hAnsi="宋体" w:cs="宋体"/>
          <w:color w:val="FF0000"/>
          <w:kern w:val="0"/>
          <w:szCs w:val="21"/>
        </w:rPr>
        <w:t>2.</w:t>
      </w:r>
      <w:bookmarkStart w:id="1" w:name="OLE_LINK9"/>
      <w:r>
        <w:rPr>
          <w:rFonts w:hint="eastAsia" w:ascii="宋体" w:hAnsi="宋体" w:cs="宋体"/>
          <w:color w:val="FF0000"/>
          <w:kern w:val="0"/>
          <w:szCs w:val="21"/>
        </w:rPr>
        <w:t>本项</w:t>
      </w:r>
      <w:bookmarkStart w:id="2" w:name="OLE_LINK8"/>
      <w:r>
        <w:rPr>
          <w:rFonts w:hint="eastAsia" w:ascii="宋体" w:hAnsi="宋体" w:cs="宋体"/>
          <w:color w:val="FF0000"/>
          <w:kern w:val="0"/>
          <w:szCs w:val="21"/>
        </w:rPr>
        <w:t>目不接受联合体投标</w:t>
      </w:r>
      <w:bookmarkEnd w:id="2"/>
      <w:r>
        <w:rPr>
          <w:rFonts w:hint="eastAsia" w:ascii="宋体" w:hAnsi="宋体" w:cs="宋体"/>
          <w:color w:val="FF0000"/>
          <w:kern w:val="0"/>
          <w:szCs w:val="21"/>
          <w:lang w:val="en-US" w:eastAsia="zh-CN"/>
        </w:rPr>
        <w:t>，</w:t>
      </w:r>
      <w:bookmarkStart w:id="3" w:name="OLE_LINK7"/>
      <w:r>
        <w:rPr>
          <w:rFonts w:hint="eastAsia" w:ascii="宋体" w:hAnsi="宋体" w:cs="宋体"/>
          <w:color w:val="FF0000"/>
          <w:kern w:val="0"/>
          <w:szCs w:val="21"/>
        </w:rPr>
        <w:t>不接受投标人选用进口产品参与投标，详见招标文件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bookmarkEnd w:id="3"/>
      <w:r>
        <w:rPr>
          <w:rFonts w:hint="eastAsia" w:ascii="宋体" w:hAnsi="宋体" w:cs="宋体"/>
          <w:color w:val="FF0000"/>
          <w:kern w:val="0"/>
          <w:szCs w:val="21"/>
        </w:rPr>
        <w:t>；</w:t>
      </w:r>
      <w:bookmarkEnd w:id="1"/>
    </w:p>
    <w:p>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pPr>
        <w:ind w:firstLine="630" w:firstLineChars="3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pPr>
        <w:ind w:firstLine="630" w:firstLineChars="3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r>
        <w:rPr>
          <w:rFonts w:hint="eastAsia" w:ascii="宋体" w:hAnsi="宋体" w:cs="宋体"/>
          <w:kern w:val="0"/>
          <w:szCs w:val="21"/>
          <w:lang w:val="en-US" w:eastAsia="zh-CN"/>
        </w:rPr>
        <w:t>；</w:t>
      </w:r>
    </w:p>
    <w:p>
      <w:pPr>
        <w:ind w:firstLine="630" w:firstLineChars="3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w:t>
      </w:r>
    </w:p>
    <w:p>
      <w:pPr>
        <w:ind w:firstLine="630" w:firstLineChars="300"/>
        <w:rPr>
          <w:rFonts w:hint="eastAsia" w:ascii="宋体" w:hAnsi="宋体" w:eastAsia="宋体" w:cs="宋体"/>
          <w:kern w:val="0"/>
          <w:szCs w:val="21"/>
          <w:lang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.为采购项目提供整体设计、规范编制或者项目管理、监理、检测等服务的供应商，不得再参加该采购项目的其他采购活动（由供应商在《政府采购投标及履约承诺函》中作出声明）</w:t>
      </w:r>
      <w:r>
        <w:rPr>
          <w:rFonts w:hint="eastAsia" w:ascii="宋体" w:hAnsi="宋体" w:cs="宋体"/>
          <w:kern w:val="0"/>
          <w:szCs w:val="21"/>
          <w:lang w:val="en-US" w:eastAsia="zh-CN"/>
        </w:rPr>
        <w:t>；</w:t>
      </w:r>
    </w:p>
    <w:p>
      <w:pPr>
        <w:ind w:firstLine="630" w:firstLineChars="300"/>
        <w:rPr>
          <w:rFonts w:hint="eastAsia" w:ascii="宋体" w:hAnsi="宋体" w:cs="宋体"/>
          <w:kern w:val="0"/>
          <w:szCs w:val="21"/>
          <w:highlight w:val="none"/>
        </w:rPr>
      </w:pPr>
      <w:r>
        <w:rPr>
          <w:rFonts w:hint="eastAsia" w:ascii="宋体" w:hAnsi="宋体" w:cs="宋体"/>
          <w:kern w:val="0"/>
          <w:szCs w:val="21"/>
          <w:highlight w:val="no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ind w:firstLine="630" w:firstLineChars="300"/>
        <w:rPr>
          <w:rFonts w:hint="eastAsia" w:ascii="宋体" w:hAnsi="宋体" w:cs="宋体"/>
          <w:color w:val="auto"/>
          <w:kern w:val="0"/>
          <w:szCs w:val="21"/>
          <w:highlight w:val="yellow"/>
        </w:rPr>
      </w:pPr>
      <w:r>
        <w:rPr>
          <w:rFonts w:hint="eastAsia" w:ascii="宋体" w:hAnsi="宋体" w:cs="宋体"/>
          <w:color w:val="auto"/>
          <w:kern w:val="0"/>
          <w:szCs w:val="21"/>
          <w:highlight w:val="yellow"/>
          <w:lang w:val="en-US" w:eastAsia="zh-CN"/>
        </w:rPr>
        <w:t>9</w:t>
      </w:r>
      <w:r>
        <w:rPr>
          <w:rFonts w:hint="eastAsia" w:ascii="宋体" w:hAnsi="宋体" w:cs="宋体"/>
          <w:color w:val="auto"/>
          <w:kern w:val="0"/>
          <w:szCs w:val="21"/>
          <w:highlight w:val="yellow"/>
        </w:rPr>
        <w:t>.本项目是（否）专门面向中小企业采购：</w:t>
      </w:r>
      <w:r>
        <w:rPr>
          <w:rFonts w:hint="eastAsia" w:ascii="宋体" w:hAnsi="宋体" w:cs="宋体"/>
          <w:color w:val="auto"/>
          <w:kern w:val="0"/>
          <w:szCs w:val="21"/>
          <w:highlight w:val="yellow"/>
          <w:lang w:val="en-US" w:eastAsia="zh-CN"/>
        </w:rPr>
        <w:t>否</w:t>
      </w:r>
      <w:r>
        <w:rPr>
          <w:rFonts w:hint="eastAsia" w:ascii="宋体" w:hAnsi="宋体" w:cs="宋体"/>
          <w:kern w:val="0"/>
          <w:szCs w:val="21"/>
          <w:highlight w:val="yellow"/>
          <w:lang w:eastAsia="zh-CN"/>
        </w:rPr>
        <w:t>。</w:t>
      </w:r>
    </w:p>
    <w:bookmarkEnd w:id="0"/>
    <w:p>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pPr>
        <w:snapToGrid w:val="0"/>
        <w:spacing w:line="300" w:lineRule="auto"/>
        <w:ind w:firstLine="480" w:firstLineChars="200"/>
        <w:rPr>
          <w:rFonts w:ascii="Arial" w:hAnsi="Arial" w:eastAsia="宋体" w:cs="Times New Roman"/>
          <w:sz w:val="24"/>
          <w:szCs w:val="24"/>
        </w:rPr>
      </w:pPr>
    </w:p>
    <w:p>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pPr>
        <w:spacing w:after="78" w:afterLines="25"/>
        <w:rPr>
          <w:rFonts w:ascii="Arial" w:hAnsi="Arial" w:eastAsia="宋体" w:cs="Times New Roman"/>
          <w:b/>
          <w:color w:val="FF0000"/>
          <w:sz w:val="30"/>
          <w:szCs w:val="30"/>
        </w:rPr>
      </w:pPr>
    </w:p>
    <w:p>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4" w:name="_Hlk71926094"/>
      <w:r>
        <w:rPr>
          <w:rFonts w:hint="eastAsia" w:ascii="宋体" w:hAnsi="宋体" w:eastAsia="宋体" w:cs="Times New Roman"/>
          <w:b/>
          <w:bCs/>
          <w:kern w:val="0"/>
          <w:sz w:val="28"/>
          <w:szCs w:val="28"/>
        </w:rPr>
        <w:t>对通用条款的补充内容及其他关键信息</w:t>
      </w:r>
      <w:bookmarkEnd w:id="4"/>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5" w:name="_Toc60560625"/>
      <w:bookmarkStart w:id="6" w:name="_Toc101074876"/>
      <w:bookmarkStart w:id="7" w:name="_Toc60631620"/>
      <w:bookmarkStart w:id="8" w:name="_Toc73521547"/>
      <w:bookmarkStart w:id="9" w:name="_Toc73521635"/>
      <w:bookmarkStart w:id="10" w:name="_Toc73518117"/>
      <w:bookmarkStart w:id="11" w:name="_Toc100052364"/>
      <w:bookmarkStart w:id="12" w:name="_Toc73517639"/>
      <w:r>
        <w:rPr>
          <w:rFonts w:hint="eastAsia" w:ascii="宋体" w:hAnsi="宋体" w:eastAsia="宋体" w:cs="Times New Roman"/>
          <w:b/>
          <w:bCs/>
          <w:kern w:val="0"/>
          <w:sz w:val="24"/>
          <w:szCs w:val="24"/>
        </w:rPr>
        <w:t>一、对通用条款的补充内容</w:t>
      </w:r>
    </w:p>
    <w:tbl>
      <w:tblPr>
        <w:tblStyle w:val="17"/>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b/>
                <w:bCs/>
              </w:rPr>
            </w:pPr>
            <w:r>
              <w:rPr>
                <w:rFonts w:hint="eastAsia" w:ascii="宋体" w:hAnsi="宋体"/>
                <w:b/>
                <w:bCs/>
              </w:rPr>
              <w:t>通用条款序号</w:t>
            </w:r>
          </w:p>
        </w:tc>
        <w:tc>
          <w:tcPr>
            <w:tcW w:w="1755" w:type="dxa"/>
            <w:vAlign w:val="center"/>
          </w:tcPr>
          <w:p>
            <w:pPr>
              <w:jc w:val="center"/>
              <w:rPr>
                <w:rFonts w:hint="eastAsia" w:ascii="宋体" w:hAnsi="宋体"/>
                <w:b/>
                <w:bCs/>
              </w:rPr>
            </w:pPr>
            <w:r>
              <w:rPr>
                <w:rFonts w:hint="eastAsia" w:ascii="宋体" w:hAnsi="宋体"/>
                <w:b/>
                <w:bCs/>
              </w:rPr>
              <w:t>涉及事项</w:t>
            </w:r>
          </w:p>
        </w:tc>
        <w:tc>
          <w:tcPr>
            <w:tcW w:w="6795" w:type="dxa"/>
            <w:vAlign w:val="center"/>
          </w:tcPr>
          <w:p>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.1</w:t>
            </w:r>
          </w:p>
        </w:tc>
        <w:tc>
          <w:tcPr>
            <w:tcW w:w="1755" w:type="dxa"/>
            <w:vAlign w:val="center"/>
          </w:tcPr>
          <w:p>
            <w:pPr>
              <w:jc w:val="center"/>
            </w:pPr>
            <w:r>
              <w:rPr>
                <w:rFonts w:hint="eastAsia"/>
              </w:rPr>
              <w:t>采购人</w:t>
            </w:r>
          </w:p>
        </w:tc>
        <w:tc>
          <w:tcPr>
            <w:tcW w:w="6795" w:type="dxa"/>
            <w:vAlign w:val="center"/>
          </w:tcPr>
          <w:p>
            <w:pPr>
              <w:jc w:val="left"/>
              <w:rPr>
                <w:rFonts w:hint="default" w:ascii="宋体" w:hAnsi="宋体" w:eastAsia="宋体"/>
                <w:lang w:val="en-US" w:eastAsia="zh-CN"/>
              </w:rPr>
            </w:pPr>
            <w:r>
              <w:rPr>
                <w:rFonts w:hint="eastAsia" w:ascii="宋体" w:hAnsi="宋体" w:eastAsia="宋体"/>
                <w:lang w:val="en-US" w:eastAsia="zh-CN"/>
              </w:rPr>
              <w:t>深圳市龙华外国语高级中学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.2</w:t>
            </w:r>
          </w:p>
        </w:tc>
        <w:tc>
          <w:tcPr>
            <w:tcW w:w="1755" w:type="dxa"/>
            <w:vAlign w:val="center"/>
          </w:tcPr>
          <w:p>
            <w:pPr>
              <w:jc w:val="center"/>
              <w:rPr>
                <w:rFonts w:hint="eastAsia" w:ascii="宋体" w:hAnsi="宋体"/>
              </w:rPr>
            </w:pPr>
            <w:r>
              <w:rPr>
                <w:rFonts w:hint="eastAsia" w:ascii="宋体" w:hAnsi="宋体"/>
              </w:rPr>
              <w:t>政府集中采购机构</w:t>
            </w:r>
          </w:p>
        </w:tc>
        <w:tc>
          <w:tcPr>
            <w:tcW w:w="6795" w:type="dxa"/>
            <w:vAlign w:val="center"/>
          </w:tcPr>
          <w:p>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9</w:t>
            </w:r>
          </w:p>
        </w:tc>
        <w:tc>
          <w:tcPr>
            <w:tcW w:w="1755" w:type="dxa"/>
            <w:vAlign w:val="center"/>
          </w:tcPr>
          <w:p>
            <w:pPr>
              <w:jc w:val="center"/>
              <w:rPr>
                <w:rFonts w:hint="eastAsia" w:ascii="宋体" w:hAnsi="宋体"/>
                <w:b/>
                <w:bCs/>
                <w:highlight w:val="none"/>
              </w:rPr>
            </w:pPr>
            <w:r>
              <w:rPr>
                <w:rFonts w:hint="eastAsia" w:ascii="宋体" w:hAnsi="宋体"/>
                <w:b/>
                <w:bCs/>
                <w:highlight w:val="yellow"/>
              </w:rPr>
              <w:t>踏勘现场</w:t>
            </w:r>
          </w:p>
        </w:tc>
        <w:tc>
          <w:tcPr>
            <w:tcW w:w="6795" w:type="dxa"/>
            <w:vAlign w:val="center"/>
          </w:tcPr>
          <w:p>
            <w:pPr>
              <w:jc w:val="left"/>
              <w:rPr>
                <w:rFonts w:hint="eastAsia" w:ascii="Arial" w:hAnsi="Arial" w:cs="Times New Roman" w:eastAsiaTheme="minorEastAsia"/>
                <w:szCs w:val="24"/>
                <w:highlight w:val="none"/>
                <w:lang w:eastAsia="zh-CN"/>
              </w:rPr>
            </w:pPr>
            <w:r>
              <w:rPr>
                <w:rFonts w:hint="eastAsia" w:ascii="Arial" w:hAnsi="Arial" w:eastAsia="宋体" w:cs="Times New Roman"/>
                <w:b/>
                <w:bCs/>
                <w:szCs w:val="24"/>
                <w:highlight w:val="yellow"/>
              </w:rPr>
              <w:t>组织，详见招标文件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0</w:t>
            </w:r>
          </w:p>
        </w:tc>
        <w:tc>
          <w:tcPr>
            <w:tcW w:w="1755" w:type="dxa"/>
            <w:vAlign w:val="center"/>
          </w:tcPr>
          <w:p>
            <w:pPr>
              <w:jc w:val="center"/>
              <w:rPr>
                <w:rFonts w:hint="eastAsia" w:ascii="宋体" w:hAnsi="宋体"/>
              </w:rPr>
            </w:pPr>
            <w:r>
              <w:rPr>
                <w:rFonts w:hint="eastAsia" w:ascii="宋体" w:hAnsi="宋体"/>
              </w:rPr>
              <w:t>标前会议</w:t>
            </w:r>
          </w:p>
        </w:tc>
        <w:tc>
          <w:tcPr>
            <w:tcW w:w="6795" w:type="dxa"/>
            <w:vAlign w:val="center"/>
          </w:tcPr>
          <w:p>
            <w:pPr>
              <w:jc w:val="left"/>
              <w:rPr>
                <w:rFonts w:hint="eastAsia" w:ascii="Arial" w:hAnsi="Arial" w:eastAsia="宋体" w:cs="Times New Roman"/>
                <w:szCs w:val="24"/>
                <w:highlight w:val="none"/>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pPr>
              <w:jc w:val="center"/>
              <w:rPr>
                <w:rFonts w:hint="eastAsia" w:ascii="宋体" w:hAnsi="宋体"/>
              </w:rPr>
            </w:pPr>
            <w:r>
              <w:rPr>
                <w:rFonts w:hint="eastAsia" w:ascii="宋体" w:hAnsi="宋体"/>
              </w:rPr>
              <w:t>招标文件的澄清和修改</w:t>
            </w:r>
          </w:p>
        </w:tc>
        <w:tc>
          <w:tcPr>
            <w:tcW w:w="6795" w:type="dxa"/>
            <w:vAlign w:val="center"/>
          </w:tcPr>
          <w:p>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0</w:t>
            </w:r>
          </w:p>
        </w:tc>
        <w:tc>
          <w:tcPr>
            <w:tcW w:w="1755" w:type="dxa"/>
            <w:vAlign w:val="center"/>
          </w:tcPr>
          <w:p>
            <w:pPr>
              <w:jc w:val="center"/>
              <w:rPr>
                <w:rFonts w:hint="eastAsia" w:ascii="宋体" w:hAnsi="宋体"/>
              </w:rPr>
            </w:pPr>
            <w:r>
              <w:rPr>
                <w:rFonts w:hint="eastAsia" w:ascii="宋体" w:hAnsi="宋体"/>
              </w:rPr>
              <w:t>投标有效期</w:t>
            </w:r>
          </w:p>
        </w:tc>
        <w:tc>
          <w:tcPr>
            <w:tcW w:w="6795" w:type="dxa"/>
            <w:vAlign w:val="center"/>
          </w:tcPr>
          <w:p>
            <w:pPr>
              <w:jc w:val="left"/>
              <w:rPr>
                <w:rFonts w:hint="eastAsia" w:ascii="宋体" w:hAnsi="宋体"/>
              </w:rPr>
            </w:pPr>
            <w:r>
              <w:rPr>
                <w:rFonts w:hint="eastAsia" w:ascii="宋体" w:hAnsi="宋体"/>
              </w:rPr>
              <w:t>120日历天（从投标截止之日算起）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2</w:t>
            </w:r>
          </w:p>
        </w:tc>
        <w:tc>
          <w:tcPr>
            <w:tcW w:w="1755" w:type="dxa"/>
            <w:vAlign w:val="center"/>
          </w:tcPr>
          <w:p>
            <w:pPr>
              <w:jc w:val="center"/>
              <w:rPr>
                <w:rFonts w:hint="eastAsia" w:ascii="宋体" w:hAnsi="宋体"/>
              </w:rPr>
            </w:pPr>
            <w:r>
              <w:rPr>
                <w:rFonts w:hint="eastAsia" w:ascii="宋体" w:hAnsi="宋体"/>
              </w:rPr>
              <w:t>投标人的替代方案</w:t>
            </w:r>
          </w:p>
        </w:tc>
        <w:tc>
          <w:tcPr>
            <w:tcW w:w="6795" w:type="dxa"/>
            <w:vAlign w:val="center"/>
          </w:tcPr>
          <w:p>
            <w:pPr>
              <w:jc w:val="left"/>
              <w:rPr>
                <w:rFonts w:hint="eastAsia"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5</w:t>
            </w:r>
          </w:p>
        </w:tc>
        <w:tc>
          <w:tcPr>
            <w:tcW w:w="1755" w:type="dxa"/>
            <w:vAlign w:val="center"/>
          </w:tcPr>
          <w:p>
            <w:pPr>
              <w:jc w:val="center"/>
              <w:rPr>
                <w:rFonts w:hint="eastAsia" w:ascii="宋体" w:hAnsi="宋体"/>
              </w:rPr>
            </w:pPr>
            <w:r>
              <w:rPr>
                <w:rFonts w:hint="eastAsia" w:ascii="宋体" w:hAnsi="宋体"/>
              </w:rPr>
              <w:t>投标文件的大小</w:t>
            </w:r>
          </w:p>
        </w:tc>
        <w:tc>
          <w:tcPr>
            <w:tcW w:w="6795" w:type="dxa"/>
            <w:vAlign w:val="center"/>
          </w:tcPr>
          <w:p>
            <w:pPr>
              <w:jc w:val="left"/>
              <w:rPr>
                <w:rFonts w:hint="eastAsia" w:ascii="宋体" w:hAnsi="宋体"/>
              </w:rPr>
            </w:pPr>
            <w:r>
              <w:rPr>
                <w:rFonts w:hint="eastAsia" w:ascii="宋体" w:hAnsi="宋体"/>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6</w:t>
            </w:r>
          </w:p>
        </w:tc>
        <w:tc>
          <w:tcPr>
            <w:tcW w:w="1755" w:type="dxa"/>
            <w:vAlign w:val="center"/>
          </w:tcPr>
          <w:p>
            <w:pPr>
              <w:jc w:val="center"/>
              <w:rPr>
                <w:rFonts w:hint="eastAsia" w:ascii="宋体" w:hAnsi="宋体"/>
                <w:highlight w:val="none"/>
              </w:rPr>
            </w:pPr>
            <w:r>
              <w:rPr>
                <w:rFonts w:hint="eastAsia" w:ascii="宋体" w:hAnsi="宋体"/>
                <w:highlight w:val="none"/>
              </w:rPr>
              <w:t>样品、现场演示、方案讲解</w:t>
            </w:r>
          </w:p>
        </w:tc>
        <w:tc>
          <w:tcPr>
            <w:tcW w:w="6795" w:type="dxa"/>
            <w:vAlign w:val="center"/>
          </w:tcPr>
          <w:p>
            <w:pPr>
              <w:jc w:val="left"/>
              <w:rPr>
                <w:rFonts w:hint="eastAsia" w:ascii="宋体" w:hAnsi="宋体" w:eastAsiaTheme="minorEastAsia"/>
                <w:highlight w:val="none"/>
                <w:lang w:val="en-US" w:eastAsia="zh-CN"/>
              </w:rPr>
            </w:pPr>
            <w:r>
              <w:rPr>
                <w:rFonts w:hint="eastAsia" w:ascii="宋体" w:hAnsi="宋体"/>
                <w:highlight w:val="none"/>
                <w:lang w:val="en-US" w:eastAsia="zh-CN"/>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7</w:t>
            </w:r>
          </w:p>
        </w:tc>
        <w:tc>
          <w:tcPr>
            <w:tcW w:w="1755" w:type="dxa"/>
            <w:vAlign w:val="center"/>
          </w:tcPr>
          <w:p>
            <w:pPr>
              <w:jc w:val="center"/>
              <w:rPr>
                <w:rFonts w:hint="eastAsia" w:ascii="宋体" w:hAnsi="宋体"/>
              </w:rPr>
            </w:pPr>
            <w:r>
              <w:rPr>
                <w:rFonts w:hint="eastAsia" w:ascii="宋体" w:hAnsi="宋体"/>
              </w:rPr>
              <w:t>评审方法</w:t>
            </w:r>
          </w:p>
        </w:tc>
        <w:tc>
          <w:tcPr>
            <w:tcW w:w="6795" w:type="dxa"/>
            <w:vAlign w:val="center"/>
          </w:tcPr>
          <w:p>
            <w:pPr>
              <w:jc w:val="left"/>
              <w:rPr>
                <w:rFonts w:hint="eastAsia" w:ascii="宋体" w:hAnsi="宋体"/>
              </w:rPr>
            </w:pPr>
            <w:r>
              <w:rPr>
                <w:rFonts w:ascii="宋体" w:hAnsi="宋体"/>
                <w:b/>
                <w:bCs/>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8</w:t>
            </w:r>
          </w:p>
        </w:tc>
        <w:tc>
          <w:tcPr>
            <w:tcW w:w="1755" w:type="dxa"/>
            <w:vAlign w:val="center"/>
          </w:tcPr>
          <w:p>
            <w:pPr>
              <w:jc w:val="center"/>
              <w:rPr>
                <w:rFonts w:hint="eastAsia" w:ascii="宋体" w:hAnsi="宋体"/>
                <w:b/>
                <w:bCs/>
                <w:color w:val="FF0000"/>
                <w:highlight w:val="yellow"/>
              </w:rPr>
            </w:pPr>
            <w:r>
              <w:rPr>
                <w:rFonts w:hint="eastAsia" w:ascii="宋体" w:hAnsi="宋体"/>
                <w:b/>
                <w:bCs/>
                <w:color w:val="FF0000"/>
                <w:highlight w:val="yellow"/>
              </w:rPr>
              <w:t>定标方法</w:t>
            </w:r>
          </w:p>
        </w:tc>
        <w:tc>
          <w:tcPr>
            <w:tcW w:w="6795" w:type="dxa"/>
            <w:vAlign w:val="center"/>
          </w:tcPr>
          <w:p>
            <w:pPr>
              <w:jc w:val="left"/>
              <w:rPr>
                <w:rFonts w:hint="eastAsia" w:ascii="宋体" w:hAnsi="宋体"/>
                <w:b/>
                <w:bCs/>
                <w:color w:val="FF0000"/>
                <w:highlight w:val="yellow"/>
              </w:rPr>
            </w:pPr>
            <w:r>
              <w:rPr>
                <w:rFonts w:hint="eastAsia" w:ascii="宋体" w:hAnsi="宋体" w:eastAsia="宋体" w:cs="Times New Roman"/>
                <w:b/>
                <w:bCs/>
                <w:color w:val="FF0000"/>
                <w:szCs w:val="21"/>
                <w:highlight w:val="yellow"/>
                <w:lang w:val="en-US" w:eastAsia="zh-CN"/>
              </w:rPr>
              <w:t>非</w:t>
            </w:r>
            <w:r>
              <w:rPr>
                <w:rFonts w:hint="eastAsia" w:ascii="宋体" w:hAnsi="宋体" w:eastAsia="宋体" w:cs="Times New Roman"/>
                <w:b/>
                <w:bCs/>
                <w:color w:val="FF0000"/>
                <w:szCs w:val="21"/>
                <w:highlight w:val="yellow"/>
              </w:rPr>
              <w:t>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4</w:t>
            </w:r>
            <w:r>
              <w:rPr>
                <w:rFonts w:ascii="宋体" w:hAnsi="宋体"/>
              </w:rPr>
              <w:t>6</w:t>
            </w:r>
          </w:p>
        </w:tc>
        <w:tc>
          <w:tcPr>
            <w:tcW w:w="1755" w:type="dxa"/>
            <w:vAlign w:val="center"/>
          </w:tcPr>
          <w:p>
            <w:pPr>
              <w:jc w:val="center"/>
              <w:rPr>
                <w:rFonts w:hint="eastAsia" w:ascii="宋体" w:hAnsi="宋体"/>
              </w:rPr>
            </w:pPr>
            <w:r>
              <w:rPr>
                <w:rFonts w:hint="eastAsia" w:ascii="宋体" w:hAnsi="宋体"/>
              </w:rPr>
              <w:t>履约担保</w:t>
            </w:r>
          </w:p>
        </w:tc>
        <w:tc>
          <w:tcPr>
            <w:tcW w:w="6795" w:type="dxa"/>
            <w:vAlign w:val="center"/>
          </w:tcPr>
          <w:p>
            <w:pPr>
              <w:jc w:val="left"/>
              <w:rPr>
                <w:rFonts w:hint="eastAsia" w:ascii="宋体" w:hAnsi="宋体"/>
              </w:rPr>
            </w:pPr>
            <w:r>
              <w:rPr>
                <w:rFonts w:hint="eastAsia" w:ascii="宋体" w:hAnsi="宋体"/>
              </w:rPr>
              <w:t>不需要</w:t>
            </w:r>
          </w:p>
        </w:tc>
      </w:tr>
      <w:bookmarkEnd w:id="5"/>
      <w:bookmarkEnd w:id="6"/>
      <w:bookmarkEnd w:id="7"/>
      <w:bookmarkEnd w:id="8"/>
      <w:bookmarkEnd w:id="9"/>
      <w:bookmarkEnd w:id="10"/>
      <w:bookmarkEnd w:id="11"/>
      <w:bookmarkEnd w:id="12"/>
    </w:tbl>
    <w:p>
      <w:pPr>
        <w:widowControl/>
        <w:jc w:val="center"/>
        <w:rPr>
          <w:szCs w:val="21"/>
        </w:rPr>
      </w:pPr>
      <w:r>
        <w:rPr>
          <w:rFonts w:hint="eastAsia"/>
          <w:szCs w:val="21"/>
        </w:rPr>
        <w:t>备注：本表是通用条款相关条款的补充和明确，如与通用条款内容相冲突的，以本表为准。</w:t>
      </w:r>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pPr>
        <w:tabs>
          <w:tab w:val="left" w:pos="720"/>
        </w:tabs>
        <w:rPr>
          <w:rFonts w:hint="eastAsia" w:ascii="黑体" w:hAnsi="宋体" w:eastAsia="黑体"/>
          <w:bCs/>
          <w:sz w:val="24"/>
        </w:rPr>
      </w:pPr>
      <w:r>
        <w:rPr>
          <w:rFonts w:hint="eastAsia" w:ascii="黑体" w:hAnsi="宋体" w:eastAsia="黑体"/>
          <w:bCs/>
          <w:sz w:val="24"/>
        </w:rPr>
        <w:t>1、评标定标信息</w:t>
      </w:r>
    </w:p>
    <w:p>
      <w:pPr>
        <w:jc w:val="center"/>
      </w:pPr>
      <w:r>
        <w:rPr>
          <w:rFonts w:hint="eastAsia"/>
          <w:b/>
        </w:rPr>
        <w:t>非评定分离项目</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vAlign w:val="top"/>
          </w:tcPr>
          <w:p>
            <w:pPr>
              <w:jc w:val="center"/>
            </w:pPr>
            <w:r>
              <w:rPr>
                <w:rFonts w:hint="eastAsia"/>
              </w:rPr>
              <w:t>评标方法</w:t>
            </w:r>
          </w:p>
        </w:tc>
        <w:tc>
          <w:tcPr>
            <w:tcW w:w="3235" w:type="dxa"/>
            <w:vAlign w:val="top"/>
          </w:tcPr>
          <w:p>
            <w:pPr>
              <w:jc w:val="center"/>
              <w:rPr>
                <w:rFonts w:eastAsia="宋体"/>
              </w:rPr>
            </w:pPr>
            <w:r>
              <w:rPr>
                <w:rFonts w:hint="eastAsia"/>
              </w:rPr>
              <w:sym w:font="Wingdings" w:char="00FE"/>
            </w:r>
            <w:r>
              <w:rPr>
                <w:rFonts w:hint="eastAsia"/>
              </w:rPr>
              <w:t>综合评分法</w:t>
            </w:r>
          </w:p>
        </w:tc>
        <w:tc>
          <w:tcPr>
            <w:tcW w:w="2450" w:type="dxa"/>
            <w:vAlign w:val="top"/>
          </w:tcPr>
          <w:p>
            <w:pPr>
              <w:jc w:val="center"/>
            </w:pPr>
            <w:r>
              <w:rPr>
                <w:rFonts w:hint="eastAsia" w:ascii="Times New Roman" w:eastAsia="宋体"/>
              </w:rPr>
              <w:sym w:font="Wingdings" w:char="00A8"/>
            </w:r>
            <w:r>
              <w:rPr>
                <w:rFonts w:hint="eastAsia" w:ascii="Times New Roman" w:eastAsia="宋体"/>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vAlign w:val="top"/>
          </w:tcPr>
          <w:p>
            <w:pPr>
              <w:jc w:val="center"/>
            </w:pPr>
            <w:r>
              <w:rPr>
                <w:rFonts w:hint="eastAsia"/>
              </w:rPr>
              <w:t>候选中标供应商家数</w:t>
            </w:r>
          </w:p>
        </w:tc>
        <w:tc>
          <w:tcPr>
            <w:tcW w:w="3235" w:type="dxa"/>
            <w:vAlign w:val="top"/>
          </w:tcPr>
          <w:p>
            <w:pPr>
              <w:jc w:val="center"/>
              <w:rPr>
                <w:rFonts w:eastAsia="宋体"/>
              </w:rPr>
            </w:pPr>
            <w:r>
              <w:rPr>
                <w:rFonts w:hint="eastAsia" w:eastAsia="宋体"/>
              </w:rPr>
              <w:t>3</w:t>
            </w:r>
          </w:p>
        </w:tc>
        <w:tc>
          <w:tcPr>
            <w:tcW w:w="2450" w:type="dxa"/>
            <w:vAlign w:val="top"/>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vAlign w:val="top"/>
          </w:tcPr>
          <w:p>
            <w:pPr>
              <w:jc w:val="center"/>
            </w:pPr>
            <w:r>
              <w:rPr>
                <w:rFonts w:hint="eastAsia"/>
              </w:rPr>
              <w:t>中标供应商家数</w:t>
            </w:r>
          </w:p>
        </w:tc>
        <w:tc>
          <w:tcPr>
            <w:tcW w:w="3235" w:type="dxa"/>
            <w:vAlign w:val="top"/>
          </w:tcPr>
          <w:p>
            <w:pPr>
              <w:jc w:val="center"/>
            </w:pPr>
            <w:r>
              <w:rPr>
                <w:rFonts w:hint="eastAsia"/>
              </w:rPr>
              <w:t>1</w:t>
            </w:r>
          </w:p>
        </w:tc>
        <w:tc>
          <w:tcPr>
            <w:tcW w:w="2450" w:type="dxa"/>
            <w:vAlign w:val="top"/>
          </w:tcPr>
          <w:p>
            <w:pPr>
              <w:jc w:val="center"/>
            </w:pPr>
            <w:r>
              <w:rPr>
                <w:rFonts w:hint="eastAsia"/>
              </w:rPr>
              <w:t>1</w:t>
            </w:r>
          </w:p>
        </w:tc>
      </w:tr>
    </w:tbl>
    <w:p>
      <w:pPr>
        <w:numPr>
          <w:ilvl w:val="0"/>
          <w:numId w:val="0"/>
        </w:numPr>
        <w:tabs>
          <w:tab w:val="left" w:pos="720"/>
        </w:tabs>
        <w:rPr>
          <w:rFonts w:ascii="黑体" w:hAnsi="宋体" w:eastAsia="黑体"/>
          <w:sz w:val="24"/>
        </w:rPr>
      </w:pPr>
      <w:r>
        <w:rPr>
          <w:rFonts w:ascii="黑体" w:hAnsi="宋体" w:eastAsia="黑体" w:cstheme="minorBidi"/>
          <w:kern w:val="2"/>
          <w:sz w:val="24"/>
          <w:szCs w:val="22"/>
          <w:lang w:val="en-US" w:eastAsia="zh-CN" w:bidi="ar-SA"/>
        </w:rPr>
        <w:t>2、</w:t>
      </w:r>
      <w:r>
        <w:rPr>
          <w:rFonts w:hint="eastAsia" w:ascii="黑体" w:hAnsi="宋体" w:eastAsia="黑体"/>
          <w:sz w:val="24"/>
        </w:rPr>
        <w:t>踏勘现场：</w:t>
      </w:r>
    </w:p>
    <w:p>
      <w:pPr>
        <w:widowControl/>
        <w:jc w:val="left"/>
        <w:textAlignment w:val="center"/>
        <w:rPr>
          <w:rFonts w:ascii="宋体" w:hAnsi="宋体" w:eastAsia="宋体" w:cs="宋体"/>
          <w:szCs w:val="21"/>
        </w:rPr>
      </w:pPr>
      <w:r>
        <w:rPr>
          <w:rFonts w:hint="eastAsia" w:ascii="宋体" w:hAnsi="宋体" w:eastAsia="宋体" w:cs="宋体"/>
          <w:szCs w:val="21"/>
        </w:rPr>
        <w:t>（1）现场踏勘时间：</w:t>
      </w:r>
      <w:r>
        <w:rPr>
          <w:rFonts w:hint="eastAsia" w:ascii="宋体" w:hAnsi="宋体" w:cs="宋体"/>
          <w:color w:val="FF0000"/>
          <w:szCs w:val="21"/>
        </w:rPr>
        <w:t>采购公告载明的采购文件领取时间之日起的前三个日历日（采购文件领取时间之日为第一个日历日）</w:t>
      </w:r>
      <w:r>
        <w:rPr>
          <w:rFonts w:hint="eastAsia" w:ascii="宋体" w:hAnsi="宋体" w:cs="宋体"/>
          <w:szCs w:val="21"/>
        </w:rPr>
        <w:t>9：00—11:00</w:t>
      </w:r>
      <w:r>
        <w:rPr>
          <w:rFonts w:hint="eastAsia" w:ascii="宋体" w:hAnsi="宋体" w:eastAsia="宋体" w:cs="宋体"/>
          <w:szCs w:val="21"/>
        </w:rPr>
        <w:t xml:space="preserve">。 </w:t>
      </w:r>
    </w:p>
    <w:p>
      <w:pPr>
        <w:widowControl/>
        <w:jc w:val="left"/>
        <w:textAlignment w:val="center"/>
        <w:rPr>
          <w:rFonts w:ascii="宋体" w:hAnsi="宋体" w:eastAsia="宋体" w:cs="宋体"/>
          <w:szCs w:val="21"/>
        </w:rPr>
      </w:pPr>
      <w:r>
        <w:rPr>
          <w:rFonts w:hint="eastAsia" w:ascii="宋体" w:hAnsi="宋体" w:eastAsia="宋体" w:cs="宋体"/>
          <w:szCs w:val="21"/>
        </w:rPr>
        <w:t>（2）踏勘联系人：李老师</w:t>
      </w:r>
      <w:r>
        <w:rPr>
          <w:rFonts w:hint="eastAsia" w:ascii="宋体" w:hAnsi="宋体" w:cs="宋体"/>
          <w:szCs w:val="21"/>
        </w:rPr>
        <w:t>18002577565</w:t>
      </w:r>
    </w:p>
    <w:p>
      <w:pPr>
        <w:widowControl/>
        <w:jc w:val="left"/>
        <w:textAlignment w:val="center"/>
        <w:rPr>
          <w:rFonts w:ascii="宋体" w:hAnsi="宋体" w:eastAsia="宋体" w:cs="宋体"/>
          <w:szCs w:val="21"/>
        </w:rPr>
      </w:pPr>
      <w:r>
        <w:rPr>
          <w:rFonts w:hint="eastAsia" w:ascii="宋体" w:hAnsi="宋体" w:eastAsia="宋体" w:cs="宋体"/>
          <w:szCs w:val="21"/>
        </w:rPr>
        <w:t xml:space="preserve">踏查地址：深圳市龙华大浪街道虔学路33号 </w:t>
      </w:r>
    </w:p>
    <w:p>
      <w:pPr>
        <w:rPr>
          <w:rFonts w:ascii="宋体" w:hAnsi="宋体" w:eastAsia="宋体" w:cs="仿宋_GB2312"/>
          <w:szCs w:val="21"/>
        </w:rPr>
      </w:pPr>
      <w:r>
        <w:rPr>
          <w:rFonts w:hint="eastAsia" w:ascii="宋体" w:hAnsi="宋体" w:eastAsia="宋体" w:cs="宋体"/>
          <w:szCs w:val="21"/>
        </w:rPr>
        <w:t>（3）踏勘携带资料：参加踏勘需携带法定代表人资格证明书以及授权委托书，踏勘结束后，由（采购人）现场颁发踏勘证明</w:t>
      </w:r>
      <w:r>
        <w:rPr>
          <w:rFonts w:hint="eastAsia" w:ascii="宋体" w:hAnsi="宋体" w:eastAsia="宋体" w:cs="仿宋_GB2312"/>
          <w:szCs w:val="21"/>
        </w:rPr>
        <w:t>。</w:t>
      </w:r>
    </w:p>
    <w:p>
      <w:pPr>
        <w:spacing w:line="240" w:lineRule="atLeast"/>
        <w:rPr>
          <w:rFonts w:hint="eastAsia" w:ascii="宋体" w:hAnsi="宋体" w:eastAsia="宋体" w:cs="宋体"/>
          <w:b/>
          <w:bCs/>
          <w:szCs w:val="21"/>
        </w:rPr>
      </w:pPr>
    </w:p>
    <w:p>
      <w:pPr>
        <w:tabs>
          <w:tab w:val="left" w:pos="720"/>
        </w:tabs>
        <w:rPr>
          <w:rFonts w:hint="eastAsia" w:ascii="黑体" w:hAnsi="宋体" w:eastAsia="黑体"/>
          <w:sz w:val="24"/>
        </w:rPr>
      </w:pPr>
      <w:r>
        <w:rPr>
          <w:rFonts w:hint="eastAsia" w:ascii="黑体" w:hAnsi="宋体" w:eastAsia="黑体"/>
          <w:sz w:val="24"/>
        </w:rPr>
        <w:t>（二）其他事项</w:t>
      </w:r>
    </w:p>
    <w:p>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pPr>
        <w:ind w:firstLine="411" w:firstLineChars="196"/>
        <w:rPr>
          <w:rFonts w:hint="eastAsia" w:ascii="宋体" w:hAnsi="宋体"/>
          <w:b w:val="0"/>
          <w:bCs w:val="0"/>
          <w:color w:val="auto"/>
          <w:highlight w:val="none"/>
        </w:rPr>
      </w:pPr>
      <w:r>
        <w:rPr>
          <w:rFonts w:hint="eastAsia" w:ascii="宋体" w:hAnsi="宋体"/>
          <w:b w:val="0"/>
          <w:bCs w:val="0"/>
          <w:color w:val="auto"/>
          <w:highlight w:val="none"/>
        </w:rPr>
        <w:t>（1）</w:t>
      </w:r>
      <w:r>
        <w:rPr>
          <w:rFonts w:hint="eastAsia"/>
          <w:b w:val="0"/>
          <w:bCs w:val="0"/>
          <w:color w:val="auto"/>
          <w:highlight w:val="none"/>
        </w:rPr>
        <w:t>专门面向中小企业采购的项目（包括联合体或分包预留中小企业份额的项目），不再执行价格扣除比例。</w:t>
      </w:r>
    </w:p>
    <w:p>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专门面向中小企业采购的项目，</w:t>
      </w:r>
      <w:r>
        <w:rPr>
          <w:rFonts w:hint="eastAsia"/>
          <w:highlight w:val="none"/>
        </w:rPr>
        <w:t>应</w:t>
      </w:r>
      <w:r>
        <w:rPr>
          <w:rFonts w:hint="eastAsia" w:ascii="Times New Roman" w:eastAsia="宋体"/>
          <w:highlight w:val="none"/>
        </w:rPr>
        <w:t>执行价格扣除比例</w:t>
      </w:r>
      <w:r>
        <w:rPr>
          <w:rFonts w:hint="eastAsia"/>
          <w:highlight w:val="none"/>
        </w:rPr>
        <w:t>：</w:t>
      </w:r>
      <w:r>
        <w:rPr>
          <w:rFonts w:hint="eastAsia" w:ascii="宋体" w:hAnsi="宋体"/>
          <w:highlight w:val="none"/>
        </w:rPr>
        <w:t>投标人提供的货物（以招标文件用户需求书“货物需求明细”的“货物名称”一栏为准）全部均由优惠主体制造的，对其投标总价给予</w:t>
      </w:r>
      <w:r>
        <w:rPr>
          <w:rFonts w:hint="eastAsia" w:ascii="宋体" w:hAnsi="宋体"/>
          <w:b/>
          <w:bCs/>
          <w:color w:val="FF0000"/>
          <w:highlight w:val="yellow"/>
          <w:u w:val="single"/>
        </w:rPr>
        <w:t xml:space="preserve"> </w:t>
      </w:r>
      <w:r>
        <w:rPr>
          <w:rFonts w:hint="eastAsia" w:ascii="宋体" w:hAnsi="宋体"/>
          <w:b/>
          <w:bCs/>
          <w:color w:val="FF0000"/>
          <w:highlight w:val="yellow"/>
          <w:u w:val="single"/>
          <w:lang w:val="en-US" w:eastAsia="zh-CN"/>
        </w:rPr>
        <w:t>10%</w:t>
      </w:r>
      <w:r>
        <w:rPr>
          <w:rFonts w:hint="eastAsia" w:ascii="宋体" w:hAnsi="宋体" w:eastAsia="宋体" w:cs="Times New Roman"/>
          <w:b/>
          <w:bCs/>
          <w:color w:val="FF0000"/>
          <w:sz w:val="24"/>
          <w:szCs w:val="24"/>
          <w:highlight w:val="yellow"/>
          <w:u w:val="single"/>
        </w:rPr>
        <w:t xml:space="preserve"> </w:t>
      </w:r>
      <w:r>
        <w:rPr>
          <w:rFonts w:hint="eastAsia" w:ascii="宋体" w:hAnsi="宋体"/>
          <w:b w:val="0"/>
          <w:bCs w:val="0"/>
          <w:color w:val="auto"/>
          <w:highlight w:val="none"/>
        </w:rPr>
        <w:t>的扣除</w:t>
      </w:r>
      <w:r>
        <w:rPr>
          <w:rFonts w:hint="eastAsia" w:ascii="宋体" w:hAnsi="宋体"/>
          <w:highlight w:val="none"/>
        </w:rPr>
        <w:t>，用扣除后的价格参与评审。满足多项优惠政策的企业，不重复享受多项价格扣除政策。</w:t>
      </w:r>
      <w:r>
        <w:rPr>
          <w:rFonts w:hint="eastAsia" w:ascii="Arial" w:hAnsi="Arial" w:eastAsia="宋体" w:cs="Times New Roman"/>
          <w:b/>
          <w:szCs w:val="21"/>
          <w:highlight w:val="none"/>
        </w:rPr>
        <w:t>政策调整后价格仅作为评审依据，不作为中标价格。</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3"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3"/>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pPr>
        <w:tabs>
          <w:tab w:val="left" w:pos="720"/>
        </w:tabs>
        <w:ind w:firstLine="480" w:firstLineChars="200"/>
        <w:rPr>
          <w:rFonts w:hint="eastAsia" w:ascii="黑体" w:hAnsi="宋体" w:eastAsia="黑体"/>
          <w:sz w:val="24"/>
        </w:rPr>
      </w:pPr>
    </w:p>
    <w:p>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r>
    </w:tbl>
    <w:p>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pPr>
        <w:widowControl/>
        <w:jc w:val="left"/>
        <w:rPr>
          <w:rFonts w:hint="eastAsia" w:ascii="宋体" w:hAnsi="宋体" w:eastAsia="黑体" w:cs="Times New Roman"/>
          <w:bCs/>
          <w:kern w:val="44"/>
          <w:sz w:val="28"/>
          <w:szCs w:val="44"/>
        </w:rPr>
      </w:pP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7"/>
        <w:tblW w:w="8931" w:type="dxa"/>
        <w:jc w:val="center"/>
        <w:tblLayout w:type="fixed"/>
        <w:tblCellMar>
          <w:top w:w="15" w:type="dxa"/>
          <w:left w:w="15" w:type="dxa"/>
          <w:bottom w:w="15" w:type="dxa"/>
          <w:right w:w="15" w:type="dxa"/>
        </w:tblCellMar>
      </w:tblPr>
      <w:tblGrid>
        <w:gridCol w:w="710"/>
        <w:gridCol w:w="2693"/>
        <w:gridCol w:w="2906"/>
        <w:gridCol w:w="2622"/>
      </w:tblGrid>
      <w:tr>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asciiTheme="minorEastAsia" w:hAnsiTheme="minorEastAsia"/>
                <w:sz w:val="24"/>
                <w:szCs w:val="24"/>
              </w:rPr>
              <w:t>财政预算限额（元）</w:t>
            </w:r>
          </w:p>
        </w:tc>
      </w:tr>
      <w:tr>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eastAsiaTheme="minorEastAsia"/>
                <w:lang w:eastAsia="zh-CN"/>
              </w:rPr>
            </w:pPr>
            <w:r>
              <w:rPr>
                <w:rFonts w:hint="eastAsia" w:eastAsiaTheme="minorEastAsia"/>
                <w:lang w:eastAsia="zh-CN"/>
              </w:rPr>
              <w:t>1</w:t>
            </w:r>
          </w:p>
        </w:tc>
        <w:tc>
          <w:tcPr>
            <w:tcW w:w="2693" w:type="dxa"/>
            <w:tcBorders>
              <w:top w:val="single" w:color="000000" w:sz="4" w:space="0"/>
              <w:left w:val="single" w:color="auto" w:sz="4" w:space="0"/>
              <w:bottom w:val="single" w:color="000000" w:sz="4" w:space="0"/>
              <w:right w:val="single" w:color="000000" w:sz="4" w:space="0"/>
            </w:tcBorders>
            <w:vAlign w:val="center"/>
          </w:tcPr>
          <w:p>
            <w:pPr>
              <w:jc w:val="center"/>
              <w:rPr>
                <w:rFonts w:hint="default" w:eastAsiaTheme="minorEastAsia"/>
                <w:lang w:val="en-US" w:eastAsia="zh-CN"/>
              </w:rPr>
            </w:pPr>
            <w:r>
              <w:rPr>
                <w:rFonts w:hint="default" w:eastAsiaTheme="minorEastAsia"/>
                <w:lang w:val="en-US" w:eastAsia="zh-CN"/>
              </w:rPr>
              <w:t>LHAZXCG-2025-00120</w:t>
            </w:r>
          </w:p>
        </w:tc>
        <w:tc>
          <w:tcPr>
            <w:tcW w:w="2906" w:type="dxa"/>
            <w:tcBorders>
              <w:top w:val="single" w:color="000000" w:sz="4" w:space="0"/>
              <w:left w:val="single" w:color="000000" w:sz="4" w:space="0"/>
              <w:right w:val="single" w:color="000000" w:sz="4" w:space="0"/>
            </w:tcBorders>
            <w:vAlign w:val="center"/>
          </w:tcPr>
          <w:p>
            <w:pPr>
              <w:jc w:val="center"/>
              <w:rPr>
                <w:rFonts w:hint="eastAsia" w:eastAsiaTheme="minorEastAsia"/>
                <w:lang w:eastAsia="zh-CN"/>
              </w:rPr>
            </w:pPr>
            <w:r>
              <w:rPr>
                <w:rFonts w:hint="default" w:asciiTheme="minorEastAsia" w:hAnsiTheme="minorEastAsia"/>
                <w:sz w:val="24"/>
                <w:szCs w:val="24"/>
                <w:lang w:val="en-US" w:eastAsia="zh-CN"/>
              </w:rPr>
              <w:t>深圳市龙华外国语高级中学物联设备采购</w:t>
            </w:r>
          </w:p>
        </w:tc>
        <w:tc>
          <w:tcPr>
            <w:tcW w:w="2622" w:type="dxa"/>
            <w:vMerge w:val="restart"/>
            <w:tcBorders>
              <w:top w:val="single" w:color="000000" w:sz="4" w:space="0"/>
              <w:left w:val="single" w:color="000000" w:sz="4" w:space="0"/>
              <w:right w:val="single" w:color="000000" w:sz="4" w:space="0"/>
            </w:tcBorders>
            <w:vAlign w:val="center"/>
          </w:tcPr>
          <w:p>
            <w:pPr>
              <w:jc w:val="center"/>
              <w:rPr>
                <w:rFonts w:hint="default" w:asciiTheme="minorEastAsia" w:hAnsiTheme="minorEastAsia" w:eastAsiaTheme="minorEastAsia"/>
                <w:sz w:val="24"/>
                <w:szCs w:val="24"/>
                <w:lang w:val="en-US" w:eastAsia="zh-CN"/>
              </w:rPr>
            </w:pPr>
            <w:r>
              <w:rPr>
                <w:rFonts w:hint="default" w:ascii="Arial" w:hAnsi="Arial" w:eastAsia="宋体" w:cs="Arial"/>
                <w:i w:val="0"/>
                <w:iCs w:val="0"/>
                <w:caps w:val="0"/>
                <w:color w:val="333333"/>
                <w:spacing w:val="8"/>
                <w:kern w:val="0"/>
                <w:sz w:val="21"/>
                <w:szCs w:val="21"/>
                <w:lang w:val="en-US" w:eastAsia="zh-CN" w:bidi="ar"/>
              </w:rPr>
              <w:t>800000</w:t>
            </w:r>
          </w:p>
        </w:tc>
      </w:tr>
      <w:tr>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pPr>
              <w:jc w:val="center"/>
              <w:rPr>
                <w:rFonts w:hint="default" w:eastAsiaTheme="minorEastAsia"/>
                <w:lang w:val="en-US" w:eastAsia="zh-CN"/>
              </w:rPr>
            </w:pPr>
            <w:r>
              <w:rPr>
                <w:rFonts w:hint="eastAsia"/>
              </w:rPr>
              <w:t>合计（元）</w:t>
            </w:r>
            <w:r>
              <w:rPr>
                <w:rFonts w:hint="eastAsia"/>
                <w:lang w:val="en-US" w:eastAsia="zh-CN"/>
              </w:rPr>
              <w:t>800000</w:t>
            </w:r>
          </w:p>
        </w:tc>
        <w:tc>
          <w:tcPr>
            <w:tcW w:w="2622" w:type="dxa"/>
            <w:vMerge w:val="continue"/>
            <w:tcBorders>
              <w:left w:val="single" w:color="000000" w:sz="4" w:space="0"/>
              <w:bottom w:val="single" w:color="auto" w:sz="4" w:space="0"/>
              <w:right w:val="single" w:color="000000" w:sz="4" w:space="0"/>
            </w:tcBorders>
            <w:vAlign w:val="center"/>
          </w:tcPr>
          <w:p>
            <w:pPr>
              <w:jc w:val="center"/>
              <w:rPr>
                <w:rFonts w:hint="eastAsia" w:asciiTheme="minorEastAsia" w:hAnsiTheme="minorEastAsia"/>
                <w:sz w:val="24"/>
                <w:szCs w:val="24"/>
              </w:rPr>
            </w:pPr>
          </w:p>
        </w:tc>
      </w:tr>
    </w:tbl>
    <w:p>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pPr>
        <w:rPr>
          <w:u w:val="single"/>
        </w:rPr>
      </w:pPr>
      <w:r>
        <w:rPr>
          <w:rFonts w:hint="eastAsia" w:ascii="宋体" w:hAnsi="宋体"/>
          <w:b/>
          <w:color w:val="FF0000"/>
          <w:sz w:val="32"/>
          <w:szCs w:val="32"/>
        </w:rPr>
        <w:t>本项目核心产品为：</w:t>
      </w:r>
      <w:r>
        <w:rPr>
          <w:rFonts w:hint="eastAsia" w:ascii="宋体" w:hAnsi="宋体"/>
          <w:b/>
          <w:color w:val="FF0000"/>
          <w:sz w:val="32"/>
          <w:szCs w:val="32"/>
          <w:u w:val="single"/>
        </w:rPr>
        <w:t xml:space="preserve"> </w:t>
      </w:r>
      <w:r>
        <w:rPr>
          <w:rFonts w:hint="eastAsia" w:ascii="宋体" w:hAnsi="宋体"/>
          <w:b/>
          <w:color w:val="FF0000"/>
          <w:sz w:val="32"/>
          <w:szCs w:val="32"/>
          <w:u w:val="single"/>
          <w:lang w:val="en-US" w:eastAsia="zh-CN"/>
        </w:rPr>
        <w:t>1.物联系统管理平台</w:t>
      </w:r>
      <w:r>
        <w:rPr>
          <w:rFonts w:hint="eastAsia" w:ascii="宋体" w:hAnsi="宋体"/>
          <w:b/>
          <w:color w:val="FF0000"/>
          <w:sz w:val="32"/>
          <w:szCs w:val="32"/>
          <w:u w:val="single"/>
        </w:rPr>
        <w:t xml:space="preserve"> </w:t>
      </w:r>
    </w:p>
    <w:tbl>
      <w:tblPr>
        <w:tblStyle w:val="1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7"/>
        <w:gridCol w:w="1869"/>
        <w:gridCol w:w="629"/>
        <w:gridCol w:w="637"/>
        <w:gridCol w:w="981"/>
        <w:gridCol w:w="982"/>
        <w:gridCol w:w="1052"/>
        <w:gridCol w:w="941"/>
        <w:gridCol w:w="8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货物名称</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9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单价限额（元）</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备注</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是否专门面向</w:t>
            </w:r>
          </w:p>
        </w:tc>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标的所属行业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9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18"/>
                <w:szCs w:val="18"/>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中小企业</w:t>
            </w:r>
          </w:p>
        </w:tc>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bCs/>
                <w:i w:val="0"/>
                <w:iCs w:val="0"/>
                <w:color w:val="000000"/>
                <w:sz w:val="18"/>
                <w:szCs w:val="18"/>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单价</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单项总额（单价乘以数量）</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物联系统管理平台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49700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18"/>
                <w:szCs w:val="18"/>
                <w:u w:val="none"/>
                <w:lang w:val="en-US" w:eastAsia="zh-CN" w:bidi="ar"/>
              </w:rPr>
              <w:t>49700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智能融合信息终端</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3994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263604</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触控终端</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65670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灯光控制器A</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46452</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灯光控制器B</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2352</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灯光控制器C</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27048</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空调控制终端</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72116</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一体机控电</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60695</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1P智能断路器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5504</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远程485控制器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21840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物联网关</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46900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1P+N智能断路器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22368</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六类网线</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箱</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28710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接入交换机</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10850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10850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汇聚交换机</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8200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电源管理器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3500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kern w:val="0"/>
                <w:sz w:val="18"/>
                <w:szCs w:val="18"/>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kern w:val="0"/>
                <w:sz w:val="18"/>
                <w:szCs w:val="18"/>
                <w:u w:val="none"/>
                <w:lang w:val="en-US" w:eastAsia="zh-CN" w:bidi="ar"/>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RS232串口线</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2000</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电源线</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1500</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7500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RS485线</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1300</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7150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安装辅材</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3461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3461</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操作凳</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kern w:val="0"/>
                <w:sz w:val="18"/>
                <w:szCs w:val="18"/>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kern w:val="0"/>
                <w:sz w:val="18"/>
                <w:szCs w:val="18"/>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FF0000"/>
                <w:kern w:val="0"/>
                <w:sz w:val="18"/>
                <w:szCs w:val="18"/>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安装调试</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36000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拒绝进口</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FF0000"/>
                <w:kern w:val="0"/>
                <w:sz w:val="18"/>
                <w:szCs w:val="18"/>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800000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FF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FF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bCs/>
                <w:i w:val="0"/>
                <w:iCs w:val="0"/>
                <w:color w:val="FF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bl>
    <w:p>
      <w:pPr>
        <w:rPr>
          <w:color w:val="FF0000"/>
        </w:rPr>
      </w:pPr>
      <w:r>
        <w:rPr>
          <w:rFonts w:hint="eastAsia"/>
          <w:color w:val="FF0000"/>
        </w:rPr>
        <w:t>备注：</w:t>
      </w:r>
    </w:p>
    <w:p>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ind w:firstLine="420" w:firstLineChars="200"/>
        <w:rPr>
          <w:color w:val="FF0000"/>
        </w:rPr>
      </w:pPr>
      <w:r>
        <w:rPr>
          <w:rFonts w:hint="eastAsia"/>
          <w:color w:val="FF0000"/>
        </w:rPr>
        <w:t>3、如注明有单价控制金额的产品，投标人对该产品的报价不得超过控制金额，否则将作投标无效处理。</w:t>
      </w:r>
    </w:p>
    <w:p>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pPr>
        <w:pStyle w:val="4"/>
        <w:jc w:val="center"/>
      </w:pPr>
      <w:bookmarkStart w:id="14" w:name="_Toc128884461"/>
      <w:r>
        <w:rPr>
          <w:rFonts w:hint="eastAsia"/>
        </w:rPr>
        <w:t>三、实质性条款</w:t>
      </w:r>
    </w:p>
    <w:tbl>
      <w:tblPr>
        <w:tblStyle w:val="17"/>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r>
              <w:rPr>
                <w:rFonts w:hint="eastAsia"/>
              </w:rPr>
              <w:t>序号</w:t>
            </w:r>
          </w:p>
        </w:tc>
        <w:tc>
          <w:tcPr>
            <w:tcW w:w="7483"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pPr>
              <w:jc w:val="center"/>
            </w:pPr>
            <w:r>
              <w:rPr>
                <w:rFonts w:hint="eastAsia"/>
              </w:rPr>
              <w:t>1</w:t>
            </w:r>
          </w:p>
        </w:tc>
        <w:tc>
          <w:tcPr>
            <w:tcW w:w="7483" w:type="dxa"/>
          </w:tcPr>
          <w:p>
            <w:pPr>
              <w:jc w:val="center"/>
            </w:pPr>
            <w:r>
              <w:rPr>
                <w:rFonts w:hint="eastAsia"/>
              </w:rPr>
              <w:t>本项目招标文件中所有带★号条款内容</w:t>
            </w:r>
          </w:p>
        </w:tc>
      </w:tr>
      <w:bookmarkEnd w:id="14"/>
    </w:tbl>
    <w:p>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tabs>
          <w:tab w:val="left" w:pos="1680"/>
        </w:tabs>
        <w:spacing w:before="260" w:after="78" w:afterLines="25"/>
        <w:jc w:val="center"/>
        <w:outlineLvl w:val="2"/>
        <w:rPr>
          <w:rFonts w:ascii="Arial" w:hAnsi="Arial" w:eastAsia="宋体" w:cs="Times New Roman"/>
          <w:b/>
          <w:bCs/>
          <w:color w:val="FF0000"/>
          <w:sz w:val="32"/>
          <w:szCs w:val="32"/>
        </w:rPr>
      </w:pPr>
      <w:r>
        <w:rPr>
          <w:rFonts w:hint="eastAsia"/>
          <w:b/>
          <w:color w:val="FF0000"/>
          <w:sz w:val="32"/>
          <w:szCs w:val="32"/>
        </w:rPr>
        <w:t>四</w:t>
      </w:r>
      <w:r>
        <w:rPr>
          <w:rFonts w:hint="eastAsia" w:ascii="Arial" w:hAnsi="Arial" w:eastAsia="宋体" w:cs="Times New Roman"/>
          <w:b/>
          <w:bCs/>
          <w:color w:val="FF0000"/>
          <w:sz w:val="32"/>
          <w:szCs w:val="32"/>
        </w:rPr>
        <w:t>、商务和服务条款要求</w:t>
      </w:r>
    </w:p>
    <w:p>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pPr>
        <w:numPr>
          <w:ilvl w:val="0"/>
          <w:numId w:val="2"/>
        </w:numPr>
        <w:ind w:firstLine="422" w:firstLineChars="200"/>
        <w:rPr>
          <w:rFonts w:hint="eastAsia"/>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7"/>
        <w:tblW w:w="8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601"/>
        <w:gridCol w:w="6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sz w:val="21"/>
                <w:szCs w:val="21"/>
              </w:rPr>
            </w:pPr>
            <w:r>
              <w:rPr>
                <w:rFonts w:hint="eastAsia" w:ascii="宋体" w:hAnsi="宋体"/>
                <w:b/>
                <w:sz w:val="21"/>
                <w:szCs w:val="21"/>
              </w:rPr>
              <w:t>序号</w:t>
            </w:r>
          </w:p>
        </w:tc>
        <w:tc>
          <w:tcPr>
            <w:tcW w:w="1601" w:type="dxa"/>
            <w:vAlign w:val="center"/>
          </w:tcPr>
          <w:p>
            <w:pPr>
              <w:spacing w:line="360" w:lineRule="exact"/>
              <w:jc w:val="center"/>
              <w:rPr>
                <w:rFonts w:ascii="宋体" w:hAnsi="宋体"/>
                <w:b/>
                <w:sz w:val="21"/>
                <w:szCs w:val="21"/>
              </w:rPr>
            </w:pPr>
            <w:r>
              <w:rPr>
                <w:rFonts w:hint="eastAsia" w:ascii="宋体" w:hAnsi="宋体"/>
                <w:b/>
                <w:sz w:val="21"/>
                <w:szCs w:val="21"/>
              </w:rPr>
              <w:t>目录</w:t>
            </w:r>
          </w:p>
        </w:tc>
        <w:tc>
          <w:tcPr>
            <w:tcW w:w="6147" w:type="dxa"/>
            <w:vAlign w:val="center"/>
          </w:tcPr>
          <w:p>
            <w:pPr>
              <w:spacing w:line="360" w:lineRule="exact"/>
              <w:jc w:val="center"/>
              <w:rPr>
                <w:rFonts w:ascii="宋体" w:hAnsi="宋体"/>
                <w:b/>
                <w:sz w:val="21"/>
                <w:szCs w:val="21"/>
              </w:rPr>
            </w:pPr>
            <w:r>
              <w:rPr>
                <w:rFonts w:hint="eastAsia" w:ascii="宋体" w:hAnsi="宋体"/>
                <w:b/>
                <w:sz w:val="21"/>
                <w:szCs w:val="21"/>
              </w:rPr>
              <w:t>采购商务需求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74" w:type="dxa"/>
            <w:gridSpan w:val="3"/>
            <w:vAlign w:val="center"/>
          </w:tcPr>
          <w:p>
            <w:pPr>
              <w:spacing w:line="360" w:lineRule="exact"/>
              <w:jc w:val="center"/>
              <w:rPr>
                <w:rFonts w:ascii="宋体" w:hAnsi="宋体"/>
                <w:b/>
                <w:sz w:val="21"/>
                <w:szCs w:val="21"/>
              </w:rPr>
            </w:pPr>
            <w:r>
              <w:rPr>
                <w:rFonts w:hint="eastAsia" w:ascii="宋体" w:hAnsi="宋体"/>
                <w:b/>
                <w:sz w:val="21"/>
                <w:szCs w:val="21"/>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color w:val="FF0000"/>
                <w:sz w:val="21"/>
                <w:szCs w:val="21"/>
                <w:highlight w:val="yellow"/>
              </w:rPr>
            </w:pPr>
            <w:r>
              <w:rPr>
                <w:rFonts w:hint="eastAsia" w:ascii="宋体" w:hAnsi="宋体"/>
                <w:b/>
                <w:color w:val="FF0000"/>
                <w:sz w:val="21"/>
                <w:szCs w:val="21"/>
                <w:highlight w:val="yellow"/>
              </w:rPr>
              <w:t>1</w:t>
            </w:r>
          </w:p>
        </w:tc>
        <w:tc>
          <w:tcPr>
            <w:tcW w:w="1601" w:type="dxa"/>
            <w:vAlign w:val="center"/>
          </w:tcPr>
          <w:p>
            <w:pPr>
              <w:spacing w:line="360" w:lineRule="exact"/>
              <w:jc w:val="center"/>
              <w:rPr>
                <w:rFonts w:ascii="宋体" w:hAnsi="宋体"/>
                <w:color w:val="FF0000"/>
                <w:sz w:val="21"/>
                <w:szCs w:val="21"/>
                <w:highlight w:val="yellow"/>
              </w:rPr>
            </w:pPr>
            <w:r>
              <w:rPr>
                <w:rFonts w:hint="eastAsia" w:ascii="宋体" w:hAnsi="宋体"/>
                <w:color w:val="FF0000"/>
                <w:sz w:val="21"/>
                <w:szCs w:val="21"/>
                <w:highlight w:val="yellow"/>
              </w:rPr>
              <w:t>免费保修期</w:t>
            </w:r>
          </w:p>
        </w:tc>
        <w:tc>
          <w:tcPr>
            <w:tcW w:w="6147" w:type="dxa"/>
            <w:vAlign w:val="center"/>
          </w:tcPr>
          <w:p>
            <w:pPr>
              <w:spacing w:line="360" w:lineRule="exact"/>
              <w:rPr>
                <w:rFonts w:ascii="宋体" w:hAnsi="宋体"/>
                <w:b/>
                <w:color w:val="FF0000"/>
                <w:sz w:val="21"/>
                <w:szCs w:val="21"/>
                <w:highlight w:val="yellow"/>
              </w:rPr>
            </w:pPr>
            <w:r>
              <w:rPr>
                <w:rFonts w:hint="eastAsia" w:ascii="宋体" w:hAnsi="宋体" w:cs="宋体"/>
                <w:color w:val="FF0000"/>
                <w:sz w:val="21"/>
                <w:szCs w:val="21"/>
                <w:highlight w:val="yellow"/>
              </w:rPr>
              <w:t>★</w:t>
            </w:r>
            <w:r>
              <w:rPr>
                <w:rFonts w:hint="eastAsia" w:ascii="宋体" w:hAnsi="宋体"/>
                <w:bCs/>
                <w:color w:val="FF0000"/>
                <w:sz w:val="21"/>
                <w:szCs w:val="21"/>
                <w:highlight w:val="yellow"/>
              </w:rPr>
              <w:t>货物免费保修期至少</w:t>
            </w:r>
            <w:r>
              <w:rPr>
                <w:rFonts w:hint="eastAsia" w:ascii="宋体" w:hAnsi="宋体"/>
                <w:bCs/>
                <w:color w:val="FF0000"/>
                <w:sz w:val="21"/>
                <w:szCs w:val="21"/>
                <w:highlight w:val="yellow"/>
                <w:u w:val="single" w:color="000000"/>
              </w:rPr>
              <w:t>1</w:t>
            </w:r>
            <w:r>
              <w:rPr>
                <w:rFonts w:hint="eastAsia" w:ascii="宋体" w:hAnsi="宋体"/>
                <w:bCs/>
                <w:color w:val="FF0000"/>
                <w:sz w:val="21"/>
                <w:szCs w:val="21"/>
                <w:highlight w:val="yellow"/>
              </w:rPr>
              <w:t>年，时间自最终验收合格并交付使用之日起计算。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sz w:val="21"/>
                <w:szCs w:val="21"/>
              </w:rPr>
            </w:pPr>
            <w:r>
              <w:rPr>
                <w:rFonts w:hint="eastAsia" w:ascii="宋体" w:hAnsi="宋体"/>
                <w:b/>
                <w:sz w:val="21"/>
                <w:szCs w:val="21"/>
              </w:rPr>
              <w:t>2</w:t>
            </w:r>
          </w:p>
        </w:tc>
        <w:tc>
          <w:tcPr>
            <w:tcW w:w="1601" w:type="dxa"/>
            <w:vAlign w:val="center"/>
          </w:tcPr>
          <w:p>
            <w:pPr>
              <w:spacing w:line="360" w:lineRule="exact"/>
              <w:jc w:val="center"/>
              <w:rPr>
                <w:rFonts w:ascii="宋体" w:hAnsi="宋体"/>
                <w:sz w:val="21"/>
                <w:szCs w:val="21"/>
              </w:rPr>
            </w:pPr>
            <w:r>
              <w:rPr>
                <w:rFonts w:hint="eastAsia" w:ascii="宋体" w:hAnsi="宋体"/>
                <w:sz w:val="21"/>
                <w:szCs w:val="21"/>
              </w:rPr>
              <w:t>维修响应及故障解决时间</w:t>
            </w:r>
          </w:p>
        </w:tc>
        <w:tc>
          <w:tcPr>
            <w:tcW w:w="6147" w:type="dxa"/>
            <w:vAlign w:val="center"/>
          </w:tcPr>
          <w:p>
            <w:pPr>
              <w:spacing w:line="360" w:lineRule="exact"/>
              <w:rPr>
                <w:rFonts w:ascii="宋体" w:hAnsi="宋体"/>
                <w:b/>
                <w:sz w:val="21"/>
                <w:szCs w:val="21"/>
              </w:rPr>
            </w:pPr>
            <w:r>
              <w:rPr>
                <w:rFonts w:hint="eastAsia" w:ascii="宋体" w:hAnsi="宋体"/>
                <w:bCs/>
                <w:sz w:val="21"/>
                <w:szCs w:val="21"/>
              </w:rPr>
              <w:t>投标人承诺中标后，在保修期内，一旦发生质量问题，投标人保证在接到通知24小时内赶到现场进行修理或更换。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sz w:val="21"/>
                <w:szCs w:val="21"/>
              </w:rPr>
            </w:pPr>
            <w:r>
              <w:rPr>
                <w:rFonts w:hint="eastAsia" w:ascii="宋体" w:hAnsi="宋体"/>
                <w:b/>
                <w:sz w:val="21"/>
                <w:szCs w:val="21"/>
              </w:rPr>
              <w:t>3</w:t>
            </w:r>
          </w:p>
        </w:tc>
        <w:tc>
          <w:tcPr>
            <w:tcW w:w="1601" w:type="dxa"/>
            <w:vAlign w:val="center"/>
          </w:tcPr>
          <w:p>
            <w:pPr>
              <w:spacing w:line="360" w:lineRule="exact"/>
              <w:jc w:val="center"/>
              <w:rPr>
                <w:rFonts w:ascii="宋体" w:hAnsi="宋体"/>
                <w:b/>
                <w:sz w:val="21"/>
                <w:szCs w:val="21"/>
              </w:rPr>
            </w:pPr>
            <w:r>
              <w:rPr>
                <w:rFonts w:hint="eastAsia" w:ascii="宋体" w:hAnsi="宋体"/>
                <w:sz w:val="21"/>
                <w:szCs w:val="21"/>
              </w:rPr>
              <w:t>其他</w:t>
            </w:r>
          </w:p>
        </w:tc>
        <w:tc>
          <w:tcPr>
            <w:tcW w:w="6147" w:type="dxa"/>
            <w:vAlign w:val="center"/>
          </w:tcPr>
          <w:p>
            <w:pPr>
              <w:spacing w:line="360" w:lineRule="exact"/>
              <w:rPr>
                <w:rFonts w:ascii="宋体" w:hAnsi="宋体"/>
                <w:b/>
                <w:sz w:val="21"/>
                <w:szCs w:val="21"/>
              </w:rPr>
            </w:pPr>
            <w:r>
              <w:rPr>
                <w:rFonts w:hint="eastAsia" w:ascii="宋体" w:hAnsi="宋体"/>
                <w:bCs/>
                <w:sz w:val="21"/>
                <w:szCs w:val="21"/>
              </w:rPr>
              <w:t>投标人中标后，应按其投标文件中的承诺，进行其他售后服务工作。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74" w:type="dxa"/>
            <w:gridSpan w:val="3"/>
            <w:vAlign w:val="center"/>
          </w:tcPr>
          <w:p>
            <w:pPr>
              <w:spacing w:line="360" w:lineRule="exact"/>
              <w:jc w:val="center"/>
              <w:rPr>
                <w:rFonts w:ascii="宋体" w:hAnsi="宋体"/>
                <w:b/>
                <w:sz w:val="21"/>
                <w:szCs w:val="21"/>
              </w:rPr>
            </w:pPr>
            <w:r>
              <w:rPr>
                <w:rFonts w:hint="eastAsia" w:ascii="宋体" w:hAnsi="宋体"/>
                <w:b/>
                <w:sz w:val="21"/>
                <w:szCs w:val="21"/>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sz w:val="21"/>
                <w:szCs w:val="21"/>
              </w:rPr>
            </w:pPr>
            <w:r>
              <w:rPr>
                <w:rFonts w:hint="eastAsia" w:ascii="宋体" w:hAnsi="宋体"/>
                <w:b/>
                <w:sz w:val="21"/>
                <w:szCs w:val="21"/>
              </w:rPr>
              <w:t>1</w:t>
            </w:r>
          </w:p>
        </w:tc>
        <w:tc>
          <w:tcPr>
            <w:tcW w:w="1601" w:type="dxa"/>
            <w:vAlign w:val="center"/>
          </w:tcPr>
          <w:p>
            <w:pPr>
              <w:spacing w:line="360" w:lineRule="exact"/>
              <w:jc w:val="center"/>
              <w:rPr>
                <w:rFonts w:ascii="宋体" w:hAnsi="宋体"/>
                <w:b/>
                <w:sz w:val="21"/>
                <w:szCs w:val="21"/>
              </w:rPr>
            </w:pPr>
            <w:r>
              <w:rPr>
                <w:rFonts w:hint="eastAsia" w:ascii="宋体" w:hAnsi="宋体"/>
                <w:sz w:val="21"/>
                <w:szCs w:val="21"/>
              </w:rPr>
              <w:t>维修响应及故障解决时间</w:t>
            </w:r>
          </w:p>
        </w:tc>
        <w:tc>
          <w:tcPr>
            <w:tcW w:w="6147" w:type="dxa"/>
            <w:vAlign w:val="center"/>
          </w:tcPr>
          <w:p>
            <w:pPr>
              <w:spacing w:line="360" w:lineRule="exact"/>
              <w:rPr>
                <w:rFonts w:ascii="宋体" w:hAnsi="宋体"/>
                <w:b/>
                <w:sz w:val="21"/>
                <w:szCs w:val="21"/>
              </w:rPr>
            </w:pPr>
            <w:r>
              <w:rPr>
                <w:rFonts w:hint="eastAsia" w:ascii="宋体" w:hAnsi="宋体"/>
                <w:bCs/>
                <w:sz w:val="21"/>
                <w:szCs w:val="21"/>
              </w:rPr>
              <w:t>在保修期外，一旦发生质量问题，响应供应商保证在接到通知24小时内赶到现场进行修理或更换。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sz w:val="21"/>
                <w:szCs w:val="21"/>
              </w:rPr>
            </w:pPr>
            <w:r>
              <w:rPr>
                <w:rFonts w:hint="eastAsia" w:ascii="宋体" w:hAnsi="宋体"/>
                <w:b/>
                <w:sz w:val="21"/>
                <w:szCs w:val="21"/>
              </w:rPr>
              <w:t>2</w:t>
            </w:r>
          </w:p>
        </w:tc>
        <w:tc>
          <w:tcPr>
            <w:tcW w:w="1601" w:type="dxa"/>
            <w:vAlign w:val="center"/>
          </w:tcPr>
          <w:p>
            <w:pPr>
              <w:spacing w:line="360" w:lineRule="exact"/>
              <w:jc w:val="center"/>
              <w:rPr>
                <w:rFonts w:ascii="宋体" w:hAnsi="宋体"/>
                <w:b/>
                <w:sz w:val="21"/>
                <w:szCs w:val="21"/>
              </w:rPr>
            </w:pPr>
            <w:r>
              <w:rPr>
                <w:rFonts w:hint="eastAsia" w:ascii="宋体" w:hAnsi="宋体"/>
                <w:bCs/>
                <w:sz w:val="21"/>
                <w:szCs w:val="21"/>
              </w:rPr>
              <w:t>免费保修期外收费维修服务</w:t>
            </w:r>
          </w:p>
        </w:tc>
        <w:tc>
          <w:tcPr>
            <w:tcW w:w="6147" w:type="dxa"/>
            <w:vAlign w:val="center"/>
          </w:tcPr>
          <w:p>
            <w:pPr>
              <w:spacing w:line="360" w:lineRule="exact"/>
              <w:rPr>
                <w:rFonts w:ascii="宋体" w:hAnsi="宋体"/>
                <w:b/>
                <w:sz w:val="21"/>
                <w:szCs w:val="21"/>
              </w:rPr>
            </w:pPr>
            <w:r>
              <w:rPr>
                <w:rFonts w:hint="eastAsia" w:ascii="宋体" w:hAnsi="宋体"/>
                <w:bCs/>
                <w:sz w:val="21"/>
                <w:szCs w:val="21"/>
              </w:rPr>
              <w:t>在保修期外，设备产生故障或者升级配件，供应商需向校方提供收费标准，得同意后进行维修，并提供合规发票。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
                <w:sz w:val="21"/>
                <w:szCs w:val="21"/>
              </w:rPr>
            </w:pPr>
            <w:r>
              <w:rPr>
                <w:rFonts w:hint="eastAsia" w:ascii="宋体" w:hAnsi="宋体"/>
                <w:b/>
                <w:sz w:val="21"/>
                <w:szCs w:val="21"/>
              </w:rPr>
              <w:t>3</w:t>
            </w:r>
          </w:p>
        </w:tc>
        <w:tc>
          <w:tcPr>
            <w:tcW w:w="1601" w:type="dxa"/>
            <w:vAlign w:val="center"/>
          </w:tcPr>
          <w:p>
            <w:pPr>
              <w:spacing w:line="360" w:lineRule="exact"/>
              <w:jc w:val="center"/>
              <w:rPr>
                <w:rFonts w:ascii="宋体" w:hAnsi="宋体"/>
                <w:b/>
                <w:sz w:val="21"/>
                <w:szCs w:val="21"/>
              </w:rPr>
            </w:pPr>
            <w:r>
              <w:rPr>
                <w:rFonts w:hint="eastAsia" w:ascii="宋体" w:hAnsi="宋体"/>
                <w:bCs/>
                <w:sz w:val="21"/>
                <w:szCs w:val="21"/>
              </w:rPr>
              <w:t>免费保修期外维修时间承诺</w:t>
            </w:r>
          </w:p>
        </w:tc>
        <w:tc>
          <w:tcPr>
            <w:tcW w:w="6147" w:type="dxa"/>
            <w:vAlign w:val="center"/>
          </w:tcPr>
          <w:p>
            <w:pPr>
              <w:spacing w:line="360" w:lineRule="exact"/>
              <w:rPr>
                <w:rFonts w:ascii="宋体" w:hAnsi="宋体"/>
                <w:b/>
                <w:sz w:val="21"/>
                <w:szCs w:val="21"/>
              </w:rPr>
            </w:pPr>
            <w:r>
              <w:rPr>
                <w:rFonts w:hint="eastAsia" w:ascii="宋体" w:hAnsi="宋体"/>
                <w:bCs/>
                <w:sz w:val="21"/>
                <w:szCs w:val="21"/>
              </w:rPr>
              <w:t>一般故障，2个工作日内解决；特殊故障，预估维修时间超过3个工作日的，供应商须提供替代配件或设备。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74" w:type="dxa"/>
            <w:gridSpan w:val="3"/>
            <w:vAlign w:val="center"/>
          </w:tcPr>
          <w:p>
            <w:pPr>
              <w:spacing w:line="360" w:lineRule="exact"/>
              <w:jc w:val="center"/>
              <w:rPr>
                <w:rFonts w:ascii="宋体" w:hAnsi="宋体"/>
                <w:b/>
                <w:sz w:val="21"/>
                <w:szCs w:val="21"/>
              </w:rPr>
            </w:pPr>
            <w:r>
              <w:rPr>
                <w:rFonts w:hint="eastAsia" w:ascii="宋体" w:hAnsi="宋体"/>
                <w:b/>
                <w:sz w:val="21"/>
                <w:szCs w:val="21"/>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restart"/>
            <w:vAlign w:val="center"/>
          </w:tcPr>
          <w:p>
            <w:pPr>
              <w:spacing w:line="360" w:lineRule="exact"/>
              <w:jc w:val="center"/>
              <w:rPr>
                <w:rFonts w:ascii="宋体" w:hAnsi="宋体"/>
                <w:b/>
                <w:color w:val="FF0000"/>
                <w:sz w:val="21"/>
                <w:szCs w:val="21"/>
                <w:highlight w:val="yellow"/>
              </w:rPr>
            </w:pPr>
            <w:r>
              <w:rPr>
                <w:rFonts w:hint="eastAsia" w:ascii="宋体" w:hAnsi="宋体"/>
                <w:b/>
                <w:color w:val="FF0000"/>
                <w:sz w:val="21"/>
                <w:szCs w:val="21"/>
                <w:highlight w:val="yellow"/>
              </w:rPr>
              <w:t>1</w:t>
            </w:r>
          </w:p>
        </w:tc>
        <w:tc>
          <w:tcPr>
            <w:tcW w:w="1601" w:type="dxa"/>
            <w:vMerge w:val="restart"/>
            <w:vAlign w:val="center"/>
          </w:tcPr>
          <w:p>
            <w:pPr>
              <w:spacing w:line="360" w:lineRule="exact"/>
              <w:jc w:val="center"/>
              <w:rPr>
                <w:rFonts w:ascii="宋体" w:hAnsi="宋体"/>
                <w:color w:val="FF0000"/>
                <w:sz w:val="21"/>
                <w:szCs w:val="21"/>
                <w:highlight w:val="yellow"/>
              </w:rPr>
            </w:pPr>
            <w:r>
              <w:rPr>
                <w:rFonts w:hint="eastAsia" w:ascii="宋体" w:hAnsi="宋体"/>
                <w:color w:val="FF0000"/>
                <w:sz w:val="21"/>
                <w:szCs w:val="21"/>
                <w:highlight w:val="yellow"/>
              </w:rPr>
              <w:t>关于交货</w:t>
            </w:r>
          </w:p>
        </w:tc>
        <w:tc>
          <w:tcPr>
            <w:tcW w:w="6147" w:type="dxa"/>
            <w:vAlign w:val="center"/>
          </w:tcPr>
          <w:p>
            <w:pPr>
              <w:spacing w:line="360" w:lineRule="exact"/>
              <w:rPr>
                <w:rFonts w:ascii="宋体" w:hAnsi="宋体"/>
                <w:b/>
                <w:color w:val="FF0000"/>
                <w:sz w:val="21"/>
                <w:szCs w:val="21"/>
                <w:highlight w:val="yellow"/>
              </w:rPr>
            </w:pPr>
            <w:r>
              <w:rPr>
                <w:rFonts w:hint="eastAsia" w:ascii="宋体" w:hAnsi="宋体"/>
                <w:bCs/>
                <w:color w:val="FF0000"/>
                <w:sz w:val="21"/>
                <w:szCs w:val="21"/>
                <w:highlight w:val="yellow"/>
              </w:rPr>
              <w:t>1.1</w:t>
            </w:r>
            <w:r>
              <w:rPr>
                <w:rFonts w:hint="eastAsia" w:ascii="宋体" w:hAnsi="宋体" w:cs="宋体"/>
                <w:color w:val="FF0000"/>
                <w:sz w:val="21"/>
                <w:szCs w:val="21"/>
                <w:highlight w:val="yellow"/>
              </w:rPr>
              <w:t>★</w:t>
            </w:r>
            <w:r>
              <w:rPr>
                <w:rFonts w:hint="eastAsia" w:ascii="宋体" w:hAnsi="宋体"/>
                <w:bCs/>
                <w:color w:val="FF0000"/>
                <w:sz w:val="21"/>
                <w:szCs w:val="21"/>
                <w:highlight w:val="yellow"/>
              </w:rPr>
              <w:t>签订合同后</w:t>
            </w:r>
            <w:r>
              <w:rPr>
                <w:rFonts w:hint="eastAsia" w:ascii="宋体" w:hAnsi="宋体"/>
                <w:bCs/>
                <w:color w:val="FF0000"/>
                <w:sz w:val="21"/>
                <w:szCs w:val="21"/>
                <w:highlight w:val="yellow"/>
                <w:u w:val="single"/>
                <w:lang w:val="en-US" w:eastAsia="zh-CN"/>
              </w:rPr>
              <w:t>18</w:t>
            </w:r>
            <w:r>
              <w:rPr>
                <w:rFonts w:hint="eastAsia" w:ascii="宋体" w:hAnsi="宋体"/>
                <w:bCs/>
                <w:color w:val="FF0000"/>
                <w:sz w:val="21"/>
                <w:szCs w:val="21"/>
                <w:highlight w:val="yellow"/>
              </w:rPr>
              <w:t>天（日历日）内。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
                <w:sz w:val="21"/>
                <w:szCs w:val="21"/>
              </w:rPr>
            </w:pPr>
          </w:p>
        </w:tc>
        <w:tc>
          <w:tcPr>
            <w:tcW w:w="1601" w:type="dxa"/>
            <w:vMerge w:val="continue"/>
            <w:vAlign w:val="center"/>
          </w:tcPr>
          <w:p>
            <w:pPr>
              <w:spacing w:line="360" w:lineRule="exact"/>
              <w:jc w:val="center"/>
              <w:rPr>
                <w:rFonts w:ascii="宋体" w:hAnsi="宋体"/>
                <w:sz w:val="21"/>
                <w:szCs w:val="21"/>
              </w:rPr>
            </w:pPr>
          </w:p>
        </w:tc>
        <w:tc>
          <w:tcPr>
            <w:tcW w:w="6147" w:type="dxa"/>
            <w:vAlign w:val="center"/>
          </w:tcPr>
          <w:p>
            <w:pPr>
              <w:spacing w:line="360" w:lineRule="exact"/>
              <w:rPr>
                <w:rFonts w:ascii="宋体" w:hAnsi="宋体"/>
                <w:bCs/>
                <w:sz w:val="21"/>
                <w:szCs w:val="21"/>
              </w:rPr>
            </w:pPr>
            <w:r>
              <w:rPr>
                <w:rFonts w:hint="eastAsia" w:ascii="宋体" w:hAnsi="宋体"/>
                <w:bCs/>
                <w:sz w:val="21"/>
                <w:szCs w:val="21"/>
              </w:rPr>
              <w:t>1.2投标人中标后，必须承担设备运输、安装调试、验收检测和提供设备操作说明书、图纸等其他类似的义务。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restart"/>
            <w:vAlign w:val="center"/>
          </w:tcPr>
          <w:p>
            <w:pPr>
              <w:spacing w:line="360" w:lineRule="exact"/>
              <w:jc w:val="center"/>
              <w:rPr>
                <w:rFonts w:ascii="宋体" w:hAnsi="宋体"/>
                <w:b/>
                <w:sz w:val="21"/>
                <w:szCs w:val="21"/>
              </w:rPr>
            </w:pPr>
            <w:r>
              <w:rPr>
                <w:rFonts w:hint="eastAsia" w:ascii="宋体" w:hAnsi="宋体"/>
                <w:b/>
                <w:sz w:val="21"/>
                <w:szCs w:val="21"/>
              </w:rPr>
              <w:t>2</w:t>
            </w:r>
          </w:p>
        </w:tc>
        <w:tc>
          <w:tcPr>
            <w:tcW w:w="1601" w:type="dxa"/>
            <w:vMerge w:val="restart"/>
            <w:vAlign w:val="center"/>
          </w:tcPr>
          <w:p>
            <w:pPr>
              <w:spacing w:line="360" w:lineRule="exact"/>
              <w:jc w:val="center"/>
              <w:rPr>
                <w:rFonts w:ascii="宋体" w:hAnsi="宋体"/>
                <w:sz w:val="21"/>
                <w:szCs w:val="21"/>
              </w:rPr>
            </w:pPr>
            <w:r>
              <w:rPr>
                <w:rFonts w:hint="eastAsia" w:ascii="宋体" w:hAnsi="宋体"/>
                <w:sz w:val="21"/>
                <w:szCs w:val="21"/>
              </w:rPr>
              <w:t>关于验收</w:t>
            </w:r>
          </w:p>
        </w:tc>
        <w:tc>
          <w:tcPr>
            <w:tcW w:w="6147" w:type="dxa"/>
            <w:vAlign w:val="center"/>
          </w:tcPr>
          <w:p>
            <w:pPr>
              <w:spacing w:line="360" w:lineRule="exact"/>
              <w:rPr>
                <w:rFonts w:ascii="宋体" w:hAnsi="宋体"/>
                <w:bCs/>
                <w:sz w:val="21"/>
                <w:szCs w:val="21"/>
              </w:rPr>
            </w:pPr>
            <w:r>
              <w:rPr>
                <w:rFonts w:hint="eastAsia" w:ascii="宋体" w:hAnsi="宋体"/>
                <w:bCs/>
                <w:sz w:val="21"/>
                <w:szCs w:val="21"/>
              </w:rPr>
              <w:t>2.1投标人中标后，其货物经过双方检验认可后，签署验收报告，产品保修期自验收合格之日起算，由投标人提供产品保修文件。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
                <w:sz w:val="21"/>
                <w:szCs w:val="21"/>
              </w:rPr>
            </w:pPr>
          </w:p>
        </w:tc>
        <w:tc>
          <w:tcPr>
            <w:tcW w:w="1601" w:type="dxa"/>
            <w:vMerge w:val="continue"/>
            <w:vAlign w:val="center"/>
          </w:tcPr>
          <w:p>
            <w:pPr>
              <w:spacing w:line="360" w:lineRule="exact"/>
              <w:jc w:val="center"/>
              <w:rPr>
                <w:rFonts w:ascii="宋体" w:hAnsi="宋体"/>
                <w:b/>
                <w:sz w:val="21"/>
                <w:szCs w:val="21"/>
              </w:rPr>
            </w:pPr>
          </w:p>
        </w:tc>
        <w:tc>
          <w:tcPr>
            <w:tcW w:w="6147" w:type="dxa"/>
            <w:vAlign w:val="center"/>
          </w:tcPr>
          <w:p>
            <w:pPr>
              <w:spacing w:line="360" w:lineRule="exact"/>
              <w:rPr>
                <w:rFonts w:ascii="宋体" w:hAnsi="宋体"/>
                <w:bCs/>
                <w:sz w:val="21"/>
                <w:szCs w:val="21"/>
              </w:rPr>
            </w:pPr>
            <w:r>
              <w:rPr>
                <w:rFonts w:hint="eastAsia" w:ascii="宋体" w:hAnsi="宋体"/>
                <w:bCs/>
                <w:sz w:val="21"/>
                <w:szCs w:val="21"/>
              </w:rPr>
              <w:t>2.2投标人中标后，当满足以下条件时，采购人才向投标人签发货物验收报告：</w:t>
            </w:r>
          </w:p>
          <w:p>
            <w:pPr>
              <w:tabs>
                <w:tab w:val="left" w:pos="1260"/>
              </w:tabs>
              <w:spacing w:line="360" w:lineRule="exact"/>
              <w:rPr>
                <w:rFonts w:ascii="宋体" w:hAnsi="宋体"/>
                <w:bCs/>
                <w:sz w:val="21"/>
                <w:szCs w:val="21"/>
              </w:rPr>
            </w:pPr>
            <w:r>
              <w:rPr>
                <w:rFonts w:ascii="宋体" w:hAnsi="宋体"/>
                <w:bCs/>
                <w:sz w:val="21"/>
                <w:szCs w:val="21"/>
              </w:rPr>
              <w:t>a</w:t>
            </w:r>
            <w:r>
              <w:rPr>
                <w:rFonts w:hint="eastAsia" w:ascii="宋体" w:hAnsi="宋体"/>
                <w:bCs/>
                <w:sz w:val="21"/>
                <w:szCs w:val="21"/>
              </w:rPr>
              <w:t>、投标人已按照合同规定提供了全部产品及完整的技术资料。</w:t>
            </w:r>
          </w:p>
          <w:p>
            <w:pPr>
              <w:tabs>
                <w:tab w:val="left" w:pos="1260"/>
              </w:tabs>
              <w:spacing w:line="360" w:lineRule="exact"/>
              <w:rPr>
                <w:rFonts w:ascii="宋体" w:hAnsi="宋体"/>
                <w:bCs/>
                <w:sz w:val="21"/>
                <w:szCs w:val="21"/>
              </w:rPr>
            </w:pPr>
            <w:r>
              <w:rPr>
                <w:rFonts w:ascii="宋体" w:hAnsi="宋体"/>
                <w:bCs/>
                <w:sz w:val="21"/>
                <w:szCs w:val="21"/>
              </w:rPr>
              <w:t>b</w:t>
            </w:r>
            <w:r>
              <w:rPr>
                <w:rFonts w:hint="eastAsia" w:ascii="宋体" w:hAnsi="宋体"/>
                <w:bCs/>
                <w:sz w:val="21"/>
                <w:szCs w:val="21"/>
              </w:rPr>
              <w:t>、货物符合采购文件技术规格书的要求，性能满足要求。</w:t>
            </w:r>
          </w:p>
          <w:p>
            <w:pPr>
              <w:tabs>
                <w:tab w:val="left" w:pos="1260"/>
              </w:tabs>
              <w:spacing w:line="360" w:lineRule="exact"/>
              <w:rPr>
                <w:rFonts w:ascii="宋体" w:hAnsi="宋体"/>
                <w:bCs/>
                <w:sz w:val="21"/>
                <w:szCs w:val="21"/>
              </w:rPr>
            </w:pPr>
            <w:r>
              <w:rPr>
                <w:rFonts w:ascii="宋体" w:hAnsi="宋体"/>
                <w:bCs/>
                <w:sz w:val="21"/>
                <w:szCs w:val="21"/>
              </w:rPr>
              <w:t>c</w:t>
            </w:r>
            <w:r>
              <w:rPr>
                <w:rFonts w:hint="eastAsia" w:ascii="宋体" w:hAnsi="宋体"/>
                <w:bCs/>
                <w:sz w:val="21"/>
                <w:szCs w:val="21"/>
              </w:rPr>
              <w:t>、货物具备产品合格证。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restart"/>
            <w:vAlign w:val="center"/>
          </w:tcPr>
          <w:p>
            <w:pPr>
              <w:spacing w:line="360" w:lineRule="exact"/>
              <w:jc w:val="center"/>
              <w:rPr>
                <w:rFonts w:ascii="宋体" w:hAnsi="宋体"/>
                <w:bCs/>
                <w:sz w:val="21"/>
                <w:szCs w:val="21"/>
              </w:rPr>
            </w:pPr>
            <w:r>
              <w:rPr>
                <w:rFonts w:hint="eastAsia" w:ascii="宋体" w:hAnsi="宋体"/>
                <w:bCs/>
                <w:sz w:val="21"/>
                <w:szCs w:val="21"/>
              </w:rPr>
              <w:t>3</w:t>
            </w:r>
          </w:p>
        </w:tc>
        <w:tc>
          <w:tcPr>
            <w:tcW w:w="1601" w:type="dxa"/>
            <w:vMerge w:val="restart"/>
            <w:vAlign w:val="center"/>
          </w:tcPr>
          <w:p>
            <w:pPr>
              <w:spacing w:line="360" w:lineRule="exact"/>
              <w:jc w:val="center"/>
              <w:rPr>
                <w:rFonts w:ascii="宋体" w:hAnsi="宋体"/>
                <w:bCs/>
                <w:sz w:val="21"/>
                <w:szCs w:val="21"/>
              </w:rPr>
            </w:pPr>
            <w:r>
              <w:rPr>
                <w:rFonts w:hint="eastAsia" w:ascii="宋体" w:hAnsi="宋体"/>
                <w:bCs/>
                <w:sz w:val="21"/>
                <w:szCs w:val="21"/>
              </w:rPr>
              <w:t>违约责任</w:t>
            </w:r>
          </w:p>
        </w:tc>
        <w:tc>
          <w:tcPr>
            <w:tcW w:w="6147" w:type="dxa"/>
            <w:vAlign w:val="center"/>
          </w:tcPr>
          <w:p>
            <w:pPr>
              <w:spacing w:line="360" w:lineRule="exact"/>
              <w:rPr>
                <w:rFonts w:ascii="宋体" w:hAnsi="宋体" w:cs="宋体"/>
                <w:bCs/>
                <w:sz w:val="21"/>
                <w:szCs w:val="21"/>
              </w:rPr>
            </w:pPr>
            <w:r>
              <w:rPr>
                <w:rFonts w:hint="eastAsia" w:ascii="宋体" w:hAnsi="宋体"/>
                <w:sz w:val="21"/>
                <w:szCs w:val="21"/>
              </w:rPr>
              <w:t>3.1如</w:t>
            </w:r>
            <w:r>
              <w:rPr>
                <w:rFonts w:hint="eastAsia" w:ascii="宋体" w:hAnsi="宋体"/>
                <w:bCs/>
                <w:sz w:val="21"/>
                <w:szCs w:val="21"/>
              </w:rPr>
              <w:t>投标人中标后</w:t>
            </w:r>
            <w:r>
              <w:rPr>
                <w:rFonts w:hint="eastAsia" w:ascii="宋体" w:hAnsi="宋体"/>
                <w:sz w:val="21"/>
                <w:szCs w:val="21"/>
              </w:rPr>
              <w:t>未按照投标文件中承诺的时间交货或提供服务，</w:t>
            </w:r>
            <w:r>
              <w:rPr>
                <w:rFonts w:hint="eastAsia" w:ascii="宋体" w:hAnsi="宋体"/>
                <w:bCs/>
                <w:sz w:val="21"/>
                <w:szCs w:val="21"/>
              </w:rPr>
              <w:t>投标人</w:t>
            </w:r>
            <w:r>
              <w:rPr>
                <w:rFonts w:hint="eastAsia" w:ascii="宋体" w:hAnsi="宋体"/>
                <w:sz w:val="21"/>
                <w:szCs w:val="21"/>
              </w:rPr>
              <w:t>应承担延期交货和延期服务的违约责任，并赔偿采购人因此造成的实际经济损失，采购人有权终止合同。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Cs/>
                <w:sz w:val="21"/>
                <w:szCs w:val="21"/>
              </w:rPr>
            </w:pPr>
          </w:p>
        </w:tc>
        <w:tc>
          <w:tcPr>
            <w:tcW w:w="1601" w:type="dxa"/>
            <w:vMerge w:val="continue"/>
            <w:vAlign w:val="center"/>
          </w:tcPr>
          <w:p>
            <w:pPr>
              <w:spacing w:line="360" w:lineRule="exact"/>
              <w:jc w:val="center"/>
              <w:rPr>
                <w:rFonts w:ascii="宋体" w:hAnsi="宋体"/>
                <w:bCs/>
                <w:sz w:val="21"/>
                <w:szCs w:val="21"/>
              </w:rPr>
            </w:pPr>
          </w:p>
        </w:tc>
        <w:tc>
          <w:tcPr>
            <w:tcW w:w="6147" w:type="dxa"/>
            <w:vAlign w:val="center"/>
          </w:tcPr>
          <w:p>
            <w:pPr>
              <w:spacing w:line="360" w:lineRule="exact"/>
              <w:rPr>
                <w:rFonts w:ascii="宋体" w:hAnsi="宋体" w:cs="宋体"/>
                <w:bCs/>
                <w:sz w:val="21"/>
                <w:szCs w:val="21"/>
              </w:rPr>
            </w:pPr>
            <w:r>
              <w:rPr>
                <w:rFonts w:hint="eastAsia" w:ascii="宋体" w:hAnsi="宋体" w:cs="宋体"/>
                <w:bCs/>
                <w:sz w:val="21"/>
                <w:szCs w:val="21"/>
              </w:rPr>
              <w:t>3.2</w:t>
            </w:r>
            <w:r>
              <w:rPr>
                <w:rFonts w:hint="eastAsia" w:ascii="宋体" w:hAnsi="宋体"/>
                <w:bCs/>
                <w:sz w:val="21"/>
                <w:szCs w:val="21"/>
              </w:rPr>
              <w:t>投标人中标后</w:t>
            </w:r>
            <w:r>
              <w:rPr>
                <w:rFonts w:hint="eastAsia" w:ascii="宋体" w:hAnsi="宋体" w:cs="宋体"/>
                <w:bCs/>
                <w:sz w:val="21"/>
                <w:szCs w:val="21"/>
              </w:rPr>
              <w:t>所交设备的品种、型号、规格、质量、功能、技术参数等方面不能实质性满足采购文件要求的，采购人有权拒绝收货，</w:t>
            </w:r>
            <w:r>
              <w:rPr>
                <w:rFonts w:hint="eastAsia" w:ascii="宋体" w:hAnsi="宋体"/>
                <w:bCs/>
                <w:sz w:val="21"/>
                <w:szCs w:val="21"/>
              </w:rPr>
              <w:t>投标人</w:t>
            </w:r>
            <w:r>
              <w:rPr>
                <w:rFonts w:hint="eastAsia" w:ascii="宋体" w:hAnsi="宋体" w:cs="宋体"/>
                <w:bCs/>
                <w:sz w:val="21"/>
                <w:szCs w:val="21"/>
              </w:rPr>
              <w:t>向采购人偿付项目采购金额</w:t>
            </w:r>
            <w:r>
              <w:rPr>
                <w:rFonts w:hint="eastAsia" w:ascii="宋体" w:hAnsi="宋体" w:cs="宋体"/>
                <w:bCs/>
                <w:sz w:val="21"/>
                <w:szCs w:val="21"/>
                <w:highlight w:val="yellow"/>
              </w:rPr>
              <w:t>【20】%</w:t>
            </w:r>
            <w:r>
              <w:rPr>
                <w:rFonts w:hint="eastAsia" w:ascii="宋体" w:hAnsi="宋体" w:cs="宋体"/>
                <w:bCs/>
                <w:sz w:val="21"/>
                <w:szCs w:val="21"/>
              </w:rPr>
              <w:t xml:space="preserve">的违约金并采取更换、补足等补救措施，致使逾期交付的，还应承担逾期交付的违约责任。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Cs/>
                <w:sz w:val="21"/>
                <w:szCs w:val="21"/>
              </w:rPr>
            </w:pPr>
          </w:p>
        </w:tc>
        <w:tc>
          <w:tcPr>
            <w:tcW w:w="1601" w:type="dxa"/>
            <w:vMerge w:val="continue"/>
            <w:vAlign w:val="center"/>
          </w:tcPr>
          <w:p>
            <w:pPr>
              <w:spacing w:line="360" w:lineRule="exact"/>
              <w:jc w:val="center"/>
              <w:rPr>
                <w:rFonts w:ascii="宋体" w:hAnsi="宋体"/>
                <w:bCs/>
                <w:sz w:val="21"/>
                <w:szCs w:val="21"/>
              </w:rPr>
            </w:pPr>
          </w:p>
        </w:tc>
        <w:tc>
          <w:tcPr>
            <w:tcW w:w="6147" w:type="dxa"/>
            <w:vAlign w:val="center"/>
          </w:tcPr>
          <w:p>
            <w:pPr>
              <w:spacing w:line="360" w:lineRule="exact"/>
              <w:rPr>
                <w:rFonts w:ascii="宋体" w:hAnsi="宋体" w:cs="宋体"/>
                <w:bCs/>
                <w:sz w:val="21"/>
                <w:szCs w:val="21"/>
              </w:rPr>
            </w:pPr>
            <w:r>
              <w:rPr>
                <w:rFonts w:hint="eastAsia" w:ascii="宋体" w:hAnsi="宋体" w:cs="宋体"/>
                <w:bCs/>
                <w:sz w:val="21"/>
                <w:szCs w:val="21"/>
              </w:rPr>
              <w:t>3.3</w:t>
            </w:r>
            <w:r>
              <w:rPr>
                <w:rFonts w:hint="eastAsia" w:ascii="宋体" w:hAnsi="宋体"/>
                <w:bCs/>
                <w:sz w:val="21"/>
                <w:szCs w:val="21"/>
              </w:rPr>
              <w:t>投标人中标后</w:t>
            </w:r>
            <w:r>
              <w:rPr>
                <w:rFonts w:hint="eastAsia" w:ascii="宋体" w:hAnsi="宋体" w:cs="宋体"/>
                <w:bCs/>
                <w:sz w:val="21"/>
                <w:szCs w:val="21"/>
              </w:rPr>
              <w:t>不能交付设备的，</w:t>
            </w:r>
            <w:r>
              <w:rPr>
                <w:rFonts w:hint="eastAsia" w:ascii="宋体" w:hAnsi="宋体"/>
                <w:bCs/>
                <w:sz w:val="21"/>
                <w:szCs w:val="21"/>
              </w:rPr>
              <w:t>投标人</w:t>
            </w:r>
            <w:r>
              <w:rPr>
                <w:rFonts w:hint="eastAsia" w:ascii="宋体" w:hAnsi="宋体" w:cs="宋体"/>
                <w:bCs/>
                <w:sz w:val="21"/>
                <w:szCs w:val="21"/>
              </w:rPr>
              <w:t>向采购人偿付项目采购金额</w:t>
            </w:r>
            <w:r>
              <w:rPr>
                <w:rFonts w:hint="eastAsia" w:ascii="宋体" w:hAnsi="宋体" w:cs="宋体"/>
                <w:bCs/>
                <w:sz w:val="21"/>
                <w:szCs w:val="21"/>
                <w:highlight w:val="yellow"/>
              </w:rPr>
              <w:t>【20】%</w:t>
            </w:r>
            <w:r>
              <w:rPr>
                <w:rFonts w:hint="eastAsia" w:ascii="宋体" w:hAnsi="宋体" w:cs="宋体"/>
                <w:bCs/>
                <w:sz w:val="21"/>
                <w:szCs w:val="21"/>
              </w:rPr>
              <w:t>的违约金。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Cs/>
                <w:sz w:val="21"/>
                <w:szCs w:val="21"/>
              </w:rPr>
            </w:pPr>
          </w:p>
        </w:tc>
        <w:tc>
          <w:tcPr>
            <w:tcW w:w="1601" w:type="dxa"/>
            <w:vMerge w:val="continue"/>
            <w:vAlign w:val="center"/>
          </w:tcPr>
          <w:p>
            <w:pPr>
              <w:spacing w:line="360" w:lineRule="exact"/>
              <w:jc w:val="center"/>
              <w:rPr>
                <w:rFonts w:ascii="宋体" w:hAnsi="宋体"/>
                <w:bCs/>
                <w:sz w:val="21"/>
                <w:szCs w:val="21"/>
              </w:rPr>
            </w:pPr>
          </w:p>
        </w:tc>
        <w:tc>
          <w:tcPr>
            <w:tcW w:w="6147" w:type="dxa"/>
            <w:vAlign w:val="center"/>
          </w:tcPr>
          <w:p>
            <w:pPr>
              <w:spacing w:line="360" w:lineRule="exact"/>
              <w:rPr>
                <w:rFonts w:ascii="宋体" w:hAnsi="宋体" w:cs="宋体"/>
                <w:bCs/>
                <w:sz w:val="21"/>
                <w:szCs w:val="21"/>
              </w:rPr>
            </w:pPr>
            <w:r>
              <w:rPr>
                <w:rFonts w:hint="eastAsia" w:ascii="宋体" w:hAnsi="宋体" w:cs="宋体"/>
                <w:bCs/>
                <w:sz w:val="21"/>
                <w:szCs w:val="21"/>
              </w:rPr>
              <w:t>3.4</w:t>
            </w:r>
            <w:r>
              <w:rPr>
                <w:rFonts w:hint="eastAsia" w:ascii="宋体" w:hAnsi="宋体"/>
                <w:bCs/>
                <w:sz w:val="21"/>
                <w:szCs w:val="21"/>
              </w:rPr>
              <w:t>投标人中标后</w:t>
            </w:r>
            <w:r>
              <w:rPr>
                <w:rFonts w:hint="eastAsia" w:ascii="宋体" w:hAnsi="宋体" w:cs="宋体"/>
                <w:bCs/>
                <w:sz w:val="21"/>
                <w:szCs w:val="21"/>
              </w:rPr>
              <w:t>逾期交付货物的，每逾期1天，</w:t>
            </w:r>
            <w:r>
              <w:rPr>
                <w:rFonts w:hint="eastAsia" w:ascii="宋体" w:hAnsi="宋体"/>
                <w:bCs/>
                <w:sz w:val="21"/>
                <w:szCs w:val="21"/>
              </w:rPr>
              <w:t>投标人</w:t>
            </w:r>
            <w:r>
              <w:rPr>
                <w:rFonts w:hint="eastAsia" w:ascii="宋体" w:hAnsi="宋体" w:cs="宋体"/>
                <w:bCs/>
                <w:sz w:val="21"/>
                <w:szCs w:val="21"/>
              </w:rPr>
              <w:t>向采购人偿付项目采购金额的</w:t>
            </w:r>
            <w:r>
              <w:rPr>
                <w:rFonts w:hint="eastAsia" w:ascii="宋体" w:hAnsi="宋体" w:cs="宋体"/>
                <w:bCs/>
                <w:sz w:val="21"/>
                <w:szCs w:val="21"/>
                <w:highlight w:val="yellow"/>
              </w:rPr>
              <w:t>【5】‰</w:t>
            </w:r>
            <w:r>
              <w:rPr>
                <w:rFonts w:hint="eastAsia" w:ascii="宋体" w:hAnsi="宋体" w:cs="宋体"/>
                <w:bCs/>
                <w:sz w:val="21"/>
                <w:szCs w:val="21"/>
              </w:rPr>
              <w:t>的违约金。如</w:t>
            </w:r>
            <w:r>
              <w:rPr>
                <w:rFonts w:hint="eastAsia" w:ascii="宋体" w:hAnsi="宋体"/>
                <w:bCs/>
                <w:sz w:val="21"/>
                <w:szCs w:val="21"/>
              </w:rPr>
              <w:t>投标人</w:t>
            </w:r>
            <w:r>
              <w:rPr>
                <w:rFonts w:hint="eastAsia" w:ascii="宋体" w:hAnsi="宋体" w:cs="宋体"/>
                <w:bCs/>
                <w:sz w:val="21"/>
                <w:szCs w:val="21"/>
              </w:rPr>
              <w:t>逾期交货达</w:t>
            </w:r>
            <w:r>
              <w:rPr>
                <w:rFonts w:hint="eastAsia" w:ascii="宋体" w:hAnsi="宋体" w:cs="宋体"/>
                <w:bCs/>
                <w:sz w:val="21"/>
                <w:szCs w:val="21"/>
                <w:highlight w:val="yellow"/>
                <w:u w:val="single"/>
              </w:rPr>
              <w:t xml:space="preserve"> 20 </w:t>
            </w:r>
            <w:r>
              <w:rPr>
                <w:rFonts w:hint="eastAsia" w:ascii="宋体" w:hAnsi="宋体" w:cs="宋体"/>
                <w:bCs/>
                <w:sz w:val="21"/>
                <w:szCs w:val="21"/>
              </w:rPr>
              <w:t>天，采购人有权解除合同。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Cs/>
                <w:sz w:val="21"/>
                <w:szCs w:val="21"/>
              </w:rPr>
            </w:pPr>
          </w:p>
        </w:tc>
        <w:tc>
          <w:tcPr>
            <w:tcW w:w="1601" w:type="dxa"/>
            <w:vMerge w:val="continue"/>
            <w:vAlign w:val="center"/>
          </w:tcPr>
          <w:p>
            <w:pPr>
              <w:spacing w:line="360" w:lineRule="exact"/>
              <w:jc w:val="center"/>
              <w:rPr>
                <w:rFonts w:ascii="宋体" w:hAnsi="宋体"/>
                <w:bCs/>
                <w:sz w:val="21"/>
                <w:szCs w:val="21"/>
              </w:rPr>
            </w:pPr>
          </w:p>
        </w:tc>
        <w:tc>
          <w:tcPr>
            <w:tcW w:w="6147" w:type="dxa"/>
            <w:vAlign w:val="center"/>
          </w:tcPr>
          <w:p>
            <w:pPr>
              <w:spacing w:line="360" w:lineRule="exact"/>
              <w:rPr>
                <w:rFonts w:ascii="宋体" w:hAnsi="宋体" w:cs="宋体"/>
                <w:b/>
                <w:sz w:val="21"/>
                <w:szCs w:val="21"/>
              </w:rPr>
            </w:pPr>
            <w:r>
              <w:rPr>
                <w:rFonts w:hint="eastAsia" w:ascii="宋体" w:hAnsi="宋体" w:cs="宋体"/>
                <w:bCs/>
                <w:sz w:val="21"/>
                <w:szCs w:val="21"/>
              </w:rPr>
              <w:t>3.5</w:t>
            </w:r>
            <w:r>
              <w:rPr>
                <w:rFonts w:hint="eastAsia" w:ascii="宋体" w:hAnsi="宋体"/>
                <w:bCs/>
                <w:sz w:val="21"/>
                <w:szCs w:val="21"/>
              </w:rPr>
              <w:t>投标人中标后，在其</w:t>
            </w:r>
            <w:r>
              <w:rPr>
                <w:rFonts w:hint="eastAsia" w:ascii="宋体" w:hAnsi="宋体" w:cs="宋体"/>
                <w:bCs/>
                <w:sz w:val="21"/>
                <w:szCs w:val="21"/>
              </w:rPr>
              <w:t>承诺的或国家规定的质量保证期内（取两者中最长的期限），如经</w:t>
            </w:r>
            <w:r>
              <w:rPr>
                <w:rFonts w:hint="eastAsia" w:ascii="宋体" w:hAnsi="宋体"/>
                <w:bCs/>
                <w:sz w:val="21"/>
                <w:szCs w:val="21"/>
              </w:rPr>
              <w:t>投标人</w:t>
            </w:r>
            <w:r>
              <w:rPr>
                <w:rFonts w:hint="eastAsia" w:ascii="宋体" w:hAnsi="宋体" w:cs="宋体"/>
                <w:bCs/>
                <w:sz w:val="21"/>
                <w:szCs w:val="21"/>
              </w:rPr>
              <w:t>两次维修或更换，货物仍不能达到采购文件要求及投标文件承诺的质量标准，采购人有权退货，</w:t>
            </w:r>
            <w:r>
              <w:rPr>
                <w:rFonts w:hint="eastAsia" w:ascii="宋体" w:hAnsi="宋体"/>
                <w:bCs/>
                <w:sz w:val="21"/>
                <w:szCs w:val="21"/>
              </w:rPr>
              <w:t>投标人</w:t>
            </w:r>
            <w:r>
              <w:rPr>
                <w:rFonts w:hint="eastAsia" w:ascii="宋体" w:hAnsi="宋体" w:cs="宋体"/>
                <w:bCs/>
                <w:sz w:val="21"/>
                <w:szCs w:val="21"/>
              </w:rPr>
              <w:t>应退回全部货款并赔偿采购人因此遭受的损失。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Cs/>
                <w:sz w:val="21"/>
                <w:szCs w:val="21"/>
              </w:rPr>
            </w:pPr>
          </w:p>
        </w:tc>
        <w:tc>
          <w:tcPr>
            <w:tcW w:w="1601" w:type="dxa"/>
            <w:vMerge w:val="continue"/>
            <w:vAlign w:val="center"/>
          </w:tcPr>
          <w:p>
            <w:pPr>
              <w:spacing w:line="360" w:lineRule="exact"/>
              <w:jc w:val="center"/>
              <w:rPr>
                <w:rFonts w:ascii="宋体" w:hAnsi="宋体"/>
                <w:bCs/>
                <w:sz w:val="21"/>
                <w:szCs w:val="21"/>
              </w:rPr>
            </w:pPr>
          </w:p>
        </w:tc>
        <w:tc>
          <w:tcPr>
            <w:tcW w:w="6147" w:type="dxa"/>
            <w:vAlign w:val="center"/>
          </w:tcPr>
          <w:p>
            <w:pPr>
              <w:spacing w:line="360" w:lineRule="exact"/>
              <w:rPr>
                <w:rFonts w:ascii="宋体" w:hAnsi="宋体" w:cs="宋体"/>
                <w:bCs/>
                <w:sz w:val="21"/>
                <w:szCs w:val="21"/>
              </w:rPr>
            </w:pPr>
            <w:r>
              <w:rPr>
                <w:rFonts w:hint="eastAsia" w:ascii="宋体" w:hAnsi="宋体" w:cs="宋体"/>
                <w:bCs/>
                <w:sz w:val="21"/>
                <w:szCs w:val="21"/>
              </w:rPr>
              <w:t>3.6</w:t>
            </w:r>
            <w:r>
              <w:rPr>
                <w:rFonts w:hint="eastAsia" w:ascii="宋体" w:hAnsi="宋体"/>
                <w:bCs/>
                <w:sz w:val="21"/>
                <w:szCs w:val="21"/>
              </w:rPr>
              <w:t>投标人中标后</w:t>
            </w:r>
            <w:r>
              <w:rPr>
                <w:rFonts w:hint="eastAsia" w:ascii="宋体" w:hAnsi="宋体" w:cs="宋体"/>
                <w:bCs/>
                <w:sz w:val="21"/>
                <w:szCs w:val="21"/>
              </w:rPr>
              <w:t>在承担上述一项或多项违约责任后，仍应继续履行合同规定的义务（采购人解除合同的除外）。采购人未能及时追究</w:t>
            </w:r>
            <w:r>
              <w:rPr>
                <w:rFonts w:hint="eastAsia" w:ascii="宋体" w:hAnsi="宋体"/>
                <w:bCs/>
                <w:sz w:val="21"/>
                <w:szCs w:val="21"/>
              </w:rPr>
              <w:t>投标人</w:t>
            </w:r>
            <w:r>
              <w:rPr>
                <w:rFonts w:hint="eastAsia" w:ascii="宋体" w:hAnsi="宋体" w:cs="宋体"/>
                <w:bCs/>
                <w:sz w:val="21"/>
                <w:szCs w:val="21"/>
              </w:rPr>
              <w:t>的任何一项违约责任并不表明采购人放弃追究</w:t>
            </w:r>
            <w:r>
              <w:rPr>
                <w:rFonts w:hint="eastAsia" w:ascii="宋体" w:hAnsi="宋体"/>
                <w:bCs/>
                <w:sz w:val="21"/>
                <w:szCs w:val="21"/>
              </w:rPr>
              <w:t>投标人</w:t>
            </w:r>
            <w:r>
              <w:rPr>
                <w:rFonts w:hint="eastAsia" w:ascii="宋体" w:hAnsi="宋体" w:cs="宋体"/>
                <w:bCs/>
                <w:sz w:val="21"/>
                <w:szCs w:val="21"/>
              </w:rPr>
              <w:t>该项或其他违约责任。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pPr>
              <w:spacing w:line="360" w:lineRule="exact"/>
              <w:jc w:val="center"/>
              <w:rPr>
                <w:rFonts w:ascii="宋体" w:hAnsi="宋体"/>
                <w:bCs/>
                <w:sz w:val="21"/>
                <w:szCs w:val="21"/>
              </w:rPr>
            </w:pPr>
          </w:p>
        </w:tc>
        <w:tc>
          <w:tcPr>
            <w:tcW w:w="1601" w:type="dxa"/>
            <w:vMerge w:val="continue"/>
            <w:vAlign w:val="center"/>
          </w:tcPr>
          <w:p>
            <w:pPr>
              <w:spacing w:line="360" w:lineRule="exact"/>
              <w:jc w:val="center"/>
              <w:rPr>
                <w:rFonts w:ascii="宋体" w:hAnsi="宋体"/>
                <w:bCs/>
                <w:sz w:val="21"/>
                <w:szCs w:val="21"/>
              </w:rPr>
            </w:pPr>
          </w:p>
        </w:tc>
        <w:tc>
          <w:tcPr>
            <w:tcW w:w="6147" w:type="dxa"/>
            <w:vAlign w:val="center"/>
          </w:tcPr>
          <w:p>
            <w:pPr>
              <w:spacing w:line="360" w:lineRule="exact"/>
              <w:rPr>
                <w:rFonts w:ascii="宋体" w:hAnsi="宋体" w:cs="宋体"/>
                <w:bCs/>
                <w:sz w:val="21"/>
                <w:szCs w:val="21"/>
              </w:rPr>
            </w:pPr>
            <w:r>
              <w:rPr>
                <w:rFonts w:hint="eastAsia" w:ascii="宋体" w:hAnsi="宋体" w:cs="宋体"/>
                <w:bCs/>
                <w:sz w:val="21"/>
                <w:szCs w:val="21"/>
              </w:rPr>
              <w:t>3.7中标后，签订合同前，采购人有权要求中标供应商提供产品功能兼容性演示。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ascii="宋体" w:hAnsi="宋体"/>
                <w:bCs/>
                <w:sz w:val="21"/>
                <w:szCs w:val="21"/>
              </w:rPr>
            </w:pPr>
            <w:r>
              <w:rPr>
                <w:rFonts w:hint="eastAsia" w:ascii="宋体" w:hAnsi="宋体"/>
                <w:bCs/>
                <w:sz w:val="21"/>
                <w:szCs w:val="21"/>
              </w:rPr>
              <w:t>4</w:t>
            </w:r>
          </w:p>
        </w:tc>
        <w:tc>
          <w:tcPr>
            <w:tcW w:w="1601" w:type="dxa"/>
            <w:vAlign w:val="center"/>
          </w:tcPr>
          <w:p>
            <w:pPr>
              <w:spacing w:line="360" w:lineRule="exact"/>
              <w:jc w:val="center"/>
              <w:rPr>
                <w:rFonts w:ascii="宋体" w:hAnsi="宋体"/>
                <w:bCs/>
                <w:sz w:val="21"/>
                <w:szCs w:val="21"/>
              </w:rPr>
            </w:pPr>
            <w:r>
              <w:rPr>
                <w:rFonts w:hint="eastAsia" w:ascii="宋体" w:hAnsi="宋体"/>
                <w:bCs/>
                <w:sz w:val="21"/>
                <w:szCs w:val="21"/>
              </w:rPr>
              <w:t>其他</w:t>
            </w:r>
          </w:p>
        </w:tc>
        <w:tc>
          <w:tcPr>
            <w:tcW w:w="6147" w:type="dxa"/>
            <w:vAlign w:val="center"/>
          </w:tcPr>
          <w:p>
            <w:pPr>
              <w:spacing w:line="360" w:lineRule="exact"/>
              <w:rPr>
                <w:rFonts w:ascii="宋体" w:hAnsi="宋体" w:cs="宋体"/>
                <w:bCs/>
                <w:sz w:val="21"/>
                <w:szCs w:val="21"/>
              </w:rPr>
            </w:pPr>
            <w:r>
              <w:rPr>
                <w:rFonts w:hint="eastAsia" w:ascii="宋体" w:hAnsi="宋体" w:cs="宋体"/>
                <w:bCs/>
                <w:sz w:val="21"/>
                <w:szCs w:val="21"/>
              </w:rPr>
              <w:t>投标人</w:t>
            </w:r>
            <w:r>
              <w:rPr>
                <w:rFonts w:hint="eastAsia" w:ascii="宋体" w:hAnsi="宋体"/>
                <w:bCs/>
                <w:sz w:val="21"/>
                <w:szCs w:val="21"/>
              </w:rPr>
              <w:t>中标后</w:t>
            </w:r>
            <w:r>
              <w:rPr>
                <w:rFonts w:hint="eastAsia" w:ascii="宋体" w:hAnsi="宋体" w:cs="宋体"/>
                <w:bCs/>
                <w:sz w:val="21"/>
                <w:szCs w:val="21"/>
              </w:rPr>
              <w:t>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pPr>
              <w:spacing w:line="360" w:lineRule="exact"/>
              <w:jc w:val="center"/>
              <w:rPr>
                <w:rFonts w:hint="eastAsia" w:ascii="宋体" w:hAnsi="宋体" w:eastAsiaTheme="minorEastAsia"/>
                <w:bCs/>
                <w:sz w:val="21"/>
                <w:szCs w:val="21"/>
                <w:lang w:val="en-US" w:eastAsia="zh-CN"/>
              </w:rPr>
            </w:pPr>
            <w:r>
              <w:rPr>
                <w:rFonts w:hint="eastAsia" w:ascii="宋体" w:hAnsi="宋体"/>
                <w:bCs/>
                <w:sz w:val="21"/>
                <w:szCs w:val="21"/>
                <w:lang w:val="en-US" w:eastAsia="zh-CN"/>
              </w:rPr>
              <w:t>5</w:t>
            </w:r>
          </w:p>
        </w:tc>
        <w:tc>
          <w:tcPr>
            <w:tcW w:w="1601" w:type="dxa"/>
            <w:vAlign w:val="center"/>
          </w:tcPr>
          <w:p>
            <w:pPr>
              <w:spacing w:line="360" w:lineRule="exact"/>
              <w:jc w:val="center"/>
              <w:rPr>
                <w:rFonts w:hint="eastAsia" w:ascii="宋体" w:hAnsi="宋体"/>
                <w:bCs/>
                <w:sz w:val="21"/>
                <w:szCs w:val="21"/>
              </w:rPr>
            </w:pPr>
            <w:r>
              <w:rPr>
                <w:rFonts w:hint="eastAsia" w:ascii="宋体" w:hAnsi="宋体"/>
                <w:bCs/>
                <w:sz w:val="21"/>
                <w:szCs w:val="21"/>
              </w:rPr>
              <w:t>付款方式</w:t>
            </w:r>
          </w:p>
        </w:tc>
        <w:tc>
          <w:tcPr>
            <w:tcW w:w="6147" w:type="dxa"/>
            <w:vAlign w:val="center"/>
          </w:tcPr>
          <w:p>
            <w:pPr>
              <w:widowControl/>
              <w:jc w:val="left"/>
              <w:rPr>
                <w:rFonts w:hint="eastAsia" w:ascii="宋体" w:hAnsi="宋体" w:cs="宋体"/>
                <w:b w:val="0"/>
                <w:bCs w:val="0"/>
                <w:sz w:val="21"/>
                <w:szCs w:val="21"/>
                <w:highlight w:val="yellow"/>
              </w:rPr>
            </w:pPr>
            <w:r>
              <w:rPr>
                <w:rFonts w:hint="eastAsia" w:ascii="宋体" w:hAnsi="宋体" w:cs="宋体"/>
                <w:b w:val="0"/>
                <w:bCs w:val="0"/>
                <w:sz w:val="21"/>
                <w:szCs w:val="21"/>
                <w:highlight w:val="yellow"/>
              </w:rPr>
              <w:t>1、全部货物送到采购人指定地点、完成安装并验收合格后30个工作日内，采购人向中标供应商支付合同总价【100】%的款项；</w:t>
            </w:r>
          </w:p>
          <w:p>
            <w:pPr>
              <w:widowControl/>
              <w:jc w:val="left"/>
              <w:rPr>
                <w:rFonts w:hint="eastAsia" w:ascii="宋体" w:hAnsi="宋体" w:cs="宋体"/>
                <w:bCs/>
                <w:sz w:val="21"/>
                <w:szCs w:val="21"/>
              </w:rPr>
            </w:pPr>
            <w:r>
              <w:rPr>
                <w:rFonts w:hint="eastAsia" w:ascii="宋体" w:hAnsi="宋体" w:cs="宋体"/>
                <w:b w:val="0"/>
                <w:bCs w:val="0"/>
                <w:sz w:val="21"/>
                <w:szCs w:val="21"/>
                <w:highlight w:val="yellow"/>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tc>
      </w:tr>
    </w:tbl>
    <w:p>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p>
      <w:pPr>
        <w:jc w:val="left"/>
        <w:rPr>
          <w:rFonts w:hint="eastAsia" w:ascii="宋体" w:hAnsi="宋体" w:eastAsia="宋体" w:cs="Times New Roman"/>
          <w:b/>
          <w:color w:val="FF0000"/>
          <w:szCs w:val="21"/>
        </w:rPr>
      </w:pPr>
      <w:r>
        <w:rPr>
          <w:rFonts w:hint="eastAsia" w:ascii="宋体" w:hAnsi="宋体" w:cs="宋体"/>
          <w:b/>
          <w:bCs/>
          <w:kern w:val="0"/>
          <w:sz w:val="24"/>
          <w:szCs w:val="24"/>
          <w:lang w:val="en-US" w:eastAsia="zh-CN"/>
        </w:rPr>
        <w:t>1.</w:t>
      </w:r>
      <w:r>
        <w:rPr>
          <w:rFonts w:hint="eastAsia" w:ascii="宋体" w:hAnsi="宋体" w:cs="宋体"/>
          <w:b/>
          <w:bCs/>
          <w:kern w:val="0"/>
          <w:sz w:val="24"/>
          <w:szCs w:val="24"/>
        </w:rPr>
        <w:t>采购技术要求表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379"/>
        <w:gridCol w:w="6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Align w:val="center"/>
          </w:tcPr>
          <w:p>
            <w:pPr>
              <w:jc w:val="center"/>
              <w:rPr>
                <w:sz w:val="21"/>
                <w:szCs w:val="21"/>
              </w:rPr>
            </w:pPr>
            <w:r>
              <w:rPr>
                <w:rFonts w:hint="eastAsia"/>
                <w:sz w:val="21"/>
                <w:szCs w:val="21"/>
              </w:rPr>
              <w:t>序号</w:t>
            </w:r>
          </w:p>
        </w:tc>
        <w:tc>
          <w:tcPr>
            <w:tcW w:w="809" w:type="pct"/>
            <w:vAlign w:val="center"/>
          </w:tcPr>
          <w:p>
            <w:pPr>
              <w:widowControl/>
              <w:jc w:val="center"/>
              <w:rPr>
                <w:sz w:val="21"/>
                <w:szCs w:val="21"/>
              </w:rPr>
            </w:pPr>
            <w:r>
              <w:rPr>
                <w:rFonts w:hint="eastAsia"/>
                <w:sz w:val="21"/>
                <w:szCs w:val="21"/>
              </w:rPr>
              <w:t>货物名称</w:t>
            </w:r>
          </w:p>
        </w:tc>
        <w:tc>
          <w:tcPr>
            <w:tcW w:w="3903" w:type="pct"/>
            <w:vAlign w:val="center"/>
          </w:tcPr>
          <w:p>
            <w:pPr>
              <w:jc w:val="center"/>
              <w:rPr>
                <w:sz w:val="21"/>
                <w:szCs w:val="21"/>
              </w:rPr>
            </w:pPr>
            <w:r>
              <w:rPr>
                <w:rFonts w:hint="eastAsia"/>
                <w:sz w:val="21"/>
                <w:szCs w:val="21"/>
              </w:rPr>
              <w:t>招标技术要求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1</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物联系统管理平台</w:t>
            </w:r>
          </w:p>
        </w:tc>
        <w:tc>
          <w:tcPr>
            <w:tcW w:w="3903" w:type="pct"/>
            <w:vAlign w:val="center"/>
          </w:tcPr>
          <w:p>
            <w:pPr>
              <w:rPr>
                <w:rFonts w:hint="eastAsia" w:ascii="新宋体" w:hAnsi="新宋体" w:eastAsia="新宋体"/>
                <w:color w:val="000000"/>
                <w:sz w:val="21"/>
                <w:szCs w:val="21"/>
                <w:lang w:eastAsia="zh-CN"/>
              </w:rPr>
            </w:pPr>
            <w:r>
              <w:rPr>
                <w:rFonts w:hint="default" w:ascii="新宋体" w:hAnsi="新宋体" w:eastAsia="新宋体"/>
                <w:color w:val="000000"/>
                <w:sz w:val="21"/>
                <w:szCs w:val="21"/>
                <w:lang w:val="en-US" w:eastAsia="zh-CN"/>
              </w:rPr>
              <w:t>▲</w:t>
            </w:r>
            <w:r>
              <w:rPr>
                <w:rFonts w:hint="eastAsia" w:ascii="宋体" w:hAnsi="宋体"/>
                <w:bCs/>
                <w:sz w:val="21"/>
                <w:szCs w:val="21"/>
                <w:lang w:val="en-US" w:eastAsia="zh-CN"/>
              </w:rPr>
              <w:t>1</w:t>
            </w:r>
            <w:r>
              <w:rPr>
                <w:rFonts w:hint="eastAsia" w:ascii="宋体" w:hAnsi="宋体"/>
                <w:bCs/>
                <w:sz w:val="21"/>
                <w:szCs w:val="21"/>
              </w:rPr>
              <w:t>、</w:t>
            </w:r>
            <w:r>
              <w:rPr>
                <w:rFonts w:hint="eastAsia" w:ascii="新宋体" w:hAnsi="新宋体" w:eastAsia="新宋体"/>
                <w:color w:val="000000"/>
                <w:sz w:val="21"/>
                <w:szCs w:val="21"/>
              </w:rPr>
              <w:t>通过校园综合服务器可远程和本地互动式管理，远程开启、开/关智慧教室终端、投影机、电脑、灯光、空调等设备，一键控制和管理定时任务，通过WEB可远程配置及升级固件系统</w:t>
            </w:r>
            <w:r>
              <w:rPr>
                <w:rFonts w:hint="eastAsia" w:ascii="新宋体" w:hAnsi="新宋体" w:eastAsia="新宋体"/>
                <w:color w:val="000000"/>
                <w:sz w:val="21"/>
                <w:szCs w:val="21"/>
                <w:lang w:eastAsia="zh-CN"/>
              </w:rPr>
              <w:t>；投标时同时提供:①由第三方检验检测机构出具并加盖(或带有)CMA和CNAS标志的检验检测报告扫描件，原件备查:②上述检验检测报告在全国认证认可信息公共服务平台(认e云)(http://cx.cnca.cn/)的信息查询记录截图；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eastAsia" w:ascii="新宋体" w:hAnsi="新宋体" w:eastAsiaTheme="minorEastAsia"/>
                <w:color w:val="000000"/>
                <w:sz w:val="21"/>
                <w:szCs w:val="21"/>
                <w:lang w:eastAsia="zh-CN"/>
              </w:rPr>
            </w:pPr>
            <w:r>
              <w:rPr>
                <w:rFonts w:hint="eastAsia" w:ascii="宋体" w:hAnsi="宋体"/>
                <w:bCs/>
                <w:sz w:val="21"/>
                <w:szCs w:val="21"/>
                <w:lang w:val="en-US" w:eastAsia="zh-CN"/>
              </w:rPr>
              <w:t>2</w:t>
            </w:r>
            <w:r>
              <w:rPr>
                <w:rFonts w:hint="eastAsia" w:ascii="宋体" w:hAnsi="宋体"/>
                <w:bCs/>
                <w:sz w:val="21"/>
                <w:szCs w:val="21"/>
              </w:rPr>
              <w:t>、支持WEB服务端的所有设备管理和数字广播的智能播出及高清视频的推送等业务</w:t>
            </w:r>
            <w:r>
              <w:rPr>
                <w:rFonts w:hint="eastAsia" w:ascii="宋体" w:hAnsi="宋体"/>
                <w:bCs/>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eastAsia" w:ascii="新宋体" w:hAnsi="新宋体" w:eastAsiaTheme="minorEastAsia"/>
                <w:color w:val="000000"/>
                <w:sz w:val="21"/>
                <w:szCs w:val="21"/>
                <w:lang w:eastAsia="zh-CN"/>
              </w:rPr>
            </w:pPr>
            <w:r>
              <w:rPr>
                <w:rFonts w:hint="eastAsia" w:ascii="宋体" w:hAnsi="宋体"/>
                <w:bCs/>
                <w:sz w:val="21"/>
                <w:szCs w:val="21"/>
                <w:lang w:val="en-US" w:eastAsia="zh-CN"/>
              </w:rPr>
              <w:t>3</w:t>
            </w:r>
            <w:r>
              <w:rPr>
                <w:rFonts w:hint="eastAsia" w:ascii="宋体" w:hAnsi="宋体"/>
                <w:bCs/>
                <w:sz w:val="21"/>
                <w:szCs w:val="21"/>
              </w:rPr>
              <w:t>、通过校园网可以登录并控制服务器的各项管理和任务，在校园网内支持有线和无线连接，系统支持云端管理，采用微信小程序，无需安装APP，可以让控制和管理实现授权的远程操作，校外操作等</w:t>
            </w:r>
            <w:r>
              <w:rPr>
                <w:rFonts w:hint="eastAsia" w:ascii="宋体" w:hAnsi="宋体"/>
                <w:bCs/>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eastAsia" w:ascii="新宋体" w:hAnsi="新宋体" w:eastAsia="新宋体"/>
                <w:color w:val="000000"/>
                <w:sz w:val="21"/>
                <w:szCs w:val="21"/>
                <w:lang w:eastAsia="zh-CN"/>
              </w:rPr>
            </w:pPr>
            <w:r>
              <w:rPr>
                <w:rFonts w:hint="eastAsia" w:ascii="新宋体" w:hAnsi="新宋体" w:eastAsia="新宋体"/>
                <w:color w:val="000000"/>
                <w:sz w:val="21"/>
                <w:szCs w:val="21"/>
              </w:rPr>
              <w:t>4</w:t>
            </w:r>
            <w:r>
              <w:rPr>
                <w:rFonts w:hint="eastAsia" w:ascii="宋体" w:hAnsi="宋体"/>
                <w:bCs/>
                <w:sz w:val="21"/>
                <w:szCs w:val="21"/>
              </w:rPr>
              <w:t>、</w:t>
            </w:r>
            <w:r>
              <w:rPr>
                <w:rFonts w:hint="eastAsia" w:ascii="新宋体" w:hAnsi="新宋体" w:eastAsia="新宋体"/>
                <w:color w:val="000000"/>
                <w:sz w:val="21"/>
                <w:szCs w:val="21"/>
              </w:rPr>
              <w:t>具备数字音频广播功能，以实现校园信号播放（上下课铃声）、英语考试语音播放、背景音乐、应急广播、集中通知等音频广播功能，有定时、手动、实时播放等操作功能</w:t>
            </w:r>
            <w:r>
              <w:rPr>
                <w:rFonts w:hint="eastAsia" w:ascii="新宋体" w:hAnsi="新宋体" w:eastAsia="新宋体"/>
                <w:color w:val="00000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Theme="minorEastAsia"/>
                <w:color w:val="000000"/>
                <w:sz w:val="21"/>
                <w:szCs w:val="21"/>
                <w:lang w:val="en-US" w:eastAsia="zh-CN"/>
              </w:rPr>
            </w:pPr>
            <w:r>
              <w:rPr>
                <w:rFonts w:hint="eastAsia" w:ascii="新宋体" w:hAnsi="新宋体" w:eastAsiaTheme="minorEastAsia"/>
                <w:color w:val="000000"/>
                <w:sz w:val="21"/>
                <w:szCs w:val="21"/>
                <w:lang w:val="en-US" w:eastAsia="zh-CN"/>
              </w:rPr>
              <w:t>5</w:t>
            </w:r>
            <w:r>
              <w:rPr>
                <w:rFonts w:hint="eastAsia" w:ascii="宋体" w:hAnsi="宋体"/>
                <w:bCs/>
                <w:sz w:val="21"/>
                <w:szCs w:val="21"/>
              </w:rPr>
              <w:t>、</w:t>
            </w:r>
            <w:r>
              <w:rPr>
                <w:rFonts w:hint="eastAsia" w:ascii="新宋体" w:hAnsi="新宋体" w:eastAsiaTheme="minorEastAsia"/>
                <w:color w:val="000000"/>
                <w:sz w:val="21"/>
                <w:szCs w:val="21"/>
                <w:lang w:val="en-US" w:eastAsia="zh-CN"/>
              </w:rPr>
              <w:t>数字广播支持高清图像输出，支持超高清图像直播转播</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Theme="minorEastAsia"/>
                <w:color w:val="000000"/>
                <w:sz w:val="21"/>
                <w:szCs w:val="21"/>
                <w:lang w:val="en-US" w:eastAsia="zh-CN"/>
              </w:rPr>
            </w:pPr>
            <w:r>
              <w:rPr>
                <w:rFonts w:hint="eastAsia" w:ascii="新宋体" w:hAnsi="新宋体" w:eastAsiaTheme="minorEastAsia"/>
                <w:color w:val="000000"/>
                <w:sz w:val="21"/>
                <w:szCs w:val="21"/>
                <w:lang w:val="en-US" w:eastAsia="zh-CN"/>
              </w:rPr>
              <w:t>6</w:t>
            </w:r>
            <w:r>
              <w:rPr>
                <w:rFonts w:hint="eastAsia" w:ascii="宋体" w:hAnsi="宋体"/>
                <w:bCs/>
                <w:sz w:val="21"/>
                <w:szCs w:val="21"/>
              </w:rPr>
              <w:t>、</w:t>
            </w:r>
            <w:r>
              <w:rPr>
                <w:rFonts w:hint="eastAsia" w:ascii="新宋体" w:hAnsi="新宋体" w:eastAsiaTheme="minorEastAsia"/>
                <w:color w:val="000000"/>
                <w:sz w:val="21"/>
                <w:szCs w:val="21"/>
                <w:lang w:val="en-US" w:eastAsia="zh-CN"/>
              </w:rPr>
              <w:t>系统具备一定的诊断能力，可以实现设备在线检查，对于一些故障进行上报处理，系统生成日志文件</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Theme="minorEastAsia"/>
                <w:color w:val="000000"/>
                <w:sz w:val="21"/>
                <w:szCs w:val="21"/>
                <w:lang w:val="en-US" w:eastAsia="zh-CN"/>
              </w:rPr>
            </w:pPr>
            <w:r>
              <w:rPr>
                <w:rFonts w:hint="eastAsia" w:ascii="新宋体" w:hAnsi="新宋体" w:eastAsiaTheme="minorEastAsia"/>
                <w:color w:val="000000"/>
                <w:sz w:val="21"/>
                <w:szCs w:val="21"/>
                <w:lang w:val="en-US" w:eastAsia="zh-CN"/>
              </w:rPr>
              <w:t>7</w:t>
            </w:r>
            <w:r>
              <w:rPr>
                <w:rFonts w:hint="eastAsia" w:ascii="宋体" w:hAnsi="宋体"/>
                <w:bCs/>
                <w:sz w:val="21"/>
                <w:szCs w:val="21"/>
              </w:rPr>
              <w:t>、</w:t>
            </w:r>
            <w:r>
              <w:rPr>
                <w:rFonts w:hint="eastAsia" w:ascii="新宋体" w:hAnsi="新宋体" w:eastAsiaTheme="minorEastAsia"/>
                <w:color w:val="000000"/>
                <w:sz w:val="21"/>
                <w:szCs w:val="21"/>
                <w:lang w:val="en-US" w:eastAsia="zh-CN"/>
              </w:rPr>
              <w:t>系统采集设备使用记录，使用状态，并对电量统计进行分析，系统可以以各种图标的方式展示给管理人员</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Theme="minorEastAsia"/>
                <w:color w:val="000000"/>
                <w:sz w:val="21"/>
                <w:szCs w:val="21"/>
                <w:lang w:val="en-US" w:eastAsia="zh-CN"/>
              </w:rPr>
            </w:pPr>
            <w:r>
              <w:rPr>
                <w:rFonts w:hint="eastAsia" w:ascii="新宋体" w:hAnsi="新宋体"/>
                <w:color w:val="000000"/>
                <w:sz w:val="21"/>
                <w:szCs w:val="21"/>
                <w:lang w:val="en-US" w:eastAsia="zh-CN"/>
              </w:rPr>
              <w:t>8</w:t>
            </w:r>
            <w:r>
              <w:rPr>
                <w:rFonts w:hint="eastAsia" w:ascii="宋体" w:hAnsi="宋体"/>
                <w:bCs/>
                <w:sz w:val="21"/>
                <w:szCs w:val="21"/>
              </w:rPr>
              <w:t>、</w:t>
            </w:r>
            <w:r>
              <w:rPr>
                <w:rFonts w:hint="eastAsia" w:ascii="新宋体" w:hAnsi="新宋体" w:eastAsiaTheme="minorEastAsia"/>
                <w:color w:val="000000"/>
                <w:sz w:val="21"/>
                <w:szCs w:val="21"/>
                <w:lang w:val="en-US" w:eastAsia="zh-CN"/>
              </w:rPr>
              <w:t>基于定制的Linux，集成MSQL数据库，提供对海量数据和文件的存储管理、日志管理、用户管理以及安全性管理。数据库支持校园信息发布系统和电子班牌管理系统功能</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Theme="minorEastAsia"/>
                <w:color w:val="000000"/>
                <w:sz w:val="21"/>
                <w:szCs w:val="21"/>
                <w:lang w:val="en-US" w:eastAsia="zh-CN"/>
              </w:rPr>
            </w:pPr>
            <w:r>
              <w:rPr>
                <w:rFonts w:hint="eastAsia" w:ascii="新宋体" w:hAnsi="新宋体" w:eastAsiaTheme="minorEastAsia"/>
                <w:color w:val="000000"/>
                <w:sz w:val="21"/>
                <w:szCs w:val="21"/>
                <w:lang w:val="en-US" w:eastAsia="zh-CN"/>
              </w:rPr>
              <w:t>9</w:t>
            </w:r>
            <w:r>
              <w:rPr>
                <w:rFonts w:hint="eastAsia" w:ascii="宋体" w:hAnsi="宋体"/>
                <w:bCs/>
                <w:sz w:val="21"/>
                <w:szCs w:val="21"/>
              </w:rPr>
              <w:t>、</w:t>
            </w:r>
            <w:r>
              <w:rPr>
                <w:rFonts w:hint="eastAsia" w:ascii="新宋体" w:hAnsi="新宋体" w:eastAsiaTheme="minorEastAsia"/>
                <w:color w:val="000000"/>
                <w:sz w:val="21"/>
                <w:szCs w:val="21"/>
                <w:lang w:val="en-US" w:eastAsia="zh-CN"/>
              </w:rPr>
              <w:t>系统支持跨网段直播，方便校园网管理。同时可以建立多个视频流播放，在系统带宽支持下可以实现多达200多个音视频流同时播放</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Theme="minorEastAsia"/>
                <w:color w:val="000000"/>
                <w:sz w:val="21"/>
                <w:szCs w:val="21"/>
                <w:lang w:val="en-US" w:eastAsia="zh-CN"/>
              </w:rPr>
            </w:pPr>
            <w:r>
              <w:rPr>
                <w:rFonts w:hint="eastAsia" w:ascii="新宋体" w:hAnsi="新宋体"/>
                <w:color w:val="000000"/>
                <w:sz w:val="21"/>
                <w:szCs w:val="21"/>
                <w:lang w:val="en-US" w:eastAsia="zh-CN"/>
              </w:rPr>
              <w:t>10</w:t>
            </w:r>
            <w:r>
              <w:rPr>
                <w:rFonts w:hint="eastAsia" w:ascii="宋体" w:hAnsi="宋体"/>
                <w:bCs/>
                <w:sz w:val="21"/>
                <w:szCs w:val="21"/>
              </w:rPr>
              <w:t>、</w:t>
            </w:r>
            <w:r>
              <w:rPr>
                <w:rFonts w:hint="eastAsia" w:ascii="新宋体" w:hAnsi="新宋体" w:eastAsiaTheme="minorEastAsia"/>
                <w:color w:val="000000"/>
                <w:sz w:val="21"/>
                <w:szCs w:val="21"/>
                <w:lang w:val="en-US" w:eastAsia="zh-CN"/>
              </w:rPr>
              <w:t>通过校园卡信息与课表导入实现课程与进行绑定，设定对应的控制方式和流程，可以设置不同的管理权限，可以分权限控制不同的设备包括投影机、电脑、灯光、风扇、空调等的，通过微信小程序可以实现远程管理</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eastAsiaTheme="minorEastAsia"/>
                <w:color w:val="000000"/>
                <w:sz w:val="21"/>
                <w:szCs w:val="21"/>
                <w:lang w:val="en-US" w:eastAsia="zh-CN"/>
              </w:rPr>
              <w:t>11</w:t>
            </w:r>
            <w:r>
              <w:rPr>
                <w:rFonts w:hint="eastAsia" w:ascii="宋体" w:hAnsi="宋体"/>
                <w:bCs/>
                <w:sz w:val="21"/>
                <w:szCs w:val="21"/>
              </w:rPr>
              <w:t>、</w:t>
            </w:r>
            <w:r>
              <w:rPr>
                <w:rFonts w:hint="eastAsia" w:ascii="新宋体" w:hAnsi="新宋体" w:eastAsiaTheme="minorEastAsia"/>
                <w:color w:val="000000"/>
                <w:sz w:val="21"/>
                <w:szCs w:val="21"/>
                <w:lang w:val="en-US" w:eastAsia="zh-CN"/>
              </w:rPr>
              <w:t>系统采用深度定制化的Linux系统，稳定可靠，配合服务器管理进行数据备份处理，服务器断电断网情况下教室设备可以正常使用，断电不会破坏服务器内部数据和任务</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eastAsiaTheme="minorEastAsia"/>
                <w:color w:val="000000"/>
                <w:sz w:val="21"/>
                <w:szCs w:val="21"/>
                <w:lang w:val="en-US" w:eastAsia="zh-CN"/>
              </w:rPr>
              <w:t>1</w:t>
            </w:r>
            <w:r>
              <w:rPr>
                <w:rFonts w:hint="eastAsia" w:ascii="新宋体" w:hAnsi="新宋体"/>
                <w:color w:val="000000"/>
                <w:sz w:val="21"/>
                <w:szCs w:val="21"/>
                <w:lang w:val="en-US" w:eastAsia="zh-CN"/>
              </w:rPr>
              <w:t>2</w:t>
            </w:r>
            <w:r>
              <w:rPr>
                <w:rFonts w:hint="eastAsia" w:ascii="宋体" w:hAnsi="宋体"/>
                <w:bCs/>
                <w:sz w:val="21"/>
                <w:szCs w:val="21"/>
              </w:rPr>
              <w:t>、</w:t>
            </w:r>
            <w:r>
              <w:rPr>
                <w:rFonts w:hint="eastAsia" w:ascii="新宋体" w:hAnsi="新宋体"/>
                <w:color w:val="000000"/>
                <w:sz w:val="21"/>
                <w:szCs w:val="21"/>
                <w:lang w:val="en-US" w:eastAsia="zh-CN"/>
              </w:rPr>
              <w:t>手机用户无需安装APP，通过微信小程序实现远程操作控制；对教室（包括灯光、空调、投影机、电脑）进行控制、查询等等，与智慧教室终端本地控制完美无缝结合；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13</w:t>
            </w:r>
            <w:r>
              <w:rPr>
                <w:rFonts w:hint="eastAsia" w:ascii="宋体" w:hAnsi="宋体"/>
                <w:bCs/>
                <w:sz w:val="21"/>
                <w:szCs w:val="21"/>
              </w:rPr>
              <w:t>、</w:t>
            </w:r>
            <w:r>
              <w:rPr>
                <w:rFonts w:hint="eastAsia" w:ascii="新宋体" w:hAnsi="新宋体"/>
                <w:color w:val="000000"/>
                <w:sz w:val="21"/>
                <w:szCs w:val="21"/>
                <w:lang w:val="en-US" w:eastAsia="zh-CN"/>
              </w:rPr>
              <w:t>支持WEB服务端的所有设备管理和数字广播的智能播出及高清视频的推送等业务，支持任务设置，提前设置任务，并实现通过手机远程控制；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14</w:t>
            </w:r>
            <w:r>
              <w:rPr>
                <w:rFonts w:hint="eastAsia" w:ascii="宋体" w:hAnsi="宋体"/>
                <w:bCs/>
                <w:sz w:val="21"/>
                <w:szCs w:val="21"/>
              </w:rPr>
              <w:t>、</w:t>
            </w:r>
            <w:r>
              <w:rPr>
                <w:rFonts w:hint="eastAsia" w:ascii="新宋体" w:hAnsi="新宋体"/>
                <w:color w:val="000000"/>
                <w:sz w:val="21"/>
                <w:szCs w:val="21"/>
                <w:lang w:val="en-US" w:eastAsia="zh-CN"/>
              </w:rPr>
              <w:t>系统的设置管理员可以通过手机微信小程序进行远程设置，包括服务器的一些基本信息。设置系统参数，修改参数，重启设备；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15</w:t>
            </w:r>
            <w:r>
              <w:rPr>
                <w:rFonts w:hint="eastAsia" w:ascii="宋体" w:hAnsi="宋体"/>
                <w:bCs/>
                <w:sz w:val="21"/>
                <w:szCs w:val="21"/>
              </w:rPr>
              <w:t>、</w:t>
            </w:r>
            <w:r>
              <w:rPr>
                <w:rFonts w:hint="eastAsia" w:ascii="新宋体" w:hAnsi="新宋体"/>
                <w:color w:val="000000"/>
                <w:sz w:val="21"/>
                <w:szCs w:val="21"/>
                <w:lang w:val="en-US" w:eastAsia="zh-CN"/>
              </w:rPr>
              <w:t>支持巡课系统，智慧终端可以通过后台设置，播放任何校园系统内部的视频源，包括监控摄像头、电视台、广播站、支持互动教学；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16</w:t>
            </w:r>
            <w:r>
              <w:rPr>
                <w:rFonts w:hint="eastAsia" w:ascii="宋体" w:hAnsi="宋体"/>
                <w:bCs/>
                <w:sz w:val="21"/>
                <w:szCs w:val="21"/>
              </w:rPr>
              <w:t>、</w:t>
            </w:r>
            <w:r>
              <w:rPr>
                <w:rFonts w:hint="eastAsia" w:ascii="新宋体" w:hAnsi="新宋体"/>
                <w:color w:val="000000"/>
                <w:sz w:val="21"/>
                <w:szCs w:val="21"/>
                <w:lang w:val="en-US" w:eastAsia="zh-CN"/>
              </w:rPr>
              <w:t>音频和视频文件混合广播播放，全区、分区广播支持音频视频文件广播。管理节目库资源，为所有终端提供定时播放和实时点播媒体服务，响应各终端的节目播放请求，为各音频工作站提供数据接口服务；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17</w:t>
            </w:r>
            <w:r>
              <w:rPr>
                <w:rFonts w:hint="eastAsia" w:ascii="宋体" w:hAnsi="宋体"/>
                <w:bCs/>
                <w:sz w:val="21"/>
                <w:szCs w:val="21"/>
              </w:rPr>
              <w:t>、</w:t>
            </w:r>
            <w:r>
              <w:rPr>
                <w:rFonts w:hint="eastAsia" w:ascii="新宋体" w:hAnsi="新宋体"/>
                <w:color w:val="000000"/>
                <w:sz w:val="21"/>
                <w:szCs w:val="21"/>
                <w:lang w:val="en-US" w:eastAsia="zh-CN"/>
              </w:rPr>
              <w:t>提供全双工、单向、双向音视频480p-1080P分辨率高清可视通话，响应各对讲终端的呼叫和通话请求，支持一键呼叫、一键对讲、一键求助、一键报警等通话模式，支持自动接听、手动接听，支持自定义接听提示音；支持多种呼叫策略，包括呼叫等待、呼叫转移，支持时间策略和转移策略自定义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18</w:t>
            </w:r>
            <w:r>
              <w:rPr>
                <w:rFonts w:hint="eastAsia" w:ascii="宋体" w:hAnsi="宋体"/>
                <w:bCs/>
                <w:sz w:val="21"/>
                <w:szCs w:val="21"/>
              </w:rPr>
              <w:t>、</w:t>
            </w:r>
            <w:r>
              <w:rPr>
                <w:rFonts w:hint="eastAsia" w:ascii="新宋体" w:hAnsi="新宋体"/>
                <w:color w:val="000000"/>
                <w:sz w:val="21"/>
                <w:szCs w:val="21"/>
                <w:lang w:val="en-US" w:eastAsia="zh-CN"/>
              </w:rPr>
              <w:t>全平台采用高可靠可用设计，多服务负载均衡，子服务坏点自动修正，用户无感知，7*24小时运行不影响业务，数据主从备份、定时备份，确保用户数据安全；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19</w:t>
            </w:r>
            <w:r>
              <w:rPr>
                <w:rFonts w:hint="eastAsia" w:ascii="宋体" w:hAnsi="宋体"/>
                <w:bCs/>
                <w:sz w:val="21"/>
                <w:szCs w:val="21"/>
              </w:rPr>
              <w:t>、</w:t>
            </w:r>
            <w:r>
              <w:rPr>
                <w:rFonts w:hint="eastAsia" w:ascii="新宋体" w:hAnsi="新宋体"/>
                <w:color w:val="000000"/>
                <w:sz w:val="21"/>
                <w:szCs w:val="21"/>
                <w:lang w:val="en-US" w:eastAsia="zh-CN"/>
              </w:rPr>
              <w:t>平台对外接口支持HTTP/HTTPS，兼容主流开发语言接入；音视频数据支持H264、AAC，PCM标准，支持遵从SIP协议数据传输标准的音视频对讲；广播、直播、点播支持RTMP、RTSP、H5传输标准；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20</w:t>
            </w:r>
            <w:r>
              <w:rPr>
                <w:rFonts w:hint="eastAsia" w:ascii="宋体" w:hAnsi="宋体"/>
                <w:bCs/>
                <w:sz w:val="21"/>
                <w:szCs w:val="21"/>
              </w:rPr>
              <w:t>、</w:t>
            </w:r>
            <w:r>
              <w:rPr>
                <w:rFonts w:hint="eastAsia" w:ascii="新宋体" w:hAnsi="新宋体"/>
                <w:color w:val="000000"/>
                <w:sz w:val="21"/>
                <w:szCs w:val="21"/>
                <w:lang w:val="en-US" w:eastAsia="zh-CN"/>
              </w:rPr>
              <w:t>媒体文件支持MP3、WAV、AAC、MP4、AVI、flac等文件格式；支持8K-48K采样率，最大码率不小于320K，保证播放音质清晰；需采用相关技术抑制噪声，系统对语音编码安全性要有所考虑；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21</w:t>
            </w:r>
            <w:r>
              <w:rPr>
                <w:rFonts w:hint="eastAsia" w:ascii="宋体" w:hAnsi="宋体"/>
                <w:bCs/>
                <w:sz w:val="21"/>
                <w:szCs w:val="21"/>
              </w:rPr>
              <w:t>、</w:t>
            </w:r>
            <w:r>
              <w:rPr>
                <w:rFonts w:hint="eastAsia" w:ascii="新宋体" w:hAnsi="新宋体"/>
                <w:color w:val="000000"/>
                <w:sz w:val="21"/>
                <w:szCs w:val="21"/>
                <w:lang w:val="en-US" w:eastAsia="zh-CN"/>
              </w:rPr>
              <w:t>系统内广播终端、信息发布终端、对讲终端和服务器支持标准SIP协议和Onvif协议；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22</w:t>
            </w:r>
            <w:r>
              <w:rPr>
                <w:rFonts w:hint="eastAsia" w:ascii="宋体" w:hAnsi="宋体"/>
                <w:bCs/>
                <w:sz w:val="21"/>
                <w:szCs w:val="21"/>
              </w:rPr>
              <w:t>、</w:t>
            </w:r>
            <w:r>
              <w:rPr>
                <w:rFonts w:hint="eastAsia" w:ascii="新宋体" w:hAnsi="新宋体"/>
                <w:color w:val="000000"/>
                <w:sz w:val="21"/>
                <w:szCs w:val="21"/>
                <w:lang w:val="en-US" w:eastAsia="zh-CN"/>
              </w:rPr>
              <w:t>系统需提供多级管理模式，包含用户级别、操作权限的授予、分配与管理；为确保系统稳定运行，需提供单点故障防备措施与技术方案；设备的注册与管理可在远程进行，保证方便、快捷；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23</w:t>
            </w:r>
            <w:r>
              <w:rPr>
                <w:rFonts w:hint="eastAsia" w:ascii="宋体" w:hAnsi="宋体"/>
                <w:bCs/>
                <w:sz w:val="21"/>
                <w:szCs w:val="21"/>
              </w:rPr>
              <w:t>、</w:t>
            </w:r>
            <w:r>
              <w:rPr>
                <w:rFonts w:hint="eastAsia" w:ascii="新宋体" w:hAnsi="新宋体"/>
                <w:color w:val="000000"/>
                <w:sz w:val="21"/>
                <w:szCs w:val="21"/>
                <w:lang w:val="en-US" w:eastAsia="zh-CN"/>
              </w:rPr>
              <w:t>支持64方视频会议及会议录制；多方视频会议：支持64方融屏视频会议，可根据人数据自动改变画面布局全面展示所有参会人员的实时画面，并实现多画面组合切换。支持会议录制：会议过程中可手动点击会议录制把整个会议过程全程记录下来，并存储至服务器中方便随时回放查看。支持会议旁观模式：会议过程中能抛出一个RTMP流地址分享给其他人旁看会议。支持添加主流厂家监控摄像头画面：会议过程中可拉取主流厂家摄像头画面，并分享到会议画面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24</w:t>
            </w:r>
            <w:r>
              <w:rPr>
                <w:rFonts w:hint="eastAsia" w:ascii="宋体" w:hAnsi="宋体"/>
                <w:bCs/>
                <w:sz w:val="21"/>
                <w:szCs w:val="21"/>
              </w:rPr>
              <w:t>、</w:t>
            </w:r>
            <w:r>
              <w:rPr>
                <w:rFonts w:hint="eastAsia" w:ascii="新宋体" w:hAnsi="新宋体"/>
                <w:color w:val="000000"/>
                <w:sz w:val="21"/>
                <w:szCs w:val="21"/>
                <w:lang w:val="en-US" w:eastAsia="zh-CN"/>
              </w:rPr>
              <w:t>支持所有教室终端、对讲终端支持本地存储与网络存储，支持单独接入主流厂家NVR存储功能，可与现有的监控系统兼容,可将终端音视频数据直接存储在主流厂家NVR中；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25</w:t>
            </w:r>
            <w:r>
              <w:rPr>
                <w:rFonts w:hint="eastAsia" w:ascii="宋体" w:hAnsi="宋体"/>
                <w:bCs/>
                <w:sz w:val="21"/>
                <w:szCs w:val="21"/>
              </w:rPr>
              <w:t>、</w:t>
            </w:r>
            <w:r>
              <w:rPr>
                <w:rFonts w:hint="eastAsia" w:ascii="新宋体" w:hAnsi="新宋体"/>
                <w:color w:val="000000"/>
                <w:sz w:val="21"/>
                <w:szCs w:val="21"/>
                <w:lang w:val="en-US" w:eastAsia="zh-CN"/>
              </w:rPr>
              <w:t>支持JAVA、C++、C#、安卓、NODE.JS、GO等主流语言接入，提供KAFKA，Redis，MQTT，TCP的数据接收与转发方式；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26</w:t>
            </w:r>
            <w:r>
              <w:rPr>
                <w:rFonts w:hint="eastAsia" w:ascii="宋体" w:hAnsi="宋体"/>
                <w:bCs/>
                <w:sz w:val="21"/>
                <w:szCs w:val="21"/>
              </w:rPr>
              <w:t>、</w:t>
            </w:r>
            <w:r>
              <w:rPr>
                <w:rFonts w:hint="eastAsia" w:ascii="新宋体" w:hAnsi="新宋体"/>
                <w:color w:val="000000"/>
                <w:sz w:val="21"/>
                <w:szCs w:val="21"/>
                <w:lang w:val="en-US" w:eastAsia="zh-CN"/>
              </w:rPr>
              <w:t>网络广播需支持UDP、TCP、RTP、组播四种广播传输协议，能针对不同场景设置不同的广播传输方式。支持多种广播应用，具体要求包含：全区广播：可对音视频源文件、喊话、外接音源在整个辖区范围内广播；分区广播：可对音视频源文件、喊话在分区内进行广播；定时广播：根据系统设置广播时间，自动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27</w:t>
            </w:r>
            <w:r>
              <w:rPr>
                <w:rFonts w:hint="eastAsia" w:ascii="宋体" w:hAnsi="宋体"/>
                <w:bCs/>
                <w:sz w:val="21"/>
                <w:szCs w:val="21"/>
              </w:rPr>
              <w:t>、</w:t>
            </w:r>
            <w:r>
              <w:rPr>
                <w:rFonts w:hint="eastAsia" w:ascii="新宋体" w:hAnsi="新宋体"/>
                <w:color w:val="000000"/>
                <w:sz w:val="21"/>
                <w:szCs w:val="21"/>
                <w:lang w:val="en-US" w:eastAsia="zh-CN"/>
              </w:rPr>
              <w:t>系统能根据不同的任务定义优先级别，满足实际使用的需求，如在通话呼叫时，应停止当前的广播任务，直到通话处理完毕，继续原来的广播，要满足实用性；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28</w:t>
            </w:r>
            <w:r>
              <w:rPr>
                <w:rFonts w:hint="eastAsia" w:ascii="宋体" w:hAnsi="宋体"/>
                <w:bCs/>
                <w:sz w:val="21"/>
                <w:szCs w:val="21"/>
              </w:rPr>
              <w:t>、</w:t>
            </w:r>
            <w:r>
              <w:rPr>
                <w:rFonts w:hint="eastAsia" w:ascii="新宋体" w:hAnsi="新宋体"/>
                <w:color w:val="000000"/>
                <w:sz w:val="21"/>
                <w:szCs w:val="21"/>
                <w:lang w:val="en-US" w:eastAsia="zh-CN"/>
              </w:rPr>
              <w:t>支持日志管理，包括设备日志，对讲日志，定时任务日志，设备升级日志；便于用户更好维护系统；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29</w:t>
            </w:r>
            <w:r>
              <w:rPr>
                <w:rFonts w:hint="eastAsia" w:ascii="宋体" w:hAnsi="宋体"/>
                <w:bCs/>
                <w:sz w:val="21"/>
                <w:szCs w:val="21"/>
              </w:rPr>
              <w:t>、</w:t>
            </w:r>
            <w:r>
              <w:rPr>
                <w:rFonts w:hint="eastAsia" w:ascii="新宋体" w:hAnsi="新宋体"/>
                <w:color w:val="000000"/>
                <w:sz w:val="21"/>
                <w:szCs w:val="21"/>
                <w:lang w:val="en-US" w:eastAsia="zh-CN"/>
              </w:rPr>
              <w:t>支持对讲记录存储并回放，提供录音文件下载；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30</w:t>
            </w:r>
            <w:r>
              <w:rPr>
                <w:rFonts w:hint="eastAsia" w:ascii="宋体" w:hAnsi="宋体"/>
                <w:bCs/>
                <w:sz w:val="21"/>
                <w:szCs w:val="21"/>
              </w:rPr>
              <w:t>、</w:t>
            </w:r>
            <w:r>
              <w:rPr>
                <w:rFonts w:hint="eastAsia" w:ascii="新宋体" w:hAnsi="新宋体"/>
                <w:color w:val="000000"/>
                <w:sz w:val="21"/>
                <w:szCs w:val="21"/>
                <w:lang w:val="en-US" w:eastAsia="zh-CN"/>
              </w:rPr>
              <w:t>两种广播方式，包括智慧终端广播与文件广播，终端广播就是通过一个智慧终端的输入图像，例如电脑、电视、HDMI输入等，并将这个图像广播到其他教室，文件广播则是将要广播的文件上传至服务器并实现定时及手动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31</w:t>
            </w:r>
            <w:r>
              <w:rPr>
                <w:rFonts w:hint="eastAsia" w:ascii="宋体" w:hAnsi="宋体"/>
                <w:bCs/>
                <w:sz w:val="21"/>
                <w:szCs w:val="21"/>
              </w:rPr>
              <w:t>、</w:t>
            </w:r>
            <w:r>
              <w:rPr>
                <w:rFonts w:hint="eastAsia" w:ascii="新宋体" w:hAnsi="新宋体"/>
                <w:color w:val="000000"/>
                <w:sz w:val="21"/>
                <w:szCs w:val="21"/>
                <w:lang w:val="en-US" w:eastAsia="zh-CN"/>
              </w:rPr>
              <w:t>播放可以建立不同的任务，每一个任务都可以设定不同的接收教室，实现多对多的组播功能。根据广播任务的设置内容，可以实现接收终端的输入口切换以及一些电源管理；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32</w:t>
            </w:r>
            <w:r>
              <w:rPr>
                <w:rFonts w:hint="eastAsia" w:ascii="宋体" w:hAnsi="宋体"/>
                <w:bCs/>
                <w:sz w:val="21"/>
                <w:szCs w:val="21"/>
              </w:rPr>
              <w:t>、</w:t>
            </w:r>
            <w:r>
              <w:rPr>
                <w:rFonts w:hint="eastAsia" w:ascii="新宋体" w:hAnsi="新宋体"/>
                <w:color w:val="000000"/>
                <w:sz w:val="21"/>
                <w:szCs w:val="21"/>
                <w:lang w:val="en-US" w:eastAsia="zh-CN"/>
              </w:rPr>
              <w:t>广播支持多画面播放，每个教室可以在一个终端上实现同时播放超过2路视频源，通过web后台，可以设置接收多路画面的布局，多达9种画面组合方式；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33</w:t>
            </w:r>
            <w:r>
              <w:rPr>
                <w:rFonts w:hint="eastAsia" w:ascii="宋体" w:hAnsi="宋体"/>
                <w:bCs/>
                <w:sz w:val="21"/>
                <w:szCs w:val="21"/>
              </w:rPr>
              <w:t>、</w:t>
            </w:r>
            <w:r>
              <w:rPr>
                <w:rFonts w:hint="eastAsia" w:ascii="新宋体" w:hAnsi="新宋体"/>
                <w:color w:val="000000"/>
                <w:sz w:val="21"/>
                <w:szCs w:val="21"/>
                <w:lang w:val="en-US" w:eastAsia="zh-CN"/>
              </w:rPr>
              <w:t>校园广播可以实现高清输出，自适应广播分辨率，支持最高1920x1080分辨率的图像输出；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eastAsiaTheme="minorEastAsia"/>
                <w:color w:val="000000"/>
                <w:sz w:val="21"/>
                <w:szCs w:val="21"/>
                <w:lang w:val="en-US" w:eastAsia="zh-CN"/>
              </w:rPr>
              <w:t>34</w:t>
            </w:r>
            <w:r>
              <w:rPr>
                <w:rFonts w:hint="eastAsia" w:ascii="宋体" w:hAnsi="宋体"/>
                <w:bCs/>
                <w:sz w:val="21"/>
                <w:szCs w:val="21"/>
              </w:rPr>
              <w:t>、</w:t>
            </w:r>
            <w:r>
              <w:rPr>
                <w:rFonts w:hint="eastAsia" w:ascii="新宋体" w:hAnsi="新宋体" w:eastAsiaTheme="minorEastAsia"/>
                <w:color w:val="000000"/>
                <w:sz w:val="21"/>
                <w:szCs w:val="21"/>
                <w:lang w:val="en-US" w:eastAsia="zh-CN"/>
              </w:rPr>
              <w:t>校园电视台与普通教室采用同样设备，任意教室可以瞬间转换为校园电视台，为其他教室进行直播和广播</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color w:val="000000"/>
                <w:sz w:val="21"/>
                <w:szCs w:val="21"/>
                <w:lang w:val="en-US" w:eastAsia="zh-CN"/>
              </w:rPr>
              <w:t>35</w:t>
            </w:r>
            <w:r>
              <w:rPr>
                <w:rFonts w:hint="eastAsia" w:ascii="宋体" w:hAnsi="宋体"/>
                <w:bCs/>
                <w:sz w:val="21"/>
                <w:szCs w:val="21"/>
              </w:rPr>
              <w:t>、</w:t>
            </w:r>
            <w:r>
              <w:rPr>
                <w:rFonts w:hint="eastAsia" w:ascii="新宋体" w:hAnsi="新宋体"/>
                <w:color w:val="000000"/>
                <w:sz w:val="21"/>
                <w:szCs w:val="21"/>
                <w:lang w:val="en-US" w:eastAsia="zh-CN"/>
              </w:rPr>
              <w:t>可以通过web进行文件上传，和文件管理；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color w:val="000000"/>
                <w:sz w:val="21"/>
                <w:szCs w:val="21"/>
                <w:lang w:val="en-US" w:eastAsia="zh-CN"/>
              </w:rPr>
            </w:pPr>
            <w:r>
              <w:rPr>
                <w:rFonts w:hint="eastAsia" w:ascii="新宋体" w:hAnsi="新宋体"/>
                <w:color w:val="000000"/>
                <w:sz w:val="21"/>
                <w:szCs w:val="21"/>
                <w:lang w:val="en-US" w:eastAsia="zh-CN"/>
              </w:rPr>
              <w:t>36</w:t>
            </w:r>
            <w:r>
              <w:rPr>
                <w:rFonts w:hint="eastAsia" w:ascii="宋体" w:hAnsi="宋体"/>
                <w:bCs/>
                <w:sz w:val="21"/>
                <w:szCs w:val="21"/>
              </w:rPr>
              <w:t>、</w:t>
            </w:r>
            <w:r>
              <w:rPr>
                <w:rFonts w:hint="eastAsia" w:ascii="新宋体" w:hAnsi="新宋体"/>
                <w:color w:val="000000"/>
                <w:sz w:val="21"/>
                <w:szCs w:val="21"/>
                <w:lang w:val="en-US" w:eastAsia="zh-CN"/>
              </w:rPr>
              <w:t>对于上传的音视频进行统一的编码和转码处理，优化文件实现统一的格式方便播放和管理;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color w:val="000000"/>
                <w:sz w:val="21"/>
                <w:szCs w:val="21"/>
                <w:lang w:val="en-US" w:eastAsia="zh-CN"/>
              </w:rPr>
            </w:pPr>
            <w:r>
              <w:rPr>
                <w:rFonts w:hint="eastAsia" w:ascii="新宋体" w:hAnsi="新宋体" w:eastAsiaTheme="minorEastAsia"/>
                <w:color w:val="000000"/>
                <w:sz w:val="21"/>
                <w:szCs w:val="21"/>
                <w:lang w:val="en-US" w:eastAsia="zh-CN"/>
              </w:rPr>
              <w:t>37</w:t>
            </w:r>
            <w:r>
              <w:rPr>
                <w:rFonts w:hint="eastAsia" w:ascii="宋体" w:hAnsi="宋体"/>
                <w:bCs/>
                <w:sz w:val="21"/>
                <w:szCs w:val="21"/>
              </w:rPr>
              <w:t>、</w:t>
            </w:r>
            <w:r>
              <w:rPr>
                <w:rFonts w:hint="eastAsia" w:ascii="新宋体" w:hAnsi="新宋体" w:eastAsiaTheme="minorEastAsia"/>
                <w:color w:val="000000"/>
                <w:sz w:val="21"/>
                <w:szCs w:val="21"/>
                <w:lang w:val="en-US" w:eastAsia="zh-CN"/>
              </w:rPr>
              <w:t>厂家针对此项目的售后服务书、提供智能系统云服务器平台软件著作权证书；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Theme="minorEastAsia"/>
                <w:color w:val="000000"/>
                <w:sz w:val="21"/>
                <w:szCs w:val="21"/>
                <w:lang w:val="en-US" w:eastAsia="zh-CN"/>
              </w:rPr>
            </w:pPr>
            <w:r>
              <w:rPr>
                <w:rFonts w:hint="default" w:ascii="新宋体" w:hAnsi="新宋体" w:eastAsia="新宋体"/>
                <w:color w:val="000000"/>
                <w:sz w:val="21"/>
                <w:szCs w:val="21"/>
                <w:lang w:val="en-US" w:eastAsia="zh-CN"/>
              </w:rPr>
              <w:t>▲</w:t>
            </w:r>
            <w:r>
              <w:rPr>
                <w:rFonts w:hint="eastAsia" w:ascii="新宋体" w:hAnsi="新宋体" w:eastAsiaTheme="minorEastAsia"/>
                <w:color w:val="000000"/>
                <w:sz w:val="21"/>
                <w:szCs w:val="21"/>
                <w:lang w:val="en-US" w:eastAsia="zh-CN"/>
              </w:rPr>
              <w:t>3</w:t>
            </w:r>
            <w:r>
              <w:rPr>
                <w:rFonts w:hint="eastAsia" w:ascii="新宋体" w:hAnsi="新宋体"/>
                <w:color w:val="000000"/>
                <w:sz w:val="21"/>
                <w:szCs w:val="21"/>
                <w:lang w:val="en-US" w:eastAsia="zh-CN"/>
              </w:rPr>
              <w:t>8</w:t>
            </w:r>
            <w:r>
              <w:rPr>
                <w:rFonts w:hint="eastAsia" w:ascii="宋体" w:hAnsi="宋体"/>
                <w:bCs/>
                <w:sz w:val="21"/>
                <w:szCs w:val="21"/>
              </w:rPr>
              <w:t>、</w:t>
            </w:r>
            <w:r>
              <w:rPr>
                <w:rFonts w:hint="eastAsia" w:ascii="宋体" w:hAnsi="宋体"/>
                <w:bCs/>
                <w:sz w:val="21"/>
                <w:szCs w:val="21"/>
                <w:lang w:val="en-US" w:eastAsia="zh-CN"/>
              </w:rPr>
              <w:t>本物联系统需与学校现有BA控制系统实现数据共享</w:t>
            </w:r>
            <w:r>
              <w:rPr>
                <w:rFonts w:hint="eastAsia" w:ascii="新宋体" w:hAnsi="新宋体" w:eastAsiaTheme="minorEastAsia"/>
                <w:color w:val="000000"/>
                <w:sz w:val="21"/>
                <w:szCs w:val="21"/>
                <w:lang w:val="en-US" w:eastAsia="zh-CN"/>
              </w:rPr>
              <w:t>；</w:t>
            </w:r>
            <w:r>
              <w:rPr>
                <w:rFonts w:hint="eastAsia" w:ascii="新宋体" w:hAnsi="新宋体"/>
                <w:color w:val="000000"/>
                <w:sz w:val="21"/>
                <w:szCs w:val="21"/>
                <w:lang w:val="en-US" w:eastAsia="zh-CN"/>
              </w:rPr>
              <w:t>投标方提供书面承诺函，格式自拟；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2</w:t>
            </w:r>
          </w:p>
        </w:tc>
        <w:tc>
          <w:tcPr>
            <w:tcW w:w="809" w:type="pct"/>
            <w:vMerge w:val="restart"/>
            <w:vAlign w:val="center"/>
          </w:tcPr>
          <w:p>
            <w:pPr>
              <w:keepNext w:val="0"/>
              <w:keepLines w:val="0"/>
              <w:widowControl/>
              <w:suppressLineNumbers w:val="0"/>
              <w:jc w:val="center"/>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智能融合信息终端</w:t>
            </w: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1路USB控制和数据编程接口，≥3路独立RS232控制端口，≥1路红外接口，≥1路LBUS总线接口，≥1路MODBUS总线端口，≥3路检测输入接口，≥1路可控制12V输出；投标时同时提供:①由第三方检验检测机构出具并加盖(或带有)CMA和CNAS标志的检验检测报告扫描件，原件备查:②上述检验检测报告在全国认证认可信息公共服务平台(认e云)(http://cx.cnca.cn/)的信息查询记录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2、集成LBUS总线，搭配高清矩阵、智能开关、调光模块、串口模块、控制面板等组成免编程控制系统，带≥256组场景，整个系统可挂≥63个模块；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3、集成无线物联模块，采用SUBGHZ低功耗无线联网，无线设备自动搜索自动加入；可配置多达64个无线物联设备，兼容有线LBUS协议，根据使用环境灵活部署；提供产品彩页加盖厂家公章，原件备查；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4、集成电源管理MBUS总线，可扩展时序电源箱，控制各种设备电源及电脑和电子锁开关；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5、集成≥1路可编程RS485总线，扩展连接其他协议的物联设备；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6、内置开关电源：DC12V，功率：≥50W；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7、集成网络模块：支持远程集中化可视管理、与远程批处理、支持手机APP远程管理，采用DHCP技术自动分配IP地址，节省IP地址空间，不能采用设置固定IP地址方式；提供网络多媒体管理平台软件著作权证明，提供厂家盖章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▲8、可以网页设置≥100个电脑MAC地址，实现远程或本地触摸屏控制≥100台电脑的单台或分组批量软开关，提供智能系统七寸触摸屏软件著作权证书和设置电脑MAC地址的网页界面截图；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w:t>
            </w:r>
          </w:p>
        </w:tc>
        <w:tc>
          <w:tcPr>
            <w:tcW w:w="809" w:type="pct"/>
            <w:vMerge w:val="restart"/>
            <w:vAlign w:val="center"/>
          </w:tcPr>
          <w:p>
            <w:pPr>
              <w:keepNext w:val="0"/>
              <w:keepLines w:val="0"/>
              <w:widowControl/>
              <w:suppressLineNumbers w:val="0"/>
              <w:jc w:val="center"/>
              <w:textAlignment w:val="center"/>
              <w:rPr>
                <w:rFonts w:hint="default" w:ascii="新宋体" w:hAnsi="新宋体" w:eastAsia="新宋体"/>
                <w:color w:val="000000"/>
                <w:sz w:val="21"/>
                <w:szCs w:val="21"/>
                <w:lang w:val="en-US"/>
              </w:rPr>
            </w:pPr>
            <w:r>
              <w:rPr>
                <w:rFonts w:hint="eastAsia" w:ascii="宋体" w:hAnsi="宋体" w:eastAsia="宋体" w:cs="宋体"/>
                <w:i w:val="0"/>
                <w:iCs w:val="0"/>
                <w:color w:val="000000"/>
                <w:kern w:val="0"/>
                <w:sz w:val="20"/>
                <w:szCs w:val="20"/>
                <w:u w:val="none"/>
                <w:lang w:val="en-US" w:eastAsia="zh-CN" w:bidi="ar"/>
              </w:rPr>
              <w:t>触控终端</w:t>
            </w: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1、≥4寸真彩触摸屏，≥480*480分辨率，标准86盒壁挂式，可编程的控制界面及功能；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2、显示教室环境参数和设备状态，实现对教室灯光、空调、交互大屏的控制等；屏幕界面、功能支持可编程；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0"/>
              </w:numPr>
              <w:spacing w:line="360" w:lineRule="exact"/>
              <w:jc w:val="left"/>
              <w:textAlignment w:val="cente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3、支持单界面或多界面跳转等多种触控及显示方式，支持200个界面转换；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0"/>
              </w:numPr>
              <w:spacing w:line="360" w:lineRule="exact"/>
              <w:jc w:val="left"/>
              <w:textAlignment w:val="center"/>
              <w:rPr>
                <w:rFonts w:hint="eastAsia" w:ascii="新宋体" w:hAnsi="新宋体" w:eastAsiaTheme="minorEastAsia"/>
                <w:color w:val="000000"/>
                <w:sz w:val="21"/>
                <w:szCs w:val="21"/>
                <w:lang w:val="en-US" w:eastAsia="zh-CN"/>
              </w:rPr>
            </w:pPr>
            <w:r>
              <w:rPr>
                <w:rFonts w:hint="eastAsia" w:ascii="新宋体" w:hAnsi="新宋体" w:eastAsiaTheme="minorEastAsia"/>
                <w:color w:val="000000"/>
                <w:sz w:val="21"/>
                <w:szCs w:val="21"/>
                <w:lang w:val="en-US" w:eastAsia="zh-CN"/>
              </w:rPr>
              <w:t>4、内置RTC时钟，支持日期及时间显示；支持亮度调节及屏幕保护；提供时钟屏保显示界面截图加盖生产厂家公章；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0"/>
              </w:numPr>
              <w:spacing w:line="360" w:lineRule="exact"/>
              <w:jc w:val="left"/>
              <w:textAlignment w:val="center"/>
              <w:rPr>
                <w:rFonts w:hint="eastAsia" w:ascii="新宋体" w:hAnsi="新宋体" w:eastAsiaTheme="minorEastAsia"/>
                <w:color w:val="000000"/>
                <w:sz w:val="21"/>
                <w:szCs w:val="21"/>
                <w:lang w:val="en-US" w:eastAsia="zh-CN"/>
              </w:rPr>
            </w:pPr>
            <w:r>
              <w:rPr>
                <w:rFonts w:hint="eastAsia" w:ascii="新宋体" w:hAnsi="新宋体" w:eastAsiaTheme="minorEastAsia"/>
                <w:color w:val="000000"/>
                <w:sz w:val="21"/>
                <w:szCs w:val="21"/>
                <w:lang w:val="en-US" w:eastAsia="zh-CN"/>
              </w:rPr>
              <w:t>5、触摸屏带可编程的二维码，可通过手机扫码方式进行对授权的教室一键开启功能，学校老师可以无需携带IC卡，只要手机号授权即可实现开启设备</w:t>
            </w:r>
            <w:r>
              <w:rPr>
                <w:rFonts w:hint="eastAsia" w:ascii="新宋体" w:hAnsi="新宋体"/>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w:t>
            </w:r>
          </w:p>
        </w:tc>
        <w:tc>
          <w:tcPr>
            <w:tcW w:w="809" w:type="pct"/>
            <w:vMerge w:val="restart"/>
            <w:vAlign w:val="center"/>
          </w:tcPr>
          <w:p>
            <w:pPr>
              <w:keepNext w:val="0"/>
              <w:keepLines w:val="0"/>
              <w:widowControl/>
              <w:suppressLineNumbers w:val="0"/>
              <w:jc w:val="center"/>
              <w:textAlignment w:val="center"/>
              <w:rPr>
                <w:rFonts w:hint="default" w:ascii="新宋体" w:hAnsi="新宋体" w:eastAsia="新宋体"/>
                <w:color w:val="000000"/>
                <w:sz w:val="21"/>
                <w:szCs w:val="21"/>
                <w:lang w:val="en-US"/>
              </w:rPr>
            </w:pPr>
            <w:r>
              <w:rPr>
                <w:rFonts w:hint="eastAsia" w:ascii="宋体" w:hAnsi="宋体" w:eastAsia="宋体" w:cs="宋体"/>
                <w:i w:val="0"/>
                <w:iCs w:val="0"/>
                <w:color w:val="000000"/>
                <w:kern w:val="0"/>
                <w:sz w:val="20"/>
                <w:szCs w:val="20"/>
                <w:u w:val="none"/>
                <w:lang w:val="en-US" w:eastAsia="zh-CN" w:bidi="ar"/>
              </w:rPr>
              <w:t>灯光控制器A</w:t>
            </w: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1、≥3个16A过零触发开关回路，微动按键控制，可通过自发电开关、遥控器、手机、IPAD或集控平台进行灯光及其它负载设备的控制；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2、SUBGHZ无线连接网关，可实现单开、联动开启、自定义场景模式等多种开启方式；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▲3、≥16A大电流继电器，强电控制采用过零触发方式，保护设备上电安全；具有“一种继电器过零闭合断开电路”的知识产权，提供知识产权证书证明材料加盖厂家公章，原件备查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4、≥32路场景开关无线对接，无线距离：室外≥100m，室内≥30m；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5、工作电压：AC 220V，待机功耗小于1W；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6、工作类型：86型自复位，可以安装在墙壁86底盒上；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7、工作电源：≥5W的隔离开关电源；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8、指示灯：每回路带电源开关LED指示灯；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9、开关次数：大于20万次；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10、无线距离：室外≥100m，室内≥30m；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w:t>
            </w:r>
          </w:p>
        </w:tc>
        <w:tc>
          <w:tcPr>
            <w:tcW w:w="809" w:type="pct"/>
            <w:vMerge w:val="restart"/>
            <w:vAlign w:val="center"/>
          </w:tcPr>
          <w:p>
            <w:pPr>
              <w:keepNext w:val="0"/>
              <w:keepLines w:val="0"/>
              <w:widowControl/>
              <w:suppressLineNumbers w:val="0"/>
              <w:jc w:val="center"/>
              <w:textAlignment w:val="center"/>
              <w:rPr>
                <w:rFonts w:hint="default" w:ascii="新宋体" w:hAnsi="新宋体" w:eastAsia="新宋体"/>
                <w:color w:val="000000"/>
                <w:sz w:val="21"/>
                <w:szCs w:val="21"/>
                <w:lang w:val="en-US"/>
              </w:rPr>
            </w:pPr>
            <w:r>
              <w:rPr>
                <w:rFonts w:hint="eastAsia" w:ascii="宋体" w:hAnsi="宋体" w:eastAsia="宋体" w:cs="宋体"/>
                <w:i w:val="0"/>
                <w:iCs w:val="0"/>
                <w:color w:val="000000"/>
                <w:kern w:val="0"/>
                <w:sz w:val="20"/>
                <w:szCs w:val="20"/>
                <w:u w:val="none"/>
                <w:lang w:val="en-US" w:eastAsia="zh-CN" w:bidi="ar"/>
              </w:rPr>
              <w:t>灯光控制器B</w:t>
            </w: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1、≥2个16A过零触发开关回路，微动按键控制，可通过自发电开关、遥控器、手机、IPAD或集控平台进行灯光及其它负载设备的控制；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2、SUBGHZ无线连接网关，可实现单开、联动开启、自定义场景模式等多种开启方式;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3、</w:t>
            </w:r>
            <w:r>
              <w:rPr>
                <w:rFonts w:hint="default" w:ascii="新宋体" w:hAnsi="新宋体" w:eastAsia="新宋体"/>
                <w:color w:val="000000"/>
                <w:sz w:val="21"/>
                <w:szCs w:val="21"/>
                <w:lang w:val="en-US" w:eastAsia="zh-CN"/>
              </w:rPr>
              <w:t>≥16A大电流继电器，强电控制采用过零触发方式，保护设备上电安全；具有“一种继电器过零闭合断开电路”的知识产权，提供知识产权证书证明材料加盖厂家公章，原件备查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4、≥32路场景开关无线对接，无线距离：室外≥100m，室内≥30m；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5、工作电压：AC 220V，待机功耗小于1W；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ascii="新宋体" w:hAnsi="新宋体" w:eastAsia="新宋体"/>
                <w:color w:val="000000"/>
                <w:sz w:val="21"/>
                <w:szCs w:val="21"/>
              </w:rPr>
            </w:pPr>
            <w:r>
              <w:rPr>
                <w:rFonts w:hint="eastAsia" w:ascii="新宋体" w:hAnsi="新宋体" w:eastAsia="新宋体"/>
                <w:color w:val="000000"/>
                <w:sz w:val="21"/>
                <w:szCs w:val="21"/>
              </w:rPr>
              <w:t>6、工作类型：86型自复位，可以安装在墙壁86底盒上；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7、工作电源：≥5W的隔离开关电源；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8、指示灯：每回路带电源开关LED指示灯；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9、开关次数：大于20万次；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widowControl/>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10、无线距离：室外≥100m，室内≥30m；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6</w:t>
            </w:r>
          </w:p>
        </w:tc>
        <w:tc>
          <w:tcPr>
            <w:tcW w:w="809" w:type="pct"/>
            <w:vMerge w:val="restart"/>
            <w:vAlign w:val="center"/>
          </w:tcPr>
          <w:p>
            <w:pPr>
              <w:keepNext w:val="0"/>
              <w:keepLines w:val="0"/>
              <w:widowControl/>
              <w:suppressLineNumbers w:val="0"/>
              <w:jc w:val="center"/>
              <w:textAlignment w:val="center"/>
              <w:rPr>
                <w:rFonts w:hint="default" w:ascii="新宋体" w:hAnsi="新宋体" w:eastAsia="新宋体"/>
                <w:color w:val="000000"/>
                <w:sz w:val="21"/>
                <w:szCs w:val="21"/>
                <w:lang w:val="en-US"/>
              </w:rPr>
            </w:pPr>
            <w:r>
              <w:rPr>
                <w:rFonts w:hint="eastAsia" w:ascii="宋体" w:hAnsi="宋体" w:eastAsia="宋体" w:cs="宋体"/>
                <w:i w:val="0"/>
                <w:iCs w:val="0"/>
                <w:color w:val="000000"/>
                <w:kern w:val="0"/>
                <w:sz w:val="20"/>
                <w:szCs w:val="20"/>
                <w:u w:val="none"/>
                <w:lang w:val="en-US" w:eastAsia="zh-CN" w:bidi="ar"/>
              </w:rPr>
              <w:t>灯光控制器C</w:t>
            </w: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1、≥1个16A过零触发开关回路，微动按键控制，可通过自发电开关、遥控器、手机、IPAD或集控平台进行灯光及其它负载设备的控制；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2、SUBGHZ无线连接网关，可实现单开、联动开启、自定义场景模式等多种开启方式；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3、≥16A大电流继电器，强电控制采用过零触发方式，保护设备上电安全；具有“一种继电器过零闭合断开电路”的知识产权，提供知识产权证书证明材料加盖厂家公章，原件备查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4、≥32路场景开关无线对接，无线距离：室外≥100m，室内≥30m；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5、工作电压：AC 220V，待机功耗小于1W；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6、工作类型：86型自复位，可以安装在墙壁86底盒上；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7、工作电源：≥5W的隔离开关电源；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8、指示灯：每回路带电源开关LED指示灯；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9、开关次数：大于20万次；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10、无线距离：室外≥100m，室内≥30m；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7</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空调控制终端</w:t>
            </w: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1、可通过无线自发电开关、遥控器、手机、IPAD或集控平台进行灯光、窗帘及其它负载设备的控制；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2、SUBGHZ无线协议和LP总线两种模式连接网关，可实现单开、联动开启、自定义场景模式等多种开启方式；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带电参数传感器，接小型开口式互感器，0-200A检测范围，能够检测空调的电压、电流、功率、能耗等参数，并实时同步到后台；带漏电、过压、欠压、过流和过载检测；提供产品彩页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配置红外发射器，控制空调的工作模式和温度等；内置1000种空调红外码库，快速匹配控制各种空调；集成60个红外学习录制通道，存储用户自定义的红外设备；提供空调红外码库截图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5、具备MODBUS子总线，可扩展控制64路智能断路器，实现智能用电管理；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6、具备LCD显示屏接口，可实时显示设备电压、电流、能耗及开关状态等；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7、内置低功耗BLE5.1模块，可以微信小程序蓝牙设置各种红外功能；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8、≥1路防水温湿度探头，实现根据教室对应区域的温湿度来智能开关空调联动控制；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9、32路无线自发电开关对接，无线距离：室外100m，室内30m；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10、工作电压：AC 220V，内置开关电源：DC12V，功率：10W；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8</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一体机控电</w:t>
            </w: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1、可通过无线自发电开关、遥控器、手机、IPAD或集控平台进行灯光、窗帘及其它负载设备的控制；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2、SUBGHZ无线协议和LP总线两种模式连接智慧终端或网关，可实现单开，联动开启，自定义场景模式等多种开启方式；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3、≥50A磁保持继电器控制，强电控制采用过零触发方式，保护设备上电安全；具有“一种继电器过零闭合断开电路”的知识产权，提供知识产权证书证明材料加盖厂家公章，原件备查；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4、带电参数传感器，能够检测电压、电流、功率、能耗等参数，并实时同步到后台；带漏电、过压、欠压、过流和过载检测，出现这些用电安全问题时自动切断电路；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5、32路无线自发电开关对接，无线距离：室外100m，室内30m；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6、工作电压：AC 220V，待机功耗小于1W；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7、具有LBUS总线，可以有线联网使用；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8、具备MODBUS子总线，可扩展其他空开模块，实现智能用电管理；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9</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1P智能断路器</w:t>
            </w: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1、具备MODBUS子总线，连接智慧终端或网关实现智能用电管理；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2、≥80A大功率磁保持开关，强电控制采用过零触发方式，保护设备上电安全；具有“一种继电器过零闭合断开电路”的知识产权，提供知识产权证书证明材料加盖厂家公章，原件备查；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3、三个智能断路器可组合配置同一ID，控制380V空调三相电源的通断；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4、智能断路器不能有手动开关或按键，避免人为打开设备电源；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10</w:t>
            </w:r>
          </w:p>
        </w:tc>
        <w:tc>
          <w:tcPr>
            <w:tcW w:w="809" w:type="pct"/>
            <w:vMerge w:val="restart"/>
            <w:vAlign w:val="center"/>
          </w:tcPr>
          <w:p>
            <w:pPr>
              <w:keepNext w:val="0"/>
              <w:keepLines w:val="0"/>
              <w:widowControl/>
              <w:suppressLineNumbers w:val="0"/>
              <w:jc w:val="center"/>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0"/>
                <w:szCs w:val="20"/>
                <w:u w:val="none"/>
                <w:lang w:val="en-US" w:eastAsia="zh-CN" w:bidi="ar"/>
              </w:rPr>
              <w:t>远程485控制器</w:t>
            </w: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1、可通过无线自发电开关、遥控器、手机、IPAD或集控平台进行灯光、窗帘及其它负载设备的控制；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2、SUBGHZ无线协议和LP总线两种模式连接网关，可实现单开、联动开启、自定义场景模式等多种开启方式；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3、带电参数传感器，接小型开口式互感器，0-200A检测范围，能够检测空调的电压、电流、功率、能耗等参数，并实时同步到后台；带漏电、过压、欠压、过流和过载检测；提供产品彩页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4、配置红外发射器，控制空调的工作模式和温度等；内置1000种空调红外码库，快速匹配控制各种空调；集成60个红外学习录制通道，存储用户自定义的红外设备；提供空调红外码库截图加盖厂家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5、具备MODBUS子总线，可扩展控制64路智能断路器，实现智能用电管理；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6、具备LCD显示屏接口，可实时显示设备电压、电流、能耗及开关状态等；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7、内置低功耗BLE5.1模块，可以微信小程序蓝牙设置各种红外功能；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8、≥1路探头输入接口，可接人体感应、温湿度等传感器实现联动控制；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eastAsia"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9、32路无线自发电开关对接，无线距离：室外100m，室内30m；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10、工作电压：AC 220V，内置开关电源：DC12V，功率：10W；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11</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物联网关</w:t>
            </w: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1、支持远程控制，IP地址可自动获取，无需调试及设置；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2、搭配开关、调光或串口模块和控制面板等组成免编程控制系统，带≥256组场景，整个系统可挂≥63个模块；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3、挂墙或桌面安装，集成LBUS总线，配合各种控制器，实现智能灯光、电动窗帘、智能用电用水、空调等的控制；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4、集成≥1路MODBUS子总线，扩展连接多达32个智能空开；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5、集成≥1路可编程RS485总线，扩展连接其他协议的物联设备；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6、集成≥1路RS232输入总线，扩展连接其他控制面板等；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7、采用SUBGHZ低功耗无线联网，无线设备自动搜索自动加入；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8、可配置多达64个物联设备，兼容有线LPBUS协议，根据教室环境灵活部署；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9、集成网络模块：支持远程集中化可视管理、与远程批处理、支持手机APP远程管理，采用DHCP技术自动分配IP地址，节省IP地址空间，不能采用设置固定IP地址方式；提供网络多媒体管理平台软件著作权证明，提供厂家盖章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▲10、可以网页设置≥100个电脑MAC地址，实现远程或本地触摸屏控制≥100台电脑的单台或分组批量软开关，提供智能系统七寸触摸屏软件著作权证书和设置电脑MAC地址的网页界面截图；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12</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1P+N智能断路器</w:t>
            </w: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1、具备MODBUS子总线，连接中控或通讯终端实现智能用电管理；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2、4组80A大功率，可控制380V空调三相电源的通断；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rPr>
                <w:rFonts w:hint="default" w:ascii="新宋体" w:hAnsi="新宋体" w:eastAsia="新宋体"/>
                <w:color w:val="000000"/>
                <w:sz w:val="21"/>
                <w:szCs w:val="21"/>
                <w:lang w:val="en-US" w:eastAsia="zh-CN"/>
              </w:rPr>
            </w:pPr>
            <w:r>
              <w:rPr>
                <w:rFonts w:hint="default" w:ascii="新宋体" w:hAnsi="新宋体" w:eastAsia="新宋体"/>
                <w:color w:val="000000"/>
                <w:sz w:val="21"/>
                <w:szCs w:val="21"/>
                <w:lang w:val="en-US" w:eastAsia="zh-CN"/>
              </w:rPr>
              <w:t>3、带手动开关，应急关闭设备电源；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13</w:t>
            </w:r>
          </w:p>
        </w:tc>
        <w:tc>
          <w:tcPr>
            <w:tcW w:w="809" w:type="pct"/>
            <w:vMerge w:val="restart"/>
            <w:vAlign w:val="center"/>
          </w:tcPr>
          <w:p>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六类网线</w:t>
            </w:r>
          </w:p>
        </w:tc>
        <w:tc>
          <w:tcPr>
            <w:tcW w:w="3903" w:type="pct"/>
            <w:vAlign w:val="center"/>
          </w:tcPr>
          <w:p>
            <w:pPr>
              <w:widowControl/>
              <w:numPr>
                <w:ilvl w:val="0"/>
                <w:numId w:val="3"/>
              </w:numPr>
              <w:spacing w:line="360" w:lineRule="exact"/>
              <w:jc w:val="left"/>
              <w:textAlignment w:val="center"/>
              <w:rPr>
                <w:rFonts w:hint="eastAsia" w:eastAsiaTheme="minorEastAsia"/>
                <w:lang w:eastAsia="zh-CN"/>
              </w:rPr>
            </w:pPr>
            <w:r>
              <w:rPr>
                <w:rFonts w:hint="eastAsia" w:ascii="宋体" w:hAnsi="宋体" w:eastAsia="宋体" w:cs="宋体"/>
                <w:bCs/>
                <w:color w:val="000000"/>
                <w:sz w:val="21"/>
                <w:szCs w:val="21"/>
                <w:lang w:eastAsia="zh-CN" w:bidi="ar"/>
              </w:rPr>
              <w:t>0.53±0.005mm无氧铜芯；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3"/>
              </w:numPr>
              <w:spacing w:line="360" w:lineRule="exact"/>
              <w:jc w:val="left"/>
              <w:textAlignment w:val="center"/>
              <w:rPr>
                <w:rFonts w:hint="eastAsia"/>
              </w:rPr>
            </w:pPr>
            <w:r>
              <w:rPr>
                <w:rFonts w:hint="eastAsia" w:ascii="宋体" w:hAnsi="宋体" w:eastAsia="宋体" w:cs="宋体"/>
                <w:bCs/>
                <w:color w:val="000000"/>
                <w:sz w:val="21"/>
                <w:szCs w:val="21"/>
                <w:lang w:eastAsia="zh-CN" w:bidi="ar"/>
              </w:rPr>
              <w:t>绝缘材质：高密度聚乙烯（HDPE)；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3"/>
              </w:numPr>
              <w:spacing w:line="360" w:lineRule="exact"/>
              <w:jc w:val="left"/>
              <w:textAlignment w:val="center"/>
              <w:rPr>
                <w:rFonts w:hint="eastAsia"/>
              </w:rPr>
            </w:pPr>
            <w:r>
              <w:rPr>
                <w:rFonts w:hint="eastAsia" w:ascii="宋体" w:hAnsi="宋体" w:eastAsia="宋体" w:cs="宋体"/>
                <w:bCs/>
                <w:color w:val="000000"/>
                <w:sz w:val="21"/>
                <w:szCs w:val="21"/>
                <w:lang w:eastAsia="zh-CN" w:bidi="ar"/>
              </w:rPr>
              <w:t>护套材质：环保聚乙烯（PVC）；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3"/>
              </w:numPr>
              <w:spacing w:line="360" w:lineRule="exact"/>
              <w:jc w:val="left"/>
              <w:textAlignment w:val="center"/>
              <w:rPr>
                <w:rFonts w:hint="eastAsia"/>
              </w:rPr>
            </w:pPr>
            <w:r>
              <w:rPr>
                <w:rFonts w:hint="eastAsia" w:ascii="宋体" w:hAnsi="宋体" w:eastAsia="宋体" w:cs="宋体"/>
                <w:bCs/>
                <w:color w:val="000000"/>
                <w:sz w:val="21"/>
                <w:szCs w:val="21"/>
                <w:lang w:eastAsia="zh-CN" w:bidi="ar"/>
              </w:rPr>
              <w:t>屏蔽类型：U/UTP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3"/>
              </w:numPr>
              <w:spacing w:line="360" w:lineRule="exact"/>
              <w:jc w:val="left"/>
              <w:textAlignment w:val="center"/>
              <w:rPr>
                <w:rFonts w:hint="eastAsia"/>
              </w:rPr>
            </w:pPr>
            <w:r>
              <w:rPr>
                <w:rFonts w:hint="eastAsia" w:ascii="宋体" w:hAnsi="宋体" w:eastAsia="宋体" w:cs="宋体"/>
                <w:bCs/>
                <w:color w:val="000000"/>
                <w:sz w:val="21"/>
                <w:szCs w:val="21"/>
                <w:lang w:eastAsia="zh-CN" w:bidi="ar"/>
              </w:rPr>
              <w:t>工作温度：≥-20°~75°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14</w:t>
            </w:r>
          </w:p>
        </w:tc>
        <w:tc>
          <w:tcPr>
            <w:tcW w:w="809" w:type="pct"/>
            <w:vMerge w:val="restart"/>
            <w:vAlign w:val="center"/>
          </w:tcPr>
          <w:p>
            <w:pPr>
              <w:keepNext w:val="0"/>
              <w:keepLines w:val="0"/>
              <w:widowControl/>
              <w:suppressLineNumbers w:val="0"/>
              <w:jc w:val="center"/>
              <w:textAlignment w:val="center"/>
              <w:rPr>
                <w:rFonts w:hint="default" w:ascii="宋体" w:hAnsi="宋体" w:eastAsia="宋体" w:cs="宋体"/>
                <w:color w:val="000000"/>
                <w:kern w:val="0"/>
                <w:sz w:val="21"/>
                <w:szCs w:val="21"/>
                <w:lang w:val="en-US"/>
              </w:rPr>
            </w:pPr>
            <w:r>
              <w:rPr>
                <w:rFonts w:hint="eastAsia" w:ascii="宋体" w:hAnsi="宋体" w:eastAsia="宋体" w:cs="宋体"/>
                <w:i w:val="0"/>
                <w:iCs w:val="0"/>
                <w:color w:val="000000"/>
                <w:kern w:val="0"/>
                <w:sz w:val="20"/>
                <w:szCs w:val="20"/>
                <w:u w:val="none"/>
                <w:lang w:val="en-US" w:eastAsia="zh-CN" w:bidi="ar"/>
              </w:rPr>
              <w:t>汇聚交换机</w:t>
            </w: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交换容量≥672Gbps；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转发性能≥228Mpps，如官网以X/Y形式表述则以其中最小值为准；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固化100/1000M SFP光接口≥24，10G/1G SFP+光接口≥4个；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支持并实配可拔插双模块化电源，单电源功率≥70W，实现1+1冗余。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要求所投产品端口浪涌抗扰度≥10KV，即具备10KV的防雷能力；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支持静态路由、RIP/RIPng、OSPFv2/OSPFv3等三层路由协议；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支持CPU保护功能，能限制非法报文对CPU的攻击，保护交换机在各种环境下稳定工作；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支持专门基础网络保护机制，能够限制用户向网络中发送数据包的速率，对有攻击行为的用户进行隔离，保证设备和整网的安全稳定运行；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支持快速以太网链路检测协议，可快速检测链路的通断和光纤链路的单向性，并支持端口下的环路检测功能；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支持虚拟化功能，可将多台物理设备虚拟化为一台逻辑设备统一管理，并且链路故障的收敛时间最快50ms；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4"/>
              </w:numPr>
              <w:spacing w:line="360" w:lineRule="exact"/>
              <w:jc w:val="left"/>
              <w:textAlignment w:val="center"/>
              <w:rPr>
                <w:rFonts w:hint="eastAsia" w:ascii="宋体" w:hAnsi="宋体" w:eastAsia="宋体" w:cs="宋体"/>
                <w:bCs/>
                <w:color w:val="000000"/>
                <w:sz w:val="21"/>
                <w:szCs w:val="21"/>
                <w:lang w:eastAsia="zh-CN" w:bidi="ar"/>
              </w:rPr>
            </w:pPr>
            <w:r>
              <w:rPr>
                <w:rFonts w:hint="eastAsia" w:ascii="宋体" w:hAnsi="宋体" w:eastAsia="宋体" w:cs="宋体"/>
                <w:bCs/>
                <w:color w:val="000000"/>
                <w:sz w:val="21"/>
                <w:szCs w:val="21"/>
                <w:lang w:val="en-US" w:eastAsia="zh-CN" w:bidi="ar"/>
              </w:rPr>
              <w:t>支持SNMP、CLI(Telnet/Console)、RMON、SSH、Syslog、NTP/SNTP、FTP、TFTP、Web。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15</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接入交换机</w:t>
            </w: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可上1U机架，实配固化千兆电接口数≥24个，千兆SFP光口≥2个，最大可用端口≥26个；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交换容量≥336Gbps，包转发率≥92Mpps；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工作温度0℃~45℃；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支持端口防雷等级≥6kV，电源防雷等级≥6kV；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支持环路保护、链路检测，自动解决环路问题；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支持端口镜像，多对一镜像，一对一镜像；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支持DHCP Snooping，避免了上网终端从非法DHCP服务器分配的IP地址，引起的网络异常或安全隐患；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支持VLAN划分，可以显著提升网络的安全性、灵活性和管理效率；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支持高效节能以太网（EEE），端口如果在连续一段时间之内空闲，系统会将该端口设置为节能模式，当有报文收发时再通过定时发送的监听码流唤醒端口恢复业务，达到节能的效果；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要求设备支持端口流控、端口限速、风暴抑制、端口隔离、线缆检测，并可通过Web界面实现配置；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numPr>
                <w:ilvl w:val="0"/>
                <w:numId w:val="5"/>
              </w:numPr>
              <w:spacing w:line="360" w:lineRule="exact"/>
              <w:jc w:val="left"/>
              <w:textAlignment w:val="center"/>
              <w:rPr>
                <w:rFonts w:hint="eastAsia"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支持Web管理，App和云管理；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numPr>
                <w:ilvl w:val="0"/>
                <w:numId w:val="5"/>
              </w:numPr>
              <w:spacing w:line="360" w:lineRule="exact"/>
              <w:jc w:val="left"/>
              <w:textAlignment w:val="center"/>
              <w:rPr>
                <w:rFonts w:hint="default" w:ascii="宋体" w:hAnsi="宋体" w:eastAsia="宋体" w:cs="宋体"/>
                <w:bCs/>
                <w:color w:val="000000"/>
                <w:sz w:val="21"/>
                <w:szCs w:val="21"/>
                <w:lang w:val="en-US" w:eastAsia="zh-CN" w:bidi="ar"/>
              </w:rPr>
            </w:pPr>
            <w:r>
              <w:rPr>
                <w:rFonts w:hint="eastAsia" w:ascii="宋体" w:hAnsi="宋体" w:eastAsia="宋体" w:cs="宋体"/>
                <w:bCs/>
                <w:color w:val="000000"/>
                <w:sz w:val="21"/>
                <w:szCs w:val="21"/>
                <w:lang w:val="en-US" w:eastAsia="zh-CN" w:bidi="ar"/>
              </w:rPr>
              <w:t>为了提升运维的便捷性，要求所投交换机支持手机App集中管理，能够实现拓扑呈现、端口状态显示、VLAN配置；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16</w:t>
            </w:r>
          </w:p>
        </w:tc>
        <w:tc>
          <w:tcPr>
            <w:tcW w:w="809" w:type="pct"/>
            <w:vMerge w:val="restart"/>
            <w:vAlign w:val="center"/>
          </w:tcPr>
          <w:p>
            <w:pPr>
              <w:keepNext w:val="0"/>
              <w:keepLines w:val="0"/>
              <w:widowControl/>
              <w:suppressLineNumbers w:val="0"/>
              <w:jc w:val="center"/>
              <w:textAlignment w:val="center"/>
              <w:rPr>
                <w:rFonts w:hint="default" w:ascii="新宋体" w:hAnsi="新宋体" w:eastAsia="新宋体"/>
                <w:color w:val="000000"/>
                <w:sz w:val="21"/>
                <w:szCs w:val="21"/>
                <w:lang w:val="en-US"/>
              </w:rPr>
            </w:pPr>
            <w:r>
              <w:rPr>
                <w:rFonts w:hint="eastAsia" w:ascii="宋体" w:hAnsi="宋体" w:eastAsia="宋体" w:cs="宋体"/>
                <w:i w:val="0"/>
                <w:iCs w:val="0"/>
                <w:color w:val="000000"/>
                <w:kern w:val="0"/>
                <w:sz w:val="20"/>
                <w:szCs w:val="20"/>
                <w:u w:val="none"/>
                <w:lang w:val="en-US" w:eastAsia="zh-CN" w:bidi="ar"/>
              </w:rPr>
              <w:t>电源管理器</w:t>
            </w: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1、</w:t>
            </w:r>
            <w:r>
              <w:rPr>
                <w:rFonts w:hint="eastAsia" w:ascii="Calibri" w:hAnsi="Calibri" w:eastAsia="宋体" w:cstheme="minorBidi"/>
                <w:kern w:val="2"/>
                <w:sz w:val="21"/>
                <w:szCs w:val="22"/>
                <w:lang w:eastAsia="zh-CN"/>
              </w:rPr>
              <w:t>前面板配置不少于一个7.8英寸高清IPS电容触控屏幕；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2、</w:t>
            </w:r>
            <w:r>
              <w:rPr>
                <w:rFonts w:hint="eastAsia" w:ascii="Calibri" w:hAnsi="Calibri" w:eastAsia="宋体" w:cstheme="minorBidi"/>
                <w:kern w:val="2"/>
                <w:sz w:val="21"/>
                <w:szCs w:val="22"/>
                <w:lang w:eastAsia="zh-CN"/>
              </w:rPr>
              <w:t>.支持开机播放学校高清宣传片且宣传片视频文件可以由用户单位自行更换；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3、</w:t>
            </w:r>
            <w:r>
              <w:rPr>
                <w:rFonts w:hint="eastAsia" w:ascii="Calibri" w:hAnsi="Calibri" w:eastAsia="宋体" w:cstheme="minorBidi"/>
                <w:kern w:val="2"/>
                <w:sz w:val="21"/>
                <w:szCs w:val="22"/>
                <w:lang w:eastAsia="zh-CN"/>
              </w:rPr>
              <w:t>待机桌面显示学校logo或者其他自定义图片，且图片可以由用户单位自行更换；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4、</w:t>
            </w:r>
            <w:r>
              <w:rPr>
                <w:rFonts w:hint="eastAsia" w:ascii="Calibri" w:hAnsi="Calibri" w:eastAsia="宋体" w:cstheme="minorBidi"/>
                <w:kern w:val="2"/>
                <w:sz w:val="21"/>
                <w:szCs w:val="22"/>
                <w:lang w:eastAsia="zh-CN"/>
              </w:rPr>
              <w:t>不少于8个独立功率输出通道；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5、</w:t>
            </w:r>
            <w:r>
              <w:rPr>
                <w:rFonts w:hint="eastAsia" w:ascii="Calibri" w:hAnsi="Calibri" w:eastAsia="宋体" w:cstheme="minorBidi"/>
                <w:kern w:val="2"/>
                <w:sz w:val="21"/>
                <w:szCs w:val="22"/>
                <w:lang w:eastAsia="zh-CN"/>
              </w:rPr>
              <w:t>显示屏实时显示当前的电源电压、输出电流、输出功率、功率因数、实时日期和时间等参数；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6、</w:t>
            </w:r>
            <w:r>
              <w:rPr>
                <w:rFonts w:hint="eastAsia" w:ascii="Calibri" w:hAnsi="Calibri" w:eastAsia="宋体" w:cstheme="minorBidi"/>
                <w:kern w:val="2"/>
                <w:sz w:val="21"/>
                <w:szCs w:val="22"/>
                <w:lang w:eastAsia="zh-CN"/>
              </w:rPr>
              <w:t>每一个输出通道的欠压和过压保护值可以通过本机电容触控屏幕任意调整并保存；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7、</w:t>
            </w:r>
            <w:r>
              <w:rPr>
                <w:rFonts w:hint="eastAsia" w:ascii="Calibri" w:hAnsi="Calibri" w:eastAsia="宋体" w:cstheme="minorBidi"/>
                <w:kern w:val="2"/>
                <w:sz w:val="21"/>
                <w:szCs w:val="22"/>
                <w:lang w:eastAsia="zh-CN"/>
              </w:rPr>
              <w:t>.每一个输出通道都可以通过本机电容触控屏幕任意开启和关闭；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8、</w:t>
            </w:r>
            <w:r>
              <w:rPr>
                <w:rFonts w:hint="eastAsia" w:ascii="Calibri" w:hAnsi="Calibri" w:eastAsia="宋体" w:cstheme="minorBidi"/>
                <w:kern w:val="2"/>
                <w:sz w:val="21"/>
                <w:szCs w:val="22"/>
                <w:lang w:eastAsia="zh-CN"/>
              </w:rPr>
              <w:t>.每一个输出通道都可以通过电容触控屏幕任意设定密码防止误操作，触摸屏显示的密码由0——9共10位数任意组合；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9、</w:t>
            </w:r>
            <w:r>
              <w:rPr>
                <w:rFonts w:hint="eastAsia" w:ascii="Calibri" w:hAnsi="Calibri" w:eastAsia="宋体" w:cstheme="minorBidi"/>
                <w:kern w:val="2"/>
                <w:sz w:val="21"/>
                <w:szCs w:val="22"/>
                <w:lang w:eastAsia="zh-CN"/>
              </w:rPr>
              <w:t>电容触控屏幕具有时钟显示功能，实时显示当前的日期和时间且显示方式包括但不限于圆形时钟显示方式；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10、</w:t>
            </w:r>
            <w:r>
              <w:rPr>
                <w:rFonts w:hint="eastAsia" w:ascii="Calibri" w:hAnsi="Calibri" w:eastAsia="宋体" w:cstheme="minorBidi"/>
                <w:kern w:val="2"/>
                <w:sz w:val="21"/>
                <w:szCs w:val="22"/>
                <w:lang w:eastAsia="zh-CN"/>
              </w:rPr>
              <w:t>电容触控屏幕具有中英文显示切换功能；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hint="eastAsia" w:ascii="Calibri" w:hAnsi="Calibri" w:eastAsia="宋体" w:cstheme="minorBidi"/>
                <w:kern w:val="2"/>
                <w:sz w:val="21"/>
                <w:szCs w:val="22"/>
                <w:lang w:eastAsia="zh-CN"/>
              </w:rPr>
              <w:t>▲</w:t>
            </w:r>
            <w:r>
              <w:rPr>
                <w:rFonts w:hint="eastAsia" w:ascii="新宋体" w:hAnsi="新宋体" w:eastAsia="新宋体" w:cstheme="minorBidi"/>
                <w:color w:val="000000"/>
                <w:kern w:val="2"/>
                <w:sz w:val="21"/>
                <w:szCs w:val="21"/>
                <w:lang w:eastAsia="zh-CN"/>
              </w:rPr>
              <w:t>11、</w:t>
            </w:r>
            <w:r>
              <w:rPr>
                <w:rFonts w:hint="eastAsia" w:ascii="Calibri" w:hAnsi="Calibri" w:eastAsia="宋体" w:cstheme="minorBidi"/>
                <w:kern w:val="2"/>
                <w:sz w:val="21"/>
                <w:szCs w:val="22"/>
                <w:lang w:eastAsia="zh-CN"/>
              </w:rPr>
              <w:t>具有有线和无线wifi网络连接功能，支持通过网络进行控制；</w:t>
            </w:r>
            <w:r>
              <w:rPr>
                <w:rFonts w:hint="eastAsia" w:ascii="Calibri" w:hAnsi="Calibri" w:eastAsia="宋体" w:cstheme="minorBidi"/>
                <w:b w:val="0"/>
                <w:bCs w:val="0"/>
                <w:color w:val="auto"/>
                <w:kern w:val="2"/>
                <w:sz w:val="21"/>
                <w:szCs w:val="22"/>
                <w:lang w:eastAsia="zh-CN"/>
              </w:rPr>
              <w:t>投标单位提供该功能书面承诺函（格式自拟）；</w:t>
            </w:r>
            <w:r>
              <w:rPr>
                <w:rFonts w:hint="eastAsia" w:ascii="Calibri" w:hAnsi="Calibri" w:eastAsia="宋体" w:cstheme="minorBidi"/>
                <w:b w:val="0"/>
                <w:bCs w:val="0"/>
                <w:color w:val="auto"/>
                <w:kern w:val="2"/>
                <w:sz w:val="21"/>
                <w:szCs w:val="22"/>
                <w:lang w:val="en-US" w:eastAsia="zh-CN"/>
              </w:rPr>
              <w:t>采购方有权要求对产品进行功能测试；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val="0"/>
              <w:jc w:val="both"/>
              <w:rPr>
                <w:rFonts w:hint="eastAsia" w:ascii="Calibri" w:hAnsi="Calibri" w:eastAsia="宋体" w:cstheme="minorBidi"/>
                <w:kern w:val="2"/>
                <w:sz w:val="21"/>
                <w:szCs w:val="22"/>
                <w:lang w:eastAsia="zh-CN"/>
              </w:rPr>
            </w:pPr>
            <w:r>
              <w:rPr>
                <w:rFonts w:hint="eastAsia" w:ascii="新宋体" w:hAnsi="新宋体" w:eastAsia="新宋体" w:cstheme="minorBidi"/>
                <w:color w:val="000000"/>
                <w:kern w:val="2"/>
                <w:sz w:val="21"/>
                <w:szCs w:val="21"/>
                <w:lang w:eastAsia="zh-CN"/>
              </w:rPr>
              <w:t>1</w:t>
            </w:r>
            <w:r>
              <w:rPr>
                <w:rFonts w:hint="eastAsia" w:ascii="新宋体" w:hAnsi="新宋体" w:eastAsia="新宋体" w:cstheme="minorBidi"/>
                <w:color w:val="000000"/>
                <w:kern w:val="2"/>
                <w:sz w:val="21"/>
                <w:szCs w:val="21"/>
                <w:lang w:val="en-US" w:eastAsia="zh-CN"/>
              </w:rPr>
              <w:t>2</w:t>
            </w:r>
            <w:r>
              <w:rPr>
                <w:rFonts w:hint="eastAsia" w:ascii="新宋体" w:hAnsi="新宋体" w:eastAsia="新宋体" w:cstheme="minorBidi"/>
                <w:color w:val="000000"/>
                <w:kern w:val="2"/>
                <w:sz w:val="21"/>
                <w:szCs w:val="21"/>
                <w:lang w:eastAsia="zh-CN"/>
              </w:rPr>
              <w:t>、</w:t>
            </w:r>
            <w:r>
              <w:rPr>
                <w:rFonts w:hint="eastAsia" w:ascii="Calibri" w:hAnsi="Calibri" w:eastAsia="宋体" w:cstheme="minorBidi"/>
                <w:kern w:val="2"/>
                <w:sz w:val="21"/>
                <w:szCs w:val="22"/>
                <w:lang w:eastAsia="zh-CN"/>
              </w:rPr>
              <w:t>每一路输出电源均可以任意设定自动开关机时间并保存多种场景模式；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17</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RS232串口线</w:t>
            </w: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hint="eastAsia" w:ascii="新宋体" w:hAnsi="新宋体" w:eastAsia="新宋体" w:cstheme="minorBidi"/>
                <w:color w:val="000000"/>
                <w:kern w:val="2"/>
                <w:sz w:val="21"/>
                <w:szCs w:val="21"/>
                <w:lang w:eastAsia="zh-CN"/>
              </w:rPr>
              <w:t>1、</w:t>
            </w:r>
            <w:r>
              <w:rPr>
                <w:rFonts w:hint="eastAsia" w:ascii="新宋体" w:hAnsi="新宋体" w:eastAsia="新宋体" w:cstheme="minorBidi"/>
                <w:color w:val="000000"/>
                <w:kern w:val="2"/>
                <w:sz w:val="21"/>
                <w:szCs w:val="21"/>
                <w:lang w:val="en-US" w:eastAsia="zh-CN"/>
              </w:rPr>
              <w:t>国标产品；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jc w:val="center"/>
              <w:rPr>
                <w:rFonts w:ascii="新宋体" w:hAnsi="新宋体" w:eastAsia="新宋体"/>
                <w:color w:val="000000"/>
                <w:sz w:val="21"/>
                <w:szCs w:val="21"/>
              </w:rPr>
            </w:pPr>
          </w:p>
        </w:tc>
        <w:tc>
          <w:tcPr>
            <w:tcW w:w="809" w:type="pct"/>
            <w:vMerge w:val="continue"/>
            <w:vAlign w:val="center"/>
          </w:tcPr>
          <w:p>
            <w:pPr>
              <w:widowControl/>
              <w:jc w:val="center"/>
              <w:textAlignment w:val="center"/>
              <w:rPr>
                <w:rFonts w:ascii="宋体" w:hAnsi="宋体" w:eastAsia="宋体" w:cs="宋体"/>
                <w:color w:val="000000"/>
                <w:kern w:val="0"/>
                <w:sz w:val="21"/>
                <w:szCs w:val="21"/>
              </w:rPr>
            </w:pPr>
          </w:p>
        </w:tc>
        <w:tc>
          <w:tcPr>
            <w:tcW w:w="3903" w:type="pct"/>
            <w:vAlign w:val="center"/>
          </w:tcPr>
          <w:p>
            <w:pPr>
              <w:widowControl w:val="0"/>
              <w:jc w:val="both"/>
              <w:rPr>
                <w:rFonts w:hint="default" w:ascii="新宋体" w:hAnsi="新宋体" w:eastAsia="新宋体"/>
                <w:color w:val="000000"/>
                <w:sz w:val="21"/>
                <w:szCs w:val="21"/>
                <w:lang w:val="en-US"/>
              </w:rPr>
            </w:pPr>
            <w:r>
              <w:rPr>
                <w:rFonts w:hint="eastAsia" w:ascii="新宋体" w:hAnsi="新宋体" w:eastAsia="新宋体" w:cstheme="minorBidi"/>
                <w:color w:val="000000"/>
                <w:kern w:val="2"/>
                <w:sz w:val="21"/>
                <w:szCs w:val="21"/>
                <w:lang w:val="en-US" w:eastAsia="zh-CN"/>
              </w:rPr>
              <w:t>2</w:t>
            </w:r>
            <w:r>
              <w:rPr>
                <w:rFonts w:hint="eastAsia" w:ascii="新宋体" w:hAnsi="新宋体" w:eastAsia="新宋体" w:cstheme="minorBidi"/>
                <w:color w:val="000000"/>
                <w:kern w:val="2"/>
                <w:sz w:val="21"/>
                <w:szCs w:val="21"/>
                <w:lang w:eastAsia="zh-CN"/>
              </w:rPr>
              <w:t>、</w:t>
            </w:r>
            <w:r>
              <w:rPr>
                <w:rFonts w:hint="eastAsia" w:ascii="新宋体" w:hAnsi="新宋体" w:eastAsia="新宋体" w:cstheme="minorBidi"/>
                <w:color w:val="000000"/>
                <w:kern w:val="2"/>
                <w:sz w:val="21"/>
                <w:szCs w:val="21"/>
                <w:lang w:val="en-US" w:eastAsia="zh-CN"/>
              </w:rPr>
              <w:t>具体数量以满足现场使用要求为准；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18"/>
                <w:szCs w:val="18"/>
                <w:u w:val="none"/>
                <w:lang w:val="en-US" w:eastAsia="zh-CN" w:bidi="ar"/>
              </w:rPr>
              <w:t>18</w:t>
            </w:r>
          </w:p>
        </w:tc>
        <w:tc>
          <w:tcPr>
            <w:tcW w:w="809" w:type="pct"/>
            <w:vMerge w:val="restart"/>
            <w:vAlign w:val="center"/>
          </w:tcPr>
          <w:p>
            <w:pPr>
              <w:keepNext w:val="0"/>
              <w:keepLines w:val="0"/>
              <w:widowControl/>
              <w:suppressLineNumbers w:val="0"/>
              <w:jc w:val="center"/>
              <w:textAlignment w:val="center"/>
              <w:rPr>
                <w:rFonts w:ascii="新宋体" w:hAnsi="新宋体" w:eastAsia="新宋体"/>
                <w:color w:val="000000"/>
                <w:sz w:val="21"/>
                <w:szCs w:val="21"/>
              </w:rPr>
            </w:pPr>
            <w:r>
              <w:rPr>
                <w:rFonts w:hint="eastAsia" w:ascii="宋体" w:hAnsi="宋体" w:eastAsia="宋体" w:cs="宋体"/>
                <w:i w:val="0"/>
                <w:iCs w:val="0"/>
                <w:color w:val="000000"/>
                <w:kern w:val="0"/>
                <w:sz w:val="20"/>
                <w:szCs w:val="20"/>
                <w:u w:val="none"/>
                <w:lang w:val="en-US" w:eastAsia="zh-CN" w:bidi="ar"/>
              </w:rPr>
              <w:t>电源线</w:t>
            </w: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 xml:space="preserve">1、规格：RVV </w:t>
            </w:r>
            <w:r>
              <w:rPr>
                <w:rFonts w:hint="eastAsia" w:ascii="新宋体" w:hAnsi="新宋体" w:eastAsia="新宋体" w:cstheme="minorBidi"/>
                <w:color w:val="000000"/>
                <w:kern w:val="2"/>
                <w:sz w:val="21"/>
                <w:szCs w:val="21"/>
                <w:lang w:val="en-US" w:eastAsia="zh-CN"/>
              </w:rPr>
              <w:t>2</w:t>
            </w:r>
            <w:r>
              <w:rPr>
                <w:rFonts w:hint="eastAsia" w:ascii="新宋体" w:hAnsi="新宋体" w:eastAsia="新宋体" w:cstheme="minorBidi"/>
                <w:color w:val="000000"/>
                <w:kern w:val="2"/>
                <w:sz w:val="21"/>
                <w:szCs w:val="21"/>
                <w:lang w:eastAsia="zh-CN"/>
              </w:rPr>
              <w:t>*</w:t>
            </w:r>
            <w:r>
              <w:rPr>
                <w:rFonts w:hint="eastAsia" w:ascii="新宋体" w:hAnsi="新宋体" w:eastAsia="新宋体" w:cstheme="minorBidi"/>
                <w:color w:val="000000"/>
                <w:kern w:val="2"/>
                <w:sz w:val="21"/>
                <w:szCs w:val="21"/>
                <w:lang w:val="en-US" w:eastAsia="zh-CN"/>
              </w:rPr>
              <w:t>1.5</w:t>
            </w:r>
            <w:r>
              <w:rPr>
                <w:rFonts w:hint="eastAsia" w:ascii="新宋体" w:hAnsi="新宋体" w:eastAsia="新宋体" w:cstheme="minorBidi"/>
                <w:color w:val="000000"/>
                <w:kern w:val="2"/>
                <w:sz w:val="21"/>
                <w:szCs w:val="21"/>
                <w:lang w:eastAsia="zh-CN"/>
              </w:rPr>
              <w:t xml:space="preserve"> 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2、外保护套材质：软PVC材质；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3、电源线总数量以满足现场使用要求为准；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ascii="新宋体" w:hAnsi="新宋体" w:eastAsia="新宋体"/>
                <w:color w:val="000000"/>
                <w:sz w:val="21"/>
                <w:szCs w:val="21"/>
              </w:rPr>
            </w:pPr>
            <w:r>
              <w:rPr>
                <w:rFonts w:hint="eastAsia" w:ascii="新宋体" w:hAnsi="新宋体" w:eastAsia="新宋体" w:cstheme="minorBidi"/>
                <w:color w:val="000000"/>
                <w:kern w:val="2"/>
                <w:sz w:val="21"/>
                <w:szCs w:val="21"/>
                <w:lang w:eastAsia="zh-CN"/>
              </w:rPr>
              <w:t>4、最大负载功率：不小于</w:t>
            </w:r>
            <w:r>
              <w:rPr>
                <w:rFonts w:hint="eastAsia" w:ascii="新宋体" w:hAnsi="新宋体" w:eastAsia="新宋体" w:cstheme="minorBidi"/>
                <w:color w:val="000000"/>
                <w:kern w:val="2"/>
                <w:sz w:val="21"/>
                <w:szCs w:val="21"/>
                <w:lang w:val="en-US" w:eastAsia="zh-CN"/>
              </w:rPr>
              <w:t>1</w:t>
            </w:r>
            <w:r>
              <w:rPr>
                <w:rFonts w:hint="eastAsia" w:ascii="新宋体" w:hAnsi="新宋体" w:eastAsia="新宋体" w:cstheme="minorBidi"/>
                <w:color w:val="000000"/>
                <w:kern w:val="2"/>
                <w:sz w:val="21"/>
                <w:szCs w:val="21"/>
                <w:lang w:eastAsia="zh-CN"/>
              </w:rPr>
              <w:t>600W；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87" w:type="pct"/>
            <w:vMerge w:val="restart"/>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809" w:type="pct"/>
            <w:vMerge w:val="restart"/>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RS485线</w:t>
            </w: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hint="eastAsia" w:ascii="新宋体" w:hAnsi="新宋体" w:eastAsia="新宋体" w:cstheme="minorBidi"/>
                <w:color w:val="000000"/>
                <w:kern w:val="2"/>
                <w:sz w:val="21"/>
                <w:szCs w:val="21"/>
                <w:lang w:eastAsia="zh-CN"/>
              </w:rPr>
              <w:t>1、</w:t>
            </w:r>
            <w:r>
              <w:rPr>
                <w:rFonts w:hint="eastAsia" w:ascii="新宋体" w:hAnsi="新宋体" w:eastAsia="新宋体" w:cstheme="minorBidi"/>
                <w:color w:val="000000"/>
                <w:kern w:val="2"/>
                <w:sz w:val="21"/>
                <w:szCs w:val="21"/>
                <w:lang w:val="en-US" w:eastAsia="zh-CN"/>
              </w:rPr>
              <w:t>国标产品；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87"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9" w:type="pct"/>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3" w:type="pct"/>
            <w:vAlign w:val="center"/>
          </w:tcPr>
          <w:p>
            <w:pPr>
              <w:widowControl w:val="0"/>
              <w:jc w:val="both"/>
              <w:rPr>
                <w:rFonts w:hint="eastAsia" w:ascii="新宋体" w:hAnsi="新宋体" w:eastAsia="新宋体" w:cstheme="minorBidi"/>
                <w:color w:val="000000"/>
                <w:kern w:val="2"/>
                <w:sz w:val="21"/>
                <w:szCs w:val="21"/>
                <w:lang w:eastAsia="zh-CN"/>
              </w:rPr>
            </w:pPr>
            <w:r>
              <w:rPr>
                <w:rFonts w:hint="eastAsia" w:ascii="新宋体" w:hAnsi="新宋体" w:eastAsia="新宋体" w:cstheme="minorBidi"/>
                <w:color w:val="000000"/>
                <w:kern w:val="2"/>
                <w:sz w:val="21"/>
                <w:szCs w:val="21"/>
                <w:lang w:val="en-US" w:eastAsia="zh-CN"/>
              </w:rPr>
              <w:t>2</w:t>
            </w:r>
            <w:r>
              <w:rPr>
                <w:rFonts w:hint="eastAsia" w:ascii="新宋体" w:hAnsi="新宋体" w:eastAsia="新宋体" w:cstheme="minorBidi"/>
                <w:color w:val="000000"/>
                <w:kern w:val="2"/>
                <w:sz w:val="21"/>
                <w:szCs w:val="21"/>
                <w:lang w:eastAsia="zh-CN"/>
              </w:rPr>
              <w:t>、</w:t>
            </w:r>
            <w:r>
              <w:rPr>
                <w:rFonts w:hint="eastAsia" w:ascii="新宋体" w:hAnsi="新宋体" w:eastAsia="新宋体" w:cstheme="minorBidi"/>
                <w:color w:val="000000"/>
                <w:kern w:val="2"/>
                <w:sz w:val="21"/>
                <w:szCs w:val="21"/>
                <w:lang w:val="en-US" w:eastAsia="zh-CN"/>
              </w:rPr>
              <w:t>具体数量以满足现场使用要求为准；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rPr>
                <w:rFonts w:hint="default"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20</w:t>
            </w:r>
          </w:p>
        </w:tc>
        <w:tc>
          <w:tcPr>
            <w:tcW w:w="809" w:type="pct"/>
            <w:vMerge w:val="restart"/>
            <w:vAlign w:val="center"/>
          </w:tcPr>
          <w:p>
            <w:pPr>
              <w:keepNext w:val="0"/>
              <w:keepLines w:val="0"/>
              <w:widowControl/>
              <w:suppressLineNumbers w:val="0"/>
              <w:jc w:val="center"/>
              <w:textAlignment w:val="center"/>
              <w:rPr>
                <w:rFonts w:hint="default" w:ascii="新宋体" w:hAnsi="新宋体" w:eastAsia="新宋体"/>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安装辅材</w:t>
            </w:r>
          </w:p>
        </w:tc>
        <w:tc>
          <w:tcPr>
            <w:tcW w:w="3903" w:type="pct"/>
            <w:shd w:val="clear" w:color="auto" w:fill="auto"/>
            <w:vAlign w:val="center"/>
          </w:tcPr>
          <w:p>
            <w:pPr>
              <w:widowControl w:val="0"/>
              <w:jc w:val="both"/>
              <w:rPr>
                <w:rFonts w:hint="default" w:ascii="新宋体" w:hAnsi="新宋体" w:eastAsia="新宋体" w:cstheme="minorBidi"/>
                <w:color w:val="000000"/>
                <w:kern w:val="2"/>
                <w:sz w:val="21"/>
                <w:szCs w:val="21"/>
                <w:lang w:val="en-US" w:eastAsia="zh-CN" w:bidi="ar-SA"/>
              </w:rPr>
            </w:pPr>
            <w:r>
              <w:rPr>
                <w:rFonts w:hint="eastAsia" w:ascii="新宋体" w:hAnsi="新宋体" w:eastAsia="新宋体" w:cstheme="minorBidi"/>
                <w:color w:val="000000"/>
                <w:kern w:val="2"/>
                <w:sz w:val="21"/>
                <w:szCs w:val="21"/>
                <w:lang w:eastAsia="zh-CN"/>
              </w:rPr>
              <w:t>1、</w:t>
            </w:r>
            <w:r>
              <w:rPr>
                <w:rFonts w:hint="eastAsia" w:ascii="新宋体" w:hAnsi="新宋体" w:eastAsia="新宋体" w:cstheme="minorBidi"/>
                <w:color w:val="000000"/>
                <w:kern w:val="2"/>
                <w:sz w:val="21"/>
                <w:szCs w:val="21"/>
                <w:lang w:val="en-US" w:eastAsia="zh-CN"/>
              </w:rPr>
              <w:t>包括但不限于：设备安装辅材，布线辅材，线路改造辅材等；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rPr>
                <w:rFonts w:hint="eastAsia" w:ascii="新宋体" w:hAnsi="新宋体" w:eastAsia="新宋体"/>
                <w:color w:val="000000"/>
                <w:sz w:val="21"/>
                <w:szCs w:val="21"/>
                <w:lang w:val="en-US" w:eastAsia="zh-CN"/>
              </w:rPr>
            </w:pPr>
          </w:p>
        </w:tc>
        <w:tc>
          <w:tcPr>
            <w:tcW w:w="809" w:type="pct"/>
            <w:vMerge w:val="continue"/>
            <w:vAlign w:val="center"/>
          </w:tcPr>
          <w:p>
            <w:pPr>
              <w:rPr>
                <w:rFonts w:hint="eastAsia" w:ascii="新宋体" w:hAnsi="新宋体" w:eastAsia="新宋体"/>
                <w:color w:val="000000"/>
                <w:sz w:val="21"/>
                <w:szCs w:val="21"/>
                <w:lang w:val="en-US" w:eastAsia="zh-CN"/>
              </w:rPr>
            </w:pPr>
          </w:p>
        </w:tc>
        <w:tc>
          <w:tcPr>
            <w:tcW w:w="3903" w:type="pct"/>
            <w:shd w:val="clear" w:color="auto" w:fill="auto"/>
            <w:vAlign w:val="center"/>
          </w:tcPr>
          <w:p>
            <w:pPr>
              <w:widowControl w:val="0"/>
              <w:jc w:val="both"/>
              <w:rPr>
                <w:rFonts w:hint="default" w:ascii="新宋体" w:hAnsi="新宋体" w:eastAsia="新宋体" w:cstheme="minorBidi"/>
                <w:color w:val="000000"/>
                <w:kern w:val="2"/>
                <w:sz w:val="21"/>
                <w:szCs w:val="21"/>
                <w:lang w:val="en-US" w:eastAsia="zh-CN" w:bidi="ar-SA"/>
              </w:rPr>
            </w:pPr>
            <w:r>
              <w:rPr>
                <w:rFonts w:hint="eastAsia" w:ascii="新宋体" w:hAnsi="新宋体" w:eastAsia="新宋体" w:cstheme="minorBidi"/>
                <w:color w:val="000000"/>
                <w:kern w:val="2"/>
                <w:sz w:val="21"/>
                <w:szCs w:val="21"/>
                <w:lang w:val="en-US" w:eastAsia="zh-CN"/>
              </w:rPr>
              <w:t>2</w:t>
            </w:r>
            <w:r>
              <w:rPr>
                <w:rFonts w:hint="eastAsia" w:ascii="新宋体" w:hAnsi="新宋体" w:eastAsia="新宋体" w:cstheme="minorBidi"/>
                <w:color w:val="000000"/>
                <w:kern w:val="2"/>
                <w:sz w:val="21"/>
                <w:szCs w:val="21"/>
                <w:lang w:eastAsia="zh-CN"/>
              </w:rPr>
              <w:t>、</w:t>
            </w:r>
            <w:r>
              <w:rPr>
                <w:rFonts w:hint="eastAsia" w:ascii="新宋体" w:hAnsi="新宋体" w:eastAsia="新宋体" w:cstheme="minorBidi"/>
                <w:color w:val="000000"/>
                <w:kern w:val="2"/>
                <w:sz w:val="21"/>
                <w:szCs w:val="21"/>
                <w:lang w:val="en-US" w:eastAsia="zh-CN"/>
              </w:rPr>
              <w:t>具体数量以满足现场使用要求为准；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rPr>
                <w:rFonts w:hint="default"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21</w:t>
            </w:r>
          </w:p>
        </w:tc>
        <w:tc>
          <w:tcPr>
            <w:tcW w:w="809" w:type="pct"/>
            <w:vMerge w:val="restart"/>
            <w:vAlign w:val="center"/>
          </w:tcPr>
          <w:p>
            <w:pPr>
              <w:jc w:val="center"/>
              <w:rPr>
                <w:rFonts w:hint="default"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操作凳</w:t>
            </w: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ascii="新宋体" w:hAnsi="新宋体" w:eastAsia="新宋体" w:cstheme="minorBidi"/>
                <w:color w:val="000000"/>
                <w:kern w:val="2"/>
                <w:sz w:val="21"/>
                <w:szCs w:val="21"/>
                <w:lang w:eastAsia="zh-CN"/>
              </w:rPr>
              <w:t>1、凳脚材质：4个凳脚采用无缝钢管模具一次成型。全圆满焊接完成，结构牢固，经高温粉体烤漆处理。螺旋升降式，升降距离≥50mm，最高离地距离≥500mm。凳面直径≥315，高度450-500mm；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rPr>
                <w:rFonts w:hint="eastAsia" w:ascii="新宋体" w:hAnsi="新宋体" w:eastAsia="新宋体"/>
                <w:color w:val="000000"/>
                <w:sz w:val="21"/>
                <w:szCs w:val="21"/>
                <w:lang w:val="en-US" w:eastAsia="zh-CN"/>
              </w:rPr>
            </w:pPr>
          </w:p>
        </w:tc>
        <w:tc>
          <w:tcPr>
            <w:tcW w:w="809" w:type="pct"/>
            <w:vMerge w:val="continue"/>
            <w:vAlign w:val="center"/>
          </w:tcPr>
          <w:p>
            <w:pPr>
              <w:rPr>
                <w:rFonts w:hint="eastAsia" w:ascii="新宋体" w:hAnsi="新宋体" w:eastAsia="新宋体"/>
                <w:color w:val="000000"/>
                <w:sz w:val="21"/>
                <w:szCs w:val="21"/>
                <w:lang w:val="en-US" w:eastAsia="zh-CN"/>
              </w:rPr>
            </w:pP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ascii="新宋体" w:hAnsi="新宋体" w:eastAsia="新宋体" w:cstheme="minorBidi"/>
                <w:color w:val="000000"/>
                <w:kern w:val="2"/>
                <w:sz w:val="21"/>
                <w:szCs w:val="21"/>
                <w:lang w:eastAsia="zh-CN"/>
              </w:rPr>
              <w:t>2、凳面材质：采用高密度ABS注塑。表面细纹咬花，凳面底部镶嵌4枚螺纹，采用不锈钢螺丝与托盘固定；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rPr>
                <w:rFonts w:hint="eastAsia" w:ascii="新宋体" w:hAnsi="新宋体" w:eastAsia="新宋体"/>
                <w:color w:val="000000"/>
                <w:sz w:val="21"/>
                <w:szCs w:val="21"/>
                <w:lang w:val="en-US" w:eastAsia="zh-CN"/>
              </w:rPr>
            </w:pPr>
          </w:p>
        </w:tc>
        <w:tc>
          <w:tcPr>
            <w:tcW w:w="809" w:type="pct"/>
            <w:vMerge w:val="continue"/>
            <w:vAlign w:val="center"/>
          </w:tcPr>
          <w:p>
            <w:pPr>
              <w:rPr>
                <w:rFonts w:hint="eastAsia" w:ascii="新宋体" w:hAnsi="新宋体" w:eastAsia="新宋体"/>
                <w:color w:val="000000"/>
                <w:sz w:val="21"/>
                <w:szCs w:val="21"/>
                <w:lang w:val="en-US" w:eastAsia="zh-CN"/>
              </w:rPr>
            </w:pP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ascii="新宋体" w:hAnsi="新宋体" w:eastAsia="新宋体" w:cstheme="minorBidi"/>
                <w:color w:val="000000"/>
                <w:kern w:val="2"/>
                <w:sz w:val="21"/>
                <w:szCs w:val="21"/>
                <w:lang w:eastAsia="zh-CN"/>
              </w:rPr>
              <w:t>3、脚垫材质：采用PP加耐磨纤维增强塑料</w:t>
            </w:r>
            <w:r>
              <w:rPr>
                <w:rFonts w:hint="eastAsia" w:ascii="新宋体" w:hAnsi="新宋体" w:eastAsia="新宋体" w:cstheme="minorBidi"/>
                <w:color w:val="00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rPr>
                <w:rFonts w:hint="eastAsia" w:ascii="新宋体" w:hAnsi="新宋体" w:eastAsia="新宋体"/>
                <w:color w:val="000000"/>
                <w:sz w:val="21"/>
                <w:szCs w:val="21"/>
                <w:lang w:val="en-US" w:eastAsia="zh-CN"/>
              </w:rPr>
            </w:pPr>
          </w:p>
        </w:tc>
        <w:tc>
          <w:tcPr>
            <w:tcW w:w="809" w:type="pct"/>
            <w:vMerge w:val="continue"/>
            <w:vAlign w:val="center"/>
          </w:tcPr>
          <w:p>
            <w:pPr>
              <w:rPr>
                <w:rFonts w:hint="eastAsia" w:ascii="新宋体" w:hAnsi="新宋体" w:eastAsia="新宋体"/>
                <w:color w:val="000000"/>
                <w:sz w:val="21"/>
                <w:szCs w:val="21"/>
                <w:lang w:val="en-US" w:eastAsia="zh-CN"/>
              </w:rPr>
            </w:pP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ascii="新宋体" w:hAnsi="新宋体" w:eastAsia="新宋体" w:cstheme="minorBidi"/>
                <w:color w:val="000000"/>
                <w:kern w:val="2"/>
                <w:sz w:val="21"/>
                <w:szCs w:val="21"/>
                <w:lang w:eastAsia="zh-CN"/>
              </w:rPr>
              <w:t>▲4、依据GB/T 32487-2016标准对实验凳塑料材料理化性能进行检测，冲击强度检测结果≥3.2KJ/㎡；依据GB/T 3325-2024标准对实验凳进行金属喷涂（塑）涂层</w:t>
            </w:r>
            <w:r>
              <w:rPr>
                <w:rFonts w:hint="eastAsia" w:ascii="新宋体" w:hAnsi="新宋体" w:eastAsia="新宋体" w:cstheme="minorBidi"/>
                <w:color w:val="000000"/>
                <w:kern w:val="2"/>
                <w:sz w:val="21"/>
                <w:szCs w:val="21"/>
                <w:lang w:val="en-US" w:eastAsia="zh-CN"/>
              </w:rPr>
              <w:t xml:space="preserve"> </w:t>
            </w:r>
            <w:r>
              <w:rPr>
                <w:rFonts w:ascii="新宋体" w:hAnsi="新宋体" w:eastAsia="新宋体" w:cstheme="minorBidi"/>
                <w:color w:val="000000"/>
                <w:kern w:val="2"/>
                <w:sz w:val="21"/>
                <w:szCs w:val="21"/>
                <w:lang w:eastAsia="zh-CN"/>
              </w:rPr>
              <w:t>理化性能检测，硬度检测结果≥H；冲击高度400mm，无剥落、裂纹、皱纹；附着力检测结果≥1级。</w:t>
            </w:r>
            <w:r>
              <w:rPr>
                <w:rFonts w:hint="eastAsia" w:ascii="新宋体" w:hAnsi="新宋体" w:eastAsia="新宋体" w:cstheme="minorBidi"/>
                <w:color w:val="000000"/>
                <w:kern w:val="2"/>
                <w:sz w:val="21"/>
                <w:szCs w:val="21"/>
                <w:lang w:eastAsia="zh-CN"/>
              </w:rPr>
              <w:t>投标时同时提供：①由第三方检验检测机构出具并加盖（或带有）CMA标志的检验检测报告扫描件，原件备查；②上述检验检测报告在全国认证认可信息公共服务平台（认e云）（http://cx.cnca.cn/）的信息查询记录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pPr>
              <w:rPr>
                <w:rFonts w:hint="default" w:ascii="新宋体" w:hAnsi="新宋体" w:eastAsia="新宋体"/>
                <w:color w:val="000000"/>
                <w:sz w:val="21"/>
                <w:szCs w:val="21"/>
                <w:lang w:val="en-US" w:eastAsia="zh-CN"/>
              </w:rPr>
            </w:pPr>
            <w:r>
              <w:rPr>
                <w:rFonts w:hint="eastAsia" w:ascii="新宋体" w:hAnsi="新宋体" w:eastAsia="新宋体"/>
                <w:color w:val="000000"/>
                <w:sz w:val="21"/>
                <w:szCs w:val="21"/>
                <w:lang w:val="en-US" w:eastAsia="zh-CN"/>
              </w:rPr>
              <w:t>21</w:t>
            </w:r>
          </w:p>
        </w:tc>
        <w:tc>
          <w:tcPr>
            <w:tcW w:w="809" w:type="pct"/>
            <w:vMerge w:val="restart"/>
            <w:vAlign w:val="center"/>
          </w:tcPr>
          <w:p>
            <w:pPr>
              <w:keepNext w:val="0"/>
              <w:keepLines w:val="0"/>
              <w:widowControl/>
              <w:suppressLineNumbers w:val="0"/>
              <w:jc w:val="center"/>
              <w:textAlignment w:val="center"/>
              <w:rPr>
                <w:rFonts w:hint="eastAsia" w:ascii="新宋体" w:hAnsi="新宋体" w:eastAsia="新宋体"/>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安装调试</w:t>
            </w:r>
          </w:p>
        </w:tc>
        <w:tc>
          <w:tcPr>
            <w:tcW w:w="3903" w:type="pct"/>
            <w:vAlign w:val="center"/>
          </w:tcPr>
          <w:p>
            <w:pPr>
              <w:widowControl w:val="0"/>
              <w:jc w:val="both"/>
              <w:rPr>
                <w:rFonts w:hint="default" w:ascii="新宋体" w:hAnsi="新宋体" w:eastAsia="新宋体"/>
                <w:color w:val="000000"/>
                <w:sz w:val="21"/>
                <w:szCs w:val="21"/>
                <w:lang w:val="en-US" w:eastAsia="zh-CN"/>
              </w:rPr>
            </w:pPr>
            <w:r>
              <w:rPr>
                <w:rFonts w:hint="eastAsia" w:ascii="新宋体" w:hAnsi="新宋体" w:eastAsia="新宋体" w:cstheme="minorBidi"/>
                <w:color w:val="000000"/>
                <w:kern w:val="2"/>
                <w:sz w:val="21"/>
                <w:szCs w:val="21"/>
                <w:lang w:eastAsia="zh-CN"/>
              </w:rPr>
              <w:t>1、</w:t>
            </w:r>
            <w:r>
              <w:rPr>
                <w:rFonts w:hint="eastAsia" w:ascii="新宋体" w:hAnsi="新宋体" w:eastAsia="新宋体" w:cstheme="minorBidi"/>
                <w:color w:val="000000"/>
                <w:kern w:val="2"/>
                <w:sz w:val="21"/>
                <w:szCs w:val="21"/>
                <w:lang w:val="en-US" w:eastAsia="zh-CN"/>
              </w:rPr>
              <w:t>包括但不限于：设备安装，综合布线，原有线路改造等；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pPr>
              <w:rPr>
                <w:rFonts w:hint="eastAsia" w:ascii="新宋体" w:hAnsi="新宋体" w:eastAsia="新宋体"/>
                <w:color w:val="000000"/>
                <w:sz w:val="21"/>
                <w:szCs w:val="21"/>
                <w:lang w:val="en-US" w:eastAsia="zh-CN"/>
              </w:rPr>
            </w:pPr>
          </w:p>
        </w:tc>
        <w:tc>
          <w:tcPr>
            <w:tcW w:w="809" w:type="pct"/>
            <w:vMerge w:val="continue"/>
            <w:vAlign w:val="center"/>
          </w:tcPr>
          <w:p>
            <w:pPr>
              <w:rPr>
                <w:rFonts w:hint="eastAsia" w:ascii="新宋体" w:hAnsi="新宋体" w:eastAsia="新宋体"/>
                <w:color w:val="000000"/>
                <w:sz w:val="21"/>
                <w:szCs w:val="21"/>
                <w:lang w:val="en-US" w:eastAsia="zh-CN"/>
              </w:rPr>
            </w:pPr>
          </w:p>
        </w:tc>
        <w:tc>
          <w:tcPr>
            <w:tcW w:w="3903" w:type="pct"/>
            <w:vAlign w:val="center"/>
          </w:tcPr>
          <w:p>
            <w:pPr>
              <w:widowControl w:val="0"/>
              <w:jc w:val="both"/>
              <w:rPr>
                <w:rFonts w:hint="eastAsia" w:ascii="新宋体" w:hAnsi="新宋体" w:eastAsia="新宋体"/>
                <w:color w:val="000000"/>
                <w:sz w:val="21"/>
                <w:szCs w:val="21"/>
                <w:lang w:val="en-US" w:eastAsia="zh-CN"/>
              </w:rPr>
            </w:pPr>
            <w:r>
              <w:rPr>
                <w:rFonts w:hint="eastAsia" w:ascii="新宋体" w:hAnsi="新宋体" w:eastAsia="新宋体" w:cstheme="minorBidi"/>
                <w:color w:val="000000"/>
                <w:kern w:val="2"/>
                <w:sz w:val="21"/>
                <w:szCs w:val="21"/>
                <w:lang w:val="en-US" w:eastAsia="zh-CN"/>
              </w:rPr>
              <w:t>2</w:t>
            </w:r>
            <w:r>
              <w:rPr>
                <w:rFonts w:hint="eastAsia" w:ascii="新宋体" w:hAnsi="新宋体" w:eastAsia="新宋体" w:cstheme="minorBidi"/>
                <w:color w:val="000000"/>
                <w:kern w:val="2"/>
                <w:sz w:val="21"/>
                <w:szCs w:val="21"/>
                <w:lang w:eastAsia="zh-CN"/>
              </w:rPr>
              <w:t>、</w:t>
            </w:r>
            <w:r>
              <w:rPr>
                <w:rFonts w:hint="eastAsia" w:ascii="新宋体" w:hAnsi="新宋体" w:eastAsia="新宋体" w:cstheme="minorBidi"/>
                <w:color w:val="000000"/>
                <w:kern w:val="2"/>
                <w:sz w:val="21"/>
                <w:szCs w:val="21"/>
                <w:lang w:val="en-US" w:eastAsia="zh-CN"/>
              </w:rPr>
              <w:t>具体内容以满足现场使用要求为准；</w:t>
            </w:r>
          </w:p>
        </w:tc>
      </w:tr>
    </w:tbl>
    <w:p>
      <w:pPr>
        <w:rPr>
          <w:rFonts w:hint="eastAsia" w:ascii="宋体" w:hAnsi="宋体" w:eastAsia="宋体" w:cs="Times New Roman"/>
          <w:b/>
          <w:color w:val="FF0000"/>
          <w:szCs w:val="21"/>
        </w:rPr>
      </w:pPr>
    </w:p>
    <w:p>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spacing w:after="78"/>
        <w:jc w:val="left"/>
        <w:rPr>
          <w:rFonts w:hint="eastAsia" w:eastAsia="黑体" w:cs="Times New Roman"/>
          <w:kern w:val="44"/>
          <w:szCs w:val="44"/>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pStyle w:val="5"/>
        <w:spacing w:before="156" w:beforeLines="50" w:after="156" w:afterLines="50" w:line="416" w:lineRule="auto"/>
        <w:jc w:val="center"/>
        <w:rPr>
          <w:rFonts w:hint="eastAsia"/>
          <w:szCs w:val="28"/>
        </w:rPr>
      </w:pPr>
      <w:r>
        <w:rPr>
          <w:rFonts w:hint="eastAsia"/>
          <w:szCs w:val="28"/>
        </w:rPr>
        <w:t>六、其他重要条款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pPr>
        <w:pStyle w:val="2"/>
      </w:pPr>
      <w:bookmarkStart w:id="15" w:name="_Hlk72257167"/>
    </w:p>
    <w:bookmarkEnd w:id="15"/>
    <w:p>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pPr>
        <w:ind w:firstLine="1200" w:firstLineChars="500"/>
        <w:outlineLvl w:val="0"/>
        <w:rPr>
          <w:rFonts w:hint="eastAsia" w:ascii="宋体" w:hAnsi="宋体"/>
          <w:sz w:val="24"/>
        </w:rPr>
      </w:pPr>
      <w:bookmarkStart w:id="16" w:name="_Hlk72257771"/>
      <w:r>
        <w:rPr>
          <w:rFonts w:hint="eastAsia" w:ascii="宋体" w:hAnsi="宋体"/>
          <w:sz w:val="24"/>
        </w:rPr>
        <w:t>1.投标文件正文，主要包括以下内容：</w:t>
      </w:r>
    </w:p>
    <w:p>
      <w:pPr>
        <w:ind w:left="718" w:leftChars="342" w:firstLine="1417" w:firstLineChars="675"/>
        <w:rPr>
          <w:szCs w:val="21"/>
        </w:rPr>
      </w:pPr>
      <w:r>
        <w:rPr>
          <w:rFonts w:hint="eastAsia"/>
          <w:szCs w:val="21"/>
        </w:rPr>
        <w:t>（1）</w:t>
      </w:r>
      <w:bookmarkStart w:id="17" w:name="_Hlk72070784"/>
      <w:r>
        <w:rPr>
          <w:rFonts w:hint="eastAsia"/>
          <w:szCs w:val="21"/>
        </w:rPr>
        <w:t>投标函</w:t>
      </w:r>
      <w:bookmarkEnd w:id="17"/>
    </w:p>
    <w:p>
      <w:pPr>
        <w:ind w:left="718" w:leftChars="342" w:firstLine="1417" w:firstLineChars="675"/>
        <w:rPr>
          <w:szCs w:val="21"/>
        </w:rPr>
      </w:pPr>
      <w:r>
        <w:rPr>
          <w:rFonts w:hint="eastAsia"/>
          <w:szCs w:val="21"/>
        </w:rPr>
        <w:t>（2）</w:t>
      </w:r>
      <w:bookmarkStart w:id="18" w:name="_Hlk72062521"/>
      <w:r>
        <w:rPr>
          <w:rFonts w:hint="eastAsia"/>
          <w:szCs w:val="21"/>
        </w:rPr>
        <w:t>政府采购投标及履约承诺函</w:t>
      </w:r>
      <w:bookmarkEnd w:id="18"/>
    </w:p>
    <w:p>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pPr>
        <w:ind w:left="718" w:leftChars="342" w:firstLine="1417" w:firstLineChars="675"/>
        <w:rPr>
          <w:szCs w:val="21"/>
        </w:rPr>
      </w:pPr>
      <w:bookmarkStart w:id="19" w:name="_Hlk72257201"/>
      <w:r>
        <w:rPr>
          <w:rFonts w:hint="eastAsia"/>
          <w:szCs w:val="21"/>
        </w:rPr>
        <w:t>（</w:t>
      </w:r>
      <w:r>
        <w:rPr>
          <w:szCs w:val="21"/>
        </w:rPr>
        <w:t>4</w:t>
      </w:r>
      <w:r>
        <w:rPr>
          <w:rFonts w:hint="eastAsia"/>
          <w:szCs w:val="21"/>
        </w:rPr>
        <w:t>）项目详细报价</w:t>
      </w:r>
    </w:p>
    <w:bookmarkEnd w:id="19"/>
    <w:p>
      <w:pPr>
        <w:ind w:left="718" w:leftChars="342" w:firstLine="1417" w:firstLineChars="675"/>
        <w:rPr>
          <w:rFonts w:hint="eastAsia"/>
          <w:szCs w:val="21"/>
          <w:lang w:eastAsia="zh-CN"/>
        </w:rPr>
      </w:pPr>
      <w:r>
        <w:rPr>
          <w:rFonts w:hint="eastAsia"/>
          <w:szCs w:val="21"/>
        </w:rPr>
        <w:t>（5）</w:t>
      </w:r>
      <w:r>
        <w:rPr>
          <w:rFonts w:hint="eastAsia"/>
          <w:szCs w:val="21"/>
          <w:lang w:eastAsia="zh-CN"/>
        </w:rPr>
        <w:t>供应商情况表</w:t>
      </w:r>
    </w:p>
    <w:p>
      <w:pPr>
        <w:ind w:left="718" w:leftChars="342" w:firstLine="1417" w:firstLineChars="675"/>
        <w:rPr>
          <w:rFonts w:hint="default" w:eastAsiaTheme="minorEastAsia"/>
          <w:szCs w:val="21"/>
          <w:lang w:val="en-US" w:eastAsia="zh-CN"/>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供应商基本情况表</w:t>
      </w:r>
    </w:p>
    <w:p>
      <w:pPr>
        <w:ind w:firstLine="1200" w:firstLineChars="500"/>
        <w:outlineLvl w:val="0"/>
        <w:rPr>
          <w:rFonts w:hint="eastAsia" w:ascii="宋体" w:hAnsi="宋体"/>
          <w:sz w:val="24"/>
        </w:rPr>
      </w:pPr>
      <w:r>
        <w:rPr>
          <w:rFonts w:hint="eastAsia" w:ascii="宋体" w:hAnsi="宋体"/>
          <w:sz w:val="24"/>
        </w:rPr>
        <w:t>2.投标文件附件：主要包括以下内容：</w:t>
      </w:r>
    </w:p>
    <w:p>
      <w:pPr>
        <w:ind w:firstLine="2100" w:firstLineChars="1000"/>
        <w:rPr>
          <w:szCs w:val="21"/>
        </w:rPr>
      </w:pPr>
      <w:r>
        <w:rPr>
          <w:rFonts w:hint="eastAsia"/>
          <w:szCs w:val="21"/>
        </w:rPr>
        <w:t>（1）法定代表人（负责人）证明书</w:t>
      </w:r>
    </w:p>
    <w:p>
      <w:pPr>
        <w:ind w:left="718" w:leftChars="342" w:firstLine="1417" w:firstLineChars="675"/>
        <w:rPr>
          <w:szCs w:val="21"/>
        </w:rPr>
      </w:pPr>
      <w:r>
        <w:rPr>
          <w:rFonts w:hint="eastAsia"/>
          <w:szCs w:val="21"/>
        </w:rPr>
        <w:t>（2）投标文件签署授权委托书</w:t>
      </w:r>
    </w:p>
    <w:p>
      <w:pPr>
        <w:ind w:left="718" w:leftChars="342" w:firstLine="1417" w:firstLineChars="675"/>
        <w:rPr>
          <w:szCs w:val="21"/>
        </w:rPr>
      </w:pPr>
      <w:r>
        <w:rPr>
          <w:rFonts w:hint="eastAsia"/>
          <w:szCs w:val="21"/>
        </w:rPr>
        <w:t>（3）实质性条款响应情况表</w:t>
      </w:r>
    </w:p>
    <w:p>
      <w:pPr>
        <w:ind w:left="718" w:leftChars="342" w:firstLine="1417" w:firstLineChars="675"/>
        <w:rPr>
          <w:szCs w:val="21"/>
        </w:rPr>
      </w:pPr>
      <w:r>
        <w:rPr>
          <w:rFonts w:hint="eastAsia"/>
          <w:szCs w:val="21"/>
        </w:rPr>
        <w:t>（</w:t>
      </w:r>
      <w:r>
        <w:rPr>
          <w:szCs w:val="21"/>
        </w:rPr>
        <w:t>4</w:t>
      </w:r>
      <w:r>
        <w:rPr>
          <w:rFonts w:hint="eastAsia"/>
          <w:szCs w:val="21"/>
        </w:rPr>
        <w:t>）商务要求偏离表</w:t>
      </w:r>
    </w:p>
    <w:p>
      <w:pPr>
        <w:ind w:left="718" w:leftChars="342" w:firstLine="1417" w:firstLineChars="675"/>
        <w:rPr>
          <w:szCs w:val="21"/>
        </w:rPr>
      </w:pPr>
      <w:r>
        <w:rPr>
          <w:rFonts w:hint="eastAsia"/>
          <w:szCs w:val="21"/>
        </w:rPr>
        <w:t>（</w:t>
      </w:r>
      <w:r>
        <w:rPr>
          <w:szCs w:val="21"/>
        </w:rPr>
        <w:t>5</w:t>
      </w:r>
      <w:r>
        <w:rPr>
          <w:rFonts w:hint="eastAsia"/>
          <w:szCs w:val="21"/>
        </w:rPr>
        <w:t>）技术要求偏离表</w:t>
      </w:r>
    </w:p>
    <w:p>
      <w:pPr>
        <w:ind w:left="718" w:leftChars="342" w:firstLine="1417" w:firstLineChars="675"/>
        <w:rPr>
          <w:rFonts w:hint="eastAsia" w:eastAsiaTheme="minorEastAsia"/>
          <w:szCs w:val="21"/>
          <w:lang w:eastAsia="zh-CN"/>
        </w:rPr>
      </w:pPr>
      <w:r>
        <w:rPr>
          <w:rFonts w:hint="eastAsia"/>
          <w:szCs w:val="21"/>
        </w:rPr>
        <w:t>（6）</w:t>
      </w:r>
      <w:r>
        <w:rPr>
          <w:rFonts w:hint="eastAsia"/>
          <w:szCs w:val="21"/>
          <w:lang w:eastAsia="zh-CN"/>
        </w:rPr>
        <w:t>技术</w:t>
      </w:r>
      <w:r>
        <w:rPr>
          <w:rFonts w:hint="eastAsia"/>
          <w:szCs w:val="21"/>
        </w:rPr>
        <w:t>保障措施</w:t>
      </w:r>
    </w:p>
    <w:p>
      <w:pPr>
        <w:ind w:left="718" w:leftChars="342" w:firstLine="1417" w:firstLineChars="675"/>
        <w:rPr>
          <w:rFonts w:hint="eastAsia"/>
          <w:lang w:eastAsia="zh-CN"/>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ascii="宋体" w:hAnsi="宋体"/>
          <w:szCs w:val="21"/>
        </w:rPr>
        <w:t>设计方案</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ascii="宋体" w:hAnsi="宋体"/>
          <w:szCs w:val="21"/>
        </w:rPr>
        <w:t>现场勘察</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9</w:t>
      </w:r>
      <w:r>
        <w:rPr>
          <w:rFonts w:hint="eastAsia"/>
          <w:szCs w:val="21"/>
          <w:lang w:eastAsia="zh-CN"/>
        </w:rPr>
        <w:t>）同类项目业绩</w:t>
      </w:r>
    </w:p>
    <w:p>
      <w:pPr>
        <w:ind w:left="718" w:leftChars="342" w:firstLine="1417" w:firstLineChars="675"/>
        <w:rPr>
          <w:szCs w:val="21"/>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投标人认为需要加以说明的其他内容</w:t>
      </w:r>
    </w:p>
    <w:p>
      <w:pPr>
        <w:spacing w:line="320" w:lineRule="atLeast"/>
        <w:rPr>
          <w:rFonts w:hint="eastAsia" w:ascii="宋体" w:hAnsi="宋体"/>
          <w:b/>
          <w:sz w:val="24"/>
          <w:szCs w:val="24"/>
        </w:rPr>
      </w:pPr>
      <w:r>
        <w:rPr>
          <w:rFonts w:hint="eastAsia" w:ascii="宋体" w:hAnsi="宋体"/>
          <w:b/>
          <w:sz w:val="24"/>
          <w:szCs w:val="24"/>
        </w:rPr>
        <w:t>备注：</w:t>
      </w:r>
    </w:p>
    <w:p>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pPr>
        <w:snapToGrid w:val="0"/>
        <w:spacing w:after="78" w:afterLines="25"/>
        <w:ind w:firstLine="482" w:firstLineChars="200"/>
        <w:rPr>
          <w:rFonts w:hint="eastAsia" w:ascii="宋体" w:hAnsi="宋体" w:eastAsia="黑体" w:cs="Times New Roman"/>
          <w:bCs/>
          <w:kern w:val="44"/>
          <w:sz w:val="32"/>
          <w:szCs w:val="32"/>
        </w:rPr>
      </w:pPr>
      <w:bookmarkStart w:id="20" w:name="_Hlk72263559"/>
      <w:r>
        <w:rPr>
          <w:rFonts w:hint="eastAsia" w:ascii="宋体" w:hAnsi="宋体"/>
          <w:b/>
          <w:sz w:val="24"/>
          <w:szCs w:val="24"/>
        </w:rPr>
        <w:t>2.关于填写“开标一览表”的说明：“开标一览表”中除“投标总价”外，其他信息不作评审依据。</w:t>
      </w:r>
      <w:bookmarkEnd w:id="16"/>
      <w:bookmarkEnd w:id="20"/>
      <w:r>
        <w:rPr>
          <w:rFonts w:ascii="宋体" w:hAnsi="宋体" w:eastAsia="黑体" w:cs="Times New Roman"/>
          <w:bCs/>
          <w:kern w:val="44"/>
          <w:sz w:val="32"/>
          <w:szCs w:val="32"/>
        </w:rPr>
        <w:br w:type="page"/>
      </w:r>
    </w:p>
    <w:p>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pPr>
        <w:pStyle w:val="5"/>
        <w:jc w:val="center"/>
        <w:rPr>
          <w:rFonts w:hint="eastAsia" w:ascii="黑体" w:eastAsia="黑体"/>
          <w:b w:val="0"/>
          <w:sz w:val="24"/>
        </w:rPr>
      </w:pPr>
      <w:r>
        <w:rPr>
          <w:rFonts w:hint="eastAsia" w:ascii="黑体" w:eastAsia="黑体"/>
          <w:b w:val="0"/>
          <w:sz w:val="24"/>
        </w:rPr>
        <w:t>一、投标函</w:t>
      </w:r>
    </w:p>
    <w:p>
      <w:pPr>
        <w:spacing w:line="360" w:lineRule="auto"/>
        <w:rPr>
          <w:rFonts w:hint="eastAsia" w:ascii="宋体" w:hAnsi="宋体"/>
          <w:szCs w:val="21"/>
        </w:rPr>
      </w:pPr>
      <w:bookmarkStart w:id="21"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hint="eastAsia" w:ascii="宋体" w:hAnsi="宋体"/>
          <w:szCs w:val="21"/>
        </w:rPr>
      </w:pPr>
      <w:bookmarkStart w:id="22"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3" w:name="_Hlk72263588"/>
      <w:r>
        <w:rPr>
          <w:rFonts w:hint="eastAsia"/>
          <w:szCs w:val="21"/>
        </w:rPr>
        <w:t>愿意按照招标文件要求承包上述项目并修补其任何缺陷。</w:t>
      </w:r>
      <w:bookmarkEnd w:id="23"/>
    </w:p>
    <w:p>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4" w:name="_Hlk73819847"/>
      <w:r>
        <w:rPr>
          <w:rFonts w:hint="eastAsia" w:ascii="宋体" w:hAnsi="宋体"/>
          <w:szCs w:val="21"/>
        </w:rPr>
        <w:t>投标价格见</w:t>
      </w:r>
      <w:r>
        <w:rPr>
          <w:rFonts w:hint="eastAsia"/>
          <w:szCs w:val="21"/>
        </w:rPr>
        <w:t>投标书编制软件中《开标一览表》中填写的投标总价。</w:t>
      </w:r>
      <w:bookmarkEnd w:id="24"/>
    </w:p>
    <w:p>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2"/>
    </w:p>
    <w:p>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rPr>
          <w:rFonts w:hint="eastAsia" w:ascii="黑体" w:hAnsi="宋体" w:eastAsia="黑体"/>
        </w:rPr>
      </w:pPr>
    </w:p>
    <w:p>
      <w:pPr>
        <w:rPr>
          <w:rFonts w:hint="eastAsia" w:ascii="黑体" w:hAnsi="宋体" w:eastAsia="黑体"/>
        </w:rPr>
      </w:pPr>
    </w:p>
    <w:bookmarkEnd w:id="21"/>
    <w:p>
      <w:pPr>
        <w:pStyle w:val="5"/>
        <w:jc w:val="center"/>
        <w:rPr>
          <w:rFonts w:hint="eastAsia" w:ascii="黑体" w:eastAsia="黑体"/>
          <w:b w:val="0"/>
          <w:sz w:val="24"/>
        </w:rPr>
      </w:pPr>
      <w:r>
        <w:rPr>
          <w:rFonts w:hint="eastAsia" w:ascii="黑体" w:eastAsia="黑体"/>
          <w:b w:val="0"/>
          <w:sz w:val="24"/>
        </w:rPr>
        <w:t>二、政府采购投标及履约承诺函</w:t>
      </w:r>
    </w:p>
    <w:p>
      <w:pPr>
        <w:rPr>
          <w:rFonts w:hint="eastAsia" w:ascii="宋体" w:hAnsi="宋体"/>
          <w:color w:val="FF0000"/>
          <w:szCs w:val="21"/>
        </w:rPr>
      </w:pPr>
      <w:bookmarkStart w:id="25"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pPr>
        <w:ind w:firstLine="420" w:firstLineChars="200"/>
        <w:rPr>
          <w:rFonts w:hint="eastAsia"/>
          <w:lang w:eastAsia="zh-CN"/>
        </w:rPr>
      </w:pPr>
      <w:r>
        <w:rPr>
          <w:rFonts w:hint="eastAsia" w:ascii="宋体" w:hAnsi="宋体"/>
          <w:szCs w:val="21"/>
        </w:rPr>
        <w:t>4.我单位</w:t>
      </w:r>
      <w:r>
        <w:rPr>
          <w:rFonts w:hint="eastAsia"/>
        </w:rPr>
        <w:t>未被列入失信被执行人、重大税收违法案件当事人名单、政府采购严重违法失信行为记录名单</w:t>
      </w:r>
      <w:r>
        <w:rPr>
          <w:rFonts w:hint="eastAsia"/>
          <w:lang w:eastAsia="zh-CN"/>
        </w:rPr>
        <w:t>。</w:t>
      </w:r>
    </w:p>
    <w:p>
      <w:pPr>
        <w:ind w:firstLine="420" w:firstLineChars="200"/>
        <w:rPr>
          <w:rFonts w:hint="eastAsia"/>
          <w:lang w:eastAsia="zh-CN"/>
        </w:rPr>
      </w:pPr>
      <w:r>
        <w:rPr>
          <w:rFonts w:hint="eastAsia" w:ascii="Times New Roman" w:eastAsia="宋体"/>
          <w:color w:val="FF0000"/>
          <w:lang w:val="en-US" w:eastAsia="zh-CN"/>
        </w:rPr>
        <w:t>5.我单位不存在《深圳市财政局政府采购供应商信用信息管理办法》（深财规〔2023〕3号）列明的严重违法失信行为。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pPr>
        <w:ind w:firstLine="420" w:firstLineChars="200"/>
        <w:rPr>
          <w:rFonts w:hint="eastAsia" w:ascii="宋体" w:hAnsi="宋体"/>
          <w:b w:val="0"/>
          <w:bCs/>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w:t>
      </w:r>
      <w:bookmarkStart w:id="26" w:name="OLE_LINK12"/>
      <w:bookmarkStart w:id="27" w:name="OLE_LINK3"/>
      <w:r>
        <w:rPr>
          <w:rFonts w:hint="eastAsia" w:ascii="宋体" w:hAnsi="宋体"/>
          <w:b w:val="0"/>
          <w:bCs/>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lang w:val="en-US" w:eastAsia="zh-CN"/>
        </w:rPr>
        <w:t>不存在为</w:t>
      </w:r>
      <w:r>
        <w:rPr>
          <w:rFonts w:hint="eastAsia" w:ascii="宋体" w:hAnsi="宋体"/>
          <w:b w:val="0"/>
          <w:bCs/>
        </w:rPr>
        <w:t>本次采购项目提供整体设计、规范编制或者项目管理、监理、检测等服务的情</w:t>
      </w:r>
      <w:r>
        <w:rPr>
          <w:rFonts w:hint="eastAsia" w:ascii="宋体" w:hAnsi="宋体"/>
          <w:b w:val="0"/>
          <w:bCs/>
          <w:color w:val="auto"/>
        </w:rPr>
        <w:t>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bookmarkEnd w:id="26"/>
      <w:r>
        <w:rPr>
          <w:rFonts w:hint="eastAsia" w:ascii="宋体" w:hAnsi="宋体"/>
          <w:b w:val="0"/>
          <w:bCs/>
          <w:color w:val="auto"/>
          <w:lang w:eastAsia="zh-CN"/>
        </w:rPr>
        <w:t>。</w:t>
      </w:r>
      <w:bookmarkEnd w:id="27"/>
    </w:p>
    <w:p>
      <w:pPr>
        <w:ind w:firstLine="422" w:firstLineChars="200"/>
        <w:rPr>
          <w:rFonts w:hint="eastAsia" w:ascii="宋体" w:hAnsi="宋体"/>
          <w:b/>
          <w:bCs w:val="0"/>
          <w:sz w:val="21"/>
          <w:lang w:val="en-US" w:eastAsia="zh-CN"/>
        </w:rPr>
      </w:pPr>
      <w:r>
        <w:rPr>
          <w:rFonts w:hint="eastAsia" w:ascii="宋体" w:hAnsi="宋体"/>
          <w:b/>
          <w:bCs w:val="0"/>
          <w:sz w:val="21"/>
          <w:lang w:val="en-US" w:eastAsia="zh-CN"/>
        </w:rPr>
        <w:t>14.我单位清楚，如存在违反投标承诺行为情节严重的，将根据《深圳市财政局关于印发&lt;深圳市财政局政府采购供应商信用信息管理办法&gt;的通知》，依法被列入失信信息。</w:t>
      </w:r>
    </w:p>
    <w:p>
      <w:pPr>
        <w:ind w:firstLine="422" w:firstLineChars="200"/>
        <w:rPr>
          <w:rFonts w:hint="eastAsia" w:ascii="宋体" w:hAnsi="宋体"/>
          <w:b/>
          <w:bCs w:val="0"/>
          <w:sz w:val="21"/>
          <w:lang w:val="en-US" w:eastAsia="zh-CN"/>
        </w:rPr>
      </w:pPr>
    </w:p>
    <w:p>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5"/>
    <w:p>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pPr>
        <w:ind w:firstLine="645"/>
        <w:rPr>
          <w:rFonts w:hint="eastAsia" w:ascii="宋体" w:hAnsi="宋体"/>
          <w:szCs w:val="21"/>
        </w:rPr>
      </w:pPr>
    </w:p>
    <w:p>
      <w:pPr>
        <w:rPr>
          <w:rFonts w:ascii="宋体"/>
          <w:b/>
          <w:szCs w:val="21"/>
        </w:rPr>
      </w:pPr>
    </w:p>
    <w:p>
      <w:pPr>
        <w:ind w:firstLine="482" w:firstLineChars="200"/>
        <w:jc w:val="center"/>
        <w:rPr>
          <w:rFonts w:hint="eastAsia" w:hAnsi="宋体"/>
          <w:b/>
          <w:bCs/>
          <w:sz w:val="24"/>
        </w:rPr>
      </w:pPr>
    </w:p>
    <w:p>
      <w:pPr>
        <w:pStyle w:val="5"/>
        <w:jc w:val="center"/>
        <w:rPr>
          <w:rFonts w:hint="eastAsia"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hint="eastAsia" w:ascii="黑体" w:hAnsi="宋体" w:eastAsia="黑体"/>
          <w:bCs/>
          <w:kern w:val="0"/>
          <w:sz w:val="24"/>
          <w:szCs w:val="32"/>
        </w:rPr>
      </w:pPr>
      <w:bookmarkStart w:id="28" w:name="_Hlk72257590"/>
      <w:r>
        <w:rPr>
          <w:rFonts w:hint="eastAsia" w:ascii="黑体" w:hAnsi="宋体" w:eastAsia="黑体"/>
          <w:bCs/>
          <w:kern w:val="0"/>
          <w:sz w:val="24"/>
          <w:szCs w:val="32"/>
        </w:rPr>
        <w:t>（一）投标人资格证明文件</w:t>
      </w:r>
    </w:p>
    <w:p>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pPr>
        <w:rPr>
          <w:b/>
          <w:bCs/>
          <w:sz w:val="24"/>
        </w:rPr>
      </w:pPr>
    </w:p>
    <w:p>
      <w:pPr>
        <w:ind w:firstLine="480" w:firstLineChars="200"/>
        <w:outlineLvl w:val="3"/>
        <w:rPr>
          <w:rFonts w:hint="eastAsia" w:ascii="黑体" w:hAnsi="宋体" w:eastAsia="黑体"/>
          <w:bCs/>
          <w:kern w:val="0"/>
          <w:sz w:val="24"/>
          <w:szCs w:val="32"/>
        </w:rPr>
      </w:pPr>
      <w:bookmarkStart w:id="29" w:name="_Hlk72257908"/>
      <w:r>
        <w:rPr>
          <w:rFonts w:hint="eastAsia" w:ascii="黑体" w:hAnsi="宋体" w:eastAsia="黑体"/>
          <w:bCs/>
          <w:kern w:val="0"/>
          <w:sz w:val="24"/>
          <w:szCs w:val="32"/>
        </w:rPr>
        <w:t>（二）中小企业声明函、残疾人福利性单位声明函及监狱企业声明函</w:t>
      </w:r>
    </w:p>
    <w:bookmarkEnd w:id="28"/>
    <w:p>
      <w:pPr>
        <w:jc w:val="left"/>
        <w:outlineLvl w:val="3"/>
        <w:rPr>
          <w:rFonts w:hint="eastAsia" w:ascii="黑体" w:hAnsi="宋体" w:eastAsia="黑体"/>
          <w:bCs/>
          <w:kern w:val="0"/>
          <w:sz w:val="24"/>
          <w:szCs w:val="32"/>
        </w:rPr>
      </w:pP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在“中型企业、小型企业、微型企业”下划线处应依据企业上年度从业人员、营业收入、资产总额等指标</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按照《中小企业划型标准规定》（工信部联企业〔2011〕300号）、《金融业企业划型标准规定》（银发〔2015〕309号）</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判断《中小企业声明函》载明的货物制造商是否属于采购文件所属行业的中型企业/小型企业/微型企业。</w:t>
      </w:r>
    </w:p>
    <w:p>
      <w:pPr>
        <w:pStyle w:val="52"/>
        <w:ind w:firstLine="420" w:firstLineChars="200"/>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pStyle w:val="52"/>
        <w:ind w:firstLine="420" w:firstLineChars="200"/>
        <w:rPr>
          <w:rFonts w:hint="eastAsia" w:eastAsia="黑体"/>
          <w:lang w:val="en-US" w:eastAsia="zh-CN"/>
        </w:rPr>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ind w:firstLine="420" w:firstLineChars="200"/>
      </w:pPr>
    </w:p>
    <w:p>
      <w:pPr>
        <w:numPr>
          <w:ilvl w:val="0"/>
          <w:numId w:val="6"/>
        </w:numPr>
        <w:jc w:val="center"/>
        <w:outlineLvl w:val="3"/>
        <w:rPr>
          <w:b/>
          <w:sz w:val="24"/>
        </w:rPr>
      </w:pPr>
      <w:r>
        <w:rPr>
          <w:b/>
          <w:sz w:val="24"/>
        </w:rPr>
        <w:t>中小企业声明函（货物）</w:t>
      </w:r>
    </w:p>
    <w:p>
      <w:pPr>
        <w:pStyle w:val="2"/>
      </w:pPr>
    </w:p>
    <w:p>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pPr>
        <w:pStyle w:val="13"/>
        <w:ind w:firstLine="420" w:firstLineChars="200"/>
        <w:rPr>
          <w:rFonts w:hint="eastAsia" w:asciiTheme="minorEastAsia" w:hAnsiTheme="minorEastAsia" w:cstheme="minorEastAsia"/>
          <w:sz w:val="21"/>
          <w:szCs w:val="21"/>
        </w:rPr>
      </w:pPr>
    </w:p>
    <w:p>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hint="eastAsia" w:asciiTheme="minorEastAsia" w:hAnsiTheme="minorEastAsia" w:cstheme="minorEastAsia"/>
          <w:szCs w:val="21"/>
        </w:rPr>
      </w:pPr>
      <w:bookmarkStart w:id="30" w:name="_Hlk73562203"/>
      <w:r>
        <w:rPr>
          <w:rFonts w:hint="eastAsia" w:asciiTheme="minorEastAsia" w:hAnsiTheme="minorEastAsia" w:cstheme="minorEastAsia"/>
          <w:szCs w:val="21"/>
        </w:rPr>
        <w:t>本投标人对上述声明内容的真实性负责。如有虚假，将依法承担相应责任。</w:t>
      </w:r>
    </w:p>
    <w:p>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0"/>
    </w:p>
    <w:p>
      <w:pPr>
        <w:ind w:firstLine="420" w:firstLineChars="200"/>
        <w:outlineLvl w:val="3"/>
        <w:rPr>
          <w:rFonts w:hint="eastAsia" w:ascii="宋体" w:hAnsi="宋体"/>
          <w:bCs/>
          <w:color w:val="FF0000"/>
          <w:kern w:val="0"/>
          <w:szCs w:val="21"/>
        </w:rPr>
      </w:pPr>
    </w:p>
    <w:p/>
    <w:p>
      <w:pPr>
        <w:ind w:firstLine="420" w:firstLineChars="200"/>
      </w:pPr>
    </w:p>
    <w:p>
      <w:pPr>
        <w:jc w:val="center"/>
        <w:outlineLvl w:val="3"/>
        <w:rPr>
          <w:b/>
          <w:sz w:val="24"/>
        </w:rPr>
      </w:pPr>
      <w:r>
        <w:rPr>
          <w:rFonts w:hint="eastAsia"/>
          <w:b/>
          <w:sz w:val="24"/>
        </w:rPr>
        <w:t>2、残疾人福利性单位声明函（货物类）</w:t>
      </w:r>
    </w:p>
    <w:p>
      <w:pPr>
        <w:rPr>
          <w:b/>
          <w:bCs/>
        </w:rPr>
      </w:pPr>
    </w:p>
    <w:p>
      <w:pPr>
        <w:spacing w:line="360" w:lineRule="auto"/>
        <w:ind w:firstLine="420" w:firstLineChars="200"/>
        <w:rPr>
          <w:rFonts w:hint="eastAsia" w:asciiTheme="minorEastAsia" w:hAnsiTheme="minorEastAsia" w:cstheme="minorEastAsia"/>
          <w:szCs w:val="21"/>
        </w:rPr>
      </w:pPr>
      <w:bookmarkStart w:id="31" w:name="_Hlk73562331"/>
      <w:bookmarkStart w:id="32"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1"/>
    </w:p>
    <w:bookmarkEnd w:id="32"/>
    <w:p>
      <w:pPr>
        <w:ind w:firstLine="420" w:firstLineChars="200"/>
        <w:rPr>
          <w:rFonts w:hint="eastAsia" w:ascii="宋体" w:hAnsi="宋体"/>
          <w:szCs w:val="21"/>
        </w:rPr>
      </w:pPr>
    </w:p>
    <w:p>
      <w:pPr>
        <w:ind w:firstLine="420" w:firstLineChars="200"/>
        <w:rPr>
          <w:rFonts w:hint="eastAsia" w:ascii="宋体" w:hAnsi="宋体"/>
          <w:szCs w:val="21"/>
        </w:rPr>
      </w:pPr>
    </w:p>
    <w:p>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pPr>
        <w:spacing w:line="360" w:lineRule="auto"/>
        <w:ind w:firstLine="420" w:firstLineChars="200"/>
        <w:outlineLvl w:val="3"/>
        <w:rPr>
          <w:rFonts w:hint="eastAsia" w:ascii="宋体" w:hAnsi="宋体"/>
          <w:szCs w:val="21"/>
        </w:rPr>
      </w:pPr>
      <w:r>
        <w:rPr>
          <w:rFonts w:ascii="宋体" w:hAnsi="宋体"/>
          <w:szCs w:val="21"/>
        </w:rPr>
        <w:t xml:space="preserve">…… </w:t>
      </w:r>
    </w:p>
    <w:p>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9"/>
    </w:p>
    <w:p>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项目详细报价</w:t>
      </w:r>
    </w:p>
    <w:p>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19"/>
        <w:gridCol w:w="679"/>
        <w:gridCol w:w="796"/>
        <w:gridCol w:w="883"/>
        <w:gridCol w:w="660"/>
        <w:gridCol w:w="462"/>
        <w:gridCol w:w="462"/>
        <w:gridCol w:w="657"/>
        <w:gridCol w:w="880"/>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vAlign w:val="center"/>
          </w:tcPr>
          <w:p>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1</w:t>
            </w:r>
          </w:p>
        </w:tc>
        <w:tc>
          <w:tcPr>
            <w:tcW w:w="1519" w:type="dxa"/>
            <w:vAlign w:val="center"/>
          </w:tcPr>
          <w:p>
            <w:pPr>
              <w:keepNext w:val="0"/>
              <w:keepLines w:val="0"/>
              <w:widowControl/>
              <w:suppressLineNumbers w:val="0"/>
              <w:jc w:val="center"/>
              <w:textAlignment w:val="center"/>
              <w:rPr>
                <w:rFonts w:hint="eastAsia" w:ascii="Arial" w:hAnsi="Arial" w:eastAsia="宋体" w:cs="Times New Roman"/>
                <w:b/>
                <w:szCs w:val="24"/>
                <w:lang w:eastAsia="zh-CN"/>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restart"/>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6" w:type="dxa"/>
            <w:vAlign w:val="center"/>
          </w:tcPr>
          <w:p>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2</w:t>
            </w:r>
          </w:p>
        </w:tc>
        <w:tc>
          <w:tcPr>
            <w:tcW w:w="1519" w:type="dxa"/>
            <w:vAlign w:val="center"/>
          </w:tcPr>
          <w:p>
            <w:pPr>
              <w:keepNext w:val="0"/>
              <w:keepLines w:val="0"/>
              <w:widowControl/>
              <w:suppressLineNumbers w:val="0"/>
              <w:jc w:val="center"/>
              <w:textAlignment w:val="center"/>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3</w:t>
            </w:r>
          </w:p>
        </w:tc>
        <w:tc>
          <w:tcPr>
            <w:tcW w:w="1519" w:type="dxa"/>
            <w:vAlign w:val="center"/>
          </w:tcPr>
          <w:p>
            <w:pPr>
              <w:keepNext w:val="0"/>
              <w:keepLines w:val="0"/>
              <w:widowControl/>
              <w:suppressLineNumbers w:val="0"/>
              <w:jc w:val="center"/>
              <w:textAlignment w:val="center"/>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4</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5</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6</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7</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8</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9</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10</w:t>
            </w: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pPr>
              <w:keepNext w:val="0"/>
              <w:keepLines w:val="0"/>
              <w:widowControl/>
              <w:suppressLineNumbers w:val="0"/>
              <w:jc w:val="center"/>
              <w:textAlignment w:val="center"/>
              <w:rPr>
                <w:rFonts w:hint="eastAsia" w:ascii="Arial" w:hAnsi="Arial" w:eastAsia="宋体" w:cs="Times New Roman"/>
                <w:szCs w:val="24"/>
              </w:rPr>
            </w:pPr>
          </w:p>
        </w:tc>
        <w:tc>
          <w:tcPr>
            <w:tcW w:w="1519" w:type="dxa"/>
            <w:vAlign w:val="center"/>
          </w:tcPr>
          <w:p>
            <w:pPr>
              <w:keepNext w:val="0"/>
              <w:keepLines w:val="0"/>
              <w:widowControl/>
              <w:suppressLineNumbers w:val="0"/>
              <w:jc w:val="center"/>
              <w:textAlignment w:val="center"/>
              <w:rPr>
                <w:rFonts w:hint="eastAsia"/>
                <w:bCs/>
                <w:szCs w:val="21"/>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462" w:type="dxa"/>
            <w:vAlign w:val="center"/>
          </w:tcPr>
          <w:p>
            <w:pPr>
              <w:widowControl/>
              <w:jc w:val="center"/>
              <w:textAlignment w:val="center"/>
              <w:rPr>
                <w:rFonts w:hint="eastAsia" w:ascii="宋体" w:hAnsi="宋体" w:cs="宋体"/>
                <w:color w:val="000000"/>
                <w:kern w:val="0"/>
                <w:sz w:val="20"/>
                <w:szCs w:val="20"/>
                <w:lang w:val="en-US" w:eastAsia="zh-CN" w:bidi="ar"/>
              </w:rPr>
            </w:pPr>
          </w:p>
        </w:tc>
        <w:tc>
          <w:tcPr>
            <w:tcW w:w="462" w:type="dxa"/>
            <w:vAlign w:val="center"/>
          </w:tcPr>
          <w:p>
            <w:pPr>
              <w:widowControl/>
              <w:jc w:val="center"/>
              <w:textAlignment w:val="center"/>
              <w:rPr>
                <w:rFonts w:hint="eastAsia" w:ascii="宋体" w:hAnsi="宋体" w:cs="宋体"/>
                <w:color w:val="000000"/>
                <w:kern w:val="0"/>
                <w:sz w:val="20"/>
                <w:szCs w:val="20"/>
                <w:lang w:bidi="ar"/>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pPr>
              <w:spacing w:after="78" w:afterLines="25" w:line="300" w:lineRule="auto"/>
              <w:rPr>
                <w:rFonts w:ascii="Arial" w:hAnsi="Arial" w:eastAsia="宋体" w:cs="Times New Roman"/>
                <w:szCs w:val="24"/>
              </w:rPr>
            </w:pPr>
          </w:p>
        </w:tc>
      </w:tr>
    </w:tbl>
    <w:p>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3"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3"/>
    </w:p>
    <w:p>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4" w:name="_Hlk72074795"/>
      <w:r>
        <w:rPr>
          <w:rFonts w:hint="eastAsia" w:cs="Times New Roman" w:asciiTheme="minorEastAsia" w:hAnsiTheme="minorEastAsia"/>
          <w:b/>
          <w:szCs w:val="24"/>
        </w:rPr>
        <w:t>“原产地”是指该货物的实际生产加工地，而非品牌所在地</w:t>
      </w:r>
      <w:bookmarkEnd w:id="34"/>
      <w:r>
        <w:rPr>
          <w:rFonts w:hint="eastAsia" w:cs="Times New Roman" w:asciiTheme="minorEastAsia" w:hAnsiTheme="minorEastAsia"/>
          <w:b/>
          <w:szCs w:val="24"/>
        </w:rPr>
        <w:t>。</w:t>
      </w:r>
    </w:p>
    <w:p>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pPr>
        <w:snapToGrid w:val="0"/>
        <w:rPr>
          <w:rFonts w:hint="eastAsia" w:cs="Times New Roman" w:asciiTheme="minorEastAsia" w:hAnsiTheme="minorEastAsia"/>
          <w:b/>
          <w:szCs w:val="24"/>
        </w:rPr>
      </w:pPr>
    </w:p>
    <w:p>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pPr>
        <w:tabs>
          <w:tab w:val="left" w:pos="720"/>
        </w:tabs>
        <w:rPr>
          <w:rFonts w:ascii="Times New Roman" w:hAnsi="Times New Roman" w:eastAsia="宋体" w:cs="Times New Roman"/>
          <w:b/>
          <w:sz w:val="24"/>
          <w:szCs w:val="24"/>
        </w:rPr>
      </w:pPr>
    </w:p>
    <w:p>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pPr>
        <w:spacing w:after="78" w:afterLines="25" w:line="300" w:lineRule="auto"/>
        <w:rPr>
          <w:rFonts w:ascii="Arial" w:hAnsi="Arial" w:eastAsia="宋体" w:cs="Times New Roman"/>
          <w:b/>
          <w:szCs w:val="24"/>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pPr>
        <w:ind w:firstLine="422" w:firstLineChars="200"/>
        <w:rPr>
          <w:rFonts w:hint="eastAsia" w:hAnsi="宋体"/>
          <w:b/>
          <w:bCs/>
          <w:szCs w:val="21"/>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pPr>
        <w:wordWrap w:val="0"/>
        <w:spacing w:after="78" w:afterLines="25" w:line="300" w:lineRule="auto"/>
        <w:ind w:right="420" w:firstLine="4410" w:firstLineChars="2100"/>
        <w:jc w:val="right"/>
        <w:rPr>
          <w:rFonts w:ascii="Arial" w:hAnsi="Arial" w:eastAsia="宋体" w:cs="Times New Roman"/>
          <w:szCs w:val="21"/>
        </w:rPr>
      </w:pPr>
      <w:r>
        <w:rPr>
          <w:rFonts w:hint="eastAsia" w:ascii="Arial" w:hAnsi="Arial" w:eastAsia="宋体" w:cs="Times New Roman"/>
          <w:szCs w:val="21"/>
        </w:rPr>
        <w:t xml:space="preserve">   </w:t>
      </w:r>
    </w:p>
    <w:p>
      <w:pPr>
        <w:jc w:val="both"/>
        <w:rPr>
          <w:b/>
          <w:bCs/>
          <w:color w:val="FF0000"/>
          <w:sz w:val="24"/>
        </w:rPr>
      </w:pPr>
    </w:p>
    <w:p>
      <w:pPr>
        <w:jc w:val="center"/>
        <w:rPr>
          <w:rFonts w:ascii="黑体" w:eastAsia="黑体"/>
          <w:sz w:val="24"/>
          <w:szCs w:val="24"/>
        </w:rPr>
      </w:pPr>
      <w:r>
        <w:rPr>
          <w:rFonts w:hint="eastAsia"/>
          <w:b/>
          <w:bCs/>
          <w:color w:val="FF0000"/>
          <w:sz w:val="24"/>
        </w:rPr>
        <w:t>★</w:t>
      </w:r>
      <w:r>
        <w:rPr>
          <w:rFonts w:hint="eastAsia" w:ascii="黑体" w:eastAsia="黑体"/>
          <w:sz w:val="24"/>
          <w:szCs w:val="24"/>
        </w:rPr>
        <w:t>五、供应商情况表</w:t>
      </w:r>
    </w:p>
    <w:p>
      <w:pPr>
        <w:jc w:val="center"/>
        <w:rPr>
          <w:rFonts w:hint="eastAsia" w:ascii="宋体" w:hAnsi="宋体"/>
        </w:rPr>
      </w:pPr>
    </w:p>
    <w:p>
      <w:pPr>
        <w:pStyle w:val="5"/>
        <w:numPr>
          <w:ilvl w:val="0"/>
          <w:numId w:val="7"/>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提供投标人所在地的市场监督管理部门“商事登记簿查询（商事主体登记及备案信息查询）”查询截图；参考示例“深圳市市场监督管理局——商事登记簿查询（商事主体登记及备案信息查询）：</w:t>
      </w:r>
      <w:r>
        <w:fldChar w:fldCharType="begin"/>
      </w:r>
      <w:r>
        <w:instrText xml:space="preserve"> HYPERLINK "https://amr.sz.gov.cn/outer/entSelect/gs.html" </w:instrText>
      </w:r>
      <w:r>
        <w:fldChar w:fldCharType="separate"/>
      </w:r>
      <w:r>
        <w:rPr>
          <w:rStyle w:val="23"/>
          <w:rFonts w:hint="eastAsia" w:ascii="Times New Roman" w:hAnsi="Times New Roman" w:cs="Times New Roman"/>
          <w:b w:val="0"/>
          <w:bCs w:val="0"/>
          <w:sz w:val="21"/>
          <w:szCs w:val="24"/>
        </w:rPr>
        <w:t>https://amr.sz.gov.cn/outer/entSelect/gs.html”。</w:t>
      </w:r>
      <w:r>
        <w:rPr>
          <w:rStyle w:val="23"/>
          <w:rFonts w:hint="eastAsia" w:ascii="Times New Roman" w:hAnsi="Times New Roman" w:cs="Times New Roman"/>
          <w:b w:val="0"/>
          <w:bCs w:val="0"/>
          <w:sz w:val="21"/>
          <w:szCs w:val="24"/>
        </w:rPr>
        <w:fldChar w:fldCharType="end"/>
      </w:r>
    </w:p>
    <w:p>
      <w:pPr>
        <w:rPr>
          <w:b/>
          <w:bCs/>
          <w:color w:val="FF0000"/>
          <w:highlight w:val="yellow"/>
        </w:rPr>
      </w:pPr>
      <w:r>
        <w:rPr>
          <w:rFonts w:hint="eastAsia"/>
          <w:b/>
          <w:bCs/>
          <w:color w:val="FF0000"/>
          <w:highlight w:val="yellow"/>
        </w:rPr>
        <w:t>提示：如果投标供应商</w:t>
      </w:r>
      <w:r>
        <w:rPr>
          <w:rFonts w:ascii="宋体" w:hAnsi="宋体"/>
          <w:b/>
          <w:bCs/>
          <w:color w:val="FF0000"/>
          <w:highlight w:val="yellow"/>
        </w:rPr>
        <w:t>存在单位负责人为同一人</w:t>
      </w:r>
      <w:r>
        <w:rPr>
          <w:rFonts w:hint="eastAsia" w:ascii="宋体" w:hAnsi="宋体"/>
          <w:b/>
          <w:bCs/>
          <w:color w:val="FF0000"/>
          <w:highlight w:val="yellow"/>
        </w:rPr>
        <w:t>，</w:t>
      </w:r>
      <w:r>
        <w:rPr>
          <w:rFonts w:ascii="宋体" w:hAnsi="宋体"/>
          <w:b/>
          <w:bCs/>
          <w:color w:val="FF0000"/>
          <w:highlight w:val="yellow"/>
        </w:rPr>
        <w:t>或者存在直接控股、</w:t>
      </w:r>
      <w:r>
        <w:rPr>
          <w:rFonts w:hint="eastAsia" w:ascii="宋体" w:hAnsi="宋体"/>
          <w:b/>
          <w:bCs/>
          <w:color w:val="FF0000"/>
          <w:highlight w:val="yellow"/>
        </w:rPr>
        <w:t>间接控股、</w:t>
      </w:r>
      <w:r>
        <w:rPr>
          <w:rFonts w:ascii="宋体" w:hAnsi="宋体"/>
          <w:b/>
          <w:bCs/>
          <w:color w:val="FF0000"/>
          <w:highlight w:val="yellow"/>
        </w:rPr>
        <w:t>管理关系</w:t>
      </w:r>
      <w:r>
        <w:rPr>
          <w:rFonts w:hint="eastAsia" w:ascii="宋体" w:hAnsi="宋体"/>
          <w:b/>
          <w:bCs/>
          <w:color w:val="FF0000"/>
          <w:highlight w:val="yellow"/>
        </w:rPr>
        <w:t>等情形，将被纳入交易监管平台产生示警信息，由此产生的负面影响，由投标人自行承担。</w:t>
      </w:r>
    </w:p>
    <w:p/>
    <w:p>
      <w:pPr>
        <w:pStyle w:val="5"/>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2、股东构成审查表</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□是，其控股股东为：</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其他主要股东及其股份占比：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□是，该单位为：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□是，与招标人的关系为：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□否</w:t>
            </w:r>
          </w:p>
        </w:tc>
      </w:tr>
    </w:tbl>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注：</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2、投标人需如实填写上述信息，如查实上述信息与实际不符，视为提供虚假证明材料骗取中标，投标人应承担相应法律后果。</w:t>
      </w:r>
    </w:p>
    <w:p>
      <w:pPr>
        <w:pStyle w:val="5"/>
        <w:ind w:firstLine="3120" w:firstLineChars="1300"/>
        <w:rPr>
          <w:rFonts w:hint="eastAsia" w:ascii="黑体" w:eastAsia="黑体"/>
          <w:b w:val="0"/>
          <w:sz w:val="24"/>
        </w:rPr>
      </w:pPr>
      <w:r>
        <w:rPr>
          <w:rFonts w:hint="eastAsia" w:ascii="黑体" w:eastAsia="黑体" w:cs="Times New Roman"/>
          <w:b w:val="0"/>
          <w:sz w:val="24"/>
          <w:lang w:val="en-US" w:eastAsia="zh-CN"/>
        </w:rPr>
        <w:t>六、</w:t>
      </w:r>
      <w:r>
        <w:rPr>
          <w:rFonts w:hint="eastAsia" w:ascii="黑体" w:eastAsia="黑体" w:cs="Times New Roman"/>
          <w:b w:val="0"/>
          <w:sz w:val="24"/>
        </w:rPr>
        <w:t>供应商基本情况表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4"/>
        <w:gridCol w:w="1528"/>
        <w:gridCol w:w="903"/>
        <w:gridCol w:w="751"/>
        <w:gridCol w:w="1145"/>
        <w:gridCol w:w="1428"/>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pPr>
              <w:jc w:val="center"/>
              <w:rPr>
                <w:rFonts w:hint="eastAsia" w:ascii="宋体" w:hAnsi="宋体" w:eastAsia="宋体" w:cs="宋体"/>
                <w:szCs w:val="21"/>
              </w:rPr>
            </w:pPr>
            <w:r>
              <w:rPr>
                <w:rFonts w:hint="eastAsia" w:ascii="宋体" w:hAnsi="宋体" w:eastAsia="宋体" w:cs="宋体"/>
                <w:szCs w:val="21"/>
              </w:rPr>
              <w:t>投标（响应）供应商</w:t>
            </w:r>
          </w:p>
        </w:tc>
        <w:tc>
          <w:tcPr>
            <w:tcW w:w="1427" w:type="pct"/>
            <w:gridSpan w:val="2"/>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r>
              <w:rPr>
                <w:rFonts w:hint="eastAsia" w:ascii="宋体" w:hAnsi="宋体" w:eastAsia="宋体" w:cs="宋体"/>
                <w:szCs w:val="21"/>
              </w:rPr>
              <w:t>项目名称及编号</w:t>
            </w:r>
          </w:p>
        </w:tc>
        <w:tc>
          <w:tcPr>
            <w:tcW w:w="1669" w:type="pct"/>
            <w:gridSpan w:val="2"/>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序号</w:t>
            </w:r>
          </w:p>
        </w:tc>
        <w:tc>
          <w:tcPr>
            <w:tcW w:w="1275"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职务</w:t>
            </w:r>
          </w:p>
        </w:tc>
        <w:tc>
          <w:tcPr>
            <w:tcW w:w="529" w:type="pct"/>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姓名</w:t>
            </w:r>
          </w:p>
        </w:tc>
        <w:tc>
          <w:tcPr>
            <w:tcW w:w="1113"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身份证号码</w:t>
            </w:r>
          </w:p>
        </w:tc>
        <w:tc>
          <w:tcPr>
            <w:tcW w:w="838"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劳动合同</w:t>
            </w:r>
          </w:p>
          <w:p>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830"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缴纳社会</w:t>
            </w:r>
          </w:p>
          <w:p>
            <w:pPr>
              <w:snapToGrid w:val="0"/>
              <w:jc w:val="center"/>
              <w:rPr>
                <w:rFonts w:hint="eastAsia" w:ascii="宋体" w:hAnsi="宋体" w:eastAsia="宋体" w:cs="宋体"/>
                <w:szCs w:val="21"/>
              </w:rPr>
            </w:pPr>
            <w:r>
              <w:rPr>
                <w:rFonts w:hint="eastAsia" w:ascii="宋体" w:hAnsi="宋体" w:eastAsia="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lang w:bidi="ar"/>
              </w:rPr>
              <w:t>3</w:t>
            </w:r>
          </w:p>
        </w:tc>
        <w:tc>
          <w:tcPr>
            <w:tcW w:w="1275" w:type="pct"/>
            <w:gridSpan w:val="2"/>
            <w:tcBorders>
              <w:top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项目负责人</w:t>
            </w:r>
          </w:p>
        </w:tc>
        <w:tc>
          <w:tcPr>
            <w:tcW w:w="529" w:type="pct"/>
            <w:tcBorders>
              <w:top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hint="eastAsia" w:ascii="宋体" w:hAnsi="宋体" w:eastAsia="宋体" w:cs="宋体"/>
                <w:szCs w:val="21"/>
              </w:rPr>
            </w:pPr>
            <w:r>
              <w:rPr>
                <w:rFonts w:hint="eastAsia" w:ascii="宋体" w:hAnsi="宋体" w:eastAsia="宋体" w:cs="宋体"/>
                <w:szCs w:val="21"/>
                <w:lang w:bidi="ar"/>
              </w:rPr>
              <w:t>4</w:t>
            </w:r>
          </w:p>
        </w:tc>
        <w:tc>
          <w:tcPr>
            <w:tcW w:w="1275" w:type="pct"/>
            <w:gridSpan w:val="2"/>
            <w:vAlign w:val="center"/>
          </w:tcPr>
          <w:p>
            <w:pPr>
              <w:jc w:val="center"/>
              <w:rPr>
                <w:rFonts w:hint="eastAsia" w:ascii="宋体" w:hAnsi="宋体" w:eastAsia="宋体" w:cs="宋体"/>
                <w:szCs w:val="21"/>
              </w:rPr>
            </w:pPr>
            <w:r>
              <w:rPr>
                <w:rFonts w:hint="eastAsia" w:ascii="宋体" w:hAnsi="宋体" w:eastAsia="宋体" w:cs="宋体"/>
                <w:szCs w:val="21"/>
              </w:rPr>
              <w:t>主要技术人员</w:t>
            </w:r>
          </w:p>
        </w:tc>
        <w:tc>
          <w:tcPr>
            <w:tcW w:w="529" w:type="pct"/>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p>
        </w:tc>
        <w:tc>
          <w:tcPr>
            <w:tcW w:w="838" w:type="pct"/>
            <w:vAlign w:val="center"/>
          </w:tcPr>
          <w:p>
            <w:pPr>
              <w:jc w:val="center"/>
              <w:rPr>
                <w:rFonts w:hint="eastAsia" w:ascii="宋体" w:hAnsi="宋体" w:eastAsia="宋体" w:cs="宋体"/>
                <w:szCs w:val="21"/>
              </w:rPr>
            </w:pPr>
          </w:p>
        </w:tc>
        <w:tc>
          <w:tcPr>
            <w:tcW w:w="830" w:type="pct"/>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hint="eastAsia" w:ascii="宋体" w:hAnsi="宋体" w:eastAsia="宋体" w:cs="宋体"/>
                <w:szCs w:val="21"/>
              </w:rPr>
            </w:pPr>
            <w:r>
              <w:rPr>
                <w:rFonts w:hint="eastAsia" w:ascii="宋体" w:hAnsi="宋体" w:eastAsia="宋体" w:cs="宋体"/>
                <w:szCs w:val="21"/>
                <w:lang w:bidi="ar"/>
              </w:rPr>
              <w:t>5</w:t>
            </w:r>
          </w:p>
        </w:tc>
        <w:tc>
          <w:tcPr>
            <w:tcW w:w="1275" w:type="pct"/>
            <w:gridSpan w:val="2"/>
            <w:vAlign w:val="center"/>
          </w:tcPr>
          <w:p>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529" w:type="pct"/>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p>
        </w:tc>
        <w:tc>
          <w:tcPr>
            <w:tcW w:w="838" w:type="pct"/>
            <w:vAlign w:val="center"/>
          </w:tcPr>
          <w:p>
            <w:pPr>
              <w:jc w:val="center"/>
              <w:rPr>
                <w:rFonts w:hint="eastAsia" w:ascii="宋体" w:hAnsi="宋体" w:eastAsia="宋体" w:cs="宋体"/>
                <w:szCs w:val="21"/>
              </w:rPr>
            </w:pPr>
          </w:p>
        </w:tc>
        <w:tc>
          <w:tcPr>
            <w:tcW w:w="830" w:type="pct"/>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left"/>
              <w:rPr>
                <w:rFonts w:hint="eastAsia" w:ascii="宋体" w:hAnsi="宋体" w:eastAsia="宋体" w:cs="宋体"/>
                <w:szCs w:val="21"/>
              </w:rPr>
            </w:pPr>
            <w:r>
              <w:rPr>
                <w:rFonts w:hint="eastAsia" w:ascii="宋体" w:hAnsi="宋体" w:eastAsia="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1275"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关联关系类型</w:t>
            </w:r>
          </w:p>
        </w:tc>
        <w:tc>
          <w:tcPr>
            <w:tcW w:w="971"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关联主体名称</w:t>
            </w:r>
          </w:p>
        </w:tc>
        <w:tc>
          <w:tcPr>
            <w:tcW w:w="2340" w:type="pct"/>
            <w:gridSpan w:val="3"/>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b/>
                <w:bCs/>
                <w:color w:val="FF0000"/>
                <w:szCs w:val="21"/>
              </w:rPr>
            </w:pPr>
            <w:r>
              <w:rPr>
                <w:rFonts w:ascii="宋体" w:hAnsi="宋体" w:eastAsia="宋体" w:cs="宋体"/>
                <w:b/>
                <w:bCs/>
                <w:color w:val="FF0000"/>
                <w:szCs w:val="21"/>
              </w:rPr>
              <w:t>说明：1.同一关联关系类型有多个主体的，应分行填写。</w:t>
            </w:r>
          </w:p>
          <w:p>
            <w:pPr>
              <w:snapToGrid w:val="0"/>
              <w:jc w:val="left"/>
              <w:rPr>
                <w:rFonts w:hint="eastAsia" w:ascii="宋体" w:hAnsi="宋体" w:eastAsia="宋体" w:cs="宋体"/>
                <w:szCs w:val="21"/>
              </w:rPr>
            </w:pPr>
            <w:r>
              <w:rPr>
                <w:rFonts w:ascii="宋体" w:hAnsi="宋体" w:eastAsia="宋体" w:cs="宋体"/>
                <w:b/>
                <w:bCs/>
                <w:color w:val="FF0000"/>
                <w:szCs w:val="21"/>
              </w:rPr>
              <w:t>2.《供应商基本情况表》为必填内容，若存在异常且不符合要求的供应商资格性审查将不予通过，作投标无效处理。</w:t>
            </w:r>
          </w:p>
        </w:tc>
      </w:tr>
    </w:tbl>
    <w:p>
      <w:pPr>
        <w:widowControl/>
        <w:jc w:val="center"/>
        <w:rPr>
          <w:rFonts w:ascii="Arial" w:hAnsi="Arial" w:eastAsia="宋体" w:cs="Times New Roman"/>
          <w:b/>
          <w:sz w:val="24"/>
          <w:szCs w:val="24"/>
        </w:rPr>
      </w:pPr>
    </w:p>
    <w:p>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pPr>
        <w:widowControl/>
        <w:jc w:val="center"/>
        <w:rPr>
          <w:rFonts w:ascii="Arial" w:hAnsi="Arial" w:eastAsia="宋体" w:cs="Times New Roman"/>
          <w:szCs w:val="24"/>
        </w:rPr>
      </w:pPr>
      <w:r>
        <w:rPr>
          <w:rFonts w:ascii="Arial" w:hAnsi="Arial" w:eastAsia="宋体" w:cs="Times New Roman"/>
          <w:szCs w:val="24"/>
        </w:rPr>
        <w:br w:type="page"/>
      </w:r>
    </w:p>
    <w:p>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pPr>
        <w:pStyle w:val="5"/>
        <w:jc w:val="center"/>
        <w:rPr>
          <w:rFonts w:hint="eastAsia" w:ascii="黑体" w:eastAsia="黑体"/>
          <w:b w:val="0"/>
          <w:sz w:val="24"/>
        </w:rPr>
      </w:pPr>
      <w:r>
        <w:rPr>
          <w:rFonts w:hint="eastAsia" w:ascii="黑体" w:eastAsia="黑体"/>
          <w:b w:val="0"/>
          <w:sz w:val="24"/>
        </w:rPr>
        <w:t>一、</w:t>
      </w:r>
      <w:bookmarkStart w:id="35" w:name="_Hlk72092499"/>
      <w:r>
        <w:rPr>
          <w:rFonts w:hint="eastAsia" w:ascii="黑体" w:eastAsia="黑体"/>
          <w:b w:val="0"/>
          <w:sz w:val="24"/>
        </w:rPr>
        <w:t>法定代表人（负责人）证明书</w:t>
      </w:r>
      <w:bookmarkEnd w:id="35"/>
    </w:p>
    <w:p>
      <w:pPr>
        <w:rPr>
          <w:sz w:val="24"/>
        </w:rPr>
      </w:pPr>
    </w:p>
    <w:p>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8"/>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8"/>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8"/>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jc w:val="center"/>
            </w:pPr>
          </w:p>
          <w:p>
            <w:pPr>
              <w:pStyle w:val="13"/>
              <w:jc w:val="center"/>
            </w:pPr>
          </w:p>
        </w:tc>
        <w:tc>
          <w:tcPr>
            <w:tcW w:w="4265" w:type="dxa"/>
          </w:tcPr>
          <w:p>
            <w:pPr>
              <w:jc w:val="center"/>
            </w:pPr>
            <w:r>
              <w:rPr>
                <w:rFonts w:hint="eastAsia"/>
              </w:rPr>
              <w:t>证件扫描件反面</w:t>
            </w:r>
          </w:p>
          <w:p>
            <w:pPr>
              <w:pStyle w:val="2"/>
              <w:jc w:val="center"/>
            </w:pPr>
          </w:p>
          <w:p>
            <w:pPr>
              <w:pStyle w:val="13"/>
              <w:jc w:val="center"/>
            </w:pPr>
          </w:p>
        </w:tc>
      </w:tr>
    </w:tbl>
    <w:p>
      <w:pPr>
        <w:rPr>
          <w:rFonts w:hint="eastAsia"/>
          <w:b/>
          <w:bCs/>
          <w:color w:val="FF0000"/>
          <w:szCs w:val="21"/>
          <w:u w:val="none"/>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rPr>
          <w:rFonts w:hint="eastAsia"/>
          <w:b/>
          <w:bCs/>
          <w:color w:val="FF0000"/>
          <w:szCs w:val="21"/>
          <w:u w:val="none"/>
        </w:rPr>
      </w:pPr>
    </w:p>
    <w:p>
      <w:pPr>
        <w:pStyle w:val="5"/>
        <w:spacing w:before="120" w:after="120"/>
        <w:jc w:val="center"/>
        <w:rPr>
          <w:rFonts w:hint="eastAsia" w:ascii="黑体" w:eastAsia="黑体"/>
          <w:b w:val="0"/>
          <w:sz w:val="24"/>
        </w:rPr>
      </w:pPr>
      <w:r>
        <w:rPr>
          <w:rFonts w:hint="eastAsia" w:ascii="黑体" w:eastAsia="黑体"/>
          <w:b w:val="0"/>
          <w:sz w:val="24"/>
        </w:rPr>
        <w:t>二、投标文件签署授权委托书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ascii="Times New Roman" w:eastAsia="宋体"/>
              </w:rPr>
              <w:t>证件扫描件正面</w:t>
            </w:r>
          </w:p>
          <w:p>
            <w:pPr>
              <w:pStyle w:val="2"/>
              <w:jc w:val="center"/>
            </w:pPr>
          </w:p>
          <w:p>
            <w:pPr>
              <w:pStyle w:val="13"/>
              <w:jc w:val="center"/>
            </w:pPr>
          </w:p>
        </w:tc>
        <w:tc>
          <w:tcPr>
            <w:tcW w:w="4265" w:type="dxa"/>
          </w:tcPr>
          <w:p>
            <w:pPr>
              <w:jc w:val="center"/>
            </w:pPr>
            <w:r>
              <w:rPr>
                <w:rFonts w:hint="eastAsia" w:ascii="Times New Roman" w:eastAsia="宋体"/>
              </w:rPr>
              <w:t>证件扫描件反面</w:t>
            </w:r>
          </w:p>
          <w:p>
            <w:pPr>
              <w:pStyle w:val="2"/>
              <w:jc w:val="center"/>
            </w:pPr>
          </w:p>
          <w:p>
            <w:pPr>
              <w:pStyle w:val="13"/>
              <w:jc w:val="center"/>
            </w:pPr>
          </w:p>
        </w:tc>
      </w:tr>
    </w:tbl>
    <w:p>
      <w:pPr>
        <w:tabs>
          <w:tab w:val="left" w:pos="651"/>
        </w:tabs>
        <w:snapToGrid w:val="0"/>
        <w:jc w:val="both"/>
        <w:rPr>
          <w:rFonts w:ascii="黑体" w:eastAsia="黑体"/>
          <w:kern w:val="0"/>
          <w:sz w:val="24"/>
          <w:szCs w:val="24"/>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6" w:name="_Hlk72092634"/>
      <w:r>
        <w:rPr>
          <w:rFonts w:hint="eastAsia" w:ascii="黑体" w:eastAsia="黑体"/>
          <w:kern w:val="0"/>
          <w:sz w:val="24"/>
          <w:szCs w:val="24"/>
        </w:rPr>
        <w:t>实质性条款响应情况表</w:t>
      </w:r>
      <w:bookmarkEnd w:id="36"/>
    </w:p>
    <w:p>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pPr>
        <w:snapToGrid w:val="0"/>
        <w:rPr>
          <w:rFonts w:hint="eastAsia" w:cs="Times New Roman" w:asciiTheme="minorEastAsia" w:hAnsiTheme="minorEastAsia"/>
          <w:b/>
          <w:sz w:val="24"/>
          <w:szCs w:val="24"/>
        </w:rPr>
      </w:pPr>
    </w:p>
    <w:tbl>
      <w:tblPr>
        <w:tblStyle w:val="17"/>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pPr>
              <w:jc w:val="center"/>
              <w:rPr>
                <w:rFonts w:hint="eastAsia" w:ascii="宋体" w:hAnsi="宋体" w:eastAsia="宋体" w:cs="Arial"/>
                <w:b/>
                <w:szCs w:val="21"/>
              </w:rPr>
            </w:pPr>
            <w:r>
              <w:rPr>
                <w:rFonts w:hint="eastAsia" w:ascii="宋体" w:hAnsi="宋体" w:eastAsia="宋体" w:cs="Arial"/>
                <w:b/>
                <w:szCs w:val="21"/>
              </w:rPr>
              <w:t>说明</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pPr>
              <w:spacing w:line="300" w:lineRule="auto"/>
              <w:jc w:val="center"/>
              <w:rPr>
                <w:rFonts w:hint="eastAsia" w:ascii="宋体" w:hAnsi="宋体" w:eastAsia="宋体" w:cs="Times New Roman"/>
                <w:b/>
                <w:color w:val="FF0000"/>
                <w:kern w:val="0"/>
                <w:szCs w:val="21"/>
              </w:rPr>
            </w:pPr>
          </w:p>
        </w:tc>
      </w:tr>
    </w:tbl>
    <w:p>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pPr>
        <w:pStyle w:val="5"/>
        <w:jc w:val="center"/>
        <w:rPr>
          <w:rFonts w:hint="eastAsia"/>
          <w:sz w:val="24"/>
        </w:rPr>
      </w:pPr>
      <w:r>
        <w:rPr>
          <w:rFonts w:hint="eastAsia" w:ascii="黑体" w:eastAsia="黑体"/>
          <w:b w:val="0"/>
          <w:bCs w:val="0"/>
          <w:sz w:val="24"/>
          <w:szCs w:val="20"/>
        </w:rPr>
        <w:t>四、商务要求偏离表</w:t>
      </w:r>
    </w:p>
    <w:tbl>
      <w:tblPr>
        <w:tblStyle w:val="17"/>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pPr>
              <w:jc w:val="center"/>
              <w:rPr>
                <w:b/>
              </w:rPr>
            </w:pPr>
            <w:r>
              <w:rPr>
                <w:rFonts w:hint="eastAsia"/>
                <w:sz w:val="24"/>
              </w:rPr>
              <w:t>序号</w:t>
            </w:r>
          </w:p>
        </w:tc>
        <w:tc>
          <w:tcPr>
            <w:tcW w:w="1408" w:type="dxa"/>
            <w:vAlign w:val="center"/>
          </w:tcPr>
          <w:p>
            <w:pPr>
              <w:jc w:val="center"/>
              <w:rPr>
                <w:b/>
              </w:rPr>
            </w:pPr>
            <w:r>
              <w:rPr>
                <w:rFonts w:hint="eastAsia"/>
                <w:b/>
              </w:rPr>
              <w:t>商务需求项</w:t>
            </w:r>
          </w:p>
        </w:tc>
        <w:tc>
          <w:tcPr>
            <w:tcW w:w="4918" w:type="dxa"/>
            <w:vAlign w:val="center"/>
          </w:tcPr>
          <w:p>
            <w:pPr>
              <w:jc w:val="center"/>
              <w:rPr>
                <w:b/>
              </w:rPr>
            </w:pPr>
            <w:r>
              <w:rPr>
                <w:rFonts w:hint="eastAsia"/>
                <w:sz w:val="24"/>
              </w:rPr>
              <w:t>招标商务要求</w:t>
            </w:r>
          </w:p>
        </w:tc>
        <w:tc>
          <w:tcPr>
            <w:tcW w:w="973" w:type="dxa"/>
            <w:vAlign w:val="center"/>
          </w:tcPr>
          <w:p>
            <w:pPr>
              <w:jc w:val="center"/>
              <w:rPr>
                <w:b/>
              </w:rPr>
            </w:pPr>
            <w:r>
              <w:rPr>
                <w:rFonts w:hint="eastAsia"/>
                <w:sz w:val="24"/>
              </w:rPr>
              <w:t>投标商务响应</w:t>
            </w:r>
          </w:p>
        </w:tc>
        <w:tc>
          <w:tcPr>
            <w:tcW w:w="642" w:type="dxa"/>
            <w:vAlign w:val="center"/>
          </w:tcPr>
          <w:p>
            <w:pPr>
              <w:jc w:val="center"/>
              <w:rPr>
                <w:b/>
              </w:rPr>
            </w:pPr>
            <w:r>
              <w:rPr>
                <w:rFonts w:hint="eastAsia"/>
              </w:rPr>
              <w:t>偏离情况</w:t>
            </w:r>
          </w:p>
        </w:tc>
        <w:tc>
          <w:tcPr>
            <w:tcW w:w="540" w:type="dxa"/>
            <w:vAlign w:val="center"/>
          </w:tcPr>
          <w:p>
            <w:pPr>
              <w:jc w:val="center"/>
              <w:rPr>
                <w:b/>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rFonts w:hint="eastAsia"/>
                <w:bCs/>
              </w:rPr>
              <w:t>1</w:t>
            </w:r>
          </w:p>
        </w:tc>
        <w:tc>
          <w:tcPr>
            <w:tcW w:w="1408" w:type="dxa"/>
          </w:tcPr>
          <w:p>
            <w:pPr>
              <w:jc w:val="center"/>
            </w:pPr>
            <w:r>
              <w:rPr>
                <w:rFonts w:hint="eastAsia"/>
              </w:rPr>
              <w:t>*</w:t>
            </w:r>
            <w:r>
              <w:t>***</w:t>
            </w:r>
          </w:p>
        </w:tc>
        <w:tc>
          <w:tcPr>
            <w:tcW w:w="4918" w:type="dxa"/>
          </w:tcPr>
          <w:p>
            <w:pPr>
              <w:jc w:val="center"/>
              <w:rPr>
                <w:b/>
              </w:rPr>
            </w:pPr>
            <w:r>
              <w:rPr>
                <w:rFonts w:hint="eastAsia"/>
                <w:bCs/>
                <w:szCs w:val="21"/>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bCs/>
              </w:rPr>
              <w:t>2</w:t>
            </w:r>
          </w:p>
        </w:tc>
        <w:tc>
          <w:tcPr>
            <w:tcW w:w="1408" w:type="dxa"/>
          </w:tcPr>
          <w:p>
            <w:pPr>
              <w:jc w:val="center"/>
            </w:pPr>
            <w:r>
              <w:rPr>
                <w:rFonts w:hint="eastAsia"/>
              </w:rPr>
              <w:t>****</w:t>
            </w:r>
          </w:p>
        </w:tc>
        <w:tc>
          <w:tcPr>
            <w:tcW w:w="4918" w:type="dxa"/>
          </w:tcPr>
          <w:p>
            <w:pPr>
              <w:jc w:val="center"/>
              <w:rPr>
                <w:bCs/>
                <w:szCs w:val="21"/>
              </w:rP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vAlign w:val="center"/>
          </w:tcPr>
          <w:p>
            <w:pPr>
              <w:rPr>
                <w:bCs/>
                <w:szCs w:val="21"/>
              </w:rPr>
            </w:pPr>
            <w:r>
              <w:rPr>
                <w:rFonts w:hint="eastAsia"/>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rPr>
                <w:bCs/>
              </w:rP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pPr>
              <w:rPr>
                <w:bCs/>
                <w:szCs w:val="21"/>
              </w:rPr>
            </w:pPr>
            <w:r>
              <w:rPr>
                <w:rFonts w:hint="eastAsia"/>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bl>
    <w:p>
      <w:pPr>
        <w:ind w:firstLine="420" w:firstLineChars="200"/>
        <w:rPr>
          <w:bCs/>
          <w:szCs w:val="21"/>
        </w:rPr>
      </w:pPr>
      <w:r>
        <w:rPr>
          <w:rFonts w:hint="eastAsia"/>
          <w:bCs/>
          <w:szCs w:val="21"/>
        </w:rPr>
        <w:t>《商务要求偏离表》编制指引：</w:t>
      </w:r>
    </w:p>
    <w:p>
      <w:pPr>
        <w:ind w:firstLine="420" w:firstLineChars="200"/>
        <w:rPr>
          <w:bCs/>
          <w:szCs w:val="21"/>
        </w:rPr>
      </w:pPr>
      <w:r>
        <w:rPr>
          <w:rFonts w:hint="eastAsia"/>
          <w:bCs/>
          <w:szCs w:val="21"/>
        </w:rPr>
        <w:t>1、商务要求偏离表的序号、商务需求项、招标商务要求等栏目对应“用户需求书”中的“商务要求”章节相关内容。</w:t>
      </w:r>
    </w:p>
    <w:p>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pPr>
        <w:rPr>
          <w:bCs/>
          <w:szCs w:val="21"/>
        </w:rPr>
      </w:pPr>
      <w:r>
        <w:rPr>
          <w:rFonts w:hint="eastAsia"/>
          <w:bCs/>
          <w:szCs w:val="21"/>
        </w:rPr>
        <w:t>“投标商务响应”对比“招标商务要求”存在响应不全（包括未响应整项招标商务要求或者未响应一项招标商务要求的部分内容），均视为“负偏离”。</w:t>
      </w:r>
    </w:p>
    <w:p>
      <w:pPr>
        <w:ind w:firstLine="420" w:firstLineChars="200"/>
        <w:rPr>
          <w:bCs/>
          <w:szCs w:val="21"/>
        </w:rPr>
      </w:pPr>
      <w:r>
        <w:rPr>
          <w:rFonts w:hint="eastAsia"/>
          <w:bCs/>
          <w:szCs w:val="21"/>
        </w:rPr>
        <w:t>4、带★号条款为不可偏离条款，如未响应或出现负偏离的，将作投标无效处理。</w:t>
      </w:r>
    </w:p>
    <w:p>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pPr>
        <w:pStyle w:val="5"/>
        <w:jc w:val="center"/>
        <w:rPr>
          <w:rFonts w:hint="eastAsia"/>
          <w:sz w:val="24"/>
        </w:rPr>
      </w:pPr>
      <w:r>
        <w:rPr>
          <w:rFonts w:hint="eastAsia" w:ascii="黑体" w:eastAsia="黑体"/>
          <w:b w:val="0"/>
          <w:sz w:val="24"/>
          <w:szCs w:val="24"/>
        </w:rPr>
        <w:t>五、技术要求偏离表</w:t>
      </w:r>
    </w:p>
    <w:tbl>
      <w:tblPr>
        <w:tblStyle w:val="17"/>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pPr>
              <w:jc w:val="center"/>
              <w:rPr>
                <w:color w:val="000000" w:themeColor="text1"/>
                <w:szCs w:val="21"/>
                <w14:textFill>
                  <w14:solidFill>
                    <w14:schemeClr w14:val="tx1"/>
                  </w14:solidFill>
                </w14:textFill>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rStyle w:val="20"/>
                <w:b w:val="0"/>
                <w:bCs w:val="0"/>
                <w:color w:val="000000" w:themeColor="text1"/>
                <w:szCs w:val="21"/>
                <w14:textFill>
                  <w14:solidFill>
                    <w14:schemeClr w14:val="tx1"/>
                  </w14:solidFill>
                </w14:textFill>
              </w:rPr>
            </w:pPr>
          </w:p>
        </w:tc>
        <w:tc>
          <w:tcPr>
            <w:tcW w:w="710" w:type="dxa"/>
          </w:tcPr>
          <w:p>
            <w:pPr>
              <w:rPr>
                <w:rStyle w:val="20"/>
                <w:b w:val="0"/>
                <w:bCs w:val="0"/>
                <w:color w:val="000000" w:themeColor="text1"/>
                <w:szCs w:val="21"/>
                <w14:textFill>
                  <w14:solidFill>
                    <w14:schemeClr w14:val="tx1"/>
                  </w14:solidFill>
                </w14:textFill>
              </w:rPr>
            </w:pPr>
          </w:p>
        </w:tc>
        <w:tc>
          <w:tcPr>
            <w:tcW w:w="390" w:type="dxa"/>
          </w:tcPr>
          <w:p>
            <w:pPr>
              <w:rPr>
                <w:rStyle w:val="20"/>
                <w:b w:val="0"/>
                <w:bCs w:val="0"/>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b/>
                <w:bCs/>
                <w:color w:val="000000" w:themeColor="text1"/>
                <w:szCs w:val="21"/>
                <w14:textFill>
                  <w14:solidFill>
                    <w14:schemeClr w14:val="tx1"/>
                  </w14:solidFill>
                </w14:textFill>
              </w:rPr>
            </w:pPr>
            <w:r>
              <w:rPr>
                <w:rFonts w:hint="eastAsia"/>
              </w:rPr>
              <w:t>（填写相关内容）</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bl>
    <w:p>
      <w:pPr>
        <w:rPr>
          <w:sz w:val="24"/>
        </w:rPr>
      </w:pPr>
    </w:p>
    <w:p>
      <w:pPr>
        <w:rPr>
          <w:szCs w:val="21"/>
        </w:rPr>
      </w:pPr>
      <w:bookmarkStart w:id="37" w:name="_Hlk72095977"/>
      <w:r>
        <w:rPr>
          <w:rFonts w:hint="eastAsia"/>
          <w:szCs w:val="21"/>
        </w:rPr>
        <w:t>证明资料【如有的话，提供的证明资料应统一编号（排序），格式自定】</w:t>
      </w:r>
      <w:bookmarkEnd w:id="37"/>
      <w:r>
        <w:rPr>
          <w:rFonts w:hint="eastAsia"/>
          <w:szCs w:val="21"/>
        </w:rPr>
        <w:t>：</w:t>
      </w:r>
    </w:p>
    <w:p>
      <w:pPr>
        <w:rPr>
          <w:b/>
          <w:szCs w:val="21"/>
        </w:rPr>
      </w:pPr>
    </w:p>
    <w:p>
      <w:pPr>
        <w:ind w:firstLine="420" w:firstLineChars="200"/>
        <w:rPr>
          <w:bCs/>
          <w:szCs w:val="21"/>
        </w:rPr>
      </w:pPr>
      <w:r>
        <w:rPr>
          <w:rFonts w:hint="eastAsia"/>
          <w:bCs/>
          <w:szCs w:val="21"/>
        </w:rPr>
        <w:t>《技术要求偏离表》编制指引：</w:t>
      </w:r>
    </w:p>
    <w:p>
      <w:pPr>
        <w:ind w:firstLine="420" w:firstLineChars="200"/>
        <w:rPr>
          <w:bCs/>
          <w:szCs w:val="21"/>
        </w:rPr>
      </w:pPr>
      <w:r>
        <w:rPr>
          <w:rFonts w:hint="eastAsia"/>
          <w:bCs/>
          <w:szCs w:val="21"/>
        </w:rPr>
        <w:t>1、技术要求偏离表的序号、货物名称、招标技术要求等栏目</w:t>
      </w:r>
      <w:bookmarkStart w:id="38" w:name="_Hlk72094407"/>
      <w:r>
        <w:rPr>
          <w:rFonts w:hint="eastAsia"/>
          <w:bCs/>
          <w:szCs w:val="21"/>
        </w:rPr>
        <w:t>对应“用户需求书”中的“技术要求”章节</w:t>
      </w:r>
      <w:bookmarkEnd w:id="38"/>
      <w:r>
        <w:rPr>
          <w:rFonts w:hint="eastAsia"/>
          <w:bCs/>
          <w:szCs w:val="21"/>
        </w:rPr>
        <w:t>相关内容。</w:t>
      </w:r>
    </w:p>
    <w:p>
      <w:pPr>
        <w:pStyle w:val="14"/>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39" w:name="_Hlk72158270"/>
      <w:r>
        <w:rPr>
          <w:rFonts w:hint="eastAsia"/>
          <w:bCs/>
          <w:szCs w:val="21"/>
        </w:rPr>
        <w:t>“偏离情况”</w:t>
      </w:r>
      <w:bookmarkEnd w:id="39"/>
      <w:r>
        <w:rPr>
          <w:rFonts w:hint="eastAsia"/>
          <w:bCs/>
          <w:szCs w:val="21"/>
        </w:rPr>
        <w:t>一栏填写如实填写“正偏离”、“负偏离”或“无偏离”，其中：</w:t>
      </w:r>
      <w:bookmarkStart w:id="40" w:name="_Hlk72093866"/>
      <w:r>
        <w:rPr>
          <w:rFonts w:hint="eastAsia"/>
          <w:bCs/>
          <w:szCs w:val="21"/>
        </w:rPr>
        <w:t>“正偏离”表示“投标响应优于招标技术要求”，“负偏离”表示“投标响应不满足招标技术要求”，“无偏离”表示“投标响应与招标技术要求一致”</w:t>
      </w:r>
      <w:bookmarkEnd w:id="40"/>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pPr>
        <w:ind w:firstLine="420" w:firstLineChars="200"/>
        <w:rPr>
          <w:bCs/>
          <w:szCs w:val="21"/>
        </w:rPr>
      </w:pPr>
      <w:r>
        <w:rPr>
          <w:bCs/>
          <w:szCs w:val="21"/>
        </w:rPr>
        <w:t>4</w:t>
      </w:r>
      <w:r>
        <w:rPr>
          <w:rFonts w:hint="eastAsia"/>
          <w:bCs/>
          <w:szCs w:val="21"/>
        </w:rPr>
        <w:t>、未要求提供证明资料的招标技术要求，可以不提供证明资料（如实响应即可）。</w:t>
      </w:r>
    </w:p>
    <w:p>
      <w:pPr>
        <w:ind w:firstLine="420" w:firstLineChars="200"/>
        <w:rPr>
          <w:bCs/>
          <w:szCs w:val="21"/>
        </w:rPr>
      </w:pPr>
      <w:r>
        <w:rPr>
          <w:rFonts w:hint="eastAsia"/>
          <w:bCs/>
          <w:szCs w:val="21"/>
        </w:rPr>
        <w:t>5、</w:t>
      </w:r>
      <w:bookmarkStart w:id="41" w:name="_Hlk72096106"/>
      <w:r>
        <w:rPr>
          <w:rFonts w:hint="eastAsia"/>
          <w:bCs/>
          <w:szCs w:val="21"/>
        </w:rPr>
        <w:t>证明资料条款响应要求</w:t>
      </w:r>
      <w:bookmarkEnd w:id="41"/>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2"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3" w:name="_Hlk73558164"/>
      <w:r>
        <w:rPr>
          <w:rFonts w:hint="eastAsia"/>
          <w:bCs/>
          <w:szCs w:val="21"/>
        </w:rPr>
        <w:t>且投标人在“偏离情况”一栏响应为“正偏离”或“无偏离”的，经评审委员会认定，将判定为负偏离。</w:t>
      </w:r>
      <w:bookmarkEnd w:id="42"/>
      <w:bookmarkEnd w:id="43"/>
    </w:p>
    <w:p>
      <w:pPr>
        <w:ind w:firstLine="420" w:firstLineChars="200"/>
        <w:rPr>
          <w:bCs/>
          <w:szCs w:val="21"/>
        </w:rPr>
      </w:pPr>
      <w:r>
        <w:rPr>
          <w:rFonts w:hint="eastAsia"/>
          <w:bCs/>
          <w:szCs w:val="21"/>
        </w:rPr>
        <w:t>6、</w:t>
      </w:r>
      <w:bookmarkStart w:id="44" w:name="_Hlk72096137"/>
      <w:r>
        <w:rPr>
          <w:rFonts w:hint="eastAsia"/>
          <w:bCs/>
          <w:szCs w:val="21"/>
        </w:rPr>
        <w:t>表后“证明资料”部分内容的编制</w:t>
      </w:r>
      <w:bookmarkEnd w:id="44"/>
      <w:r>
        <w:rPr>
          <w:rFonts w:hint="eastAsia"/>
          <w:bCs/>
          <w:szCs w:val="21"/>
        </w:rPr>
        <w:t>：提供的所有证明资料应当统一编号（排序），且证明资料的编号（顺序）、数量和名称（形式）均应与“说明”一栏所填内容保持一致（一一对应），以便评审委员会查看。</w:t>
      </w:r>
      <w:bookmarkStart w:id="45" w:name="_Hlk73558180"/>
      <w:r>
        <w:rPr>
          <w:rFonts w:hint="eastAsia"/>
          <w:bCs/>
          <w:szCs w:val="21"/>
        </w:rPr>
        <w:t>未按照招标文件要求在表后放置证明材料的供应商将承担不利后果，经评审委员会认定，相关技术要求将判定为负偏离。</w:t>
      </w:r>
      <w:bookmarkEnd w:id="45"/>
    </w:p>
    <w:p>
      <w:pPr>
        <w:ind w:firstLine="420" w:firstLineChars="200"/>
        <w:rPr>
          <w:bCs/>
          <w:szCs w:val="21"/>
        </w:rPr>
      </w:pPr>
      <w:r>
        <w:rPr>
          <w:rFonts w:hint="eastAsia"/>
          <w:bCs/>
          <w:szCs w:val="21"/>
        </w:rPr>
        <w:t>7、</w:t>
      </w:r>
      <w:bookmarkStart w:id="46" w:name="_Hlk72096176"/>
      <w:r>
        <w:rPr>
          <w:rFonts w:hint="eastAsia"/>
          <w:bCs/>
          <w:szCs w:val="21"/>
        </w:rPr>
        <w:t>证明资料的形式及其它具体要求</w:t>
      </w:r>
      <w:bookmarkEnd w:id="46"/>
      <w:r>
        <w:rPr>
          <w:rFonts w:hint="eastAsia"/>
          <w:bCs/>
          <w:szCs w:val="21"/>
        </w:rPr>
        <w:t>：</w:t>
      </w:r>
    </w:p>
    <w:p>
      <w:pPr>
        <w:ind w:firstLine="420" w:firstLineChars="200"/>
        <w:rPr>
          <w:bCs/>
          <w:szCs w:val="21"/>
        </w:rPr>
      </w:pPr>
      <w:r>
        <w:rPr>
          <w:rFonts w:hint="eastAsia"/>
          <w:bCs/>
          <w:szCs w:val="21"/>
        </w:rPr>
        <w:t>（1）除照片、图片（截图）及不需加盖公章的文字说明（技术说明）外，其它证明资料均要求为原件扫描件；</w:t>
      </w:r>
    </w:p>
    <w:p>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Cs/>
          <w:szCs w:val="21"/>
        </w:rPr>
      </w:pPr>
      <w:r>
        <w:rPr>
          <w:rFonts w:hint="eastAsia"/>
          <w:bCs/>
          <w:szCs w:val="21"/>
        </w:rPr>
        <w:t>其它证明资料的形式要求参照以上要求执行；</w:t>
      </w:r>
    </w:p>
    <w:p>
      <w:pPr>
        <w:ind w:firstLine="420" w:firstLineChars="200"/>
        <w:rPr>
          <w:bCs/>
          <w:szCs w:val="21"/>
        </w:rPr>
      </w:pPr>
      <w:r>
        <w:rPr>
          <w:rFonts w:hint="eastAsia"/>
          <w:bCs/>
          <w:szCs w:val="21"/>
        </w:rPr>
        <w:t>（4）证明资料均要求原件备查。</w:t>
      </w:r>
    </w:p>
    <w:p>
      <w:pPr>
        <w:ind w:firstLine="420" w:firstLineChars="200"/>
        <w:rPr>
          <w:bCs/>
          <w:szCs w:val="21"/>
        </w:rPr>
      </w:pPr>
      <w:r>
        <w:rPr>
          <w:rFonts w:hint="eastAsia"/>
          <w:bCs/>
          <w:szCs w:val="21"/>
        </w:rPr>
        <w:t>8、其它注意事项：</w:t>
      </w:r>
    </w:p>
    <w:p>
      <w:pPr>
        <w:ind w:firstLine="420" w:firstLineChars="200"/>
        <w:rPr>
          <w:bCs/>
          <w:szCs w:val="21"/>
        </w:rPr>
      </w:pPr>
      <w:r>
        <w:rPr>
          <w:rFonts w:hint="eastAsia"/>
          <w:bCs/>
          <w:szCs w:val="21"/>
        </w:rPr>
        <w:t>（1）评审委员会有权对投标人的响应情况作出判断（评审结论）；</w:t>
      </w:r>
    </w:p>
    <w:p>
      <w:pPr>
        <w:ind w:firstLine="420" w:firstLineChars="200"/>
        <w:rPr>
          <w:bCs/>
          <w:szCs w:val="21"/>
        </w:rPr>
      </w:pPr>
      <w:r>
        <w:rPr>
          <w:rFonts w:hint="eastAsia"/>
          <w:bCs/>
          <w:szCs w:val="21"/>
        </w:rPr>
        <w:t>（2）</w:t>
      </w:r>
      <w:bookmarkStart w:id="47"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7"/>
    </w:p>
    <w:p>
      <w:pPr>
        <w:ind w:firstLine="482" w:firstLineChars="200"/>
        <w:rPr>
          <w:b/>
          <w:sz w:val="24"/>
        </w:rPr>
      </w:pPr>
    </w:p>
    <w:p>
      <w:pPr>
        <w:ind w:firstLine="482" w:firstLineChars="200"/>
        <w:rPr>
          <w:b/>
          <w:sz w:val="24"/>
        </w:rPr>
      </w:pPr>
    </w:p>
    <w:p>
      <w:pPr>
        <w:ind w:firstLine="482" w:firstLineChars="200"/>
        <w:rPr>
          <w:b/>
          <w:sz w:val="24"/>
        </w:rPr>
      </w:pPr>
    </w:p>
    <w:p>
      <w:pPr>
        <w:rPr>
          <w:rFonts w:hint="eastAsia" w:ascii="宋体" w:hAnsi="宋体"/>
        </w:rPr>
      </w:pPr>
      <w:r>
        <w:rPr>
          <w:rFonts w:ascii="宋体" w:hAnsi="宋体" w:eastAsia="宋体" w:cs="Times New Roman"/>
          <w:color w:val="FF0000"/>
          <w:sz w:val="32"/>
          <w:szCs w:val="32"/>
        </w:rPr>
        <w:br w:type="page"/>
      </w:r>
    </w:p>
    <w:p>
      <w:pPr>
        <w:jc w:val="center"/>
        <w:rPr>
          <w:sz w:val="24"/>
        </w:rPr>
      </w:pPr>
    </w:p>
    <w:p>
      <w:pPr>
        <w:ind w:left="718" w:leftChars="342" w:firstLine="1620" w:firstLineChars="675"/>
        <w:rPr>
          <w:rFonts w:hint="eastAsia" w:ascii="黑体" w:hAnsi="宋体" w:eastAsia="黑体" w:cstheme="minorBidi"/>
          <w:b w:val="0"/>
          <w:bCs w:val="0"/>
          <w:kern w:val="2"/>
          <w:sz w:val="24"/>
          <w:szCs w:val="20"/>
          <w:lang w:val="en-US" w:eastAsia="zh-CN" w:bidi="ar-SA"/>
        </w:rPr>
      </w:pPr>
      <w:bookmarkStart w:id="48" w:name="_Hlk72062872"/>
      <w:r>
        <w:rPr>
          <w:rFonts w:hint="eastAsia" w:ascii="黑体" w:hAnsi="宋体" w:eastAsia="黑体" w:cstheme="minorBidi"/>
          <w:b w:val="0"/>
          <w:bCs w:val="0"/>
          <w:kern w:val="2"/>
          <w:sz w:val="24"/>
          <w:szCs w:val="20"/>
          <w:lang w:val="en-US" w:eastAsia="zh-CN" w:bidi="ar-SA"/>
        </w:rPr>
        <w:t>六、技术保障措施</w:t>
      </w:r>
    </w:p>
    <w:p>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七、设计方案</w:t>
      </w:r>
    </w:p>
    <w:p>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八、现场勘察</w:t>
      </w:r>
    </w:p>
    <w:p>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九、同类项目业绩</w:t>
      </w:r>
    </w:p>
    <w:p>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十、投标人认为需要加以说明的其他内容</w:t>
      </w:r>
    </w:p>
    <w:bookmarkEnd w:id="48"/>
    <w:p>
      <w:pPr>
        <w:widowControl/>
        <w:jc w:val="center"/>
        <w:rPr>
          <w:rFonts w:hint="eastAsia" w:ascii="黑体" w:hAnsi="宋体" w:eastAsia="黑体"/>
          <w:kern w:val="0"/>
          <w:sz w:val="24"/>
          <w:szCs w:val="20"/>
        </w:rPr>
      </w:pPr>
    </w:p>
    <w:p>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ascii="黑体" w:hAnsi="宋体" w:eastAsia="黑体"/>
          <w:kern w:val="0"/>
          <w:sz w:val="24"/>
          <w:szCs w:val="20"/>
        </w:rPr>
      </w:pPr>
    </w:p>
    <w:p>
      <w:pPr>
        <w:spacing w:before="0" w:beforeLines="0" w:after="157" w:afterLines="50" w:line="360" w:lineRule="exact"/>
        <w:ind w:firstLine="482" w:firstLineChars="200"/>
        <w:rPr>
          <w:rFonts w:hint="eastAsia" w:eastAsia="宋体" w:cs="Times New Roman"/>
          <w:b/>
          <w:bCs/>
          <w:color w:val="auto"/>
          <w:sz w:val="24"/>
          <w:lang w:val="en-US" w:eastAsia="zh-CN"/>
        </w:rPr>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投标前已充分知悉以下情形为参与政府采购活动时的重大风险事项，并承诺已对下述风险提示事项重点排查，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若存在下述情况，我单位愿意依法承担被记入供应商诚信档案、罚款、取消参与政府采购资格、吊销营业执照等处罚；构成犯罪的，依法承担刑事责任。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pPr>
        <w:spacing w:beforeLines="0" w:line="380" w:lineRule="exact"/>
        <w:ind w:firstLine="420" w:firstLineChars="200"/>
        <w:rPr>
          <w:color w:val="auto"/>
        </w:rPr>
      </w:pPr>
      <w:r>
        <w:rPr>
          <w:rFonts w:hint="eastAsia"/>
          <w:color w:val="auto"/>
        </w:rPr>
        <w:t>（三）项目负责人或者主要技术人员不是本单位人员的。</w:t>
      </w:r>
    </w:p>
    <w:p>
      <w:pPr>
        <w:spacing w:beforeLines="0" w:line="380" w:lineRule="exact"/>
        <w:ind w:firstLine="420" w:firstLineChars="200"/>
        <w:rPr>
          <w:color w:val="auto"/>
        </w:rPr>
      </w:pPr>
      <w:r>
        <w:rPr>
          <w:rFonts w:hint="eastAsia"/>
          <w:color w:val="auto"/>
        </w:rPr>
        <w:t>（四）投标保证金不是从投标供应商基本账户转出的。</w:t>
      </w:r>
    </w:p>
    <w:p>
      <w:pPr>
        <w:spacing w:beforeLines="0" w:line="380" w:lineRule="exact"/>
        <w:ind w:firstLine="420" w:firstLineChars="200"/>
        <w:rPr>
          <w:color w:val="auto"/>
        </w:rPr>
      </w:pPr>
      <w:r>
        <w:rPr>
          <w:rFonts w:hint="eastAsia"/>
          <w:color w:val="auto"/>
        </w:rPr>
        <w:t>（五）其他隐瞒真实情况、提供虚假资料的行为。</w:t>
      </w:r>
    </w:p>
    <w:p>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pPr>
        <w:spacing w:beforeLines="0" w:line="380" w:lineRule="exact"/>
        <w:ind w:firstLine="420" w:firstLineChars="200"/>
        <w:rPr>
          <w:color w:val="auto"/>
        </w:rPr>
      </w:pPr>
      <w:r>
        <w:rPr>
          <w:rFonts w:hint="eastAsia"/>
          <w:color w:val="auto"/>
        </w:rPr>
        <w:t>（一）投标供应商之间相互约定给予未中标的供应商利益补偿。</w:t>
      </w:r>
    </w:p>
    <w:p>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pPr>
        <w:spacing w:beforeLines="0" w:line="340" w:lineRule="exact"/>
        <w:ind w:firstLine="420" w:firstLineChars="200"/>
        <w:rPr>
          <w:color w:val="auto"/>
        </w:rPr>
      </w:pPr>
      <w:r>
        <w:rPr>
          <w:rFonts w:hint="eastAsia"/>
          <w:color w:val="auto"/>
        </w:rPr>
        <w:t>（四）不同投标供应商的投标文件或部分投标文件相互混装。</w:t>
      </w:r>
    </w:p>
    <w:p>
      <w:pPr>
        <w:spacing w:beforeLines="0" w:line="340" w:lineRule="exact"/>
        <w:ind w:firstLine="420" w:firstLineChars="200"/>
        <w:rPr>
          <w:color w:val="auto"/>
        </w:rPr>
      </w:pPr>
      <w:r>
        <w:rPr>
          <w:rFonts w:hint="eastAsia"/>
          <w:color w:val="auto"/>
        </w:rPr>
        <w:t>（五）不同投标供应商的投标文件内容存在非正常一致。</w:t>
      </w:r>
    </w:p>
    <w:p>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pPr>
        <w:spacing w:beforeLines="0" w:line="340" w:lineRule="exact"/>
        <w:ind w:firstLine="420" w:firstLineChars="200"/>
        <w:rPr>
          <w:color w:val="auto"/>
        </w:rPr>
      </w:pPr>
      <w:r>
        <w:rPr>
          <w:rFonts w:hint="eastAsia"/>
          <w:color w:val="auto"/>
        </w:rPr>
        <w:t>（七）不同投标人的投标报价呈规律性差异。</w:t>
      </w:r>
    </w:p>
    <w:p>
      <w:pPr>
        <w:spacing w:beforeLines="0" w:line="340" w:lineRule="exact"/>
        <w:ind w:firstLine="420" w:firstLineChars="200"/>
        <w:rPr>
          <w:color w:val="auto"/>
        </w:rPr>
      </w:pPr>
      <w:r>
        <w:rPr>
          <w:rFonts w:hint="eastAsia"/>
          <w:color w:val="auto"/>
        </w:rPr>
        <w:t>（八）不同投标人的投标保证金从同一单位或者个人的账户转出。</w:t>
      </w:r>
    </w:p>
    <w:p>
      <w:pPr>
        <w:spacing w:beforeLines="0" w:line="340" w:lineRule="exact"/>
        <w:ind w:firstLine="420" w:firstLineChars="200"/>
        <w:rPr>
          <w:color w:val="auto"/>
        </w:rPr>
      </w:pPr>
      <w:r>
        <w:rPr>
          <w:rFonts w:hint="eastAsia"/>
          <w:color w:val="auto"/>
        </w:rPr>
        <w:t>（九）主管部门依照法律、法规认定的其他情形。</w:t>
      </w:r>
    </w:p>
    <w:p>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在深圳政府采购网站进行的活动，均具有法律效力，须承担相应的法律后果。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已充分知悉政府采购违法、违规行为的法律</w:t>
      </w:r>
      <w:r>
        <w:rPr>
          <w:rFonts w:hint="eastAsia"/>
          <w:b/>
          <w:color w:val="auto"/>
          <w:highlight w:val="none"/>
        </w:rPr>
        <w:t>后果。</w:t>
      </w:r>
    </w:p>
    <w:p>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pPr>
        <w:spacing w:beforeLines="0" w:line="340" w:lineRule="exact"/>
        <w:ind w:firstLine="420" w:firstLineChars="200"/>
        <w:rPr>
          <w:color w:val="auto"/>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已仔细阅读《政府采购违法行为风险知悉确认书》，充分知悉违法行为的法律后果，并承诺将严谨、诚信、依法依规参与政府采购活动”。</w:t>
      </w:r>
    </w:p>
    <w:tbl>
      <w:tblPr>
        <w:tblStyle w:val="40"/>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304" w:hRule="atLeast"/>
        </w:trPr>
        <w:tc>
          <w:tcPr>
            <w:tcW w:w="8529" w:type="dxa"/>
            <w:tcBorders>
              <w:top w:val="nil"/>
              <w:left w:val="nil"/>
              <w:bottom w:val="single" w:color="000000"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highlight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auto" w:sz="8" w:space="0"/>
              <w:right w:val="nil"/>
            </w:tcBorders>
            <w:noWrap w:val="0"/>
            <w:vAlign w:val="top"/>
          </w:tcPr>
          <w:p>
            <w:pPr>
              <w:autoSpaceDE w:val="0"/>
              <w:autoSpaceDN w:val="0"/>
              <w:spacing w:beforeLines="0" w:line="340" w:lineRule="exact"/>
              <w:ind w:firstLine="1866"/>
              <w:rPr>
                <w:rFonts w:ascii="宋体" w:hAnsi="宋体" w:eastAsia="宋体"/>
                <w:color w:val="auto"/>
                <w:spacing w:val="-4"/>
                <w:kern w:val="0"/>
                <w:szCs w:val="21"/>
              </w:rPr>
            </w:pPr>
          </w:p>
        </w:tc>
      </w:tr>
    </w:tbl>
    <w:p>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rPr>
      </w:pP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b/>
          <w:bCs/>
          <w:color w:val="auto"/>
          <w:spacing w:val="-4"/>
          <w:kern w:val="0"/>
          <w:szCs w:val="21"/>
          <w:highlight w:val="none"/>
        </w:rPr>
      </w:pPr>
      <w:r>
        <w:rPr>
          <w:rFonts w:hint="eastAsia" w:ascii="宋体" w:hAnsi="宋体" w:eastAsia="宋体"/>
          <w:b/>
          <w:bCs/>
          <w:color w:val="auto"/>
          <w:spacing w:val="-4"/>
          <w:kern w:val="0"/>
          <w:szCs w:val="21"/>
        </w:rPr>
        <w:t>注：</w:t>
      </w:r>
      <w:r>
        <w:rPr>
          <w:rFonts w:hint="eastAsia" w:ascii="宋体" w:hAnsi="宋体"/>
          <w:b/>
          <w:bCs/>
          <w:color w:val="auto"/>
          <w:spacing w:val="-4"/>
          <w:kern w:val="0"/>
          <w:szCs w:val="21"/>
          <w:lang w:val="en-US" w:eastAsia="zh-CN"/>
        </w:rPr>
        <w:t>1.</w:t>
      </w:r>
      <w:r>
        <w:rPr>
          <w:rFonts w:hint="eastAsia" w:ascii="宋体" w:hAnsi="宋体" w:eastAsia="宋体"/>
          <w:b/>
          <w:bCs/>
          <w:color w:val="auto"/>
          <w:spacing w:val="-4"/>
          <w:kern w:val="0"/>
          <w:szCs w:val="21"/>
          <w:lang w:eastAsia="zh-CN"/>
        </w:rPr>
        <w:t>《</w:t>
      </w:r>
      <w:r>
        <w:rPr>
          <w:rFonts w:hint="eastAsia" w:ascii="宋体" w:hAnsi="宋体" w:eastAsia="宋体"/>
          <w:b/>
          <w:bCs/>
          <w:color w:val="auto"/>
          <w:spacing w:val="-4"/>
          <w:kern w:val="0"/>
          <w:szCs w:val="21"/>
          <w:lang w:val="en-US" w:eastAsia="zh-CN"/>
        </w:rPr>
        <w:t>政府采购违法行为风险知悉确认书</w:t>
      </w:r>
      <w:r>
        <w:rPr>
          <w:rFonts w:hint="eastAsia" w:ascii="宋体" w:hAnsi="宋体" w:eastAsia="宋体"/>
          <w:b/>
          <w:bCs/>
          <w:color w:val="auto"/>
          <w:spacing w:val="-4"/>
          <w:kern w:val="0"/>
          <w:szCs w:val="21"/>
          <w:lang w:eastAsia="zh-CN"/>
        </w:rPr>
        <w:t>》需由</w:t>
      </w:r>
      <w:r>
        <w:rPr>
          <w:rFonts w:hint="eastAsia" w:ascii="宋体" w:hAnsi="宋体" w:eastAsia="宋体"/>
          <w:b/>
          <w:bCs/>
          <w:color w:val="auto"/>
          <w:spacing w:val="-4"/>
          <w:kern w:val="0"/>
          <w:szCs w:val="21"/>
          <w:highlight w:val="none"/>
        </w:rPr>
        <w:t>投标供应商负责人签字并加盖单位公章后，扫描上传至投标文件一并提交。</w:t>
      </w:r>
    </w:p>
    <w:p>
      <w:pPr>
        <w:pStyle w:val="52"/>
        <w:keepNext w:val="0"/>
        <w:keepLines w:val="0"/>
        <w:pageBreakBefore w:val="0"/>
        <w:kinsoku/>
        <w:wordWrap/>
        <w:overflowPunct/>
        <w:topLinePunct w:val="0"/>
        <w:bidi w:val="0"/>
        <w:adjustRightInd/>
        <w:snapToGrid/>
        <w:ind w:firstLine="422" w:firstLineChars="200"/>
        <w:textAlignment w:val="auto"/>
        <w:rPr>
          <w:b/>
          <w:bCs/>
          <w:color w:val="auto"/>
          <w:lang w:val="en-US" w:eastAsia="zh-CN"/>
        </w:rPr>
      </w:pPr>
      <w:r>
        <w:rPr>
          <w:rFonts w:hint="eastAsia"/>
          <w:b/>
          <w:bCs/>
          <w:color w:val="auto"/>
          <w:lang w:val="en-US"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pPr>
        <w:widowControl/>
        <w:wordWrap/>
        <w:autoSpaceDE w:val="0"/>
        <w:autoSpaceDN w:val="0"/>
        <w:spacing w:line="400" w:lineRule="exact"/>
        <w:ind w:right="1414" w:firstLine="480" w:firstLineChars="200"/>
        <w:jc w:val="right"/>
        <w:rPr>
          <w:rFonts w:eastAsiaTheme="minorEastAsia"/>
          <w:kern w:val="0"/>
          <w:sz w:val="24"/>
        </w:rPr>
      </w:pPr>
    </w:p>
    <w:p>
      <w:pPr>
        <w:widowControl/>
        <w:wordWrap/>
        <w:autoSpaceDE w:val="0"/>
        <w:autoSpaceDN w:val="0"/>
        <w:spacing w:line="400" w:lineRule="exact"/>
        <w:ind w:right="1414" w:firstLine="480" w:firstLineChars="200"/>
        <w:jc w:val="right"/>
        <w:rPr>
          <w:rFonts w:eastAsiaTheme="minorEastAsia"/>
          <w:kern w:val="0"/>
          <w:sz w:val="24"/>
        </w:rPr>
      </w:pPr>
    </w:p>
    <w:p>
      <w:pPr>
        <w:widowControl/>
        <w:wordWrap/>
        <w:autoSpaceDE w:val="0"/>
        <w:autoSpaceDN w:val="0"/>
        <w:spacing w:line="400" w:lineRule="exact"/>
        <w:ind w:right="1414" w:firstLine="480" w:firstLineChars="200"/>
        <w:jc w:val="right"/>
        <w:rPr>
          <w:rFonts w:eastAsiaTheme="minorEastAsia"/>
          <w:kern w:val="0"/>
          <w:sz w:val="24"/>
        </w:rPr>
      </w:pPr>
    </w:p>
    <w:p>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关于政府采购订单融资政策</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pPr>
        <w:ind w:firstLine="720" w:firstLineChars="300"/>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pPr>
        <w:widowControl/>
        <w:jc w:val="center"/>
        <w:rPr>
          <w:rFonts w:ascii="黑体" w:hAnsi="宋体" w:eastAsia="黑体"/>
          <w:kern w:val="0"/>
          <w:sz w:val="24"/>
          <w:szCs w:val="20"/>
        </w:rPr>
      </w:pPr>
    </w:p>
    <w:p>
      <w:pPr>
        <w:spacing w:after="78" w:afterLines="25" w:line="300" w:lineRule="auto"/>
        <w:rPr>
          <w:rFonts w:ascii="Arial" w:hAnsi="Arial" w:eastAsia="宋体" w:cs="Times New Roman"/>
          <w:sz w:val="24"/>
          <w:szCs w:val="24"/>
        </w:rPr>
      </w:pPr>
    </w:p>
    <w:p>
      <w:pPr>
        <w:spacing w:after="78" w:afterLines="25" w:line="300" w:lineRule="auto"/>
        <w:rPr>
          <w:rFonts w:ascii="Arial" w:hAnsi="Arial" w:eastAsia="宋体" w:cs="Times New Roman"/>
          <w:sz w:val="24"/>
          <w:szCs w:val="24"/>
        </w:rPr>
      </w:pP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bookmarkStart w:id="109" w:name="_GoBack"/>
      <w:bookmarkEnd w:id="109"/>
      <w:r>
        <w:rPr>
          <w:rFonts w:hint="eastAsia" w:ascii="宋体" w:hAnsi="宋体" w:eastAsia="宋体" w:cs="Times New Roman"/>
          <w:b/>
          <w:bCs/>
          <w:kern w:val="0"/>
          <w:sz w:val="28"/>
          <w:szCs w:val="28"/>
        </w:rPr>
        <w:t>第五章  合同条款及格式</w:t>
      </w:r>
    </w:p>
    <w:p>
      <w:pPr>
        <w:widowControl/>
        <w:jc w:val="center"/>
        <w:rPr>
          <w:rFonts w:hint="eastAsia" w:ascii="宋体" w:hAnsi="宋体" w:eastAsia="黑体" w:cs="Times New Roman"/>
          <w:bCs/>
          <w:kern w:val="44"/>
          <w:sz w:val="28"/>
          <w:szCs w:val="44"/>
        </w:rPr>
      </w:pPr>
      <w:bookmarkStart w:id="49" w:name="_Hlk72574405"/>
      <w:r>
        <w:rPr>
          <w:rFonts w:hint="eastAsia"/>
          <w:b/>
          <w:sz w:val="24"/>
        </w:rPr>
        <w:t>（仅供参考，具体以项目需求及采购结果为准）</w:t>
      </w:r>
      <w:bookmarkEnd w:id="49"/>
    </w:p>
    <w:p>
      <w:pPr>
        <w:snapToGrid w:val="0"/>
        <w:spacing w:line="300" w:lineRule="auto"/>
        <w:jc w:val="center"/>
        <w:rPr>
          <w:rFonts w:hint="eastAsia" w:ascii="仿宋" w:hAnsi="仿宋" w:eastAsia="仿宋" w:cs="Times New Roman"/>
          <w:sz w:val="28"/>
          <w:szCs w:val="28"/>
        </w:rPr>
      </w:pP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eastAsia="黑体"/>
          <w:sz w:val="44"/>
          <w:szCs w:val="44"/>
        </w:rPr>
      </w:pPr>
      <w:r>
        <w:rPr>
          <w:rFonts w:hint="eastAsia" w:eastAsia="黑体"/>
          <w:sz w:val="44"/>
          <w:szCs w:val="44"/>
        </w:rPr>
        <w:t>使 用 说 明</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50" w:name="_Toc22209"/>
    </w:p>
    <w:p>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50"/>
    </w:p>
    <w:p>
      <w:pPr>
        <w:keepNext/>
        <w:keepLines/>
        <w:adjustRightInd w:val="0"/>
        <w:snapToGrid w:val="0"/>
        <w:spacing w:line="400" w:lineRule="exact"/>
        <w:jc w:val="center"/>
        <w:outlineLvl w:val="1"/>
        <w:rPr>
          <w:rFonts w:hint="eastAsia" w:ascii="黑体" w:hAnsi="华文中宋" w:eastAsia="黑体" w:cs="Times New Roman"/>
          <w:sz w:val="28"/>
          <w:szCs w:val="28"/>
        </w:rPr>
      </w:pPr>
    </w:p>
    <w:p>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line="400" w:lineRule="exact"/>
        <w:rPr>
          <w:rFonts w:eastAsia="宋体"/>
        </w:rPr>
      </w:pP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pPr>
        <w:numPr>
          <w:ilvl w:val="0"/>
          <w:numId w:val="9"/>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pPr>
        <w:numPr>
          <w:ilvl w:val="0"/>
          <w:numId w:val="10"/>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pPr>
        <w:numPr>
          <w:ilvl w:val="0"/>
          <w:numId w:val="9"/>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9"/>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9"/>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pPr>
        <w:numPr>
          <w:ilvl w:val="0"/>
          <w:numId w:val="11"/>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pPr>
        <w:numPr>
          <w:ilvl w:val="0"/>
          <w:numId w:val="9"/>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pPr>
        <w:numPr>
          <w:ilvl w:val="0"/>
          <w:numId w:val="9"/>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9"/>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pPr>
        <w:rPr>
          <w:rFonts w:eastAsia="宋体"/>
        </w:rPr>
      </w:pPr>
      <w:r>
        <w:rPr>
          <w:rFonts w:hint="eastAsia" w:eastAsia="宋体"/>
        </w:rPr>
        <w:br w:type="page"/>
      </w:r>
    </w:p>
    <w:p>
      <w:pPr>
        <w:ind w:firstLine="420" w:firstLineChars="200"/>
        <w:rPr>
          <w:rFonts w:ascii="Times New Roman" w:hAnsi="Times New Roman" w:eastAsia="宋体" w:cs="Times New Roman"/>
          <w:szCs w:val="21"/>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pPr>
        <w:ind w:firstLine="527" w:firstLineChars="250"/>
        <w:rPr>
          <w:rFonts w:hint="eastAsia" w:ascii="宋体" w:hAnsi="宋体"/>
          <w:b/>
          <w:szCs w:val="21"/>
        </w:rPr>
      </w:pPr>
    </w:p>
    <w:p>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1" w:name="_Toc27624"/>
      <w:r>
        <w:rPr>
          <w:rFonts w:hint="eastAsia" w:ascii="黑体" w:hAnsi="黑体" w:eastAsia="黑体" w:cs="Times New Roman"/>
          <w:sz w:val="28"/>
          <w:szCs w:val="28"/>
        </w:rPr>
        <w:t>第二节 政府采购合同通用条款</w:t>
      </w:r>
      <w:bookmarkEnd w:id="51"/>
    </w:p>
    <w:p>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numPr>
          <w:ilvl w:val="0"/>
          <w:numId w:val="12"/>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pPr>
        <w:numPr>
          <w:ilvl w:val="0"/>
          <w:numId w:val="13"/>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2"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2"/>
      <w:r>
        <w:rPr>
          <w:rFonts w:hint="eastAsia" w:ascii="宋体" w:hAnsi="宋体" w:eastAsia="宋体"/>
          <w:szCs w:val="21"/>
        </w:rPr>
        <w:t>。</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pPr>
        <w:numPr>
          <w:ilvl w:val="0"/>
          <w:numId w:val="14"/>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pPr>
        <w:numPr>
          <w:ilvl w:val="0"/>
          <w:numId w:val="15"/>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3" w:name="_Toc20313"/>
    </w:p>
    <w:p>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3"/>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eastAsia="宋体"/>
              </w:rPr>
            </w:pPr>
            <w:r>
              <w:rPr>
                <w:rFonts w:hint="eastAsia" w:ascii="宋体" w:hAnsi="宋体" w:eastAsia="宋体"/>
                <w:szCs w:val="21"/>
              </w:rPr>
              <w:t>第5.4款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货物质量缺陷</w:t>
            </w:r>
          </w:p>
          <w:p>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rPr>
            </w:pPr>
            <w:r>
              <w:rPr>
                <w:rFonts w:hint="eastAsia" w:ascii="宋体" w:hAnsi="宋体" w:eastAsia="宋体" w:cs="宋体"/>
                <w:szCs w:val="21"/>
              </w:rPr>
              <w:t>第二节</w:t>
            </w:r>
          </w:p>
          <w:p>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pPr>
              <w:adjustRightInd w:val="0"/>
              <w:snapToGrid w:val="0"/>
              <w:jc w:val="left"/>
              <w:rPr>
                <w:rFonts w:hint="eastAsia" w:ascii="宋体" w:hAnsi="宋体" w:eastAsia="宋体"/>
                <w:szCs w:val="21"/>
              </w:rPr>
            </w:pPr>
          </w:p>
        </w:tc>
      </w:tr>
    </w:tbl>
    <w:p>
      <w:pPr>
        <w:rPr>
          <w:rFonts w:eastAsia="宋体"/>
        </w:rPr>
      </w:pPr>
    </w:p>
    <w:p>
      <w:pPr>
        <w:widowControl/>
        <w:jc w:val="left"/>
        <w:rPr>
          <w:rFonts w:ascii="Arial" w:hAnsi="Arial" w:eastAsia="宋体" w:cs="Times New Roman"/>
          <w:color w:val="FF0000"/>
          <w:szCs w:val="24"/>
        </w:rPr>
      </w:pPr>
    </w:p>
    <w:p>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4"/>
        <w:keepNext/>
        <w:keepLines/>
        <w:numPr>
          <w:ilvl w:val="0"/>
          <w:numId w:val="16"/>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4" w:name="_Hlk72399513"/>
      <w:r>
        <w:rPr>
          <w:rFonts w:hint="eastAsia" w:asciiTheme="majorHAnsi" w:hAnsiTheme="majorHAnsi" w:eastAsiaTheme="majorEastAsia" w:cstheme="majorBidi"/>
          <w:b/>
          <w:bCs/>
          <w:sz w:val="28"/>
          <w:szCs w:val="28"/>
        </w:rPr>
        <w:t>总则</w:t>
      </w:r>
    </w:p>
    <w:bookmarkEnd w:id="54"/>
    <w:p>
      <w:pPr>
        <w:rPr>
          <w:rFonts w:hint="eastAsia" w:ascii="黑体" w:hAnsi="宋体" w:eastAsia="黑体"/>
          <w:sz w:val="24"/>
        </w:rPr>
      </w:pPr>
      <w:bookmarkStart w:id="55" w:name="_Hlk72439706"/>
      <w:r>
        <w:rPr>
          <w:rFonts w:hint="eastAsia" w:ascii="黑体" w:hAnsi="宋体" w:eastAsia="黑体"/>
          <w:sz w:val="24"/>
        </w:rPr>
        <w:t>1. 通用条款说明</w:t>
      </w:r>
    </w:p>
    <w:p>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6" w:name="_Hlk72399729"/>
      <w:r>
        <w:rPr>
          <w:rFonts w:hint="eastAsia" w:ascii="宋体" w:hAnsi="宋体"/>
          <w:szCs w:val="21"/>
        </w:rPr>
        <w:t>如有需要，政府集中采购机构可以对通用条款的内容进行补充。</w:t>
      </w:r>
      <w:bookmarkEnd w:id="56"/>
    </w:p>
    <w:p>
      <w:pPr>
        <w:ind w:firstLine="411" w:firstLineChars="196"/>
        <w:rPr>
          <w:rFonts w:hint="eastAsia" w:ascii="宋体" w:hAnsi="宋体"/>
          <w:szCs w:val="21"/>
        </w:rPr>
      </w:pPr>
      <w:r>
        <w:rPr>
          <w:rFonts w:hint="eastAsia" w:ascii="宋体" w:hAnsi="宋体"/>
          <w:szCs w:val="21"/>
        </w:rPr>
        <w:t>1.2招标文件分为第一册“专用条款”和第二册“通用条款”。</w:t>
      </w:r>
    </w:p>
    <w:p>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pPr>
        <w:rPr>
          <w:rFonts w:hint="eastAsia" w:ascii="黑体" w:hAnsi="宋体" w:eastAsia="黑体"/>
          <w:sz w:val="24"/>
        </w:rPr>
      </w:pPr>
      <w:r>
        <w:rPr>
          <w:rFonts w:hint="eastAsia" w:ascii="黑体" w:hAnsi="宋体" w:eastAsia="黑体"/>
          <w:sz w:val="24"/>
        </w:rPr>
        <w:t>3．定义</w:t>
      </w:r>
    </w:p>
    <w:p>
      <w:pPr>
        <w:ind w:firstLine="420" w:firstLineChars="200"/>
        <w:rPr>
          <w:rFonts w:hint="eastAsia" w:ascii="宋体" w:hAnsi="宋体"/>
          <w:szCs w:val="21"/>
        </w:rPr>
      </w:pPr>
      <w:r>
        <w:rPr>
          <w:rFonts w:ascii="宋体" w:hAnsi="宋体"/>
          <w:szCs w:val="21"/>
        </w:rPr>
        <w:t>招标文件中下列术语应解释为：</w:t>
      </w:r>
    </w:p>
    <w:p>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hint="eastAsia" w:ascii="宋体" w:hAnsi="宋体"/>
          <w:szCs w:val="21"/>
        </w:rPr>
      </w:pPr>
      <w:r>
        <w:rPr>
          <w:rFonts w:hint="eastAsia" w:ascii="宋体" w:hAnsi="宋体"/>
          <w:szCs w:val="21"/>
        </w:rPr>
        <w:t>3.6“合同”指由本次招标所产生的合同或合约文件；</w:t>
      </w:r>
    </w:p>
    <w:p>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pPr>
        <w:rPr>
          <w:rFonts w:hint="eastAsia" w:ascii="黑体" w:hAnsi="宋体" w:eastAsia="黑体"/>
          <w:sz w:val="24"/>
        </w:rPr>
      </w:pPr>
      <w:r>
        <w:rPr>
          <w:rFonts w:hint="eastAsia" w:ascii="黑体" w:hAnsi="宋体" w:eastAsia="黑体"/>
          <w:sz w:val="24"/>
        </w:rPr>
        <w:t xml:space="preserve">4. </w:t>
      </w:r>
      <w:bookmarkStart w:id="57" w:name="_Hlk72398643"/>
      <w:r>
        <w:rPr>
          <w:rFonts w:hint="eastAsia" w:ascii="黑体" w:hAnsi="宋体" w:eastAsia="黑体"/>
          <w:sz w:val="24"/>
        </w:rPr>
        <w:t>政府采购供应商责任</w:t>
      </w:r>
    </w:p>
    <w:p>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hint="eastAsia" w:ascii="黑体" w:hAnsi="宋体" w:eastAsia="黑体"/>
          <w:sz w:val="24"/>
        </w:rPr>
      </w:pPr>
      <w:r>
        <w:rPr>
          <w:rFonts w:hint="eastAsia" w:ascii="黑体" w:hAnsi="宋体" w:eastAsia="黑体"/>
          <w:sz w:val="24"/>
        </w:rPr>
        <w:t>5．投标人参加政府采购的条件</w:t>
      </w:r>
    </w:p>
    <w:p>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pPr>
        <w:ind w:firstLine="411" w:firstLineChars="196"/>
        <w:rPr>
          <w:rFonts w:hint="eastAsia" w:ascii="宋体" w:hAnsi="宋体"/>
          <w:szCs w:val="21"/>
        </w:rPr>
      </w:pPr>
      <w:r>
        <w:rPr>
          <w:rFonts w:hint="eastAsia" w:ascii="宋体" w:hAnsi="宋体"/>
          <w:szCs w:val="21"/>
        </w:rPr>
        <w:t>5.2投标人资格要求</w:t>
      </w:r>
    </w:p>
    <w:p>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pPr>
        <w:ind w:firstLine="411" w:firstLineChars="196"/>
        <w:rPr>
          <w:rFonts w:hint="eastAsia" w:ascii="宋体" w:hAnsi="宋体"/>
          <w:szCs w:val="21"/>
        </w:rPr>
      </w:pPr>
      <w:r>
        <w:rPr>
          <w:rFonts w:hint="eastAsia" w:ascii="宋体" w:hAnsi="宋体"/>
          <w:szCs w:val="21"/>
        </w:rPr>
        <w:t>5.3联合体投标</w:t>
      </w:r>
    </w:p>
    <w:p>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hint="eastAsia" w:ascii="宋体" w:hAnsi="宋体"/>
        </w:rPr>
      </w:pPr>
      <w:r>
        <w:rPr>
          <w:rFonts w:hint="eastAsia" w:ascii="宋体" w:hAnsi="宋体"/>
        </w:rPr>
        <w:t>（2）在投标截止前，投标联合体各方均应注册成政府集中采购机构供应商；</w:t>
      </w:r>
    </w:p>
    <w:p>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pPr>
        <w:rPr>
          <w:rFonts w:hint="eastAsia" w:ascii="黑体" w:hAnsi="宋体" w:eastAsia="黑体"/>
          <w:sz w:val="24"/>
        </w:rPr>
      </w:pPr>
      <w:r>
        <w:rPr>
          <w:rFonts w:hint="eastAsia" w:ascii="黑体" w:hAnsi="宋体" w:eastAsia="黑体"/>
          <w:sz w:val="24"/>
        </w:rPr>
        <w:t>6．政策导向</w:t>
      </w:r>
    </w:p>
    <w:p>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pPr>
        <w:ind w:firstLine="405"/>
        <w:rPr>
          <w:rFonts w:eastAsia="宋体"/>
        </w:rPr>
      </w:pPr>
      <w:r>
        <w:rPr>
          <w:rFonts w:hint="eastAsia" w:ascii="宋体" w:hAnsi="宋体"/>
        </w:rPr>
        <w:t>6.3  本项目支持投标人性别平等的相关政策。</w:t>
      </w:r>
    </w:p>
    <w:p>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8"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8"/>
    </w:p>
    <w:p>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pPr>
        <w:rPr>
          <w:rFonts w:hint="eastAsia" w:ascii="黑体" w:hAnsi="宋体" w:eastAsia="黑体"/>
          <w:sz w:val="24"/>
        </w:rPr>
      </w:pPr>
      <w:r>
        <w:rPr>
          <w:rFonts w:hint="eastAsia" w:ascii="黑体" w:hAnsi="宋体" w:eastAsia="黑体"/>
          <w:sz w:val="24"/>
        </w:rPr>
        <w:t>8．投标费用</w:t>
      </w:r>
    </w:p>
    <w:p>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pPr>
        <w:rPr>
          <w:rFonts w:hint="eastAsia" w:ascii="黑体" w:hAnsi="宋体" w:eastAsia="黑体"/>
          <w:sz w:val="24"/>
        </w:rPr>
      </w:pPr>
      <w:r>
        <w:rPr>
          <w:rFonts w:hint="eastAsia" w:ascii="黑体" w:hAnsi="宋体" w:eastAsia="黑体"/>
          <w:sz w:val="24"/>
        </w:rPr>
        <w:t>9．踏勘现场</w:t>
      </w:r>
    </w:p>
    <w:p>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7"/>
    <w:p>
      <w:pPr>
        <w:ind w:firstLine="411" w:firstLineChars="196"/>
        <w:rPr>
          <w:rFonts w:hint="eastAsia" w:ascii="宋体" w:hAnsi="宋体"/>
        </w:rPr>
      </w:pPr>
    </w:p>
    <w:p>
      <w:pPr>
        <w:pStyle w:val="4"/>
        <w:numPr>
          <w:ilvl w:val="0"/>
          <w:numId w:val="17"/>
        </w:numPr>
        <w:spacing w:before="156" w:beforeLines="50" w:after="156" w:afterLines="50"/>
        <w:ind w:left="562" w:hanging="562"/>
        <w:rPr>
          <w:sz w:val="28"/>
          <w:szCs w:val="28"/>
        </w:rPr>
      </w:pPr>
      <w:r>
        <w:rPr>
          <w:rFonts w:hint="eastAsia"/>
          <w:sz w:val="28"/>
          <w:szCs w:val="28"/>
        </w:rPr>
        <w:t>招标文件</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59" w:name="_Hlk72399819"/>
      <w:r>
        <w:rPr>
          <w:rFonts w:hint="eastAsia" w:ascii="黑体" w:hAnsi="宋体" w:eastAsia="黑体"/>
          <w:sz w:val="24"/>
        </w:rPr>
        <w:t>招标文件的编制与组成</w:t>
      </w:r>
    </w:p>
    <w:p>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11" w:firstLineChars="196"/>
        <w:rPr>
          <w:rFonts w:hint="eastAsia" w:ascii="宋体" w:hAnsi="宋体"/>
          <w:szCs w:val="21"/>
        </w:rPr>
      </w:pPr>
      <w:r>
        <w:rPr>
          <w:rFonts w:hint="eastAsia" w:ascii="宋体" w:hAnsi="宋体"/>
          <w:szCs w:val="21"/>
        </w:rPr>
        <w:t>招标文件包括下列内容：</w:t>
      </w:r>
    </w:p>
    <w:p>
      <w:pPr>
        <w:ind w:left="420" w:leftChars="200" w:firstLine="413" w:firstLineChars="196"/>
        <w:rPr>
          <w:rFonts w:hint="eastAsia" w:ascii="宋体" w:hAnsi="宋体"/>
          <w:b/>
          <w:szCs w:val="21"/>
        </w:rPr>
      </w:pPr>
      <w:r>
        <w:rPr>
          <w:rFonts w:hint="eastAsia" w:ascii="宋体" w:hAnsi="宋体"/>
          <w:b/>
          <w:szCs w:val="21"/>
        </w:rPr>
        <w:t>第一册  专用条款</w:t>
      </w:r>
    </w:p>
    <w:p>
      <w:pPr>
        <w:ind w:left="1079" w:leftChars="514"/>
        <w:rPr>
          <w:rFonts w:hint="eastAsia" w:ascii="宋体" w:hAnsi="宋体"/>
          <w:b/>
          <w:szCs w:val="21"/>
        </w:rPr>
      </w:pPr>
      <w:r>
        <w:rPr>
          <w:rFonts w:hint="eastAsia" w:ascii="宋体" w:hAnsi="宋体"/>
          <w:b/>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第三章  用户需求书</w:t>
      </w:r>
    </w:p>
    <w:p>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pPr>
        <w:ind w:left="630" w:leftChars="300" w:firstLine="411" w:firstLineChars="196"/>
        <w:rPr>
          <w:rFonts w:hint="eastAsia" w:ascii="宋体" w:hAnsi="宋体"/>
          <w:szCs w:val="21"/>
        </w:rPr>
      </w:pPr>
      <w:r>
        <w:rPr>
          <w:rFonts w:hint="eastAsia" w:ascii="宋体" w:hAnsi="宋体"/>
          <w:szCs w:val="21"/>
        </w:rPr>
        <w:t>第五章  合同条款及格式</w:t>
      </w:r>
    </w:p>
    <w:p>
      <w:pPr>
        <w:ind w:left="420" w:leftChars="200" w:firstLine="413" w:firstLineChars="196"/>
        <w:rPr>
          <w:rFonts w:hint="eastAsia" w:ascii="宋体" w:hAnsi="宋体"/>
          <w:b/>
          <w:szCs w:val="21"/>
        </w:rPr>
      </w:pPr>
      <w:r>
        <w:rPr>
          <w:rFonts w:hint="eastAsia" w:ascii="宋体" w:hAnsi="宋体"/>
          <w:b/>
          <w:szCs w:val="21"/>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pPr>
        <w:ind w:left="630" w:leftChars="300" w:firstLine="411" w:firstLineChars="196"/>
        <w:rPr>
          <w:rFonts w:hint="eastAsia" w:ascii="宋体" w:hAnsi="宋体"/>
          <w:szCs w:val="21"/>
        </w:rPr>
      </w:pPr>
      <w:r>
        <w:rPr>
          <w:rFonts w:hint="eastAsia" w:ascii="宋体" w:hAnsi="宋体"/>
          <w:szCs w:val="21"/>
        </w:rPr>
        <w:t>第十一章  质疑处理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9"/>
    </w:p>
    <w:p>
      <w:pPr>
        <w:rPr>
          <w:rFonts w:hint="eastAsia" w:ascii="宋体" w:hAnsi="宋体"/>
          <w:szCs w:val="21"/>
        </w:rPr>
      </w:pPr>
    </w:p>
    <w:p>
      <w:pPr>
        <w:pStyle w:val="4"/>
        <w:numPr>
          <w:ilvl w:val="0"/>
          <w:numId w:val="17"/>
        </w:numPr>
        <w:spacing w:before="156" w:beforeLines="50" w:after="156" w:afterLines="50"/>
        <w:ind w:left="562" w:hanging="562"/>
        <w:rPr>
          <w:sz w:val="28"/>
          <w:szCs w:val="28"/>
        </w:rPr>
      </w:pPr>
      <w:r>
        <w:rPr>
          <w:rFonts w:hint="eastAsia"/>
          <w:sz w:val="28"/>
          <w:szCs w:val="28"/>
        </w:rPr>
        <w:t>投标文件的编制</w:t>
      </w:r>
    </w:p>
    <w:p>
      <w:pPr>
        <w:rPr>
          <w:rFonts w:hint="eastAsia" w:ascii="黑体" w:hAnsi="宋体" w:eastAsia="黑体"/>
          <w:sz w:val="24"/>
        </w:rPr>
      </w:pPr>
      <w:r>
        <w:rPr>
          <w:rFonts w:hint="eastAsia" w:ascii="黑体" w:hAnsi="宋体" w:eastAsia="黑体"/>
          <w:sz w:val="24"/>
        </w:rPr>
        <w:t>14．</w:t>
      </w:r>
      <w:bookmarkStart w:id="60" w:name="_Hlk72400236"/>
      <w:r>
        <w:rPr>
          <w:rFonts w:hint="eastAsia" w:ascii="黑体" w:hAnsi="宋体" w:eastAsia="黑体"/>
          <w:sz w:val="24"/>
        </w:rPr>
        <w:t>投标文件的语言及度量单位</w:t>
      </w:r>
    </w:p>
    <w:p>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60"/>
    <w:p>
      <w:pPr>
        <w:rPr>
          <w:rFonts w:hint="eastAsia" w:ascii="黑体" w:hAnsi="宋体" w:eastAsia="黑体"/>
          <w:sz w:val="24"/>
        </w:rPr>
      </w:pPr>
      <w:r>
        <w:rPr>
          <w:rFonts w:hint="eastAsia" w:ascii="黑体" w:hAnsi="宋体" w:eastAsia="黑体"/>
          <w:sz w:val="24"/>
        </w:rPr>
        <w:t>15．</w:t>
      </w:r>
      <w:bookmarkStart w:id="61" w:name="_Hlk72401567"/>
      <w:r>
        <w:rPr>
          <w:rFonts w:hint="eastAsia" w:ascii="黑体" w:hAnsi="宋体" w:eastAsia="黑体"/>
          <w:sz w:val="24"/>
        </w:rPr>
        <w:t>投标文件的组成</w:t>
      </w:r>
    </w:p>
    <w:p>
      <w:pPr>
        <w:ind w:firstLine="411" w:firstLineChars="196"/>
        <w:rPr>
          <w:rFonts w:hint="eastAsia" w:ascii="宋体" w:hAnsi="宋体"/>
          <w:szCs w:val="21"/>
        </w:rPr>
      </w:pPr>
      <w:r>
        <w:rPr>
          <w:rFonts w:hint="eastAsia" w:ascii="宋体" w:hAnsi="宋体"/>
          <w:szCs w:val="21"/>
        </w:rPr>
        <w:t>具体内容在招标文件专用条款中进行规定。</w:t>
      </w:r>
    </w:p>
    <w:p>
      <w:pPr>
        <w:rPr>
          <w:rFonts w:hint="eastAsia" w:ascii="黑体" w:hAnsi="宋体" w:eastAsia="黑体"/>
          <w:sz w:val="24"/>
        </w:rPr>
      </w:pPr>
      <w:r>
        <w:rPr>
          <w:rFonts w:ascii="黑体" w:hAnsi="宋体" w:eastAsia="黑体"/>
          <w:sz w:val="24"/>
        </w:rPr>
        <w:t>16．投标文件格式</w:t>
      </w:r>
    </w:p>
    <w:p>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rPr>
          <w:rFonts w:hint="eastAsia" w:ascii="黑体" w:hAnsi="宋体" w:eastAsia="黑体"/>
          <w:sz w:val="24"/>
        </w:rPr>
      </w:pPr>
      <w:r>
        <w:rPr>
          <w:rFonts w:hint="eastAsia" w:ascii="黑体" w:hAnsi="宋体" w:eastAsia="黑体"/>
          <w:sz w:val="24"/>
        </w:rPr>
        <w:t>17．投标货币</w:t>
      </w:r>
    </w:p>
    <w:p>
      <w:pPr>
        <w:ind w:firstLine="411" w:firstLineChars="196"/>
        <w:rPr>
          <w:rFonts w:hint="eastAsia" w:ascii="宋体" w:hAnsi="宋体"/>
          <w:szCs w:val="21"/>
        </w:rPr>
      </w:pPr>
      <w:r>
        <w:rPr>
          <w:rFonts w:hint="eastAsia" w:ascii="宋体" w:hAnsi="宋体"/>
          <w:szCs w:val="21"/>
        </w:rPr>
        <w:t>本项目的投标报价应以人民币计。</w:t>
      </w:r>
    </w:p>
    <w:bookmarkEnd w:id="61"/>
    <w:p>
      <w:pPr>
        <w:rPr>
          <w:rFonts w:hint="eastAsia" w:ascii="黑体" w:hAnsi="宋体" w:eastAsia="黑体"/>
          <w:sz w:val="24"/>
        </w:rPr>
      </w:pPr>
      <w:r>
        <w:rPr>
          <w:rFonts w:hint="eastAsia" w:ascii="黑体" w:hAnsi="宋体" w:eastAsia="黑体"/>
          <w:sz w:val="24"/>
        </w:rPr>
        <w:t>18．</w:t>
      </w:r>
      <w:bookmarkStart w:id="62" w:name="_Hlk72401735"/>
      <w:r>
        <w:rPr>
          <w:rFonts w:hint="eastAsia" w:ascii="黑体" w:hAnsi="宋体" w:eastAsia="黑体"/>
          <w:sz w:val="24"/>
        </w:rPr>
        <w:t>证明投标文件投标技术方案的合格性和符合招标文件规定的文件要求</w:t>
      </w:r>
    </w:p>
    <w:p>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hint="eastAsia" w:ascii="宋体" w:hAnsi="宋体"/>
          <w:szCs w:val="21"/>
        </w:rPr>
      </w:pPr>
      <w:r>
        <w:rPr>
          <w:rFonts w:hint="eastAsia" w:ascii="宋体" w:hAnsi="宋体"/>
          <w:szCs w:val="21"/>
        </w:rPr>
        <w:t>18.2.1主要技术指标和性能的详细说明。</w:t>
      </w:r>
    </w:p>
    <w:p>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2"/>
    <w:p>
      <w:pPr>
        <w:rPr>
          <w:rFonts w:hint="eastAsia" w:ascii="黑体" w:hAnsi="宋体" w:eastAsia="黑体"/>
          <w:sz w:val="24"/>
        </w:rPr>
      </w:pPr>
      <w:r>
        <w:rPr>
          <w:rFonts w:hint="eastAsia" w:ascii="黑体" w:hAnsi="宋体" w:eastAsia="黑体"/>
          <w:sz w:val="24"/>
        </w:rPr>
        <w:t>19．</w:t>
      </w:r>
      <w:bookmarkStart w:id="63" w:name="_Hlk72402034"/>
      <w:r>
        <w:rPr>
          <w:rFonts w:hint="eastAsia" w:ascii="黑体" w:hAnsi="宋体" w:eastAsia="黑体"/>
          <w:sz w:val="24"/>
        </w:rPr>
        <w:t>投标文件其他证明文件的要求</w:t>
      </w:r>
    </w:p>
    <w:p>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4"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4"/>
    <w:p>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rPr>
          <w:rFonts w:hint="eastAsia" w:ascii="黑体" w:hAnsi="宋体" w:eastAsia="黑体"/>
          <w:sz w:val="24"/>
        </w:rPr>
      </w:pPr>
      <w:r>
        <w:rPr>
          <w:rFonts w:hint="eastAsia" w:ascii="黑体" w:hAnsi="宋体" w:eastAsia="黑体"/>
          <w:sz w:val="24"/>
        </w:rPr>
        <w:t>20．投标有效期</w:t>
      </w:r>
    </w:p>
    <w:bookmarkEnd w:id="63"/>
    <w:p>
      <w:pPr>
        <w:ind w:firstLine="411" w:firstLineChars="196"/>
        <w:rPr>
          <w:rFonts w:hint="eastAsia" w:ascii="宋体" w:hAnsi="宋体"/>
          <w:szCs w:val="21"/>
        </w:rPr>
      </w:pPr>
      <w:bookmarkStart w:id="65"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5"/>
    <w:p>
      <w:pPr>
        <w:rPr>
          <w:rFonts w:hint="eastAsia" w:ascii="黑体" w:hAnsi="宋体" w:eastAsia="黑体"/>
          <w:sz w:val="24"/>
        </w:rPr>
      </w:pPr>
      <w:r>
        <w:rPr>
          <w:rFonts w:hint="eastAsia" w:ascii="黑体" w:hAnsi="宋体" w:eastAsia="黑体"/>
          <w:sz w:val="24"/>
        </w:rPr>
        <w:t>21．</w:t>
      </w:r>
      <w:bookmarkStart w:id="66" w:name="_Hlk72402325"/>
      <w:r>
        <w:rPr>
          <w:rFonts w:hint="eastAsia" w:ascii="黑体" w:hAnsi="宋体" w:eastAsia="黑体"/>
          <w:sz w:val="24"/>
        </w:rPr>
        <w:t xml:space="preserve">关于投标保证金 </w:t>
      </w:r>
    </w:p>
    <w:p>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pPr>
        <w:rPr>
          <w:rFonts w:hint="eastAsia" w:ascii="黑体" w:hAnsi="宋体" w:eastAsia="黑体"/>
          <w:sz w:val="24"/>
        </w:rPr>
      </w:pPr>
      <w:r>
        <w:rPr>
          <w:rFonts w:hint="eastAsia" w:ascii="黑体" w:hAnsi="宋体" w:eastAsia="黑体"/>
          <w:sz w:val="24"/>
        </w:rPr>
        <w:t>22．投标人的替代方案</w:t>
      </w:r>
    </w:p>
    <w:p>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6"/>
    <w:p>
      <w:pPr>
        <w:rPr>
          <w:rFonts w:hint="eastAsia" w:ascii="黑体" w:hAnsi="宋体" w:eastAsia="黑体"/>
          <w:sz w:val="24"/>
        </w:rPr>
      </w:pPr>
      <w:r>
        <w:rPr>
          <w:rFonts w:hint="eastAsia" w:ascii="黑体" w:hAnsi="宋体" w:eastAsia="黑体"/>
          <w:sz w:val="24"/>
        </w:rPr>
        <w:t>23．</w:t>
      </w:r>
      <w:bookmarkStart w:id="67"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hint="eastAsia" w:ascii="宋体" w:hAnsi="宋体"/>
        </w:rPr>
      </w:pPr>
      <w:r>
        <w:rPr>
          <w:rFonts w:hint="eastAsia" w:ascii="宋体" w:hAnsi="宋体"/>
        </w:rPr>
        <w:t>23.1投标人应准备所投项目的电子投标文件一份。</w:t>
      </w:r>
    </w:p>
    <w:p>
      <w:pPr>
        <w:ind w:firstLine="411" w:firstLineChars="196"/>
        <w:rPr>
          <w:rFonts w:hint="eastAsia" w:ascii="宋体" w:hAnsi="宋体"/>
        </w:rPr>
      </w:pPr>
      <w:r>
        <w:rPr>
          <w:rFonts w:hint="eastAsia" w:ascii="宋体" w:hAnsi="宋体"/>
        </w:rPr>
        <w:t>23.2投标人在使用《投标书编制软件》编制投标书时须注意：</w:t>
      </w:r>
    </w:p>
    <w:p>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pPr>
        <w:ind w:firstLine="411" w:firstLineChars="196"/>
        <w:rPr>
          <w:rFonts w:hint="eastAsia" w:ascii="宋体" w:hAnsi="宋体"/>
        </w:rPr>
      </w:pPr>
      <w:r>
        <w:rPr>
          <w:rFonts w:hint="eastAsia" w:ascii="宋体" w:hAnsi="宋体"/>
        </w:rPr>
        <w:t>23.3电报、电话、传真形式的投标概不接受。</w:t>
      </w:r>
    </w:p>
    <w:p>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7"/>
    </w:p>
    <w:p>
      <w:pPr>
        <w:ind w:firstLine="411" w:firstLineChars="196"/>
        <w:rPr>
          <w:rFonts w:hint="eastAsia" w:ascii="宋体" w:hAnsi="宋体"/>
          <w:szCs w:val="21"/>
        </w:rPr>
      </w:pPr>
    </w:p>
    <w:p>
      <w:pPr>
        <w:pStyle w:val="4"/>
        <w:numPr>
          <w:ilvl w:val="0"/>
          <w:numId w:val="17"/>
        </w:numPr>
        <w:spacing w:before="156" w:beforeLines="50" w:after="156" w:afterLines="50"/>
        <w:ind w:left="562" w:hanging="562"/>
        <w:rPr>
          <w:sz w:val="28"/>
          <w:szCs w:val="28"/>
        </w:rPr>
      </w:pPr>
      <w:r>
        <w:rPr>
          <w:rFonts w:hint="eastAsia"/>
          <w:sz w:val="28"/>
          <w:szCs w:val="28"/>
        </w:rPr>
        <w:t>投标文件的递交</w:t>
      </w:r>
    </w:p>
    <w:p>
      <w:pPr>
        <w:rPr>
          <w:rFonts w:hint="eastAsia" w:ascii="黑体" w:hAnsi="宋体" w:eastAsia="黑体"/>
          <w:sz w:val="24"/>
        </w:rPr>
      </w:pPr>
      <w:bookmarkStart w:id="68" w:name="_Hlk72405459"/>
      <w:r>
        <w:rPr>
          <w:rFonts w:hint="eastAsia" w:ascii="黑体" w:hAnsi="宋体" w:eastAsia="黑体"/>
          <w:sz w:val="24"/>
        </w:rPr>
        <w:t>24．投标文件的保密</w:t>
      </w:r>
    </w:p>
    <w:p>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pPr>
        <w:rPr>
          <w:rFonts w:hint="eastAsia" w:ascii="宋体" w:hAnsi="宋体"/>
          <w:b/>
        </w:rPr>
      </w:pPr>
      <w:r>
        <w:rPr>
          <w:rFonts w:hint="eastAsia" w:ascii="宋体" w:hAnsi="宋体"/>
          <w:b/>
        </w:rPr>
        <w:t>24.2若采购项目出现延期情况：</w:t>
      </w:r>
    </w:p>
    <w:p>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pPr>
        <w:rPr>
          <w:rFonts w:hint="eastAsia" w:ascii="黑体" w:hAnsi="宋体" w:eastAsia="黑体"/>
          <w:sz w:val="24"/>
        </w:rPr>
      </w:pPr>
      <w:r>
        <w:rPr>
          <w:rFonts w:hint="eastAsia" w:ascii="黑体" w:hAnsi="宋体" w:eastAsia="黑体"/>
          <w:sz w:val="24"/>
        </w:rPr>
        <w:t>25．上传投标文件及投标截止日期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ind w:firstLine="411" w:firstLineChars="196"/>
        <w:rPr>
          <w:rFonts w:hint="eastAsia" w:ascii="宋体" w:hAnsi="宋体"/>
        </w:rPr>
      </w:pPr>
    </w:p>
    <w:p>
      <w:pPr>
        <w:ind w:firstLine="411" w:firstLineChars="196"/>
        <w:rPr>
          <w:rFonts w:hint="eastAsia" w:ascii="宋体" w:hAnsi="宋体"/>
        </w:rPr>
      </w:pPr>
    </w:p>
    <w:bookmarkEnd w:id="68"/>
    <w:p>
      <w:pPr>
        <w:rPr>
          <w:rFonts w:hint="eastAsia" w:ascii="黑体" w:hAnsi="宋体" w:eastAsia="黑体"/>
          <w:sz w:val="24"/>
        </w:rPr>
      </w:pPr>
      <w:r>
        <w:rPr>
          <w:rFonts w:hint="eastAsia" w:ascii="黑体" w:hAnsi="宋体" w:eastAsia="黑体"/>
          <w:sz w:val="24"/>
        </w:rPr>
        <w:t>26. 样品、现场演示、方案讲解</w:t>
      </w:r>
    </w:p>
    <w:p>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pPr>
        <w:rPr>
          <w:rFonts w:hint="eastAsia" w:ascii="黑体" w:hAnsi="宋体" w:eastAsia="黑体"/>
          <w:sz w:val="24"/>
        </w:rPr>
      </w:pPr>
      <w:bookmarkStart w:id="69"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69"/>
    <w:p>
      <w:pPr>
        <w:pStyle w:val="4"/>
        <w:numPr>
          <w:ilvl w:val="0"/>
          <w:numId w:val="17"/>
        </w:numPr>
        <w:spacing w:before="156" w:beforeLines="50" w:after="156" w:afterLines="50"/>
        <w:ind w:left="562" w:hanging="562"/>
        <w:rPr>
          <w:sz w:val="28"/>
          <w:szCs w:val="28"/>
        </w:rPr>
      </w:pPr>
      <w:r>
        <w:rPr>
          <w:rFonts w:hint="eastAsia"/>
          <w:sz w:val="28"/>
          <w:szCs w:val="28"/>
        </w:rPr>
        <w:t>开标</w:t>
      </w:r>
    </w:p>
    <w:p>
      <w:pPr>
        <w:rPr>
          <w:rFonts w:hint="eastAsia" w:ascii="黑体" w:hAnsi="宋体" w:eastAsia="黑体"/>
          <w:sz w:val="24"/>
        </w:rPr>
      </w:pPr>
      <w:r>
        <w:rPr>
          <w:rFonts w:hint="eastAsia" w:ascii="黑体" w:hAnsi="宋体" w:eastAsia="黑体"/>
          <w:sz w:val="24"/>
        </w:rPr>
        <w:t>28．开标</w:t>
      </w:r>
    </w:p>
    <w:p>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hint="eastAsia" w:ascii="宋体" w:hAnsi="宋体"/>
          <w:szCs w:val="21"/>
        </w:rPr>
      </w:pPr>
    </w:p>
    <w:p>
      <w:pPr>
        <w:pStyle w:val="4"/>
        <w:numPr>
          <w:ilvl w:val="0"/>
          <w:numId w:val="17"/>
        </w:numPr>
        <w:spacing w:before="156" w:beforeLines="50" w:after="156" w:afterLines="50"/>
        <w:ind w:left="562" w:hanging="562"/>
        <w:rPr>
          <w:sz w:val="28"/>
          <w:szCs w:val="28"/>
        </w:rPr>
      </w:pPr>
      <w:r>
        <w:rPr>
          <w:rFonts w:hint="eastAsia"/>
          <w:sz w:val="28"/>
          <w:szCs w:val="28"/>
        </w:rPr>
        <w:t>评审要求</w:t>
      </w:r>
    </w:p>
    <w:p>
      <w:pPr>
        <w:rPr>
          <w:rFonts w:hint="eastAsia" w:ascii="黑体" w:hAnsi="宋体" w:eastAsia="黑体"/>
          <w:sz w:val="24"/>
        </w:rPr>
      </w:pPr>
      <w:r>
        <w:rPr>
          <w:rFonts w:hint="eastAsia" w:ascii="黑体" w:hAnsi="宋体" w:eastAsia="黑体"/>
          <w:sz w:val="24"/>
        </w:rPr>
        <w:t>29．评审委员会组成</w:t>
      </w:r>
    </w:p>
    <w:p>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pPr>
        <w:ind w:firstLine="411" w:firstLineChars="196"/>
        <w:rPr>
          <w:rFonts w:hint="eastAsia" w:ascii="宋体" w:hAnsi="宋体"/>
        </w:rPr>
      </w:pPr>
      <w:bookmarkStart w:id="70"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70"/>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pPr>
        <w:ind w:firstLine="411" w:firstLineChars="196"/>
        <w:rPr>
          <w:rFonts w:hint="eastAsia" w:ascii="宋体" w:hAnsi="宋体"/>
        </w:rPr>
      </w:pPr>
      <w:r>
        <w:rPr>
          <w:rFonts w:hint="eastAsia" w:ascii="宋体" w:hAnsi="宋体"/>
        </w:rPr>
        <w:t>29.2评审定标应当遵循公平、公正、科学、择优的原则。</w:t>
      </w:r>
    </w:p>
    <w:p>
      <w:pPr>
        <w:ind w:firstLine="411" w:firstLineChars="196"/>
        <w:rPr>
          <w:rFonts w:hint="eastAsia" w:ascii="宋体" w:hAnsi="宋体"/>
        </w:rPr>
      </w:pPr>
      <w:r>
        <w:rPr>
          <w:rFonts w:hint="eastAsia" w:ascii="宋体" w:hAnsi="宋体"/>
        </w:rPr>
        <w:t>29.3评审活动依法进行，任何单位和个人不得非法干预评标过程和结果。</w:t>
      </w:r>
    </w:p>
    <w:p>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pPr>
        <w:rPr>
          <w:rFonts w:hint="eastAsia" w:ascii="黑体" w:hAnsi="宋体" w:eastAsia="黑体"/>
          <w:sz w:val="24"/>
        </w:rPr>
      </w:pPr>
      <w:r>
        <w:rPr>
          <w:rFonts w:hint="eastAsia" w:ascii="黑体" w:hAnsi="宋体" w:eastAsia="黑体"/>
          <w:sz w:val="24"/>
        </w:rPr>
        <w:t>30．向评审委员会提供的资料</w:t>
      </w:r>
    </w:p>
    <w:p>
      <w:pPr>
        <w:ind w:firstLine="411" w:firstLineChars="196"/>
        <w:rPr>
          <w:rFonts w:hint="eastAsia" w:ascii="宋体" w:hAnsi="宋体"/>
        </w:rPr>
      </w:pPr>
      <w:r>
        <w:rPr>
          <w:rFonts w:hint="eastAsia" w:ascii="宋体" w:hAnsi="宋体"/>
        </w:rPr>
        <w:t>30.1公开发布的招标文件，包括图纸、服务清单、答疑文件等；</w:t>
      </w:r>
    </w:p>
    <w:p>
      <w:pPr>
        <w:ind w:firstLine="411" w:firstLineChars="196"/>
        <w:rPr>
          <w:rFonts w:hint="eastAsia" w:ascii="宋体" w:hAnsi="宋体"/>
        </w:rPr>
      </w:pPr>
      <w:r>
        <w:rPr>
          <w:rFonts w:hint="eastAsia" w:ascii="宋体" w:hAnsi="宋体"/>
        </w:rPr>
        <w:t>30.2其他评标必须的资料。</w:t>
      </w:r>
    </w:p>
    <w:p>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hint="eastAsia" w:ascii="宋体" w:hAnsi="宋体"/>
        </w:rPr>
      </w:pPr>
      <w:r>
        <w:rPr>
          <w:rFonts w:hint="eastAsia" w:ascii="宋体" w:hAnsi="宋体"/>
        </w:rPr>
        <w:t>（1）招标的目的；</w:t>
      </w:r>
    </w:p>
    <w:p>
      <w:pPr>
        <w:ind w:firstLine="411" w:firstLineChars="196"/>
        <w:rPr>
          <w:rFonts w:hint="eastAsia" w:ascii="宋体" w:hAnsi="宋体"/>
        </w:rPr>
      </w:pPr>
      <w:r>
        <w:rPr>
          <w:rFonts w:hint="eastAsia" w:ascii="宋体" w:hAnsi="宋体"/>
        </w:rPr>
        <w:t>（2）招标项目需求的范围和性质；</w:t>
      </w:r>
    </w:p>
    <w:p>
      <w:pPr>
        <w:ind w:firstLine="411" w:firstLineChars="196"/>
        <w:rPr>
          <w:rFonts w:hint="eastAsia" w:ascii="宋体" w:hAnsi="宋体"/>
        </w:rPr>
      </w:pPr>
      <w:r>
        <w:rPr>
          <w:rFonts w:hint="eastAsia" w:ascii="宋体" w:hAnsi="宋体"/>
        </w:rPr>
        <w:t>（3）招标文件规定的投标人的资格、财政预算限额、商务条款；</w:t>
      </w:r>
    </w:p>
    <w:p>
      <w:pPr>
        <w:ind w:firstLine="411" w:firstLineChars="196"/>
        <w:rPr>
          <w:rFonts w:hint="eastAsia" w:ascii="宋体" w:hAnsi="宋体"/>
        </w:rPr>
      </w:pPr>
      <w:r>
        <w:rPr>
          <w:rFonts w:hint="eastAsia" w:ascii="宋体" w:hAnsi="宋体"/>
        </w:rPr>
        <w:t>（4）招标文件规定的评标程序、评标方法和评标因素；</w:t>
      </w:r>
    </w:p>
    <w:p>
      <w:pPr>
        <w:ind w:firstLine="411" w:firstLineChars="196"/>
        <w:rPr>
          <w:rFonts w:hint="eastAsia" w:ascii="宋体" w:hAnsi="宋体"/>
        </w:rPr>
      </w:pPr>
      <w:r>
        <w:rPr>
          <w:rFonts w:hint="eastAsia" w:ascii="宋体" w:hAnsi="宋体"/>
        </w:rPr>
        <w:t>（5）招标文件所列示的资格性审查表及符合性审查表。</w:t>
      </w:r>
    </w:p>
    <w:p>
      <w:pPr>
        <w:rPr>
          <w:rFonts w:hint="eastAsia" w:ascii="黑体" w:hAnsi="宋体" w:eastAsia="黑体"/>
          <w:sz w:val="24"/>
        </w:rPr>
      </w:pPr>
      <w:r>
        <w:rPr>
          <w:rFonts w:hint="eastAsia" w:ascii="黑体" w:hAnsi="宋体" w:eastAsia="黑体"/>
          <w:sz w:val="24"/>
        </w:rPr>
        <w:t>31．独立评审</w:t>
      </w:r>
    </w:p>
    <w:p>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pPr>
        <w:ind w:firstLine="411" w:firstLineChars="196"/>
        <w:rPr>
          <w:rFonts w:hint="eastAsia" w:ascii="宋体" w:hAnsi="宋体"/>
          <w:bCs/>
          <w:szCs w:val="21"/>
        </w:rPr>
      </w:pPr>
    </w:p>
    <w:p>
      <w:pPr>
        <w:pStyle w:val="4"/>
        <w:numPr>
          <w:ilvl w:val="0"/>
          <w:numId w:val="17"/>
        </w:numPr>
        <w:spacing w:before="156" w:beforeLines="50" w:after="156" w:afterLines="50"/>
        <w:ind w:left="562" w:hanging="562"/>
        <w:rPr>
          <w:sz w:val="28"/>
          <w:szCs w:val="28"/>
        </w:rPr>
      </w:pPr>
      <w:r>
        <w:rPr>
          <w:rFonts w:hint="eastAsia"/>
          <w:sz w:val="28"/>
          <w:szCs w:val="28"/>
        </w:rPr>
        <w:t>评审程序及评审方法</w:t>
      </w:r>
    </w:p>
    <w:p>
      <w:pPr>
        <w:rPr>
          <w:rFonts w:hint="eastAsia" w:ascii="黑体" w:hAnsi="宋体" w:eastAsia="黑体"/>
          <w:sz w:val="24"/>
        </w:rPr>
      </w:pPr>
      <w:r>
        <w:rPr>
          <w:rFonts w:hint="eastAsia" w:ascii="黑体" w:hAnsi="宋体" w:eastAsia="黑体"/>
          <w:sz w:val="24"/>
        </w:rPr>
        <w:t>32．投标文件初审</w:t>
      </w:r>
    </w:p>
    <w:p>
      <w:pPr>
        <w:ind w:firstLine="411" w:firstLineChars="196"/>
        <w:rPr>
          <w:rFonts w:hint="eastAsia" w:ascii="宋体" w:hAnsi="宋体"/>
        </w:rPr>
      </w:pPr>
      <w:r>
        <w:rPr>
          <w:rFonts w:hint="eastAsia" w:ascii="宋体" w:hAnsi="宋体"/>
        </w:rPr>
        <w:t>32.1投标文件初审包括资格性审查和符合性审查。</w:t>
      </w:r>
    </w:p>
    <w:p>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pPr>
        <w:ind w:firstLine="411" w:firstLineChars="196"/>
        <w:rPr>
          <w:rFonts w:hint="eastAsia" w:ascii="宋体" w:hAnsi="宋体"/>
          <w:bCs/>
        </w:rPr>
      </w:pPr>
      <w:r>
        <w:rPr>
          <w:rFonts w:hint="eastAsia" w:ascii="宋体" w:hAnsi="宋体"/>
          <w:bCs/>
        </w:rPr>
        <w:t>32.3 投标文件初审中关于供应商家数的计算:</w:t>
      </w:r>
    </w:p>
    <w:p>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hint="eastAsia" w:ascii="宋体" w:hAnsi="宋体"/>
        </w:rPr>
      </w:pPr>
      <w:r>
        <w:rPr>
          <w:rFonts w:hint="eastAsia" w:ascii="宋体" w:hAnsi="宋体"/>
        </w:rPr>
        <w:t>32.4投标人投标文件作无效处理的情形，具体包括但不限于以下：</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rPr>
          <w:rFonts w:hint="eastAsia" w:ascii="宋体" w:hAnsi="宋体"/>
        </w:rPr>
      </w:pPr>
      <w:r>
        <w:rPr>
          <w:rFonts w:hint="eastAsia" w:ascii="宋体" w:hAnsi="宋体"/>
        </w:rPr>
        <w:t>32.4.3不同投标人的投标文件载明的项目管理成员或者联系人员为同一人；</w:t>
      </w:r>
    </w:p>
    <w:p>
      <w:pPr>
        <w:ind w:firstLine="411" w:firstLineChars="196"/>
        <w:rPr>
          <w:rFonts w:hint="eastAsia" w:ascii="宋体" w:hAnsi="宋体"/>
        </w:rPr>
      </w:pPr>
      <w:r>
        <w:rPr>
          <w:rFonts w:hint="eastAsia" w:ascii="宋体" w:hAnsi="宋体"/>
        </w:rPr>
        <w:t>32.4.4不同投标人的投标文件异常一致或者投标报价呈规律性差异；</w:t>
      </w:r>
    </w:p>
    <w:p>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pPr>
        <w:ind w:firstLine="411" w:firstLineChars="196"/>
        <w:rPr>
          <w:rFonts w:hint="eastAsia" w:ascii="宋体" w:hAnsi="宋体"/>
        </w:rPr>
      </w:pPr>
      <w:r>
        <w:rPr>
          <w:rFonts w:hint="eastAsia" w:ascii="宋体" w:hAnsi="宋体"/>
        </w:rPr>
        <w:t>32.4.6投标供应商之间相互约定给予未中标的供应商利益补偿；</w:t>
      </w:r>
    </w:p>
    <w:p>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hint="eastAsia" w:ascii="宋体" w:hAnsi="宋体"/>
        </w:rPr>
      </w:pPr>
      <w:r>
        <w:rPr>
          <w:rFonts w:hint="eastAsia" w:ascii="宋体" w:hAnsi="宋体"/>
        </w:rPr>
        <w:t>32.4.8不同投标供应商的投标文件内容存在非正常一致；</w:t>
      </w:r>
    </w:p>
    <w:p>
      <w:pPr>
        <w:ind w:firstLine="411" w:firstLineChars="196"/>
        <w:rPr>
          <w:rFonts w:hint="eastAsia" w:ascii="宋体" w:hAnsi="宋体"/>
        </w:rPr>
      </w:pPr>
      <w:r>
        <w:rPr>
          <w:rFonts w:hint="eastAsia" w:ascii="宋体" w:hAnsi="宋体"/>
        </w:rPr>
        <w:t>32.4.9在同一单位工作人员为两家以上（含两家）供应商进行同一项投标活动；</w:t>
      </w:r>
    </w:p>
    <w:p>
      <w:pPr>
        <w:ind w:firstLine="411" w:firstLineChars="196"/>
        <w:rPr>
          <w:rFonts w:hint="eastAsia" w:ascii="宋体" w:hAnsi="宋体"/>
        </w:rPr>
      </w:pPr>
      <w:r>
        <w:rPr>
          <w:rFonts w:hint="eastAsia" w:ascii="宋体" w:hAnsi="宋体"/>
        </w:rPr>
        <w:t>32.4.10主管部门依照法律、法规认定的其他情形。</w:t>
      </w:r>
    </w:p>
    <w:p>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pPr>
        <w:rPr>
          <w:rFonts w:hint="eastAsia" w:ascii="黑体" w:hAnsi="宋体" w:eastAsia="黑体"/>
          <w:sz w:val="24"/>
        </w:rPr>
      </w:pPr>
      <w:r>
        <w:rPr>
          <w:rFonts w:hint="eastAsia" w:ascii="黑体" w:hAnsi="宋体" w:eastAsia="黑体"/>
          <w:sz w:val="24"/>
        </w:rPr>
        <w:t>33．澄清有关问题</w:t>
      </w:r>
    </w:p>
    <w:p>
      <w:pPr>
        <w:ind w:firstLine="411" w:firstLineChars="196"/>
        <w:rPr>
          <w:rFonts w:hint="eastAsia" w:ascii="宋体" w:hAnsi="宋体"/>
        </w:rPr>
      </w:pPr>
      <w:bookmarkStart w:id="71"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1"/>
    </w:p>
    <w:p>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pPr>
        <w:rPr>
          <w:rFonts w:hint="eastAsia" w:ascii="黑体" w:hAnsi="宋体" w:eastAsia="黑体"/>
          <w:sz w:val="24"/>
        </w:rPr>
      </w:pPr>
      <w:bookmarkStart w:id="72" w:name="_Toc73521669"/>
      <w:bookmarkStart w:id="73" w:name="_Toc73521581"/>
      <w:bookmarkStart w:id="74" w:name="_Toc73518151"/>
      <w:bookmarkStart w:id="75" w:name="_Toc73517673"/>
      <w:bookmarkStart w:id="76" w:name="_Toc100052400"/>
      <w:r>
        <w:rPr>
          <w:rFonts w:hint="eastAsia" w:ascii="黑体" w:hAnsi="宋体" w:eastAsia="黑体"/>
          <w:sz w:val="24"/>
        </w:rPr>
        <w:t>34．错误的修正</w:t>
      </w:r>
      <w:bookmarkEnd w:id="72"/>
      <w:bookmarkEnd w:id="73"/>
      <w:bookmarkEnd w:id="74"/>
      <w:bookmarkEnd w:id="75"/>
      <w:bookmarkEnd w:id="76"/>
    </w:p>
    <w:p>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11" w:firstLineChars="196"/>
        <w:rPr>
          <w:rFonts w:hint="eastAsia" w:ascii="宋体" w:hAnsi="宋体"/>
          <w:szCs w:val="21"/>
        </w:rPr>
      </w:pPr>
      <w:r>
        <w:rPr>
          <w:rFonts w:hint="eastAsia" w:ascii="宋体" w:hAnsi="宋体"/>
          <w:szCs w:val="21"/>
        </w:rPr>
        <w:t>34.2大写金额和小写金额不一致的，以大写金额为准；</w:t>
      </w:r>
    </w:p>
    <w:p>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rPr>
          <w:rFonts w:hint="eastAsia" w:ascii="黑体" w:hAnsi="宋体" w:eastAsia="黑体"/>
          <w:sz w:val="24"/>
        </w:rPr>
      </w:pPr>
      <w:r>
        <w:rPr>
          <w:rFonts w:hint="eastAsia" w:ascii="黑体" w:hAnsi="宋体" w:eastAsia="黑体"/>
          <w:sz w:val="24"/>
        </w:rPr>
        <w:t>35．投标文件的比较与评价</w:t>
      </w:r>
    </w:p>
    <w:p>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rPr>
          <w:rFonts w:hint="eastAsia" w:ascii="黑体" w:hAnsi="宋体" w:eastAsia="黑体"/>
          <w:sz w:val="24"/>
        </w:rPr>
      </w:pPr>
      <w:r>
        <w:rPr>
          <w:rFonts w:hint="eastAsia" w:ascii="黑体" w:hAnsi="宋体" w:eastAsia="黑体"/>
          <w:sz w:val="24"/>
        </w:rPr>
        <w:t>36. 实地考察或资料查验</w:t>
      </w:r>
    </w:p>
    <w:p>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rPr>
          <w:rFonts w:hint="eastAsia" w:ascii="黑体" w:hAnsi="宋体" w:eastAsia="黑体"/>
          <w:sz w:val="24"/>
        </w:rPr>
      </w:pPr>
      <w:r>
        <w:rPr>
          <w:rFonts w:hint="eastAsia" w:ascii="黑体" w:hAnsi="宋体" w:eastAsia="黑体"/>
          <w:sz w:val="24"/>
        </w:rPr>
        <w:t>37．评审方法</w:t>
      </w:r>
    </w:p>
    <w:p>
      <w:pPr>
        <w:ind w:firstLine="413" w:firstLineChars="196"/>
        <w:rPr>
          <w:rFonts w:hint="eastAsia" w:ascii="宋体" w:hAnsi="宋体"/>
          <w:b/>
          <w:bCs/>
          <w:szCs w:val="21"/>
        </w:rPr>
      </w:pPr>
      <w:bookmarkStart w:id="77" w:name="_Hlk72438142"/>
      <w:r>
        <w:rPr>
          <w:rFonts w:hint="eastAsia" w:ascii="宋体" w:hAnsi="宋体"/>
          <w:b/>
          <w:bCs/>
          <w:szCs w:val="21"/>
        </w:rPr>
        <w:t>37.1.1最低价法</w:t>
      </w:r>
    </w:p>
    <w:p>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3" w:firstLineChars="196"/>
        <w:rPr>
          <w:rFonts w:hint="eastAsia" w:ascii="宋体" w:hAnsi="宋体"/>
          <w:b/>
          <w:bCs/>
          <w:szCs w:val="21"/>
        </w:rPr>
      </w:pPr>
      <w:r>
        <w:rPr>
          <w:rFonts w:hint="eastAsia" w:ascii="宋体" w:hAnsi="宋体"/>
          <w:b/>
          <w:bCs/>
          <w:szCs w:val="21"/>
        </w:rPr>
        <w:t>37.1.2综合评分法</w:t>
      </w:r>
    </w:p>
    <w:p>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77"/>
    </w:p>
    <w:p>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pPr>
        <w:ind w:firstLine="413" w:firstLineChars="196"/>
        <w:rPr>
          <w:rFonts w:hint="eastAsia" w:ascii="宋体" w:hAnsi="宋体"/>
          <w:b/>
          <w:bCs/>
          <w:szCs w:val="21"/>
        </w:rPr>
      </w:pPr>
      <w:r>
        <w:rPr>
          <w:rFonts w:hint="eastAsia" w:ascii="宋体" w:hAnsi="宋体"/>
          <w:b/>
          <w:bCs/>
          <w:szCs w:val="21"/>
        </w:rPr>
        <w:t>37.3重新评审的情形</w:t>
      </w:r>
    </w:p>
    <w:p>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hint="eastAsia" w:ascii="宋体" w:hAnsi="宋体"/>
          <w:szCs w:val="21"/>
        </w:rPr>
      </w:pPr>
    </w:p>
    <w:p>
      <w:pPr>
        <w:pStyle w:val="4"/>
        <w:numPr>
          <w:ilvl w:val="0"/>
          <w:numId w:val="17"/>
        </w:numPr>
        <w:spacing w:before="156" w:beforeLines="50" w:after="156" w:afterLines="50"/>
        <w:ind w:left="562" w:hanging="562"/>
        <w:rPr>
          <w:sz w:val="28"/>
          <w:szCs w:val="28"/>
        </w:rPr>
      </w:pPr>
      <w:r>
        <w:rPr>
          <w:rFonts w:hint="eastAsia"/>
          <w:sz w:val="28"/>
          <w:szCs w:val="28"/>
        </w:rPr>
        <w:t>定标及公示</w:t>
      </w:r>
    </w:p>
    <w:p>
      <w:pPr>
        <w:rPr>
          <w:rFonts w:hint="eastAsia" w:ascii="黑体" w:hAnsi="宋体" w:eastAsia="黑体"/>
          <w:sz w:val="24"/>
        </w:rPr>
      </w:pPr>
      <w:r>
        <w:rPr>
          <w:rFonts w:hint="eastAsia" w:ascii="黑体" w:hAnsi="宋体" w:eastAsia="黑体"/>
          <w:sz w:val="24"/>
        </w:rPr>
        <w:t>38．定标方法</w:t>
      </w:r>
    </w:p>
    <w:p>
      <w:pPr>
        <w:ind w:firstLine="411" w:firstLineChars="196"/>
        <w:rPr>
          <w:rFonts w:hint="eastAsia" w:ascii="宋体" w:hAnsi="宋体"/>
          <w:szCs w:val="21"/>
        </w:rPr>
      </w:pPr>
      <w:bookmarkStart w:id="78" w:name="_Hlk73782795"/>
      <w:r>
        <w:rPr>
          <w:rFonts w:hint="eastAsia" w:ascii="宋体" w:hAnsi="宋体"/>
          <w:szCs w:val="21"/>
        </w:rPr>
        <w:t>38.1非评定分离项目定标方法</w:t>
      </w:r>
    </w:p>
    <w:p>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宋体" w:hAnsi="宋体"/>
          <w:szCs w:val="21"/>
        </w:rPr>
      </w:pPr>
      <w:r>
        <w:rPr>
          <w:rFonts w:hint="eastAsia" w:ascii="宋体" w:hAnsi="宋体"/>
          <w:szCs w:val="21"/>
        </w:rPr>
        <w:t>38.2评定分离项目定标方法</w:t>
      </w:r>
    </w:p>
    <w:p>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11" w:firstLineChars="196"/>
      </w:pPr>
      <w:r>
        <w:rPr>
          <w:rFonts w:ascii="宋体" w:hAnsi="宋体"/>
          <w:szCs w:val="21"/>
        </w:rPr>
        <w:t xml:space="preserve">38.2.2 </w:t>
      </w:r>
      <w:bookmarkStart w:id="79"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pPr>
        <w:ind w:firstLine="411" w:firstLineChars="196"/>
        <w:rPr>
          <w:rFonts w:hint="eastAsia" w:ascii="宋体" w:hAnsi="宋体"/>
          <w:szCs w:val="21"/>
        </w:rPr>
      </w:pPr>
      <w:r>
        <w:rPr>
          <w:rFonts w:hint="eastAsia" w:ascii="宋体" w:hAnsi="宋体"/>
          <w:szCs w:val="21"/>
        </w:rPr>
        <w:t>38.2.3</w:t>
      </w:r>
      <w:bookmarkStart w:id="80"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9"/>
      <w:bookmarkEnd w:id="80"/>
    </w:p>
    <w:p>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78"/>
    </w:p>
    <w:p>
      <w:pPr>
        <w:rPr>
          <w:rFonts w:hint="eastAsia" w:ascii="黑体" w:hAnsi="宋体" w:eastAsia="黑体"/>
          <w:sz w:val="24"/>
        </w:rPr>
      </w:pPr>
      <w:r>
        <w:rPr>
          <w:rFonts w:hint="eastAsia" w:ascii="黑体" w:hAnsi="宋体" w:eastAsia="黑体"/>
          <w:sz w:val="24"/>
        </w:rPr>
        <w:t>39．编写评审报告</w:t>
      </w:r>
    </w:p>
    <w:p>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rPr>
          <w:rFonts w:hint="eastAsia" w:ascii="黑体" w:hAnsi="宋体" w:eastAsia="黑体"/>
          <w:sz w:val="24"/>
        </w:rPr>
      </w:pPr>
      <w:r>
        <w:rPr>
          <w:rFonts w:hint="eastAsia" w:ascii="黑体" w:hAnsi="宋体" w:eastAsia="黑体"/>
          <w:sz w:val="24"/>
        </w:rPr>
        <w:t>40．中标公告</w:t>
      </w:r>
    </w:p>
    <w:p>
      <w:pPr>
        <w:ind w:firstLine="411" w:firstLineChars="196"/>
        <w:rPr>
          <w:rFonts w:hint="eastAsia" w:ascii="宋体" w:hAnsi="宋体"/>
          <w:szCs w:val="21"/>
        </w:rPr>
      </w:pPr>
      <w:r>
        <w:rPr>
          <w:rFonts w:hint="eastAsia" w:ascii="宋体" w:hAnsi="宋体"/>
          <w:szCs w:val="21"/>
        </w:rPr>
        <w:t>40.1</w:t>
      </w:r>
      <w:bookmarkStart w:id="81"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1"/>
      <w:bookmarkStart w:id="82"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2"/>
    <w:p>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pPr>
        <w:rPr>
          <w:rFonts w:hint="eastAsia" w:ascii="黑体" w:hAnsi="宋体" w:eastAsia="黑体"/>
          <w:sz w:val="24"/>
        </w:rPr>
      </w:pPr>
      <w:r>
        <w:rPr>
          <w:rFonts w:hint="eastAsia" w:ascii="黑体" w:hAnsi="宋体" w:eastAsia="黑体"/>
          <w:sz w:val="24"/>
        </w:rPr>
        <w:t>41．中标通知书</w:t>
      </w:r>
    </w:p>
    <w:p>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3"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3"/>
    </w:p>
    <w:p>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11" w:firstLineChars="196"/>
        <w:rPr>
          <w:rFonts w:hint="eastAsia" w:ascii="宋体" w:hAnsi="宋体"/>
          <w:szCs w:val="21"/>
        </w:rPr>
      </w:pPr>
      <w:bookmarkStart w:id="84" w:name="_Hlk71407340"/>
      <w:r>
        <w:rPr>
          <w:rFonts w:hint="eastAsia" w:ascii="宋体" w:hAnsi="宋体"/>
          <w:szCs w:val="21"/>
        </w:rPr>
        <w:t>41.3因质疑投诉或其它原因导致项目结果变更或采购终止的，政府集中采购机构有权吊销中标通知书。</w:t>
      </w:r>
    </w:p>
    <w:bookmarkEnd w:id="84"/>
    <w:p>
      <w:pPr>
        <w:ind w:firstLine="411" w:firstLineChars="196"/>
        <w:rPr>
          <w:rFonts w:hint="eastAsia" w:ascii="宋体" w:hAnsi="宋体"/>
          <w:szCs w:val="21"/>
        </w:rPr>
      </w:pPr>
    </w:p>
    <w:p>
      <w:pPr>
        <w:pStyle w:val="4"/>
        <w:numPr>
          <w:ilvl w:val="0"/>
          <w:numId w:val="17"/>
        </w:numPr>
        <w:spacing w:before="156" w:beforeLines="50" w:after="156" w:afterLines="50"/>
        <w:ind w:left="562" w:hanging="562"/>
        <w:rPr>
          <w:sz w:val="28"/>
          <w:szCs w:val="28"/>
        </w:rPr>
      </w:pPr>
      <w:r>
        <w:rPr>
          <w:rFonts w:hint="eastAsia"/>
          <w:sz w:val="28"/>
          <w:szCs w:val="28"/>
        </w:rPr>
        <w:t>公开招标失败的后续处理</w:t>
      </w:r>
    </w:p>
    <w:p>
      <w:pPr>
        <w:rPr>
          <w:rFonts w:hint="eastAsia" w:ascii="黑体" w:hAnsi="宋体" w:eastAsia="黑体"/>
          <w:sz w:val="24"/>
        </w:rPr>
      </w:pPr>
      <w:r>
        <w:rPr>
          <w:rFonts w:hint="eastAsia" w:ascii="黑体" w:hAnsi="宋体" w:eastAsia="黑体"/>
          <w:sz w:val="24"/>
        </w:rPr>
        <w:t>42．公开招标失败的处理</w:t>
      </w:r>
    </w:p>
    <w:p>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hint="eastAsia" w:ascii="宋体" w:hAnsi="宋体"/>
          <w:szCs w:val="21"/>
        </w:rPr>
      </w:pPr>
      <w:r>
        <w:rPr>
          <w:rFonts w:hint="eastAsia" w:ascii="宋体" w:hAnsi="宋体"/>
          <w:szCs w:val="21"/>
        </w:rPr>
        <w:t>42.3重新组织采购有以下两种组织形式：</w:t>
      </w:r>
    </w:p>
    <w:p>
      <w:pPr>
        <w:ind w:firstLine="411" w:firstLineChars="196"/>
        <w:rPr>
          <w:rFonts w:hint="eastAsia" w:ascii="宋体" w:hAnsi="宋体"/>
        </w:rPr>
      </w:pPr>
      <w:r>
        <w:rPr>
          <w:rFonts w:hint="eastAsia" w:ascii="宋体" w:hAnsi="宋体"/>
        </w:rPr>
        <w:t>（1）由政府集中采购机构重新组织公开招标；</w:t>
      </w:r>
    </w:p>
    <w:p>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pPr>
        <w:rPr>
          <w:rFonts w:hint="eastAsia" w:ascii="黑体" w:hAnsi="宋体" w:eastAsia="黑体"/>
          <w:sz w:val="24"/>
        </w:rPr>
      </w:pPr>
    </w:p>
    <w:p>
      <w:pPr>
        <w:pStyle w:val="4"/>
        <w:numPr>
          <w:ilvl w:val="0"/>
          <w:numId w:val="17"/>
        </w:numPr>
        <w:spacing w:before="156" w:beforeLines="50" w:after="156" w:afterLines="50"/>
        <w:ind w:left="562" w:hanging="562"/>
        <w:rPr>
          <w:sz w:val="28"/>
          <w:szCs w:val="28"/>
        </w:rPr>
      </w:pPr>
      <w:bookmarkStart w:id="85" w:name="_Hlk72439043"/>
      <w:r>
        <w:rPr>
          <w:rFonts w:hint="eastAsia"/>
          <w:sz w:val="28"/>
          <w:szCs w:val="28"/>
        </w:rPr>
        <w:t>合同的授予与备案</w:t>
      </w:r>
      <w:bookmarkEnd w:id="85"/>
    </w:p>
    <w:p>
      <w:pPr>
        <w:rPr>
          <w:rFonts w:hint="eastAsia" w:ascii="黑体" w:hAnsi="宋体" w:eastAsia="黑体"/>
          <w:sz w:val="24"/>
        </w:rPr>
      </w:pPr>
      <w:bookmarkStart w:id="86" w:name="_Toc73517679"/>
      <w:bookmarkStart w:id="87" w:name="_Toc73518157"/>
      <w:bookmarkStart w:id="88" w:name="_Toc100052408"/>
      <w:bookmarkStart w:id="89" w:name="_Toc73521674"/>
      <w:bookmarkStart w:id="90" w:name="_Toc73521586"/>
      <w:bookmarkStart w:id="91" w:name="_Hlk72439088"/>
      <w:r>
        <w:rPr>
          <w:rFonts w:hint="eastAsia" w:ascii="黑体" w:hAnsi="宋体" w:eastAsia="黑体"/>
          <w:sz w:val="24"/>
        </w:rPr>
        <w:t>43．合同授予标准</w:t>
      </w:r>
      <w:bookmarkEnd w:id="86"/>
      <w:bookmarkEnd w:id="87"/>
      <w:bookmarkEnd w:id="88"/>
      <w:bookmarkEnd w:id="89"/>
      <w:bookmarkEnd w:id="90"/>
    </w:p>
    <w:p>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pPr>
        <w:rPr>
          <w:rFonts w:hint="eastAsia" w:ascii="黑体" w:hAnsi="宋体" w:eastAsia="黑体"/>
          <w:sz w:val="24"/>
        </w:rPr>
      </w:pPr>
      <w:bookmarkStart w:id="92" w:name="_Toc73517680"/>
      <w:bookmarkStart w:id="93" w:name="_Toc73518158"/>
      <w:bookmarkStart w:id="94" w:name="_Toc100052409"/>
      <w:bookmarkStart w:id="95" w:name="_Toc73521587"/>
      <w:bookmarkStart w:id="96" w:name="_Toc73521675"/>
      <w:r>
        <w:rPr>
          <w:rFonts w:hint="eastAsia" w:ascii="黑体" w:hAnsi="宋体" w:eastAsia="黑体"/>
          <w:sz w:val="24"/>
        </w:rPr>
        <w:t>44．</w:t>
      </w:r>
      <w:bookmarkEnd w:id="92"/>
      <w:bookmarkEnd w:id="93"/>
      <w:bookmarkEnd w:id="94"/>
      <w:bookmarkEnd w:id="95"/>
      <w:bookmarkEnd w:id="96"/>
      <w:r>
        <w:rPr>
          <w:rFonts w:hint="eastAsia" w:ascii="黑体" w:hAnsi="宋体" w:eastAsia="黑体"/>
          <w:sz w:val="24"/>
        </w:rPr>
        <w:t>接受和拒绝任何或所有投标的权力</w:t>
      </w:r>
    </w:p>
    <w:p>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hint="eastAsia" w:ascii="黑体" w:hAnsi="宋体" w:eastAsia="黑体"/>
          <w:sz w:val="24"/>
        </w:rPr>
      </w:pPr>
      <w:bookmarkStart w:id="97" w:name="_Toc73521677"/>
      <w:bookmarkStart w:id="98" w:name="_Toc73517682"/>
      <w:bookmarkStart w:id="99" w:name="_Toc73518160"/>
      <w:bookmarkStart w:id="100" w:name="_Toc73521589"/>
      <w:bookmarkStart w:id="101" w:name="_Toc100052410"/>
      <w:r>
        <w:rPr>
          <w:rFonts w:hint="eastAsia" w:ascii="黑体" w:hAnsi="宋体" w:eastAsia="黑体"/>
          <w:sz w:val="24"/>
        </w:rPr>
        <w:t>45．合同的签订</w:t>
      </w:r>
      <w:bookmarkEnd w:id="97"/>
      <w:bookmarkEnd w:id="98"/>
      <w:bookmarkEnd w:id="99"/>
      <w:bookmarkEnd w:id="100"/>
      <w:bookmarkEnd w:id="101"/>
    </w:p>
    <w:p>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pPr>
        <w:rPr>
          <w:rFonts w:hint="eastAsia" w:ascii="黑体" w:hAnsi="宋体" w:eastAsia="黑体"/>
          <w:sz w:val="24"/>
        </w:rPr>
      </w:pPr>
      <w:bookmarkStart w:id="102" w:name="_Toc73518161"/>
      <w:bookmarkStart w:id="103" w:name="_Toc100052411"/>
      <w:bookmarkStart w:id="104" w:name="_Toc73521678"/>
      <w:bookmarkStart w:id="105" w:name="_Toc73521590"/>
      <w:bookmarkStart w:id="106" w:name="_Toc73517683"/>
      <w:r>
        <w:rPr>
          <w:rFonts w:hint="eastAsia" w:ascii="黑体" w:hAnsi="宋体" w:eastAsia="黑体"/>
          <w:sz w:val="24"/>
        </w:rPr>
        <w:t>46．履约担保</w:t>
      </w:r>
      <w:bookmarkEnd w:id="102"/>
      <w:bookmarkEnd w:id="103"/>
      <w:bookmarkEnd w:id="104"/>
      <w:bookmarkEnd w:id="105"/>
      <w:bookmarkEnd w:id="106"/>
    </w:p>
    <w:p>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pPr>
        <w:rPr>
          <w:rFonts w:hint="eastAsia" w:ascii="黑体" w:hAnsi="宋体" w:eastAsia="黑体"/>
          <w:sz w:val="24"/>
        </w:rPr>
      </w:pPr>
      <w:r>
        <w:rPr>
          <w:rFonts w:hint="eastAsia" w:ascii="黑体" w:hAnsi="宋体" w:eastAsia="黑体"/>
          <w:sz w:val="24"/>
        </w:rPr>
        <w:t>47. 合同备案</w:t>
      </w:r>
    </w:p>
    <w:p>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pPr>
        <w:rPr>
          <w:rFonts w:hint="eastAsia" w:ascii="黑体" w:hAnsi="宋体" w:eastAsia="黑体"/>
          <w:sz w:val="24"/>
        </w:rPr>
      </w:pPr>
      <w:r>
        <w:rPr>
          <w:rFonts w:hint="eastAsia" w:ascii="黑体" w:hAnsi="宋体" w:eastAsia="黑体"/>
          <w:sz w:val="24"/>
        </w:rPr>
        <w:t>49. 项目验收</w:t>
      </w:r>
    </w:p>
    <w:p>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pPr>
        <w:rPr>
          <w:rFonts w:hint="eastAsia" w:ascii="黑体" w:hAnsi="宋体" w:eastAsia="黑体"/>
          <w:sz w:val="24"/>
        </w:rPr>
      </w:pPr>
      <w:r>
        <w:rPr>
          <w:rFonts w:hint="eastAsia" w:ascii="黑体" w:hAnsi="宋体" w:eastAsia="黑体"/>
          <w:sz w:val="24"/>
        </w:rPr>
        <w:t>50. 宣传</w:t>
      </w:r>
    </w:p>
    <w:p>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pPr>
        <w:ind w:left="210" w:leftChars="100" w:firstLine="411" w:firstLineChars="196"/>
        <w:rPr>
          <w:rFonts w:hint="eastAsia" w:ascii="宋体" w:hAnsi="宋体"/>
        </w:rPr>
      </w:pPr>
      <w:r>
        <w:rPr>
          <w:rFonts w:ascii="宋体" w:hAnsi="宋体"/>
        </w:rPr>
        <w:t>a.名片、宣传册、广告标语等；</w:t>
      </w:r>
    </w:p>
    <w:p>
      <w:pPr>
        <w:ind w:left="210" w:leftChars="100" w:firstLine="411" w:firstLineChars="196"/>
        <w:rPr>
          <w:rFonts w:hint="eastAsia" w:ascii="宋体" w:hAnsi="宋体"/>
        </w:rPr>
      </w:pPr>
      <w:r>
        <w:rPr>
          <w:rFonts w:ascii="宋体" w:hAnsi="宋体"/>
        </w:rPr>
        <w:t>b.案例介绍、推广等；</w:t>
      </w:r>
    </w:p>
    <w:p>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pPr>
        <w:rPr>
          <w:rFonts w:hint="eastAsia" w:ascii="黑体" w:hAnsi="宋体" w:eastAsia="黑体"/>
          <w:sz w:val="24"/>
        </w:rPr>
      </w:pPr>
      <w:r>
        <w:rPr>
          <w:rFonts w:hint="eastAsia" w:ascii="黑体" w:hAnsi="宋体" w:eastAsia="黑体"/>
          <w:sz w:val="24"/>
        </w:rPr>
        <w:t>51. 供应商违法责任</w:t>
      </w:r>
    </w:p>
    <w:p>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hint="eastAsia" w:ascii="宋体" w:hAnsi="宋体"/>
          <w:szCs w:val="21"/>
        </w:rPr>
      </w:pPr>
      <w:r>
        <w:rPr>
          <w:rFonts w:hint="eastAsia" w:ascii="宋体" w:hAnsi="宋体"/>
          <w:szCs w:val="21"/>
        </w:rPr>
        <w:t>（1）在采购活动中应当回避而未回避的；</w:t>
      </w:r>
    </w:p>
    <w:p>
      <w:pPr>
        <w:ind w:firstLine="411" w:firstLineChars="196"/>
        <w:rPr>
          <w:rFonts w:hint="eastAsia" w:ascii="宋体" w:hAnsi="宋体"/>
          <w:szCs w:val="21"/>
        </w:rPr>
      </w:pPr>
      <w:r>
        <w:rPr>
          <w:rFonts w:hint="eastAsia" w:ascii="宋体" w:hAnsi="宋体"/>
          <w:szCs w:val="21"/>
        </w:rPr>
        <w:t>（2）未按本条例规定签订、履行采购合同，造成严重后果的；</w:t>
      </w:r>
    </w:p>
    <w:p>
      <w:pPr>
        <w:ind w:firstLine="411" w:firstLineChars="196"/>
        <w:rPr>
          <w:rFonts w:hint="eastAsia" w:ascii="宋体" w:hAnsi="宋体"/>
          <w:szCs w:val="21"/>
        </w:rPr>
      </w:pPr>
      <w:r>
        <w:rPr>
          <w:rFonts w:hint="eastAsia" w:ascii="宋体" w:hAnsi="宋体"/>
          <w:szCs w:val="21"/>
        </w:rPr>
        <w:t>（3）隐瞒真实情况，提供虚假资料的；</w:t>
      </w:r>
    </w:p>
    <w:p>
      <w:pPr>
        <w:ind w:firstLine="411" w:firstLineChars="196"/>
        <w:rPr>
          <w:rFonts w:hint="eastAsia" w:ascii="宋体" w:hAnsi="宋体"/>
          <w:szCs w:val="21"/>
        </w:rPr>
      </w:pPr>
      <w:r>
        <w:rPr>
          <w:rFonts w:hint="eastAsia" w:ascii="宋体" w:hAnsi="宋体"/>
          <w:szCs w:val="21"/>
        </w:rPr>
        <w:t>（4）以非法手段排斥其他供应商参与竞争的；</w:t>
      </w:r>
    </w:p>
    <w:p>
      <w:pPr>
        <w:ind w:firstLine="411" w:firstLineChars="196"/>
        <w:rPr>
          <w:rFonts w:hint="eastAsia" w:ascii="宋体" w:hAnsi="宋体"/>
          <w:szCs w:val="21"/>
        </w:rPr>
      </w:pPr>
      <w:r>
        <w:rPr>
          <w:rFonts w:hint="eastAsia" w:ascii="宋体" w:hAnsi="宋体"/>
          <w:szCs w:val="21"/>
        </w:rPr>
        <w:t>（5）与其他采购参加人串通投标的；</w:t>
      </w:r>
    </w:p>
    <w:p>
      <w:pPr>
        <w:ind w:firstLine="411" w:firstLineChars="196"/>
        <w:rPr>
          <w:rFonts w:hint="eastAsia" w:ascii="宋体" w:hAnsi="宋体"/>
          <w:szCs w:val="21"/>
        </w:rPr>
      </w:pPr>
      <w:r>
        <w:rPr>
          <w:rFonts w:hint="eastAsia" w:ascii="宋体" w:hAnsi="宋体"/>
          <w:szCs w:val="21"/>
        </w:rPr>
        <w:t>（6）恶意投诉的；</w:t>
      </w:r>
    </w:p>
    <w:p>
      <w:pPr>
        <w:ind w:firstLine="411" w:firstLineChars="196"/>
        <w:rPr>
          <w:rFonts w:hint="eastAsia" w:ascii="宋体" w:hAnsi="宋体"/>
          <w:szCs w:val="21"/>
        </w:rPr>
      </w:pPr>
      <w:r>
        <w:rPr>
          <w:rFonts w:hint="eastAsia" w:ascii="宋体" w:hAnsi="宋体"/>
          <w:szCs w:val="21"/>
        </w:rPr>
        <w:t>（7）向采购项目相关人行贿或者提供其他不当利益的；</w:t>
      </w:r>
    </w:p>
    <w:p>
      <w:pPr>
        <w:ind w:firstLine="411" w:firstLineChars="196"/>
        <w:rPr>
          <w:rFonts w:hint="eastAsia" w:ascii="宋体" w:hAnsi="宋体"/>
          <w:szCs w:val="21"/>
        </w:rPr>
      </w:pPr>
      <w:r>
        <w:rPr>
          <w:rFonts w:hint="eastAsia" w:ascii="宋体" w:hAnsi="宋体"/>
          <w:szCs w:val="21"/>
        </w:rPr>
        <w:t>（8）阻碍、抗拒主管部门监督检查的；</w:t>
      </w:r>
    </w:p>
    <w:p>
      <w:pPr>
        <w:ind w:firstLine="411" w:firstLineChars="196"/>
        <w:rPr>
          <w:rFonts w:hint="eastAsia" w:ascii="宋体" w:hAnsi="宋体"/>
          <w:szCs w:val="21"/>
        </w:rPr>
      </w:pPr>
      <w:r>
        <w:rPr>
          <w:rFonts w:hint="eastAsia" w:ascii="宋体" w:hAnsi="宋体"/>
          <w:szCs w:val="21"/>
        </w:rPr>
        <w:t>（9）其他违反本条例规定的行为。</w:t>
      </w:r>
    </w:p>
    <w:p>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07" w:name="_Hlk72440769"/>
      <w:r>
        <w:rPr>
          <w:rFonts w:hint="eastAsia" w:ascii="宋体" w:hAnsi="宋体"/>
          <w:szCs w:val="21"/>
        </w:rPr>
        <w:t>政府集中采购机构或采购人不予退还其交纳的谈判保证金，情节严重的，并由主管部门</w:t>
      </w:r>
      <w:bookmarkEnd w:id="107"/>
      <w:r>
        <w:rPr>
          <w:rFonts w:hint="eastAsia" w:ascii="宋体" w:hAnsi="宋体"/>
          <w:szCs w:val="21"/>
        </w:rPr>
        <w:t>记入供应商诚信档案，予以通报：</w:t>
      </w:r>
    </w:p>
    <w:p>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1"/>
    <w:p>
      <w:pPr>
        <w:pStyle w:val="4"/>
        <w:numPr>
          <w:ilvl w:val="0"/>
          <w:numId w:val="17"/>
        </w:numPr>
        <w:spacing w:before="156" w:beforeLines="50" w:after="156" w:afterLines="50"/>
        <w:ind w:left="562" w:hanging="562"/>
        <w:rPr>
          <w:sz w:val="28"/>
          <w:szCs w:val="28"/>
        </w:rPr>
      </w:pPr>
      <w:r>
        <w:rPr>
          <w:rFonts w:hint="eastAsia"/>
          <w:sz w:val="28"/>
          <w:szCs w:val="28"/>
        </w:rPr>
        <w:t>质疑处理</w:t>
      </w:r>
    </w:p>
    <w:p>
      <w:pPr>
        <w:rPr>
          <w:rFonts w:hint="eastAsia" w:ascii="黑体" w:hAnsi="宋体" w:eastAsia="黑体"/>
          <w:sz w:val="24"/>
        </w:rPr>
      </w:pPr>
      <w:r>
        <w:rPr>
          <w:rFonts w:hint="eastAsia" w:ascii="黑体" w:hAnsi="宋体" w:eastAsia="黑体"/>
          <w:sz w:val="24"/>
        </w:rPr>
        <w:t>52.质疑提出与答复</w:t>
      </w:r>
    </w:p>
    <w:p>
      <w:pPr>
        <w:rPr>
          <w:rFonts w:hint="eastAsia" w:ascii="宋体" w:hAnsi="宋体"/>
          <w:szCs w:val="21"/>
        </w:rPr>
      </w:pPr>
      <w:r>
        <w:rPr>
          <w:rFonts w:hint="eastAsia" w:ascii="宋体" w:hAnsi="宋体"/>
          <w:szCs w:val="21"/>
        </w:rPr>
        <w:t xml:space="preserve">    52.1提出质疑</w:t>
      </w:r>
    </w:p>
    <w:p>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pPr>
        <w:rPr>
          <w:rFonts w:hint="eastAsia" w:ascii="宋体" w:hAnsi="宋体"/>
          <w:szCs w:val="21"/>
        </w:rPr>
      </w:pPr>
      <w:r>
        <w:rPr>
          <w:rFonts w:hint="eastAsia" w:ascii="宋体" w:hAnsi="宋体"/>
          <w:szCs w:val="21"/>
        </w:rPr>
        <w:t xml:space="preserve">    52.2</w:t>
      </w:r>
      <w:r>
        <w:rPr>
          <w:rFonts w:ascii="宋体" w:hAnsi="宋体"/>
          <w:szCs w:val="21"/>
        </w:rPr>
        <w:t>法律依据</w:t>
      </w:r>
    </w:p>
    <w:p>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08" w:name="_Hlk75374941"/>
      <w:r>
        <w:rPr>
          <w:rFonts w:hint="eastAsia" w:ascii="宋体" w:hAnsi="宋体"/>
          <w:szCs w:val="21"/>
        </w:rPr>
        <w:t>以联合体形式参与的，质疑应当由组成联合体的所有成员共同提出</w:t>
      </w:r>
      <w:bookmarkEnd w:id="108"/>
      <w:r>
        <w:rPr>
          <w:rFonts w:hint="eastAsia" w:ascii="宋体" w:hAnsi="宋体"/>
          <w:szCs w:val="21"/>
        </w:rPr>
        <w:t>；</w:t>
      </w:r>
    </w:p>
    <w:p>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rPr>
          <w:rFonts w:hint="eastAsia" w:ascii="宋体" w:hAnsi="宋体"/>
          <w:szCs w:val="21"/>
        </w:rPr>
      </w:pPr>
      <w:r>
        <w:rPr>
          <w:rFonts w:hint="eastAsia" w:ascii="宋体" w:hAnsi="宋体"/>
          <w:szCs w:val="21"/>
        </w:rPr>
        <w:t>（1）供应商的名称（或者姓名）、地址、邮编、邮箱、联系人及联系电话；</w:t>
      </w:r>
    </w:p>
    <w:p>
      <w:pPr>
        <w:ind w:firstLine="420" w:firstLineChars="200"/>
        <w:rPr>
          <w:rFonts w:hint="eastAsia" w:ascii="宋体" w:hAnsi="宋体"/>
          <w:szCs w:val="21"/>
        </w:rPr>
      </w:pPr>
      <w:r>
        <w:rPr>
          <w:rFonts w:hint="eastAsia" w:ascii="宋体" w:hAnsi="宋体"/>
          <w:szCs w:val="21"/>
        </w:rPr>
        <w:t>（2）质疑项目的名称、编号；</w:t>
      </w:r>
    </w:p>
    <w:p>
      <w:pPr>
        <w:ind w:firstLine="420" w:firstLineChars="200"/>
        <w:rPr>
          <w:rFonts w:hint="eastAsia" w:ascii="宋体" w:hAnsi="宋体"/>
          <w:szCs w:val="21"/>
        </w:rPr>
      </w:pPr>
      <w:r>
        <w:rPr>
          <w:rFonts w:hint="eastAsia" w:ascii="宋体" w:hAnsi="宋体"/>
          <w:szCs w:val="21"/>
        </w:rPr>
        <w:t>（3）具体、明确的质疑对象、质疑事项和质疑请求；</w:t>
      </w:r>
    </w:p>
    <w:p>
      <w:pPr>
        <w:ind w:firstLine="420" w:firstLineChars="200"/>
        <w:rPr>
          <w:rFonts w:hint="eastAsia" w:ascii="宋体" w:hAnsi="宋体"/>
          <w:szCs w:val="21"/>
        </w:rPr>
      </w:pPr>
      <w:r>
        <w:rPr>
          <w:rFonts w:hint="eastAsia" w:ascii="宋体" w:hAnsi="宋体"/>
          <w:szCs w:val="21"/>
        </w:rPr>
        <w:t>（4）因质疑事项而受损害的权益；</w:t>
      </w:r>
    </w:p>
    <w:p>
      <w:pPr>
        <w:ind w:firstLine="420" w:firstLineChars="200"/>
        <w:rPr>
          <w:rFonts w:hint="eastAsia" w:ascii="宋体" w:hAnsi="宋体"/>
          <w:szCs w:val="21"/>
        </w:rPr>
      </w:pPr>
      <w:r>
        <w:rPr>
          <w:rFonts w:hint="eastAsia" w:ascii="宋体" w:hAnsi="宋体"/>
          <w:szCs w:val="21"/>
        </w:rPr>
        <w:t>（5）事实依据；</w:t>
      </w:r>
    </w:p>
    <w:p>
      <w:pPr>
        <w:ind w:firstLine="420" w:firstLineChars="200"/>
        <w:rPr>
          <w:rFonts w:hint="eastAsia" w:ascii="宋体" w:hAnsi="宋体"/>
          <w:szCs w:val="21"/>
        </w:rPr>
      </w:pPr>
      <w:r>
        <w:rPr>
          <w:rFonts w:hint="eastAsia" w:ascii="宋体" w:hAnsi="宋体"/>
          <w:szCs w:val="21"/>
        </w:rPr>
        <w:t>（6）必要的法律依据；</w:t>
      </w:r>
    </w:p>
    <w:p>
      <w:pPr>
        <w:ind w:firstLine="420" w:firstLineChars="200"/>
        <w:rPr>
          <w:rFonts w:hint="eastAsia" w:ascii="宋体" w:hAnsi="宋体"/>
          <w:szCs w:val="21"/>
        </w:rPr>
      </w:pPr>
      <w:r>
        <w:rPr>
          <w:rFonts w:hint="eastAsia" w:ascii="宋体" w:hAnsi="宋体"/>
          <w:szCs w:val="21"/>
        </w:rPr>
        <w:t>（7）提出质疑的日期。</w:t>
      </w:r>
    </w:p>
    <w:p>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hint="eastAsia" w:ascii="宋体" w:hAnsi="宋体"/>
          <w:szCs w:val="21"/>
        </w:rPr>
      </w:pPr>
      <w:r>
        <w:rPr>
          <w:rFonts w:hint="eastAsia" w:ascii="宋体" w:hAnsi="宋体"/>
          <w:szCs w:val="21"/>
        </w:rPr>
        <w:t>52.5收文地点</w:t>
      </w:r>
    </w:p>
    <w:p>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hint="eastAsia" w:ascii="宋体" w:hAnsi="宋体"/>
          <w:szCs w:val="21"/>
        </w:rPr>
      </w:pPr>
      <w:r>
        <w:rPr>
          <w:rFonts w:hint="eastAsia" w:ascii="宋体" w:hAnsi="宋体"/>
          <w:szCs w:val="21"/>
        </w:rPr>
        <w:t>供应商提交的质疑存在下列情形之一的，不予受理：</w:t>
      </w:r>
    </w:p>
    <w:p>
      <w:pPr>
        <w:ind w:firstLine="420" w:firstLineChars="200"/>
        <w:rPr>
          <w:rFonts w:hint="eastAsia" w:ascii="宋体" w:hAnsi="宋体"/>
          <w:szCs w:val="21"/>
        </w:rPr>
      </w:pPr>
      <w:r>
        <w:rPr>
          <w:rFonts w:hint="eastAsia" w:ascii="宋体" w:hAnsi="宋体"/>
          <w:szCs w:val="21"/>
        </w:rPr>
        <w:t>（1）质疑主体不满足要求的；</w:t>
      </w:r>
    </w:p>
    <w:p>
      <w:pPr>
        <w:ind w:firstLine="420" w:firstLineChars="200"/>
        <w:rPr>
          <w:rFonts w:hint="eastAsia" w:ascii="宋体" w:hAnsi="宋体"/>
          <w:szCs w:val="21"/>
        </w:rPr>
      </w:pPr>
      <w:r>
        <w:rPr>
          <w:rFonts w:hint="eastAsia" w:ascii="宋体" w:hAnsi="宋体"/>
          <w:szCs w:val="21"/>
        </w:rPr>
        <w:t>（2）供应商自身权益未受到损害的；</w:t>
      </w:r>
    </w:p>
    <w:p>
      <w:pPr>
        <w:ind w:firstLine="420" w:firstLineChars="200"/>
        <w:rPr>
          <w:rFonts w:hint="eastAsia" w:ascii="宋体" w:hAnsi="宋体"/>
          <w:szCs w:val="21"/>
        </w:rPr>
      </w:pPr>
      <w:r>
        <w:rPr>
          <w:rFonts w:hint="eastAsia" w:ascii="宋体" w:hAnsi="宋体"/>
          <w:szCs w:val="21"/>
        </w:rPr>
        <w:t>（3）供应商未在法定质疑期限内提出质疑的；</w:t>
      </w:r>
    </w:p>
    <w:p>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hint="eastAsia" w:ascii="宋体" w:hAnsi="宋体"/>
          <w:szCs w:val="21"/>
        </w:rPr>
      </w:pPr>
      <w:r>
        <w:rPr>
          <w:rFonts w:hint="eastAsia" w:ascii="宋体" w:hAnsi="宋体"/>
          <w:szCs w:val="21"/>
        </w:rPr>
        <w:t>（5）其他不符合受理条件情形的。</w:t>
      </w:r>
    </w:p>
    <w:p>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pPr>
        <w:rPr>
          <w:rFonts w:hint="eastAsia" w:ascii="宋体" w:hAnsi="宋体"/>
          <w:szCs w:val="21"/>
        </w:rPr>
      </w:pPr>
      <w:r>
        <w:rPr>
          <w:rFonts w:hint="eastAsia" w:ascii="宋体" w:hAnsi="宋体"/>
          <w:szCs w:val="21"/>
        </w:rPr>
        <w:t xml:space="preserve">    自收文之日起七个工作日内。</w:t>
      </w:r>
    </w:p>
    <w:p>
      <w:pPr>
        <w:rPr>
          <w:rFonts w:hint="eastAsia" w:ascii="宋体" w:hAnsi="宋体"/>
          <w:szCs w:val="21"/>
        </w:rPr>
      </w:pPr>
      <w:r>
        <w:rPr>
          <w:rFonts w:hint="eastAsia" w:ascii="宋体" w:hAnsi="宋体"/>
          <w:szCs w:val="21"/>
        </w:rPr>
        <w:t xml:space="preserve">    52.8投诉</w:t>
      </w:r>
    </w:p>
    <w:p>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pPr>
        <w:rPr>
          <w:rFonts w:hint="eastAsia" w:ascii="黑体" w:hAnsi="宋体" w:eastAsia="黑体"/>
          <w:sz w:val="24"/>
        </w:rPr>
      </w:pPr>
      <w:r>
        <w:rPr>
          <w:rFonts w:hint="eastAsia" w:ascii="黑体" w:hAnsi="宋体" w:eastAsia="黑体"/>
          <w:sz w:val="24"/>
        </w:rPr>
        <w:t>53. 质疑后续处理</w:t>
      </w:r>
    </w:p>
    <w:p>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pPr>
        <w:jc w:val="center"/>
        <w:rPr>
          <w:rFonts w:ascii="Times New Roman" w:hAnsi="Times New Roman" w:eastAsia="宋体" w:cs="Times New Roman"/>
          <w:szCs w:val="24"/>
        </w:rPr>
      </w:pPr>
      <w:r>
        <w:rPr>
          <w:rFonts w:ascii="Times New Roman" w:hAnsi="Times New Roman" w:eastAsia="宋体" w:cs="Times New Roman"/>
          <w:szCs w:val="24"/>
        </w:rPr>
        <w:t>---- END ----</w:t>
      </w:r>
      <w:bookmarkEnd w:id="55"/>
    </w:p>
    <w:p>
      <w:pPr>
        <w:rPr>
          <w:b/>
          <w:color w:val="FF0000"/>
          <w:sz w:val="52"/>
          <w:szCs w:val="52"/>
        </w:rPr>
      </w:pPr>
    </w:p>
    <w:p>
      <w:pPr>
        <w:rPr>
          <w:rFonts w:hint="eastAsia" w:ascii="宋体" w:hAnsi="宋体" w:eastAsia="黑体" w:cs="Times New Roman"/>
          <w:b/>
          <w:bCs/>
          <w:color w:val="0000FF"/>
          <w:kern w:val="44"/>
          <w:sz w:val="36"/>
          <w:szCs w:val="44"/>
        </w:rPr>
      </w:pPr>
    </w:p>
    <w:p/>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F4A5F5E-D4F9-4B0A-9F9A-B885BE2A30BC}"/>
  </w:font>
  <w:font w:name="Arial">
    <w:panose1 w:val="020B0604020202020204"/>
    <w:charset w:val="01"/>
    <w:family w:val="swiss"/>
    <w:pitch w:val="default"/>
    <w:sig w:usb0="E0002EFF" w:usb1="C000785B" w:usb2="00000009" w:usb3="00000000" w:csb0="400001FF" w:csb1="FFFF0000"/>
    <w:embedRegular r:id="rId2" w:fontKey="{EF6A87BC-69FD-4742-A6DD-B1EAB62063D4}"/>
  </w:font>
  <w:font w:name="黑体">
    <w:panose1 w:val="02010609060101010101"/>
    <w:charset w:val="86"/>
    <w:family w:val="auto"/>
    <w:pitch w:val="default"/>
    <w:sig w:usb0="800002BF" w:usb1="38CF7CFA" w:usb2="00000016" w:usb3="00000000" w:csb0="00040001" w:csb1="00000000"/>
    <w:embedRegular r:id="rId3" w:fontKey="{6041D283-0DB3-43FF-85B2-478339E25D73}"/>
  </w:font>
  <w:font w:name="Courier New">
    <w:panose1 w:val="02070309020205020404"/>
    <w:charset w:val="01"/>
    <w:family w:val="modern"/>
    <w:pitch w:val="default"/>
    <w:sig w:usb0="E0002EFF" w:usb1="C0007843" w:usb2="00000009" w:usb3="00000000" w:csb0="400001FF" w:csb1="FFFF0000"/>
    <w:embedRegular r:id="rId4" w:fontKey="{57F1C453-425F-4758-ABE8-78B36B3954A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0C878FB8-5CDA-4084-BD4B-82158AD1E581}"/>
  </w:font>
  <w:font w:name="Cambria">
    <w:panose1 w:val="02040503050406030204"/>
    <w:charset w:val="00"/>
    <w:family w:val="roman"/>
    <w:pitch w:val="default"/>
    <w:sig w:usb0="E00006FF" w:usb1="420024FF" w:usb2="02000000" w:usb3="00000000" w:csb0="2000019F" w:csb1="00000000"/>
    <w:embedRegular r:id="rId6" w:fontKey="{20C959BC-27B5-4FC0-ADE5-11CEE782D17B}"/>
  </w:font>
  <w:font w:name="隶书">
    <w:panose1 w:val="02010509060101010101"/>
    <w:charset w:val="86"/>
    <w:family w:val="modern"/>
    <w:pitch w:val="default"/>
    <w:sig w:usb0="00000001" w:usb1="080E0000" w:usb2="00000000"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7" w:fontKey="{CBE60401-3C25-4755-AE1A-32D4F19771A6}"/>
  </w:font>
  <w:font w:name="瀹嬩綋">
    <w:altName w:val="微软雅黑"/>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embedRegular r:id="rId8" w:fontKey="{C0810842-D63E-413F-80EA-C211A8FED58F}"/>
  </w:font>
  <w:font w:name="仿宋">
    <w:panose1 w:val="02010609060101010101"/>
    <w:charset w:val="86"/>
    <w:family w:val="modern"/>
    <w:pitch w:val="default"/>
    <w:sig w:usb0="800002BF" w:usb1="38CF7CFA" w:usb2="00000016" w:usb3="00000000" w:csb0="00040001" w:csb1="00000000"/>
    <w:embedRegular r:id="rId9" w:fontKey="{A4E327B2-CB54-4D21-B83B-7313AAAD7B88}"/>
  </w:font>
  <w:font w:name="华文中宋">
    <w:panose1 w:val="02010600040101010101"/>
    <w:charset w:val="86"/>
    <w:family w:val="auto"/>
    <w:pitch w:val="default"/>
    <w:sig w:usb0="00000287" w:usb1="080F0000" w:usb2="00000000" w:usb3="00000000" w:csb0="0004009F" w:csb1="DFD70000"/>
    <w:embedRegular r:id="rId10" w:fontKey="{AF1B3FF7-9C97-4035-8798-9114CA4CA6B4}"/>
  </w:font>
  <w:font w:name="汉仪书宋二S">
    <w:altName w:val="宋体"/>
    <w:panose1 w:val="00000000000000000000"/>
    <w:charset w:val="00"/>
    <w:family w:val="auto"/>
    <w:pitch w:val="default"/>
    <w:sig w:usb0="00000000" w:usb1="00000000" w:usb2="00000000" w:usb3="00000000" w:csb0="00000000" w:csb1="00000000"/>
    <w:embedRegular r:id="rId11" w:fontKey="{4318AA1F-32A0-4EB4-927E-2B7A859639BF}"/>
  </w:font>
  <w:font w:name="华文楷体">
    <w:panose1 w:val="02010600040101010101"/>
    <w:charset w:val="86"/>
    <w:family w:val="auto"/>
    <w:pitch w:val="default"/>
    <w:sig w:usb0="00000287" w:usb1="080F0000" w:usb2="00000000" w:usb3="00000000" w:csb0="0004009F" w:csb1="DFD70000"/>
    <w:embedRegular r:id="rId12" w:fontKey="{C82496E8-A297-4F68-A692-8A8FDC9BA9D2}"/>
  </w:font>
  <w:font w:name="ˎ̥">
    <w:altName w:val="Times New Roman"/>
    <w:panose1 w:val="00000000000000000000"/>
    <w:charset w:val="00"/>
    <w:family w:val="auto"/>
    <w:pitch w:val="default"/>
    <w:sig w:usb0="00000000" w:usb1="00000000" w:usb2="00000000" w:usb3="00000000" w:csb0="00040001" w:csb1="00000000"/>
    <w:embedRegular r:id="rId13" w:fontKey="{D9AE0979-52B7-458A-8282-E12D314E0E0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Segoe UI Symbol">
    <w:panose1 w:val="020B0502040204020203"/>
    <w:charset w:val="00"/>
    <w:family w:val="swiss"/>
    <w:pitch w:val="default"/>
    <w:sig w:usb0="800001E3" w:usb1="1200FFEF" w:usb2="00040000" w:usb3="04000000" w:csb0="00000001" w:csb1="40000000"/>
    <w:embedRegular r:id="rId14" w:fontKey="{C5CFD67B-EA7C-4C5E-ADED-15BF11B380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t xml:space="preserve">- </w:t>
    </w:r>
    <w:r>
      <w:fldChar w:fldCharType="begin"/>
    </w:r>
    <w:r>
      <w:instrText xml:space="preserve"> PAGE </w:instrText>
    </w:r>
    <w:r>
      <w:fldChar w:fldCharType="separate"/>
    </w:r>
    <w:r>
      <w:t>29</w:t>
    </w:r>
    <w:r>
      <w:fldChar w:fldCharType="end"/>
    </w:r>
    <w:r>
      <w:t xml:space="preserve"> -</w: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pPr>
          <w:pStyle w:val="11"/>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11"/>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6DFD5"/>
    <w:multiLevelType w:val="singleLevel"/>
    <w:tmpl w:val="8A06DFD5"/>
    <w:lvl w:ilvl="0" w:tentative="0">
      <w:start w:val="1"/>
      <w:numFmt w:val="chineseCounting"/>
      <w:suff w:val="nothing"/>
      <w:lvlText w:val="（%1）"/>
      <w:lvlJc w:val="left"/>
      <w:rPr>
        <w:rFonts w:hint="eastAsia"/>
      </w:rPr>
    </w:lvl>
  </w:abstractNum>
  <w:abstractNum w:abstractNumId="1">
    <w:nsid w:val="9415A469"/>
    <w:multiLevelType w:val="singleLevel"/>
    <w:tmpl w:val="9415A469"/>
    <w:lvl w:ilvl="0" w:tentative="0">
      <w:start w:val="1"/>
      <w:numFmt w:val="decimal"/>
      <w:suff w:val="space"/>
      <w:lvlText w:val="%1."/>
      <w:lvlJc w:val="left"/>
    </w:lvl>
  </w:abstractNum>
  <w:abstractNum w:abstractNumId="2">
    <w:nsid w:val="B609221C"/>
    <w:multiLevelType w:val="singleLevel"/>
    <w:tmpl w:val="B609221C"/>
    <w:lvl w:ilvl="0" w:tentative="0">
      <w:start w:val="1"/>
      <w:numFmt w:val="decimal"/>
      <w:suff w:val="nothing"/>
      <w:lvlText w:val="%1、"/>
      <w:lvlJc w:val="left"/>
    </w:lvl>
  </w:abstractNum>
  <w:abstractNum w:abstractNumId="3">
    <w:nsid w:val="B9358C2E"/>
    <w:multiLevelType w:val="singleLevel"/>
    <w:tmpl w:val="B9358C2E"/>
    <w:lvl w:ilvl="0" w:tentative="0">
      <w:start w:val="2"/>
      <w:numFmt w:val="decimal"/>
      <w:suff w:val="nothing"/>
      <w:lvlText w:val="%1、"/>
      <w:lvlJc w:val="left"/>
    </w:lvl>
  </w:abstractNum>
  <w:abstractNum w:abstractNumId="4">
    <w:nsid w:val="BF6BC116"/>
    <w:multiLevelType w:val="singleLevel"/>
    <w:tmpl w:val="BF6BC116"/>
    <w:lvl w:ilvl="0" w:tentative="0">
      <w:start w:val="16"/>
      <w:numFmt w:val="decimal"/>
      <w:suff w:val="space"/>
      <w:lvlText w:val="%1."/>
      <w:lvlJc w:val="left"/>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0686203"/>
    <w:multiLevelType w:val="singleLevel"/>
    <w:tmpl w:val="D0686203"/>
    <w:lvl w:ilvl="0" w:tentative="0">
      <w:start w:val="2"/>
      <w:numFmt w:val="decimal"/>
      <w:suff w:val="nothing"/>
      <w:lvlText w:val="%1、"/>
      <w:lvlJc w:val="left"/>
    </w:lvl>
  </w:abstractNum>
  <w:abstractNum w:abstractNumId="7">
    <w:nsid w:val="DDECD3BC"/>
    <w:multiLevelType w:val="singleLevel"/>
    <w:tmpl w:val="DDECD3BC"/>
    <w:lvl w:ilvl="0" w:tentative="0">
      <w:start w:val="6"/>
      <w:numFmt w:val="decimal"/>
      <w:suff w:val="space"/>
      <w:lvlText w:val="%1."/>
      <w:lvlJc w:val="left"/>
    </w:lvl>
  </w:abstractNum>
  <w:abstractNum w:abstractNumId="8">
    <w:nsid w:val="DE759F4B"/>
    <w:multiLevelType w:val="singleLevel"/>
    <w:tmpl w:val="DE759F4B"/>
    <w:lvl w:ilvl="0" w:tentative="0">
      <w:start w:val="2"/>
      <w:numFmt w:val="decimal"/>
      <w:suff w:val="space"/>
      <w:lvlText w:val="%1."/>
      <w:lvlJc w:val="left"/>
    </w:lvl>
  </w:abstractNum>
  <w:abstractNum w:abstractNumId="9">
    <w:nsid w:val="DEABE1DB"/>
    <w:multiLevelType w:val="singleLevel"/>
    <w:tmpl w:val="DEABE1DB"/>
    <w:lvl w:ilvl="0" w:tentative="0">
      <w:start w:val="23"/>
      <w:numFmt w:val="decimal"/>
      <w:suff w:val="space"/>
      <w:lvlText w:val="%1."/>
      <w:lvlJc w:val="left"/>
    </w:lvl>
  </w:abstractNum>
  <w:abstractNum w:abstractNumId="10">
    <w:nsid w:val="FFEFC674"/>
    <w:multiLevelType w:val="singleLevel"/>
    <w:tmpl w:val="FFEFC674"/>
    <w:lvl w:ilvl="0" w:tentative="0">
      <w:start w:val="1"/>
      <w:numFmt w:val="decimal"/>
      <w:suff w:val="nothing"/>
      <w:lvlText w:val="（%1）"/>
      <w:lvlJc w:val="left"/>
    </w:lvl>
  </w:abstractNum>
  <w:abstractNum w:abstractNumId="11">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807CFF"/>
    <w:multiLevelType w:val="singleLevel"/>
    <w:tmpl w:val="6E807CFF"/>
    <w:lvl w:ilvl="0" w:tentative="0">
      <w:start w:val="1"/>
      <w:numFmt w:val="decimal"/>
      <w:suff w:val="space"/>
      <w:lvlText w:val="%1."/>
      <w:lvlJc w:val="left"/>
    </w:lvl>
  </w:abstractNum>
  <w:abstractNum w:abstractNumId="14">
    <w:nsid w:val="721CBBE0"/>
    <w:multiLevelType w:val="singleLevel"/>
    <w:tmpl w:val="721CBBE0"/>
    <w:lvl w:ilvl="0" w:tentative="0">
      <w:start w:val="1"/>
      <w:numFmt w:val="decimal"/>
      <w:suff w:val="nothing"/>
      <w:lvlText w:val="%1、"/>
      <w:lvlJc w:val="left"/>
    </w:lvl>
  </w:abstractNum>
  <w:abstractNum w:abstractNumId="15">
    <w:nsid w:val="77B4B66E"/>
    <w:multiLevelType w:val="singleLevel"/>
    <w:tmpl w:val="77B4B66E"/>
    <w:lvl w:ilvl="0" w:tentative="0">
      <w:start w:val="1"/>
      <w:numFmt w:val="decimal"/>
      <w:suff w:val="space"/>
      <w:lvlText w:val="%1."/>
      <w:lvlJc w:val="left"/>
    </w:lvl>
  </w:abstractNum>
  <w:abstractNum w:abstractNumId="16">
    <w:nsid w:val="7A0F6431"/>
    <w:multiLevelType w:val="singleLevel"/>
    <w:tmpl w:val="7A0F6431"/>
    <w:lvl w:ilvl="0" w:tentative="0">
      <w:start w:val="1"/>
      <w:numFmt w:val="decimal"/>
      <w:suff w:val="space"/>
      <w:lvlText w:val="%1."/>
      <w:lvlJc w:val="left"/>
    </w:lvl>
  </w:abstractNum>
  <w:num w:numId="1">
    <w:abstractNumId w:val="0"/>
  </w:num>
  <w:num w:numId="2">
    <w:abstractNumId w:val="6"/>
  </w:num>
  <w:num w:numId="3">
    <w:abstractNumId w:val="13"/>
  </w:num>
  <w:num w:numId="4">
    <w:abstractNumId w:val="1"/>
  </w:num>
  <w:num w:numId="5">
    <w:abstractNumId w:val="15"/>
  </w:num>
  <w:num w:numId="6">
    <w:abstractNumId w:val="2"/>
  </w:num>
  <w:num w:numId="7">
    <w:abstractNumId w:val="14"/>
  </w:num>
  <w:num w:numId="8">
    <w:abstractNumId w:val="3"/>
  </w:num>
  <w:num w:numId="9">
    <w:abstractNumId w:val="16"/>
  </w:num>
  <w:num w:numId="10">
    <w:abstractNumId w:val="5"/>
  </w:num>
  <w:num w:numId="11">
    <w:abstractNumId w:val="10"/>
  </w:num>
  <w:num w:numId="12">
    <w:abstractNumId w:val="8"/>
  </w:num>
  <w:num w:numId="13">
    <w:abstractNumId w:val="7"/>
  </w:num>
  <w:num w:numId="14">
    <w:abstractNumId w:val="4"/>
  </w:num>
  <w:num w:numId="15">
    <w:abstractNumId w:val="9"/>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2226211"/>
    <w:rsid w:val="0293255D"/>
    <w:rsid w:val="0294067C"/>
    <w:rsid w:val="02987B74"/>
    <w:rsid w:val="02E25F12"/>
    <w:rsid w:val="030516AD"/>
    <w:rsid w:val="038A3F97"/>
    <w:rsid w:val="0394132B"/>
    <w:rsid w:val="03993BA4"/>
    <w:rsid w:val="03A66B69"/>
    <w:rsid w:val="03D6689C"/>
    <w:rsid w:val="03E017D2"/>
    <w:rsid w:val="042C4F6C"/>
    <w:rsid w:val="04446205"/>
    <w:rsid w:val="047255F5"/>
    <w:rsid w:val="048C54B6"/>
    <w:rsid w:val="049A4077"/>
    <w:rsid w:val="04D516E2"/>
    <w:rsid w:val="05130EC4"/>
    <w:rsid w:val="05452235"/>
    <w:rsid w:val="055A330C"/>
    <w:rsid w:val="05A21435"/>
    <w:rsid w:val="06127C3D"/>
    <w:rsid w:val="06215480"/>
    <w:rsid w:val="062E1176"/>
    <w:rsid w:val="063E255E"/>
    <w:rsid w:val="065D710A"/>
    <w:rsid w:val="069468A4"/>
    <w:rsid w:val="06AB5681"/>
    <w:rsid w:val="06D86E6E"/>
    <w:rsid w:val="06E710CA"/>
    <w:rsid w:val="06E94E42"/>
    <w:rsid w:val="07101435"/>
    <w:rsid w:val="072B0FB7"/>
    <w:rsid w:val="07724E37"/>
    <w:rsid w:val="07B37245"/>
    <w:rsid w:val="07EC1177"/>
    <w:rsid w:val="083B1F11"/>
    <w:rsid w:val="087103ED"/>
    <w:rsid w:val="08A54D99"/>
    <w:rsid w:val="08D3127C"/>
    <w:rsid w:val="08D916F2"/>
    <w:rsid w:val="08E33B14"/>
    <w:rsid w:val="09B4074E"/>
    <w:rsid w:val="09B47989"/>
    <w:rsid w:val="09CB6A81"/>
    <w:rsid w:val="0A0106F5"/>
    <w:rsid w:val="0A0F43A2"/>
    <w:rsid w:val="0A522CFE"/>
    <w:rsid w:val="0A537E82"/>
    <w:rsid w:val="0A670558"/>
    <w:rsid w:val="0AD31B13"/>
    <w:rsid w:val="0B06799E"/>
    <w:rsid w:val="0B1F1512"/>
    <w:rsid w:val="0B5C3158"/>
    <w:rsid w:val="0B845139"/>
    <w:rsid w:val="0B913B41"/>
    <w:rsid w:val="0BB023D2"/>
    <w:rsid w:val="0BC027C4"/>
    <w:rsid w:val="0BC750CE"/>
    <w:rsid w:val="0BE16F32"/>
    <w:rsid w:val="0C204376"/>
    <w:rsid w:val="0C254A1B"/>
    <w:rsid w:val="0C526FE5"/>
    <w:rsid w:val="0C590FC3"/>
    <w:rsid w:val="0C6875C2"/>
    <w:rsid w:val="0C9866B9"/>
    <w:rsid w:val="0CA77331"/>
    <w:rsid w:val="0CB16402"/>
    <w:rsid w:val="0CEC0DE7"/>
    <w:rsid w:val="0D0227BA"/>
    <w:rsid w:val="0D4A7900"/>
    <w:rsid w:val="0D5F19BA"/>
    <w:rsid w:val="0D605732"/>
    <w:rsid w:val="0D844388"/>
    <w:rsid w:val="0DEE34CD"/>
    <w:rsid w:val="0E0B7D94"/>
    <w:rsid w:val="0E230C39"/>
    <w:rsid w:val="0E607F86"/>
    <w:rsid w:val="0E8A0CB9"/>
    <w:rsid w:val="0E9C279A"/>
    <w:rsid w:val="0EB421D9"/>
    <w:rsid w:val="0ECF2A4F"/>
    <w:rsid w:val="0F142273"/>
    <w:rsid w:val="0F3856F3"/>
    <w:rsid w:val="0F5B4403"/>
    <w:rsid w:val="0F5D008C"/>
    <w:rsid w:val="0F6627A1"/>
    <w:rsid w:val="0F9A5CF8"/>
    <w:rsid w:val="0FD3114F"/>
    <w:rsid w:val="0FEE5EBF"/>
    <w:rsid w:val="108300B5"/>
    <w:rsid w:val="108654B0"/>
    <w:rsid w:val="108C64EF"/>
    <w:rsid w:val="10BE733F"/>
    <w:rsid w:val="10CA1840"/>
    <w:rsid w:val="10CF3F1B"/>
    <w:rsid w:val="10D97CD5"/>
    <w:rsid w:val="10FC5772"/>
    <w:rsid w:val="11093651"/>
    <w:rsid w:val="114279ED"/>
    <w:rsid w:val="11662604"/>
    <w:rsid w:val="11796EDC"/>
    <w:rsid w:val="118B0DEE"/>
    <w:rsid w:val="119D5A3B"/>
    <w:rsid w:val="121C00A4"/>
    <w:rsid w:val="12635AA8"/>
    <w:rsid w:val="127840D2"/>
    <w:rsid w:val="12900790"/>
    <w:rsid w:val="12900868"/>
    <w:rsid w:val="13280779"/>
    <w:rsid w:val="134F24D1"/>
    <w:rsid w:val="13AA7707"/>
    <w:rsid w:val="13FF3EF7"/>
    <w:rsid w:val="144E2788"/>
    <w:rsid w:val="14806439"/>
    <w:rsid w:val="149C1746"/>
    <w:rsid w:val="14E4477F"/>
    <w:rsid w:val="15BD1BCA"/>
    <w:rsid w:val="15F73793"/>
    <w:rsid w:val="15FB113C"/>
    <w:rsid w:val="16105DC5"/>
    <w:rsid w:val="166E7112"/>
    <w:rsid w:val="16730284"/>
    <w:rsid w:val="16753FFC"/>
    <w:rsid w:val="16B965DF"/>
    <w:rsid w:val="170E68D9"/>
    <w:rsid w:val="1741793A"/>
    <w:rsid w:val="1743234C"/>
    <w:rsid w:val="17933E49"/>
    <w:rsid w:val="17966F3F"/>
    <w:rsid w:val="179901BE"/>
    <w:rsid w:val="17C24EE1"/>
    <w:rsid w:val="17C27715"/>
    <w:rsid w:val="17C57205"/>
    <w:rsid w:val="17E4768B"/>
    <w:rsid w:val="17FC3BA5"/>
    <w:rsid w:val="1806411F"/>
    <w:rsid w:val="182513C0"/>
    <w:rsid w:val="18397E11"/>
    <w:rsid w:val="186957F6"/>
    <w:rsid w:val="18735E22"/>
    <w:rsid w:val="194505FE"/>
    <w:rsid w:val="19687E48"/>
    <w:rsid w:val="196B1CEA"/>
    <w:rsid w:val="197420E8"/>
    <w:rsid w:val="197C5840"/>
    <w:rsid w:val="198E1EAE"/>
    <w:rsid w:val="19E05949"/>
    <w:rsid w:val="19FB3499"/>
    <w:rsid w:val="1A24288D"/>
    <w:rsid w:val="1B1B5294"/>
    <w:rsid w:val="1B356450"/>
    <w:rsid w:val="1B434F04"/>
    <w:rsid w:val="1B7500BE"/>
    <w:rsid w:val="1B9C14FB"/>
    <w:rsid w:val="1BEB4F4B"/>
    <w:rsid w:val="1BEF4851"/>
    <w:rsid w:val="1BFE3C79"/>
    <w:rsid w:val="1C2B1D46"/>
    <w:rsid w:val="1C2C01A7"/>
    <w:rsid w:val="1C3154D0"/>
    <w:rsid w:val="1C4F3541"/>
    <w:rsid w:val="1C584649"/>
    <w:rsid w:val="1C792E22"/>
    <w:rsid w:val="1CB01607"/>
    <w:rsid w:val="1CB57848"/>
    <w:rsid w:val="1CBF2475"/>
    <w:rsid w:val="1CCC5E4E"/>
    <w:rsid w:val="1CE16AE0"/>
    <w:rsid w:val="1CF4323C"/>
    <w:rsid w:val="1D2D5631"/>
    <w:rsid w:val="1D345E0F"/>
    <w:rsid w:val="1D3A261E"/>
    <w:rsid w:val="1D581D92"/>
    <w:rsid w:val="1D880AB9"/>
    <w:rsid w:val="1DAE2109"/>
    <w:rsid w:val="1DB9452C"/>
    <w:rsid w:val="1DDE5424"/>
    <w:rsid w:val="1DE33F41"/>
    <w:rsid w:val="1DE71C83"/>
    <w:rsid w:val="1E206809"/>
    <w:rsid w:val="1E5A0F1E"/>
    <w:rsid w:val="1E5A29B0"/>
    <w:rsid w:val="1E71779F"/>
    <w:rsid w:val="1E8A6AB3"/>
    <w:rsid w:val="1EBC700B"/>
    <w:rsid w:val="1EFB3211"/>
    <w:rsid w:val="1F103EA9"/>
    <w:rsid w:val="1F1D7927"/>
    <w:rsid w:val="1F784B5D"/>
    <w:rsid w:val="1FB14636"/>
    <w:rsid w:val="1FCA3C17"/>
    <w:rsid w:val="1FDB296A"/>
    <w:rsid w:val="1FE909DC"/>
    <w:rsid w:val="1FF42436"/>
    <w:rsid w:val="204333BD"/>
    <w:rsid w:val="20457135"/>
    <w:rsid w:val="20631369"/>
    <w:rsid w:val="20755F4B"/>
    <w:rsid w:val="20A378C4"/>
    <w:rsid w:val="20AF152F"/>
    <w:rsid w:val="20C86C83"/>
    <w:rsid w:val="21431371"/>
    <w:rsid w:val="2149055F"/>
    <w:rsid w:val="21513626"/>
    <w:rsid w:val="215C64E4"/>
    <w:rsid w:val="215D225D"/>
    <w:rsid w:val="219537A4"/>
    <w:rsid w:val="21A56393"/>
    <w:rsid w:val="21C36564"/>
    <w:rsid w:val="21D12651"/>
    <w:rsid w:val="21DF0EC4"/>
    <w:rsid w:val="21FB081E"/>
    <w:rsid w:val="221C055F"/>
    <w:rsid w:val="22525E8C"/>
    <w:rsid w:val="228D0920"/>
    <w:rsid w:val="230A7A8F"/>
    <w:rsid w:val="230C4D63"/>
    <w:rsid w:val="23290736"/>
    <w:rsid w:val="23362D65"/>
    <w:rsid w:val="236E5E5F"/>
    <w:rsid w:val="2378337E"/>
    <w:rsid w:val="239A32F4"/>
    <w:rsid w:val="23A61C99"/>
    <w:rsid w:val="23C5440E"/>
    <w:rsid w:val="23E20B1F"/>
    <w:rsid w:val="23F30C56"/>
    <w:rsid w:val="24266C7C"/>
    <w:rsid w:val="244A2F6C"/>
    <w:rsid w:val="246A64EC"/>
    <w:rsid w:val="248E0882"/>
    <w:rsid w:val="2495036A"/>
    <w:rsid w:val="24AB04CD"/>
    <w:rsid w:val="24B85FE4"/>
    <w:rsid w:val="24D67678"/>
    <w:rsid w:val="251417B8"/>
    <w:rsid w:val="2524556B"/>
    <w:rsid w:val="252E63EA"/>
    <w:rsid w:val="25440C67"/>
    <w:rsid w:val="25493224"/>
    <w:rsid w:val="25551BC9"/>
    <w:rsid w:val="256533FF"/>
    <w:rsid w:val="25714E00"/>
    <w:rsid w:val="25A53D6F"/>
    <w:rsid w:val="25E847EB"/>
    <w:rsid w:val="267047E0"/>
    <w:rsid w:val="26793FA2"/>
    <w:rsid w:val="270F7B55"/>
    <w:rsid w:val="272532E2"/>
    <w:rsid w:val="273B6B9C"/>
    <w:rsid w:val="27427F2B"/>
    <w:rsid w:val="276C3345"/>
    <w:rsid w:val="276F2332"/>
    <w:rsid w:val="27857F9B"/>
    <w:rsid w:val="2795721C"/>
    <w:rsid w:val="27A641C3"/>
    <w:rsid w:val="27A6670B"/>
    <w:rsid w:val="27C546B8"/>
    <w:rsid w:val="282633A8"/>
    <w:rsid w:val="284461F5"/>
    <w:rsid w:val="28525E7F"/>
    <w:rsid w:val="286F1880"/>
    <w:rsid w:val="28A10C81"/>
    <w:rsid w:val="28BD0522"/>
    <w:rsid w:val="28DB6828"/>
    <w:rsid w:val="28EC2844"/>
    <w:rsid w:val="29114058"/>
    <w:rsid w:val="29361D11"/>
    <w:rsid w:val="29745A9F"/>
    <w:rsid w:val="29895F6F"/>
    <w:rsid w:val="298E5CC2"/>
    <w:rsid w:val="29995DFC"/>
    <w:rsid w:val="29AC6F9B"/>
    <w:rsid w:val="29B91807"/>
    <w:rsid w:val="29C97866"/>
    <w:rsid w:val="29E821D3"/>
    <w:rsid w:val="29F75268"/>
    <w:rsid w:val="2A4C474A"/>
    <w:rsid w:val="2A930A9D"/>
    <w:rsid w:val="2A967EB2"/>
    <w:rsid w:val="2AD417E1"/>
    <w:rsid w:val="2B065713"/>
    <w:rsid w:val="2B0D2CED"/>
    <w:rsid w:val="2B2871E7"/>
    <w:rsid w:val="2B614868"/>
    <w:rsid w:val="2B9057FA"/>
    <w:rsid w:val="2BA9299F"/>
    <w:rsid w:val="2BF832AE"/>
    <w:rsid w:val="2BFE65C2"/>
    <w:rsid w:val="2C02412C"/>
    <w:rsid w:val="2C1665B8"/>
    <w:rsid w:val="2C295297"/>
    <w:rsid w:val="2C493B09"/>
    <w:rsid w:val="2C674B6A"/>
    <w:rsid w:val="2C6E17C2"/>
    <w:rsid w:val="2D205D35"/>
    <w:rsid w:val="2D7F69DE"/>
    <w:rsid w:val="2DB16F26"/>
    <w:rsid w:val="2DB3388B"/>
    <w:rsid w:val="2DC0604D"/>
    <w:rsid w:val="2DCA6ECC"/>
    <w:rsid w:val="2E0A056F"/>
    <w:rsid w:val="2E556DB6"/>
    <w:rsid w:val="2E815E80"/>
    <w:rsid w:val="2E954277"/>
    <w:rsid w:val="2ED53A12"/>
    <w:rsid w:val="2EDF69A7"/>
    <w:rsid w:val="2F1A79DF"/>
    <w:rsid w:val="2F2A413F"/>
    <w:rsid w:val="2F363171"/>
    <w:rsid w:val="2F487431"/>
    <w:rsid w:val="30311375"/>
    <w:rsid w:val="30473F91"/>
    <w:rsid w:val="306058C5"/>
    <w:rsid w:val="30B023A9"/>
    <w:rsid w:val="30C714A1"/>
    <w:rsid w:val="311772A4"/>
    <w:rsid w:val="31186537"/>
    <w:rsid w:val="313E2C65"/>
    <w:rsid w:val="31B92B8B"/>
    <w:rsid w:val="31D16CA5"/>
    <w:rsid w:val="32326CFB"/>
    <w:rsid w:val="324D032D"/>
    <w:rsid w:val="3257574A"/>
    <w:rsid w:val="329E21EF"/>
    <w:rsid w:val="32D4660A"/>
    <w:rsid w:val="32FB3683"/>
    <w:rsid w:val="32FD564D"/>
    <w:rsid w:val="3328091C"/>
    <w:rsid w:val="338F3097"/>
    <w:rsid w:val="33A51F6D"/>
    <w:rsid w:val="33C06DA7"/>
    <w:rsid w:val="342509B8"/>
    <w:rsid w:val="34297F29"/>
    <w:rsid w:val="344A5876"/>
    <w:rsid w:val="348A4A9A"/>
    <w:rsid w:val="348E47AF"/>
    <w:rsid w:val="348F26B0"/>
    <w:rsid w:val="34AE6BFF"/>
    <w:rsid w:val="34CA3E45"/>
    <w:rsid w:val="34D34153"/>
    <w:rsid w:val="34EF0674"/>
    <w:rsid w:val="35133152"/>
    <w:rsid w:val="355E745E"/>
    <w:rsid w:val="359202CF"/>
    <w:rsid w:val="359758E5"/>
    <w:rsid w:val="359D5EEA"/>
    <w:rsid w:val="35BA1D81"/>
    <w:rsid w:val="35D02BA5"/>
    <w:rsid w:val="35D46B3A"/>
    <w:rsid w:val="35E71B70"/>
    <w:rsid w:val="35E8637E"/>
    <w:rsid w:val="35FC7E3E"/>
    <w:rsid w:val="361B0127"/>
    <w:rsid w:val="363C3B17"/>
    <w:rsid w:val="36474247"/>
    <w:rsid w:val="365612FD"/>
    <w:rsid w:val="3677309A"/>
    <w:rsid w:val="36AD2EE7"/>
    <w:rsid w:val="36F40B16"/>
    <w:rsid w:val="370C52DF"/>
    <w:rsid w:val="370C5E5F"/>
    <w:rsid w:val="374B6987"/>
    <w:rsid w:val="374D6BA3"/>
    <w:rsid w:val="375A306E"/>
    <w:rsid w:val="37AA6440"/>
    <w:rsid w:val="37AF0A14"/>
    <w:rsid w:val="37CE1367"/>
    <w:rsid w:val="37D746BF"/>
    <w:rsid w:val="37E528A4"/>
    <w:rsid w:val="38085F26"/>
    <w:rsid w:val="38426065"/>
    <w:rsid w:val="38C84008"/>
    <w:rsid w:val="38CA5FD2"/>
    <w:rsid w:val="38EB0F04"/>
    <w:rsid w:val="39411452"/>
    <w:rsid w:val="397B72CC"/>
    <w:rsid w:val="397C49C3"/>
    <w:rsid w:val="39AE629E"/>
    <w:rsid w:val="39B22FFA"/>
    <w:rsid w:val="39BA7DF4"/>
    <w:rsid w:val="39C15930"/>
    <w:rsid w:val="3A173499"/>
    <w:rsid w:val="3A30022F"/>
    <w:rsid w:val="3A371445"/>
    <w:rsid w:val="3A886145"/>
    <w:rsid w:val="3A8D72B7"/>
    <w:rsid w:val="3AB900AC"/>
    <w:rsid w:val="3AC52EF5"/>
    <w:rsid w:val="3AC91083"/>
    <w:rsid w:val="3AFF4090"/>
    <w:rsid w:val="3B007A89"/>
    <w:rsid w:val="3B027CA5"/>
    <w:rsid w:val="3B0A5A2B"/>
    <w:rsid w:val="3B2E2848"/>
    <w:rsid w:val="3B5D4EDB"/>
    <w:rsid w:val="3B81506E"/>
    <w:rsid w:val="3BA60D07"/>
    <w:rsid w:val="3BA6272A"/>
    <w:rsid w:val="3BB22833"/>
    <w:rsid w:val="3BC4775F"/>
    <w:rsid w:val="3BE27C97"/>
    <w:rsid w:val="3BE473AB"/>
    <w:rsid w:val="3C9A513B"/>
    <w:rsid w:val="3CCD2793"/>
    <w:rsid w:val="3CFA57E4"/>
    <w:rsid w:val="3D0221DE"/>
    <w:rsid w:val="3D1E60DF"/>
    <w:rsid w:val="3D7210E8"/>
    <w:rsid w:val="3D727D75"/>
    <w:rsid w:val="3DE2791A"/>
    <w:rsid w:val="3DF61949"/>
    <w:rsid w:val="3E053B4B"/>
    <w:rsid w:val="3E151A9D"/>
    <w:rsid w:val="3E375EB7"/>
    <w:rsid w:val="3E38205E"/>
    <w:rsid w:val="3E9E5F37"/>
    <w:rsid w:val="3EA47C68"/>
    <w:rsid w:val="3ED03C16"/>
    <w:rsid w:val="3EEB27FE"/>
    <w:rsid w:val="3EF25F54"/>
    <w:rsid w:val="3F285C7B"/>
    <w:rsid w:val="3F3423F7"/>
    <w:rsid w:val="3F8E1B07"/>
    <w:rsid w:val="3FC118EB"/>
    <w:rsid w:val="40161AFD"/>
    <w:rsid w:val="401D10DD"/>
    <w:rsid w:val="403326AF"/>
    <w:rsid w:val="408B6047"/>
    <w:rsid w:val="40AF442B"/>
    <w:rsid w:val="40CD72D3"/>
    <w:rsid w:val="40E165AE"/>
    <w:rsid w:val="411C75E7"/>
    <w:rsid w:val="41540B2E"/>
    <w:rsid w:val="415E333C"/>
    <w:rsid w:val="418F600A"/>
    <w:rsid w:val="419B5FD1"/>
    <w:rsid w:val="419E1DAA"/>
    <w:rsid w:val="41B76DCE"/>
    <w:rsid w:val="41C65AB2"/>
    <w:rsid w:val="420D5851"/>
    <w:rsid w:val="424B3CDF"/>
    <w:rsid w:val="426D19F0"/>
    <w:rsid w:val="42D31F27"/>
    <w:rsid w:val="42D33CD5"/>
    <w:rsid w:val="42FC5208"/>
    <w:rsid w:val="43341596"/>
    <w:rsid w:val="436F7EA2"/>
    <w:rsid w:val="43860D47"/>
    <w:rsid w:val="43ED0DC6"/>
    <w:rsid w:val="43FB4652"/>
    <w:rsid w:val="43FF1225"/>
    <w:rsid w:val="4410457F"/>
    <w:rsid w:val="44265D5C"/>
    <w:rsid w:val="445F4788"/>
    <w:rsid w:val="449633BF"/>
    <w:rsid w:val="44B32884"/>
    <w:rsid w:val="44D94857"/>
    <w:rsid w:val="44E73A68"/>
    <w:rsid w:val="44F34DD6"/>
    <w:rsid w:val="45223845"/>
    <w:rsid w:val="45290298"/>
    <w:rsid w:val="45A32BCF"/>
    <w:rsid w:val="45B51211"/>
    <w:rsid w:val="45BD6D52"/>
    <w:rsid w:val="45BF5F80"/>
    <w:rsid w:val="45E94130"/>
    <w:rsid w:val="45EF52CA"/>
    <w:rsid w:val="46127AFA"/>
    <w:rsid w:val="46276812"/>
    <w:rsid w:val="462A4554"/>
    <w:rsid w:val="46517D32"/>
    <w:rsid w:val="465377A4"/>
    <w:rsid w:val="46753001"/>
    <w:rsid w:val="46821C9A"/>
    <w:rsid w:val="46A068DA"/>
    <w:rsid w:val="46E51A75"/>
    <w:rsid w:val="46F84891"/>
    <w:rsid w:val="472C5EC6"/>
    <w:rsid w:val="473A07C7"/>
    <w:rsid w:val="47762C36"/>
    <w:rsid w:val="477C0DDF"/>
    <w:rsid w:val="480212E4"/>
    <w:rsid w:val="482B73A4"/>
    <w:rsid w:val="48C04CFB"/>
    <w:rsid w:val="48FF5824"/>
    <w:rsid w:val="49266FC3"/>
    <w:rsid w:val="492B03C7"/>
    <w:rsid w:val="493C6A78"/>
    <w:rsid w:val="49425710"/>
    <w:rsid w:val="494D38A5"/>
    <w:rsid w:val="498E5824"/>
    <w:rsid w:val="49DE053E"/>
    <w:rsid w:val="4A201EF6"/>
    <w:rsid w:val="4A49107C"/>
    <w:rsid w:val="4A625D30"/>
    <w:rsid w:val="4A741DDA"/>
    <w:rsid w:val="4A767D68"/>
    <w:rsid w:val="4B475260"/>
    <w:rsid w:val="4B4B65BB"/>
    <w:rsid w:val="4B4C2876"/>
    <w:rsid w:val="4B634F55"/>
    <w:rsid w:val="4B9E1324"/>
    <w:rsid w:val="4BBF201F"/>
    <w:rsid w:val="4BE17463"/>
    <w:rsid w:val="4CA26BF2"/>
    <w:rsid w:val="4CB726ED"/>
    <w:rsid w:val="4CEE1E37"/>
    <w:rsid w:val="4D145F92"/>
    <w:rsid w:val="4D1A2167"/>
    <w:rsid w:val="4D330192"/>
    <w:rsid w:val="4D461C73"/>
    <w:rsid w:val="4D906B4D"/>
    <w:rsid w:val="4DD42590"/>
    <w:rsid w:val="4E092CA1"/>
    <w:rsid w:val="4E111A5A"/>
    <w:rsid w:val="4E4156DB"/>
    <w:rsid w:val="4E93713A"/>
    <w:rsid w:val="4F1456D4"/>
    <w:rsid w:val="4F754A92"/>
    <w:rsid w:val="4F9905AE"/>
    <w:rsid w:val="4FC33F25"/>
    <w:rsid w:val="4FD001C7"/>
    <w:rsid w:val="4FFF6109"/>
    <w:rsid w:val="500B71A4"/>
    <w:rsid w:val="502E60F8"/>
    <w:rsid w:val="50334005"/>
    <w:rsid w:val="50572C95"/>
    <w:rsid w:val="505E4B9C"/>
    <w:rsid w:val="505F7511"/>
    <w:rsid w:val="50630A20"/>
    <w:rsid w:val="50A30487"/>
    <w:rsid w:val="50DD1804"/>
    <w:rsid w:val="51A52CE0"/>
    <w:rsid w:val="520D262F"/>
    <w:rsid w:val="52195EFA"/>
    <w:rsid w:val="529674E9"/>
    <w:rsid w:val="52B1378F"/>
    <w:rsid w:val="535D3873"/>
    <w:rsid w:val="53876B42"/>
    <w:rsid w:val="54153BAB"/>
    <w:rsid w:val="542F13EA"/>
    <w:rsid w:val="543E18F6"/>
    <w:rsid w:val="546B1FBF"/>
    <w:rsid w:val="54996B2C"/>
    <w:rsid w:val="54FA7CE1"/>
    <w:rsid w:val="550A7A2A"/>
    <w:rsid w:val="554A7E27"/>
    <w:rsid w:val="555E1B24"/>
    <w:rsid w:val="556A04C9"/>
    <w:rsid w:val="558F102F"/>
    <w:rsid w:val="559E5653"/>
    <w:rsid w:val="55AB3C2F"/>
    <w:rsid w:val="55EC35D4"/>
    <w:rsid w:val="560E52F8"/>
    <w:rsid w:val="561A4621"/>
    <w:rsid w:val="56383CF3"/>
    <w:rsid w:val="56455CD4"/>
    <w:rsid w:val="565C42B5"/>
    <w:rsid w:val="56870D7B"/>
    <w:rsid w:val="56AE76A6"/>
    <w:rsid w:val="56D4209E"/>
    <w:rsid w:val="56DB2C2D"/>
    <w:rsid w:val="56E4418B"/>
    <w:rsid w:val="57064221"/>
    <w:rsid w:val="5773022F"/>
    <w:rsid w:val="57770C7B"/>
    <w:rsid w:val="57DF277D"/>
    <w:rsid w:val="57E50495"/>
    <w:rsid w:val="580A1AEF"/>
    <w:rsid w:val="5873689A"/>
    <w:rsid w:val="58776655"/>
    <w:rsid w:val="58B74216"/>
    <w:rsid w:val="58C16652"/>
    <w:rsid w:val="590752B6"/>
    <w:rsid w:val="591F15CA"/>
    <w:rsid w:val="596D67DA"/>
    <w:rsid w:val="59760D08"/>
    <w:rsid w:val="599E6993"/>
    <w:rsid w:val="59A60DC8"/>
    <w:rsid w:val="59AC5554"/>
    <w:rsid w:val="5A1445ED"/>
    <w:rsid w:val="5A564466"/>
    <w:rsid w:val="5A902780"/>
    <w:rsid w:val="5A9F4737"/>
    <w:rsid w:val="5AAE2C06"/>
    <w:rsid w:val="5AE8436A"/>
    <w:rsid w:val="5AF80325"/>
    <w:rsid w:val="5B6339F0"/>
    <w:rsid w:val="5BF6561B"/>
    <w:rsid w:val="5BFA4C14"/>
    <w:rsid w:val="5C2A6C04"/>
    <w:rsid w:val="5C3543D2"/>
    <w:rsid w:val="5C406532"/>
    <w:rsid w:val="5C4E69BE"/>
    <w:rsid w:val="5CBD724D"/>
    <w:rsid w:val="5CE36031"/>
    <w:rsid w:val="5CFC5838"/>
    <w:rsid w:val="5DB26EB1"/>
    <w:rsid w:val="5DBA559D"/>
    <w:rsid w:val="5DD651EE"/>
    <w:rsid w:val="5DFE3EA4"/>
    <w:rsid w:val="5E465887"/>
    <w:rsid w:val="5E473A9D"/>
    <w:rsid w:val="5E804CC0"/>
    <w:rsid w:val="5E8425FB"/>
    <w:rsid w:val="5EE50BC0"/>
    <w:rsid w:val="5F181B76"/>
    <w:rsid w:val="5F463D55"/>
    <w:rsid w:val="5FD4389C"/>
    <w:rsid w:val="5FEC48FC"/>
    <w:rsid w:val="6013374F"/>
    <w:rsid w:val="60B116A2"/>
    <w:rsid w:val="60B42F40"/>
    <w:rsid w:val="60B7767B"/>
    <w:rsid w:val="60CC348A"/>
    <w:rsid w:val="61221DAA"/>
    <w:rsid w:val="61696F59"/>
    <w:rsid w:val="61A226C5"/>
    <w:rsid w:val="61D672CA"/>
    <w:rsid w:val="61E63AF5"/>
    <w:rsid w:val="623F0BA1"/>
    <w:rsid w:val="626A2DAC"/>
    <w:rsid w:val="62784498"/>
    <w:rsid w:val="62A86D6B"/>
    <w:rsid w:val="63293771"/>
    <w:rsid w:val="637C0DF3"/>
    <w:rsid w:val="637C7D45"/>
    <w:rsid w:val="639808F7"/>
    <w:rsid w:val="64565496"/>
    <w:rsid w:val="645F2960"/>
    <w:rsid w:val="64654C7D"/>
    <w:rsid w:val="646C7950"/>
    <w:rsid w:val="64847D61"/>
    <w:rsid w:val="64BD496D"/>
    <w:rsid w:val="64BE25DF"/>
    <w:rsid w:val="64C44758"/>
    <w:rsid w:val="64F93617"/>
    <w:rsid w:val="65246D5E"/>
    <w:rsid w:val="655D3BA6"/>
    <w:rsid w:val="65655387"/>
    <w:rsid w:val="659A6BA8"/>
    <w:rsid w:val="65A50F20"/>
    <w:rsid w:val="65EF58FA"/>
    <w:rsid w:val="65FE7BFD"/>
    <w:rsid w:val="66AF4C3B"/>
    <w:rsid w:val="66EC04A6"/>
    <w:rsid w:val="66EC6F90"/>
    <w:rsid w:val="66F2031E"/>
    <w:rsid w:val="67AA7E58"/>
    <w:rsid w:val="67AB0BF9"/>
    <w:rsid w:val="67E662B3"/>
    <w:rsid w:val="68077DF9"/>
    <w:rsid w:val="680F6F74"/>
    <w:rsid w:val="68382663"/>
    <w:rsid w:val="686314D3"/>
    <w:rsid w:val="687575E0"/>
    <w:rsid w:val="6888718C"/>
    <w:rsid w:val="68D978C9"/>
    <w:rsid w:val="68E5527F"/>
    <w:rsid w:val="69A578CA"/>
    <w:rsid w:val="6A7343B6"/>
    <w:rsid w:val="6A8D4730"/>
    <w:rsid w:val="6AB029CA"/>
    <w:rsid w:val="6AB40090"/>
    <w:rsid w:val="6ADE7537"/>
    <w:rsid w:val="6AE34B4E"/>
    <w:rsid w:val="6B1F6200"/>
    <w:rsid w:val="6B4A3375"/>
    <w:rsid w:val="6B825FC3"/>
    <w:rsid w:val="6B8359E9"/>
    <w:rsid w:val="6B9D0892"/>
    <w:rsid w:val="6C613F7C"/>
    <w:rsid w:val="6C631880"/>
    <w:rsid w:val="6C6D16B4"/>
    <w:rsid w:val="6C806253"/>
    <w:rsid w:val="6CB542C8"/>
    <w:rsid w:val="6CD74FCF"/>
    <w:rsid w:val="6CF748E0"/>
    <w:rsid w:val="6D15191A"/>
    <w:rsid w:val="6D52620C"/>
    <w:rsid w:val="6D750B80"/>
    <w:rsid w:val="6D7D3037"/>
    <w:rsid w:val="6D8E14DE"/>
    <w:rsid w:val="6D934609"/>
    <w:rsid w:val="6DAE50AD"/>
    <w:rsid w:val="6DD624F7"/>
    <w:rsid w:val="6DDA2238"/>
    <w:rsid w:val="6E0E1EE1"/>
    <w:rsid w:val="6E5A21EA"/>
    <w:rsid w:val="6EB8009F"/>
    <w:rsid w:val="6EC72090"/>
    <w:rsid w:val="6F0A3093"/>
    <w:rsid w:val="6F834B73"/>
    <w:rsid w:val="6F857F81"/>
    <w:rsid w:val="6F883155"/>
    <w:rsid w:val="6FBE4B88"/>
    <w:rsid w:val="6FC6124D"/>
    <w:rsid w:val="6FC62348"/>
    <w:rsid w:val="6FE10E18"/>
    <w:rsid w:val="6FEC14A9"/>
    <w:rsid w:val="6FEC6252"/>
    <w:rsid w:val="702E23C7"/>
    <w:rsid w:val="70470530"/>
    <w:rsid w:val="70A15EF2"/>
    <w:rsid w:val="70C96037"/>
    <w:rsid w:val="70CB230C"/>
    <w:rsid w:val="71B752F6"/>
    <w:rsid w:val="721E46BD"/>
    <w:rsid w:val="72271FEC"/>
    <w:rsid w:val="722E41C4"/>
    <w:rsid w:val="72655E48"/>
    <w:rsid w:val="72824C4C"/>
    <w:rsid w:val="728A3B01"/>
    <w:rsid w:val="72B51923"/>
    <w:rsid w:val="72D93738"/>
    <w:rsid w:val="73434202"/>
    <w:rsid w:val="734819F2"/>
    <w:rsid w:val="7357146D"/>
    <w:rsid w:val="735B7378"/>
    <w:rsid w:val="736D122E"/>
    <w:rsid w:val="737A608E"/>
    <w:rsid w:val="73A806E2"/>
    <w:rsid w:val="73BC418E"/>
    <w:rsid w:val="741D2E7E"/>
    <w:rsid w:val="74A16CBA"/>
    <w:rsid w:val="74CB28DA"/>
    <w:rsid w:val="74D53759"/>
    <w:rsid w:val="74F33BDF"/>
    <w:rsid w:val="750556C0"/>
    <w:rsid w:val="752B5D11"/>
    <w:rsid w:val="752C70F1"/>
    <w:rsid w:val="75387844"/>
    <w:rsid w:val="753903C8"/>
    <w:rsid w:val="75B374B6"/>
    <w:rsid w:val="75C130FF"/>
    <w:rsid w:val="75CC2E8E"/>
    <w:rsid w:val="75DC4AB5"/>
    <w:rsid w:val="75EF406B"/>
    <w:rsid w:val="761959FA"/>
    <w:rsid w:val="76391AC6"/>
    <w:rsid w:val="765B7C8E"/>
    <w:rsid w:val="76707B96"/>
    <w:rsid w:val="76726D86"/>
    <w:rsid w:val="768D36C7"/>
    <w:rsid w:val="76C3504D"/>
    <w:rsid w:val="76F4649B"/>
    <w:rsid w:val="770422FE"/>
    <w:rsid w:val="7746449A"/>
    <w:rsid w:val="775546DD"/>
    <w:rsid w:val="778C3E77"/>
    <w:rsid w:val="7796215A"/>
    <w:rsid w:val="77E31CE9"/>
    <w:rsid w:val="78376C25"/>
    <w:rsid w:val="784F55E9"/>
    <w:rsid w:val="785B7ACE"/>
    <w:rsid w:val="78746DE5"/>
    <w:rsid w:val="789932F4"/>
    <w:rsid w:val="78A72AF0"/>
    <w:rsid w:val="78A8319C"/>
    <w:rsid w:val="790F6B0E"/>
    <w:rsid w:val="79134850"/>
    <w:rsid w:val="79200163"/>
    <w:rsid w:val="79261AEA"/>
    <w:rsid w:val="7956473D"/>
    <w:rsid w:val="798661F3"/>
    <w:rsid w:val="799314ED"/>
    <w:rsid w:val="79A72650"/>
    <w:rsid w:val="79DC4F1F"/>
    <w:rsid w:val="79EE2C15"/>
    <w:rsid w:val="7A6C7707"/>
    <w:rsid w:val="7A7206F1"/>
    <w:rsid w:val="7AA46F38"/>
    <w:rsid w:val="7B467F1D"/>
    <w:rsid w:val="7BA7772C"/>
    <w:rsid w:val="7C0924C9"/>
    <w:rsid w:val="7C507B69"/>
    <w:rsid w:val="7C711A95"/>
    <w:rsid w:val="7C8D4919"/>
    <w:rsid w:val="7CA90BC0"/>
    <w:rsid w:val="7CBA4FE2"/>
    <w:rsid w:val="7CD24A22"/>
    <w:rsid w:val="7D121F1E"/>
    <w:rsid w:val="7D2F777E"/>
    <w:rsid w:val="7D5660EF"/>
    <w:rsid w:val="7D574D28"/>
    <w:rsid w:val="7D5F0561"/>
    <w:rsid w:val="7D60202E"/>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3"/>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4">
    <w:name w:val="heading 2"/>
    <w:basedOn w:val="5"/>
    <w:next w:val="6"/>
    <w:link w:val="36"/>
    <w:semiHidden/>
    <w:unhideWhenUsed/>
    <w:qFormat/>
    <w:uiPriority w:val="9"/>
    <w:pPr>
      <w:spacing w:line="416" w:lineRule="auto"/>
      <w:outlineLvl w:val="1"/>
    </w:pPr>
    <w:rPr>
      <w:rFonts w:asciiTheme="majorHAnsi" w:hAnsiTheme="majorHAnsi" w:eastAsiaTheme="majorEastAsia" w:cstheme="majorBidi"/>
      <w:sz w:val="32"/>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b/>
      <w:bCs/>
      <w:sz w:val="24"/>
    </w:rPr>
  </w:style>
  <w:style w:type="paragraph" w:styleId="7">
    <w:name w:val="Normal Indent"/>
    <w:basedOn w:val="1"/>
    <w:qFormat/>
    <w:uiPriority w:val="0"/>
    <w:pPr>
      <w:ind w:firstLine="420"/>
    </w:pPr>
    <w:rPr>
      <w:szCs w:val="20"/>
    </w:rPr>
  </w:style>
  <w:style w:type="paragraph" w:styleId="8">
    <w:name w:val="Document Map"/>
    <w:basedOn w:val="1"/>
    <w:link w:val="35"/>
    <w:semiHidden/>
    <w:unhideWhenUsed/>
    <w:qFormat/>
    <w:uiPriority w:val="99"/>
    <w:rPr>
      <w:rFonts w:ascii="宋体" w:eastAsia="宋体"/>
      <w:sz w:val="18"/>
      <w:szCs w:val="18"/>
    </w:rPr>
  </w:style>
  <w:style w:type="paragraph" w:styleId="9">
    <w:name w:val="annotation text"/>
    <w:basedOn w:val="1"/>
    <w:link w:val="37"/>
    <w:unhideWhenUsed/>
    <w:qFormat/>
    <w:uiPriority w:val="99"/>
    <w:pPr>
      <w:jc w:val="left"/>
    </w:pPr>
  </w:style>
  <w:style w:type="paragraph" w:styleId="10">
    <w:name w:val="Balloon Text"/>
    <w:basedOn w:val="1"/>
    <w:link w:val="31"/>
    <w:semiHidden/>
    <w:unhideWhenUsed/>
    <w:qFormat/>
    <w:uiPriority w:val="99"/>
    <w:rPr>
      <w:sz w:val="18"/>
      <w:szCs w:val="18"/>
    </w:rPr>
  </w:style>
  <w:style w:type="paragraph" w:styleId="11">
    <w:name w:val="footer"/>
    <w:basedOn w:val="1"/>
    <w:link w:val="30"/>
    <w:unhideWhenUsed/>
    <w:qFormat/>
    <w:uiPriority w:val="99"/>
    <w:pPr>
      <w:tabs>
        <w:tab w:val="center" w:pos="4153"/>
        <w:tab w:val="right" w:pos="8306"/>
      </w:tabs>
      <w:snapToGrid w:val="0"/>
      <w:jc w:val="left"/>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spacing w:line="360" w:lineRule="auto"/>
    </w:pPr>
    <w:rPr>
      <w:sz w:val="24"/>
    </w:rPr>
  </w:style>
  <w:style w:type="paragraph" w:styleId="14">
    <w:name w:val="Normal (Web)"/>
    <w:basedOn w:val="1"/>
    <w:link w:val="32"/>
    <w:qFormat/>
    <w:uiPriority w:val="99"/>
    <w:pPr>
      <w:widowControl/>
      <w:spacing w:before="100" w:beforeAutospacing="1" w:afterAutospacing="1"/>
      <w:jc w:val="left"/>
    </w:pPr>
    <w:rPr>
      <w:rFonts w:ascii="宋体" w:hAnsi="宋体"/>
      <w:sz w:val="24"/>
      <w:szCs w:val="24"/>
    </w:rPr>
  </w:style>
  <w:style w:type="paragraph" w:styleId="15">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6">
    <w:name w:val="annotation subject"/>
    <w:basedOn w:val="9"/>
    <w:next w:val="9"/>
    <w:link w:val="39"/>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paragraph" w:customStyle="1" w:styleId="25">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26">
    <w:name w:val="表格文字"/>
    <w:basedOn w:val="1"/>
    <w:next w:val="2"/>
    <w:qFormat/>
    <w:uiPriority w:val="0"/>
    <w:pPr>
      <w:spacing w:before="25" w:after="25"/>
      <w:jc w:val="left"/>
    </w:pPr>
    <w:rPr>
      <w:bCs/>
      <w:spacing w:val="10"/>
      <w:kern w:val="0"/>
      <w:sz w:val="24"/>
    </w:rPr>
  </w:style>
  <w:style w:type="paragraph" w:customStyle="1" w:styleId="27">
    <w:name w:val="正文内容格式"/>
    <w:basedOn w:val="1"/>
    <w:qFormat/>
    <w:uiPriority w:val="0"/>
    <w:pPr>
      <w:widowControl/>
      <w:ind w:firstLine="482"/>
      <w:textAlignment w:val="baseline"/>
    </w:pPr>
    <w:rPr>
      <w:rFonts w:eastAsia="仿宋_GB2312"/>
      <w:kern w:val="0"/>
      <w:sz w:val="28"/>
    </w:rPr>
  </w:style>
  <w:style w:type="paragraph" w:styleId="28">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character" w:customStyle="1" w:styleId="29">
    <w:name w:val="页眉 字符"/>
    <w:basedOn w:val="19"/>
    <w:link w:val="12"/>
    <w:qFormat/>
    <w:uiPriority w:val="99"/>
    <w:rPr>
      <w:sz w:val="18"/>
      <w:szCs w:val="18"/>
    </w:rPr>
  </w:style>
  <w:style w:type="character" w:customStyle="1" w:styleId="30">
    <w:name w:val="页脚 字符"/>
    <w:basedOn w:val="19"/>
    <w:link w:val="11"/>
    <w:qFormat/>
    <w:uiPriority w:val="99"/>
    <w:rPr>
      <w:sz w:val="18"/>
      <w:szCs w:val="18"/>
    </w:rPr>
  </w:style>
  <w:style w:type="character" w:customStyle="1" w:styleId="31">
    <w:name w:val="批注框文本 字符"/>
    <w:basedOn w:val="19"/>
    <w:link w:val="10"/>
    <w:semiHidden/>
    <w:qFormat/>
    <w:uiPriority w:val="99"/>
    <w:rPr>
      <w:sz w:val="18"/>
      <w:szCs w:val="18"/>
    </w:rPr>
  </w:style>
  <w:style w:type="character" w:customStyle="1" w:styleId="32">
    <w:name w:val="普通(网站) 字符"/>
    <w:link w:val="14"/>
    <w:qFormat/>
    <w:uiPriority w:val="99"/>
    <w:rPr>
      <w:rFonts w:ascii="宋体" w:hAnsi="宋体"/>
      <w:sz w:val="24"/>
      <w:szCs w:val="24"/>
    </w:rPr>
  </w:style>
  <w:style w:type="character" w:customStyle="1" w:styleId="33">
    <w:name w:val="标题 1 字符"/>
    <w:basedOn w:val="19"/>
    <w:link w:val="3"/>
    <w:qFormat/>
    <w:uiPriority w:val="0"/>
    <w:rPr>
      <w:rFonts w:ascii="Arial" w:hAnsi="Arial" w:eastAsia="宋体" w:cs="Times New Roman"/>
      <w:b/>
      <w:bCs/>
      <w:kern w:val="44"/>
      <w:sz w:val="44"/>
      <w:szCs w:val="44"/>
    </w:rPr>
  </w:style>
  <w:style w:type="paragraph" w:styleId="34">
    <w:name w:val="List Paragraph"/>
    <w:basedOn w:val="1"/>
    <w:qFormat/>
    <w:uiPriority w:val="34"/>
    <w:pPr>
      <w:ind w:firstLine="420" w:firstLineChars="200"/>
    </w:pPr>
  </w:style>
  <w:style w:type="character" w:customStyle="1" w:styleId="35">
    <w:name w:val="文档结构图 字符"/>
    <w:basedOn w:val="19"/>
    <w:link w:val="8"/>
    <w:semiHidden/>
    <w:qFormat/>
    <w:uiPriority w:val="99"/>
    <w:rPr>
      <w:rFonts w:ascii="宋体" w:eastAsia="宋体"/>
      <w:sz w:val="18"/>
      <w:szCs w:val="18"/>
    </w:rPr>
  </w:style>
  <w:style w:type="character" w:customStyle="1" w:styleId="36">
    <w:name w:val="标题 2 字符"/>
    <w:basedOn w:val="19"/>
    <w:link w:val="4"/>
    <w:semiHidden/>
    <w:qFormat/>
    <w:uiPriority w:val="9"/>
    <w:rPr>
      <w:rFonts w:asciiTheme="majorHAnsi" w:hAnsiTheme="majorHAnsi" w:eastAsiaTheme="majorEastAsia" w:cstheme="majorBidi"/>
      <w:b/>
      <w:bCs/>
      <w:sz w:val="32"/>
      <w:szCs w:val="32"/>
    </w:rPr>
  </w:style>
  <w:style w:type="character" w:customStyle="1" w:styleId="37">
    <w:name w:val="批注文字 字符"/>
    <w:basedOn w:val="19"/>
    <w:link w:val="9"/>
    <w:qFormat/>
    <w:uiPriority w:val="99"/>
  </w:style>
  <w:style w:type="character" w:customStyle="1" w:styleId="38">
    <w:name w:val="标题 3 Char"/>
    <w:qFormat/>
    <w:uiPriority w:val="0"/>
    <w:rPr>
      <w:rFonts w:ascii="黑体" w:eastAsia="黑体"/>
      <w:bCs/>
      <w:sz w:val="30"/>
    </w:rPr>
  </w:style>
  <w:style w:type="character" w:customStyle="1" w:styleId="39">
    <w:name w:val="批注主题 字符"/>
    <w:basedOn w:val="37"/>
    <w:link w:val="16"/>
    <w:semiHidden/>
    <w:qFormat/>
    <w:uiPriority w:val="99"/>
    <w:rPr>
      <w:b/>
      <w:bCs/>
    </w:rPr>
  </w:style>
  <w:style w:type="table" w:customStyle="1" w:styleId="40">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2">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5">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6">
    <w:name w:val="font21"/>
    <w:basedOn w:val="19"/>
    <w:qFormat/>
    <w:uiPriority w:val="0"/>
    <w:rPr>
      <w:rFonts w:hint="eastAsia" w:ascii="宋体" w:hAnsi="宋体" w:eastAsia="宋体" w:cs="宋体"/>
      <w:color w:val="000000"/>
      <w:sz w:val="22"/>
      <w:szCs w:val="22"/>
      <w:u w:val="none"/>
    </w:rPr>
  </w:style>
  <w:style w:type="character" w:customStyle="1" w:styleId="47">
    <w:name w:val="font31"/>
    <w:basedOn w:val="19"/>
    <w:qFormat/>
    <w:uiPriority w:val="0"/>
    <w:rPr>
      <w:rFonts w:hint="eastAsia" w:ascii="宋体" w:hAnsi="宋体" w:eastAsia="宋体" w:cs="宋体"/>
      <w:color w:val="000000"/>
      <w:sz w:val="22"/>
      <w:szCs w:val="22"/>
      <w:u w:val="none"/>
    </w:rPr>
  </w:style>
  <w:style w:type="character" w:customStyle="1" w:styleId="48">
    <w:name w:val="font51"/>
    <w:basedOn w:val="19"/>
    <w:qFormat/>
    <w:uiPriority w:val="0"/>
    <w:rPr>
      <w:rFonts w:hint="eastAsia" w:ascii="宋体" w:hAnsi="宋体" w:eastAsia="宋体" w:cs="宋体"/>
      <w:color w:val="000000"/>
      <w:sz w:val="21"/>
      <w:szCs w:val="21"/>
      <w:u w:val="none"/>
    </w:rPr>
  </w:style>
  <w:style w:type="character" w:customStyle="1" w:styleId="49">
    <w:name w:val="font61"/>
    <w:basedOn w:val="19"/>
    <w:qFormat/>
    <w:uiPriority w:val="0"/>
    <w:rPr>
      <w:rFonts w:hint="default" w:ascii="Times New Roman" w:hAnsi="Times New Roman" w:cs="Times New Roman"/>
      <w:color w:val="000000"/>
      <w:sz w:val="21"/>
      <w:szCs w:val="21"/>
      <w:u w:val="none"/>
    </w:rPr>
  </w:style>
  <w:style w:type="paragraph" w:customStyle="1" w:styleId="50">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1">
    <w:name w:val="font41"/>
    <w:qFormat/>
    <w:uiPriority w:val="0"/>
    <w:rPr>
      <w:rFonts w:hint="eastAsia" w:ascii="宋体" w:hAnsi="宋体" w:eastAsia="宋体"/>
      <w:color w:val="000000"/>
      <w:kern w:val="2"/>
      <w:sz w:val="18"/>
      <w:u w:val="none"/>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3">
    <w:name w:val="font101"/>
    <w:basedOn w:val="19"/>
    <w:qFormat/>
    <w:uiPriority w:val="0"/>
    <w:rPr>
      <w:rFonts w:hint="default" w:ascii="Times New Roman" w:hAnsi="Times New Roman" w:cs="Times New Roman"/>
      <w:color w:val="FF0000"/>
      <w:sz w:val="21"/>
      <w:szCs w:val="21"/>
      <w:u w:val="single"/>
    </w:rPr>
  </w:style>
  <w:style w:type="character" w:customStyle="1" w:styleId="54">
    <w:name w:val="font111"/>
    <w:basedOn w:val="19"/>
    <w:qFormat/>
    <w:uiPriority w:val="0"/>
    <w:rPr>
      <w:rFonts w:hint="eastAsia" w:ascii="宋体" w:hAnsi="宋体" w:eastAsia="宋体" w:cs="宋体"/>
      <w:color w:val="FF0000"/>
      <w:sz w:val="21"/>
      <w:szCs w:val="21"/>
      <w:u w:val="none"/>
    </w:rPr>
  </w:style>
  <w:style w:type="character" w:customStyle="1" w:styleId="55">
    <w:name w:val="font121"/>
    <w:basedOn w:val="19"/>
    <w:qFormat/>
    <w:uiPriority w:val="0"/>
    <w:rPr>
      <w:rFonts w:hint="eastAsia" w:ascii="宋体" w:hAnsi="宋体" w:eastAsia="宋体" w:cs="宋体"/>
      <w:color w:val="000000"/>
      <w:sz w:val="20"/>
      <w:szCs w:val="20"/>
      <w:u w:val="single"/>
    </w:rPr>
  </w:style>
  <w:style w:type="character" w:customStyle="1" w:styleId="56">
    <w:name w:val="font131"/>
    <w:basedOn w:val="19"/>
    <w:qFormat/>
    <w:uiPriority w:val="0"/>
    <w:rPr>
      <w:rFonts w:hint="default" w:ascii="Times New Roman" w:hAnsi="Times New Roman" w:cs="Times New Roman"/>
      <w:b/>
      <w:bCs/>
      <w:color w:val="000000"/>
      <w:sz w:val="24"/>
      <w:szCs w:val="24"/>
      <w:u w:val="none"/>
    </w:rPr>
  </w:style>
  <w:style w:type="character" w:customStyle="1" w:styleId="57">
    <w:name w:val="font81"/>
    <w:basedOn w:val="19"/>
    <w:qFormat/>
    <w:uiPriority w:val="0"/>
    <w:rPr>
      <w:rFonts w:hint="eastAsia" w:ascii="宋体" w:hAnsi="宋体" w:eastAsia="宋体" w:cs="宋体"/>
      <w:b/>
      <w:bCs/>
      <w:color w:val="000000"/>
      <w:sz w:val="24"/>
      <w:szCs w:val="24"/>
      <w:u w:val="none"/>
    </w:rPr>
  </w:style>
  <w:style w:type="character" w:customStyle="1" w:styleId="58">
    <w:name w:val="font141"/>
    <w:basedOn w:val="19"/>
    <w:qFormat/>
    <w:uiPriority w:val="0"/>
    <w:rPr>
      <w:rFonts w:hint="eastAsia" w:ascii="宋体" w:hAnsi="宋体" w:eastAsia="宋体" w:cs="宋体"/>
      <w:b/>
      <w:bCs/>
      <w:color w:val="FF0000"/>
      <w:sz w:val="24"/>
      <w:szCs w:val="24"/>
      <w:u w:val="none"/>
    </w:rPr>
  </w:style>
  <w:style w:type="character" w:customStyle="1" w:styleId="59">
    <w:name w:val="font11"/>
    <w:basedOn w:val="19"/>
    <w:qFormat/>
    <w:uiPriority w:val="0"/>
    <w:rPr>
      <w:rFonts w:hint="eastAsia" w:ascii="宋体" w:hAnsi="宋体" w:eastAsia="宋体" w:cs="宋体"/>
      <w:color w:val="000000"/>
      <w:sz w:val="20"/>
      <w:szCs w:val="20"/>
      <w:u w:val="none"/>
    </w:rPr>
  </w:style>
  <w:style w:type="character" w:customStyle="1" w:styleId="60">
    <w:name w:val="font71"/>
    <w:qFormat/>
    <w:uiPriority w:val="0"/>
    <w:rPr>
      <w:rFonts w:ascii="Arial" w:hAnsi="Arial" w:cs="Arial"/>
      <w:color w:val="000000"/>
      <w:sz w:val="22"/>
      <w:szCs w:val="22"/>
      <w:u w:val="none"/>
    </w:rPr>
  </w:style>
  <w:style w:type="character" w:customStyle="1" w:styleId="61">
    <w:name w:val="font91"/>
    <w:qFormat/>
    <w:uiPriority w:val="0"/>
    <w:rPr>
      <w:rFonts w:ascii="瀹嬩綋" w:hAnsi="瀹嬩綋" w:eastAsia="瀹嬩綋" w:cs="瀹嬩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75</Pages>
  <Words>4549</Words>
  <Characters>4624</Characters>
  <Lines>470</Lines>
  <Paragraphs>132</Paragraphs>
  <TotalTime>1</TotalTime>
  <ScaleCrop>false</ScaleCrop>
  <LinksUpToDate>false</LinksUpToDate>
  <CharactersWithSpaces>4645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2024-07-18T08:53:00Z</dcterms:created>
  <dc:creator>win7-1</dc:creator>
  <cp:lastModifiedBy>DELL</cp:lastModifiedBy>
  <cp:lastPrinted>2021-01-15T01:17:00Z</cp:lastPrinted>
  <dcterms:modified xsi:type="dcterms:W3CDTF">2025-11-27T06:28:19Z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48530BFC63C2428E8D09D3B3A4591911_13</vt:lpwstr>
  </property>
  <property fmtid="{D5CDD505-2E9C-101B-9397-08002B2CF9AE}" pid="4" name="KSOTemplateDocerSaveRecord">
    <vt:lpwstr>eyJoZGlkIjoiNDk1MDliMDI4YjA5NGMxNjY4MzMwZmFjNDBmNWI3ZjciLCJ1c2VySWQiOiIzNTQ3OTgyMDQifQ==</vt:lpwstr>
  </property>
</Properties>
</file>