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E7A10">
      <w:pPr>
        <w:ind w:firstLine="3654" w:firstLineChars="1300"/>
        <w:rPr>
          <w:rFonts w:ascii="宋体" w:hAnsi="宋体"/>
          <w:color w:val="FF0000"/>
          <w:szCs w:val="21"/>
        </w:rPr>
      </w:pPr>
      <w:bookmarkStart w:id="0" w:name="_Hlk71456902"/>
      <w:r>
        <w:rPr>
          <w:rFonts w:hint="eastAsia" w:ascii="宋体" w:hAnsi="宋体" w:eastAsia="黑体"/>
          <w:b/>
          <w:bCs/>
          <w:color w:val="FF0000"/>
          <w:kern w:val="44"/>
          <w:sz w:val="28"/>
          <w:szCs w:val="44"/>
        </w:rPr>
        <w:t>特别警示条款</w:t>
      </w:r>
    </w:p>
    <w:p w14:paraId="4A3AD1E5">
      <w:pPr>
        <w:spacing w:after="240" w:afterLines="100" w:line="400" w:lineRule="exact"/>
        <w:ind w:firstLine="422" w:firstLineChars="200"/>
        <w:rPr>
          <w:rFonts w:ascii="宋体" w:hAnsi="宋体" w:cs="宋体"/>
          <w:b/>
          <w:bCs/>
          <w:color w:val="FF0000"/>
          <w:szCs w:val="21"/>
          <w:highlight w:val="yellow"/>
        </w:rPr>
      </w:pPr>
      <w:r>
        <w:rPr>
          <w:rFonts w:hint="eastAsia" w:ascii="宋体" w:hAnsi="宋体" w:cs="宋体"/>
          <w:b/>
          <w:bCs/>
          <w:color w:val="FF0000"/>
          <w:szCs w:val="21"/>
          <w:highlight w:val="yellow"/>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7711"/>
      </w:tblGrid>
      <w:tr w14:paraId="204E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14:paraId="232EC89A">
            <w:pPr>
              <w:spacing w:line="400" w:lineRule="exact"/>
              <w:jc w:val="center"/>
              <w:rPr>
                <w:rFonts w:ascii="宋体" w:hAnsi="宋体" w:cs="宋体"/>
                <w:color w:val="FF0000"/>
                <w:szCs w:val="21"/>
              </w:rPr>
            </w:pPr>
            <w:r>
              <w:rPr>
                <w:rFonts w:hint="eastAsia" w:ascii="宋体" w:hAnsi="宋体" w:cs="宋体"/>
                <w:color w:val="FF0000"/>
                <w:szCs w:val="21"/>
              </w:rPr>
              <w:t>序号</w:t>
            </w:r>
          </w:p>
        </w:tc>
        <w:tc>
          <w:tcPr>
            <w:tcW w:w="7711" w:type="dxa"/>
            <w:tcBorders>
              <w:tl2br w:val="nil"/>
              <w:tr2bl w:val="nil"/>
            </w:tcBorders>
            <w:vAlign w:val="center"/>
          </w:tcPr>
          <w:p w14:paraId="55BC4492">
            <w:pPr>
              <w:spacing w:line="400" w:lineRule="exact"/>
              <w:jc w:val="center"/>
              <w:rPr>
                <w:rFonts w:ascii="宋体" w:hAnsi="宋体" w:cs="宋体"/>
                <w:color w:val="FF0000"/>
                <w:szCs w:val="21"/>
              </w:rPr>
            </w:pPr>
            <w:r>
              <w:rPr>
                <w:rFonts w:hint="eastAsia" w:ascii="宋体" w:hAnsi="宋体" w:cs="宋体"/>
                <w:b/>
                <w:bCs/>
                <w:color w:val="FF0000"/>
                <w:szCs w:val="21"/>
              </w:rPr>
              <w:t>供应商参与投标禁止情形</w:t>
            </w:r>
          </w:p>
        </w:tc>
      </w:tr>
      <w:tr w14:paraId="700F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27E6A7F5">
            <w:pPr>
              <w:spacing w:line="400" w:lineRule="exact"/>
              <w:jc w:val="center"/>
              <w:rPr>
                <w:rFonts w:ascii="宋体" w:hAnsi="宋体" w:cs="宋体"/>
                <w:color w:val="FF0000"/>
                <w:szCs w:val="21"/>
              </w:rPr>
            </w:pPr>
            <w:r>
              <w:rPr>
                <w:rFonts w:hint="eastAsia" w:ascii="宋体" w:hAnsi="宋体" w:cs="宋体"/>
                <w:color w:val="FF0000"/>
                <w:szCs w:val="21"/>
              </w:rPr>
              <w:t>1</w:t>
            </w:r>
          </w:p>
        </w:tc>
        <w:tc>
          <w:tcPr>
            <w:tcW w:w="7711" w:type="dxa"/>
            <w:tcBorders>
              <w:tl2br w:val="nil"/>
              <w:tr2bl w:val="nil"/>
            </w:tcBorders>
            <w:vAlign w:val="center"/>
          </w:tcPr>
          <w:p w14:paraId="5EA1CB4E">
            <w:pPr>
              <w:spacing w:line="400" w:lineRule="exact"/>
              <w:jc w:val="left"/>
              <w:rPr>
                <w:rFonts w:ascii="宋体" w:hAnsi="宋体" w:cs="宋体"/>
                <w:color w:val="FF0000"/>
                <w:szCs w:val="21"/>
              </w:rPr>
            </w:pPr>
            <w:r>
              <w:rPr>
                <w:rFonts w:hint="eastAsia" w:ascii="宋体" w:hAnsi="宋体" w:cs="宋体"/>
                <w:color w:val="FF0000"/>
                <w:szCs w:val="21"/>
              </w:rPr>
              <w:t>与其他投标供应商的法定代表人、主要经营负责人、投标授权代表人、项目负责人、主要技术人员为</w:t>
            </w:r>
            <w:r>
              <w:rPr>
                <w:rFonts w:hint="eastAsia" w:ascii="宋体" w:hAnsi="宋体" w:cs="宋体"/>
                <w:b/>
                <w:bCs/>
                <w:color w:val="FF0000"/>
                <w:szCs w:val="21"/>
              </w:rPr>
              <w:t>同一人、属同一单位或者在同一单位缴纳社会保险</w:t>
            </w:r>
            <w:r>
              <w:rPr>
                <w:rFonts w:hint="eastAsia" w:ascii="宋体" w:hAnsi="宋体" w:cs="宋体"/>
                <w:color w:val="FF0000"/>
                <w:szCs w:val="21"/>
              </w:rPr>
              <w:t>。</w:t>
            </w:r>
          </w:p>
        </w:tc>
      </w:tr>
      <w:tr w14:paraId="2468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14:paraId="3D4E5062">
            <w:pPr>
              <w:spacing w:line="400" w:lineRule="exact"/>
              <w:jc w:val="center"/>
              <w:rPr>
                <w:rFonts w:ascii="宋体" w:hAnsi="宋体" w:cs="宋体"/>
                <w:color w:val="FF0000"/>
                <w:szCs w:val="21"/>
              </w:rPr>
            </w:pPr>
            <w:r>
              <w:rPr>
                <w:rFonts w:hint="eastAsia" w:ascii="宋体" w:hAnsi="宋体" w:cs="宋体"/>
                <w:color w:val="FF0000"/>
                <w:szCs w:val="21"/>
              </w:rPr>
              <w:t>2</w:t>
            </w:r>
          </w:p>
        </w:tc>
        <w:tc>
          <w:tcPr>
            <w:tcW w:w="7711" w:type="dxa"/>
            <w:tcBorders>
              <w:tl2br w:val="nil"/>
              <w:tr2bl w:val="nil"/>
            </w:tcBorders>
            <w:vAlign w:val="center"/>
          </w:tcPr>
          <w:p w14:paraId="4401F518">
            <w:pPr>
              <w:spacing w:line="400" w:lineRule="exact"/>
              <w:jc w:val="left"/>
              <w:rPr>
                <w:rFonts w:ascii="宋体" w:hAnsi="宋体" w:cs="宋体"/>
                <w:color w:val="FF0000"/>
                <w:szCs w:val="21"/>
              </w:rPr>
            </w:pPr>
            <w:r>
              <w:rPr>
                <w:rFonts w:hint="eastAsia" w:ascii="宋体" w:hAnsi="宋体" w:cs="宋体"/>
                <w:color w:val="FF0000"/>
                <w:szCs w:val="21"/>
              </w:rPr>
              <w:t>参与本项目政府采购活动时，与其他投标供应商存在单位负责人为</w:t>
            </w:r>
            <w:r>
              <w:rPr>
                <w:rFonts w:hint="eastAsia" w:ascii="宋体" w:hAnsi="宋体" w:cs="宋体"/>
                <w:b/>
                <w:bCs/>
                <w:color w:val="FF0000"/>
                <w:szCs w:val="21"/>
              </w:rPr>
              <w:t>同一人或直接控股、管理关系</w:t>
            </w:r>
            <w:r>
              <w:rPr>
                <w:rFonts w:hint="eastAsia" w:ascii="宋体" w:hAnsi="宋体" w:cs="宋体"/>
                <w:color w:val="FF0000"/>
                <w:szCs w:val="21"/>
              </w:rPr>
              <w:t>。</w:t>
            </w:r>
          </w:p>
        </w:tc>
      </w:tr>
      <w:tr w14:paraId="26CE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35BBC9D8">
            <w:pPr>
              <w:spacing w:line="400" w:lineRule="exact"/>
              <w:jc w:val="center"/>
              <w:rPr>
                <w:rFonts w:ascii="宋体" w:hAnsi="宋体" w:cs="宋体"/>
                <w:color w:val="FF0000"/>
                <w:szCs w:val="21"/>
              </w:rPr>
            </w:pPr>
            <w:r>
              <w:rPr>
                <w:rFonts w:hint="eastAsia" w:ascii="宋体" w:hAnsi="宋体" w:cs="宋体"/>
                <w:color w:val="FF0000"/>
                <w:szCs w:val="21"/>
              </w:rPr>
              <w:t>3</w:t>
            </w:r>
          </w:p>
        </w:tc>
        <w:tc>
          <w:tcPr>
            <w:tcW w:w="7711" w:type="dxa"/>
            <w:tcBorders>
              <w:tl2br w:val="nil"/>
              <w:tr2bl w:val="nil"/>
            </w:tcBorders>
            <w:vAlign w:val="center"/>
          </w:tcPr>
          <w:p w14:paraId="2242F90B">
            <w:pPr>
              <w:spacing w:line="400" w:lineRule="exact"/>
              <w:jc w:val="left"/>
              <w:rPr>
                <w:rFonts w:ascii="宋体" w:hAnsi="宋体" w:cs="宋体"/>
                <w:color w:val="FF0000"/>
                <w:szCs w:val="21"/>
              </w:rPr>
            </w:pPr>
            <w:r>
              <w:rPr>
                <w:rFonts w:hint="eastAsia" w:ascii="宋体" w:hAnsi="宋体" w:cs="宋体"/>
                <w:color w:val="FF0000"/>
                <w:szCs w:val="21"/>
              </w:rPr>
              <w:t>与其他投标供应商的投标文件或部分投标文件</w:t>
            </w:r>
            <w:r>
              <w:rPr>
                <w:rFonts w:hint="eastAsia" w:ascii="宋体" w:hAnsi="宋体" w:cs="宋体"/>
                <w:b/>
                <w:bCs/>
                <w:color w:val="FF0000"/>
                <w:szCs w:val="21"/>
              </w:rPr>
              <w:t>相互混装或存在非正常一致</w:t>
            </w:r>
            <w:r>
              <w:rPr>
                <w:rFonts w:hint="eastAsia" w:ascii="宋体" w:hAnsi="宋体" w:cs="宋体"/>
                <w:color w:val="FF0000"/>
                <w:szCs w:val="21"/>
              </w:rPr>
              <w:t>。</w:t>
            </w:r>
          </w:p>
        </w:tc>
      </w:tr>
      <w:tr w14:paraId="70EB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811" w:type="dxa"/>
            <w:tcBorders>
              <w:tl2br w:val="nil"/>
              <w:tr2bl w:val="nil"/>
            </w:tcBorders>
            <w:vAlign w:val="center"/>
          </w:tcPr>
          <w:p w14:paraId="24143539">
            <w:pPr>
              <w:spacing w:line="400" w:lineRule="exact"/>
              <w:jc w:val="center"/>
              <w:rPr>
                <w:rFonts w:ascii="宋体" w:hAnsi="宋体" w:cs="宋体"/>
                <w:color w:val="FF0000"/>
                <w:szCs w:val="21"/>
              </w:rPr>
            </w:pPr>
            <w:r>
              <w:rPr>
                <w:rFonts w:hint="eastAsia" w:ascii="宋体" w:hAnsi="宋体" w:cs="宋体"/>
                <w:color w:val="FF0000"/>
                <w:szCs w:val="21"/>
              </w:rPr>
              <w:t>4</w:t>
            </w:r>
          </w:p>
        </w:tc>
        <w:tc>
          <w:tcPr>
            <w:tcW w:w="7711" w:type="dxa"/>
            <w:tcBorders>
              <w:tl2br w:val="nil"/>
              <w:tr2bl w:val="nil"/>
            </w:tcBorders>
            <w:vAlign w:val="center"/>
          </w:tcPr>
          <w:p w14:paraId="711273F5">
            <w:pPr>
              <w:spacing w:line="400" w:lineRule="exact"/>
              <w:jc w:val="left"/>
              <w:rPr>
                <w:rFonts w:ascii="宋体" w:hAnsi="宋体" w:cs="宋体"/>
                <w:color w:val="FF0000"/>
                <w:szCs w:val="21"/>
              </w:rPr>
            </w:pPr>
            <w:r>
              <w:rPr>
                <w:rFonts w:hint="eastAsia" w:ascii="宋体" w:hAnsi="宋体" w:cs="宋体"/>
                <w:color w:val="FF0000"/>
                <w:szCs w:val="21"/>
              </w:rPr>
              <w:t>与其他投标供应商的投标文件由</w:t>
            </w:r>
            <w:r>
              <w:rPr>
                <w:rFonts w:hint="eastAsia" w:ascii="宋体" w:hAnsi="宋体" w:cs="宋体"/>
                <w:b/>
                <w:bCs/>
                <w:color w:val="FF0000"/>
                <w:szCs w:val="21"/>
              </w:rPr>
              <w:t>同一单位或者同一人编制</w:t>
            </w:r>
            <w:r>
              <w:rPr>
                <w:rFonts w:hint="eastAsia" w:ascii="宋体" w:hAnsi="宋体" w:cs="宋体"/>
                <w:color w:val="FF0000"/>
                <w:szCs w:val="21"/>
              </w:rPr>
              <w:t>，或者使用</w:t>
            </w:r>
            <w:r>
              <w:rPr>
                <w:rFonts w:hint="eastAsia" w:ascii="宋体" w:hAnsi="宋体" w:cs="宋体"/>
                <w:b/>
                <w:bCs/>
                <w:color w:val="FF0000"/>
                <w:szCs w:val="21"/>
              </w:rPr>
              <w:t>同一设备编制</w:t>
            </w:r>
            <w:r>
              <w:rPr>
                <w:rFonts w:hint="eastAsia" w:ascii="宋体" w:hAnsi="宋体" w:cs="宋体"/>
                <w:color w:val="FF0000"/>
                <w:szCs w:val="21"/>
              </w:rPr>
              <w:t>（“文件制作机器码”“文件创建标识码”一致）。</w:t>
            </w:r>
          </w:p>
        </w:tc>
      </w:tr>
      <w:tr w14:paraId="23C4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14:paraId="602297C3">
            <w:pPr>
              <w:spacing w:line="400" w:lineRule="exact"/>
              <w:jc w:val="center"/>
              <w:rPr>
                <w:rFonts w:ascii="宋体" w:hAnsi="宋体" w:cs="宋体"/>
                <w:color w:val="FF0000"/>
                <w:szCs w:val="21"/>
              </w:rPr>
            </w:pPr>
            <w:r>
              <w:rPr>
                <w:rFonts w:hint="eastAsia" w:ascii="宋体" w:hAnsi="宋体" w:cs="宋体"/>
                <w:color w:val="FF0000"/>
                <w:szCs w:val="21"/>
              </w:rPr>
              <w:t>5</w:t>
            </w:r>
          </w:p>
        </w:tc>
        <w:tc>
          <w:tcPr>
            <w:tcW w:w="7711" w:type="dxa"/>
            <w:tcBorders>
              <w:tl2br w:val="nil"/>
              <w:tr2bl w:val="nil"/>
            </w:tcBorders>
            <w:vAlign w:val="center"/>
          </w:tcPr>
          <w:p w14:paraId="590031C9">
            <w:pPr>
              <w:spacing w:line="400" w:lineRule="exact"/>
              <w:jc w:val="left"/>
              <w:rPr>
                <w:rFonts w:ascii="宋体" w:hAnsi="宋体" w:cs="宋体"/>
                <w:color w:val="FF0000"/>
                <w:szCs w:val="21"/>
              </w:rPr>
            </w:pPr>
            <w:r>
              <w:rPr>
                <w:rFonts w:hint="eastAsia" w:ascii="宋体" w:hAnsi="宋体" w:cs="宋体"/>
                <w:color w:val="FF0000"/>
                <w:szCs w:val="21"/>
              </w:rPr>
              <w:t>提供</w:t>
            </w:r>
            <w:r>
              <w:rPr>
                <w:rFonts w:hint="eastAsia" w:ascii="宋体" w:hAnsi="宋体" w:cs="宋体"/>
                <w:b/>
                <w:bCs/>
                <w:color w:val="FF0000"/>
                <w:szCs w:val="21"/>
              </w:rPr>
              <w:t>未经出具机构核实</w:t>
            </w:r>
            <w:r>
              <w:rPr>
                <w:rFonts w:hint="eastAsia" w:ascii="宋体" w:hAnsi="宋体" w:cs="宋体"/>
                <w:color w:val="FF0000"/>
                <w:szCs w:val="21"/>
              </w:rPr>
              <w:t>的虚假的检验检测报告、业绩材料、社保缴纳证明、学历学位证书、职称认证证书等材料。</w:t>
            </w:r>
          </w:p>
        </w:tc>
      </w:tr>
      <w:tr w14:paraId="7B1F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14:paraId="3943A2B5">
            <w:pPr>
              <w:spacing w:line="400" w:lineRule="exact"/>
              <w:jc w:val="center"/>
              <w:rPr>
                <w:rFonts w:ascii="宋体" w:hAnsi="宋体" w:cs="宋体"/>
                <w:color w:val="FF0000"/>
                <w:szCs w:val="21"/>
              </w:rPr>
            </w:pPr>
            <w:r>
              <w:rPr>
                <w:rFonts w:hint="eastAsia" w:ascii="宋体" w:hAnsi="宋体" w:cs="宋体"/>
                <w:color w:val="FF0000"/>
                <w:szCs w:val="21"/>
              </w:rPr>
              <w:t>6</w:t>
            </w:r>
          </w:p>
        </w:tc>
        <w:tc>
          <w:tcPr>
            <w:tcW w:w="7711" w:type="dxa"/>
            <w:tcBorders>
              <w:tl2br w:val="nil"/>
              <w:tr2bl w:val="nil"/>
            </w:tcBorders>
            <w:vAlign w:val="center"/>
          </w:tcPr>
          <w:p w14:paraId="0E8D58E6">
            <w:pPr>
              <w:spacing w:line="400" w:lineRule="exact"/>
              <w:jc w:val="left"/>
              <w:rPr>
                <w:rFonts w:ascii="宋体" w:hAnsi="宋体" w:cs="宋体"/>
                <w:color w:val="FF0000"/>
                <w:szCs w:val="21"/>
              </w:rPr>
            </w:pPr>
            <w:r>
              <w:rPr>
                <w:rFonts w:hint="eastAsia" w:ascii="宋体" w:hAnsi="宋体" w:cs="宋体"/>
                <w:color w:val="FF0000"/>
                <w:szCs w:val="21"/>
              </w:rPr>
              <w:t>擅自将投标密钥或电子营业执照出借他人使用或未妥善保管。</w:t>
            </w:r>
          </w:p>
        </w:tc>
      </w:tr>
    </w:tbl>
    <w:p w14:paraId="00A7EC9B">
      <w:pPr>
        <w:ind w:firstLine="400" w:firstLineChars="200"/>
        <w:rPr>
          <w:rFonts w:ascii="宋体" w:hAnsi="宋体"/>
          <w:color w:val="FF0000"/>
          <w:sz w:val="20"/>
          <w:szCs w:val="20"/>
        </w:rPr>
      </w:pPr>
    </w:p>
    <w:p w14:paraId="0DD14BCF">
      <w:pP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0DFC50C7">
      <w:pP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14:paraId="45556993">
      <w:pP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7FCEB3E5">
      <w:pP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14:paraId="54494791">
      <w:pP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14:paraId="6DA335C6">
      <w:pP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14:paraId="63D71CA7">
      <w:pPr>
        <w:ind w:firstLine="400" w:firstLineChars="200"/>
        <w:rPr>
          <w:rFonts w:ascii="宋体" w:hAnsi="宋体"/>
          <w:color w:val="FF0000"/>
          <w:sz w:val="20"/>
          <w:szCs w:val="20"/>
        </w:rPr>
      </w:pPr>
      <w:r>
        <w:rPr>
          <w:rFonts w:hint="eastAsia" w:ascii="宋体" w:hAnsi="宋体"/>
          <w:color w:val="FF0000"/>
          <w:sz w:val="20"/>
          <w:szCs w:val="20"/>
        </w:rPr>
        <w:t>（六）恶意投诉的；</w:t>
      </w:r>
    </w:p>
    <w:p w14:paraId="34203E9A">
      <w:pP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5155DEAC">
      <w:pP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14:paraId="2D36AF51">
      <w:pP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14:paraId="38ACC528">
      <w:pPr>
        <w:ind w:firstLine="402" w:firstLineChars="200"/>
        <w:rPr>
          <w:rFonts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2FBE61CC">
      <w:pPr>
        <w:ind w:firstLine="402" w:firstLineChars="200"/>
        <w:rPr>
          <w:rFonts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0EBDC3B">
      <w:pP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2DCC0E0B">
      <w:pPr>
        <w:ind w:firstLine="400" w:firstLineChars="200"/>
        <w:rPr>
          <w:bCs/>
          <w:color w:val="FF0000"/>
          <w:sz w:val="20"/>
          <w:szCs w:val="20"/>
        </w:rPr>
      </w:pPr>
      <w:r>
        <w:rPr>
          <w:rFonts w:hint="eastAsia"/>
          <w:bCs/>
          <w:color w:val="FF0000"/>
          <w:sz w:val="20"/>
          <w:szCs w:val="20"/>
        </w:rPr>
        <w:t>四、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29B07780">
      <w:pPr>
        <w:ind w:firstLine="400" w:firstLineChars="200"/>
        <w:rPr>
          <w:bCs/>
          <w:color w:val="FF0000"/>
          <w:sz w:val="20"/>
          <w:szCs w:val="20"/>
        </w:rPr>
      </w:pPr>
      <w:r>
        <w:rPr>
          <w:rFonts w:hint="eastAsia"/>
          <w:bCs/>
          <w:color w:val="FF0000"/>
          <w:sz w:val="20"/>
          <w:szCs w:val="20"/>
        </w:rPr>
        <w:t>为避免出现不同供应商投标文件的文件制作机器码、文件创建标识码、IP地址一致的异常情况，建议各供应商编制、上传投标文件时不要使用公共电脑设备或公共网络。</w:t>
      </w:r>
    </w:p>
    <w:p w14:paraId="39E5A63B">
      <w:pPr>
        <w:ind w:firstLine="400" w:firstLineChars="200"/>
        <w:rPr>
          <w:bCs/>
          <w:color w:val="FF0000"/>
          <w:sz w:val="20"/>
          <w:szCs w:val="20"/>
        </w:rPr>
      </w:pPr>
      <w:r>
        <w:rPr>
          <w:rFonts w:hint="eastAsia"/>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rPr>
        <w:t>、</w:t>
      </w:r>
      <w:r>
        <w:rPr>
          <w:rFonts w:hint="eastAsia" w:ascii="宋体" w:hAnsi="宋体"/>
          <w:color w:val="FF0000"/>
          <w:sz w:val="20"/>
          <w:szCs w:val="20"/>
        </w:rPr>
        <w:t>依法吊销其营业</w:t>
      </w:r>
      <w:r>
        <w:rPr>
          <w:rFonts w:hint="eastAsia" w:hAnsi="宋体"/>
          <w:color w:val="FF0000"/>
          <w:sz w:val="20"/>
          <w:szCs w:val="20"/>
        </w:rPr>
        <w:t>执照等行政处罚，</w:t>
      </w:r>
      <w:r>
        <w:rPr>
          <w:rFonts w:hint="eastAsia" w:ascii="宋体" w:hAnsi="宋体"/>
          <w:color w:val="FF0000"/>
          <w:sz w:val="20"/>
          <w:szCs w:val="20"/>
        </w:rPr>
        <w:t>构成犯罪的，依法追究刑事责任</w:t>
      </w:r>
      <w:r>
        <w:rPr>
          <w:rFonts w:hint="eastAsia"/>
          <w:bCs/>
          <w:color w:val="FF0000"/>
          <w:sz w:val="20"/>
          <w:szCs w:val="20"/>
        </w:rPr>
        <w:t>，请各供应商独立编制、上传投标文件，妥善保管和使用电子密钥。</w:t>
      </w:r>
    </w:p>
    <w:p w14:paraId="3A10B8FA">
      <w:pPr>
        <w:ind w:firstLine="422" w:firstLineChars="200"/>
        <w:rPr>
          <w:b/>
          <w:color w:val="FF0000"/>
        </w:rPr>
      </w:pPr>
      <w:r>
        <w:rPr>
          <w:rFonts w:hint="eastAsia"/>
          <w:b/>
          <w:color w:val="FF0000"/>
        </w:rPr>
        <w:t>五、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14:paraId="6AC6B7F4">
      <w:pPr>
        <w:pStyle w:val="55"/>
      </w:pPr>
    </w:p>
    <w:p w14:paraId="335EDE6C">
      <w:pPr>
        <w:pStyle w:val="38"/>
        <w:widowControl/>
        <w:jc w:val="both"/>
        <w:outlineLvl w:val="1"/>
        <w:rPr>
          <w:b/>
          <w:color w:val="FF0000"/>
          <w:kern w:val="2"/>
          <w:sz w:val="21"/>
        </w:rPr>
      </w:pPr>
      <w:r>
        <w:rPr>
          <w:rFonts w:hint="eastAsia"/>
          <w:b/>
          <w:color w:val="FF0000"/>
          <w:kern w:val="2"/>
          <w:sz w:val="21"/>
        </w:rPr>
        <w:t>注：“特别警示条款”和《政府采购违法行为风险知悉确认书》用于对供应商违法行为的提醒，不作为供应商资格性审查及符合性审查条件。</w:t>
      </w:r>
    </w:p>
    <w:p w14:paraId="43CB3955"/>
    <w:p w14:paraId="1C96DA13">
      <w:pPr>
        <w:pStyle w:val="38"/>
        <w:widowControl/>
        <w:jc w:val="center"/>
        <w:outlineLvl w:val="1"/>
        <w:rPr>
          <w:rFonts w:ascii="黑体" w:hAnsi="宋体" w:eastAsia="黑体" w:cs="黑体"/>
          <w:sz w:val="40"/>
          <w:szCs w:val="40"/>
        </w:rPr>
        <w:sectPr>
          <w:headerReference r:id="rId4" w:type="first"/>
          <w:footerReference r:id="rId7" w:type="first"/>
          <w:headerReference r:id="rId3" w:type="default"/>
          <w:footerReference r:id="rId5" w:type="default"/>
          <w:footerReference r:id="rId6" w:type="even"/>
          <w:pgSz w:w="11907" w:h="16840"/>
          <w:pgMar w:top="1440" w:right="1418" w:bottom="1440" w:left="1418" w:header="851" w:footer="992" w:gutter="0"/>
          <w:pgNumType w:fmt="decimal"/>
          <w:cols w:space="425" w:num="1"/>
          <w:titlePg/>
          <w:docGrid w:linePitch="462" w:charSpace="0"/>
        </w:sectPr>
      </w:pPr>
    </w:p>
    <w:p w14:paraId="626994EB">
      <w:pPr>
        <w:pStyle w:val="38"/>
        <w:widowControl/>
        <w:jc w:val="center"/>
        <w:outlineLvl w:val="1"/>
        <w:rPr>
          <w:rFonts w:ascii="黑体" w:hAnsi="宋体" w:eastAsia="黑体" w:cs="黑体"/>
          <w:sz w:val="40"/>
          <w:szCs w:val="40"/>
        </w:rPr>
      </w:pPr>
      <w:r>
        <w:rPr>
          <w:rFonts w:hint="eastAsia" w:ascii="黑体" w:hAnsi="宋体" w:eastAsia="黑体" w:cs="黑体"/>
          <w:sz w:val="40"/>
          <w:szCs w:val="40"/>
        </w:rPr>
        <w:t>招标文件信息</w:t>
      </w:r>
    </w:p>
    <w:tbl>
      <w:tblPr>
        <w:tblStyle w:val="44"/>
        <w:tblW w:w="7943" w:type="dxa"/>
        <w:jc w:val="center"/>
        <w:tblCellSpacing w:w="0" w:type="dxa"/>
        <w:tblLayout w:type="fixed"/>
        <w:tblCellMar>
          <w:top w:w="45" w:type="dxa"/>
          <w:left w:w="45" w:type="dxa"/>
          <w:bottom w:w="45" w:type="dxa"/>
          <w:right w:w="45" w:type="dxa"/>
        </w:tblCellMar>
      </w:tblPr>
      <w:tblGrid>
        <w:gridCol w:w="2723"/>
        <w:gridCol w:w="5220"/>
      </w:tblGrid>
      <w:tr w14:paraId="688C7AF6">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1C193736">
            <w:pPr>
              <w:widowControl/>
              <w:jc w:val="right"/>
              <w:rPr>
                <w:sz w:val="30"/>
                <w:szCs w:val="30"/>
              </w:rPr>
            </w:pPr>
            <w:r>
              <w:rPr>
                <w:rFonts w:ascii="宋体" w:hAnsi="宋体" w:cs="宋体"/>
                <w:kern w:val="0"/>
                <w:sz w:val="30"/>
                <w:szCs w:val="30"/>
              </w:rPr>
              <w:t>项目编号：</w:t>
            </w:r>
          </w:p>
        </w:tc>
        <w:tc>
          <w:tcPr>
            <w:tcW w:w="5220" w:type="dxa"/>
            <w:vAlign w:val="center"/>
          </w:tcPr>
          <w:p w14:paraId="6718FBFC">
            <w:pPr>
              <w:widowControl/>
              <w:jc w:val="left"/>
              <w:rPr>
                <w:rFonts w:hint="eastAsia" w:eastAsia="宋体"/>
                <w:sz w:val="30"/>
                <w:szCs w:val="30"/>
                <w:lang w:val="en-US" w:eastAsia="zh-CN"/>
              </w:rPr>
            </w:pPr>
            <w:r>
              <w:rPr>
                <w:rFonts w:hint="eastAsia" w:ascii="宋体" w:hAnsi="宋体" w:cs="宋体"/>
                <w:kern w:val="0"/>
                <w:sz w:val="30"/>
                <w:szCs w:val="30"/>
              </w:rPr>
              <w:t xml:space="preserve"> LGZXCG-2025-0008</w:t>
            </w:r>
            <w:r>
              <w:rPr>
                <w:rFonts w:hint="eastAsia" w:ascii="宋体" w:hAnsi="宋体" w:cs="宋体"/>
                <w:kern w:val="0"/>
                <w:sz w:val="30"/>
                <w:szCs w:val="30"/>
                <w:lang w:val="en-US" w:eastAsia="zh-CN"/>
              </w:rPr>
              <w:t>6</w:t>
            </w:r>
          </w:p>
        </w:tc>
      </w:tr>
      <w:tr w14:paraId="36BE5DA7">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29D6E432">
            <w:pPr>
              <w:widowControl/>
              <w:jc w:val="right"/>
              <w:rPr>
                <w:sz w:val="30"/>
                <w:szCs w:val="30"/>
              </w:rPr>
            </w:pPr>
            <w:r>
              <w:rPr>
                <w:rFonts w:ascii="宋体" w:hAnsi="宋体" w:cs="宋体"/>
                <w:kern w:val="0"/>
                <w:sz w:val="30"/>
                <w:szCs w:val="30"/>
              </w:rPr>
              <w:t>项目名称：</w:t>
            </w:r>
          </w:p>
        </w:tc>
        <w:tc>
          <w:tcPr>
            <w:tcW w:w="5220" w:type="dxa"/>
            <w:vAlign w:val="center"/>
          </w:tcPr>
          <w:p w14:paraId="685912A1">
            <w:pPr>
              <w:widowControl/>
              <w:jc w:val="left"/>
              <w:rPr>
                <w:sz w:val="30"/>
                <w:szCs w:val="30"/>
              </w:rPr>
            </w:pPr>
            <w:r>
              <w:rPr>
                <w:rFonts w:hint="eastAsia" w:ascii="宋体" w:hAnsi="宋体" w:cs="宋体"/>
                <w:kern w:val="0"/>
                <w:sz w:val="30"/>
                <w:szCs w:val="30"/>
              </w:rPr>
              <w:t>深圳市龙岗中心医院2025年度核医学科放射性药品采购</w:t>
            </w:r>
          </w:p>
        </w:tc>
      </w:tr>
      <w:tr w14:paraId="27C58D35">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140D5574">
            <w:pPr>
              <w:widowControl/>
              <w:jc w:val="right"/>
              <w:rPr>
                <w:sz w:val="30"/>
                <w:szCs w:val="30"/>
              </w:rPr>
            </w:pPr>
            <w:r>
              <w:rPr>
                <w:rFonts w:ascii="宋体" w:hAnsi="宋体" w:cs="宋体"/>
                <w:kern w:val="0"/>
                <w:sz w:val="30"/>
                <w:szCs w:val="30"/>
              </w:rPr>
              <w:t xml:space="preserve">包 </w:t>
            </w:r>
            <w:r>
              <w:rPr>
                <w:rFonts w:hint="eastAsia" w:ascii="宋体" w:hAnsi="宋体" w:cs="宋体"/>
                <w:kern w:val="0"/>
                <w:sz w:val="30"/>
                <w:szCs w:val="30"/>
              </w:rPr>
              <w:t xml:space="preserve">   </w:t>
            </w:r>
            <w:r>
              <w:rPr>
                <w:rFonts w:ascii="宋体" w:hAnsi="宋体" w:cs="宋体"/>
                <w:kern w:val="0"/>
                <w:sz w:val="30"/>
                <w:szCs w:val="30"/>
              </w:rPr>
              <w:t>号：</w:t>
            </w:r>
          </w:p>
        </w:tc>
        <w:tc>
          <w:tcPr>
            <w:tcW w:w="5220" w:type="dxa"/>
            <w:vAlign w:val="center"/>
          </w:tcPr>
          <w:p w14:paraId="4E38B4A2">
            <w:pPr>
              <w:widowControl/>
              <w:jc w:val="left"/>
              <w:rPr>
                <w:sz w:val="30"/>
                <w:szCs w:val="30"/>
              </w:rPr>
            </w:pPr>
            <w:r>
              <w:rPr>
                <w:rFonts w:ascii="宋体" w:hAnsi="宋体" w:cs="宋体"/>
                <w:kern w:val="0"/>
                <w:sz w:val="30"/>
                <w:szCs w:val="30"/>
              </w:rPr>
              <w:t>A</w:t>
            </w:r>
          </w:p>
        </w:tc>
      </w:tr>
      <w:tr w14:paraId="2B1753A1">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47F21B8E">
            <w:pPr>
              <w:widowControl/>
              <w:jc w:val="right"/>
              <w:rPr>
                <w:sz w:val="30"/>
                <w:szCs w:val="30"/>
              </w:rPr>
            </w:pPr>
            <w:r>
              <w:rPr>
                <w:rFonts w:ascii="宋体" w:hAnsi="宋体" w:cs="宋体"/>
                <w:kern w:val="0"/>
                <w:sz w:val="30"/>
                <w:szCs w:val="30"/>
              </w:rPr>
              <w:t>项目类型：</w:t>
            </w:r>
          </w:p>
        </w:tc>
        <w:tc>
          <w:tcPr>
            <w:tcW w:w="5220" w:type="dxa"/>
            <w:vAlign w:val="center"/>
          </w:tcPr>
          <w:p w14:paraId="7EA4B2F9">
            <w:pPr>
              <w:widowControl/>
              <w:jc w:val="left"/>
              <w:rPr>
                <w:sz w:val="30"/>
                <w:szCs w:val="30"/>
              </w:rPr>
            </w:pPr>
            <w:r>
              <w:rPr>
                <w:rFonts w:ascii="宋体" w:hAnsi="宋体" w:cs="宋体"/>
                <w:kern w:val="0"/>
                <w:sz w:val="30"/>
                <w:szCs w:val="30"/>
              </w:rPr>
              <w:t>货物类</w:t>
            </w:r>
          </w:p>
        </w:tc>
      </w:tr>
      <w:tr w14:paraId="0DBC9C98">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01CE8F87">
            <w:pPr>
              <w:widowControl/>
              <w:jc w:val="right"/>
              <w:rPr>
                <w:sz w:val="30"/>
                <w:szCs w:val="30"/>
              </w:rPr>
            </w:pPr>
            <w:r>
              <w:rPr>
                <w:rFonts w:ascii="宋体" w:hAnsi="宋体" w:cs="宋体"/>
                <w:kern w:val="0"/>
                <w:sz w:val="30"/>
                <w:szCs w:val="30"/>
              </w:rPr>
              <w:t>采购方式：</w:t>
            </w:r>
          </w:p>
        </w:tc>
        <w:tc>
          <w:tcPr>
            <w:tcW w:w="5220" w:type="dxa"/>
            <w:vAlign w:val="center"/>
          </w:tcPr>
          <w:p w14:paraId="113B9FF5">
            <w:pPr>
              <w:widowControl/>
              <w:jc w:val="left"/>
              <w:rPr>
                <w:sz w:val="30"/>
                <w:szCs w:val="30"/>
              </w:rPr>
            </w:pPr>
            <w:r>
              <w:rPr>
                <w:rFonts w:ascii="宋体" w:hAnsi="宋体" w:cs="宋体"/>
                <w:kern w:val="0"/>
                <w:sz w:val="30"/>
                <w:szCs w:val="30"/>
              </w:rPr>
              <w:t>公开招标</w:t>
            </w:r>
          </w:p>
        </w:tc>
      </w:tr>
      <w:tr w14:paraId="6FAB5A6D">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2476F46A">
            <w:pPr>
              <w:widowControl/>
              <w:jc w:val="right"/>
              <w:rPr>
                <w:sz w:val="30"/>
                <w:szCs w:val="30"/>
              </w:rPr>
            </w:pPr>
            <w:r>
              <w:rPr>
                <w:rFonts w:ascii="宋体" w:hAnsi="宋体" w:cs="宋体"/>
                <w:kern w:val="0"/>
                <w:sz w:val="30"/>
                <w:szCs w:val="30"/>
              </w:rPr>
              <w:t>货币类型：</w:t>
            </w:r>
          </w:p>
        </w:tc>
        <w:tc>
          <w:tcPr>
            <w:tcW w:w="5220" w:type="dxa"/>
            <w:vAlign w:val="center"/>
          </w:tcPr>
          <w:p w14:paraId="0CCBBCC5">
            <w:pPr>
              <w:widowControl/>
              <w:jc w:val="left"/>
              <w:rPr>
                <w:sz w:val="30"/>
                <w:szCs w:val="30"/>
              </w:rPr>
            </w:pPr>
            <w:r>
              <w:rPr>
                <w:rFonts w:ascii="宋体" w:hAnsi="宋体" w:cs="宋体"/>
                <w:kern w:val="0"/>
                <w:sz w:val="30"/>
                <w:szCs w:val="30"/>
              </w:rPr>
              <w:t>人民币</w:t>
            </w:r>
          </w:p>
        </w:tc>
      </w:tr>
      <w:tr w14:paraId="47D85E99">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4107EBEB">
            <w:pPr>
              <w:widowControl/>
              <w:jc w:val="right"/>
              <w:rPr>
                <w:sz w:val="30"/>
                <w:szCs w:val="30"/>
              </w:rPr>
            </w:pPr>
            <w:r>
              <w:rPr>
                <w:rFonts w:ascii="宋体" w:hAnsi="宋体" w:cs="宋体"/>
                <w:kern w:val="0"/>
                <w:sz w:val="30"/>
                <w:szCs w:val="30"/>
              </w:rPr>
              <w:t>评标方法：</w:t>
            </w:r>
          </w:p>
        </w:tc>
        <w:tc>
          <w:tcPr>
            <w:tcW w:w="5220" w:type="dxa"/>
            <w:vAlign w:val="center"/>
          </w:tcPr>
          <w:p w14:paraId="1C513E2A">
            <w:pPr>
              <w:widowControl/>
              <w:jc w:val="left"/>
              <w:rPr>
                <w:sz w:val="30"/>
                <w:szCs w:val="30"/>
              </w:rPr>
            </w:pPr>
            <w:r>
              <w:rPr>
                <w:rFonts w:ascii="宋体" w:hAnsi="宋体" w:cs="宋体"/>
                <w:kern w:val="0"/>
                <w:sz w:val="30"/>
                <w:szCs w:val="30"/>
              </w:rPr>
              <w:t>综合评分法</w:t>
            </w:r>
          </w:p>
        </w:tc>
      </w:tr>
      <w:bookmarkEnd w:id="0"/>
    </w:tbl>
    <w:p w14:paraId="481F1AAA">
      <w:pPr>
        <w:pStyle w:val="38"/>
        <w:widowControl/>
        <w:jc w:val="center"/>
        <w:outlineLvl w:val="1"/>
        <w:rPr>
          <w:rFonts w:ascii="黑体" w:hAnsi="宋体" w:eastAsia="黑体" w:cs="黑体"/>
          <w:sz w:val="40"/>
          <w:szCs w:val="40"/>
        </w:rPr>
        <w:sectPr>
          <w:pgSz w:w="11907" w:h="16840"/>
          <w:pgMar w:top="1497" w:right="1418" w:bottom="1440" w:left="1531" w:header="851" w:footer="992" w:gutter="0"/>
          <w:pgNumType w:fmt="decimal"/>
          <w:cols w:space="425" w:num="1"/>
          <w:titlePg/>
          <w:docGrid w:linePitch="462" w:charSpace="0"/>
        </w:sectPr>
      </w:pPr>
    </w:p>
    <w:p w14:paraId="150E70DA">
      <w:pPr>
        <w:pStyle w:val="38"/>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44"/>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41017D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54F2276">
            <w:pPr>
              <w:widowControl/>
              <w:jc w:val="center"/>
              <w:rPr>
                <w:sz w:val="28"/>
                <w:szCs w:val="28"/>
              </w:rPr>
            </w:pPr>
            <w:r>
              <w:rPr>
                <w:rFonts w:ascii="宋体" w:hAnsi="宋体" w:cs="宋体"/>
                <w:kern w:val="0"/>
                <w:sz w:val="28"/>
                <w:szCs w:val="28"/>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D49B381">
            <w:pPr>
              <w:widowControl/>
              <w:jc w:val="center"/>
              <w:rPr>
                <w:sz w:val="28"/>
                <w:szCs w:val="28"/>
              </w:rPr>
            </w:pPr>
            <w:r>
              <w:rPr>
                <w:rFonts w:ascii="宋体" w:hAnsi="宋体" w:cs="宋体"/>
                <w:kern w:val="0"/>
                <w:sz w:val="28"/>
                <w:szCs w:val="28"/>
              </w:rPr>
              <w:t>内容</w:t>
            </w:r>
          </w:p>
        </w:tc>
      </w:tr>
      <w:tr w14:paraId="5BB34D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A8EC98B">
            <w:pPr>
              <w:widowControl/>
              <w:jc w:val="center"/>
              <w:textAlignment w:val="top"/>
              <w:rPr>
                <w:szCs w:val="21"/>
              </w:rPr>
            </w:pPr>
            <w:r>
              <w:rPr>
                <w:rFonts w:ascii="宋体" w:hAnsi="宋体" w:cs="宋体"/>
                <w:kern w:val="0"/>
                <w:szCs w:val="21"/>
              </w:rPr>
              <w:t>1</w:t>
            </w:r>
          </w:p>
        </w:tc>
        <w:tc>
          <w:tcPr>
            <w:tcW w:w="8284" w:type="dxa"/>
            <w:tcBorders>
              <w:top w:val="single" w:color="000000" w:sz="8" w:space="0"/>
              <w:left w:val="single" w:color="000000" w:sz="8" w:space="0"/>
              <w:bottom w:val="single" w:color="000000" w:sz="8" w:space="0"/>
              <w:right w:val="single" w:color="000000" w:sz="8" w:space="0"/>
            </w:tcBorders>
          </w:tcPr>
          <w:p w14:paraId="07D83138">
            <w:pPr>
              <w:widowControl/>
              <w:jc w:val="left"/>
              <w:textAlignment w:val="top"/>
              <w:rPr>
                <w:szCs w:val="21"/>
              </w:rPr>
            </w:pPr>
            <w:r>
              <w:rPr>
                <w:rFonts w:ascii="宋体" w:hAnsi="宋体" w:cs="宋体"/>
                <w:kern w:val="0"/>
                <w:szCs w:val="21"/>
              </w:rPr>
              <w:t>投标人不</w:t>
            </w:r>
            <w:r>
              <w:rPr>
                <w:rFonts w:hint="eastAsia" w:ascii="宋体" w:hAnsi="宋体" w:cs="宋体"/>
                <w:kern w:val="0"/>
                <w:szCs w:val="21"/>
              </w:rPr>
              <w:t>符合</w:t>
            </w:r>
            <w:r>
              <w:rPr>
                <w:rFonts w:ascii="宋体" w:hAnsi="宋体" w:cs="宋体"/>
                <w:kern w:val="0"/>
                <w:szCs w:val="21"/>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rPr>
              <w:t>）</w:t>
            </w:r>
          </w:p>
        </w:tc>
      </w:tr>
    </w:tbl>
    <w:p w14:paraId="136AFADB">
      <w:pPr>
        <w:pStyle w:val="38"/>
        <w:widowControl/>
        <w:spacing w:before="280" w:beforeAutospacing="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44"/>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178953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7F0738B">
            <w:pPr>
              <w:widowControl/>
              <w:jc w:val="center"/>
              <w:rPr>
                <w:sz w:val="28"/>
                <w:szCs w:val="28"/>
              </w:rPr>
            </w:pPr>
            <w:r>
              <w:rPr>
                <w:rFonts w:ascii="宋体" w:hAnsi="宋体" w:cs="宋体"/>
                <w:kern w:val="0"/>
                <w:sz w:val="28"/>
                <w:szCs w:val="28"/>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7B8F5D5">
            <w:pPr>
              <w:widowControl/>
              <w:jc w:val="center"/>
              <w:rPr>
                <w:sz w:val="28"/>
                <w:szCs w:val="28"/>
              </w:rPr>
            </w:pPr>
            <w:r>
              <w:rPr>
                <w:rFonts w:ascii="宋体" w:hAnsi="宋体" w:cs="宋体"/>
                <w:kern w:val="0"/>
                <w:sz w:val="28"/>
                <w:szCs w:val="28"/>
              </w:rPr>
              <w:t>内容</w:t>
            </w:r>
          </w:p>
        </w:tc>
      </w:tr>
      <w:tr w14:paraId="358907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515A93AE">
            <w:pPr>
              <w:jc w:val="center"/>
              <w:rPr>
                <w:rFonts w:ascii="宋体" w:hAnsi="宋体" w:cs="宋体"/>
                <w:szCs w:val="21"/>
              </w:rPr>
            </w:pPr>
            <w:r>
              <w:rPr>
                <w:szCs w:val="21"/>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F063D94">
            <w:pPr>
              <w:rPr>
                <w:rFonts w:ascii="宋体" w:hAnsi="宋体" w:cs="宋体"/>
                <w:szCs w:val="21"/>
              </w:rPr>
            </w:pPr>
            <w:r>
              <w:rPr>
                <w:rFonts w:hint="eastAsia"/>
              </w:rPr>
              <w:t>不得将一个包的内容拆开投标；</w:t>
            </w:r>
          </w:p>
        </w:tc>
      </w:tr>
      <w:tr w14:paraId="28F564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159876AE">
            <w:pPr>
              <w:jc w:val="center"/>
              <w:rPr>
                <w:rFonts w:ascii="宋体" w:hAnsi="宋体" w:cs="宋体"/>
                <w:szCs w:val="21"/>
              </w:rPr>
            </w:pPr>
            <w:r>
              <w:rPr>
                <w:szCs w:val="21"/>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B645810">
            <w:pPr>
              <w:rPr>
                <w:rFonts w:ascii="宋体" w:hAnsi="宋体" w:cs="宋体"/>
                <w:szCs w:val="21"/>
              </w:rPr>
            </w:pPr>
            <w:r>
              <w:rPr>
                <w:rFonts w:hint="eastAsia"/>
              </w:rPr>
              <w:t>对同一项目投标时，不得提供两套以上的投标方案（招标文件另有规定的除外）；</w:t>
            </w:r>
          </w:p>
        </w:tc>
      </w:tr>
      <w:tr w14:paraId="58C4AD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5C9E509D">
            <w:pPr>
              <w:jc w:val="center"/>
              <w:rPr>
                <w:rFonts w:ascii="宋体" w:hAnsi="宋体" w:cs="宋体"/>
                <w:szCs w:val="21"/>
              </w:rPr>
            </w:pPr>
            <w:r>
              <w:rPr>
                <w:szCs w:val="21"/>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6203974">
            <w:pPr>
              <w:rPr>
                <w:rFonts w:ascii="宋体" w:hAnsi="宋体" w:cs="宋体"/>
                <w:szCs w:val="21"/>
              </w:rPr>
            </w:pPr>
            <w:r>
              <w:rPr>
                <w:rFonts w:hint="eastAsia"/>
              </w:rPr>
              <w:t>分项报价或投标总价</w:t>
            </w:r>
            <w:r>
              <w:rPr>
                <w:rFonts w:hint="eastAsia"/>
                <w:lang w:val="en-US" w:eastAsia="zh-CN"/>
              </w:rPr>
              <w:t>不得</w:t>
            </w:r>
            <w:r>
              <w:rPr>
                <w:rFonts w:hint="eastAsia"/>
              </w:rPr>
              <w:t>高于相应预算金额（或设定的预算金额下的最高限价）；</w:t>
            </w:r>
          </w:p>
        </w:tc>
      </w:tr>
      <w:tr w14:paraId="7D6A0E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3C89C5B">
            <w:pPr>
              <w:jc w:val="center"/>
              <w:rPr>
                <w:rFonts w:ascii="宋体" w:hAnsi="宋体" w:cs="宋体"/>
                <w:szCs w:val="21"/>
              </w:rPr>
            </w:pPr>
            <w:r>
              <w:rPr>
                <w:szCs w:val="21"/>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E24C23F">
            <w:pPr>
              <w:rPr>
                <w:rFonts w:ascii="宋体" w:hAnsi="宋体" w:cs="宋体"/>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600CF9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987F08C">
            <w:pPr>
              <w:jc w:val="center"/>
              <w:rPr>
                <w:rFonts w:ascii="宋体" w:hAnsi="宋体" w:cs="宋体"/>
                <w:szCs w:val="21"/>
              </w:rPr>
            </w:pPr>
            <w:r>
              <w:rPr>
                <w:szCs w:val="21"/>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E197A92">
            <w:pPr>
              <w:rPr>
                <w:rFonts w:ascii="宋体" w:hAnsi="宋体" w:cs="宋体"/>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577D86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53ECE542">
            <w:pPr>
              <w:jc w:val="center"/>
              <w:rPr>
                <w:rFonts w:ascii="宋体" w:hAnsi="宋体" w:cs="宋体"/>
                <w:szCs w:val="21"/>
              </w:rPr>
            </w:pPr>
            <w:r>
              <w:rPr>
                <w:szCs w:val="21"/>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307EF58">
            <w:pPr>
              <w:rPr>
                <w:rFonts w:ascii="宋体" w:hAnsi="宋体" w:cs="宋体"/>
                <w:szCs w:val="21"/>
              </w:rPr>
            </w:pPr>
            <w:r>
              <w:rPr>
                <w:rFonts w:hint="eastAsia"/>
              </w:rPr>
              <w:t>未按招标文件所提供的样式填写《投标函》；未按招标文件所提供的《政府采购投标及履约承诺函》进行承诺；未按招标文件对投标文件组成的要求提供投标文件；</w:t>
            </w:r>
          </w:p>
        </w:tc>
      </w:tr>
      <w:tr w14:paraId="6BE3DB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70873043">
            <w:pPr>
              <w:jc w:val="center"/>
              <w:rPr>
                <w:rFonts w:ascii="宋体" w:hAnsi="宋体" w:cs="宋体"/>
                <w:szCs w:val="21"/>
              </w:rPr>
            </w:pPr>
            <w:r>
              <w:rPr>
                <w:szCs w:val="21"/>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1ED6FB2">
            <w:pPr>
              <w:rPr>
                <w:rFonts w:ascii="宋体" w:hAnsi="宋体" w:cs="宋体"/>
                <w:szCs w:val="21"/>
              </w:rPr>
            </w:pPr>
            <w:r>
              <w:rPr>
                <w:rFonts w:hint="eastAsia"/>
              </w:rPr>
              <w:t>采购标的/服务清单/报价等任意一类有缺漏项或响应不全，或者对招标文件规定的项目需求内容或者需求数量进行修改</w:t>
            </w:r>
            <w:r>
              <w:rPr>
                <w:rFonts w:hint="eastAsia"/>
                <w:szCs w:val="21"/>
              </w:rPr>
              <w:t>，评审委员会判定投标响应不满足采购需求</w:t>
            </w:r>
            <w:r>
              <w:rPr>
                <w:rFonts w:hint="eastAsia"/>
              </w:rPr>
              <w:t>；</w:t>
            </w:r>
          </w:p>
        </w:tc>
      </w:tr>
      <w:tr w14:paraId="4C27A1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8A5F149">
            <w:pPr>
              <w:jc w:val="center"/>
              <w:rPr>
                <w:rFonts w:ascii="宋体" w:hAnsi="宋体" w:cs="宋体"/>
                <w:szCs w:val="21"/>
              </w:rPr>
            </w:pPr>
            <w:r>
              <w:rPr>
                <w:szCs w:val="21"/>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A3321B1">
            <w:pPr>
              <w:rPr>
                <w:rFonts w:ascii="宋体" w:hAnsi="宋体" w:cs="宋体"/>
                <w:szCs w:val="21"/>
              </w:rPr>
            </w:pPr>
            <w:r>
              <w:rPr>
                <w:rFonts w:hint="eastAsia"/>
              </w:rPr>
              <w:t>投标文件电子文档不得带病毒；</w:t>
            </w:r>
          </w:p>
        </w:tc>
      </w:tr>
      <w:tr w14:paraId="5F9F0F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981EF77">
            <w:pPr>
              <w:jc w:val="center"/>
              <w:rPr>
                <w:rFonts w:ascii="宋体" w:hAnsi="宋体" w:cs="宋体"/>
                <w:szCs w:val="21"/>
              </w:rPr>
            </w:pPr>
            <w:r>
              <w:rPr>
                <w:szCs w:val="21"/>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810DF5F">
            <w:pPr>
              <w:rPr>
                <w:rFonts w:ascii="宋体" w:hAnsi="宋体" w:cs="宋体"/>
                <w:szCs w:val="21"/>
              </w:rPr>
            </w:pPr>
            <w:r>
              <w:rPr>
                <w:rFonts w:hint="eastAsia"/>
              </w:rPr>
              <w:t>投标文件用不属于本公司的电子密钥或电子营业执照进行加密的；</w:t>
            </w:r>
          </w:p>
        </w:tc>
      </w:tr>
      <w:tr w14:paraId="38BF67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7960EF5E">
            <w:pPr>
              <w:jc w:val="center"/>
              <w:rPr>
                <w:rFonts w:ascii="宋体" w:hAnsi="宋体" w:cs="宋体"/>
                <w:szCs w:val="21"/>
              </w:rPr>
            </w:pPr>
            <w:r>
              <w:rPr>
                <w:rFonts w:hint="eastAsia"/>
                <w:szCs w:val="21"/>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2632DF2">
            <w:pPr>
              <w:rPr>
                <w:rFonts w:ascii="宋体" w:hAnsi="宋体" w:cs="宋体"/>
                <w:szCs w:val="21"/>
              </w:rPr>
            </w:pPr>
            <w:r>
              <w:rPr>
                <w:rFonts w:hint="eastAsia"/>
              </w:rPr>
              <w:t>法律、法规、规章、规范性文件规定的其他情形。</w:t>
            </w:r>
          </w:p>
        </w:tc>
      </w:tr>
    </w:tbl>
    <w:p w14:paraId="452894CE">
      <w:pPr>
        <w:pStyle w:val="38"/>
        <w:widowControl/>
        <w:jc w:val="center"/>
        <w:outlineLvl w:val="1"/>
        <w:rPr>
          <w:rFonts w:ascii="黑体" w:hAnsi="宋体" w:eastAsia="黑体" w:cs="黑体"/>
          <w:sz w:val="40"/>
          <w:szCs w:val="40"/>
        </w:rPr>
        <w:sectPr>
          <w:pgSz w:w="11907" w:h="16840"/>
          <w:pgMar w:top="1440" w:right="1418" w:bottom="1440" w:left="1418" w:header="851" w:footer="992" w:gutter="0"/>
          <w:pgNumType w:fmt="decimal"/>
          <w:cols w:space="425" w:num="1"/>
          <w:titlePg/>
          <w:docGrid w:linePitch="462" w:charSpace="0"/>
        </w:sectPr>
      </w:pPr>
    </w:p>
    <w:p w14:paraId="75A00DEF">
      <w:pPr>
        <w:pStyle w:val="38"/>
        <w:widowControl/>
        <w:jc w:val="center"/>
        <w:outlineLvl w:val="1"/>
        <w:rPr>
          <w:rFonts w:ascii="黑体" w:hAnsi="宋体" w:eastAsia="黑体" w:cs="黑体"/>
          <w:sz w:val="40"/>
          <w:szCs w:val="40"/>
        </w:rPr>
      </w:pPr>
      <w:r>
        <w:rPr>
          <w:rFonts w:hint="eastAsia" w:ascii="黑体" w:hAnsi="宋体" w:eastAsia="黑体" w:cs="黑体"/>
          <w:sz w:val="40"/>
          <w:szCs w:val="40"/>
        </w:rPr>
        <w:t>评标信息</w:t>
      </w:r>
    </w:p>
    <w:tbl>
      <w:tblPr>
        <w:tblStyle w:val="44"/>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77"/>
        <w:gridCol w:w="671"/>
        <w:gridCol w:w="2574"/>
        <w:gridCol w:w="983"/>
        <w:gridCol w:w="4173"/>
      </w:tblGrid>
      <w:tr w14:paraId="6A557D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78" w:type="dxa"/>
            <w:gridSpan w:val="5"/>
            <w:tcBorders>
              <w:top w:val="nil"/>
              <w:left w:val="nil"/>
              <w:bottom w:val="nil"/>
              <w:right w:val="nil"/>
            </w:tcBorders>
            <w:shd w:val="clear" w:color="auto" w:fill="auto"/>
            <w:vAlign w:val="center"/>
          </w:tcPr>
          <w:p w14:paraId="130BC995">
            <w:pPr>
              <w:widowControl/>
              <w:jc w:val="left"/>
              <w:rPr>
                <w:rFonts w:ascii="宋体" w:hAnsi="宋体" w:cs="宋体"/>
                <w:b/>
                <w:bCs/>
                <w:kern w:val="0"/>
                <w:sz w:val="24"/>
              </w:rPr>
            </w:pPr>
            <w:bookmarkStart w:id="1" w:name="_Hlk72360569"/>
            <w:r>
              <w:rPr>
                <w:b/>
                <w:bCs/>
                <w:szCs w:val="21"/>
              </w:rPr>
              <w:t>评标方法：综合评分法</w:t>
            </w:r>
          </w:p>
        </w:tc>
      </w:tr>
      <w:tr w14:paraId="288AC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78" w:type="dxa"/>
            <w:gridSpan w:val="5"/>
            <w:tcBorders>
              <w:top w:val="nil"/>
              <w:left w:val="nil"/>
              <w:bottom w:val="single" w:color="auto" w:sz="4" w:space="0"/>
              <w:right w:val="nil"/>
            </w:tcBorders>
            <w:shd w:val="clear" w:color="auto" w:fill="auto"/>
            <w:vAlign w:val="center"/>
          </w:tcPr>
          <w:p w14:paraId="52EFD880">
            <w:pPr>
              <w:spacing w:line="324" w:lineRule="auto"/>
              <w:ind w:firstLine="420"/>
              <w:rPr>
                <w:szCs w:val="21"/>
              </w:rPr>
            </w:pPr>
            <w:r>
              <w:rPr>
                <w:szCs w:val="21"/>
              </w:rPr>
              <w:t>综合评分法，是指投标文件满足招标文件全部实质性要求，且按照评审因素的量化指标评审得分</w:t>
            </w:r>
            <w:r>
              <w:rPr>
                <w:rFonts w:hint="eastAsia"/>
                <w:szCs w:val="21"/>
              </w:rPr>
              <w:t>排名前列</w:t>
            </w:r>
            <w:r>
              <w:rPr>
                <w:szCs w:val="21"/>
              </w:rPr>
              <w:t xml:space="preserve">的投标人为中标候选人的评标方法。 </w:t>
            </w:r>
          </w:p>
          <w:p w14:paraId="2035D683">
            <w:pPr>
              <w:ind w:firstLine="420"/>
              <w:rPr>
                <w:szCs w:val="21"/>
              </w:rPr>
            </w:pPr>
            <w:r>
              <w:rPr>
                <w:szCs w:val="21"/>
              </w:rPr>
              <w:t>价格分计算方法：</w:t>
            </w:r>
          </w:p>
          <w:p w14:paraId="363875B1">
            <w:pPr>
              <w:pStyle w:val="38"/>
              <w:widowControl/>
              <w:spacing w:line="324" w:lineRule="auto"/>
              <w:ind w:left="420"/>
              <w:rPr>
                <w:rFonts w:ascii="宋体" w:hAnsi="宋体" w:cs="宋体"/>
                <w:b/>
                <w:bCs/>
              </w:rPr>
            </w:pPr>
            <w:r>
              <w:rPr>
                <w:kern w:val="2"/>
                <w:sz w:val="21"/>
                <w:szCs w:val="21"/>
              </w:rPr>
              <w:t xml:space="preserve">采用低价优先法计算，即满足招标文件要求且投标价格最低的投标报价为评标基准价，其价格分为满分。其他投标人的价格分统一按照下列公式计算： </w:t>
            </w:r>
            <w:r>
              <w:rPr>
                <w:kern w:val="2"/>
                <w:sz w:val="21"/>
                <w:szCs w:val="21"/>
              </w:rPr>
              <w:br w:type="textWrapping"/>
            </w:r>
            <w:r>
              <w:rPr>
                <w:kern w:val="2"/>
                <w:sz w:val="21"/>
                <w:szCs w:val="21"/>
              </w:rPr>
              <w:t>投标报价得分=</w:t>
            </w:r>
            <w:r>
              <w:rPr>
                <w:rFonts w:hint="eastAsia"/>
                <w:kern w:val="2"/>
                <w:sz w:val="21"/>
                <w:szCs w:val="21"/>
              </w:rPr>
              <w:t>（</w:t>
            </w:r>
            <w:r>
              <w:rPr>
                <w:kern w:val="2"/>
                <w:sz w:val="21"/>
                <w:szCs w:val="21"/>
              </w:rPr>
              <w:t>评标基准价／投标报价</w:t>
            </w:r>
            <w:r>
              <w:rPr>
                <w:rFonts w:hint="eastAsia"/>
                <w:kern w:val="2"/>
                <w:sz w:val="21"/>
                <w:szCs w:val="21"/>
              </w:rPr>
              <w:t>）</w:t>
            </w:r>
            <w:r>
              <w:rPr>
                <w:kern w:val="2"/>
                <w:sz w:val="21"/>
                <w:szCs w:val="21"/>
              </w:rPr>
              <w:t xml:space="preserve">×100 </w:t>
            </w:r>
            <w:r>
              <w:rPr>
                <w:kern w:val="2"/>
                <w:sz w:val="21"/>
                <w:szCs w:val="21"/>
              </w:rPr>
              <w:br w:type="textWrapping"/>
            </w:r>
            <w:r>
              <w:rPr>
                <w:kern w:val="2"/>
                <w:sz w:val="21"/>
                <w:szCs w:val="21"/>
              </w:rPr>
              <w:t xml:space="preserve">评标总得分＝F1×A1＋F2×A2＋……＋Fn×An </w:t>
            </w:r>
            <w:r>
              <w:rPr>
                <w:kern w:val="2"/>
                <w:sz w:val="21"/>
                <w:szCs w:val="21"/>
              </w:rPr>
              <w:br w:type="textWrapping"/>
            </w:r>
            <w:r>
              <w:rPr>
                <w:kern w:val="2"/>
                <w:sz w:val="21"/>
                <w:szCs w:val="21"/>
              </w:rPr>
              <w:t xml:space="preserve">F1、F2……Fn分别为各项评审因素的得分； </w:t>
            </w:r>
            <w:r>
              <w:rPr>
                <w:kern w:val="2"/>
                <w:sz w:val="21"/>
                <w:szCs w:val="21"/>
              </w:rPr>
              <w:br w:type="textWrapping"/>
            </w:r>
            <w:r>
              <w:rPr>
                <w:kern w:val="2"/>
                <w:sz w:val="21"/>
                <w:szCs w:val="21"/>
              </w:rPr>
              <w:t>A1、A2、……An 分别为各项评审因素所占的权重</w:t>
            </w:r>
            <w:r>
              <w:rPr>
                <w:rFonts w:hint="eastAsia"/>
                <w:kern w:val="2"/>
                <w:sz w:val="21"/>
                <w:szCs w:val="21"/>
              </w:rPr>
              <w:t>（</w:t>
            </w:r>
            <w:r>
              <w:rPr>
                <w:kern w:val="2"/>
                <w:sz w:val="21"/>
                <w:szCs w:val="21"/>
              </w:rPr>
              <w:t>A1＋A2＋……＋An＝1</w:t>
            </w:r>
            <w:r>
              <w:rPr>
                <w:rFonts w:hint="eastAsia"/>
                <w:kern w:val="2"/>
                <w:sz w:val="21"/>
                <w:szCs w:val="21"/>
              </w:rPr>
              <w:t>）</w:t>
            </w:r>
            <w:r>
              <w:rPr>
                <w:kern w:val="2"/>
                <w:sz w:val="21"/>
                <w:szCs w:val="21"/>
              </w:rPr>
              <w:t xml:space="preserve">。 </w:t>
            </w:r>
            <w:r>
              <w:rPr>
                <w:kern w:val="2"/>
                <w:sz w:val="21"/>
                <w:szCs w:val="21"/>
              </w:rPr>
              <w:br w:type="textWrapping"/>
            </w:r>
            <w:r>
              <w:rPr>
                <w:kern w:val="2"/>
                <w:sz w:val="21"/>
                <w:szCs w:val="21"/>
              </w:rPr>
              <w:t xml:space="preserve">评标过程中，不得去掉报价中的最高报价和最低报价。 </w:t>
            </w:r>
            <w:r>
              <w:rPr>
                <w:kern w:val="2"/>
                <w:sz w:val="21"/>
                <w:szCs w:val="21"/>
              </w:rPr>
              <w:br w:type="textWrapping"/>
            </w:r>
            <w:r>
              <w:rPr>
                <w:rFonts w:hint="eastAsia"/>
                <w:kern w:val="2"/>
                <w:sz w:val="21"/>
                <w:szCs w:val="21"/>
              </w:rPr>
              <w:t>因落实政府采购政策进行价格调整的，以调整后的价格计算评标基准价和投标报价。</w:t>
            </w:r>
          </w:p>
        </w:tc>
      </w:tr>
      <w:tr w14:paraId="61934A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tcBorders>
              <w:top w:val="single" w:color="auto" w:sz="4" w:space="0"/>
              <w:left w:val="single" w:color="auto" w:sz="4" w:space="0"/>
              <w:bottom w:val="single" w:color="auto" w:sz="4" w:space="0"/>
              <w:right w:val="single" w:color="auto" w:sz="4" w:space="0"/>
            </w:tcBorders>
            <w:shd w:val="clear" w:color="auto" w:fill="E6EFFA"/>
            <w:vAlign w:val="center"/>
          </w:tcPr>
          <w:p w14:paraId="039D8DBD">
            <w:pPr>
              <w:widowControl/>
              <w:wordWrap w:val="0"/>
              <w:jc w:val="center"/>
              <w:rPr>
                <w:rFonts w:ascii="宋体" w:hAnsi="宋体" w:cs="宋体"/>
                <w:b/>
                <w:bCs/>
                <w:szCs w:val="21"/>
              </w:rPr>
            </w:pPr>
            <w:r>
              <w:rPr>
                <w:rFonts w:hint="eastAsia" w:ascii="宋体" w:hAnsi="宋体" w:cs="宋体"/>
                <w:b/>
                <w:bCs/>
                <w:kern w:val="0"/>
                <w:szCs w:val="21"/>
              </w:rPr>
              <w:t>序号</w:t>
            </w:r>
          </w:p>
        </w:tc>
        <w:tc>
          <w:tcPr>
            <w:tcW w:w="4228" w:type="dxa"/>
            <w:gridSpan w:val="3"/>
            <w:tcBorders>
              <w:top w:val="single" w:color="auto" w:sz="4" w:space="0"/>
              <w:left w:val="single" w:color="auto" w:sz="4" w:space="0"/>
              <w:bottom w:val="single" w:color="auto" w:sz="4" w:space="0"/>
              <w:right w:val="single" w:color="auto" w:sz="4" w:space="0"/>
            </w:tcBorders>
            <w:shd w:val="clear" w:color="auto" w:fill="E6EFFA"/>
            <w:vAlign w:val="center"/>
          </w:tcPr>
          <w:p w14:paraId="42A03E36">
            <w:pPr>
              <w:widowControl/>
              <w:wordWrap w:val="0"/>
              <w:jc w:val="center"/>
              <w:rPr>
                <w:rFonts w:ascii="宋体" w:hAnsi="宋体" w:cs="宋体"/>
                <w:b/>
                <w:bCs/>
                <w:szCs w:val="21"/>
              </w:rPr>
            </w:pPr>
            <w:r>
              <w:rPr>
                <w:rFonts w:hint="eastAsia" w:ascii="宋体" w:hAnsi="宋体" w:cs="宋体"/>
                <w:b/>
                <w:bCs/>
                <w:kern w:val="0"/>
                <w:szCs w:val="21"/>
              </w:rPr>
              <w:t>评分项</w:t>
            </w:r>
          </w:p>
        </w:tc>
        <w:tc>
          <w:tcPr>
            <w:tcW w:w="4173" w:type="dxa"/>
            <w:tcBorders>
              <w:top w:val="single" w:color="auto" w:sz="4" w:space="0"/>
              <w:left w:val="single" w:color="auto" w:sz="4" w:space="0"/>
              <w:bottom w:val="single" w:color="auto" w:sz="4" w:space="0"/>
              <w:right w:val="single" w:color="auto" w:sz="4" w:space="0"/>
            </w:tcBorders>
            <w:shd w:val="clear" w:color="auto" w:fill="E6EFFA"/>
            <w:vAlign w:val="center"/>
          </w:tcPr>
          <w:p w14:paraId="26470AFB">
            <w:pPr>
              <w:widowControl/>
              <w:wordWrap w:val="0"/>
              <w:jc w:val="center"/>
              <w:rPr>
                <w:rFonts w:ascii="宋体" w:hAnsi="宋体" w:cs="宋体"/>
                <w:b/>
                <w:bCs/>
                <w:szCs w:val="21"/>
              </w:rPr>
            </w:pPr>
            <w:r>
              <w:rPr>
                <w:rFonts w:hint="eastAsia" w:ascii="宋体" w:hAnsi="宋体" w:cs="宋体"/>
                <w:b/>
                <w:bCs/>
                <w:kern w:val="0"/>
                <w:szCs w:val="21"/>
              </w:rPr>
              <w:t>权重（%）</w:t>
            </w:r>
          </w:p>
        </w:tc>
      </w:tr>
      <w:tr w14:paraId="13D262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tcBorders>
              <w:top w:val="single" w:color="auto" w:sz="4" w:space="0"/>
              <w:left w:val="single" w:color="auto" w:sz="4" w:space="0"/>
              <w:bottom w:val="single" w:color="auto" w:sz="4" w:space="0"/>
              <w:right w:val="single" w:color="auto" w:sz="4" w:space="0"/>
            </w:tcBorders>
            <w:vAlign w:val="center"/>
          </w:tcPr>
          <w:p w14:paraId="749BB261">
            <w:pPr>
              <w:widowControl/>
              <w:wordWrap w:val="0"/>
              <w:jc w:val="center"/>
              <w:rPr>
                <w:rFonts w:ascii="宋体" w:hAnsi="宋体" w:cs="宋体"/>
                <w:b/>
                <w:bCs/>
                <w:color w:val="0000FF"/>
                <w:szCs w:val="21"/>
              </w:rPr>
            </w:pPr>
            <w:r>
              <w:rPr>
                <w:rFonts w:hint="eastAsia" w:ascii="宋体" w:hAnsi="宋体" w:cs="宋体"/>
                <w:b/>
                <w:bCs/>
                <w:color w:val="0000FF"/>
                <w:kern w:val="0"/>
                <w:szCs w:val="21"/>
              </w:rPr>
              <w:t>1</w:t>
            </w:r>
          </w:p>
        </w:tc>
        <w:tc>
          <w:tcPr>
            <w:tcW w:w="4228" w:type="dxa"/>
            <w:gridSpan w:val="3"/>
            <w:tcBorders>
              <w:top w:val="single" w:color="auto" w:sz="4" w:space="0"/>
              <w:left w:val="single" w:color="auto" w:sz="4" w:space="0"/>
              <w:bottom w:val="single" w:color="auto" w:sz="4" w:space="0"/>
              <w:right w:val="single" w:color="auto" w:sz="4" w:space="0"/>
            </w:tcBorders>
            <w:vAlign w:val="center"/>
          </w:tcPr>
          <w:p w14:paraId="7E2C0EA7">
            <w:pPr>
              <w:widowControl/>
              <w:wordWrap w:val="0"/>
              <w:jc w:val="center"/>
              <w:rPr>
                <w:rFonts w:ascii="宋体" w:hAnsi="宋体" w:cs="宋体"/>
                <w:b/>
                <w:bCs/>
                <w:color w:val="0000FF"/>
                <w:szCs w:val="21"/>
              </w:rPr>
            </w:pPr>
            <w:r>
              <w:rPr>
                <w:rFonts w:hint="eastAsia" w:ascii="宋体" w:hAnsi="宋体" w:cs="宋体"/>
                <w:b/>
                <w:bCs/>
                <w:color w:val="0000FF"/>
                <w:kern w:val="0"/>
                <w:szCs w:val="21"/>
              </w:rPr>
              <w:t>价格</w:t>
            </w:r>
          </w:p>
        </w:tc>
        <w:tc>
          <w:tcPr>
            <w:tcW w:w="4173" w:type="dxa"/>
            <w:tcBorders>
              <w:top w:val="single" w:color="auto" w:sz="4" w:space="0"/>
              <w:left w:val="single" w:color="auto" w:sz="4" w:space="0"/>
              <w:bottom w:val="single" w:color="auto" w:sz="4" w:space="0"/>
              <w:right w:val="single" w:color="auto" w:sz="4" w:space="0"/>
            </w:tcBorders>
            <w:vAlign w:val="center"/>
          </w:tcPr>
          <w:p w14:paraId="7ED2066B">
            <w:pPr>
              <w:widowControl/>
              <w:wordWrap w:val="0"/>
              <w:jc w:val="center"/>
              <w:rPr>
                <w:rFonts w:ascii="宋体" w:hAnsi="宋体" w:cs="宋体"/>
                <w:b/>
                <w:bCs/>
                <w:color w:val="0000FF"/>
                <w:szCs w:val="21"/>
              </w:rPr>
            </w:pPr>
            <w:r>
              <w:rPr>
                <w:rFonts w:hint="eastAsia" w:ascii="宋体" w:hAnsi="宋体" w:cs="宋体"/>
                <w:b/>
                <w:bCs/>
                <w:color w:val="0000FF"/>
                <w:kern w:val="0"/>
                <w:szCs w:val="21"/>
              </w:rPr>
              <w:t>30</w:t>
            </w:r>
          </w:p>
        </w:tc>
      </w:tr>
      <w:tr w14:paraId="366007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restart"/>
            <w:tcBorders>
              <w:top w:val="single" w:color="auto" w:sz="4" w:space="0"/>
              <w:left w:val="single" w:color="000000" w:sz="8" w:space="0"/>
              <w:right w:val="single" w:color="000000" w:sz="8" w:space="0"/>
            </w:tcBorders>
            <w:vAlign w:val="center"/>
          </w:tcPr>
          <w:p w14:paraId="5D8EB789">
            <w:pPr>
              <w:widowControl/>
              <w:wordWrap w:val="0"/>
              <w:jc w:val="center"/>
              <w:rPr>
                <w:rFonts w:ascii="宋体" w:hAnsi="宋体" w:cs="宋体"/>
                <w:b/>
                <w:bCs/>
                <w:color w:val="0000FF"/>
                <w:szCs w:val="21"/>
              </w:rPr>
            </w:pPr>
            <w:r>
              <w:rPr>
                <w:rFonts w:hint="eastAsia" w:ascii="宋体" w:hAnsi="宋体" w:cs="宋体"/>
                <w:b/>
                <w:bCs/>
                <w:color w:val="0000FF"/>
                <w:kern w:val="0"/>
                <w:szCs w:val="21"/>
              </w:rPr>
              <w:t>2</w:t>
            </w:r>
          </w:p>
        </w:tc>
        <w:tc>
          <w:tcPr>
            <w:tcW w:w="4228" w:type="dxa"/>
            <w:gridSpan w:val="3"/>
            <w:tcBorders>
              <w:top w:val="single" w:color="auto" w:sz="4" w:space="0"/>
              <w:left w:val="single" w:color="000000" w:sz="8" w:space="0"/>
              <w:bottom w:val="single" w:color="000000" w:sz="8" w:space="0"/>
              <w:right w:val="single" w:color="000000" w:sz="8" w:space="0"/>
            </w:tcBorders>
            <w:vAlign w:val="center"/>
          </w:tcPr>
          <w:p w14:paraId="49433BD5">
            <w:pPr>
              <w:widowControl/>
              <w:wordWrap w:val="0"/>
              <w:jc w:val="center"/>
              <w:rPr>
                <w:rFonts w:ascii="宋体" w:hAnsi="宋体" w:cs="宋体"/>
                <w:b/>
                <w:bCs/>
                <w:color w:val="0000FF"/>
                <w:szCs w:val="21"/>
              </w:rPr>
            </w:pPr>
            <w:r>
              <w:rPr>
                <w:rFonts w:hint="eastAsia" w:ascii="宋体" w:hAnsi="宋体" w:cs="宋体"/>
                <w:b/>
                <w:bCs/>
                <w:color w:val="0000FF"/>
                <w:kern w:val="0"/>
                <w:szCs w:val="21"/>
              </w:rPr>
              <w:t>技术部分</w:t>
            </w:r>
          </w:p>
        </w:tc>
        <w:tc>
          <w:tcPr>
            <w:tcW w:w="4173" w:type="dxa"/>
            <w:tcBorders>
              <w:top w:val="single" w:color="auto" w:sz="4" w:space="0"/>
              <w:left w:val="single" w:color="000000" w:sz="8" w:space="0"/>
              <w:bottom w:val="single" w:color="000000" w:sz="8" w:space="0"/>
              <w:right w:val="single" w:color="000000" w:sz="8" w:space="0"/>
            </w:tcBorders>
            <w:vAlign w:val="center"/>
          </w:tcPr>
          <w:p w14:paraId="1E561BF2">
            <w:pPr>
              <w:widowControl/>
              <w:wordWrap w:val="0"/>
              <w:jc w:val="center"/>
              <w:rPr>
                <w:rFonts w:ascii="宋体" w:hAnsi="宋体" w:cs="宋体"/>
                <w:b/>
                <w:bCs/>
                <w:color w:val="0000FF"/>
                <w:szCs w:val="21"/>
              </w:rPr>
            </w:pPr>
            <w:r>
              <w:rPr>
                <w:rFonts w:hint="eastAsia" w:ascii="宋体" w:hAnsi="宋体" w:cs="宋体"/>
                <w:b/>
                <w:bCs/>
                <w:color w:val="0000FF"/>
                <w:szCs w:val="21"/>
              </w:rPr>
              <w:t>45</w:t>
            </w:r>
          </w:p>
        </w:tc>
      </w:tr>
      <w:tr w14:paraId="5A92A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continue"/>
            <w:tcBorders>
              <w:left w:val="single" w:color="000000" w:sz="8" w:space="0"/>
              <w:right w:val="single" w:color="000000" w:sz="8" w:space="0"/>
            </w:tcBorders>
            <w:shd w:val="clear" w:color="auto" w:fill="E6EFFA"/>
            <w:vAlign w:val="center"/>
          </w:tcPr>
          <w:p w14:paraId="46DE651F">
            <w:pPr>
              <w:jc w:val="center"/>
              <w:rPr>
                <w:rFonts w:ascii="宋体" w:hAnsi="宋体" w:cs="宋体"/>
                <w:b/>
                <w:bCs/>
                <w:color w:val="0000FF"/>
                <w:szCs w:val="21"/>
              </w:rPr>
            </w:pPr>
          </w:p>
        </w:tc>
        <w:tc>
          <w:tcPr>
            <w:tcW w:w="67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E75ABAE">
            <w:pPr>
              <w:widowControl/>
              <w:wordWrap w:val="0"/>
              <w:jc w:val="center"/>
              <w:rPr>
                <w:rFonts w:ascii="宋体" w:hAnsi="宋体" w:cs="宋体"/>
                <w:szCs w:val="21"/>
              </w:rPr>
            </w:pPr>
            <w:r>
              <w:rPr>
                <w:rFonts w:hint="eastAsia" w:ascii="宋体" w:hAnsi="宋体" w:cs="宋体"/>
                <w:kern w:val="0"/>
                <w:szCs w:val="21"/>
              </w:rPr>
              <w:t>序号</w:t>
            </w:r>
          </w:p>
        </w:tc>
        <w:tc>
          <w:tcPr>
            <w:tcW w:w="2574"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893E50B">
            <w:pPr>
              <w:widowControl/>
              <w:wordWrap w:val="0"/>
              <w:jc w:val="center"/>
              <w:rPr>
                <w:rFonts w:ascii="宋体" w:hAnsi="宋体" w:cs="宋体"/>
                <w:szCs w:val="21"/>
              </w:rPr>
            </w:pPr>
            <w:r>
              <w:rPr>
                <w:rFonts w:hint="eastAsia" w:ascii="宋体" w:hAnsi="宋体" w:cs="宋体"/>
                <w:kern w:val="0"/>
                <w:szCs w:val="21"/>
              </w:rPr>
              <w:t>评分因素</w:t>
            </w:r>
          </w:p>
        </w:tc>
        <w:tc>
          <w:tcPr>
            <w:tcW w:w="98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34B644B">
            <w:pPr>
              <w:widowControl/>
              <w:wordWrap w:val="0"/>
              <w:jc w:val="center"/>
              <w:rPr>
                <w:rFonts w:ascii="宋体" w:hAnsi="宋体" w:cs="宋体"/>
                <w:szCs w:val="21"/>
              </w:rPr>
            </w:pPr>
            <w:r>
              <w:rPr>
                <w:rFonts w:hint="eastAsia" w:ascii="宋体" w:hAnsi="宋体" w:cs="宋体"/>
                <w:kern w:val="0"/>
                <w:szCs w:val="21"/>
              </w:rPr>
              <w:t>权重（%）</w:t>
            </w:r>
          </w:p>
        </w:tc>
        <w:tc>
          <w:tcPr>
            <w:tcW w:w="417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97CF58F">
            <w:pPr>
              <w:widowControl/>
              <w:wordWrap w:val="0"/>
              <w:jc w:val="center"/>
              <w:rPr>
                <w:rFonts w:ascii="宋体" w:hAnsi="宋体" w:cs="宋体"/>
                <w:szCs w:val="21"/>
              </w:rPr>
            </w:pPr>
            <w:r>
              <w:rPr>
                <w:rFonts w:hint="eastAsia" w:ascii="宋体" w:hAnsi="宋体" w:cs="宋体"/>
                <w:kern w:val="0"/>
                <w:szCs w:val="21"/>
              </w:rPr>
              <w:t>评分准则</w:t>
            </w:r>
          </w:p>
        </w:tc>
      </w:tr>
      <w:tr w14:paraId="244D40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continue"/>
            <w:tcBorders>
              <w:left w:val="single" w:color="000000" w:sz="8" w:space="0"/>
              <w:right w:val="single" w:color="000000" w:sz="8" w:space="0"/>
            </w:tcBorders>
            <w:vAlign w:val="center"/>
          </w:tcPr>
          <w:p w14:paraId="4B7DA88B">
            <w:pPr>
              <w:jc w:val="center"/>
              <w:rPr>
                <w:rFonts w:ascii="宋体" w:hAnsi="宋体" w:cs="宋体"/>
                <w:b/>
                <w:bCs/>
                <w:color w:val="0000FF"/>
                <w:szCs w:val="21"/>
              </w:rPr>
            </w:pPr>
          </w:p>
        </w:tc>
        <w:tc>
          <w:tcPr>
            <w:tcW w:w="671" w:type="dxa"/>
            <w:tcBorders>
              <w:top w:val="single" w:color="000000" w:sz="8" w:space="0"/>
              <w:left w:val="single" w:color="000000" w:sz="8" w:space="0"/>
              <w:bottom w:val="single" w:color="000000" w:sz="8" w:space="0"/>
              <w:right w:val="single" w:color="000000" w:sz="8" w:space="0"/>
            </w:tcBorders>
            <w:vAlign w:val="center"/>
          </w:tcPr>
          <w:p w14:paraId="2508B7F9">
            <w:pPr>
              <w:widowControl/>
              <w:wordWrap w:val="0"/>
              <w:jc w:val="center"/>
              <w:textAlignment w:val="top"/>
              <w:rPr>
                <w:rFonts w:ascii="宋体" w:hAnsi="宋体" w:cs="宋体"/>
                <w:kern w:val="0"/>
                <w:szCs w:val="21"/>
              </w:rPr>
            </w:pPr>
            <w:r>
              <w:rPr>
                <w:rFonts w:hint="eastAsia" w:ascii="宋体" w:hAnsi="宋体" w:cs="宋体"/>
                <w:szCs w:val="21"/>
              </w:rPr>
              <w:t>1</w:t>
            </w:r>
          </w:p>
        </w:tc>
        <w:tc>
          <w:tcPr>
            <w:tcW w:w="2574" w:type="dxa"/>
            <w:tcBorders>
              <w:top w:val="single" w:color="000000" w:sz="8" w:space="0"/>
              <w:left w:val="single" w:color="000000" w:sz="8" w:space="0"/>
              <w:bottom w:val="single" w:color="000000" w:sz="8" w:space="0"/>
              <w:right w:val="single" w:color="000000" w:sz="8" w:space="0"/>
            </w:tcBorders>
            <w:vAlign w:val="center"/>
          </w:tcPr>
          <w:p w14:paraId="47F94541">
            <w:pPr>
              <w:widowControl/>
              <w:jc w:val="center"/>
              <w:rPr>
                <w:rFonts w:ascii="宋体" w:hAnsi="宋体" w:cs="宋体"/>
                <w:szCs w:val="21"/>
              </w:rPr>
            </w:pPr>
            <w:r>
              <w:rPr>
                <w:rFonts w:hint="eastAsia" w:ascii="宋体" w:hAnsi="宋体" w:cs="宋体"/>
                <w:szCs w:val="21"/>
              </w:rPr>
              <w:t>总体服务方案</w:t>
            </w:r>
          </w:p>
        </w:tc>
        <w:tc>
          <w:tcPr>
            <w:tcW w:w="983" w:type="dxa"/>
            <w:tcBorders>
              <w:top w:val="single" w:color="000000" w:sz="8" w:space="0"/>
              <w:left w:val="single" w:color="000000" w:sz="8" w:space="0"/>
              <w:bottom w:val="single" w:color="000000" w:sz="8" w:space="0"/>
              <w:right w:val="single" w:color="000000" w:sz="8" w:space="0"/>
            </w:tcBorders>
            <w:vAlign w:val="center"/>
          </w:tcPr>
          <w:p w14:paraId="10058A7D">
            <w:pPr>
              <w:widowControl/>
              <w:wordWrap w:val="0"/>
              <w:jc w:val="center"/>
              <w:textAlignment w:val="top"/>
              <w:rPr>
                <w:rFonts w:ascii="宋体" w:hAnsi="宋体" w:cs="宋体"/>
                <w:szCs w:val="21"/>
              </w:rPr>
            </w:pPr>
            <w:r>
              <w:rPr>
                <w:rFonts w:hint="eastAsia" w:ascii="宋体" w:hAnsi="宋体" w:cs="宋体"/>
                <w:szCs w:val="21"/>
              </w:rPr>
              <w:t>16</w:t>
            </w:r>
          </w:p>
        </w:tc>
        <w:tc>
          <w:tcPr>
            <w:tcW w:w="4173" w:type="dxa"/>
            <w:tcBorders>
              <w:top w:val="single" w:color="000000" w:sz="8" w:space="0"/>
              <w:left w:val="single" w:color="000000" w:sz="8" w:space="0"/>
              <w:bottom w:val="single" w:color="000000" w:sz="8" w:space="0"/>
              <w:right w:val="single" w:color="000000" w:sz="8" w:space="0"/>
            </w:tcBorders>
            <w:vAlign w:val="center"/>
          </w:tcPr>
          <w:p w14:paraId="41DF314E">
            <w:pPr>
              <w:adjustRightInd w:val="0"/>
              <w:snapToGrid w:val="0"/>
              <w:textAlignment w:val="center"/>
              <w:rPr>
                <w:rFonts w:ascii="宋体" w:hAnsi="宋体" w:cs="宋体"/>
                <w:b/>
                <w:bCs/>
                <w:szCs w:val="21"/>
              </w:rPr>
            </w:pPr>
            <w:r>
              <w:rPr>
                <w:rFonts w:hint="eastAsia" w:ascii="宋体" w:hAnsi="宋体" w:cs="宋体"/>
                <w:b/>
                <w:bCs/>
                <w:szCs w:val="21"/>
              </w:rPr>
              <w:t>（一）评分内容：</w:t>
            </w:r>
          </w:p>
          <w:p w14:paraId="02AC7189">
            <w:pPr>
              <w:pStyle w:val="16"/>
              <w:rPr>
                <w:rFonts w:hAnsi="宋体" w:cs="宋体"/>
                <w:sz w:val="21"/>
                <w:szCs w:val="21"/>
              </w:rPr>
            </w:pPr>
            <w:r>
              <w:rPr>
                <w:rFonts w:hint="eastAsia" w:hAnsi="宋体" w:cs="宋体"/>
                <w:sz w:val="21"/>
                <w:szCs w:val="21"/>
              </w:rPr>
              <w:t>总体服务方案，包括但不限于以下内容：</w:t>
            </w:r>
          </w:p>
          <w:p w14:paraId="13A20AD4">
            <w:pPr>
              <w:adjustRightInd w:val="0"/>
              <w:snapToGrid w:val="0"/>
              <w:textAlignment w:val="center"/>
              <w:rPr>
                <w:rFonts w:ascii="宋体" w:hAnsi="宋体" w:cs="宋体"/>
                <w:szCs w:val="21"/>
              </w:rPr>
            </w:pPr>
            <w:r>
              <w:rPr>
                <w:rFonts w:hint="eastAsia" w:ascii="宋体" w:hAnsi="宋体" w:cs="宋体"/>
                <w:szCs w:val="21"/>
              </w:rPr>
              <w:t>1、企业的生产、经营能力；</w:t>
            </w:r>
          </w:p>
          <w:p w14:paraId="18C89520">
            <w:pPr>
              <w:adjustRightInd w:val="0"/>
              <w:snapToGrid w:val="0"/>
              <w:textAlignment w:val="center"/>
              <w:rPr>
                <w:rFonts w:ascii="宋体" w:hAnsi="宋体" w:cs="宋体"/>
                <w:szCs w:val="21"/>
              </w:rPr>
            </w:pPr>
            <w:r>
              <w:rPr>
                <w:rFonts w:hint="eastAsia" w:ascii="宋体" w:hAnsi="宋体" w:cs="宋体"/>
                <w:szCs w:val="21"/>
              </w:rPr>
              <w:t>2、提供标的所要求的全部产品；</w:t>
            </w:r>
          </w:p>
          <w:p w14:paraId="02E8A97B">
            <w:pPr>
              <w:adjustRightInd w:val="0"/>
              <w:snapToGrid w:val="0"/>
              <w:textAlignment w:val="center"/>
              <w:rPr>
                <w:rFonts w:ascii="宋体" w:hAnsi="宋体" w:cs="宋体"/>
                <w:szCs w:val="21"/>
              </w:rPr>
            </w:pPr>
            <w:r>
              <w:rPr>
                <w:rFonts w:hint="eastAsia" w:ascii="宋体" w:hAnsi="宋体" w:cs="宋体"/>
                <w:szCs w:val="21"/>
              </w:rPr>
              <w:t>3、药品供应的及时性和稳定性；</w:t>
            </w:r>
          </w:p>
          <w:p w14:paraId="35B99D7C">
            <w:pPr>
              <w:adjustRightInd w:val="0"/>
              <w:snapToGrid w:val="0"/>
              <w:textAlignment w:val="center"/>
              <w:rPr>
                <w:rFonts w:ascii="宋体" w:hAnsi="宋体" w:cs="宋体"/>
                <w:szCs w:val="21"/>
              </w:rPr>
            </w:pPr>
            <w:r>
              <w:rPr>
                <w:rFonts w:hint="eastAsia" w:ascii="宋体" w:hAnsi="宋体" w:cs="宋体"/>
                <w:szCs w:val="21"/>
              </w:rPr>
              <w:t>4、供应药品质量的可靠性。</w:t>
            </w:r>
          </w:p>
          <w:p w14:paraId="22107474">
            <w:pPr>
              <w:pStyle w:val="16"/>
              <w:rPr>
                <w:rFonts w:hAnsi="宋体" w:cs="宋体"/>
                <w:b/>
                <w:bCs/>
                <w:sz w:val="21"/>
                <w:szCs w:val="21"/>
              </w:rPr>
            </w:pPr>
            <w:r>
              <w:rPr>
                <w:rFonts w:hint="eastAsia" w:hAnsi="宋体" w:cs="宋体"/>
                <w:b/>
                <w:bCs/>
                <w:sz w:val="21"/>
                <w:szCs w:val="21"/>
              </w:rPr>
              <w:t>（二）评分依据：</w:t>
            </w:r>
          </w:p>
          <w:p w14:paraId="6BC0D228">
            <w:pPr>
              <w:pStyle w:val="16"/>
              <w:autoSpaceDE/>
              <w:autoSpaceDN/>
              <w:adjustRightInd/>
              <w:textAlignment w:val="auto"/>
              <w:rPr>
                <w:rFonts w:hAnsi="宋体" w:cs="宋体"/>
                <w:sz w:val="21"/>
                <w:szCs w:val="21"/>
              </w:rPr>
            </w:pPr>
            <w:r>
              <w:rPr>
                <w:rFonts w:hint="eastAsia" w:hAnsi="宋体" w:cs="宋体"/>
                <w:sz w:val="21"/>
                <w:szCs w:val="21"/>
              </w:rPr>
              <w:t>1、每提供上述任意一项内容得15分，本小项累计最高得60分。</w:t>
            </w:r>
          </w:p>
          <w:p w14:paraId="34209534">
            <w:pPr>
              <w:pStyle w:val="16"/>
              <w:autoSpaceDE/>
              <w:autoSpaceDN/>
              <w:adjustRightInd/>
              <w:textAlignment w:val="auto"/>
              <w:rPr>
                <w:rFonts w:hAnsi="宋体" w:cs="宋体"/>
                <w:sz w:val="21"/>
                <w:szCs w:val="21"/>
              </w:rPr>
            </w:pPr>
            <w:r>
              <w:rPr>
                <w:rFonts w:hint="eastAsia" w:hAnsi="宋体" w:cs="宋体"/>
                <w:sz w:val="21"/>
                <w:szCs w:val="21"/>
              </w:rPr>
              <w:t>2、在此基础上，专家根据各供应商的具体响应内容按照量化的评审因素指标进一步评审。</w:t>
            </w:r>
          </w:p>
          <w:p w14:paraId="6AF5F03E">
            <w:pPr>
              <w:pStyle w:val="16"/>
              <w:autoSpaceDE/>
              <w:autoSpaceDN/>
              <w:adjustRightInd/>
              <w:textAlignment w:val="auto"/>
              <w:rPr>
                <w:rFonts w:hAnsi="宋体" w:cs="宋体"/>
                <w:sz w:val="21"/>
                <w:szCs w:val="21"/>
              </w:rPr>
            </w:pPr>
            <w:r>
              <w:rPr>
                <w:rFonts w:hint="eastAsia" w:hAnsi="宋体" w:cs="宋体"/>
                <w:sz w:val="21"/>
                <w:szCs w:val="21"/>
              </w:rPr>
              <w:t>优：服务方案内容详实，措施得当，针对性和可行性强，加40分；</w:t>
            </w:r>
          </w:p>
          <w:p w14:paraId="2ACF07A0">
            <w:pPr>
              <w:pStyle w:val="16"/>
              <w:autoSpaceDE/>
              <w:autoSpaceDN/>
              <w:adjustRightInd/>
              <w:textAlignment w:val="auto"/>
              <w:rPr>
                <w:rFonts w:hAnsi="宋体" w:cs="宋体"/>
                <w:sz w:val="21"/>
                <w:szCs w:val="21"/>
              </w:rPr>
            </w:pPr>
            <w:r>
              <w:rPr>
                <w:rFonts w:hint="eastAsia" w:hAnsi="宋体" w:cs="宋体"/>
                <w:sz w:val="21"/>
                <w:szCs w:val="21"/>
              </w:rPr>
              <w:t>良：服务方案内容较为详实，措施较得当，针对性和可行性较强，加20分；</w:t>
            </w:r>
          </w:p>
          <w:p w14:paraId="65574C4A">
            <w:pPr>
              <w:pStyle w:val="16"/>
              <w:autoSpaceDE/>
              <w:autoSpaceDN/>
              <w:adjustRightInd/>
              <w:textAlignment w:val="auto"/>
              <w:rPr>
                <w:rFonts w:hAnsi="宋体" w:cs="宋体"/>
                <w:sz w:val="21"/>
                <w:szCs w:val="21"/>
              </w:rPr>
            </w:pPr>
            <w:r>
              <w:rPr>
                <w:rFonts w:hint="eastAsia" w:hAnsi="宋体" w:cs="宋体"/>
                <w:sz w:val="21"/>
                <w:szCs w:val="21"/>
              </w:rPr>
              <w:t>中：服务方案内容不够详实，措施合理性、针对性和可行性一般，加10分；</w:t>
            </w:r>
          </w:p>
          <w:p w14:paraId="1500FBC8">
            <w:pPr>
              <w:widowControl/>
              <w:jc w:val="left"/>
              <w:rPr>
                <w:rFonts w:hint="eastAsia" w:ascii="宋体" w:hAnsi="宋体" w:cs="宋体"/>
                <w:kern w:val="0"/>
                <w:szCs w:val="21"/>
              </w:rPr>
            </w:pPr>
            <w:r>
              <w:rPr>
                <w:rFonts w:hint="eastAsia" w:ascii="宋体" w:hAnsi="宋体" w:cs="宋体"/>
                <w:kern w:val="0"/>
                <w:szCs w:val="21"/>
              </w:rPr>
              <w:t>差：服务方案存在内容缺失，措施不合理、不具有针对性的，不加分。</w:t>
            </w:r>
          </w:p>
          <w:p w14:paraId="756829CA">
            <w:pPr>
              <w:widowControl/>
              <w:jc w:val="left"/>
              <w:rPr>
                <w:rFonts w:ascii="宋体" w:hAnsi="宋体" w:cs="宋体"/>
                <w:szCs w:val="21"/>
              </w:rPr>
            </w:pPr>
            <w:r>
              <w:rPr>
                <w:rFonts w:hint="eastAsia" w:ascii="宋体" w:hAnsi="宋体" w:cs="宋体"/>
                <w:kern w:val="0"/>
                <w:szCs w:val="21"/>
              </w:rPr>
              <w:t>未提供证明材料或提供的不符合或专家无法凭所提供材料判断是否得分的情况，一律作不得分处理。</w:t>
            </w:r>
          </w:p>
        </w:tc>
      </w:tr>
      <w:tr w14:paraId="62EF10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continue"/>
            <w:tcBorders>
              <w:left w:val="single" w:color="000000" w:sz="8" w:space="0"/>
              <w:right w:val="single" w:color="000000" w:sz="8" w:space="0"/>
            </w:tcBorders>
            <w:vAlign w:val="center"/>
          </w:tcPr>
          <w:p w14:paraId="63C533F3">
            <w:pPr>
              <w:jc w:val="center"/>
              <w:rPr>
                <w:rFonts w:ascii="宋体" w:hAnsi="宋体" w:cs="宋体"/>
                <w:b/>
                <w:bCs/>
                <w:color w:val="0000FF"/>
                <w:szCs w:val="21"/>
              </w:rPr>
            </w:pPr>
          </w:p>
        </w:tc>
        <w:tc>
          <w:tcPr>
            <w:tcW w:w="671" w:type="dxa"/>
            <w:tcBorders>
              <w:top w:val="single" w:color="000000" w:sz="8" w:space="0"/>
              <w:left w:val="single" w:color="000000" w:sz="8" w:space="0"/>
              <w:bottom w:val="single" w:color="000000" w:sz="8" w:space="0"/>
              <w:right w:val="single" w:color="000000" w:sz="8" w:space="0"/>
            </w:tcBorders>
            <w:vAlign w:val="center"/>
          </w:tcPr>
          <w:p w14:paraId="2F06932F">
            <w:pPr>
              <w:widowControl/>
              <w:wordWrap w:val="0"/>
              <w:jc w:val="center"/>
              <w:textAlignment w:val="top"/>
              <w:rPr>
                <w:rFonts w:ascii="宋体" w:hAnsi="宋体" w:cs="宋体"/>
                <w:szCs w:val="21"/>
              </w:rPr>
            </w:pPr>
            <w:r>
              <w:rPr>
                <w:rFonts w:hint="eastAsia" w:ascii="宋体" w:hAnsi="宋体" w:cs="宋体"/>
                <w:szCs w:val="21"/>
              </w:rPr>
              <w:t>2</w:t>
            </w:r>
          </w:p>
        </w:tc>
        <w:tc>
          <w:tcPr>
            <w:tcW w:w="25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55E5E7">
            <w:pPr>
              <w:wordWrap w:val="0"/>
              <w:spacing w:line="360" w:lineRule="auto"/>
              <w:jc w:val="center"/>
              <w:rPr>
                <w:rFonts w:ascii="宋体" w:hAnsi="宋体" w:cs="宋体"/>
                <w:szCs w:val="21"/>
              </w:rPr>
            </w:pPr>
            <w:r>
              <w:rPr>
                <w:rFonts w:hint="eastAsia" w:ascii="宋体" w:hAnsi="宋体" w:cs="宋体"/>
                <w:szCs w:val="21"/>
              </w:rPr>
              <w:t>质量保障措施</w:t>
            </w:r>
          </w:p>
        </w:tc>
        <w:tc>
          <w:tcPr>
            <w:tcW w:w="9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2A7D8">
            <w:pPr>
              <w:wordWrap w:val="0"/>
              <w:spacing w:line="360" w:lineRule="auto"/>
              <w:jc w:val="center"/>
              <w:rPr>
                <w:rFonts w:ascii="宋体" w:hAnsi="宋体" w:cs="宋体"/>
                <w:szCs w:val="21"/>
              </w:rPr>
            </w:pPr>
            <w:r>
              <w:rPr>
                <w:rFonts w:hint="eastAsia" w:ascii="宋体" w:hAnsi="宋体" w:cs="宋体"/>
                <w:szCs w:val="21"/>
              </w:rPr>
              <w:t>15</w:t>
            </w:r>
          </w:p>
        </w:tc>
        <w:tc>
          <w:tcPr>
            <w:tcW w:w="41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15F15A">
            <w:pPr>
              <w:pStyle w:val="16"/>
              <w:rPr>
                <w:rFonts w:hAnsi="宋体" w:cs="宋体"/>
                <w:b/>
                <w:bCs/>
                <w:sz w:val="21"/>
                <w:szCs w:val="21"/>
              </w:rPr>
            </w:pPr>
            <w:r>
              <w:rPr>
                <w:rFonts w:hint="eastAsia" w:hAnsi="宋体" w:cs="宋体"/>
                <w:b/>
                <w:bCs/>
                <w:sz w:val="21"/>
                <w:szCs w:val="21"/>
              </w:rPr>
              <w:t>（一）评分内容：</w:t>
            </w:r>
          </w:p>
          <w:p w14:paraId="22C7EBC2">
            <w:pPr>
              <w:pStyle w:val="16"/>
              <w:rPr>
                <w:rFonts w:hAnsi="宋体" w:cs="宋体"/>
                <w:sz w:val="21"/>
                <w:szCs w:val="21"/>
              </w:rPr>
            </w:pPr>
            <w:r>
              <w:rPr>
                <w:rFonts w:hint="eastAsia" w:hAnsi="宋体" w:cs="宋体"/>
                <w:sz w:val="21"/>
                <w:szCs w:val="21"/>
              </w:rPr>
              <w:t>质量保证措施包括：</w:t>
            </w:r>
          </w:p>
          <w:p w14:paraId="66CD7B7F">
            <w:pPr>
              <w:pStyle w:val="490"/>
              <w:ind w:firstLine="0" w:firstLineChars="0"/>
              <w:rPr>
                <w:rFonts w:ascii="宋体" w:hAnsi="宋体" w:cs="宋体"/>
                <w:sz w:val="21"/>
                <w:szCs w:val="21"/>
              </w:rPr>
            </w:pPr>
            <w:r>
              <w:rPr>
                <w:rFonts w:hint="eastAsia" w:ascii="宋体" w:hAnsi="宋体" w:cs="宋体"/>
                <w:sz w:val="21"/>
                <w:szCs w:val="21"/>
              </w:rPr>
              <w:t>1、药品的质量管理方案，包括药品生产管理、质量检验的内容、产品有效期及关键岗位人员的资质等内容；</w:t>
            </w:r>
          </w:p>
          <w:p w14:paraId="3A3E7652">
            <w:pPr>
              <w:pStyle w:val="490"/>
              <w:ind w:firstLine="0" w:firstLineChars="0"/>
              <w:rPr>
                <w:rFonts w:ascii="宋体" w:hAnsi="宋体" w:cs="宋体"/>
                <w:sz w:val="21"/>
                <w:szCs w:val="21"/>
              </w:rPr>
            </w:pPr>
            <w:r>
              <w:rPr>
                <w:rFonts w:hint="eastAsia" w:ascii="宋体" w:hAnsi="宋体" w:cs="宋体"/>
                <w:sz w:val="21"/>
                <w:szCs w:val="21"/>
              </w:rPr>
              <w:t>2、药品的配送计划，包括运输工具及运输时间的规划内容；</w:t>
            </w:r>
          </w:p>
          <w:p w14:paraId="31A3951F">
            <w:pPr>
              <w:pStyle w:val="490"/>
              <w:ind w:firstLine="0" w:firstLineChars="0"/>
              <w:rPr>
                <w:rFonts w:ascii="宋体" w:hAnsi="宋体" w:cs="宋体"/>
                <w:sz w:val="21"/>
                <w:szCs w:val="21"/>
              </w:rPr>
            </w:pPr>
            <w:r>
              <w:rPr>
                <w:rFonts w:hint="eastAsia" w:ascii="宋体" w:hAnsi="宋体" w:cs="宋体"/>
                <w:sz w:val="21"/>
                <w:szCs w:val="21"/>
              </w:rPr>
              <w:t>3、药品的包装以及辐射防护管理方案。</w:t>
            </w:r>
          </w:p>
          <w:p w14:paraId="619CA13B">
            <w:pPr>
              <w:pStyle w:val="16"/>
              <w:rPr>
                <w:rFonts w:hAnsi="宋体" w:cs="宋体"/>
                <w:b/>
                <w:bCs/>
                <w:sz w:val="21"/>
                <w:szCs w:val="21"/>
              </w:rPr>
            </w:pPr>
            <w:r>
              <w:rPr>
                <w:rFonts w:hint="eastAsia" w:hAnsi="宋体" w:cs="宋体"/>
                <w:b/>
                <w:bCs/>
                <w:sz w:val="21"/>
                <w:szCs w:val="21"/>
              </w:rPr>
              <w:t>（二）评分依据：</w:t>
            </w:r>
          </w:p>
          <w:p w14:paraId="53F4D711">
            <w:pPr>
              <w:pStyle w:val="16"/>
              <w:autoSpaceDE/>
              <w:autoSpaceDN/>
              <w:adjustRightInd/>
              <w:textAlignment w:val="auto"/>
              <w:rPr>
                <w:rFonts w:hAnsi="宋体" w:cs="宋体"/>
                <w:sz w:val="21"/>
                <w:szCs w:val="21"/>
              </w:rPr>
            </w:pPr>
            <w:r>
              <w:rPr>
                <w:rFonts w:hint="eastAsia" w:hAnsi="宋体" w:cs="宋体"/>
                <w:sz w:val="21"/>
                <w:szCs w:val="21"/>
              </w:rPr>
              <w:t>1、每提供上述任意一项内容得20分，本小项累计最高得60分。</w:t>
            </w:r>
          </w:p>
          <w:p w14:paraId="658B543D">
            <w:pPr>
              <w:pStyle w:val="16"/>
              <w:autoSpaceDE/>
              <w:autoSpaceDN/>
              <w:adjustRightInd/>
              <w:textAlignment w:val="auto"/>
              <w:rPr>
                <w:rFonts w:hAnsi="宋体" w:cs="宋体"/>
                <w:sz w:val="21"/>
                <w:szCs w:val="21"/>
              </w:rPr>
            </w:pPr>
            <w:r>
              <w:rPr>
                <w:rFonts w:hint="eastAsia" w:hAnsi="宋体" w:cs="宋体"/>
                <w:sz w:val="21"/>
                <w:szCs w:val="21"/>
              </w:rPr>
              <w:t>2、在此基础上，专家根据各供应商的具体响应内容按照量化的评审因素指标进一步评审。</w:t>
            </w:r>
          </w:p>
          <w:p w14:paraId="762930D4">
            <w:pPr>
              <w:pStyle w:val="16"/>
              <w:autoSpaceDE/>
              <w:autoSpaceDN/>
              <w:adjustRightInd/>
              <w:textAlignment w:val="auto"/>
              <w:rPr>
                <w:rFonts w:hAnsi="宋体" w:cs="宋体"/>
                <w:sz w:val="21"/>
                <w:szCs w:val="21"/>
              </w:rPr>
            </w:pPr>
            <w:r>
              <w:rPr>
                <w:rFonts w:hint="eastAsia" w:hAnsi="宋体" w:cs="宋体"/>
                <w:sz w:val="21"/>
                <w:szCs w:val="21"/>
              </w:rPr>
              <w:t>优：服务方案内容详实，措施得当，针对性和可行性强，加40分；</w:t>
            </w:r>
          </w:p>
          <w:p w14:paraId="7B39F64B">
            <w:pPr>
              <w:pStyle w:val="16"/>
              <w:autoSpaceDE/>
              <w:autoSpaceDN/>
              <w:adjustRightInd/>
              <w:textAlignment w:val="auto"/>
              <w:rPr>
                <w:rFonts w:hAnsi="宋体" w:cs="宋体"/>
                <w:sz w:val="21"/>
                <w:szCs w:val="21"/>
              </w:rPr>
            </w:pPr>
            <w:r>
              <w:rPr>
                <w:rFonts w:hint="eastAsia" w:hAnsi="宋体" w:cs="宋体"/>
                <w:sz w:val="21"/>
                <w:szCs w:val="21"/>
              </w:rPr>
              <w:t>良：服务方案内容较为详实，措施较得当，针对性和可行性较强，加20分；</w:t>
            </w:r>
          </w:p>
          <w:p w14:paraId="6FCEBCB2">
            <w:pPr>
              <w:pStyle w:val="16"/>
              <w:autoSpaceDE/>
              <w:autoSpaceDN/>
              <w:adjustRightInd/>
              <w:textAlignment w:val="auto"/>
              <w:rPr>
                <w:rFonts w:hAnsi="宋体" w:cs="宋体"/>
                <w:sz w:val="21"/>
                <w:szCs w:val="21"/>
              </w:rPr>
            </w:pPr>
            <w:r>
              <w:rPr>
                <w:rFonts w:hint="eastAsia" w:hAnsi="宋体" w:cs="宋体"/>
                <w:sz w:val="21"/>
                <w:szCs w:val="21"/>
              </w:rPr>
              <w:t>中：服务方案内容不够详实，措施合理性、针对性和可行性一般，加10分；</w:t>
            </w:r>
          </w:p>
          <w:p w14:paraId="44802852">
            <w:pPr>
              <w:pStyle w:val="16"/>
              <w:rPr>
                <w:rFonts w:hint="eastAsia" w:hAnsi="宋体" w:cs="宋体"/>
                <w:sz w:val="21"/>
                <w:szCs w:val="21"/>
              </w:rPr>
            </w:pPr>
            <w:r>
              <w:rPr>
                <w:rFonts w:hint="eastAsia" w:hAnsi="宋体" w:cs="宋体"/>
                <w:sz w:val="21"/>
                <w:szCs w:val="21"/>
              </w:rPr>
              <w:t>差：服务方案存在内容缺失，措施不合理、不具有针对性的，不加分</w:t>
            </w:r>
          </w:p>
          <w:p w14:paraId="28DD067C">
            <w:pPr>
              <w:pStyle w:val="16"/>
              <w:rPr>
                <w:rFonts w:hAnsi="宋体" w:cs="宋体"/>
                <w:kern w:val="2"/>
                <w:sz w:val="21"/>
                <w:szCs w:val="21"/>
              </w:rPr>
            </w:pPr>
            <w:r>
              <w:rPr>
                <w:rFonts w:hint="eastAsia" w:hAnsi="宋体" w:cs="宋体"/>
                <w:sz w:val="21"/>
                <w:szCs w:val="21"/>
              </w:rPr>
              <w:t>未提供证明材料或提供的不符合或专家无法凭所提供材料判断是否得分的情况，一律作不得分处理。</w:t>
            </w:r>
          </w:p>
        </w:tc>
      </w:tr>
      <w:tr w14:paraId="6FB621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continue"/>
            <w:tcBorders>
              <w:left w:val="single" w:color="000000" w:sz="8" w:space="0"/>
              <w:right w:val="single" w:color="000000" w:sz="8" w:space="0"/>
            </w:tcBorders>
            <w:vAlign w:val="center"/>
          </w:tcPr>
          <w:p w14:paraId="64600C15">
            <w:pPr>
              <w:jc w:val="center"/>
              <w:rPr>
                <w:rFonts w:ascii="宋体" w:hAnsi="宋体" w:cs="宋体"/>
                <w:b/>
                <w:bCs/>
                <w:color w:val="0000FF"/>
                <w:szCs w:val="21"/>
              </w:rPr>
            </w:pPr>
          </w:p>
        </w:tc>
        <w:tc>
          <w:tcPr>
            <w:tcW w:w="671" w:type="dxa"/>
            <w:tcBorders>
              <w:top w:val="single" w:color="000000" w:sz="8" w:space="0"/>
              <w:left w:val="single" w:color="000000" w:sz="8" w:space="0"/>
              <w:bottom w:val="single" w:color="000000" w:sz="8" w:space="0"/>
              <w:right w:val="single" w:color="000000" w:sz="8" w:space="0"/>
            </w:tcBorders>
            <w:vAlign w:val="center"/>
          </w:tcPr>
          <w:p w14:paraId="060538D0">
            <w:pPr>
              <w:widowControl/>
              <w:wordWrap w:val="0"/>
              <w:jc w:val="center"/>
              <w:textAlignment w:val="top"/>
              <w:rPr>
                <w:rFonts w:ascii="宋体" w:hAnsi="宋体" w:cs="宋体"/>
                <w:szCs w:val="21"/>
              </w:rPr>
            </w:pPr>
            <w:r>
              <w:rPr>
                <w:rFonts w:hint="eastAsia" w:ascii="宋体" w:hAnsi="宋体" w:cs="宋体"/>
                <w:szCs w:val="21"/>
              </w:rPr>
              <w:t>3</w:t>
            </w:r>
          </w:p>
        </w:tc>
        <w:tc>
          <w:tcPr>
            <w:tcW w:w="25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492BA4">
            <w:pPr>
              <w:wordWrap w:val="0"/>
              <w:spacing w:line="360" w:lineRule="auto"/>
              <w:jc w:val="center"/>
              <w:rPr>
                <w:rFonts w:ascii="宋体" w:hAnsi="宋体" w:cs="宋体"/>
                <w:szCs w:val="21"/>
              </w:rPr>
            </w:pPr>
            <w:r>
              <w:rPr>
                <w:rFonts w:hint="eastAsia" w:ascii="宋体" w:hAnsi="宋体" w:cs="宋体"/>
                <w:szCs w:val="21"/>
              </w:rPr>
              <w:t>特殊情况应急及退换方案</w:t>
            </w:r>
          </w:p>
        </w:tc>
        <w:tc>
          <w:tcPr>
            <w:tcW w:w="9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9A1410">
            <w:pPr>
              <w:wordWrap w:val="0"/>
              <w:spacing w:line="360" w:lineRule="auto"/>
              <w:jc w:val="center"/>
              <w:rPr>
                <w:rFonts w:ascii="宋体" w:hAnsi="宋体" w:cs="宋体"/>
                <w:szCs w:val="21"/>
              </w:rPr>
            </w:pPr>
            <w:r>
              <w:rPr>
                <w:rFonts w:hint="eastAsia" w:ascii="宋体" w:hAnsi="宋体" w:cs="宋体"/>
                <w:szCs w:val="21"/>
              </w:rPr>
              <w:t>10</w:t>
            </w:r>
          </w:p>
        </w:tc>
        <w:tc>
          <w:tcPr>
            <w:tcW w:w="41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6D1FCF">
            <w:pPr>
              <w:adjustRightInd w:val="0"/>
              <w:snapToGrid w:val="0"/>
              <w:textAlignment w:val="center"/>
              <w:rPr>
                <w:rFonts w:ascii="宋体" w:hAnsi="宋体" w:cs="宋体"/>
                <w:szCs w:val="21"/>
              </w:rPr>
            </w:pPr>
            <w:r>
              <w:rPr>
                <w:rFonts w:hint="eastAsia" w:ascii="宋体" w:hAnsi="宋体" w:cs="宋体"/>
                <w:b/>
                <w:bCs/>
                <w:szCs w:val="21"/>
              </w:rPr>
              <w:t>（一）评分内容：</w:t>
            </w:r>
          </w:p>
          <w:p w14:paraId="2B1DC792">
            <w:pPr>
              <w:pStyle w:val="16"/>
              <w:rPr>
                <w:rFonts w:hAnsi="宋体" w:cs="宋体"/>
                <w:sz w:val="21"/>
                <w:szCs w:val="21"/>
              </w:rPr>
            </w:pPr>
            <w:r>
              <w:rPr>
                <w:rFonts w:hint="eastAsia" w:hAnsi="宋体" w:cs="宋体"/>
                <w:sz w:val="21"/>
                <w:szCs w:val="21"/>
              </w:rPr>
              <w:t>特殊情况应急及退换方案包括：</w:t>
            </w:r>
          </w:p>
          <w:p w14:paraId="1929AF6D">
            <w:pPr>
              <w:numPr>
                <w:ilvl w:val="0"/>
                <w:numId w:val="7"/>
              </w:numPr>
              <w:adjustRightInd w:val="0"/>
              <w:snapToGrid w:val="0"/>
              <w:textAlignment w:val="center"/>
              <w:rPr>
                <w:rFonts w:ascii="宋体" w:hAnsi="宋体" w:cs="宋体"/>
                <w:szCs w:val="21"/>
              </w:rPr>
            </w:pPr>
            <w:r>
              <w:rPr>
                <w:rFonts w:hint="eastAsia" w:ascii="宋体" w:hAnsi="宋体" w:cs="宋体"/>
                <w:szCs w:val="21"/>
              </w:rPr>
              <w:t>药物有异常的情况的紧急处理措施，要求立即退回异常药品，3小时内补送（需阐明具体的处理措施）；</w:t>
            </w:r>
          </w:p>
          <w:p w14:paraId="29AD53BF">
            <w:pPr>
              <w:pStyle w:val="43"/>
              <w:numPr>
                <w:ilvl w:val="0"/>
                <w:numId w:val="7"/>
              </w:numPr>
              <w:ind w:firstLine="0" w:firstLineChars="0"/>
              <w:rPr>
                <w:rFonts w:ascii="宋体" w:hAnsi="宋体" w:cs="宋体"/>
                <w:szCs w:val="21"/>
              </w:rPr>
            </w:pPr>
            <w:r>
              <w:rPr>
                <w:rFonts w:hint="eastAsia" w:ascii="宋体" w:hAnsi="宋体" w:cs="宋体"/>
                <w:szCs w:val="21"/>
              </w:rPr>
              <w:t>药物异常导致病人退费的经济损失由供货单位承担；（该内容提供承诺函，格式自拟）。</w:t>
            </w:r>
          </w:p>
          <w:p w14:paraId="08B64ED9">
            <w:pPr>
              <w:pStyle w:val="16"/>
              <w:rPr>
                <w:rFonts w:hAnsi="宋体" w:cs="宋体"/>
                <w:b/>
                <w:bCs/>
                <w:sz w:val="21"/>
                <w:szCs w:val="21"/>
              </w:rPr>
            </w:pPr>
            <w:r>
              <w:rPr>
                <w:rFonts w:hint="eastAsia" w:hAnsi="宋体" w:cs="宋体"/>
                <w:b/>
                <w:bCs/>
                <w:sz w:val="21"/>
                <w:szCs w:val="21"/>
              </w:rPr>
              <w:t>（二）评分依据：</w:t>
            </w:r>
          </w:p>
          <w:p w14:paraId="67A85037">
            <w:pPr>
              <w:pStyle w:val="16"/>
              <w:autoSpaceDE/>
              <w:autoSpaceDN/>
              <w:adjustRightInd/>
              <w:textAlignment w:val="auto"/>
              <w:rPr>
                <w:rFonts w:hAnsi="宋体" w:cs="宋体"/>
                <w:sz w:val="21"/>
                <w:szCs w:val="21"/>
              </w:rPr>
            </w:pPr>
            <w:r>
              <w:rPr>
                <w:rFonts w:hint="eastAsia" w:hAnsi="宋体" w:cs="宋体"/>
                <w:sz w:val="21"/>
                <w:szCs w:val="21"/>
              </w:rPr>
              <w:t>1、每提供上述任意一项内容得30分，本小项累计最高得60分。</w:t>
            </w:r>
          </w:p>
          <w:p w14:paraId="3355377A">
            <w:pPr>
              <w:pStyle w:val="16"/>
              <w:autoSpaceDE/>
              <w:autoSpaceDN/>
              <w:adjustRightInd/>
              <w:textAlignment w:val="auto"/>
              <w:rPr>
                <w:rFonts w:hAnsi="宋体" w:cs="宋体"/>
                <w:sz w:val="21"/>
                <w:szCs w:val="21"/>
              </w:rPr>
            </w:pPr>
            <w:r>
              <w:rPr>
                <w:rFonts w:hint="eastAsia" w:hAnsi="宋体" w:cs="宋体"/>
                <w:sz w:val="21"/>
                <w:szCs w:val="21"/>
              </w:rPr>
              <w:t>2、在此基础上，专家根据各供应商的具体响应内容按照量化的评审因素指标进一步评审。</w:t>
            </w:r>
          </w:p>
          <w:p w14:paraId="6BF90992">
            <w:pPr>
              <w:pStyle w:val="16"/>
              <w:autoSpaceDE/>
              <w:autoSpaceDN/>
              <w:adjustRightInd/>
              <w:textAlignment w:val="auto"/>
              <w:rPr>
                <w:rFonts w:hAnsi="宋体" w:cs="宋体"/>
                <w:sz w:val="21"/>
                <w:szCs w:val="21"/>
              </w:rPr>
            </w:pPr>
            <w:r>
              <w:rPr>
                <w:rFonts w:hint="eastAsia" w:hAnsi="宋体" w:cs="宋体"/>
                <w:sz w:val="21"/>
                <w:szCs w:val="21"/>
              </w:rPr>
              <w:t>优：服务方案内容详实，措施得当，针对性和可行性强，加40分；</w:t>
            </w:r>
          </w:p>
          <w:p w14:paraId="2318B93E">
            <w:pPr>
              <w:pStyle w:val="16"/>
              <w:autoSpaceDE/>
              <w:autoSpaceDN/>
              <w:adjustRightInd/>
              <w:textAlignment w:val="auto"/>
              <w:rPr>
                <w:rFonts w:hAnsi="宋体" w:cs="宋体"/>
                <w:sz w:val="21"/>
                <w:szCs w:val="21"/>
              </w:rPr>
            </w:pPr>
            <w:r>
              <w:rPr>
                <w:rFonts w:hint="eastAsia" w:hAnsi="宋体" w:cs="宋体"/>
                <w:sz w:val="21"/>
                <w:szCs w:val="21"/>
              </w:rPr>
              <w:t>良：服务方案内容较为详实，措施</w:t>
            </w:r>
            <w:r>
              <w:rPr>
                <w:rFonts w:hint="eastAsia" w:hAnsi="宋体" w:cs="宋体"/>
                <w:sz w:val="21"/>
                <w:szCs w:val="21"/>
                <w:lang w:eastAsia="zh-CN"/>
              </w:rPr>
              <w:t>较为</w:t>
            </w:r>
            <w:r>
              <w:rPr>
                <w:rFonts w:hint="eastAsia" w:hAnsi="宋体" w:cs="宋体"/>
                <w:sz w:val="21"/>
                <w:szCs w:val="21"/>
              </w:rPr>
              <w:t>得当，针对性和可行性较强，加20分；</w:t>
            </w:r>
          </w:p>
          <w:p w14:paraId="7AE74EBB">
            <w:pPr>
              <w:pStyle w:val="16"/>
              <w:autoSpaceDE/>
              <w:autoSpaceDN/>
              <w:adjustRightInd/>
              <w:textAlignment w:val="auto"/>
              <w:rPr>
                <w:rFonts w:hAnsi="宋体" w:cs="宋体"/>
                <w:sz w:val="21"/>
                <w:szCs w:val="21"/>
              </w:rPr>
            </w:pPr>
            <w:r>
              <w:rPr>
                <w:rFonts w:hint="eastAsia" w:hAnsi="宋体" w:cs="宋体"/>
                <w:sz w:val="21"/>
                <w:szCs w:val="21"/>
              </w:rPr>
              <w:t>中：服务方案内容不够详实，措施合理性、针对性和可行性一般，加10分；</w:t>
            </w:r>
          </w:p>
          <w:p w14:paraId="53A1F911">
            <w:pPr>
              <w:pStyle w:val="16"/>
              <w:rPr>
                <w:rFonts w:hint="eastAsia" w:hAnsi="宋体" w:cs="宋体"/>
                <w:sz w:val="21"/>
                <w:szCs w:val="21"/>
              </w:rPr>
            </w:pPr>
            <w:r>
              <w:rPr>
                <w:rFonts w:hint="eastAsia" w:hAnsi="宋体" w:cs="宋体"/>
                <w:sz w:val="21"/>
                <w:szCs w:val="21"/>
              </w:rPr>
              <w:t>差：服务方案存在内容缺失，措施不合理、不具有针对性的，不加分。</w:t>
            </w:r>
          </w:p>
          <w:p w14:paraId="06EEFDEA">
            <w:pPr>
              <w:pStyle w:val="16"/>
              <w:rPr>
                <w:rFonts w:hAnsi="宋体" w:cs="宋体"/>
                <w:kern w:val="2"/>
                <w:sz w:val="21"/>
                <w:szCs w:val="21"/>
              </w:rPr>
            </w:pPr>
            <w:r>
              <w:rPr>
                <w:rFonts w:hint="eastAsia" w:hAnsi="宋体" w:cs="宋体"/>
                <w:sz w:val="21"/>
                <w:szCs w:val="21"/>
              </w:rPr>
              <w:t>未提供证明材料或提供的不符合或专家无法凭所提供材料判断是否得分的情况，一律作不得分处理。</w:t>
            </w:r>
          </w:p>
        </w:tc>
      </w:tr>
      <w:tr w14:paraId="5CE2D4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continue"/>
            <w:tcBorders>
              <w:left w:val="single" w:color="000000" w:sz="8" w:space="0"/>
              <w:right w:val="single" w:color="000000" w:sz="8" w:space="0"/>
            </w:tcBorders>
            <w:vAlign w:val="center"/>
          </w:tcPr>
          <w:p w14:paraId="3D162446">
            <w:pPr>
              <w:jc w:val="center"/>
              <w:rPr>
                <w:rFonts w:ascii="宋体" w:hAnsi="宋体" w:cs="宋体"/>
                <w:b/>
                <w:bCs/>
                <w:color w:val="0000FF"/>
                <w:szCs w:val="21"/>
              </w:rPr>
            </w:pPr>
          </w:p>
        </w:tc>
        <w:tc>
          <w:tcPr>
            <w:tcW w:w="671" w:type="dxa"/>
            <w:tcBorders>
              <w:top w:val="single" w:color="000000" w:sz="8" w:space="0"/>
              <w:left w:val="single" w:color="000000" w:sz="8" w:space="0"/>
              <w:bottom w:val="single" w:color="000000" w:sz="8" w:space="0"/>
              <w:right w:val="single" w:color="000000" w:sz="8" w:space="0"/>
            </w:tcBorders>
            <w:vAlign w:val="center"/>
          </w:tcPr>
          <w:p w14:paraId="35F8688C">
            <w:pPr>
              <w:widowControl/>
              <w:wordWrap w:val="0"/>
              <w:jc w:val="center"/>
              <w:textAlignment w:val="top"/>
              <w:rPr>
                <w:rFonts w:ascii="宋体" w:hAnsi="宋体" w:cs="宋体"/>
                <w:szCs w:val="21"/>
              </w:rPr>
            </w:pPr>
            <w:r>
              <w:rPr>
                <w:rFonts w:hint="eastAsia" w:ascii="宋体" w:hAnsi="宋体" w:cs="宋体"/>
                <w:szCs w:val="21"/>
              </w:rPr>
              <w:t>4</w:t>
            </w:r>
          </w:p>
        </w:tc>
        <w:tc>
          <w:tcPr>
            <w:tcW w:w="25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EEEDE5">
            <w:pPr>
              <w:wordWrap w:val="0"/>
              <w:spacing w:line="360" w:lineRule="auto"/>
              <w:jc w:val="center"/>
              <w:rPr>
                <w:rFonts w:ascii="宋体" w:hAnsi="宋体" w:cs="宋体"/>
                <w:szCs w:val="21"/>
              </w:rPr>
            </w:pPr>
            <w:r>
              <w:rPr>
                <w:rFonts w:hint="eastAsia" w:ascii="宋体" w:hAnsi="宋体" w:cs="宋体"/>
                <w:szCs w:val="21"/>
              </w:rPr>
              <w:t>运输能力</w:t>
            </w:r>
          </w:p>
        </w:tc>
        <w:tc>
          <w:tcPr>
            <w:tcW w:w="9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D311F0">
            <w:pPr>
              <w:wordWrap w:val="0"/>
              <w:spacing w:line="360" w:lineRule="auto"/>
              <w:jc w:val="center"/>
              <w:rPr>
                <w:rFonts w:ascii="宋体" w:hAnsi="宋体" w:cs="宋体"/>
                <w:szCs w:val="21"/>
              </w:rPr>
            </w:pPr>
            <w:r>
              <w:rPr>
                <w:rFonts w:hint="eastAsia" w:ascii="宋体" w:hAnsi="宋体" w:cs="宋体"/>
                <w:szCs w:val="21"/>
              </w:rPr>
              <w:t>4</w:t>
            </w:r>
          </w:p>
        </w:tc>
        <w:tc>
          <w:tcPr>
            <w:tcW w:w="41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D1B06F">
            <w:pPr>
              <w:wordWrap w:val="0"/>
              <w:jc w:val="left"/>
              <w:rPr>
                <w:rFonts w:ascii="宋体" w:hAnsi="宋体" w:cs="宋体"/>
                <w:b/>
                <w:bCs/>
                <w:szCs w:val="21"/>
              </w:rPr>
            </w:pPr>
            <w:r>
              <w:rPr>
                <w:rFonts w:hint="eastAsia" w:ascii="宋体" w:hAnsi="宋体" w:cs="宋体"/>
                <w:b/>
                <w:bCs/>
                <w:szCs w:val="21"/>
              </w:rPr>
              <w:t>（一）评分内容：</w:t>
            </w:r>
          </w:p>
          <w:p w14:paraId="3974316A">
            <w:pPr>
              <w:wordWrap w:val="0"/>
              <w:jc w:val="left"/>
              <w:rPr>
                <w:rFonts w:ascii="宋体" w:hAnsi="宋体" w:cs="宋体"/>
                <w:szCs w:val="21"/>
              </w:rPr>
            </w:pPr>
            <w:r>
              <w:rPr>
                <w:rFonts w:hint="eastAsia" w:ascii="宋体" w:hAnsi="宋体" w:cs="宋体"/>
                <w:szCs w:val="21"/>
              </w:rPr>
              <w:t>投标人自有或租赁运输车辆，每提供一辆运输车辆得5</w:t>
            </w:r>
            <w:r>
              <w:rPr>
                <w:rFonts w:ascii="宋体" w:hAnsi="宋体" w:cs="宋体"/>
                <w:szCs w:val="21"/>
              </w:rPr>
              <w:t>0</w:t>
            </w:r>
            <w:r>
              <w:rPr>
                <w:rFonts w:hint="eastAsia" w:ascii="宋体" w:hAnsi="宋体" w:cs="宋体"/>
                <w:szCs w:val="21"/>
              </w:rPr>
              <w:t>分，最高100分。</w:t>
            </w:r>
          </w:p>
          <w:p w14:paraId="7CDD6DB5">
            <w:pPr>
              <w:wordWrap w:val="0"/>
              <w:jc w:val="left"/>
              <w:rPr>
                <w:rFonts w:ascii="宋体" w:hAnsi="宋体" w:cs="宋体"/>
                <w:b/>
                <w:bCs/>
                <w:szCs w:val="21"/>
              </w:rPr>
            </w:pPr>
            <w:r>
              <w:rPr>
                <w:rFonts w:hint="eastAsia" w:ascii="宋体" w:hAnsi="宋体" w:cs="宋体"/>
                <w:b/>
                <w:bCs/>
                <w:szCs w:val="21"/>
              </w:rPr>
              <w:t>（二）评分依据：</w:t>
            </w:r>
          </w:p>
          <w:p w14:paraId="32BA17FB">
            <w:pPr>
              <w:wordWrap w:val="0"/>
              <w:jc w:val="left"/>
              <w:rPr>
                <w:rFonts w:ascii="宋体" w:hAnsi="宋体" w:cs="宋体"/>
                <w:szCs w:val="21"/>
              </w:rPr>
            </w:pPr>
            <w:r>
              <w:rPr>
                <w:rFonts w:hint="eastAsia" w:ascii="宋体" w:hAnsi="宋体" w:cs="宋体"/>
                <w:szCs w:val="21"/>
              </w:rPr>
              <w:t>1、若提供自有车辆的，</w:t>
            </w:r>
            <w:r>
              <w:rPr>
                <w:rFonts w:hint="eastAsia" w:ascii="宋体" w:hAnsi="宋体" w:cs="宋体"/>
                <w:szCs w:val="21"/>
                <w:lang w:val="en-US" w:eastAsia="zh-CN"/>
              </w:rPr>
              <w:t>需</w:t>
            </w:r>
            <w:r>
              <w:rPr>
                <w:rFonts w:hint="eastAsia" w:ascii="宋体" w:hAnsi="宋体" w:cs="宋体"/>
                <w:szCs w:val="21"/>
              </w:rPr>
              <w:t>提供车辆外观照片</w:t>
            </w:r>
            <w:r>
              <w:rPr>
                <w:rFonts w:hint="eastAsia" w:ascii="宋体" w:hAnsi="宋体" w:cs="宋体"/>
                <w:szCs w:val="21"/>
                <w:lang w:val="en-US" w:eastAsia="zh-CN"/>
              </w:rPr>
              <w:t>和</w:t>
            </w:r>
            <w:r>
              <w:rPr>
                <w:rFonts w:hint="eastAsia" w:ascii="宋体" w:hAnsi="宋体" w:cs="宋体"/>
                <w:szCs w:val="21"/>
              </w:rPr>
              <w:t>购买发票扫描件</w:t>
            </w:r>
            <w:r>
              <w:rPr>
                <w:rFonts w:hint="eastAsia" w:ascii="宋体" w:hAnsi="宋体" w:cs="宋体"/>
                <w:szCs w:val="21"/>
                <w:lang w:val="en-US" w:eastAsia="zh-CN"/>
              </w:rPr>
              <w:t>和</w:t>
            </w:r>
            <w:r>
              <w:rPr>
                <w:rFonts w:hint="eastAsia" w:ascii="宋体" w:hAnsi="宋体" w:cs="宋体"/>
                <w:szCs w:val="21"/>
              </w:rPr>
              <w:t>行驶证扫描件；</w:t>
            </w:r>
          </w:p>
          <w:p w14:paraId="1CECF332">
            <w:pPr>
              <w:wordWrap w:val="0"/>
              <w:jc w:val="left"/>
              <w:rPr>
                <w:rFonts w:ascii="宋体" w:hAnsi="宋体" w:cs="宋体"/>
                <w:szCs w:val="21"/>
              </w:rPr>
            </w:pPr>
            <w:r>
              <w:rPr>
                <w:rFonts w:hint="eastAsia" w:ascii="宋体" w:hAnsi="宋体" w:cs="宋体"/>
                <w:szCs w:val="21"/>
              </w:rPr>
              <w:t>2、若投标人提供租赁车辆的，</w:t>
            </w:r>
            <w:r>
              <w:rPr>
                <w:rFonts w:hint="eastAsia" w:ascii="宋体" w:hAnsi="宋体" w:cs="宋体"/>
                <w:szCs w:val="21"/>
                <w:lang w:val="en-US" w:eastAsia="zh-CN"/>
              </w:rPr>
              <w:t>需</w:t>
            </w:r>
            <w:r>
              <w:rPr>
                <w:rFonts w:hint="eastAsia" w:ascii="宋体" w:hAnsi="宋体" w:cs="宋体"/>
                <w:szCs w:val="21"/>
              </w:rPr>
              <w:t>提供车辆租赁协议扫描件</w:t>
            </w:r>
            <w:r>
              <w:rPr>
                <w:rFonts w:hint="eastAsia" w:ascii="宋体" w:hAnsi="宋体" w:cs="宋体"/>
                <w:szCs w:val="21"/>
                <w:lang w:val="en-US" w:eastAsia="zh-CN"/>
              </w:rPr>
              <w:t>和</w:t>
            </w:r>
            <w:r>
              <w:rPr>
                <w:rFonts w:hint="eastAsia" w:ascii="宋体" w:hAnsi="宋体" w:cs="宋体"/>
                <w:szCs w:val="21"/>
              </w:rPr>
              <w:t>车辆外观照片</w:t>
            </w:r>
            <w:r>
              <w:rPr>
                <w:rFonts w:hint="eastAsia" w:ascii="宋体" w:hAnsi="宋体" w:cs="宋体"/>
                <w:szCs w:val="21"/>
                <w:lang w:val="en-US" w:eastAsia="zh-CN"/>
              </w:rPr>
              <w:t>和租赁</w:t>
            </w:r>
            <w:r>
              <w:rPr>
                <w:rFonts w:hint="eastAsia" w:ascii="宋体" w:hAnsi="宋体" w:cs="宋体"/>
                <w:szCs w:val="21"/>
              </w:rPr>
              <w:t>发票扫描件</w:t>
            </w:r>
            <w:r>
              <w:rPr>
                <w:rFonts w:hint="eastAsia" w:ascii="宋体" w:hAnsi="宋体" w:cs="宋体"/>
                <w:szCs w:val="21"/>
                <w:lang w:val="en-US" w:eastAsia="zh-CN"/>
              </w:rPr>
              <w:t>和</w:t>
            </w:r>
            <w:r>
              <w:rPr>
                <w:rFonts w:hint="eastAsia" w:ascii="宋体" w:hAnsi="宋体" w:cs="宋体"/>
                <w:szCs w:val="21"/>
              </w:rPr>
              <w:t>行驶证扫描件。</w:t>
            </w:r>
          </w:p>
        </w:tc>
      </w:tr>
      <w:tr w14:paraId="46EA1A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tcBorders>
              <w:left w:val="single" w:color="000000" w:sz="8" w:space="0"/>
              <w:right w:val="single" w:color="000000" w:sz="8" w:space="0"/>
            </w:tcBorders>
            <w:shd w:val="clear" w:color="auto" w:fill="auto"/>
            <w:vAlign w:val="center"/>
          </w:tcPr>
          <w:p w14:paraId="2FC15523">
            <w:pPr>
              <w:widowControl/>
              <w:wordWrap w:val="0"/>
              <w:jc w:val="center"/>
              <w:rPr>
                <w:b/>
                <w:bCs/>
                <w:color w:val="0000FF"/>
                <w:sz w:val="24"/>
              </w:rPr>
            </w:pPr>
            <w:r>
              <w:rPr>
                <w:rFonts w:ascii="宋体" w:hAnsi="宋体" w:cs="宋体"/>
                <w:b/>
                <w:bCs/>
                <w:color w:val="0000FF"/>
                <w:kern w:val="0"/>
                <w:sz w:val="24"/>
                <w:lang w:bidi="ar"/>
              </w:rPr>
              <w:t>3</w:t>
            </w:r>
          </w:p>
        </w:tc>
        <w:tc>
          <w:tcPr>
            <w:tcW w:w="4228"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10075589">
            <w:pPr>
              <w:widowControl/>
              <w:wordWrap w:val="0"/>
              <w:jc w:val="center"/>
              <w:textAlignment w:val="top"/>
              <w:rPr>
                <w:rFonts w:ascii="宋体" w:hAnsi="宋体" w:cs="宋体"/>
                <w:szCs w:val="21"/>
              </w:rPr>
            </w:pPr>
            <w:r>
              <w:rPr>
                <w:rFonts w:ascii="宋体" w:hAnsi="宋体" w:cs="宋体"/>
                <w:b/>
                <w:bCs/>
                <w:color w:val="0000FF"/>
                <w:kern w:val="0"/>
                <w:sz w:val="24"/>
                <w:lang w:bidi="ar"/>
              </w:rPr>
              <w:t>商务</w:t>
            </w:r>
            <w:r>
              <w:rPr>
                <w:rFonts w:hint="eastAsia" w:ascii="宋体" w:hAnsi="宋体" w:cs="宋体"/>
                <w:b/>
                <w:bCs/>
                <w:color w:val="0000FF"/>
                <w:kern w:val="0"/>
                <w:sz w:val="24"/>
                <w:lang w:bidi="ar"/>
              </w:rPr>
              <w:t>部分</w:t>
            </w:r>
          </w:p>
        </w:tc>
        <w:tc>
          <w:tcPr>
            <w:tcW w:w="4173" w:type="dxa"/>
            <w:tcBorders>
              <w:top w:val="single" w:color="000000" w:sz="8" w:space="0"/>
              <w:left w:val="single" w:color="000000" w:sz="8" w:space="0"/>
              <w:bottom w:val="single" w:color="000000" w:sz="8" w:space="0"/>
              <w:right w:val="single" w:color="000000" w:sz="8" w:space="0"/>
            </w:tcBorders>
            <w:vAlign w:val="center"/>
          </w:tcPr>
          <w:p w14:paraId="4E25659A">
            <w:pPr>
              <w:widowControl/>
              <w:jc w:val="center"/>
              <w:rPr>
                <w:rFonts w:ascii="宋体" w:hAnsi="宋体"/>
                <w:color w:val="000000"/>
                <w:szCs w:val="21"/>
              </w:rPr>
            </w:pPr>
            <w:r>
              <w:rPr>
                <w:rFonts w:hint="eastAsia" w:ascii="宋体" w:hAnsi="宋体" w:cs="宋体"/>
                <w:b/>
                <w:bCs/>
                <w:color w:val="0000FF"/>
                <w:kern w:val="0"/>
                <w:sz w:val="24"/>
                <w:lang w:bidi="ar"/>
              </w:rPr>
              <w:t>20</w:t>
            </w:r>
          </w:p>
        </w:tc>
      </w:tr>
      <w:tr w14:paraId="7F724C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tcBorders>
              <w:left w:val="single" w:color="000000" w:sz="8" w:space="0"/>
              <w:right w:val="single" w:color="000000" w:sz="8" w:space="0"/>
            </w:tcBorders>
            <w:vAlign w:val="center"/>
          </w:tcPr>
          <w:p w14:paraId="7E8A3A09">
            <w:pPr>
              <w:jc w:val="center"/>
              <w:rPr>
                <w:rFonts w:ascii="宋体" w:hAnsi="宋体" w:cs="宋体"/>
                <w:b/>
                <w:bCs/>
                <w:color w:val="0000FF"/>
                <w:szCs w:val="21"/>
              </w:rPr>
            </w:pPr>
          </w:p>
        </w:tc>
        <w:tc>
          <w:tcPr>
            <w:tcW w:w="671"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79D5203">
            <w:pPr>
              <w:widowControl/>
              <w:wordWrap w:val="0"/>
              <w:jc w:val="center"/>
              <w:rPr>
                <w:szCs w:val="21"/>
              </w:rPr>
            </w:pPr>
            <w:r>
              <w:rPr>
                <w:rFonts w:ascii="宋体" w:hAnsi="宋体" w:cs="宋体"/>
                <w:kern w:val="0"/>
                <w:szCs w:val="21"/>
                <w:lang w:bidi="ar"/>
              </w:rPr>
              <w:t>序号</w:t>
            </w:r>
          </w:p>
        </w:tc>
        <w:tc>
          <w:tcPr>
            <w:tcW w:w="257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5557C67">
            <w:pPr>
              <w:widowControl/>
              <w:wordWrap w:val="0"/>
              <w:jc w:val="center"/>
              <w:rPr>
                <w:szCs w:val="21"/>
              </w:rPr>
            </w:pPr>
            <w:r>
              <w:rPr>
                <w:rFonts w:ascii="宋体" w:hAnsi="宋体" w:cs="宋体"/>
                <w:kern w:val="0"/>
                <w:szCs w:val="21"/>
                <w:lang w:bidi="ar"/>
              </w:rPr>
              <w:t>评分因素</w:t>
            </w:r>
          </w:p>
        </w:tc>
        <w:tc>
          <w:tcPr>
            <w:tcW w:w="983"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A16A605">
            <w:pPr>
              <w:widowControl/>
              <w:wordWrap w:val="0"/>
              <w:jc w:val="center"/>
              <w:rPr>
                <w:szCs w:val="21"/>
              </w:rPr>
            </w:pPr>
            <w:r>
              <w:rPr>
                <w:rFonts w:ascii="宋体" w:hAnsi="宋体" w:cs="宋体"/>
                <w:kern w:val="0"/>
                <w:szCs w:val="21"/>
                <w:lang w:bidi="ar"/>
              </w:rPr>
              <w:t>权重</w:t>
            </w:r>
            <w:r>
              <w:rPr>
                <w:rFonts w:hint="eastAsia" w:ascii="宋体" w:hAnsi="宋体" w:cs="宋体"/>
                <w:kern w:val="0"/>
                <w:szCs w:val="21"/>
                <w:lang w:eastAsia="zh-CN" w:bidi="ar"/>
              </w:rPr>
              <w:t>（</w:t>
            </w:r>
            <w:r>
              <w:rPr>
                <w:rFonts w:ascii="宋体" w:hAnsi="宋体" w:cs="宋体"/>
                <w:kern w:val="0"/>
                <w:szCs w:val="21"/>
                <w:lang w:bidi="ar"/>
              </w:rPr>
              <w:t>%</w:t>
            </w:r>
            <w:r>
              <w:rPr>
                <w:rFonts w:hint="eastAsia" w:ascii="宋体" w:hAnsi="宋体" w:cs="宋体"/>
                <w:kern w:val="0"/>
                <w:szCs w:val="21"/>
                <w:lang w:eastAsia="zh-CN" w:bidi="ar"/>
              </w:rPr>
              <w:t>）</w:t>
            </w:r>
          </w:p>
        </w:tc>
        <w:tc>
          <w:tcPr>
            <w:tcW w:w="4173"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41A9681">
            <w:pPr>
              <w:widowControl/>
              <w:wordWrap w:val="0"/>
              <w:jc w:val="center"/>
              <w:rPr>
                <w:szCs w:val="21"/>
              </w:rPr>
            </w:pPr>
            <w:r>
              <w:rPr>
                <w:rFonts w:ascii="宋体" w:hAnsi="宋体" w:cs="宋体"/>
                <w:kern w:val="0"/>
                <w:szCs w:val="21"/>
                <w:lang w:bidi="ar"/>
              </w:rPr>
              <w:t>评分准则</w:t>
            </w:r>
          </w:p>
        </w:tc>
      </w:tr>
      <w:tr w14:paraId="637CBA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tcBorders>
              <w:left w:val="single" w:color="000000" w:sz="8" w:space="0"/>
              <w:right w:val="single" w:color="000000" w:sz="8" w:space="0"/>
            </w:tcBorders>
            <w:vAlign w:val="center"/>
          </w:tcPr>
          <w:p w14:paraId="1CE8A4E6">
            <w:pPr>
              <w:jc w:val="center"/>
              <w:rPr>
                <w:rFonts w:ascii="宋体" w:hAnsi="宋体" w:cs="宋体"/>
                <w:b/>
                <w:bCs/>
                <w:color w:val="0000FF"/>
                <w:szCs w:val="21"/>
              </w:rPr>
            </w:pPr>
          </w:p>
        </w:tc>
        <w:tc>
          <w:tcPr>
            <w:tcW w:w="6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3F80D1">
            <w:pPr>
              <w:wordWrap w:val="0"/>
              <w:spacing w:line="360" w:lineRule="auto"/>
              <w:jc w:val="center"/>
              <w:rPr>
                <w:rFonts w:ascii="宋体" w:hAnsi="宋体" w:cs="宋体"/>
                <w:szCs w:val="21"/>
              </w:rPr>
            </w:pPr>
            <w:r>
              <w:rPr>
                <w:rFonts w:hint="eastAsia" w:ascii="宋体" w:hAnsi="宋体" w:cs="宋体"/>
                <w:szCs w:val="21"/>
              </w:rPr>
              <w:t>1</w:t>
            </w:r>
          </w:p>
        </w:tc>
        <w:tc>
          <w:tcPr>
            <w:tcW w:w="25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820879">
            <w:pPr>
              <w:autoSpaceDE w:val="0"/>
              <w:autoSpaceDN w:val="0"/>
              <w:adjustRightInd w:val="0"/>
              <w:snapToGrid w:val="0"/>
              <w:spacing w:line="360" w:lineRule="auto"/>
              <w:jc w:val="center"/>
              <w:rPr>
                <w:rFonts w:ascii="宋体" w:hAnsi="宋体" w:cs="宋体"/>
                <w:szCs w:val="21"/>
              </w:rPr>
            </w:pPr>
            <w:r>
              <w:rPr>
                <w:rFonts w:hint="eastAsia" w:ascii="宋体" w:hAnsi="宋体" w:cs="宋体"/>
                <w:szCs w:val="21"/>
              </w:rPr>
              <w:t>同类项目业绩</w:t>
            </w:r>
          </w:p>
        </w:tc>
        <w:tc>
          <w:tcPr>
            <w:tcW w:w="9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D9AAEB">
            <w:pPr>
              <w:autoSpaceDE w:val="0"/>
              <w:autoSpaceDN w:val="0"/>
              <w:adjustRightInd w:val="0"/>
              <w:snapToGrid w:val="0"/>
              <w:spacing w:line="360" w:lineRule="auto"/>
              <w:jc w:val="center"/>
              <w:rPr>
                <w:rFonts w:ascii="宋体" w:hAnsi="宋体" w:cs="宋体"/>
                <w:szCs w:val="21"/>
              </w:rPr>
            </w:pPr>
            <w:r>
              <w:rPr>
                <w:rFonts w:ascii="宋体" w:hAnsi="宋体" w:cs="宋体"/>
                <w:szCs w:val="21"/>
              </w:rPr>
              <w:t>10</w:t>
            </w:r>
          </w:p>
        </w:tc>
        <w:tc>
          <w:tcPr>
            <w:tcW w:w="41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46B8BB">
            <w:pPr>
              <w:wordWrap w:val="0"/>
              <w:jc w:val="left"/>
              <w:rPr>
                <w:rFonts w:ascii="宋体" w:hAnsi="宋体" w:cs="宋体"/>
                <w:b/>
                <w:szCs w:val="21"/>
              </w:rPr>
            </w:pPr>
            <w:r>
              <w:rPr>
                <w:rFonts w:hint="eastAsia" w:ascii="宋体" w:hAnsi="宋体" w:cs="宋体"/>
                <w:b/>
                <w:szCs w:val="21"/>
              </w:rPr>
              <w:t>（一）评分内容</w:t>
            </w:r>
          </w:p>
          <w:p w14:paraId="06CDCD4F">
            <w:pPr>
              <w:wordWrap w:val="0"/>
              <w:jc w:val="left"/>
              <w:rPr>
                <w:rFonts w:ascii="宋体" w:hAnsi="宋体" w:cs="宋体"/>
                <w:szCs w:val="21"/>
              </w:rPr>
            </w:pPr>
            <w:r>
              <w:rPr>
                <w:rFonts w:hint="eastAsia" w:ascii="宋体" w:hAnsi="宋体" w:cs="宋体"/>
                <w:szCs w:val="21"/>
              </w:rPr>
              <w:t>提供2022年1</w:t>
            </w:r>
            <w:r>
              <w:rPr>
                <w:rFonts w:hint="eastAsia" w:ascii="宋体" w:hAnsi="宋体" w:cs="宋体"/>
                <w:szCs w:val="21"/>
                <w:lang w:val="en-US" w:eastAsia="zh-CN"/>
              </w:rPr>
              <w:t>0</w:t>
            </w:r>
            <w:r>
              <w:rPr>
                <w:rFonts w:hint="eastAsia" w:ascii="宋体" w:hAnsi="宋体" w:cs="宋体"/>
                <w:szCs w:val="21"/>
              </w:rPr>
              <w:t>月1日至本项目投标截止日（以合同签订日期为准）</w:t>
            </w:r>
            <w:r>
              <w:rPr>
                <w:rFonts w:hint="eastAsia" w:ascii="宋体" w:hAnsi="宋体" w:cs="宋体"/>
                <w:szCs w:val="21"/>
                <w:lang w:val="en-US" w:eastAsia="zh-CN"/>
              </w:rPr>
              <w:t>投标人承接的</w:t>
            </w:r>
            <w:r>
              <w:rPr>
                <w:rFonts w:hint="eastAsia" w:ascii="宋体" w:hAnsi="宋体" w:cs="宋体"/>
                <w:szCs w:val="21"/>
              </w:rPr>
              <w:t>放射性药品供货业绩（</w:t>
            </w:r>
            <w:r>
              <w:rPr>
                <w:rFonts w:hint="eastAsia" w:ascii="宋体" w:hAnsi="宋体" w:cs="宋体"/>
                <w:szCs w:val="21"/>
                <w:lang w:val="en-US" w:eastAsia="zh-CN"/>
              </w:rPr>
              <w:t>业绩需</w:t>
            </w:r>
            <w:r>
              <w:rPr>
                <w:rFonts w:hint="eastAsia" w:ascii="宋体" w:hAnsi="宋体" w:cs="宋体"/>
                <w:szCs w:val="21"/>
              </w:rPr>
              <w:t>项目履约验收完毕且合格），每提供一项得</w:t>
            </w:r>
            <w:r>
              <w:rPr>
                <w:rFonts w:ascii="宋体" w:hAnsi="宋体" w:cs="宋体"/>
                <w:szCs w:val="21"/>
              </w:rPr>
              <w:t>2</w:t>
            </w:r>
            <w:r>
              <w:rPr>
                <w:rFonts w:hint="eastAsia" w:ascii="宋体" w:hAnsi="宋体" w:cs="宋体"/>
                <w:szCs w:val="21"/>
              </w:rPr>
              <w:t>0分，最高得</w:t>
            </w:r>
            <w:r>
              <w:rPr>
                <w:rFonts w:ascii="宋体" w:hAnsi="宋体" w:cs="宋体"/>
                <w:szCs w:val="21"/>
              </w:rPr>
              <w:t>10</w:t>
            </w:r>
            <w:r>
              <w:rPr>
                <w:rFonts w:hint="eastAsia" w:ascii="宋体" w:hAnsi="宋体" w:cs="宋体"/>
                <w:szCs w:val="21"/>
              </w:rPr>
              <w:t>0分，长期续签合同只计算一个业绩。</w:t>
            </w:r>
          </w:p>
          <w:p w14:paraId="4A4432DE">
            <w:pPr>
              <w:wordWrap w:val="0"/>
              <w:jc w:val="left"/>
              <w:rPr>
                <w:rFonts w:ascii="宋体" w:hAnsi="宋体" w:cs="宋体"/>
                <w:b/>
                <w:bCs/>
                <w:szCs w:val="21"/>
              </w:rPr>
            </w:pPr>
            <w:r>
              <w:rPr>
                <w:rFonts w:hint="eastAsia" w:ascii="宋体" w:hAnsi="宋体" w:cs="宋体"/>
                <w:b/>
                <w:bCs/>
                <w:szCs w:val="21"/>
              </w:rPr>
              <w:t>（二）评分依据：</w:t>
            </w:r>
          </w:p>
          <w:p w14:paraId="56B86277">
            <w:pPr>
              <w:wordWrap w:val="0"/>
              <w:jc w:val="left"/>
              <w:rPr>
                <w:rFonts w:hint="eastAsia" w:ascii="宋体" w:hAnsi="宋体" w:cs="宋体"/>
                <w:szCs w:val="21"/>
              </w:rPr>
            </w:pPr>
            <w:r>
              <w:rPr>
                <w:rFonts w:hint="eastAsia" w:ascii="宋体" w:hAnsi="宋体" w:cs="宋体"/>
                <w:szCs w:val="21"/>
              </w:rPr>
              <w:t>1、提供合同关键页（应包含但不限于合同签约主体名称、项目（合同）名称、涉及业绩评分的内容、签订合同时间、签约主体公章等关键信息）和项目履约验收完毕且合格的</w:t>
            </w:r>
            <w:r>
              <w:rPr>
                <w:rFonts w:hint="eastAsia" w:ascii="宋体" w:hAnsi="宋体" w:cs="宋体"/>
                <w:szCs w:val="21"/>
                <w:lang w:val="en-US" w:eastAsia="zh-CN"/>
              </w:rPr>
              <w:t>相关</w:t>
            </w:r>
            <w:r>
              <w:rPr>
                <w:rFonts w:hint="eastAsia" w:ascii="宋体" w:hAnsi="宋体" w:cs="宋体"/>
                <w:szCs w:val="21"/>
              </w:rPr>
              <w:t>证明材料；</w:t>
            </w:r>
          </w:p>
          <w:p w14:paraId="4889D350">
            <w:pPr>
              <w:wordWrap w:val="0"/>
              <w:jc w:val="left"/>
              <w:rPr>
                <w:rFonts w:hint="eastAsia" w:ascii="宋体" w:hAnsi="宋体" w:cs="宋体"/>
                <w:szCs w:val="21"/>
              </w:rPr>
            </w:pPr>
            <w:r>
              <w:rPr>
                <w:rFonts w:hint="eastAsia" w:ascii="宋体" w:hAnsi="宋体" w:cs="宋体"/>
                <w:szCs w:val="21"/>
              </w:rPr>
              <w:t>2、以上资料均要求提供扫描件。</w:t>
            </w:r>
          </w:p>
          <w:p w14:paraId="57AE13C2">
            <w:pPr>
              <w:wordWrap w:val="0"/>
              <w:jc w:val="left"/>
              <w:rPr>
                <w:rFonts w:ascii="宋体" w:hAnsi="宋体" w:cs="宋体"/>
                <w:szCs w:val="21"/>
              </w:rPr>
            </w:pPr>
            <w:r>
              <w:rPr>
                <w:rFonts w:hint="eastAsia" w:ascii="宋体" w:hAnsi="宋体" w:cs="宋体"/>
                <w:szCs w:val="21"/>
              </w:rPr>
              <w:t>未提供证明材料或提供的不符合或专家无法凭所提供材料判断是否得分的情况，一律作不得分处理。</w:t>
            </w:r>
          </w:p>
        </w:tc>
      </w:tr>
      <w:tr w14:paraId="23C401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tcBorders>
              <w:left w:val="single" w:color="000000" w:sz="8" w:space="0"/>
              <w:right w:val="single" w:color="000000" w:sz="8" w:space="0"/>
            </w:tcBorders>
            <w:vAlign w:val="center"/>
          </w:tcPr>
          <w:p w14:paraId="40D298D6">
            <w:pPr>
              <w:jc w:val="center"/>
              <w:rPr>
                <w:rFonts w:ascii="宋体" w:hAnsi="宋体" w:cs="宋体"/>
                <w:b/>
                <w:bCs/>
                <w:color w:val="0000FF"/>
                <w:szCs w:val="21"/>
              </w:rPr>
            </w:pPr>
          </w:p>
        </w:tc>
        <w:tc>
          <w:tcPr>
            <w:tcW w:w="6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3E6CD5">
            <w:pPr>
              <w:wordWrap w:val="0"/>
              <w:spacing w:line="360" w:lineRule="auto"/>
              <w:jc w:val="center"/>
              <w:rPr>
                <w:rFonts w:ascii="宋体" w:hAnsi="宋体" w:cs="宋体"/>
                <w:kern w:val="0"/>
                <w:szCs w:val="21"/>
              </w:rPr>
            </w:pPr>
            <w:r>
              <w:rPr>
                <w:rFonts w:hint="eastAsia" w:ascii="宋体" w:hAnsi="宋体" w:cs="宋体"/>
                <w:szCs w:val="21"/>
              </w:rPr>
              <w:t>2</w:t>
            </w:r>
          </w:p>
        </w:tc>
        <w:tc>
          <w:tcPr>
            <w:tcW w:w="25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03D1E6">
            <w:pPr>
              <w:wordWrap w:val="0"/>
              <w:spacing w:line="360" w:lineRule="auto"/>
              <w:jc w:val="center"/>
              <w:rPr>
                <w:rFonts w:ascii="宋体" w:hAnsi="宋体" w:cs="宋体"/>
                <w:szCs w:val="21"/>
              </w:rPr>
            </w:pPr>
            <w:r>
              <w:rPr>
                <w:rFonts w:hint="eastAsia" w:ascii="宋体" w:hAnsi="宋体" w:cs="宋体"/>
                <w:szCs w:val="21"/>
              </w:rPr>
              <w:t>履约评价</w:t>
            </w:r>
          </w:p>
        </w:tc>
        <w:tc>
          <w:tcPr>
            <w:tcW w:w="9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76DB50">
            <w:pPr>
              <w:wordWrap w:val="0"/>
              <w:spacing w:line="360" w:lineRule="auto"/>
              <w:jc w:val="center"/>
              <w:rPr>
                <w:rFonts w:ascii="宋体" w:hAnsi="宋体" w:cs="宋体"/>
                <w:szCs w:val="21"/>
              </w:rPr>
            </w:pPr>
            <w:r>
              <w:rPr>
                <w:rFonts w:ascii="宋体" w:hAnsi="宋体" w:cs="宋体"/>
                <w:szCs w:val="21"/>
              </w:rPr>
              <w:t>10</w:t>
            </w:r>
          </w:p>
        </w:tc>
        <w:tc>
          <w:tcPr>
            <w:tcW w:w="41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EA13DE">
            <w:pPr>
              <w:pStyle w:val="18"/>
              <w:spacing w:line="240" w:lineRule="auto"/>
              <w:rPr>
                <w:rFonts w:ascii="宋体" w:hAnsi="宋体" w:cs="宋体"/>
                <w:sz w:val="21"/>
                <w:szCs w:val="21"/>
              </w:rPr>
            </w:pPr>
            <w:r>
              <w:rPr>
                <w:rFonts w:hint="eastAsia" w:ascii="宋体" w:hAnsi="宋体" w:cs="宋体"/>
                <w:sz w:val="21"/>
                <w:szCs w:val="21"/>
              </w:rPr>
              <w:t>（一）评分内容：</w:t>
            </w:r>
          </w:p>
          <w:p w14:paraId="79F3C1E5">
            <w:pPr>
              <w:wordWrap w:val="0"/>
              <w:jc w:val="left"/>
              <w:rPr>
                <w:rFonts w:ascii="宋体" w:hAnsi="宋体" w:cs="宋体"/>
                <w:szCs w:val="21"/>
              </w:rPr>
            </w:pPr>
            <w:r>
              <w:rPr>
                <w:rFonts w:hint="eastAsia" w:ascii="宋体" w:hAnsi="宋体" w:cs="宋体"/>
                <w:szCs w:val="21"/>
              </w:rPr>
              <w:t>在上述中</w:t>
            </w:r>
            <w:r>
              <w:rPr>
                <w:rFonts w:hint="eastAsia" w:ascii="宋体" w:hAnsi="宋体" w:cs="宋体"/>
                <w:szCs w:val="21"/>
                <w:lang w:val="en-US" w:eastAsia="zh-CN"/>
              </w:rPr>
              <w:t>已得分</w:t>
            </w:r>
            <w:r>
              <w:rPr>
                <w:rFonts w:hint="eastAsia" w:ascii="宋体" w:hAnsi="宋体" w:cs="宋体"/>
                <w:szCs w:val="21"/>
              </w:rPr>
              <w:t>的同类项目业绩中，履约评价结果为“优”或“优秀”或“满意”或者履约评价材料中最优评价的，每提供1份得</w:t>
            </w:r>
            <w:r>
              <w:rPr>
                <w:rFonts w:ascii="宋体" w:hAnsi="宋体" w:cs="宋体"/>
                <w:szCs w:val="21"/>
              </w:rPr>
              <w:t>2</w:t>
            </w:r>
            <w:r>
              <w:rPr>
                <w:rFonts w:hint="eastAsia" w:ascii="宋体" w:hAnsi="宋体" w:cs="宋体"/>
                <w:szCs w:val="21"/>
              </w:rPr>
              <w:t>0分，最高得</w:t>
            </w:r>
            <w:r>
              <w:rPr>
                <w:rFonts w:ascii="宋体" w:hAnsi="宋体" w:cs="宋体"/>
                <w:szCs w:val="21"/>
              </w:rPr>
              <w:t>10</w:t>
            </w:r>
            <w:r>
              <w:rPr>
                <w:rFonts w:hint="eastAsia" w:ascii="宋体" w:hAnsi="宋体" w:cs="宋体"/>
                <w:szCs w:val="21"/>
              </w:rPr>
              <w:t>0。（同一个业绩只计算一个履约评价。）</w:t>
            </w:r>
          </w:p>
          <w:p w14:paraId="46982A1E">
            <w:pPr>
              <w:pStyle w:val="18"/>
              <w:spacing w:line="240" w:lineRule="auto"/>
              <w:rPr>
                <w:rFonts w:ascii="宋体" w:hAnsi="宋体" w:cs="宋体"/>
                <w:sz w:val="21"/>
                <w:szCs w:val="21"/>
              </w:rPr>
            </w:pPr>
            <w:r>
              <w:rPr>
                <w:rFonts w:hint="eastAsia" w:ascii="宋体" w:hAnsi="宋体" w:cs="宋体"/>
                <w:sz w:val="21"/>
                <w:szCs w:val="21"/>
              </w:rPr>
              <w:t>（二）评分依据：</w:t>
            </w:r>
          </w:p>
          <w:p w14:paraId="03D4F248">
            <w:pPr>
              <w:wordWrap w:val="0"/>
              <w:jc w:val="left"/>
              <w:rPr>
                <w:rFonts w:ascii="宋体" w:hAnsi="宋体" w:cs="宋体"/>
                <w:szCs w:val="21"/>
              </w:rPr>
            </w:pPr>
            <w:r>
              <w:rPr>
                <w:rFonts w:hint="eastAsia" w:ascii="宋体" w:hAnsi="宋体" w:cs="宋体"/>
                <w:szCs w:val="21"/>
              </w:rPr>
              <w:t>1提供采购单位或被服务单位出具的</w:t>
            </w:r>
            <w:r>
              <w:rPr>
                <w:rFonts w:hint="eastAsia" w:ascii="宋体" w:hAnsi="宋体" w:cs="宋体"/>
                <w:szCs w:val="21"/>
                <w:lang w:val="en-US" w:eastAsia="zh-CN"/>
              </w:rPr>
              <w:t>完整履约周期的</w:t>
            </w:r>
            <w:r>
              <w:rPr>
                <w:rFonts w:hint="eastAsia" w:ascii="宋体" w:hAnsi="宋体" w:cs="宋体"/>
                <w:szCs w:val="21"/>
              </w:rPr>
              <w:t>总体履约评价为“优”或“优秀”或“满意”或者履约评价材料中最优评价的相关证明文件加盖合同甲方公章（或甲方业务章）。证明文件的内容包括但不仅限于合同的项目名称、总体履约评价结果、出具证明的签署日期等相关内容。若提供的证明文件</w:t>
            </w:r>
            <w:r>
              <w:rPr>
                <w:rFonts w:hint="eastAsia" w:ascii="宋体" w:hAnsi="宋体" w:cs="宋体"/>
                <w:szCs w:val="21"/>
                <w:lang w:val="en-US" w:eastAsia="zh-CN"/>
              </w:rPr>
              <w:t>无法体现完整履约周期的或</w:t>
            </w:r>
            <w:r>
              <w:rPr>
                <w:rFonts w:hint="eastAsia" w:ascii="宋体" w:hAnsi="宋体" w:cs="宋体"/>
                <w:szCs w:val="21"/>
              </w:rPr>
              <w:t>其评价结果没有结论而仅是打分的（比如打98分、95分、85分等的），则需</w:t>
            </w:r>
            <w:r>
              <w:rPr>
                <w:rFonts w:hint="eastAsia" w:ascii="宋体" w:hAnsi="宋体" w:cs="宋体"/>
                <w:szCs w:val="21"/>
                <w:lang w:val="en-US" w:eastAsia="zh-CN"/>
              </w:rPr>
              <w:t>提供甲方出具的</w:t>
            </w:r>
            <w:r>
              <w:rPr>
                <w:rFonts w:hint="eastAsia" w:ascii="宋体" w:hAnsi="宋体" w:cs="宋体"/>
                <w:szCs w:val="21"/>
              </w:rPr>
              <w:t>证明</w:t>
            </w:r>
            <w:r>
              <w:rPr>
                <w:rFonts w:hint="eastAsia" w:ascii="宋体" w:hAnsi="宋体" w:cs="宋体"/>
                <w:szCs w:val="21"/>
                <w:lang w:eastAsia="zh-CN"/>
              </w:rPr>
              <w:t>，</w:t>
            </w:r>
            <w:r>
              <w:rPr>
                <w:rFonts w:hint="eastAsia" w:ascii="宋体" w:hAnsi="宋体" w:cs="宋体"/>
                <w:szCs w:val="21"/>
                <w:lang w:val="en-US" w:eastAsia="zh-CN"/>
              </w:rPr>
              <w:t>证明完整履约周期或</w:t>
            </w:r>
            <w:r>
              <w:rPr>
                <w:rFonts w:hint="eastAsia" w:ascii="宋体" w:hAnsi="宋体" w:cs="宋体"/>
                <w:szCs w:val="21"/>
              </w:rPr>
              <w:t>体现该分数为最高等级评价，未体现</w:t>
            </w:r>
            <w:r>
              <w:rPr>
                <w:rFonts w:hint="eastAsia" w:ascii="宋体" w:hAnsi="宋体" w:cs="宋体"/>
                <w:szCs w:val="21"/>
                <w:lang w:val="en-US" w:eastAsia="zh-CN"/>
              </w:rPr>
              <w:t>或</w:t>
            </w:r>
            <w:r>
              <w:rPr>
                <w:rFonts w:hint="eastAsia" w:ascii="宋体" w:hAnsi="宋体" w:cs="宋体"/>
                <w:szCs w:val="21"/>
              </w:rPr>
              <w:t>无法认定的不予计分。</w:t>
            </w:r>
          </w:p>
          <w:p w14:paraId="28D0C9AE">
            <w:pPr>
              <w:wordWrap w:val="0"/>
              <w:jc w:val="left"/>
              <w:rPr>
                <w:rFonts w:ascii="宋体" w:hAnsi="宋体" w:cs="宋体"/>
                <w:b/>
                <w:bCs/>
                <w:snapToGrid w:val="0"/>
                <w:kern w:val="0"/>
                <w:szCs w:val="21"/>
              </w:rPr>
            </w:pPr>
            <w:r>
              <w:rPr>
                <w:rFonts w:hint="eastAsia" w:ascii="宋体" w:hAnsi="宋体" w:cs="宋体"/>
                <w:szCs w:val="21"/>
              </w:rPr>
              <w:t>2.未提供证明材料或提供的不符合或专家无法凭所提供材料判断是否得分的情况，一律作不得分处理。</w:t>
            </w:r>
          </w:p>
        </w:tc>
      </w:tr>
      <w:tr w14:paraId="01C3E5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restart"/>
            <w:tcBorders>
              <w:top w:val="single" w:color="000000" w:sz="8" w:space="0"/>
              <w:left w:val="single" w:color="000000" w:sz="8" w:space="0"/>
              <w:bottom w:val="single" w:color="000000" w:sz="8" w:space="0"/>
              <w:right w:val="single" w:color="000000" w:sz="8" w:space="0"/>
            </w:tcBorders>
            <w:vAlign w:val="center"/>
          </w:tcPr>
          <w:p w14:paraId="17338D2B">
            <w:pPr>
              <w:widowControl/>
              <w:wordWrap w:val="0"/>
              <w:jc w:val="center"/>
              <w:rPr>
                <w:rFonts w:hint="eastAsia" w:ascii="宋体" w:hAnsi="宋体" w:eastAsia="宋体" w:cs="宋体"/>
                <w:b/>
                <w:bCs/>
                <w:color w:val="0000FF"/>
                <w:szCs w:val="21"/>
                <w:lang w:eastAsia="zh-CN"/>
              </w:rPr>
            </w:pPr>
            <w:r>
              <w:rPr>
                <w:rFonts w:hint="eastAsia" w:ascii="宋体" w:hAnsi="宋体" w:cs="宋体"/>
                <w:b/>
                <w:bCs/>
                <w:color w:val="0000FF"/>
                <w:kern w:val="0"/>
                <w:szCs w:val="21"/>
                <w:lang w:val="en-US" w:eastAsia="zh-CN"/>
              </w:rPr>
              <w:t>4</w:t>
            </w:r>
          </w:p>
        </w:tc>
        <w:tc>
          <w:tcPr>
            <w:tcW w:w="4228" w:type="dxa"/>
            <w:gridSpan w:val="3"/>
            <w:tcBorders>
              <w:top w:val="single" w:color="000000" w:sz="8" w:space="0"/>
              <w:left w:val="single" w:color="000000" w:sz="8" w:space="0"/>
              <w:bottom w:val="single" w:color="000000" w:sz="8" w:space="0"/>
              <w:right w:val="single" w:color="000000" w:sz="8" w:space="0"/>
            </w:tcBorders>
            <w:vAlign w:val="center"/>
          </w:tcPr>
          <w:p w14:paraId="39FB61B9">
            <w:pPr>
              <w:widowControl/>
              <w:wordWrap w:val="0"/>
              <w:jc w:val="center"/>
              <w:rPr>
                <w:rFonts w:ascii="宋体" w:hAnsi="宋体" w:cs="宋体"/>
                <w:b/>
                <w:bCs/>
                <w:color w:val="0000FF"/>
                <w:szCs w:val="21"/>
              </w:rPr>
            </w:pPr>
            <w:r>
              <w:rPr>
                <w:rFonts w:hint="eastAsia" w:ascii="宋体" w:hAnsi="宋体" w:cs="宋体"/>
                <w:b/>
                <w:bCs/>
                <w:color w:val="0000FF"/>
                <w:kern w:val="0"/>
                <w:szCs w:val="21"/>
              </w:rPr>
              <w:t>诚信情况</w:t>
            </w:r>
          </w:p>
        </w:tc>
        <w:tc>
          <w:tcPr>
            <w:tcW w:w="4173" w:type="dxa"/>
            <w:tcBorders>
              <w:top w:val="single" w:color="000000" w:sz="8" w:space="0"/>
              <w:left w:val="single" w:color="000000" w:sz="8" w:space="0"/>
              <w:bottom w:val="single" w:color="000000" w:sz="8" w:space="0"/>
              <w:right w:val="single" w:color="000000" w:sz="8" w:space="0"/>
            </w:tcBorders>
            <w:vAlign w:val="center"/>
          </w:tcPr>
          <w:p w14:paraId="6608FAA0">
            <w:pPr>
              <w:widowControl/>
              <w:wordWrap w:val="0"/>
              <w:jc w:val="center"/>
              <w:rPr>
                <w:rFonts w:ascii="宋体" w:hAnsi="宋体" w:cs="宋体"/>
                <w:b/>
                <w:bCs/>
                <w:color w:val="0000FF"/>
                <w:szCs w:val="21"/>
              </w:rPr>
            </w:pPr>
            <w:r>
              <w:rPr>
                <w:rFonts w:hint="eastAsia" w:ascii="宋体" w:hAnsi="宋体" w:cs="宋体"/>
                <w:b/>
                <w:bCs/>
                <w:color w:val="0000FF"/>
                <w:kern w:val="0"/>
                <w:szCs w:val="21"/>
              </w:rPr>
              <w:t>5</w:t>
            </w:r>
          </w:p>
        </w:tc>
      </w:tr>
      <w:tr w14:paraId="1859FB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21B76742">
            <w:pPr>
              <w:jc w:val="center"/>
              <w:rPr>
                <w:rFonts w:ascii="宋体" w:hAnsi="宋体" w:cs="宋体"/>
                <w:b/>
                <w:bCs/>
                <w:color w:val="0000FF"/>
                <w:szCs w:val="21"/>
              </w:rPr>
            </w:pPr>
          </w:p>
        </w:tc>
        <w:tc>
          <w:tcPr>
            <w:tcW w:w="67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A9F29FD">
            <w:pPr>
              <w:widowControl/>
              <w:wordWrap w:val="0"/>
              <w:jc w:val="center"/>
              <w:rPr>
                <w:rFonts w:ascii="宋体" w:hAnsi="宋体" w:cs="宋体"/>
                <w:szCs w:val="21"/>
              </w:rPr>
            </w:pPr>
            <w:r>
              <w:rPr>
                <w:rFonts w:hint="eastAsia" w:ascii="宋体" w:hAnsi="宋体" w:cs="宋体"/>
                <w:kern w:val="0"/>
                <w:szCs w:val="21"/>
              </w:rPr>
              <w:t>序号</w:t>
            </w:r>
          </w:p>
        </w:tc>
        <w:tc>
          <w:tcPr>
            <w:tcW w:w="2574"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134C31C">
            <w:pPr>
              <w:widowControl/>
              <w:wordWrap w:val="0"/>
              <w:jc w:val="center"/>
              <w:rPr>
                <w:rFonts w:ascii="宋体" w:hAnsi="宋体" w:cs="宋体"/>
                <w:szCs w:val="21"/>
              </w:rPr>
            </w:pPr>
            <w:r>
              <w:rPr>
                <w:rFonts w:hint="eastAsia" w:ascii="宋体" w:hAnsi="宋体" w:cs="宋体"/>
                <w:kern w:val="0"/>
                <w:szCs w:val="21"/>
              </w:rPr>
              <w:t>评分因素</w:t>
            </w:r>
          </w:p>
        </w:tc>
        <w:tc>
          <w:tcPr>
            <w:tcW w:w="98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4D574A5">
            <w:pPr>
              <w:widowControl/>
              <w:wordWrap w:val="0"/>
              <w:jc w:val="center"/>
              <w:rPr>
                <w:rFonts w:ascii="宋体" w:hAnsi="宋体" w:cs="宋体"/>
                <w:szCs w:val="21"/>
              </w:rPr>
            </w:pPr>
            <w:r>
              <w:rPr>
                <w:rFonts w:hint="eastAsia" w:ascii="宋体" w:hAnsi="宋体" w:cs="宋体"/>
                <w:kern w:val="0"/>
                <w:szCs w:val="21"/>
              </w:rPr>
              <w:t>权重（%）</w:t>
            </w:r>
          </w:p>
        </w:tc>
        <w:tc>
          <w:tcPr>
            <w:tcW w:w="417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B665840">
            <w:pPr>
              <w:widowControl/>
              <w:wordWrap w:val="0"/>
              <w:jc w:val="center"/>
              <w:rPr>
                <w:rFonts w:ascii="宋体" w:hAnsi="宋体" w:cs="宋体"/>
                <w:szCs w:val="21"/>
              </w:rPr>
            </w:pPr>
            <w:r>
              <w:rPr>
                <w:rFonts w:hint="eastAsia" w:ascii="宋体" w:hAnsi="宋体" w:cs="宋体"/>
                <w:kern w:val="0"/>
                <w:szCs w:val="21"/>
              </w:rPr>
              <w:t>评分准则</w:t>
            </w:r>
          </w:p>
        </w:tc>
      </w:tr>
      <w:tr w14:paraId="755EB6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7" w:type="dxa"/>
            <w:vMerge w:val="continue"/>
            <w:tcBorders>
              <w:top w:val="single" w:color="000000" w:sz="8" w:space="0"/>
              <w:left w:val="single" w:color="000000" w:sz="8" w:space="0"/>
              <w:bottom w:val="single" w:color="000000" w:sz="8" w:space="0"/>
              <w:right w:val="single" w:color="000000" w:sz="8" w:space="0"/>
            </w:tcBorders>
            <w:vAlign w:val="center"/>
          </w:tcPr>
          <w:p w14:paraId="743B5BC9">
            <w:pPr>
              <w:jc w:val="center"/>
              <w:rPr>
                <w:rFonts w:ascii="宋体" w:hAnsi="宋体" w:cs="宋体"/>
                <w:b/>
                <w:bCs/>
                <w:color w:val="0000FF"/>
                <w:szCs w:val="21"/>
              </w:rPr>
            </w:pPr>
          </w:p>
        </w:tc>
        <w:tc>
          <w:tcPr>
            <w:tcW w:w="671" w:type="dxa"/>
            <w:tcBorders>
              <w:top w:val="single" w:color="000000" w:sz="8" w:space="0"/>
              <w:left w:val="single" w:color="000000" w:sz="8" w:space="0"/>
              <w:bottom w:val="single" w:color="000000" w:sz="8" w:space="0"/>
              <w:right w:val="single" w:color="000000" w:sz="8" w:space="0"/>
            </w:tcBorders>
            <w:vAlign w:val="center"/>
          </w:tcPr>
          <w:p w14:paraId="7AF77E6E">
            <w:pPr>
              <w:widowControl/>
              <w:wordWrap w:val="0"/>
              <w:jc w:val="center"/>
              <w:textAlignment w:val="top"/>
              <w:rPr>
                <w:rFonts w:ascii="宋体" w:hAnsi="宋体" w:cs="宋体"/>
                <w:szCs w:val="21"/>
              </w:rPr>
            </w:pPr>
            <w:r>
              <w:rPr>
                <w:rFonts w:hint="eastAsia" w:ascii="宋体" w:hAnsi="宋体" w:cs="宋体"/>
                <w:szCs w:val="21"/>
              </w:rPr>
              <w:t>1</w:t>
            </w:r>
          </w:p>
        </w:tc>
        <w:tc>
          <w:tcPr>
            <w:tcW w:w="2574" w:type="dxa"/>
            <w:tcBorders>
              <w:top w:val="single" w:color="000000" w:sz="8" w:space="0"/>
              <w:left w:val="single" w:color="000000" w:sz="8" w:space="0"/>
              <w:bottom w:val="single" w:color="000000" w:sz="8" w:space="0"/>
              <w:right w:val="single" w:color="000000" w:sz="8" w:space="0"/>
            </w:tcBorders>
            <w:vAlign w:val="center"/>
          </w:tcPr>
          <w:p w14:paraId="260C883D">
            <w:pPr>
              <w:widowControl/>
              <w:wordWrap w:val="0"/>
              <w:jc w:val="center"/>
              <w:textAlignment w:val="top"/>
              <w:rPr>
                <w:rFonts w:ascii="宋体" w:hAnsi="宋体" w:cs="宋体"/>
                <w:szCs w:val="21"/>
              </w:rPr>
            </w:pPr>
            <w:r>
              <w:rPr>
                <w:rFonts w:hint="eastAsia" w:ascii="宋体" w:hAnsi="宋体" w:cs="宋体"/>
                <w:szCs w:val="21"/>
              </w:rPr>
              <w:t>诚信情况</w:t>
            </w:r>
          </w:p>
        </w:tc>
        <w:tc>
          <w:tcPr>
            <w:tcW w:w="983" w:type="dxa"/>
            <w:tcBorders>
              <w:top w:val="single" w:color="000000" w:sz="8" w:space="0"/>
              <w:left w:val="single" w:color="000000" w:sz="8" w:space="0"/>
              <w:bottom w:val="single" w:color="000000" w:sz="8" w:space="0"/>
              <w:right w:val="single" w:color="000000" w:sz="8" w:space="0"/>
            </w:tcBorders>
            <w:vAlign w:val="center"/>
          </w:tcPr>
          <w:p w14:paraId="567805D6">
            <w:pPr>
              <w:widowControl/>
              <w:wordWrap w:val="0"/>
              <w:jc w:val="center"/>
              <w:textAlignment w:val="top"/>
              <w:rPr>
                <w:rFonts w:ascii="宋体" w:hAnsi="宋体" w:cs="宋体"/>
                <w:szCs w:val="21"/>
              </w:rPr>
            </w:pPr>
            <w:r>
              <w:rPr>
                <w:rFonts w:hint="eastAsia" w:ascii="宋体" w:hAnsi="宋体" w:cs="宋体"/>
                <w:szCs w:val="21"/>
              </w:rPr>
              <w:t>5</w:t>
            </w:r>
          </w:p>
        </w:tc>
        <w:tc>
          <w:tcPr>
            <w:tcW w:w="4173" w:type="dxa"/>
            <w:tcBorders>
              <w:top w:val="single" w:color="000000" w:sz="8" w:space="0"/>
              <w:left w:val="single" w:color="000000" w:sz="8" w:space="0"/>
              <w:bottom w:val="single" w:color="000000" w:sz="8" w:space="0"/>
              <w:right w:val="single" w:color="000000" w:sz="8" w:space="0"/>
            </w:tcBorders>
          </w:tcPr>
          <w:p w14:paraId="4CD28280">
            <w:pPr>
              <w:widowControl/>
              <w:wordWrap w:val="0"/>
              <w:ind w:firstLine="420" w:firstLineChars="200"/>
              <w:jc w:val="left"/>
              <w:textAlignment w:val="top"/>
              <w:rPr>
                <w:rFonts w:ascii="宋体" w:hAnsi="宋体" w:cs="宋体"/>
                <w:szCs w:val="21"/>
              </w:rPr>
            </w:pPr>
            <w:r>
              <w:rPr>
                <w:rFonts w:hint="eastAsia" w:ascii="宋体" w:hAnsi="宋体" w:cs="宋体"/>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4F1BF9F4">
            <w:pPr>
              <w:widowControl/>
              <w:wordWrap w:val="0"/>
              <w:ind w:firstLine="420" w:firstLineChars="200"/>
              <w:jc w:val="left"/>
              <w:textAlignment w:val="top"/>
              <w:rPr>
                <w:rFonts w:ascii="宋体" w:hAnsi="宋体" w:cs="宋体"/>
                <w:szCs w:val="21"/>
              </w:rPr>
            </w:pPr>
            <w:r>
              <w:rPr>
                <w:rFonts w:hint="eastAsia" w:ascii="宋体" w:hAnsi="宋体" w:cs="宋体"/>
                <w:szCs w:val="21"/>
              </w:rPr>
              <w:t>查询渠道：通过“信用中国”（www.creditchina.gov.cn，下载信用信息报告）、“中国政府采购网”（www.ccgp.gov.cn）以及“深圳市政府采购监管网”（http://zfcg.sz.gov.cn）查询供应商信用信息，信用信息以开标当日的查询结果为准。</w:t>
            </w:r>
          </w:p>
        </w:tc>
      </w:tr>
      <w:bookmarkEnd w:id="1"/>
    </w:tbl>
    <w:p w14:paraId="58E104E0"/>
    <w:p w14:paraId="55F1D963">
      <w:pPr>
        <w:sectPr>
          <w:pgSz w:w="11907" w:h="16840"/>
          <w:pgMar w:top="1440" w:right="1418" w:bottom="1440" w:left="1418" w:header="851" w:footer="992" w:gutter="0"/>
          <w:pgNumType w:fmt="decimal"/>
          <w:cols w:space="425" w:num="1"/>
          <w:titlePg/>
          <w:docGrid w:linePitch="462" w:charSpace="0"/>
        </w:sectPr>
      </w:pPr>
    </w:p>
    <w:p w14:paraId="30E0DE00">
      <w:pPr>
        <w:jc w:val="center"/>
        <w:rPr>
          <w:b/>
          <w:sz w:val="84"/>
          <w:szCs w:val="84"/>
        </w:rPr>
      </w:pPr>
    </w:p>
    <w:p w14:paraId="0552CFBE">
      <w:pPr>
        <w:jc w:val="center"/>
        <w:rPr>
          <w:b/>
          <w:sz w:val="84"/>
          <w:szCs w:val="84"/>
        </w:rPr>
      </w:pPr>
    </w:p>
    <w:p w14:paraId="4EDC9661">
      <w:pPr>
        <w:jc w:val="center"/>
        <w:rPr>
          <w:b/>
          <w:sz w:val="84"/>
          <w:szCs w:val="84"/>
        </w:rPr>
      </w:pPr>
    </w:p>
    <w:p w14:paraId="165F53F3">
      <w:pPr>
        <w:jc w:val="center"/>
        <w:rPr>
          <w:b/>
          <w:sz w:val="120"/>
          <w:szCs w:val="120"/>
        </w:rPr>
      </w:pPr>
      <w:r>
        <w:rPr>
          <w:rFonts w:hint="eastAsia"/>
          <w:b/>
          <w:sz w:val="120"/>
          <w:szCs w:val="120"/>
        </w:rPr>
        <w:t>政府采购</w:t>
      </w:r>
    </w:p>
    <w:p w14:paraId="2C8285C4">
      <w:pPr>
        <w:jc w:val="center"/>
        <w:rPr>
          <w:b/>
          <w:sz w:val="120"/>
          <w:szCs w:val="120"/>
        </w:rPr>
      </w:pPr>
      <w:r>
        <w:rPr>
          <w:rFonts w:hint="eastAsia"/>
          <w:b/>
          <w:sz w:val="120"/>
          <w:szCs w:val="120"/>
        </w:rPr>
        <w:t>招标文件</w:t>
      </w:r>
    </w:p>
    <w:p w14:paraId="5E035EB9">
      <w:pPr>
        <w:jc w:val="center"/>
        <w:rPr>
          <w:b/>
          <w:sz w:val="52"/>
          <w:szCs w:val="52"/>
        </w:rPr>
      </w:pPr>
      <w:r>
        <w:rPr>
          <w:rFonts w:hint="eastAsia"/>
          <w:b/>
          <w:sz w:val="52"/>
          <w:szCs w:val="52"/>
        </w:rPr>
        <w:t>（货物类）</w:t>
      </w:r>
    </w:p>
    <w:p w14:paraId="7F2279AB"/>
    <w:p w14:paraId="1165C15D"/>
    <w:p w14:paraId="2275C4ED"/>
    <w:p w14:paraId="60422BEE"/>
    <w:p w14:paraId="64153811"/>
    <w:p w14:paraId="0172EEEA"/>
    <w:p w14:paraId="4C0170BA"/>
    <w:p w14:paraId="07E993AE"/>
    <w:p w14:paraId="708BFF15"/>
    <w:p w14:paraId="3DE4171B"/>
    <w:p w14:paraId="443D9830"/>
    <w:p w14:paraId="78EC91E7"/>
    <w:p w14:paraId="322DB2E4"/>
    <w:p w14:paraId="7E964AA4"/>
    <w:p w14:paraId="70BBFDF8"/>
    <w:p w14:paraId="04EA8134"/>
    <w:p w14:paraId="279E9FF5"/>
    <w:p w14:paraId="21D3C562"/>
    <w:p w14:paraId="5B723811"/>
    <w:p w14:paraId="06CE489C">
      <w:pPr>
        <w:jc w:val="center"/>
        <w:rPr>
          <w:b/>
          <w:sz w:val="44"/>
          <w:szCs w:val="44"/>
        </w:rPr>
      </w:pPr>
      <w:bookmarkStart w:id="2" w:name="_Hlk71465316"/>
      <w:r>
        <w:rPr>
          <w:rFonts w:hint="eastAsia"/>
          <w:b/>
          <w:sz w:val="44"/>
          <w:szCs w:val="44"/>
        </w:rPr>
        <w:t>深圳公共资源交易中心</w:t>
      </w:r>
    </w:p>
    <w:p w14:paraId="3239D4B0">
      <w:pPr>
        <w:jc w:val="center"/>
        <w:rPr>
          <w:b/>
          <w:sz w:val="44"/>
          <w:szCs w:val="44"/>
        </w:rPr>
      </w:pPr>
      <w:r>
        <w:rPr>
          <w:rFonts w:hint="eastAsia"/>
          <w:b/>
          <w:sz w:val="44"/>
          <w:szCs w:val="44"/>
        </w:rPr>
        <w:t>（</w:t>
      </w:r>
      <w:r>
        <w:rPr>
          <w:b/>
          <w:sz w:val="44"/>
          <w:szCs w:val="44"/>
        </w:rPr>
        <w:t>20</w:t>
      </w:r>
      <w:r>
        <w:rPr>
          <w:rFonts w:hint="eastAsia"/>
          <w:b/>
          <w:sz w:val="44"/>
          <w:szCs w:val="44"/>
        </w:rPr>
        <w:t>25）</w:t>
      </w:r>
    </w:p>
    <w:bookmarkEnd w:id="2"/>
    <w:p w14:paraId="0330684F">
      <w:pPr>
        <w:widowControl/>
        <w:jc w:val="center"/>
      </w:pPr>
    </w:p>
    <w:p w14:paraId="59AD0D06">
      <w:pPr>
        <w:widowControl/>
        <w:jc w:val="center"/>
      </w:pPr>
      <w:r>
        <w:br w:type="page"/>
      </w:r>
    </w:p>
    <w:p w14:paraId="623D4835">
      <w:pPr>
        <w:spacing w:before="240" w:beforeLines="100" w:after="240" w:afterLines="100"/>
        <w:jc w:val="center"/>
        <w:rPr>
          <w:rFonts w:ascii="黑体" w:hAnsi="黑体" w:eastAsia="黑体" w:cs="黑体"/>
          <w:b/>
          <w:bCs/>
          <w:sz w:val="28"/>
          <w:szCs w:val="36"/>
        </w:rPr>
      </w:pPr>
      <w:bookmarkStart w:id="3" w:name="_Hlk72218009"/>
      <w:r>
        <w:rPr>
          <w:rFonts w:hint="eastAsia" w:ascii="黑体" w:hAnsi="黑体" w:eastAsia="黑体" w:cs="黑体"/>
          <w:b/>
          <w:bCs/>
          <w:sz w:val="28"/>
          <w:szCs w:val="36"/>
        </w:rPr>
        <w:t>目   录</w:t>
      </w:r>
    </w:p>
    <w:p w14:paraId="42099FC9">
      <w:pPr>
        <w:outlineLvl w:val="0"/>
        <w:rPr>
          <w:b/>
          <w:sz w:val="24"/>
        </w:rPr>
      </w:pPr>
      <w:r>
        <w:rPr>
          <w:rFonts w:hint="eastAsia"/>
          <w:b/>
          <w:sz w:val="24"/>
        </w:rPr>
        <w:t>第一册    专用条款</w:t>
      </w:r>
    </w:p>
    <w:p w14:paraId="59A192B7">
      <w:pPr>
        <w:ind w:firstLine="960" w:firstLineChars="400"/>
        <w:rPr>
          <w:sz w:val="24"/>
        </w:rPr>
      </w:pPr>
      <w:r>
        <w:rPr>
          <w:rFonts w:hint="eastAsia"/>
          <w:sz w:val="24"/>
        </w:rPr>
        <w:t>关键信息</w:t>
      </w:r>
    </w:p>
    <w:p w14:paraId="6E50AFD4">
      <w:pPr>
        <w:ind w:left="630" w:leftChars="300" w:firstLine="411" w:firstLineChars="196"/>
        <w:rPr>
          <w:rFonts w:ascii="宋体" w:hAnsi="宋体"/>
          <w:szCs w:val="21"/>
        </w:rPr>
      </w:pPr>
      <w:r>
        <w:rPr>
          <w:rFonts w:hint="eastAsia" w:ascii="宋体" w:hAnsi="宋体"/>
          <w:szCs w:val="21"/>
        </w:rPr>
        <w:t>第一章  招标公告</w:t>
      </w:r>
    </w:p>
    <w:p w14:paraId="19DDAD07">
      <w:pPr>
        <w:ind w:left="630" w:leftChars="300" w:firstLine="411" w:firstLineChars="196"/>
        <w:rPr>
          <w:rFonts w:ascii="宋体" w:hAnsi="宋体"/>
          <w:szCs w:val="21"/>
        </w:rPr>
      </w:pPr>
      <w:r>
        <w:rPr>
          <w:rFonts w:hint="eastAsia" w:ascii="宋体" w:hAnsi="宋体"/>
          <w:szCs w:val="21"/>
        </w:rPr>
        <w:t xml:space="preserve">第二章  </w:t>
      </w:r>
      <w:bookmarkStart w:id="4" w:name="_Hlk71994379"/>
      <w:r>
        <w:rPr>
          <w:rFonts w:hint="eastAsia" w:ascii="宋体" w:hAnsi="宋体"/>
          <w:szCs w:val="21"/>
        </w:rPr>
        <w:t>对通用条款的补充内容及其他关键信息</w:t>
      </w:r>
      <w:bookmarkEnd w:id="4"/>
    </w:p>
    <w:p w14:paraId="68CC57EB">
      <w:pPr>
        <w:ind w:left="630" w:leftChars="300" w:firstLine="411" w:firstLineChars="196"/>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526A00ED">
      <w:pPr>
        <w:ind w:left="630" w:leftChars="300" w:firstLine="411" w:firstLineChars="196"/>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04A98A4D">
      <w:pPr>
        <w:ind w:left="630" w:leftChars="300" w:firstLine="411" w:firstLineChars="196"/>
        <w:rPr>
          <w:rFonts w:ascii="宋体" w:hAnsi="宋体"/>
          <w:szCs w:val="21"/>
        </w:rPr>
      </w:pPr>
      <w:r>
        <w:rPr>
          <w:rFonts w:hint="eastAsia" w:ascii="宋体" w:hAnsi="宋体"/>
          <w:szCs w:val="21"/>
        </w:rPr>
        <w:t>第五章  合同条款及格式</w:t>
      </w:r>
    </w:p>
    <w:p w14:paraId="48AF5C8A">
      <w:pPr>
        <w:rPr>
          <w:b/>
          <w:sz w:val="24"/>
        </w:rPr>
      </w:pPr>
    </w:p>
    <w:p w14:paraId="758E2D6E">
      <w:pPr>
        <w:outlineLvl w:val="0"/>
        <w:rPr>
          <w:b/>
          <w:sz w:val="24"/>
        </w:rPr>
      </w:pPr>
      <w:r>
        <w:rPr>
          <w:rFonts w:hint="eastAsia"/>
          <w:b/>
          <w:sz w:val="24"/>
        </w:rPr>
        <w:t>第二册    通用条款</w:t>
      </w:r>
    </w:p>
    <w:p w14:paraId="4BF1BEE5">
      <w:pPr>
        <w:ind w:left="630" w:leftChars="300" w:firstLine="411" w:firstLineChars="196"/>
        <w:rPr>
          <w:rFonts w:ascii="宋体" w:hAnsi="宋体"/>
          <w:szCs w:val="21"/>
        </w:rPr>
      </w:pPr>
      <w:r>
        <w:rPr>
          <w:rFonts w:hint="eastAsia" w:ascii="宋体" w:hAnsi="宋体"/>
          <w:szCs w:val="21"/>
        </w:rPr>
        <w:t>第一章  总则</w:t>
      </w:r>
    </w:p>
    <w:p w14:paraId="73B6FCDF">
      <w:pPr>
        <w:ind w:left="630" w:leftChars="300" w:firstLine="411" w:firstLineChars="196"/>
        <w:rPr>
          <w:rFonts w:ascii="宋体" w:hAnsi="宋体"/>
          <w:szCs w:val="21"/>
        </w:rPr>
      </w:pPr>
      <w:r>
        <w:rPr>
          <w:rFonts w:hint="eastAsia" w:ascii="宋体" w:hAnsi="宋体"/>
          <w:szCs w:val="21"/>
        </w:rPr>
        <w:t>第二章  招标文件</w:t>
      </w:r>
    </w:p>
    <w:p w14:paraId="2E17CAC6">
      <w:pPr>
        <w:ind w:left="630" w:leftChars="300" w:firstLine="411" w:firstLineChars="196"/>
        <w:rPr>
          <w:rFonts w:ascii="宋体" w:hAnsi="宋体"/>
          <w:szCs w:val="21"/>
        </w:rPr>
      </w:pPr>
      <w:r>
        <w:rPr>
          <w:rFonts w:hint="eastAsia" w:ascii="宋体" w:hAnsi="宋体"/>
          <w:szCs w:val="21"/>
        </w:rPr>
        <w:t>第三章  投标文件的编制</w:t>
      </w:r>
    </w:p>
    <w:p w14:paraId="441F7491">
      <w:pPr>
        <w:ind w:left="630" w:leftChars="300" w:firstLine="411" w:firstLineChars="196"/>
        <w:rPr>
          <w:rFonts w:ascii="宋体" w:hAnsi="宋体"/>
          <w:szCs w:val="21"/>
        </w:rPr>
      </w:pPr>
      <w:r>
        <w:rPr>
          <w:rFonts w:hint="eastAsia" w:ascii="宋体" w:hAnsi="宋体"/>
          <w:szCs w:val="21"/>
        </w:rPr>
        <w:t>第四章  投标文件的递交</w:t>
      </w:r>
    </w:p>
    <w:p w14:paraId="5D050D4F">
      <w:pPr>
        <w:ind w:left="630" w:leftChars="300" w:firstLine="411" w:firstLineChars="196"/>
        <w:rPr>
          <w:rFonts w:ascii="宋体" w:hAnsi="宋体"/>
          <w:szCs w:val="21"/>
        </w:rPr>
      </w:pPr>
      <w:r>
        <w:rPr>
          <w:rFonts w:hint="eastAsia" w:ascii="宋体" w:hAnsi="宋体"/>
          <w:szCs w:val="21"/>
        </w:rPr>
        <w:t>第五章  开标</w:t>
      </w:r>
    </w:p>
    <w:p w14:paraId="21359351">
      <w:pPr>
        <w:ind w:left="630" w:leftChars="300" w:firstLine="411" w:firstLineChars="196"/>
        <w:rPr>
          <w:rFonts w:ascii="宋体" w:hAnsi="宋体"/>
          <w:szCs w:val="21"/>
        </w:rPr>
      </w:pPr>
      <w:r>
        <w:rPr>
          <w:rFonts w:hint="eastAsia" w:ascii="宋体" w:hAnsi="宋体"/>
          <w:szCs w:val="21"/>
        </w:rPr>
        <w:t>第六章  评审要求</w:t>
      </w:r>
    </w:p>
    <w:p w14:paraId="122DC5BF">
      <w:pPr>
        <w:ind w:left="630" w:leftChars="300" w:firstLine="411" w:firstLineChars="196"/>
        <w:rPr>
          <w:rFonts w:ascii="宋体" w:hAnsi="宋体"/>
          <w:szCs w:val="21"/>
        </w:rPr>
      </w:pPr>
      <w:r>
        <w:rPr>
          <w:rFonts w:hint="eastAsia" w:ascii="宋体" w:hAnsi="宋体"/>
          <w:szCs w:val="21"/>
        </w:rPr>
        <w:t>第七章  评审程序及评审方法</w:t>
      </w:r>
    </w:p>
    <w:p w14:paraId="297B0CDF">
      <w:pPr>
        <w:ind w:left="630" w:leftChars="300" w:firstLine="411" w:firstLineChars="196"/>
        <w:rPr>
          <w:rFonts w:ascii="宋体" w:hAnsi="宋体"/>
          <w:szCs w:val="21"/>
        </w:rPr>
      </w:pPr>
      <w:r>
        <w:rPr>
          <w:rFonts w:hint="eastAsia" w:ascii="宋体" w:hAnsi="宋体"/>
          <w:szCs w:val="21"/>
        </w:rPr>
        <w:t>第八章  定标及公示</w:t>
      </w:r>
    </w:p>
    <w:p w14:paraId="7F03E886">
      <w:pPr>
        <w:ind w:left="630" w:leftChars="300" w:firstLine="411" w:firstLineChars="196"/>
        <w:rPr>
          <w:rFonts w:ascii="宋体" w:hAnsi="宋体"/>
          <w:szCs w:val="21"/>
        </w:rPr>
      </w:pPr>
      <w:r>
        <w:rPr>
          <w:rFonts w:hint="eastAsia" w:ascii="宋体" w:hAnsi="宋体"/>
          <w:szCs w:val="21"/>
        </w:rPr>
        <w:t>第九章  公开招标失败的后续处理</w:t>
      </w:r>
    </w:p>
    <w:p w14:paraId="10AC1E08">
      <w:pPr>
        <w:ind w:left="630" w:leftChars="300" w:firstLine="411" w:firstLineChars="196"/>
        <w:rPr>
          <w:rFonts w:ascii="宋体" w:hAnsi="宋体"/>
          <w:szCs w:val="21"/>
        </w:rPr>
      </w:pPr>
      <w:r>
        <w:rPr>
          <w:rFonts w:hint="eastAsia" w:ascii="宋体" w:hAnsi="宋体"/>
          <w:szCs w:val="21"/>
        </w:rPr>
        <w:t>第十章  合同的授予与备案</w:t>
      </w:r>
    </w:p>
    <w:p w14:paraId="746B5EBE">
      <w:pPr>
        <w:ind w:firstLine="1050" w:firstLineChars="500"/>
      </w:pPr>
      <w:r>
        <w:rPr>
          <w:rFonts w:hint="eastAsia"/>
        </w:rPr>
        <w:t>第十一章  质疑处理</w:t>
      </w:r>
    </w:p>
    <w:p w14:paraId="598F9BF3">
      <w:pPr>
        <w:pStyle w:val="18"/>
      </w:pPr>
    </w:p>
    <w:p w14:paraId="49622443">
      <w:pPr>
        <w:pStyle w:val="19"/>
      </w:pPr>
    </w:p>
    <w:p w14:paraId="45D6606B">
      <w:pPr>
        <w:pStyle w:val="19"/>
      </w:pPr>
    </w:p>
    <w:p w14:paraId="336A1D82">
      <w:pPr>
        <w:pStyle w:val="18"/>
        <w:sectPr>
          <w:pgSz w:w="11907" w:h="16840"/>
          <w:pgMar w:top="1440" w:right="1797" w:bottom="1440" w:left="1797" w:header="851" w:footer="992" w:gutter="0"/>
          <w:pgNumType w:fmt="decimal"/>
          <w:cols w:space="425" w:num="1"/>
          <w:titlePg/>
          <w:docGrid w:linePitch="462" w:charSpace="0"/>
        </w:sectPr>
      </w:pPr>
    </w:p>
    <w:bookmarkEnd w:id="3"/>
    <w:p w14:paraId="6067D757">
      <w:pPr>
        <w:pStyle w:val="2"/>
        <w:rPr>
          <w:color w:val="FF0000"/>
          <w:sz w:val="28"/>
          <w:szCs w:val="28"/>
        </w:rPr>
      </w:pPr>
      <w:bookmarkStart w:id="5" w:name="bt技术标投标文件格式"/>
      <w:bookmarkEnd w:id="5"/>
      <w:bookmarkStart w:id="6" w:name="bt合同条款"/>
      <w:bookmarkEnd w:id="6"/>
      <w:bookmarkStart w:id="7" w:name="bt说明"/>
      <w:bookmarkEnd w:id="7"/>
      <w:bookmarkStart w:id="8" w:name="bt其他资料2"/>
      <w:bookmarkEnd w:id="8"/>
      <w:bookmarkStart w:id="9" w:name="合同格式"/>
      <w:bookmarkEnd w:id="9"/>
      <w:bookmarkStart w:id="10" w:name="bt其他资料由投标人自定"/>
      <w:bookmarkEnd w:id="10"/>
      <w:bookmarkStart w:id="11" w:name="bt投标函"/>
      <w:bookmarkEnd w:id="11"/>
      <w:bookmarkStart w:id="12" w:name="bt投标人须知"/>
      <w:bookmarkEnd w:id="12"/>
      <w:bookmarkStart w:id="13" w:name="bt本工程承诺书"/>
      <w:bookmarkEnd w:id="13"/>
      <w:bookmarkStart w:id="14" w:name="bt商务标投标文件格式"/>
      <w:bookmarkEnd w:id="14"/>
      <w:bookmarkStart w:id="15" w:name="bt投标人情况介绍"/>
      <w:bookmarkEnd w:id="15"/>
      <w:bookmarkStart w:id="16" w:name="bt合同条款及格式"/>
      <w:bookmarkEnd w:id="16"/>
      <w:bookmarkStart w:id="17" w:name="bt投标文件签署授权委托书"/>
      <w:bookmarkEnd w:id="17"/>
      <w:bookmarkStart w:id="18" w:name="bt投标报价汇总表"/>
      <w:bookmarkEnd w:id="18"/>
      <w:bookmarkStart w:id="19" w:name="bt合同格式"/>
      <w:bookmarkEnd w:id="19"/>
      <w:bookmarkStart w:id="20" w:name="bt项目管理班子配备情况"/>
      <w:bookmarkEnd w:id="20"/>
      <w:bookmarkStart w:id="21" w:name="bt开标一览表"/>
      <w:bookmarkEnd w:id="21"/>
      <w:r>
        <w:rPr>
          <w:rFonts w:hint="eastAsia"/>
          <w:sz w:val="28"/>
          <w:szCs w:val="28"/>
        </w:rPr>
        <w:t>第一册  专用条款</w:t>
      </w:r>
    </w:p>
    <w:p w14:paraId="6C2EE662">
      <w:pPr>
        <w:pStyle w:val="3"/>
        <w:rPr>
          <w:sz w:val="28"/>
          <w:szCs w:val="28"/>
        </w:rPr>
      </w:pPr>
      <w:r>
        <w:rPr>
          <w:rFonts w:hint="eastAsia"/>
          <w:sz w:val="28"/>
          <w:szCs w:val="28"/>
        </w:rPr>
        <w:t>第一章  招标公告</w:t>
      </w:r>
    </w:p>
    <w:p w14:paraId="41706CE4">
      <w:pPr>
        <w:spacing w:line="360" w:lineRule="auto"/>
        <w:rPr>
          <w:rFonts w:ascii="宋体" w:hAnsi="宋体" w:cs="宋体"/>
          <w:b/>
          <w:bCs/>
          <w:kern w:val="0"/>
          <w:szCs w:val="21"/>
        </w:rPr>
      </w:pPr>
      <w:r>
        <w:rPr>
          <w:rFonts w:hint="eastAsia" w:ascii="宋体" w:hAnsi="宋体" w:cs="宋体"/>
          <w:b/>
          <w:bCs/>
          <w:kern w:val="0"/>
          <w:szCs w:val="21"/>
        </w:rPr>
        <w:t>申请人的资格要求：</w:t>
      </w:r>
    </w:p>
    <w:p w14:paraId="47F8AA1F">
      <w:pPr>
        <w:ind w:firstLine="420" w:firstLineChars="200"/>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bookmarkStart w:id="22" w:name="_Hlk72162904"/>
      <w:r>
        <w:rPr>
          <w:rFonts w:hint="eastAsia" w:ascii="宋体" w:hAnsi="宋体" w:cs="宋体"/>
          <w:kern w:val="0"/>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2"/>
    </w:p>
    <w:p w14:paraId="675CB918">
      <w:pPr>
        <w:ind w:firstLine="420" w:firstLineChars="200"/>
        <w:rPr>
          <w:rFonts w:ascii="宋体" w:hAnsi="宋体" w:cs="宋体"/>
          <w:kern w:val="0"/>
          <w:szCs w:val="21"/>
        </w:rPr>
      </w:pPr>
      <w:r>
        <w:rPr>
          <w:rFonts w:hint="eastAsia" w:ascii="宋体" w:hAnsi="宋体" w:cs="宋体"/>
          <w:color w:val="FF0000"/>
          <w:kern w:val="0"/>
          <w:szCs w:val="21"/>
        </w:rPr>
        <w:t>2.本项目不接受联合体投标，不接受投标人选用进口产品参与投标，不允许分包，详见招标文件“第三章 用户需求书”；</w:t>
      </w:r>
    </w:p>
    <w:p w14:paraId="44EF7DD0">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14:paraId="2B47F8D5">
      <w:pPr>
        <w:ind w:firstLine="420" w:firstLineChars="200"/>
        <w:rPr>
          <w:rFonts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14:paraId="10F69AAE">
      <w:pPr>
        <w:ind w:firstLine="420" w:firstLineChars="200"/>
        <w:rPr>
          <w:rFonts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p>
    <w:p w14:paraId="445B5ABA">
      <w:pPr>
        <w:ind w:firstLine="420" w:firstLineChars="200"/>
        <w:rPr>
          <w:rFonts w:ascii="宋体" w:hAnsi="宋体" w:cs="宋体"/>
          <w:color w:val="FF0000"/>
          <w:kern w:val="0"/>
          <w:szCs w:val="21"/>
        </w:rPr>
      </w:pPr>
      <w:r>
        <w:rPr>
          <w:rFonts w:hint="eastAsia" w:ascii="宋体" w:hAnsi="宋体" w:cs="宋体"/>
          <w:color w:val="FF0000"/>
          <w:kern w:val="0"/>
          <w:szCs w:val="21"/>
        </w:rPr>
        <w:t>6.不存在《深圳市财政局政府采购供应商信用信息管理办法》（深财规〔2023〕3号）列明的严重违法失信行为（由供应商在《政府采购投标及履约承诺函》中作出声明）；</w:t>
      </w:r>
    </w:p>
    <w:p w14:paraId="647E3633">
      <w:pPr>
        <w:ind w:firstLine="420" w:firstLineChars="200"/>
        <w:rPr>
          <w:rFonts w:ascii="宋体" w:hAnsi="宋体" w:cs="宋体"/>
          <w:kern w:val="0"/>
          <w:szCs w:val="21"/>
        </w:rPr>
      </w:pPr>
      <w:r>
        <w:rPr>
          <w:rFonts w:hint="eastAsia" w:ascii="宋体" w:hAnsi="宋体" w:cs="宋体"/>
          <w:kern w:val="0"/>
          <w:szCs w:val="21"/>
        </w:rPr>
        <w:t>7.为采购项目提供整体设计、规范编制或者项目管理、监理、检测等服务的供应商，不得再参加该采购项目的其他采购活动（由供应商在《政府采购投标及履约承诺函》中作出声明）；</w:t>
      </w:r>
    </w:p>
    <w:p w14:paraId="57DF05D6">
      <w:pPr>
        <w:pStyle w:val="55"/>
        <w:ind w:firstLine="420" w:firstLineChars="200"/>
        <w:rPr>
          <w:rFonts w:ascii="宋体" w:hAnsi="宋体" w:cs="宋体"/>
          <w:color w:val="FF0000"/>
          <w:kern w:val="0"/>
          <w:szCs w:val="21"/>
        </w:rPr>
      </w:pPr>
      <w:r>
        <w:rPr>
          <w:rFonts w:hint="eastAsia" w:ascii="宋体" w:hAnsi="宋体" w:cs="宋体"/>
          <w:color w:val="FF0000"/>
          <w:kern w:val="0"/>
          <w:szCs w:val="21"/>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cs="宋体"/>
          <w:b/>
          <w:bCs/>
          <w:color w:val="FF0000"/>
          <w:kern w:val="0"/>
          <w:szCs w:val="21"/>
        </w:rPr>
        <w:t>（由供应商填写《供应商基本情况表》及</w:t>
      </w:r>
      <w:r>
        <w:rPr>
          <w:rFonts w:hint="eastAsia" w:ascii="宋体" w:hAnsi="宋体" w:cs="宋体"/>
          <w:b/>
          <w:bCs/>
          <w:color w:val="FF0000"/>
          <w:kern w:val="0"/>
          <w:szCs w:val="21"/>
          <w:highlight w:val="yellow"/>
        </w:rPr>
        <w:t>提供相关人员社保缴纳和企业股权关系证明材料</w:t>
      </w:r>
      <w:r>
        <w:rPr>
          <w:rFonts w:hint="eastAsia" w:ascii="宋体" w:hAnsi="宋体" w:cs="宋体"/>
          <w:b/>
          <w:bCs/>
          <w:color w:val="FF0000"/>
          <w:kern w:val="0"/>
          <w:szCs w:val="21"/>
        </w:rPr>
        <w:t>）</w:t>
      </w:r>
      <w:r>
        <w:rPr>
          <w:rFonts w:hint="eastAsia" w:ascii="宋体" w:hAnsi="宋体" w:cs="宋体"/>
          <w:color w:val="FF0000"/>
          <w:kern w:val="0"/>
          <w:szCs w:val="21"/>
        </w:rPr>
        <w:t>。</w:t>
      </w:r>
    </w:p>
    <w:p w14:paraId="75F7E46A">
      <w:pPr>
        <w:ind w:firstLine="420" w:firstLineChars="200"/>
        <w:rPr>
          <w:rFonts w:ascii="宋体" w:hAnsi="宋体" w:cs="宋体"/>
          <w:kern w:val="0"/>
          <w:szCs w:val="21"/>
        </w:rPr>
      </w:pPr>
      <w:r>
        <w:rPr>
          <w:rFonts w:hint="eastAsia" w:ascii="宋体" w:hAnsi="宋体" w:cs="宋体"/>
          <w:kern w:val="0"/>
          <w:szCs w:val="21"/>
        </w:rPr>
        <w:t>9.本项目全部专门面向中小企业采购：否。</w:t>
      </w:r>
    </w:p>
    <w:p w14:paraId="7C2868F2">
      <w:pPr>
        <w:pStyle w:val="18"/>
        <w:spacing w:line="240" w:lineRule="auto"/>
        <w:ind w:firstLine="420" w:firstLineChars="200"/>
        <w:rPr>
          <w:rFonts w:hint="eastAsia" w:ascii="宋体" w:hAnsi="宋体" w:eastAsia="宋体" w:cs="宋体"/>
          <w:b w:val="0"/>
          <w:bCs w:val="0"/>
          <w:color w:val="FF0000"/>
          <w:kern w:val="0"/>
          <w:sz w:val="21"/>
          <w:szCs w:val="21"/>
          <w:lang w:val="en-US" w:eastAsia="zh-CN" w:bidi="ar-SA"/>
        </w:rPr>
      </w:pPr>
      <w:r>
        <w:rPr>
          <w:rFonts w:hint="eastAsia" w:ascii="宋体" w:hAnsi="宋体" w:eastAsia="宋体" w:cs="宋体"/>
          <w:b w:val="0"/>
          <w:bCs w:val="0"/>
          <w:color w:val="FF0000"/>
          <w:kern w:val="0"/>
          <w:sz w:val="21"/>
          <w:szCs w:val="21"/>
          <w:lang w:val="en-US" w:eastAsia="zh-CN" w:bidi="ar-SA"/>
        </w:rPr>
        <w:t>10.投标人若为所投产品的生产企业，必须提供《放射性药品生产许可证》（有效期内）扫描件；投标人若为所投产品的经营企业，必须提供《放射性药品经营许可证》（有效期内）扫描件；</w:t>
      </w:r>
    </w:p>
    <w:p w14:paraId="6C06359C">
      <w:pPr>
        <w:pStyle w:val="18"/>
        <w:spacing w:line="240" w:lineRule="auto"/>
        <w:ind w:firstLine="420" w:firstLineChars="200"/>
        <w:rPr>
          <w:rFonts w:hint="eastAsia" w:ascii="宋体" w:hAnsi="宋体" w:eastAsia="宋体" w:cs="宋体"/>
          <w:b w:val="0"/>
          <w:bCs w:val="0"/>
          <w:color w:val="FF0000"/>
          <w:kern w:val="0"/>
          <w:sz w:val="21"/>
          <w:szCs w:val="21"/>
          <w:lang w:val="en-US" w:eastAsia="zh-CN" w:bidi="ar-SA"/>
        </w:rPr>
      </w:pPr>
      <w:r>
        <w:rPr>
          <w:rFonts w:hint="eastAsia" w:ascii="宋体" w:hAnsi="宋体" w:eastAsia="宋体" w:cs="宋体"/>
          <w:b w:val="0"/>
          <w:bCs w:val="0"/>
          <w:color w:val="FF0000"/>
          <w:kern w:val="0"/>
          <w:sz w:val="21"/>
          <w:szCs w:val="21"/>
          <w:lang w:val="en-US" w:eastAsia="zh-CN" w:bidi="ar-SA"/>
        </w:rPr>
        <w:t>  11.投标人须具有《辐射安全许可证》（有效期内）（提供在有效期内的证书扫描件）；</w:t>
      </w:r>
    </w:p>
    <w:p w14:paraId="642E3105">
      <w:pPr>
        <w:pStyle w:val="18"/>
        <w:spacing w:line="240" w:lineRule="auto"/>
        <w:ind w:firstLine="420" w:firstLineChars="200"/>
        <w:rPr>
          <w:rFonts w:hint="eastAsia" w:ascii="宋体" w:hAnsi="宋体" w:eastAsia="宋体" w:cs="宋体"/>
          <w:b w:val="0"/>
          <w:bCs w:val="0"/>
          <w:color w:val="FF0000"/>
          <w:kern w:val="0"/>
          <w:sz w:val="21"/>
          <w:szCs w:val="21"/>
          <w:lang w:val="en-US" w:eastAsia="zh-CN" w:bidi="ar-SA"/>
        </w:rPr>
      </w:pPr>
      <w:r>
        <w:rPr>
          <w:rFonts w:hint="eastAsia" w:ascii="宋体" w:hAnsi="宋体" w:eastAsia="宋体" w:cs="宋体"/>
          <w:b w:val="0"/>
          <w:bCs w:val="0"/>
          <w:color w:val="FF0000"/>
          <w:kern w:val="0"/>
          <w:sz w:val="21"/>
          <w:szCs w:val="21"/>
          <w:lang w:val="en-US" w:eastAsia="zh-CN" w:bidi="ar-SA"/>
        </w:rPr>
        <w:t>  12.投标人或受投标人委托提供运输服务的第三方企业须具有放射性药品的运输资质【提供以下一类证明材料：①提供投标人在有效期内的《放射性物品道路运输许可证》扫描件；或②提供投标人与第三方企业的委托合作协议扫描件以及第三方企业在有效期内的《道路运输经营许可证》（经营范围须包括放射性药品的运输）】。</w:t>
      </w:r>
    </w:p>
    <w:p w14:paraId="2319576F">
      <w:pPr>
        <w:ind w:firstLine="420" w:firstLineChars="200"/>
        <w:rPr>
          <w:rFonts w:ascii="宋体" w:hAnsi="宋体" w:cs="宋体"/>
          <w:kern w:val="0"/>
          <w:szCs w:val="21"/>
        </w:rPr>
      </w:pPr>
    </w:p>
    <w:p w14:paraId="5EFB217B">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14:paraId="71AC82AF">
      <w:pPr>
        <w:wordWrap w:val="0"/>
        <w:ind w:firstLine="420" w:firstLineChars="200"/>
        <w:rPr>
          <w:rFonts w:ascii="宋体" w:hAnsi="宋体" w:cs="宋体"/>
          <w:kern w:val="0"/>
          <w:szCs w:val="21"/>
        </w:rPr>
      </w:pPr>
    </w:p>
    <w:p w14:paraId="3DBE7EC8">
      <w:pPr>
        <w:ind w:firstLine="420" w:firstLineChars="200"/>
        <w:rPr>
          <w:rFonts w:ascii="宋体" w:hAnsi="宋体"/>
        </w:rPr>
      </w:pPr>
      <w:r>
        <w:rPr>
          <w:rFonts w:hint="eastAsia" w:ascii="宋体" w:hAnsi="宋体" w:cs="宋体"/>
          <w:kern w:val="0"/>
          <w:szCs w:val="21"/>
        </w:rPr>
        <w:t>（2）供应商投标（上传投标文件）必须先行办理注册手续，具体请按照本公告“六、其他补充事宜”相关内容指引办理。</w:t>
      </w:r>
    </w:p>
    <w:p w14:paraId="7BFF63C9">
      <w:pPr>
        <w:ind w:firstLine="420" w:firstLineChars="200"/>
        <w:rPr>
          <w:rFonts w:ascii="宋体" w:hAnsi="宋体"/>
        </w:rPr>
      </w:pPr>
    </w:p>
    <w:p w14:paraId="53704B5E">
      <w:pPr>
        <w:ind w:firstLine="442" w:firstLineChars="200"/>
        <w:rPr>
          <w:b/>
        </w:rPr>
      </w:pPr>
      <w:r>
        <w:rPr>
          <w:rFonts w:hint="eastAsia"/>
          <w:b/>
          <w:sz w:val="22"/>
          <w:szCs w:val="18"/>
        </w:rPr>
        <w:t>完整公告内容详见：深圳公共资源交易网（</w:t>
      </w:r>
      <w:r>
        <w:rPr>
          <w:b/>
          <w:sz w:val="22"/>
          <w:szCs w:val="18"/>
        </w:rPr>
        <w:t>https://www.szggzy.com</w:t>
      </w:r>
      <w:r>
        <w:rPr>
          <w:rFonts w:hint="eastAsia"/>
          <w:b/>
          <w:sz w:val="22"/>
          <w:szCs w:val="18"/>
        </w:rPr>
        <w:t>）</w:t>
      </w:r>
    </w:p>
    <w:p w14:paraId="0BEE1F9B">
      <w:pPr>
        <w:ind w:firstLine="422" w:firstLineChars="200"/>
        <w:rPr>
          <w:b/>
        </w:rPr>
      </w:pPr>
    </w:p>
    <w:p w14:paraId="38173191">
      <w:pPr>
        <w:rPr>
          <w:sz w:val="24"/>
        </w:rPr>
      </w:pPr>
    </w:p>
    <w:p w14:paraId="53DBF1C7">
      <w:pPr>
        <w:rPr>
          <w:sz w:val="24"/>
        </w:rPr>
      </w:pPr>
    </w:p>
    <w:p w14:paraId="3B836CCA">
      <w:pPr>
        <w:rPr>
          <w:sz w:val="24"/>
        </w:rPr>
      </w:pPr>
    </w:p>
    <w:p w14:paraId="54546A95">
      <w:pPr>
        <w:rPr>
          <w:sz w:val="24"/>
        </w:rPr>
      </w:pPr>
    </w:p>
    <w:p w14:paraId="0EB352D0">
      <w:pPr>
        <w:rPr>
          <w:sz w:val="24"/>
        </w:rPr>
      </w:pPr>
    </w:p>
    <w:p w14:paraId="78AF9EC5">
      <w:pPr>
        <w:rPr>
          <w:sz w:val="24"/>
        </w:rPr>
      </w:pPr>
    </w:p>
    <w:p w14:paraId="3218EEA7">
      <w:pPr>
        <w:rPr>
          <w:sz w:val="24"/>
        </w:rPr>
      </w:pPr>
    </w:p>
    <w:p w14:paraId="40310062">
      <w:pPr>
        <w:rPr>
          <w:sz w:val="24"/>
        </w:rPr>
      </w:pPr>
    </w:p>
    <w:p w14:paraId="6AEC79CE">
      <w:pPr>
        <w:rPr>
          <w:sz w:val="24"/>
        </w:rPr>
      </w:pPr>
    </w:p>
    <w:p w14:paraId="0527AD0F">
      <w:pPr>
        <w:rPr>
          <w:sz w:val="24"/>
        </w:rPr>
      </w:pPr>
    </w:p>
    <w:p w14:paraId="0A235DDF">
      <w:pPr>
        <w:rPr>
          <w:sz w:val="24"/>
        </w:rPr>
      </w:pPr>
    </w:p>
    <w:p w14:paraId="36E273C9">
      <w:pPr>
        <w:rPr>
          <w:sz w:val="24"/>
        </w:rPr>
      </w:pPr>
    </w:p>
    <w:p w14:paraId="53304D72">
      <w:pPr>
        <w:rPr>
          <w:sz w:val="24"/>
        </w:rPr>
      </w:pPr>
    </w:p>
    <w:p w14:paraId="78526E71">
      <w:pPr>
        <w:rPr>
          <w:sz w:val="24"/>
        </w:rPr>
      </w:pPr>
    </w:p>
    <w:p w14:paraId="044690BB">
      <w:pPr>
        <w:rPr>
          <w:sz w:val="24"/>
        </w:rPr>
      </w:pPr>
    </w:p>
    <w:p w14:paraId="65B29B93">
      <w:pPr>
        <w:rPr>
          <w:sz w:val="24"/>
        </w:rPr>
      </w:pPr>
    </w:p>
    <w:p w14:paraId="034BBF80">
      <w:pPr>
        <w:rPr>
          <w:sz w:val="24"/>
        </w:rPr>
      </w:pPr>
    </w:p>
    <w:p w14:paraId="1392FA42">
      <w:pPr>
        <w:rPr>
          <w:sz w:val="24"/>
        </w:rPr>
      </w:pPr>
    </w:p>
    <w:p w14:paraId="47BDAB27">
      <w:pPr>
        <w:rPr>
          <w:sz w:val="24"/>
        </w:rPr>
      </w:pPr>
    </w:p>
    <w:p w14:paraId="6E3FB44F">
      <w:pPr>
        <w:rPr>
          <w:sz w:val="24"/>
        </w:rPr>
      </w:pPr>
    </w:p>
    <w:p w14:paraId="4BF70CAF">
      <w:pPr>
        <w:rPr>
          <w:sz w:val="24"/>
        </w:rPr>
      </w:pPr>
    </w:p>
    <w:p w14:paraId="112F9D20">
      <w:pPr>
        <w:rPr>
          <w:sz w:val="24"/>
        </w:rPr>
      </w:pPr>
    </w:p>
    <w:p w14:paraId="2FE0B0EB">
      <w:pPr>
        <w:rPr>
          <w:sz w:val="24"/>
        </w:rPr>
      </w:pPr>
    </w:p>
    <w:p w14:paraId="28741713">
      <w:pPr>
        <w:rPr>
          <w:sz w:val="24"/>
        </w:rPr>
      </w:pPr>
    </w:p>
    <w:p w14:paraId="5FF30C67">
      <w:pPr>
        <w:tabs>
          <w:tab w:val="left" w:pos="5611"/>
        </w:tabs>
        <w:rPr>
          <w:sz w:val="24"/>
        </w:rPr>
      </w:pPr>
      <w:r>
        <w:rPr>
          <w:sz w:val="24"/>
        </w:rPr>
        <w:tab/>
      </w:r>
    </w:p>
    <w:p w14:paraId="604C1776">
      <w:pPr>
        <w:rPr>
          <w:sz w:val="24"/>
        </w:rPr>
      </w:pPr>
    </w:p>
    <w:p w14:paraId="72BE16C3">
      <w:pPr>
        <w:rPr>
          <w:sz w:val="24"/>
        </w:rPr>
      </w:pPr>
    </w:p>
    <w:p w14:paraId="34B59686">
      <w:pPr>
        <w:rPr>
          <w:sz w:val="24"/>
        </w:rPr>
        <w:sectPr>
          <w:pgSz w:w="11907" w:h="16840"/>
          <w:pgMar w:top="1440" w:right="1797" w:bottom="1440" w:left="1797" w:header="851" w:footer="992" w:gutter="0"/>
          <w:pgNumType w:fmt="decimal"/>
          <w:cols w:space="425" w:num="1"/>
          <w:titlePg/>
          <w:docGrid w:linePitch="462" w:charSpace="0"/>
        </w:sectPr>
      </w:pPr>
    </w:p>
    <w:p w14:paraId="6EBFB21C">
      <w:pPr>
        <w:pStyle w:val="3"/>
        <w:rPr>
          <w:sz w:val="28"/>
          <w:szCs w:val="28"/>
        </w:rPr>
      </w:pPr>
      <w:r>
        <w:rPr>
          <w:rFonts w:hint="eastAsia"/>
          <w:sz w:val="28"/>
          <w:szCs w:val="28"/>
        </w:rPr>
        <w:t xml:space="preserve">第二章 </w:t>
      </w:r>
      <w:bookmarkStart w:id="23" w:name="_Hlk71926094"/>
      <w:r>
        <w:rPr>
          <w:rFonts w:hint="eastAsia"/>
          <w:sz w:val="28"/>
          <w:szCs w:val="28"/>
        </w:rPr>
        <w:t>对通用条款的补充内容及其他关键信息</w:t>
      </w:r>
      <w:bookmarkEnd w:id="23"/>
    </w:p>
    <w:p w14:paraId="76736AAE">
      <w:pPr>
        <w:pStyle w:val="3"/>
        <w:spacing w:before="120" w:beforeLines="50" w:after="120" w:afterLines="50"/>
        <w:rPr>
          <w:szCs w:val="24"/>
        </w:rPr>
      </w:pPr>
      <w:bookmarkStart w:id="24" w:name="_Toc73517639"/>
      <w:bookmarkStart w:id="25" w:name="_Toc73521547"/>
      <w:bookmarkStart w:id="26" w:name="_Toc73518117"/>
      <w:bookmarkStart w:id="27" w:name="_Toc73521635"/>
      <w:bookmarkStart w:id="28" w:name="_Toc60560625"/>
      <w:bookmarkStart w:id="29" w:name="_Toc60631620"/>
      <w:bookmarkStart w:id="30" w:name="_Toc100052364"/>
      <w:bookmarkStart w:id="31" w:name="_Toc101074876"/>
      <w:r>
        <w:rPr>
          <w:rFonts w:hint="eastAsia"/>
          <w:szCs w:val="24"/>
        </w:rPr>
        <w:t>一、对通用条款的补充内容</w:t>
      </w:r>
    </w:p>
    <w:bookmarkEnd w:id="24"/>
    <w:bookmarkEnd w:id="25"/>
    <w:bookmarkEnd w:id="26"/>
    <w:bookmarkEnd w:id="27"/>
    <w:bookmarkEnd w:id="28"/>
    <w:bookmarkEnd w:id="29"/>
    <w:bookmarkEnd w:id="30"/>
    <w:bookmarkEnd w:id="31"/>
    <w:tbl>
      <w:tblPr>
        <w:tblStyle w:val="44"/>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38BF42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B485E01">
            <w:pPr>
              <w:jc w:val="center"/>
              <w:rPr>
                <w:rFonts w:ascii="宋体" w:hAnsi="宋体"/>
                <w:b/>
                <w:bCs/>
              </w:rPr>
            </w:pPr>
            <w:bookmarkStart w:id="32" w:name="_Hlk72218097"/>
            <w:r>
              <w:rPr>
                <w:rFonts w:hint="eastAsia" w:ascii="宋体" w:hAnsi="宋体"/>
                <w:b/>
                <w:bCs/>
              </w:rPr>
              <w:t>通用条款序号</w:t>
            </w:r>
          </w:p>
        </w:tc>
        <w:tc>
          <w:tcPr>
            <w:tcW w:w="2409" w:type="dxa"/>
            <w:vAlign w:val="center"/>
          </w:tcPr>
          <w:p w14:paraId="0CB0B2CC">
            <w:pPr>
              <w:jc w:val="center"/>
              <w:rPr>
                <w:rFonts w:ascii="宋体" w:hAnsi="宋体"/>
                <w:b/>
                <w:bCs/>
              </w:rPr>
            </w:pPr>
            <w:r>
              <w:rPr>
                <w:rFonts w:hint="eastAsia" w:ascii="宋体" w:hAnsi="宋体"/>
                <w:b/>
                <w:bCs/>
              </w:rPr>
              <w:t>涉及事项</w:t>
            </w:r>
          </w:p>
        </w:tc>
        <w:tc>
          <w:tcPr>
            <w:tcW w:w="4980" w:type="dxa"/>
            <w:vAlign w:val="center"/>
          </w:tcPr>
          <w:p w14:paraId="53A8BB71">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14F4E1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64FD4EF">
            <w:pPr>
              <w:jc w:val="center"/>
              <w:rPr>
                <w:rFonts w:ascii="宋体" w:hAnsi="宋体"/>
              </w:rPr>
            </w:pPr>
            <w:r>
              <w:rPr>
                <w:rFonts w:hint="eastAsia" w:ascii="宋体" w:hAnsi="宋体"/>
              </w:rPr>
              <w:t>3</w:t>
            </w:r>
            <w:r>
              <w:rPr>
                <w:rFonts w:ascii="宋体" w:hAnsi="宋体"/>
              </w:rPr>
              <w:t>.1</w:t>
            </w:r>
          </w:p>
        </w:tc>
        <w:tc>
          <w:tcPr>
            <w:tcW w:w="2409" w:type="dxa"/>
            <w:vAlign w:val="center"/>
          </w:tcPr>
          <w:p w14:paraId="52C36891">
            <w:pPr>
              <w:jc w:val="center"/>
            </w:pPr>
            <w:r>
              <w:rPr>
                <w:rFonts w:hint="eastAsia"/>
              </w:rPr>
              <w:t>采购人</w:t>
            </w:r>
          </w:p>
        </w:tc>
        <w:tc>
          <w:tcPr>
            <w:tcW w:w="4980" w:type="dxa"/>
            <w:vAlign w:val="center"/>
          </w:tcPr>
          <w:p w14:paraId="258A215A">
            <w:pPr>
              <w:jc w:val="center"/>
              <w:rPr>
                <w:rFonts w:ascii="宋体" w:hAnsi="宋体"/>
              </w:rPr>
            </w:pPr>
            <w:r>
              <w:rPr>
                <w:rFonts w:hint="eastAsia"/>
                <w:bCs/>
                <w:szCs w:val="21"/>
              </w:rPr>
              <w:t>深圳市龙岗中心医院</w:t>
            </w:r>
          </w:p>
        </w:tc>
      </w:tr>
      <w:tr w14:paraId="7FDD05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D262C91">
            <w:pPr>
              <w:jc w:val="center"/>
              <w:rPr>
                <w:rFonts w:ascii="宋体" w:hAnsi="宋体"/>
              </w:rPr>
            </w:pPr>
            <w:r>
              <w:rPr>
                <w:rFonts w:hint="eastAsia" w:ascii="宋体" w:hAnsi="宋体"/>
              </w:rPr>
              <w:t>3</w:t>
            </w:r>
            <w:r>
              <w:rPr>
                <w:rFonts w:ascii="宋体" w:hAnsi="宋体"/>
              </w:rPr>
              <w:t>.2</w:t>
            </w:r>
          </w:p>
        </w:tc>
        <w:tc>
          <w:tcPr>
            <w:tcW w:w="2409" w:type="dxa"/>
            <w:vAlign w:val="center"/>
          </w:tcPr>
          <w:p w14:paraId="62EF80B2">
            <w:pPr>
              <w:jc w:val="center"/>
              <w:rPr>
                <w:rFonts w:ascii="宋体" w:hAnsi="宋体"/>
              </w:rPr>
            </w:pPr>
            <w:r>
              <w:rPr>
                <w:rFonts w:hint="eastAsia" w:ascii="宋体" w:hAnsi="宋体"/>
              </w:rPr>
              <w:t>政府集中采购机构</w:t>
            </w:r>
          </w:p>
        </w:tc>
        <w:tc>
          <w:tcPr>
            <w:tcW w:w="4980" w:type="dxa"/>
            <w:vAlign w:val="center"/>
          </w:tcPr>
          <w:p w14:paraId="276434B2">
            <w:pPr>
              <w:jc w:val="center"/>
              <w:rPr>
                <w:rFonts w:ascii="宋体" w:hAnsi="宋体"/>
              </w:rPr>
            </w:pPr>
            <w:r>
              <w:rPr>
                <w:rFonts w:hint="eastAsia" w:ascii="宋体" w:hAnsi="宋体"/>
              </w:rPr>
              <w:t>深圳公共资源交易中心（深圳交易集团有限公司龙岗分公司）</w:t>
            </w:r>
          </w:p>
        </w:tc>
      </w:tr>
      <w:tr w14:paraId="4FE0F0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19F9E6F">
            <w:pPr>
              <w:jc w:val="center"/>
              <w:rPr>
                <w:rFonts w:ascii="宋体" w:hAnsi="宋体"/>
              </w:rPr>
            </w:pPr>
            <w:r>
              <w:rPr>
                <w:rFonts w:hint="eastAsia" w:ascii="宋体" w:hAnsi="宋体"/>
              </w:rPr>
              <w:t>9</w:t>
            </w:r>
          </w:p>
        </w:tc>
        <w:tc>
          <w:tcPr>
            <w:tcW w:w="2409" w:type="dxa"/>
            <w:vAlign w:val="center"/>
          </w:tcPr>
          <w:p w14:paraId="44B71B4C">
            <w:pPr>
              <w:jc w:val="center"/>
              <w:rPr>
                <w:rFonts w:ascii="宋体" w:hAnsi="宋体"/>
              </w:rPr>
            </w:pPr>
            <w:r>
              <w:rPr>
                <w:rFonts w:hint="eastAsia" w:ascii="宋体" w:hAnsi="宋体"/>
              </w:rPr>
              <w:t>踏勘现场</w:t>
            </w:r>
          </w:p>
        </w:tc>
        <w:tc>
          <w:tcPr>
            <w:tcW w:w="4980" w:type="dxa"/>
            <w:vAlign w:val="center"/>
          </w:tcPr>
          <w:p w14:paraId="66BA3D58">
            <w:pPr>
              <w:jc w:val="center"/>
              <w:rPr>
                <w:rFonts w:ascii="宋体" w:hAnsi="宋体"/>
              </w:rPr>
            </w:pPr>
            <w:r>
              <w:rPr>
                <w:rFonts w:hint="eastAsia" w:ascii="宋体" w:hAnsi="宋体"/>
              </w:rPr>
              <w:t>不组织</w:t>
            </w:r>
          </w:p>
        </w:tc>
      </w:tr>
      <w:tr w14:paraId="182961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78A15B1">
            <w:pPr>
              <w:jc w:val="center"/>
              <w:rPr>
                <w:rFonts w:ascii="宋体" w:hAnsi="宋体"/>
              </w:rPr>
            </w:pPr>
            <w:r>
              <w:rPr>
                <w:rFonts w:hint="eastAsia" w:ascii="宋体" w:hAnsi="宋体"/>
              </w:rPr>
              <w:t>1</w:t>
            </w:r>
            <w:r>
              <w:rPr>
                <w:rFonts w:ascii="宋体" w:hAnsi="宋体"/>
              </w:rPr>
              <w:t>0</w:t>
            </w:r>
          </w:p>
        </w:tc>
        <w:tc>
          <w:tcPr>
            <w:tcW w:w="2409" w:type="dxa"/>
            <w:vAlign w:val="center"/>
          </w:tcPr>
          <w:p w14:paraId="76195D89">
            <w:pPr>
              <w:jc w:val="center"/>
              <w:rPr>
                <w:rFonts w:ascii="宋体" w:hAnsi="宋体"/>
              </w:rPr>
            </w:pPr>
            <w:r>
              <w:rPr>
                <w:rFonts w:hint="eastAsia" w:ascii="宋体" w:hAnsi="宋体"/>
              </w:rPr>
              <w:t>标前会议</w:t>
            </w:r>
          </w:p>
        </w:tc>
        <w:tc>
          <w:tcPr>
            <w:tcW w:w="4980" w:type="dxa"/>
            <w:vAlign w:val="center"/>
          </w:tcPr>
          <w:p w14:paraId="2D60E36B">
            <w:pPr>
              <w:jc w:val="center"/>
              <w:rPr>
                <w:rFonts w:ascii="宋体" w:hAnsi="宋体"/>
              </w:rPr>
            </w:pPr>
            <w:r>
              <w:rPr>
                <w:rFonts w:hint="eastAsia" w:ascii="宋体" w:hAnsi="宋体"/>
              </w:rPr>
              <w:t>不组织</w:t>
            </w:r>
          </w:p>
        </w:tc>
      </w:tr>
      <w:tr w14:paraId="74E7E4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1BB2121">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14:paraId="02A845DB">
            <w:pPr>
              <w:jc w:val="center"/>
              <w:rPr>
                <w:rFonts w:ascii="宋体" w:hAnsi="宋体"/>
              </w:rPr>
            </w:pPr>
            <w:r>
              <w:rPr>
                <w:rFonts w:hint="eastAsia" w:ascii="宋体" w:hAnsi="宋体"/>
              </w:rPr>
              <w:t>招标文件的澄清和修改</w:t>
            </w:r>
          </w:p>
        </w:tc>
        <w:tc>
          <w:tcPr>
            <w:tcW w:w="4980" w:type="dxa"/>
            <w:vAlign w:val="center"/>
          </w:tcPr>
          <w:p w14:paraId="454569E5">
            <w:pPr>
              <w:jc w:val="center"/>
              <w:rPr>
                <w:rFonts w:ascii="宋体" w:hAnsi="宋体"/>
              </w:rPr>
            </w:pPr>
            <w:r>
              <w:rPr>
                <w:rFonts w:hint="eastAsia" w:ascii="宋体" w:hAnsi="宋体"/>
              </w:rPr>
              <w:t>不晚于投标截止日三日前，投标人有义务在招标期间在政府集中采购机构网站浏览与本项目有关的澄清和修改信息</w:t>
            </w:r>
          </w:p>
        </w:tc>
      </w:tr>
      <w:tr w14:paraId="352CB4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2314726">
            <w:pPr>
              <w:jc w:val="center"/>
              <w:rPr>
                <w:rFonts w:ascii="宋体" w:hAnsi="宋体"/>
              </w:rPr>
            </w:pPr>
            <w:r>
              <w:rPr>
                <w:rFonts w:hint="eastAsia" w:ascii="宋体" w:hAnsi="宋体"/>
              </w:rPr>
              <w:t>2</w:t>
            </w:r>
            <w:r>
              <w:rPr>
                <w:rFonts w:ascii="宋体" w:hAnsi="宋体"/>
              </w:rPr>
              <w:t>0</w:t>
            </w:r>
          </w:p>
        </w:tc>
        <w:tc>
          <w:tcPr>
            <w:tcW w:w="2409" w:type="dxa"/>
            <w:vAlign w:val="center"/>
          </w:tcPr>
          <w:p w14:paraId="3E4834B3">
            <w:pPr>
              <w:jc w:val="center"/>
              <w:rPr>
                <w:rFonts w:ascii="宋体" w:hAnsi="宋体"/>
              </w:rPr>
            </w:pPr>
            <w:r>
              <w:rPr>
                <w:rFonts w:hint="eastAsia" w:ascii="宋体" w:hAnsi="宋体"/>
              </w:rPr>
              <w:t>投标有效期</w:t>
            </w:r>
          </w:p>
        </w:tc>
        <w:tc>
          <w:tcPr>
            <w:tcW w:w="4980" w:type="dxa"/>
            <w:vAlign w:val="center"/>
          </w:tcPr>
          <w:p w14:paraId="3CCED019">
            <w:pPr>
              <w:jc w:val="center"/>
              <w:rPr>
                <w:rFonts w:ascii="宋体" w:hAnsi="宋体"/>
              </w:rPr>
            </w:pPr>
            <w:r>
              <w:rPr>
                <w:rFonts w:hint="eastAsia" w:ascii="宋体" w:hAnsi="宋体"/>
              </w:rPr>
              <w:t>120个日历日</w:t>
            </w:r>
          </w:p>
        </w:tc>
      </w:tr>
      <w:tr w14:paraId="34A961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8C51816">
            <w:pPr>
              <w:jc w:val="center"/>
              <w:rPr>
                <w:rFonts w:ascii="宋体" w:hAnsi="宋体"/>
              </w:rPr>
            </w:pPr>
            <w:r>
              <w:rPr>
                <w:rFonts w:hint="eastAsia" w:ascii="宋体" w:hAnsi="宋体"/>
              </w:rPr>
              <w:t>2</w:t>
            </w:r>
            <w:r>
              <w:rPr>
                <w:rFonts w:ascii="宋体" w:hAnsi="宋体"/>
              </w:rPr>
              <w:t>2</w:t>
            </w:r>
          </w:p>
        </w:tc>
        <w:tc>
          <w:tcPr>
            <w:tcW w:w="2409" w:type="dxa"/>
            <w:vAlign w:val="center"/>
          </w:tcPr>
          <w:p w14:paraId="799C67EF">
            <w:pPr>
              <w:jc w:val="center"/>
              <w:rPr>
                <w:rFonts w:ascii="宋体" w:hAnsi="宋体"/>
              </w:rPr>
            </w:pPr>
            <w:r>
              <w:rPr>
                <w:rFonts w:hint="eastAsia" w:ascii="宋体" w:hAnsi="宋体"/>
              </w:rPr>
              <w:t>投标人的替代方案</w:t>
            </w:r>
          </w:p>
        </w:tc>
        <w:tc>
          <w:tcPr>
            <w:tcW w:w="4980" w:type="dxa"/>
            <w:vAlign w:val="center"/>
          </w:tcPr>
          <w:p w14:paraId="10F403DA">
            <w:pPr>
              <w:jc w:val="center"/>
              <w:rPr>
                <w:rFonts w:ascii="宋体" w:hAnsi="宋体"/>
              </w:rPr>
            </w:pPr>
            <w:r>
              <w:rPr>
                <w:rFonts w:hint="eastAsia" w:ascii="宋体" w:hAnsi="宋体"/>
              </w:rPr>
              <w:t>不接受</w:t>
            </w:r>
          </w:p>
        </w:tc>
      </w:tr>
      <w:tr w14:paraId="6FDCCC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D4267DF">
            <w:pPr>
              <w:jc w:val="center"/>
              <w:rPr>
                <w:rFonts w:ascii="宋体" w:hAnsi="宋体"/>
              </w:rPr>
            </w:pPr>
            <w:r>
              <w:rPr>
                <w:rFonts w:hint="eastAsia" w:ascii="宋体" w:hAnsi="宋体"/>
              </w:rPr>
              <w:t>2</w:t>
            </w:r>
            <w:r>
              <w:rPr>
                <w:rFonts w:ascii="宋体" w:hAnsi="宋体"/>
              </w:rPr>
              <w:t>5</w:t>
            </w:r>
          </w:p>
        </w:tc>
        <w:tc>
          <w:tcPr>
            <w:tcW w:w="2409" w:type="dxa"/>
            <w:vAlign w:val="center"/>
          </w:tcPr>
          <w:p w14:paraId="2162444B">
            <w:pPr>
              <w:jc w:val="center"/>
              <w:rPr>
                <w:rFonts w:ascii="宋体" w:hAnsi="宋体"/>
              </w:rPr>
            </w:pPr>
            <w:r>
              <w:rPr>
                <w:rFonts w:hint="eastAsia" w:ascii="宋体" w:hAnsi="宋体"/>
              </w:rPr>
              <w:t>投标文件的大小</w:t>
            </w:r>
          </w:p>
        </w:tc>
        <w:tc>
          <w:tcPr>
            <w:tcW w:w="4980" w:type="dxa"/>
            <w:vAlign w:val="center"/>
          </w:tcPr>
          <w:p w14:paraId="667230AF">
            <w:pPr>
              <w:jc w:val="center"/>
              <w:rPr>
                <w:rFonts w:ascii="宋体" w:hAnsi="宋体"/>
              </w:rPr>
            </w:pPr>
            <w:r>
              <w:rPr>
                <w:rFonts w:hint="eastAsia" w:ascii="宋体" w:hAnsi="宋体"/>
              </w:rPr>
              <w:t>投标文件大小不得超过100MB</w:t>
            </w:r>
          </w:p>
        </w:tc>
      </w:tr>
      <w:tr w14:paraId="29D9AA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413EE8F">
            <w:pPr>
              <w:jc w:val="center"/>
              <w:rPr>
                <w:rFonts w:ascii="宋体" w:hAnsi="宋体"/>
              </w:rPr>
            </w:pPr>
            <w:r>
              <w:rPr>
                <w:rFonts w:hint="eastAsia" w:ascii="宋体" w:hAnsi="宋体"/>
              </w:rPr>
              <w:t>2</w:t>
            </w:r>
            <w:r>
              <w:rPr>
                <w:rFonts w:ascii="宋体" w:hAnsi="宋体"/>
              </w:rPr>
              <w:t>6</w:t>
            </w:r>
          </w:p>
        </w:tc>
        <w:tc>
          <w:tcPr>
            <w:tcW w:w="2409" w:type="dxa"/>
            <w:vAlign w:val="center"/>
          </w:tcPr>
          <w:p w14:paraId="74967DE2">
            <w:pPr>
              <w:jc w:val="center"/>
              <w:rPr>
                <w:rFonts w:ascii="宋体" w:hAnsi="宋体"/>
              </w:rPr>
            </w:pPr>
            <w:bookmarkStart w:id="33" w:name="_Hlk71664860"/>
            <w:r>
              <w:rPr>
                <w:rFonts w:hint="eastAsia" w:ascii="宋体" w:hAnsi="宋体"/>
              </w:rPr>
              <w:t>样品、现场演示、方案讲解</w:t>
            </w:r>
            <w:bookmarkEnd w:id="33"/>
          </w:p>
        </w:tc>
        <w:tc>
          <w:tcPr>
            <w:tcW w:w="4980" w:type="dxa"/>
            <w:vAlign w:val="center"/>
          </w:tcPr>
          <w:p w14:paraId="1905D2D6">
            <w:pPr>
              <w:jc w:val="center"/>
              <w:rPr>
                <w:rFonts w:ascii="宋体" w:hAnsi="宋体"/>
              </w:rPr>
            </w:pPr>
            <w:r>
              <w:rPr>
                <w:rFonts w:hint="eastAsia" w:ascii="宋体" w:hAnsi="宋体"/>
              </w:rPr>
              <w:t>无</w:t>
            </w:r>
          </w:p>
        </w:tc>
      </w:tr>
      <w:tr w14:paraId="254ED4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1D3B02E">
            <w:pPr>
              <w:jc w:val="center"/>
              <w:rPr>
                <w:rFonts w:ascii="宋体" w:hAnsi="宋体"/>
              </w:rPr>
            </w:pPr>
            <w:r>
              <w:rPr>
                <w:rFonts w:hint="eastAsia" w:ascii="宋体" w:hAnsi="宋体"/>
              </w:rPr>
              <w:t>3</w:t>
            </w:r>
            <w:r>
              <w:rPr>
                <w:rFonts w:ascii="宋体" w:hAnsi="宋体"/>
              </w:rPr>
              <w:t>7</w:t>
            </w:r>
          </w:p>
        </w:tc>
        <w:tc>
          <w:tcPr>
            <w:tcW w:w="2409" w:type="dxa"/>
            <w:vAlign w:val="center"/>
          </w:tcPr>
          <w:p w14:paraId="22F12A7A">
            <w:pPr>
              <w:jc w:val="center"/>
              <w:rPr>
                <w:rFonts w:ascii="宋体" w:hAnsi="宋体"/>
              </w:rPr>
            </w:pPr>
            <w:r>
              <w:rPr>
                <w:rFonts w:hint="eastAsia" w:ascii="宋体" w:hAnsi="宋体"/>
              </w:rPr>
              <w:t>评审方法</w:t>
            </w:r>
          </w:p>
        </w:tc>
        <w:tc>
          <w:tcPr>
            <w:tcW w:w="4980" w:type="dxa"/>
            <w:vAlign w:val="center"/>
          </w:tcPr>
          <w:p w14:paraId="6E79A273">
            <w:pPr>
              <w:jc w:val="center"/>
              <w:rPr>
                <w:rFonts w:ascii="宋体" w:hAnsi="宋体"/>
              </w:rPr>
            </w:pPr>
            <w:r>
              <w:rPr>
                <w:rFonts w:hint="eastAsia" w:ascii="宋体" w:hAnsi="宋体"/>
              </w:rPr>
              <w:t>综合评分法</w:t>
            </w:r>
          </w:p>
        </w:tc>
      </w:tr>
      <w:tr w14:paraId="11B4CF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D6456ED">
            <w:pPr>
              <w:jc w:val="center"/>
              <w:rPr>
                <w:rFonts w:ascii="宋体" w:hAnsi="宋体"/>
              </w:rPr>
            </w:pPr>
            <w:r>
              <w:rPr>
                <w:rFonts w:hint="eastAsia" w:ascii="宋体" w:hAnsi="宋体"/>
              </w:rPr>
              <w:t>3</w:t>
            </w:r>
            <w:r>
              <w:rPr>
                <w:rFonts w:ascii="宋体" w:hAnsi="宋体"/>
              </w:rPr>
              <w:t>8</w:t>
            </w:r>
          </w:p>
        </w:tc>
        <w:tc>
          <w:tcPr>
            <w:tcW w:w="2409" w:type="dxa"/>
            <w:vAlign w:val="center"/>
          </w:tcPr>
          <w:p w14:paraId="3C9C6671">
            <w:pPr>
              <w:jc w:val="center"/>
              <w:rPr>
                <w:rFonts w:ascii="宋体" w:hAnsi="宋体"/>
              </w:rPr>
            </w:pPr>
            <w:r>
              <w:rPr>
                <w:rFonts w:hint="eastAsia" w:ascii="宋体" w:hAnsi="宋体"/>
              </w:rPr>
              <w:t>定标方法</w:t>
            </w:r>
          </w:p>
        </w:tc>
        <w:tc>
          <w:tcPr>
            <w:tcW w:w="4980" w:type="dxa"/>
            <w:vAlign w:val="center"/>
          </w:tcPr>
          <w:p w14:paraId="672BBEBB">
            <w:pPr>
              <w:jc w:val="center"/>
              <w:rPr>
                <w:rFonts w:ascii="宋体" w:hAnsi="宋体"/>
              </w:rPr>
            </w:pPr>
            <w:r>
              <w:rPr>
                <w:rFonts w:hint="eastAsia" w:ascii="宋体" w:hAnsi="宋体"/>
              </w:rPr>
              <w:t>非评定分离</w:t>
            </w:r>
          </w:p>
        </w:tc>
      </w:tr>
      <w:tr w14:paraId="5DD488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9BFD9AD">
            <w:pPr>
              <w:jc w:val="center"/>
              <w:rPr>
                <w:rFonts w:ascii="宋体" w:hAnsi="宋体"/>
              </w:rPr>
            </w:pPr>
            <w:r>
              <w:rPr>
                <w:rFonts w:hint="eastAsia" w:ascii="宋体" w:hAnsi="宋体"/>
              </w:rPr>
              <w:t>4</w:t>
            </w:r>
            <w:r>
              <w:rPr>
                <w:rFonts w:ascii="宋体" w:hAnsi="宋体"/>
              </w:rPr>
              <w:t>6</w:t>
            </w:r>
          </w:p>
        </w:tc>
        <w:tc>
          <w:tcPr>
            <w:tcW w:w="2409" w:type="dxa"/>
            <w:vAlign w:val="center"/>
          </w:tcPr>
          <w:p w14:paraId="6A458805">
            <w:pPr>
              <w:jc w:val="center"/>
              <w:rPr>
                <w:rFonts w:ascii="宋体" w:hAnsi="宋体"/>
              </w:rPr>
            </w:pPr>
            <w:r>
              <w:rPr>
                <w:rFonts w:hint="eastAsia" w:ascii="宋体" w:hAnsi="宋体"/>
              </w:rPr>
              <w:t>履约担保</w:t>
            </w:r>
          </w:p>
        </w:tc>
        <w:tc>
          <w:tcPr>
            <w:tcW w:w="4980" w:type="dxa"/>
            <w:vAlign w:val="center"/>
          </w:tcPr>
          <w:p w14:paraId="142A7F4C">
            <w:pPr>
              <w:jc w:val="center"/>
              <w:rPr>
                <w:rFonts w:ascii="宋体" w:hAnsi="宋体"/>
              </w:rPr>
            </w:pPr>
            <w:r>
              <w:rPr>
                <w:rFonts w:ascii="宋体" w:hAnsi="宋体"/>
              </w:rPr>
              <w:t>不需要</w:t>
            </w:r>
          </w:p>
        </w:tc>
      </w:tr>
    </w:tbl>
    <w:p w14:paraId="7E8D003C">
      <w:pPr>
        <w:rPr>
          <w:b/>
        </w:rPr>
      </w:pPr>
      <w:r>
        <w:rPr>
          <w:rFonts w:hint="eastAsia"/>
          <w:szCs w:val="21"/>
        </w:rPr>
        <w:t>备注：本表是通用条款相关条款的补充和明确，如与通用条款内容相冲突的，以本表为准。</w:t>
      </w:r>
    </w:p>
    <w:bookmarkEnd w:id="32"/>
    <w:p w14:paraId="2B9B01E8">
      <w:pPr>
        <w:pStyle w:val="3"/>
        <w:spacing w:before="120" w:beforeLines="50" w:after="120" w:afterLines="50"/>
        <w:rPr>
          <w:szCs w:val="24"/>
        </w:rPr>
      </w:pPr>
      <w:bookmarkStart w:id="34" w:name="_Hlk72218117"/>
      <w:r>
        <w:rPr>
          <w:rFonts w:hint="eastAsia"/>
          <w:szCs w:val="24"/>
        </w:rPr>
        <w:t>二、其他关键信息</w:t>
      </w:r>
    </w:p>
    <w:p w14:paraId="519CDE6C">
      <w:pPr>
        <w:ind w:firstLine="422" w:firstLineChars="200"/>
        <w:rPr>
          <w:b/>
          <w:bCs/>
        </w:rPr>
      </w:pPr>
      <w:bookmarkStart w:id="35" w:name="_Hlk72579427"/>
      <w:r>
        <w:rPr>
          <w:rFonts w:hint="eastAsia"/>
          <w:b/>
          <w:bCs/>
        </w:rPr>
        <w:t>（一）与“对通用条款的补充内容”章节相关的事项</w:t>
      </w:r>
    </w:p>
    <w:p w14:paraId="1D11CC51">
      <w:pPr>
        <w:spacing w:line="276" w:lineRule="auto"/>
        <w:jc w:val="left"/>
        <w:rPr>
          <w:rFonts w:ascii="宋体" w:hAnsi="宋体"/>
          <w:b/>
          <w:kern w:val="0"/>
          <w:szCs w:val="20"/>
        </w:rPr>
      </w:pPr>
      <w:r>
        <w:rPr>
          <w:rFonts w:hint="eastAsia" w:ascii="宋体" w:hAnsi="宋体"/>
          <w:b/>
          <w:kern w:val="0"/>
          <w:szCs w:val="20"/>
        </w:rPr>
        <w:t>1、评标定标信息</w:t>
      </w:r>
    </w:p>
    <w:p w14:paraId="542AE0FC">
      <w:pPr>
        <w:jc w:val="center"/>
      </w:pPr>
      <w:r>
        <w:rPr>
          <w:rFonts w:hint="eastAsia"/>
          <w:b/>
        </w:rPr>
        <w:t>非评定分离项目</w:t>
      </w:r>
    </w:p>
    <w:tbl>
      <w:tblPr>
        <w:tblStyle w:val="45"/>
        <w:tblW w:w="8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3"/>
        <w:gridCol w:w="4416"/>
      </w:tblGrid>
      <w:tr w14:paraId="6FA2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83" w:type="dxa"/>
          </w:tcPr>
          <w:p w14:paraId="26089456">
            <w:pPr>
              <w:jc w:val="center"/>
            </w:pPr>
            <w:r>
              <w:rPr>
                <w:rFonts w:hint="eastAsia"/>
              </w:rPr>
              <w:t>评标方法</w:t>
            </w:r>
          </w:p>
        </w:tc>
        <w:tc>
          <w:tcPr>
            <w:tcW w:w="4416" w:type="dxa"/>
          </w:tcPr>
          <w:p w14:paraId="51337F11">
            <w:pPr>
              <w:jc w:val="center"/>
            </w:pPr>
            <w:r>
              <w:rPr>
                <w:rFonts w:hint="eastAsia"/>
              </w:rPr>
              <w:t>综合评分法</w:t>
            </w:r>
          </w:p>
        </w:tc>
      </w:tr>
      <w:tr w14:paraId="0DAA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661749B6">
            <w:pPr>
              <w:jc w:val="center"/>
            </w:pPr>
            <w:r>
              <w:rPr>
                <w:rFonts w:hint="eastAsia"/>
              </w:rPr>
              <w:t>候选中标供应商家数</w:t>
            </w:r>
          </w:p>
        </w:tc>
        <w:tc>
          <w:tcPr>
            <w:tcW w:w="4416" w:type="dxa"/>
          </w:tcPr>
          <w:p w14:paraId="12B25870">
            <w:pPr>
              <w:jc w:val="center"/>
            </w:pPr>
            <w:r>
              <w:rPr>
                <w:rFonts w:hint="eastAsia"/>
              </w:rPr>
              <w:t>3</w:t>
            </w:r>
          </w:p>
        </w:tc>
      </w:tr>
      <w:tr w14:paraId="4A68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43DCA2A8">
            <w:pPr>
              <w:jc w:val="center"/>
            </w:pPr>
            <w:r>
              <w:rPr>
                <w:rFonts w:hint="eastAsia"/>
              </w:rPr>
              <w:t>中标供应商家数</w:t>
            </w:r>
          </w:p>
        </w:tc>
        <w:tc>
          <w:tcPr>
            <w:tcW w:w="4416" w:type="dxa"/>
          </w:tcPr>
          <w:p w14:paraId="2066DBC2">
            <w:pPr>
              <w:jc w:val="center"/>
            </w:pPr>
            <w:r>
              <w:rPr>
                <w:rFonts w:hint="eastAsia"/>
              </w:rPr>
              <w:t>1</w:t>
            </w:r>
          </w:p>
        </w:tc>
      </w:tr>
    </w:tbl>
    <w:p w14:paraId="0B8E20E3">
      <w:pPr>
        <w:ind w:firstLine="422" w:firstLineChars="200"/>
        <w:rPr>
          <w:rFonts w:hint="eastAsia"/>
          <w:b/>
          <w:bCs/>
          <w:highlight w:val="yellow"/>
        </w:rPr>
      </w:pPr>
      <w:r>
        <w:rPr>
          <w:rFonts w:hint="eastAsia"/>
          <w:b/>
          <w:bCs/>
          <w:highlight w:val="yellow"/>
          <w:lang w:val="en-US" w:eastAsia="zh-CN"/>
        </w:rPr>
        <w:t>备注:本项目采购方式为公开招标，如本项目在延期招标或第二次招标后有效投标人不足3家，则按以下程序进行:(1)仅有2家时，采用现场转为竞争性谈判(综合评分法)方式进行采购;(2)仅有1家时，则本项目采用现场转为单一来源方式进行采购。</w:t>
      </w:r>
    </w:p>
    <w:p w14:paraId="41AD4BE2">
      <w:pPr>
        <w:ind w:firstLine="422" w:firstLineChars="200"/>
        <w:rPr>
          <w:b/>
        </w:rPr>
      </w:pPr>
      <w:bookmarkStart w:id="130" w:name="_GoBack"/>
      <w:bookmarkEnd w:id="130"/>
    </w:p>
    <w:p w14:paraId="70684A4B">
      <w:pPr>
        <w:ind w:firstLine="422" w:firstLineChars="200"/>
        <w:rPr>
          <w:b/>
        </w:rPr>
      </w:pPr>
      <w:r>
        <w:rPr>
          <w:rFonts w:hint="eastAsia"/>
          <w:b/>
        </w:rPr>
        <w:t>（二）其他事项</w:t>
      </w:r>
      <w:bookmarkEnd w:id="35"/>
    </w:p>
    <w:p w14:paraId="4AD6CB31">
      <w:pPr>
        <w:ind w:firstLine="422" w:firstLineChars="200"/>
        <w:rPr>
          <w:b/>
          <w:bCs/>
        </w:rPr>
      </w:pPr>
      <w:r>
        <w:rPr>
          <w:b/>
          <w:bCs/>
        </w:rPr>
        <w:t>1</w:t>
      </w:r>
      <w:r>
        <w:rPr>
          <w:rFonts w:hint="eastAsia"/>
          <w:b/>
          <w:bCs/>
        </w:rPr>
        <w:t>、关于享受优惠政策的主体、价格扣除比例及采购标的所属行业的说明</w:t>
      </w:r>
    </w:p>
    <w:p w14:paraId="21603688">
      <w:pPr>
        <w:ind w:firstLine="420" w:firstLineChars="200"/>
      </w:pPr>
      <w:r>
        <w:rPr>
          <w:rFonts w:hint="eastAsia"/>
        </w:rPr>
        <w:t>（1）专门面向中小企业采购的项目，不再执行价格扣除比例。</w:t>
      </w:r>
    </w:p>
    <w:p w14:paraId="1EF81809">
      <w:pPr>
        <w:ind w:firstLine="420" w:firstLineChars="200"/>
      </w:pPr>
      <w:r>
        <w:rPr>
          <w:rFonts w:hint="eastAsia"/>
        </w:rPr>
        <w:t>（2）非专门面向中小企业采购的项目，应执行价格扣除比例：投标人提供的货物（以招标文件用户需求书“货物清单明细”的“货物名称”一栏为准）全部均由优惠主体制造，则对其投标总价给予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rPr>
        <w:t xml:space="preserve">    10   </w:t>
      </w:r>
      <w:r>
        <w:rPr>
          <w:color w:val="FF0000"/>
          <w:u w:val="single"/>
        </w:rPr>
        <w:t xml:space="preserve">  </w:t>
      </w:r>
      <w:r>
        <w:rPr>
          <w:rFonts w:hint="eastAsia"/>
          <w:color w:val="FF0000"/>
          <w:u w:val="single"/>
        </w:rPr>
        <w:t xml:space="preserve"> </w:t>
      </w:r>
      <w:r>
        <w:rPr>
          <w:rFonts w:hint="eastAsia"/>
          <w:color w:val="FF0000"/>
        </w:rPr>
        <w:t xml:space="preserve"> </w:t>
      </w:r>
      <w:r>
        <w:rPr>
          <w:color w:val="FF0000"/>
        </w:rPr>
        <w:t>%</w:t>
      </w:r>
      <w:r>
        <w:rPr>
          <w:rFonts w:hint="eastAsia"/>
        </w:rPr>
        <w:t>的扣除，用扣除后的价格参与评审。满足多项优惠政策的供应商，不重复享受多项价格扣除政策。</w:t>
      </w:r>
    </w:p>
    <w:p w14:paraId="56A34D70">
      <w:pPr>
        <w:ind w:firstLine="420" w:firstLineChars="200"/>
      </w:pPr>
      <w:r>
        <w:rPr>
          <w:rFonts w:hint="eastAsia"/>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14:paraId="1BC89470">
      <w:pPr>
        <w:ind w:firstLine="420" w:firstLineChars="200"/>
        <w:rPr>
          <w:rFonts w:ascii="宋体" w:hAnsi="宋体" w:cs="宋体"/>
          <w:szCs w:val="21"/>
        </w:rPr>
      </w:pPr>
      <w:r>
        <w:rPr>
          <w:rFonts w:hint="eastAsia" w:ascii="宋体" w:hAnsi="宋体" w:cs="宋体"/>
          <w:szCs w:val="21"/>
        </w:rPr>
        <w:t>（3）</w:t>
      </w:r>
      <w:bookmarkStart w:id="36" w:name="_Hlk71970739"/>
      <w:r>
        <w:rPr>
          <w:rFonts w:hint="eastAsia" w:ascii="宋体" w:hAnsi="宋体" w:cs="宋体"/>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宋体" w:hAnsi="宋体" w:cs="宋体"/>
          <w:b/>
          <w:bCs/>
          <w:color w:val="FF0000"/>
          <w:szCs w:val="21"/>
        </w:rPr>
        <w:t>《中小企业声明函》中相关企业（货物制造商）所属行业应当与采购标的所属行业相一致，</w:t>
      </w:r>
      <w:r>
        <w:rPr>
          <w:rFonts w:hint="eastAsia"/>
          <w:b/>
          <w:bCs/>
          <w:color w:val="FF0000"/>
        </w:rPr>
        <w:t>标的所属行业以招标文件第一册第三章用户需求书“货物清单明细”的“标的所属行业”一栏为准</w:t>
      </w:r>
      <w:r>
        <w:rPr>
          <w:rFonts w:hint="eastAsia" w:ascii="宋体" w:hAnsi="宋体" w:cs="宋体"/>
          <w:b/>
          <w:bCs/>
          <w:color w:val="FF0000"/>
          <w:szCs w:val="21"/>
        </w:rPr>
        <w:t>。</w:t>
      </w:r>
      <w:bookmarkEnd w:id="36"/>
    </w:p>
    <w:p w14:paraId="5C622931">
      <w:pPr>
        <w:ind w:firstLine="420" w:firstLineChars="200"/>
      </w:pPr>
      <w:r>
        <w:rPr>
          <w:rFonts w:hint="eastAsia" w:ascii="宋体" w:hAnsi="宋体" w:cs="宋体"/>
          <w:szCs w:val="21"/>
        </w:rPr>
        <w:t>（4）小型企业、微型企业、残疾人福利性单位作为优惠主体的认定资料为《中小企业声明函》、《残疾人福利性单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14:paraId="3179CDDF">
      <w:pPr>
        <w:ind w:firstLine="420" w:firstLineChars="200"/>
        <w:rPr>
          <w:color w:val="FF0000"/>
        </w:rPr>
      </w:pPr>
      <w:r>
        <w:rPr>
          <w:rFonts w:hint="eastAsia"/>
        </w:rPr>
        <w:t>（5）享受价格扣除获得政府采购合同的，小微企业不得将合同分包给大中型企业。</w:t>
      </w:r>
    </w:p>
    <w:p w14:paraId="1493CDF5">
      <w:pPr>
        <w:ind w:firstLine="422" w:firstLineChars="200"/>
        <w:rPr>
          <w:b/>
        </w:rPr>
      </w:pPr>
      <w:r>
        <w:rPr>
          <w:rFonts w:hint="eastAsia" w:ascii="宋体" w:hAnsi="宋体" w:cs="宋体"/>
          <w:b/>
          <w:bCs/>
          <w:color w:val="EE0000"/>
          <w:szCs w:val="21"/>
        </w:rPr>
        <w:t>2、</w:t>
      </w:r>
      <w:bookmarkStart w:id="37" w:name="_Hlk72594729"/>
      <w:bookmarkStart w:id="38" w:name="_Hlk76855768"/>
      <w:r>
        <w:rPr>
          <w:rFonts w:hint="eastAsia"/>
          <w:b/>
        </w:rPr>
        <w:t>本项目为代理服务项目，将向中标（成交）供应商收取代理服务费。</w:t>
      </w:r>
    </w:p>
    <w:bookmarkEnd w:id="37"/>
    <w:bookmarkEnd w:id="38"/>
    <w:p w14:paraId="55BE3C03">
      <w:pPr>
        <w:ind w:firstLine="420" w:firstLineChars="200"/>
      </w:pPr>
      <w:r>
        <w:rPr>
          <w:rFonts w:hint="eastAsia"/>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w:t>
      </w:r>
      <w:r>
        <w:rPr>
          <w:rFonts w:hint="eastAsia"/>
          <w:b/>
          <w:color w:val="FF0000"/>
          <w:u w:val="single"/>
        </w:rPr>
        <w:t>货物采购</w:t>
      </w:r>
      <w:r>
        <w:rPr>
          <w:rFonts w:hint="eastAsia"/>
          <w:b/>
          <w:color w:val="FF0000"/>
        </w:rPr>
        <w:t>：</w:t>
      </w:r>
    </w:p>
    <w:p w14:paraId="2B2A9BE6">
      <w:pPr>
        <w:ind w:firstLine="420" w:firstLineChars="200"/>
      </w:pPr>
      <w:r>
        <w:rPr>
          <w:rFonts w:hint="eastAsia"/>
        </w:rPr>
        <w:t>（1）代理服务费以《中标（成交）通知书》确定的中标（成交）金额作为计算基数，按差额定率累进法计算。</w:t>
      </w:r>
    </w:p>
    <w:p w14:paraId="5A373BAC">
      <w:pPr>
        <w:ind w:firstLine="420" w:firstLineChars="200"/>
      </w:pPr>
      <w:r>
        <w:rPr>
          <w:rFonts w:hint="eastAsia"/>
        </w:rPr>
        <w:t>（2）中标（成交）金额的各部分费率如下表：</w:t>
      </w:r>
    </w:p>
    <w:tbl>
      <w:tblPr>
        <w:tblStyle w:val="4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3DC6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4EAA9139">
            <w:pPr>
              <w:widowControl/>
              <w:spacing w:line="360" w:lineRule="auto"/>
              <w:jc w:val="center"/>
            </w:pPr>
            <w:r>
              <w:rPr>
                <w:rFonts w:hint="eastAsia"/>
              </w:rPr>
              <w:t>中标（成交）金额</w:t>
            </w:r>
          </w:p>
        </w:tc>
        <w:tc>
          <w:tcPr>
            <w:tcW w:w="1799" w:type="dxa"/>
            <w:vAlign w:val="center"/>
          </w:tcPr>
          <w:p w14:paraId="60D2C044">
            <w:pPr>
              <w:widowControl/>
              <w:spacing w:line="360" w:lineRule="auto"/>
              <w:jc w:val="center"/>
            </w:pPr>
            <w:r>
              <w:rPr>
                <w:rFonts w:hint="eastAsia"/>
              </w:rPr>
              <w:t>货物采购</w:t>
            </w:r>
          </w:p>
        </w:tc>
        <w:tc>
          <w:tcPr>
            <w:tcW w:w="1799" w:type="dxa"/>
            <w:vAlign w:val="center"/>
          </w:tcPr>
          <w:p w14:paraId="58D977C6">
            <w:pPr>
              <w:widowControl/>
              <w:spacing w:line="360" w:lineRule="auto"/>
              <w:jc w:val="center"/>
            </w:pPr>
            <w:r>
              <w:rPr>
                <w:rFonts w:hint="eastAsia"/>
              </w:rPr>
              <w:t>服务采购</w:t>
            </w:r>
          </w:p>
        </w:tc>
        <w:tc>
          <w:tcPr>
            <w:tcW w:w="1799" w:type="dxa"/>
            <w:vAlign w:val="center"/>
          </w:tcPr>
          <w:p w14:paraId="6B9CC233">
            <w:pPr>
              <w:widowControl/>
              <w:spacing w:line="360" w:lineRule="auto"/>
              <w:jc w:val="center"/>
            </w:pPr>
            <w:r>
              <w:rPr>
                <w:rFonts w:hint="eastAsia"/>
              </w:rPr>
              <w:t>工程采购</w:t>
            </w:r>
          </w:p>
        </w:tc>
      </w:tr>
      <w:tr w14:paraId="157A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7950013">
            <w:pPr>
              <w:widowControl/>
              <w:spacing w:line="360" w:lineRule="auto"/>
              <w:jc w:val="center"/>
            </w:pPr>
            <w:r>
              <w:rPr>
                <w:rFonts w:hint="eastAsia"/>
              </w:rPr>
              <w:t>100万元以下</w:t>
            </w:r>
          </w:p>
        </w:tc>
        <w:tc>
          <w:tcPr>
            <w:tcW w:w="1799" w:type="dxa"/>
            <w:vAlign w:val="center"/>
          </w:tcPr>
          <w:p w14:paraId="133475FD">
            <w:pPr>
              <w:widowControl/>
              <w:spacing w:line="360" w:lineRule="auto"/>
              <w:jc w:val="center"/>
            </w:pPr>
            <w:r>
              <w:rPr>
                <w:rFonts w:hint="eastAsia"/>
              </w:rPr>
              <w:t>1.5%</w:t>
            </w:r>
          </w:p>
        </w:tc>
        <w:tc>
          <w:tcPr>
            <w:tcW w:w="1799" w:type="dxa"/>
            <w:vAlign w:val="center"/>
          </w:tcPr>
          <w:p w14:paraId="09A7B7A7">
            <w:pPr>
              <w:widowControl/>
              <w:spacing w:line="360" w:lineRule="auto"/>
              <w:jc w:val="center"/>
            </w:pPr>
            <w:r>
              <w:rPr>
                <w:rFonts w:hint="eastAsia"/>
              </w:rPr>
              <w:t>1.5%</w:t>
            </w:r>
          </w:p>
        </w:tc>
        <w:tc>
          <w:tcPr>
            <w:tcW w:w="1799" w:type="dxa"/>
            <w:vAlign w:val="center"/>
          </w:tcPr>
          <w:p w14:paraId="637C5330">
            <w:pPr>
              <w:widowControl/>
              <w:spacing w:line="360" w:lineRule="auto"/>
              <w:jc w:val="center"/>
            </w:pPr>
            <w:r>
              <w:rPr>
                <w:rFonts w:hint="eastAsia"/>
              </w:rPr>
              <w:t>1.0%</w:t>
            </w:r>
          </w:p>
        </w:tc>
      </w:tr>
      <w:tr w14:paraId="6470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EDBFD93">
            <w:pPr>
              <w:widowControl/>
              <w:spacing w:line="360" w:lineRule="auto"/>
              <w:jc w:val="center"/>
            </w:pPr>
            <w:r>
              <w:rPr>
                <w:rFonts w:hint="eastAsia"/>
              </w:rPr>
              <w:t>100万元（含）-500万元</w:t>
            </w:r>
          </w:p>
        </w:tc>
        <w:tc>
          <w:tcPr>
            <w:tcW w:w="1799" w:type="dxa"/>
            <w:vAlign w:val="center"/>
          </w:tcPr>
          <w:p w14:paraId="432F9D0E">
            <w:pPr>
              <w:widowControl/>
              <w:spacing w:line="360" w:lineRule="auto"/>
              <w:jc w:val="center"/>
            </w:pPr>
            <w:r>
              <w:rPr>
                <w:rFonts w:hint="eastAsia"/>
              </w:rPr>
              <w:t>1.1%</w:t>
            </w:r>
          </w:p>
        </w:tc>
        <w:tc>
          <w:tcPr>
            <w:tcW w:w="1799" w:type="dxa"/>
            <w:vAlign w:val="center"/>
          </w:tcPr>
          <w:p w14:paraId="1C1EFC72">
            <w:pPr>
              <w:widowControl/>
              <w:spacing w:line="360" w:lineRule="auto"/>
              <w:jc w:val="center"/>
            </w:pPr>
            <w:r>
              <w:rPr>
                <w:rFonts w:hint="eastAsia"/>
              </w:rPr>
              <w:t>0.8%</w:t>
            </w:r>
          </w:p>
        </w:tc>
        <w:tc>
          <w:tcPr>
            <w:tcW w:w="1799" w:type="dxa"/>
            <w:vAlign w:val="center"/>
          </w:tcPr>
          <w:p w14:paraId="75066B17">
            <w:pPr>
              <w:widowControl/>
              <w:spacing w:line="360" w:lineRule="auto"/>
              <w:jc w:val="center"/>
            </w:pPr>
            <w:r>
              <w:rPr>
                <w:rFonts w:hint="eastAsia"/>
              </w:rPr>
              <w:t>0.7%</w:t>
            </w:r>
          </w:p>
        </w:tc>
      </w:tr>
      <w:tr w14:paraId="7D8B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937F5A1">
            <w:pPr>
              <w:widowControl/>
              <w:spacing w:line="360" w:lineRule="auto"/>
              <w:jc w:val="center"/>
            </w:pPr>
            <w:r>
              <w:rPr>
                <w:rFonts w:hint="eastAsia"/>
              </w:rPr>
              <w:t>500万元（含）-1000万元</w:t>
            </w:r>
          </w:p>
        </w:tc>
        <w:tc>
          <w:tcPr>
            <w:tcW w:w="1799" w:type="dxa"/>
            <w:vAlign w:val="center"/>
          </w:tcPr>
          <w:p w14:paraId="0CCF45BA">
            <w:pPr>
              <w:widowControl/>
              <w:spacing w:line="360" w:lineRule="auto"/>
              <w:jc w:val="center"/>
            </w:pPr>
            <w:r>
              <w:rPr>
                <w:rFonts w:hint="eastAsia"/>
              </w:rPr>
              <w:t>0.8%</w:t>
            </w:r>
          </w:p>
        </w:tc>
        <w:tc>
          <w:tcPr>
            <w:tcW w:w="1799" w:type="dxa"/>
            <w:vAlign w:val="center"/>
          </w:tcPr>
          <w:p w14:paraId="22DAF2D4">
            <w:pPr>
              <w:widowControl/>
              <w:spacing w:line="360" w:lineRule="auto"/>
              <w:jc w:val="center"/>
            </w:pPr>
            <w:r>
              <w:rPr>
                <w:rFonts w:hint="eastAsia"/>
              </w:rPr>
              <w:t>0.45%</w:t>
            </w:r>
          </w:p>
        </w:tc>
        <w:tc>
          <w:tcPr>
            <w:tcW w:w="1799" w:type="dxa"/>
            <w:vAlign w:val="center"/>
          </w:tcPr>
          <w:p w14:paraId="7E46A3E5">
            <w:pPr>
              <w:widowControl/>
              <w:spacing w:line="360" w:lineRule="auto"/>
              <w:jc w:val="center"/>
            </w:pPr>
            <w:r>
              <w:rPr>
                <w:rFonts w:hint="eastAsia"/>
              </w:rPr>
              <w:t>0.55%</w:t>
            </w:r>
          </w:p>
        </w:tc>
      </w:tr>
      <w:tr w14:paraId="23B6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B424145">
            <w:pPr>
              <w:widowControl/>
              <w:spacing w:line="360" w:lineRule="auto"/>
              <w:jc w:val="center"/>
            </w:pPr>
            <w:r>
              <w:rPr>
                <w:rFonts w:hint="eastAsia"/>
              </w:rPr>
              <w:t>1000万元（含）-5000万元</w:t>
            </w:r>
          </w:p>
        </w:tc>
        <w:tc>
          <w:tcPr>
            <w:tcW w:w="1799" w:type="dxa"/>
            <w:vAlign w:val="center"/>
          </w:tcPr>
          <w:p w14:paraId="4580C6E9">
            <w:pPr>
              <w:widowControl/>
              <w:spacing w:line="360" w:lineRule="auto"/>
              <w:jc w:val="center"/>
            </w:pPr>
            <w:r>
              <w:rPr>
                <w:rFonts w:hint="eastAsia"/>
              </w:rPr>
              <w:t>0.5%</w:t>
            </w:r>
          </w:p>
        </w:tc>
        <w:tc>
          <w:tcPr>
            <w:tcW w:w="1799" w:type="dxa"/>
            <w:vAlign w:val="center"/>
          </w:tcPr>
          <w:p w14:paraId="76D75B27">
            <w:pPr>
              <w:widowControl/>
              <w:spacing w:line="360" w:lineRule="auto"/>
              <w:jc w:val="center"/>
            </w:pPr>
            <w:r>
              <w:rPr>
                <w:rFonts w:hint="eastAsia"/>
              </w:rPr>
              <w:t>0.25%</w:t>
            </w:r>
          </w:p>
        </w:tc>
        <w:tc>
          <w:tcPr>
            <w:tcW w:w="1799" w:type="dxa"/>
            <w:vAlign w:val="center"/>
          </w:tcPr>
          <w:p w14:paraId="213F03A8">
            <w:pPr>
              <w:widowControl/>
              <w:spacing w:line="360" w:lineRule="auto"/>
              <w:jc w:val="center"/>
            </w:pPr>
            <w:r>
              <w:rPr>
                <w:rFonts w:hint="eastAsia"/>
              </w:rPr>
              <w:t>0.35%</w:t>
            </w:r>
          </w:p>
        </w:tc>
      </w:tr>
      <w:tr w14:paraId="3851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9FD3115">
            <w:pPr>
              <w:widowControl/>
              <w:spacing w:line="360" w:lineRule="auto"/>
              <w:jc w:val="center"/>
            </w:pPr>
            <w:r>
              <w:rPr>
                <w:rFonts w:hint="eastAsia"/>
              </w:rPr>
              <w:t>5000万元（含）-1亿元</w:t>
            </w:r>
          </w:p>
        </w:tc>
        <w:tc>
          <w:tcPr>
            <w:tcW w:w="1799" w:type="dxa"/>
            <w:vAlign w:val="center"/>
          </w:tcPr>
          <w:p w14:paraId="06975C8F">
            <w:pPr>
              <w:widowControl/>
              <w:spacing w:line="360" w:lineRule="auto"/>
              <w:jc w:val="center"/>
            </w:pPr>
            <w:r>
              <w:rPr>
                <w:rFonts w:hint="eastAsia"/>
              </w:rPr>
              <w:t>0.25%</w:t>
            </w:r>
          </w:p>
        </w:tc>
        <w:tc>
          <w:tcPr>
            <w:tcW w:w="1799" w:type="dxa"/>
            <w:vAlign w:val="center"/>
          </w:tcPr>
          <w:p w14:paraId="11B1E2E3">
            <w:pPr>
              <w:widowControl/>
              <w:spacing w:line="360" w:lineRule="auto"/>
              <w:jc w:val="center"/>
            </w:pPr>
            <w:r>
              <w:rPr>
                <w:rFonts w:hint="eastAsia"/>
              </w:rPr>
              <w:t>0.1%</w:t>
            </w:r>
          </w:p>
        </w:tc>
        <w:tc>
          <w:tcPr>
            <w:tcW w:w="1799" w:type="dxa"/>
            <w:vAlign w:val="center"/>
          </w:tcPr>
          <w:p w14:paraId="578C4172">
            <w:pPr>
              <w:widowControl/>
              <w:spacing w:line="360" w:lineRule="auto"/>
              <w:jc w:val="center"/>
            </w:pPr>
            <w:r>
              <w:rPr>
                <w:rFonts w:hint="eastAsia"/>
              </w:rPr>
              <w:t>0.2%</w:t>
            </w:r>
          </w:p>
        </w:tc>
      </w:tr>
      <w:tr w14:paraId="0E9E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6888E76">
            <w:pPr>
              <w:widowControl/>
              <w:spacing w:line="360" w:lineRule="auto"/>
              <w:jc w:val="center"/>
            </w:pPr>
            <w:r>
              <w:rPr>
                <w:rFonts w:hint="eastAsia"/>
              </w:rPr>
              <w:t>1亿元（含）-5亿元</w:t>
            </w:r>
          </w:p>
        </w:tc>
        <w:tc>
          <w:tcPr>
            <w:tcW w:w="1799" w:type="dxa"/>
            <w:vAlign w:val="center"/>
          </w:tcPr>
          <w:p w14:paraId="79D2922F">
            <w:pPr>
              <w:widowControl/>
              <w:spacing w:line="360" w:lineRule="auto"/>
              <w:jc w:val="center"/>
            </w:pPr>
            <w:r>
              <w:rPr>
                <w:rFonts w:hint="eastAsia"/>
              </w:rPr>
              <w:t>0.05%</w:t>
            </w:r>
          </w:p>
        </w:tc>
        <w:tc>
          <w:tcPr>
            <w:tcW w:w="1799" w:type="dxa"/>
            <w:vAlign w:val="center"/>
          </w:tcPr>
          <w:p w14:paraId="33917E23">
            <w:pPr>
              <w:widowControl/>
              <w:spacing w:line="360" w:lineRule="auto"/>
              <w:jc w:val="center"/>
            </w:pPr>
            <w:r>
              <w:rPr>
                <w:rFonts w:hint="eastAsia"/>
              </w:rPr>
              <w:t>0.05%</w:t>
            </w:r>
          </w:p>
        </w:tc>
        <w:tc>
          <w:tcPr>
            <w:tcW w:w="1799" w:type="dxa"/>
            <w:vAlign w:val="center"/>
          </w:tcPr>
          <w:p w14:paraId="0E500FDA">
            <w:pPr>
              <w:widowControl/>
              <w:spacing w:line="360" w:lineRule="auto"/>
              <w:jc w:val="center"/>
            </w:pPr>
            <w:r>
              <w:rPr>
                <w:rFonts w:hint="eastAsia"/>
              </w:rPr>
              <w:t>0.05%</w:t>
            </w:r>
          </w:p>
        </w:tc>
      </w:tr>
      <w:tr w14:paraId="7EA7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80C1862">
            <w:pPr>
              <w:widowControl/>
              <w:spacing w:line="360" w:lineRule="auto"/>
              <w:jc w:val="center"/>
            </w:pPr>
            <w:r>
              <w:rPr>
                <w:rFonts w:hint="eastAsia"/>
              </w:rPr>
              <w:t>5亿元（含）-10亿元</w:t>
            </w:r>
          </w:p>
        </w:tc>
        <w:tc>
          <w:tcPr>
            <w:tcW w:w="1799" w:type="dxa"/>
            <w:vAlign w:val="center"/>
          </w:tcPr>
          <w:p w14:paraId="13BEDCC8">
            <w:pPr>
              <w:widowControl/>
              <w:spacing w:line="360" w:lineRule="auto"/>
              <w:jc w:val="center"/>
            </w:pPr>
            <w:r>
              <w:rPr>
                <w:rFonts w:hint="eastAsia"/>
              </w:rPr>
              <w:t>0.035%</w:t>
            </w:r>
          </w:p>
        </w:tc>
        <w:tc>
          <w:tcPr>
            <w:tcW w:w="1799" w:type="dxa"/>
            <w:vAlign w:val="center"/>
          </w:tcPr>
          <w:p w14:paraId="6A4024D5">
            <w:pPr>
              <w:widowControl/>
              <w:spacing w:line="360" w:lineRule="auto"/>
              <w:jc w:val="center"/>
            </w:pPr>
            <w:r>
              <w:rPr>
                <w:rFonts w:hint="eastAsia"/>
              </w:rPr>
              <w:t>0.035%</w:t>
            </w:r>
          </w:p>
        </w:tc>
        <w:tc>
          <w:tcPr>
            <w:tcW w:w="1799" w:type="dxa"/>
            <w:vAlign w:val="center"/>
          </w:tcPr>
          <w:p w14:paraId="4C97BC8C">
            <w:pPr>
              <w:widowControl/>
              <w:spacing w:line="360" w:lineRule="auto"/>
              <w:jc w:val="center"/>
            </w:pPr>
            <w:r>
              <w:rPr>
                <w:rFonts w:hint="eastAsia"/>
              </w:rPr>
              <w:t>0.035%</w:t>
            </w:r>
          </w:p>
        </w:tc>
      </w:tr>
      <w:tr w14:paraId="7F8E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33C129A9">
            <w:pPr>
              <w:widowControl/>
              <w:spacing w:line="360" w:lineRule="auto"/>
              <w:jc w:val="center"/>
            </w:pPr>
            <w:r>
              <w:rPr>
                <w:rFonts w:hint="eastAsia"/>
              </w:rPr>
              <w:t>10亿元（含）-50亿元</w:t>
            </w:r>
          </w:p>
        </w:tc>
        <w:tc>
          <w:tcPr>
            <w:tcW w:w="1799" w:type="dxa"/>
            <w:vAlign w:val="center"/>
          </w:tcPr>
          <w:p w14:paraId="0693916D">
            <w:pPr>
              <w:widowControl/>
              <w:spacing w:line="360" w:lineRule="auto"/>
              <w:jc w:val="center"/>
            </w:pPr>
            <w:r>
              <w:rPr>
                <w:rFonts w:hint="eastAsia"/>
              </w:rPr>
              <w:t>0.008%</w:t>
            </w:r>
          </w:p>
        </w:tc>
        <w:tc>
          <w:tcPr>
            <w:tcW w:w="1799" w:type="dxa"/>
            <w:vAlign w:val="center"/>
          </w:tcPr>
          <w:p w14:paraId="726E4455">
            <w:pPr>
              <w:widowControl/>
              <w:spacing w:line="360" w:lineRule="auto"/>
              <w:jc w:val="center"/>
            </w:pPr>
            <w:r>
              <w:rPr>
                <w:rFonts w:hint="eastAsia"/>
              </w:rPr>
              <w:t>0.008%</w:t>
            </w:r>
          </w:p>
        </w:tc>
        <w:tc>
          <w:tcPr>
            <w:tcW w:w="1799" w:type="dxa"/>
            <w:vAlign w:val="center"/>
          </w:tcPr>
          <w:p w14:paraId="22ECE18B">
            <w:pPr>
              <w:widowControl/>
              <w:spacing w:line="360" w:lineRule="auto"/>
              <w:jc w:val="center"/>
            </w:pPr>
            <w:r>
              <w:rPr>
                <w:rFonts w:hint="eastAsia"/>
              </w:rPr>
              <w:t>0.008%</w:t>
            </w:r>
          </w:p>
        </w:tc>
      </w:tr>
      <w:tr w14:paraId="22BF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62361BA">
            <w:pPr>
              <w:widowControl/>
              <w:spacing w:line="360" w:lineRule="auto"/>
              <w:jc w:val="center"/>
            </w:pPr>
            <w:r>
              <w:rPr>
                <w:rFonts w:hint="eastAsia"/>
              </w:rPr>
              <w:t>50亿元（含）-100亿元</w:t>
            </w:r>
          </w:p>
        </w:tc>
        <w:tc>
          <w:tcPr>
            <w:tcW w:w="1799" w:type="dxa"/>
            <w:vAlign w:val="center"/>
          </w:tcPr>
          <w:p w14:paraId="17BD20ED">
            <w:pPr>
              <w:widowControl/>
              <w:spacing w:line="360" w:lineRule="auto"/>
              <w:jc w:val="center"/>
            </w:pPr>
            <w:r>
              <w:rPr>
                <w:rFonts w:hint="eastAsia"/>
              </w:rPr>
              <w:t>0.006%</w:t>
            </w:r>
          </w:p>
        </w:tc>
        <w:tc>
          <w:tcPr>
            <w:tcW w:w="1799" w:type="dxa"/>
            <w:vAlign w:val="center"/>
          </w:tcPr>
          <w:p w14:paraId="396E2EF4">
            <w:pPr>
              <w:widowControl/>
              <w:spacing w:line="360" w:lineRule="auto"/>
              <w:jc w:val="center"/>
            </w:pPr>
            <w:r>
              <w:rPr>
                <w:rFonts w:hint="eastAsia"/>
              </w:rPr>
              <w:t>0.006%</w:t>
            </w:r>
          </w:p>
        </w:tc>
        <w:tc>
          <w:tcPr>
            <w:tcW w:w="1799" w:type="dxa"/>
            <w:vAlign w:val="center"/>
          </w:tcPr>
          <w:p w14:paraId="18560E71">
            <w:pPr>
              <w:widowControl/>
              <w:spacing w:line="360" w:lineRule="auto"/>
              <w:jc w:val="center"/>
            </w:pPr>
            <w:r>
              <w:rPr>
                <w:rFonts w:hint="eastAsia"/>
              </w:rPr>
              <w:t>0.006%</w:t>
            </w:r>
          </w:p>
        </w:tc>
      </w:tr>
      <w:tr w14:paraId="32EF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C9E5694">
            <w:pPr>
              <w:widowControl/>
              <w:spacing w:line="360" w:lineRule="auto"/>
              <w:jc w:val="center"/>
            </w:pPr>
            <w:r>
              <w:rPr>
                <w:rFonts w:hint="eastAsia"/>
              </w:rPr>
              <w:t>100亿元（含）以上</w:t>
            </w:r>
          </w:p>
        </w:tc>
        <w:tc>
          <w:tcPr>
            <w:tcW w:w="1799" w:type="dxa"/>
            <w:vAlign w:val="center"/>
          </w:tcPr>
          <w:p w14:paraId="2ECF473E">
            <w:pPr>
              <w:widowControl/>
              <w:spacing w:line="360" w:lineRule="auto"/>
              <w:jc w:val="center"/>
            </w:pPr>
            <w:r>
              <w:rPr>
                <w:rFonts w:hint="eastAsia"/>
              </w:rPr>
              <w:t>0.004%</w:t>
            </w:r>
          </w:p>
        </w:tc>
        <w:tc>
          <w:tcPr>
            <w:tcW w:w="1799" w:type="dxa"/>
            <w:vAlign w:val="center"/>
          </w:tcPr>
          <w:p w14:paraId="4FEB69B4">
            <w:pPr>
              <w:widowControl/>
              <w:spacing w:line="360" w:lineRule="auto"/>
              <w:jc w:val="center"/>
            </w:pPr>
            <w:r>
              <w:rPr>
                <w:rFonts w:hint="eastAsia"/>
              </w:rPr>
              <w:t>0.004%</w:t>
            </w:r>
          </w:p>
        </w:tc>
        <w:tc>
          <w:tcPr>
            <w:tcW w:w="1799" w:type="dxa"/>
            <w:vAlign w:val="center"/>
          </w:tcPr>
          <w:p w14:paraId="39C89BA6">
            <w:pPr>
              <w:widowControl/>
              <w:spacing w:line="360" w:lineRule="auto"/>
              <w:jc w:val="center"/>
            </w:pPr>
            <w:r>
              <w:rPr>
                <w:rFonts w:hint="eastAsia"/>
              </w:rPr>
              <w:t>0.004%</w:t>
            </w:r>
          </w:p>
        </w:tc>
      </w:tr>
    </w:tbl>
    <w:p w14:paraId="43837A5E">
      <w:pPr>
        <w:ind w:firstLine="420" w:firstLineChars="200"/>
      </w:pPr>
      <w:r>
        <w:rPr>
          <w:rFonts w:hint="eastAsia"/>
        </w:rPr>
        <w:t>备注：1.每宗交易代理服务费不低于 5000 元；</w:t>
      </w:r>
    </w:p>
    <w:p w14:paraId="1B527F0A">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14:paraId="0AB2BAF1">
      <w:pPr>
        <w:ind w:firstLine="420" w:firstLineChars="200"/>
      </w:pPr>
    </w:p>
    <w:p w14:paraId="683DC248">
      <w:pPr>
        <w:ind w:firstLine="420" w:firstLineChars="200"/>
      </w:pPr>
      <w:r>
        <w:rPr>
          <w:rFonts w:hint="eastAsia"/>
        </w:rPr>
        <w:t>如某货物采购项目，中标（成交）金额为600万元，总共交纳的代理服务费的具体计算过程如下：</w:t>
      </w:r>
    </w:p>
    <w:p w14:paraId="0D3BF0EC">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44327F84">
      <w:pPr>
        <w:pStyle w:val="18"/>
        <w:ind w:firstLine="420" w:firstLineChars="200"/>
        <w:rPr>
          <w:b w:val="0"/>
          <w:bCs w:val="0"/>
          <w:sz w:val="21"/>
        </w:rPr>
      </w:pPr>
      <w:r>
        <w:rPr>
          <w:rFonts w:hint="eastAsia"/>
          <w:b w:val="0"/>
          <w:bCs w:val="0"/>
          <w:sz w:val="21"/>
        </w:rPr>
        <w:t>3.本项目按差额定率累进法计算，下浮20%后向成交人收取中标服务费。</w:t>
      </w:r>
    </w:p>
    <w:p w14:paraId="2AB93F8B">
      <w:pPr>
        <w:ind w:firstLine="420" w:firstLineChars="200"/>
      </w:pPr>
      <w:r>
        <w:rPr>
          <w:rFonts w:hint="eastAsia"/>
        </w:rPr>
        <w:t>（3）中标（成交）供应商中标（成交）后，必须按规定采用银行对公转账方式向深圳交易集团有限公司直接交纳代理服务费，交纳信息及要求按照缴款（付款）通知书执行。</w:t>
      </w:r>
    </w:p>
    <w:p w14:paraId="4ED58529">
      <w:pPr>
        <w:ind w:firstLine="422" w:firstLineChars="200"/>
        <w:rPr>
          <w:b/>
          <w:bCs/>
        </w:rPr>
      </w:pPr>
    </w:p>
    <w:bookmarkEnd w:id="34"/>
    <w:p w14:paraId="3A81D335">
      <w:pPr>
        <w:rPr>
          <w:sz w:val="28"/>
          <w:szCs w:val="28"/>
        </w:rPr>
      </w:pPr>
      <w:r>
        <w:rPr>
          <w:rFonts w:hint="eastAsia"/>
          <w:sz w:val="28"/>
          <w:szCs w:val="28"/>
        </w:rPr>
        <w:br w:type="page"/>
      </w:r>
    </w:p>
    <w:p w14:paraId="1842EC57">
      <w:pPr>
        <w:pStyle w:val="3"/>
        <w:rPr>
          <w:sz w:val="28"/>
          <w:szCs w:val="28"/>
        </w:rPr>
      </w:pPr>
      <w:r>
        <w:rPr>
          <w:rFonts w:hint="eastAsia"/>
          <w:sz w:val="28"/>
          <w:szCs w:val="28"/>
        </w:rPr>
        <w:t>第三章 用户需求书</w:t>
      </w:r>
    </w:p>
    <w:p w14:paraId="3264BA21">
      <w:pPr>
        <w:pStyle w:val="3"/>
        <w:spacing w:before="120" w:beforeLines="50" w:after="120" w:afterLines="50"/>
        <w:rPr>
          <w:color w:val="FF0000"/>
          <w:szCs w:val="21"/>
        </w:rPr>
      </w:pPr>
      <w:r>
        <w:rPr>
          <w:rFonts w:hint="eastAsia"/>
          <w:szCs w:val="24"/>
        </w:rPr>
        <w:t>一、项目基本信息</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012"/>
        <w:gridCol w:w="2451"/>
        <w:gridCol w:w="1818"/>
        <w:gridCol w:w="1819"/>
      </w:tblGrid>
      <w:tr w14:paraId="47ED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 w:type="pct"/>
            <w:vAlign w:val="center"/>
          </w:tcPr>
          <w:p w14:paraId="54898D33">
            <w:pPr>
              <w:jc w:val="center"/>
              <w:rPr>
                <w:bCs/>
                <w:szCs w:val="21"/>
              </w:rPr>
            </w:pPr>
            <w:r>
              <w:rPr>
                <w:rFonts w:hint="eastAsia"/>
                <w:bCs/>
                <w:szCs w:val="21"/>
              </w:rPr>
              <w:t>序号</w:t>
            </w:r>
          </w:p>
        </w:tc>
        <w:tc>
          <w:tcPr>
            <w:tcW w:w="1195" w:type="pct"/>
            <w:vAlign w:val="center"/>
          </w:tcPr>
          <w:p w14:paraId="6270DA7F">
            <w:pPr>
              <w:jc w:val="center"/>
              <w:rPr>
                <w:bCs/>
                <w:szCs w:val="21"/>
              </w:rPr>
            </w:pPr>
            <w:r>
              <w:rPr>
                <w:rFonts w:hint="eastAsia"/>
                <w:szCs w:val="21"/>
              </w:rPr>
              <w:t>采购计划编号</w:t>
            </w:r>
          </w:p>
        </w:tc>
        <w:tc>
          <w:tcPr>
            <w:tcW w:w="1450" w:type="pct"/>
            <w:vAlign w:val="center"/>
          </w:tcPr>
          <w:p w14:paraId="5861880F">
            <w:pPr>
              <w:jc w:val="center"/>
              <w:rPr>
                <w:bCs/>
                <w:szCs w:val="21"/>
              </w:rPr>
            </w:pPr>
            <w:r>
              <w:rPr>
                <w:rFonts w:hint="eastAsia"/>
                <w:bCs/>
                <w:szCs w:val="21"/>
              </w:rPr>
              <w:t>采购项目名称</w:t>
            </w:r>
          </w:p>
        </w:tc>
        <w:tc>
          <w:tcPr>
            <w:tcW w:w="1081" w:type="pct"/>
            <w:vAlign w:val="center"/>
          </w:tcPr>
          <w:p w14:paraId="4B10754F">
            <w:pPr>
              <w:jc w:val="center"/>
              <w:rPr>
                <w:b/>
                <w:bCs/>
                <w:color w:val="FF0000"/>
                <w:szCs w:val="21"/>
              </w:rPr>
            </w:pPr>
            <w:r>
              <w:rPr>
                <w:rFonts w:hint="eastAsia"/>
                <w:b/>
                <w:bCs/>
                <w:color w:val="FF0000"/>
                <w:szCs w:val="21"/>
              </w:rPr>
              <w:t>财政预算限额（元）</w:t>
            </w:r>
          </w:p>
        </w:tc>
        <w:tc>
          <w:tcPr>
            <w:tcW w:w="1081" w:type="pct"/>
            <w:vAlign w:val="center"/>
          </w:tcPr>
          <w:p w14:paraId="1AFB9EE2">
            <w:pPr>
              <w:jc w:val="center"/>
              <w:rPr>
                <w:rFonts w:hint="eastAsia"/>
                <w:b/>
                <w:bCs/>
                <w:color w:val="FF0000"/>
                <w:szCs w:val="21"/>
              </w:rPr>
            </w:pPr>
            <w:r>
              <w:rPr>
                <w:rFonts w:hint="eastAsia"/>
                <w:b/>
                <w:bCs/>
                <w:color w:val="FF0000"/>
                <w:szCs w:val="21"/>
                <w:lang w:val="en-US" w:eastAsia="zh-CN"/>
              </w:rPr>
              <w:t>年度总支</w:t>
            </w:r>
            <w:r>
              <w:rPr>
                <w:rFonts w:hint="default"/>
                <w:b/>
                <w:bCs/>
                <w:color w:val="FF0000"/>
                <w:szCs w:val="21"/>
                <w:lang w:val="en-US" w:eastAsia="zh-CN"/>
              </w:rPr>
              <w:t>付金额上 限</w:t>
            </w:r>
            <w:r>
              <w:rPr>
                <w:rFonts w:hint="eastAsia"/>
                <w:b/>
                <w:bCs/>
                <w:color w:val="FF0000"/>
                <w:szCs w:val="21"/>
                <w:lang w:val="en-US" w:eastAsia="zh-CN"/>
              </w:rPr>
              <w:t>（元）</w:t>
            </w:r>
          </w:p>
        </w:tc>
      </w:tr>
      <w:tr w14:paraId="2A2C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 w:type="pct"/>
            <w:vAlign w:val="center"/>
          </w:tcPr>
          <w:p w14:paraId="589E0767">
            <w:pPr>
              <w:jc w:val="center"/>
              <w:rPr>
                <w:bCs/>
                <w:color w:val="000000"/>
                <w:szCs w:val="21"/>
              </w:rPr>
            </w:pPr>
            <w:r>
              <w:rPr>
                <w:rFonts w:hint="eastAsia"/>
                <w:bCs/>
                <w:color w:val="000000"/>
                <w:szCs w:val="21"/>
              </w:rPr>
              <w:t>1</w:t>
            </w:r>
          </w:p>
        </w:tc>
        <w:tc>
          <w:tcPr>
            <w:tcW w:w="1195" w:type="pct"/>
            <w:vAlign w:val="center"/>
          </w:tcPr>
          <w:p w14:paraId="13349214">
            <w:pPr>
              <w:jc w:val="center"/>
              <w:rPr>
                <w:bCs/>
                <w:szCs w:val="21"/>
              </w:rPr>
            </w:pPr>
            <w:r>
              <w:rPr>
                <w:rFonts w:hint="eastAsia"/>
                <w:bCs/>
                <w:szCs w:val="21"/>
              </w:rPr>
              <w:t>JYCG-DECL-2025-45452</w:t>
            </w:r>
          </w:p>
        </w:tc>
        <w:tc>
          <w:tcPr>
            <w:tcW w:w="1450" w:type="pct"/>
            <w:vAlign w:val="center"/>
          </w:tcPr>
          <w:p w14:paraId="6981AC44">
            <w:pPr>
              <w:jc w:val="center"/>
              <w:rPr>
                <w:bCs/>
                <w:szCs w:val="21"/>
              </w:rPr>
            </w:pPr>
            <w:r>
              <w:rPr>
                <w:rFonts w:hint="eastAsia"/>
                <w:bCs/>
                <w:szCs w:val="21"/>
              </w:rPr>
              <w:t>深圳市龙岗中心医院2025年度核医学科放射性药品采购</w:t>
            </w:r>
          </w:p>
        </w:tc>
        <w:tc>
          <w:tcPr>
            <w:tcW w:w="1081" w:type="pct"/>
            <w:vAlign w:val="center"/>
          </w:tcPr>
          <w:p w14:paraId="433E7D19">
            <w:pPr>
              <w:jc w:val="center"/>
              <w:rPr>
                <w:bCs/>
                <w:szCs w:val="21"/>
              </w:rPr>
            </w:pPr>
            <w:r>
              <w:rPr>
                <w:rFonts w:hint="eastAsia"/>
              </w:rPr>
              <w:t>880000</w:t>
            </w:r>
          </w:p>
        </w:tc>
        <w:tc>
          <w:tcPr>
            <w:tcW w:w="1081" w:type="pct"/>
            <w:vAlign w:val="center"/>
          </w:tcPr>
          <w:p w14:paraId="401FBB4C">
            <w:pPr>
              <w:jc w:val="center"/>
              <w:rPr>
                <w:rFonts w:hint="eastAsia"/>
              </w:rPr>
            </w:pPr>
            <w:r>
              <w:rPr>
                <w:rFonts w:hint="eastAsia"/>
              </w:rPr>
              <w:t>880000</w:t>
            </w:r>
          </w:p>
        </w:tc>
      </w:tr>
      <w:tr w14:paraId="3957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36" w:type="pct"/>
            <w:gridSpan w:val="3"/>
            <w:vAlign w:val="center"/>
          </w:tcPr>
          <w:p w14:paraId="40FBE203">
            <w:pPr>
              <w:jc w:val="center"/>
              <w:rPr>
                <w:bCs/>
                <w:szCs w:val="21"/>
              </w:rPr>
            </w:pPr>
            <w:r>
              <w:rPr>
                <w:b/>
                <w:bCs/>
                <w:color w:val="FF0000"/>
                <w:szCs w:val="21"/>
              </w:rPr>
              <w:t>合计</w:t>
            </w:r>
          </w:p>
        </w:tc>
        <w:tc>
          <w:tcPr>
            <w:tcW w:w="1081" w:type="pct"/>
            <w:vAlign w:val="center"/>
          </w:tcPr>
          <w:p w14:paraId="6C2867A0">
            <w:pPr>
              <w:jc w:val="center"/>
            </w:pPr>
            <w:r>
              <w:rPr>
                <w:rFonts w:hint="eastAsia"/>
              </w:rPr>
              <w:t>880000</w:t>
            </w:r>
          </w:p>
        </w:tc>
        <w:tc>
          <w:tcPr>
            <w:tcW w:w="1081" w:type="pct"/>
            <w:vAlign w:val="center"/>
          </w:tcPr>
          <w:p w14:paraId="4BA89F99">
            <w:pPr>
              <w:jc w:val="center"/>
              <w:rPr>
                <w:rFonts w:hint="eastAsia"/>
              </w:rPr>
            </w:pPr>
            <w:r>
              <w:rPr>
                <w:rFonts w:hint="eastAsia"/>
              </w:rPr>
              <w:t>880000</w:t>
            </w:r>
          </w:p>
        </w:tc>
      </w:tr>
    </w:tbl>
    <w:p w14:paraId="5BB07845">
      <w:pPr>
        <w:rPr>
          <w:rFonts w:ascii="宋体" w:hAnsi="宋体"/>
          <w:b/>
          <w:color w:val="FF0000"/>
          <w:szCs w:val="21"/>
        </w:rPr>
      </w:pPr>
    </w:p>
    <w:p w14:paraId="718599D0">
      <w:pPr>
        <w:rPr>
          <w:rFonts w:ascii="宋体" w:hAnsi="宋体"/>
          <w:b/>
          <w:color w:val="FF0000"/>
          <w:szCs w:val="21"/>
        </w:rPr>
      </w:pPr>
    </w:p>
    <w:p w14:paraId="3EA7733F">
      <w:pPr>
        <w:pStyle w:val="3"/>
        <w:spacing w:before="120" w:beforeLines="50" w:after="120" w:afterLines="50"/>
        <w:rPr>
          <w:szCs w:val="24"/>
        </w:rPr>
      </w:pPr>
      <w:bookmarkStart w:id="39" w:name="_Hlk72258617"/>
      <w:r>
        <w:rPr>
          <w:rFonts w:hint="eastAsia"/>
          <w:szCs w:val="24"/>
        </w:rPr>
        <w:t>二、</w:t>
      </w:r>
      <w:bookmarkStart w:id="40" w:name="_Hlk72073432"/>
      <w:r>
        <w:rPr>
          <w:rFonts w:hint="eastAsia"/>
          <w:szCs w:val="24"/>
        </w:rPr>
        <w:t>货物清单明细</w:t>
      </w:r>
      <w:bookmarkEnd w:id="40"/>
    </w:p>
    <w:tbl>
      <w:tblPr>
        <w:tblStyle w:val="44"/>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598"/>
        <w:gridCol w:w="1656"/>
        <w:gridCol w:w="936"/>
        <w:gridCol w:w="967"/>
        <w:gridCol w:w="967"/>
        <w:gridCol w:w="970"/>
        <w:gridCol w:w="970"/>
      </w:tblGrid>
      <w:tr w14:paraId="183D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7" w:type="pct"/>
          </w:tcPr>
          <w:p w14:paraId="3CBEB381">
            <w:pPr>
              <w:jc w:val="center"/>
              <w:rPr>
                <w:rFonts w:ascii="宋体" w:hAnsi="宋体" w:cs="宋体"/>
                <w:bCs/>
                <w:szCs w:val="21"/>
              </w:rPr>
            </w:pPr>
            <w:bookmarkStart w:id="41" w:name="_Hlk200667732"/>
            <w:r>
              <w:rPr>
                <w:rFonts w:hint="eastAsia" w:ascii="宋体" w:hAnsi="宋体" w:cs="宋体"/>
                <w:bCs/>
                <w:szCs w:val="21"/>
              </w:rPr>
              <w:t>序号</w:t>
            </w:r>
          </w:p>
        </w:tc>
        <w:tc>
          <w:tcPr>
            <w:tcW w:w="938" w:type="pct"/>
            <w:vAlign w:val="center"/>
          </w:tcPr>
          <w:p w14:paraId="7AF4C205">
            <w:pPr>
              <w:jc w:val="center"/>
              <w:rPr>
                <w:rFonts w:ascii="宋体" w:hAnsi="宋体" w:cs="宋体"/>
                <w:bCs/>
                <w:szCs w:val="21"/>
              </w:rPr>
            </w:pPr>
            <w:r>
              <w:rPr>
                <w:rFonts w:hint="eastAsia" w:ascii="宋体" w:hAnsi="宋体" w:cs="宋体"/>
                <w:bCs/>
                <w:szCs w:val="21"/>
              </w:rPr>
              <w:t>货物名称（标的名称）</w:t>
            </w:r>
          </w:p>
        </w:tc>
        <w:tc>
          <w:tcPr>
            <w:tcW w:w="971" w:type="pct"/>
            <w:vAlign w:val="center"/>
          </w:tcPr>
          <w:p w14:paraId="660B6016">
            <w:pPr>
              <w:jc w:val="center"/>
              <w:rPr>
                <w:rFonts w:ascii="宋体" w:hAnsi="宋体" w:cs="宋体"/>
                <w:bCs/>
                <w:szCs w:val="21"/>
              </w:rPr>
            </w:pPr>
            <w:r>
              <w:rPr>
                <w:rFonts w:hint="eastAsia" w:ascii="宋体" w:hAnsi="宋体" w:cs="宋体"/>
                <w:bCs/>
                <w:szCs w:val="21"/>
              </w:rPr>
              <w:t>规格</w:t>
            </w:r>
          </w:p>
        </w:tc>
        <w:tc>
          <w:tcPr>
            <w:tcW w:w="549" w:type="pct"/>
            <w:vAlign w:val="center"/>
          </w:tcPr>
          <w:p w14:paraId="404C0D63">
            <w:pPr>
              <w:jc w:val="center"/>
              <w:rPr>
                <w:rFonts w:ascii="宋体" w:hAnsi="宋体" w:cs="宋体"/>
                <w:bCs/>
                <w:szCs w:val="21"/>
              </w:rPr>
            </w:pPr>
            <w:r>
              <w:rPr>
                <w:rFonts w:hint="eastAsia" w:ascii="宋体" w:hAnsi="宋体" w:cs="宋体"/>
                <w:bCs/>
                <w:szCs w:val="21"/>
              </w:rPr>
              <w:t>预计年用量</w:t>
            </w:r>
          </w:p>
        </w:tc>
        <w:tc>
          <w:tcPr>
            <w:tcW w:w="567" w:type="pct"/>
          </w:tcPr>
          <w:p w14:paraId="5755E908">
            <w:pPr>
              <w:widowControl/>
              <w:jc w:val="center"/>
              <w:rPr>
                <w:rFonts w:ascii="宋体" w:hAnsi="宋体" w:cs="宋体"/>
                <w:bCs/>
                <w:kern w:val="0"/>
                <w:szCs w:val="21"/>
              </w:rPr>
            </w:pPr>
            <w:bookmarkStart w:id="42" w:name="OLE_LINK44" w:colFirst="4" w:colLast="4"/>
            <w:bookmarkStart w:id="43" w:name="OLE_LINK42" w:colFirst="4" w:colLast="4"/>
            <w:r>
              <w:rPr>
                <w:rFonts w:hint="eastAsia" w:ascii="Times New Roman" w:hAnsi="Times New Roman" w:cs="Times New Roman"/>
                <w:b/>
                <w:bCs/>
                <w:color w:val="FF0000"/>
                <w:kern w:val="2"/>
                <w:szCs w:val="21"/>
                <w:lang w:val="en-US" w:eastAsia="zh-CN"/>
              </w:rPr>
              <w:t>最高</w:t>
            </w:r>
            <w:r>
              <w:rPr>
                <w:rFonts w:hint="eastAsia" w:ascii="宋体" w:hAnsi="宋体" w:cs="宋体"/>
                <w:bCs/>
                <w:kern w:val="0"/>
                <w:szCs w:val="21"/>
              </w:rPr>
              <w:t>单价限价</w:t>
            </w:r>
          </w:p>
          <w:p w14:paraId="317D9A92">
            <w:pPr>
              <w:jc w:val="center"/>
              <w:rPr>
                <w:rFonts w:ascii="宋体" w:hAnsi="宋体" w:cs="宋体"/>
                <w:bCs/>
                <w:szCs w:val="21"/>
              </w:rPr>
            </w:pPr>
            <w:r>
              <w:rPr>
                <w:rFonts w:hint="eastAsia" w:ascii="宋体" w:hAnsi="宋体" w:cs="宋体"/>
                <w:bCs/>
                <w:kern w:val="0"/>
                <w:szCs w:val="21"/>
                <w:lang w:eastAsia="zh-CN"/>
              </w:rPr>
              <w:t>（</w:t>
            </w:r>
            <w:r>
              <w:rPr>
                <w:rFonts w:hint="eastAsia" w:ascii="宋体" w:hAnsi="宋体" w:cs="宋体"/>
                <w:bCs/>
                <w:kern w:val="0"/>
                <w:szCs w:val="21"/>
              </w:rPr>
              <w:t>元/单位</w:t>
            </w:r>
            <w:r>
              <w:rPr>
                <w:rFonts w:hint="eastAsia" w:ascii="宋体" w:hAnsi="宋体" w:cs="宋体"/>
                <w:bCs/>
                <w:kern w:val="0"/>
                <w:szCs w:val="21"/>
                <w:lang w:eastAsia="zh-CN"/>
              </w:rPr>
              <w:t>）</w:t>
            </w:r>
          </w:p>
        </w:tc>
        <w:tc>
          <w:tcPr>
            <w:tcW w:w="567" w:type="pct"/>
          </w:tcPr>
          <w:p w14:paraId="50B8388E">
            <w:pPr>
              <w:jc w:val="center"/>
              <w:rPr>
                <w:rFonts w:ascii="宋体" w:hAnsi="宋体" w:cs="宋体"/>
                <w:bCs/>
                <w:szCs w:val="21"/>
              </w:rPr>
            </w:pPr>
            <w:r>
              <w:rPr>
                <w:rFonts w:hint="eastAsia" w:ascii="宋体" w:hAnsi="宋体" w:cs="宋体"/>
                <w:bCs/>
                <w:szCs w:val="21"/>
              </w:rPr>
              <w:t>是否接受进口</w:t>
            </w:r>
          </w:p>
        </w:tc>
        <w:tc>
          <w:tcPr>
            <w:tcW w:w="569" w:type="pct"/>
          </w:tcPr>
          <w:p w14:paraId="6E60B36F">
            <w:pPr>
              <w:jc w:val="center"/>
              <w:rPr>
                <w:rFonts w:ascii="宋体" w:hAnsi="宋体" w:cs="宋体"/>
                <w:b/>
                <w:color w:val="FF0000"/>
                <w:szCs w:val="21"/>
              </w:rPr>
            </w:pPr>
            <w:r>
              <w:rPr>
                <w:rFonts w:hint="eastAsia" w:ascii="宋体" w:hAnsi="宋体" w:cs="宋体"/>
                <w:b/>
                <w:color w:val="FF0000"/>
                <w:szCs w:val="21"/>
              </w:rPr>
              <w:t>是否专门面向中小企业</w:t>
            </w:r>
          </w:p>
        </w:tc>
        <w:tc>
          <w:tcPr>
            <w:tcW w:w="569" w:type="pct"/>
          </w:tcPr>
          <w:p w14:paraId="243A0FD1">
            <w:pPr>
              <w:jc w:val="center"/>
              <w:rPr>
                <w:rFonts w:ascii="宋体" w:hAnsi="宋体" w:cs="宋体"/>
                <w:b/>
                <w:color w:val="FF0000"/>
                <w:szCs w:val="21"/>
              </w:rPr>
            </w:pPr>
            <w:r>
              <w:rPr>
                <w:rFonts w:hint="eastAsia" w:ascii="宋体" w:hAnsi="宋体" w:cs="宋体"/>
                <w:b/>
                <w:color w:val="FF0000"/>
                <w:szCs w:val="21"/>
              </w:rPr>
              <w:t>标的所属行业</w:t>
            </w:r>
          </w:p>
        </w:tc>
      </w:tr>
      <w:tr w14:paraId="69C4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0CE08A2E">
            <w:pPr>
              <w:widowControl/>
              <w:jc w:val="center"/>
              <w:rPr>
                <w:rFonts w:ascii="宋体" w:hAnsi="宋体" w:cs="宋体"/>
                <w:kern w:val="0"/>
                <w:szCs w:val="21"/>
              </w:rPr>
            </w:pPr>
            <w:bookmarkStart w:id="44" w:name="_Hlk200443547"/>
            <w:r>
              <w:rPr>
                <w:rFonts w:hint="eastAsia" w:ascii="宋体" w:hAnsi="宋体" w:cs="宋体"/>
                <w:color w:val="000000"/>
                <w:kern w:val="0"/>
                <w:sz w:val="24"/>
                <w:lang w:bidi="ar"/>
              </w:rPr>
              <w:t>1</w:t>
            </w:r>
          </w:p>
        </w:tc>
        <w:tc>
          <w:tcPr>
            <w:tcW w:w="938" w:type="pct"/>
            <w:shd w:val="clear" w:color="auto" w:fill="auto"/>
            <w:vAlign w:val="center"/>
          </w:tcPr>
          <w:p w14:paraId="75D2B684">
            <w:pPr>
              <w:widowControl/>
              <w:jc w:val="center"/>
              <w:rPr>
                <w:rFonts w:ascii="宋体" w:hAnsi="宋体" w:cs="宋体"/>
                <w:kern w:val="0"/>
                <w:highlight w:val="white"/>
              </w:rPr>
            </w:pPr>
            <w:r>
              <w:rPr>
                <w:rFonts w:hint="eastAsia" w:ascii="宋体" w:hAnsi="宋体" w:cs="宋体"/>
                <w:color w:val="000000"/>
                <w:kern w:val="0"/>
                <w:sz w:val="24"/>
                <w:lang w:bidi="ar"/>
              </w:rPr>
              <w:t>高锝[99mTc]酸钠注射液</w:t>
            </w:r>
          </w:p>
        </w:tc>
        <w:tc>
          <w:tcPr>
            <w:tcW w:w="971" w:type="pct"/>
            <w:shd w:val="clear" w:color="auto" w:fill="auto"/>
            <w:vAlign w:val="center"/>
          </w:tcPr>
          <w:p w14:paraId="14A75C02">
            <w:pPr>
              <w:widowControl/>
              <w:jc w:val="center"/>
              <w:rPr>
                <w:rFonts w:ascii="宋体" w:hAnsi="宋体" w:cs="宋体"/>
                <w:kern w:val="0"/>
                <w:highlight w:val="white"/>
              </w:rPr>
            </w:pPr>
            <w:r>
              <w:rPr>
                <w:rFonts w:hint="eastAsia" w:ascii="宋体" w:hAnsi="宋体" w:cs="宋体"/>
                <w:color w:val="000000"/>
                <w:kern w:val="0"/>
                <w:sz w:val="24"/>
                <w:lang w:bidi="ar"/>
              </w:rPr>
              <w:t>1mCi</w:t>
            </w:r>
            <w:r>
              <w:rPr>
                <w:rFonts w:hint="eastAsia" w:hAnsi="宋体" w:cs="宋体"/>
                <w:color w:val="000000"/>
                <w:sz w:val="24"/>
                <w:lang w:bidi="ar"/>
              </w:rPr>
              <w:t>/支</w:t>
            </w:r>
          </w:p>
        </w:tc>
        <w:tc>
          <w:tcPr>
            <w:tcW w:w="549" w:type="pct"/>
            <w:shd w:val="clear" w:color="auto" w:fill="auto"/>
            <w:vAlign w:val="center"/>
          </w:tcPr>
          <w:p w14:paraId="4659B30E">
            <w:pPr>
              <w:widowControl/>
              <w:jc w:val="center"/>
              <w:textAlignment w:val="center"/>
              <w:rPr>
                <w:rFonts w:ascii="宋体" w:hAnsi="宋体" w:cs="宋体"/>
                <w:kern w:val="0"/>
                <w:highlight w:val="white"/>
              </w:rPr>
            </w:pPr>
            <w:r>
              <w:rPr>
                <w:rFonts w:hint="eastAsia" w:ascii="宋体" w:hAnsi="宋体" w:cs="宋体"/>
                <w:sz w:val="24"/>
                <w:lang w:bidi="ar"/>
              </w:rPr>
              <w:t>950</w:t>
            </w:r>
            <w:r>
              <w:rPr>
                <w:rFonts w:hint="eastAsia" w:ascii="宋体" w:hAnsi="宋体" w:cs="宋体"/>
                <w:color w:val="000000"/>
                <w:kern w:val="0"/>
                <w:sz w:val="24"/>
                <w:lang w:bidi="ar"/>
              </w:rPr>
              <w:t>mCi</w:t>
            </w:r>
          </w:p>
        </w:tc>
        <w:tc>
          <w:tcPr>
            <w:tcW w:w="567" w:type="pct"/>
            <w:vAlign w:val="center"/>
          </w:tcPr>
          <w:p w14:paraId="0B577BB5">
            <w:pPr>
              <w:widowControl/>
              <w:jc w:val="center"/>
              <w:textAlignment w:val="center"/>
              <w:rPr>
                <w:rFonts w:ascii="宋体" w:hAnsi="宋体" w:cs="宋体"/>
                <w:sz w:val="24"/>
                <w:lang w:bidi="ar"/>
              </w:rPr>
            </w:pPr>
            <w:r>
              <w:rPr>
                <w:rFonts w:hint="eastAsia" w:ascii="宋体" w:hAnsi="宋体" w:cs="宋体"/>
                <w:bCs/>
                <w:kern w:val="0"/>
                <w:szCs w:val="21"/>
              </w:rPr>
              <w:t xml:space="preserve"> 18</w:t>
            </w:r>
          </w:p>
        </w:tc>
        <w:tc>
          <w:tcPr>
            <w:tcW w:w="567" w:type="pct"/>
            <w:vMerge w:val="restart"/>
            <w:vAlign w:val="center"/>
          </w:tcPr>
          <w:p w14:paraId="165A5DE9">
            <w:pPr>
              <w:jc w:val="center"/>
              <w:rPr>
                <w:rFonts w:ascii="等线 Light" w:hAnsi="等线 Light" w:eastAsia="等线 Light" w:cs="宋体"/>
                <w:bCs/>
                <w:szCs w:val="21"/>
              </w:rPr>
            </w:pPr>
            <w:r>
              <w:rPr>
                <w:rFonts w:hint="eastAsia" w:ascii="宋体" w:hAnsi="宋体" w:cs="宋体"/>
                <w:kern w:val="0"/>
                <w:highlight w:val="white"/>
              </w:rPr>
              <w:t>拒绝进口</w:t>
            </w:r>
          </w:p>
        </w:tc>
        <w:tc>
          <w:tcPr>
            <w:tcW w:w="569" w:type="pct"/>
            <w:vMerge w:val="restart"/>
            <w:vAlign w:val="center"/>
          </w:tcPr>
          <w:p w14:paraId="5703F952">
            <w:pPr>
              <w:jc w:val="center"/>
              <w:rPr>
                <w:rFonts w:ascii="宋体" w:hAnsi="宋体" w:cs="宋体"/>
                <w:b/>
                <w:color w:val="FF0000"/>
                <w:szCs w:val="21"/>
              </w:rPr>
            </w:pPr>
            <w:r>
              <w:rPr>
                <w:rFonts w:hint="eastAsia" w:ascii="宋体" w:hAnsi="宋体" w:cs="宋体"/>
                <w:b/>
                <w:color w:val="FF0000"/>
                <w:szCs w:val="21"/>
              </w:rPr>
              <w:t>否</w:t>
            </w:r>
          </w:p>
        </w:tc>
        <w:tc>
          <w:tcPr>
            <w:tcW w:w="569" w:type="pct"/>
            <w:vMerge w:val="restart"/>
            <w:vAlign w:val="center"/>
          </w:tcPr>
          <w:p w14:paraId="3FEE1008">
            <w:pPr>
              <w:jc w:val="center"/>
              <w:rPr>
                <w:rFonts w:ascii="宋体" w:hAnsi="宋体" w:cs="宋体"/>
                <w:b/>
                <w:color w:val="FF0000"/>
                <w:szCs w:val="21"/>
              </w:rPr>
            </w:pPr>
            <w:bookmarkStart w:id="45" w:name="OLE_LINK16" w:colFirst="6" w:colLast="6"/>
            <w:bookmarkStart w:id="46" w:name="OLE_LINK15" w:colFirst="6" w:colLast="6"/>
            <w:r>
              <w:rPr>
                <w:rFonts w:hint="eastAsia" w:ascii="宋体" w:hAnsi="宋体" w:cs="宋体"/>
                <w:b/>
                <w:color w:val="FF0000"/>
                <w:szCs w:val="21"/>
              </w:rPr>
              <w:t>工业</w:t>
            </w:r>
          </w:p>
        </w:tc>
      </w:tr>
      <w:tr w14:paraId="4C86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1BFFE68A">
            <w:pPr>
              <w:widowControl/>
              <w:jc w:val="center"/>
              <w:rPr>
                <w:rFonts w:ascii="宋体" w:hAnsi="宋体" w:cs="宋体"/>
                <w:kern w:val="0"/>
                <w:szCs w:val="21"/>
              </w:rPr>
            </w:pPr>
            <w:r>
              <w:rPr>
                <w:rFonts w:hint="eastAsia" w:ascii="宋体" w:hAnsi="宋体" w:cs="宋体"/>
                <w:color w:val="000000"/>
                <w:kern w:val="0"/>
                <w:sz w:val="24"/>
                <w:lang w:bidi="ar"/>
              </w:rPr>
              <w:t>2</w:t>
            </w:r>
          </w:p>
        </w:tc>
        <w:tc>
          <w:tcPr>
            <w:tcW w:w="938" w:type="pct"/>
            <w:shd w:val="clear" w:color="auto" w:fill="auto"/>
            <w:vAlign w:val="center"/>
          </w:tcPr>
          <w:p w14:paraId="66603C49">
            <w:pPr>
              <w:widowControl/>
              <w:jc w:val="center"/>
              <w:rPr>
                <w:rFonts w:ascii="宋体" w:hAnsi="宋体" w:cs="宋体"/>
                <w:kern w:val="0"/>
                <w:highlight w:val="white"/>
              </w:rPr>
            </w:pPr>
            <w:r>
              <w:rPr>
                <w:rFonts w:hint="eastAsia" w:ascii="宋体" w:hAnsi="宋体" w:cs="宋体"/>
                <w:color w:val="000000"/>
                <w:kern w:val="0"/>
                <w:sz w:val="24"/>
                <w:lang w:bidi="ar"/>
              </w:rPr>
              <w:t>锝[99mTc]亚甲基二膦酸盐注射液</w:t>
            </w:r>
          </w:p>
        </w:tc>
        <w:tc>
          <w:tcPr>
            <w:tcW w:w="971" w:type="pct"/>
            <w:shd w:val="clear" w:color="auto" w:fill="auto"/>
            <w:vAlign w:val="center"/>
          </w:tcPr>
          <w:p w14:paraId="0071E577">
            <w:pPr>
              <w:widowControl/>
              <w:jc w:val="center"/>
              <w:rPr>
                <w:rFonts w:ascii="宋体" w:hAnsi="宋体" w:cs="宋体"/>
                <w:kern w:val="0"/>
                <w:highlight w:val="white"/>
              </w:rPr>
            </w:pPr>
            <w:r>
              <w:rPr>
                <w:rFonts w:hint="eastAsia" w:ascii="宋体" w:hAnsi="宋体" w:cs="宋体"/>
                <w:color w:val="000000"/>
                <w:kern w:val="0"/>
                <w:sz w:val="24"/>
                <w:lang w:bidi="ar"/>
              </w:rPr>
              <w:t>20-30 mCi</w:t>
            </w:r>
            <w:r>
              <w:rPr>
                <w:rFonts w:hint="eastAsia" w:hAnsi="宋体" w:cs="宋体"/>
                <w:color w:val="000000"/>
                <w:sz w:val="24"/>
                <w:lang w:bidi="ar"/>
              </w:rPr>
              <w:t>/支</w:t>
            </w:r>
          </w:p>
        </w:tc>
        <w:tc>
          <w:tcPr>
            <w:tcW w:w="549" w:type="pct"/>
            <w:shd w:val="clear" w:color="auto" w:fill="auto"/>
            <w:vAlign w:val="center"/>
          </w:tcPr>
          <w:p w14:paraId="18D7FDB9">
            <w:pPr>
              <w:widowControl/>
              <w:jc w:val="center"/>
              <w:textAlignment w:val="center"/>
              <w:rPr>
                <w:rFonts w:ascii="宋体" w:hAnsi="宋体" w:cs="宋体"/>
                <w:kern w:val="0"/>
                <w:highlight w:val="white"/>
              </w:rPr>
            </w:pPr>
            <w:r>
              <w:rPr>
                <w:rFonts w:hint="eastAsia" w:ascii="宋体" w:hAnsi="宋体" w:cs="宋体"/>
                <w:sz w:val="24"/>
                <w:lang w:bidi="ar"/>
              </w:rPr>
              <w:t>360支</w:t>
            </w:r>
          </w:p>
        </w:tc>
        <w:tc>
          <w:tcPr>
            <w:tcW w:w="567" w:type="pct"/>
            <w:vAlign w:val="center"/>
          </w:tcPr>
          <w:p w14:paraId="52AA43B6">
            <w:pPr>
              <w:widowControl/>
              <w:jc w:val="center"/>
              <w:rPr>
                <w:rFonts w:ascii="宋体" w:hAnsi="宋体" w:cs="宋体"/>
                <w:sz w:val="24"/>
                <w:lang w:bidi="ar"/>
              </w:rPr>
            </w:pPr>
            <w:r>
              <w:rPr>
                <w:rFonts w:hint="eastAsia" w:ascii="宋体" w:hAnsi="宋体" w:cs="宋体"/>
                <w:bCs/>
                <w:kern w:val="0"/>
                <w:szCs w:val="21"/>
              </w:rPr>
              <w:t xml:space="preserve"> 480</w:t>
            </w:r>
          </w:p>
        </w:tc>
        <w:tc>
          <w:tcPr>
            <w:tcW w:w="567" w:type="pct"/>
            <w:vMerge w:val="continue"/>
            <w:vAlign w:val="center"/>
          </w:tcPr>
          <w:p w14:paraId="19C13452">
            <w:pPr>
              <w:jc w:val="center"/>
              <w:rPr>
                <w:rFonts w:ascii="宋体" w:hAnsi="宋体" w:cs="宋体"/>
                <w:kern w:val="0"/>
                <w:highlight w:val="white"/>
              </w:rPr>
            </w:pPr>
          </w:p>
        </w:tc>
        <w:tc>
          <w:tcPr>
            <w:tcW w:w="569" w:type="pct"/>
            <w:vMerge w:val="continue"/>
            <w:vAlign w:val="center"/>
          </w:tcPr>
          <w:p w14:paraId="32439F58">
            <w:pPr>
              <w:jc w:val="center"/>
              <w:rPr>
                <w:rFonts w:ascii="宋体" w:hAnsi="宋体" w:cs="宋体"/>
                <w:b/>
                <w:color w:val="FF0000"/>
                <w:szCs w:val="21"/>
              </w:rPr>
            </w:pPr>
          </w:p>
        </w:tc>
        <w:tc>
          <w:tcPr>
            <w:tcW w:w="569" w:type="pct"/>
            <w:vMerge w:val="continue"/>
            <w:vAlign w:val="center"/>
          </w:tcPr>
          <w:p w14:paraId="617DDE8C">
            <w:pPr>
              <w:jc w:val="center"/>
              <w:rPr>
                <w:rFonts w:ascii="宋体" w:hAnsi="宋体" w:cs="宋体"/>
                <w:b/>
                <w:color w:val="FF0000"/>
                <w:szCs w:val="21"/>
              </w:rPr>
            </w:pPr>
          </w:p>
        </w:tc>
      </w:tr>
      <w:tr w14:paraId="4E20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366886EB">
            <w:pPr>
              <w:widowControl/>
              <w:jc w:val="center"/>
              <w:rPr>
                <w:rFonts w:ascii="宋体" w:hAnsi="宋体" w:cs="宋体"/>
                <w:kern w:val="0"/>
                <w:szCs w:val="21"/>
              </w:rPr>
            </w:pPr>
            <w:r>
              <w:rPr>
                <w:rFonts w:hint="eastAsia" w:ascii="宋体" w:hAnsi="宋体" w:cs="宋体"/>
                <w:color w:val="000000"/>
                <w:kern w:val="0"/>
                <w:sz w:val="24"/>
                <w:lang w:bidi="ar"/>
              </w:rPr>
              <w:t>3</w:t>
            </w:r>
          </w:p>
        </w:tc>
        <w:tc>
          <w:tcPr>
            <w:tcW w:w="938" w:type="pct"/>
            <w:shd w:val="clear" w:color="auto" w:fill="auto"/>
            <w:vAlign w:val="center"/>
          </w:tcPr>
          <w:p w14:paraId="4193A24A">
            <w:pPr>
              <w:widowControl/>
              <w:jc w:val="center"/>
              <w:rPr>
                <w:rFonts w:ascii="宋体" w:hAnsi="宋体" w:cs="宋体"/>
                <w:kern w:val="0"/>
                <w:highlight w:val="white"/>
              </w:rPr>
            </w:pPr>
            <w:r>
              <w:rPr>
                <w:rFonts w:hint="eastAsia" w:ascii="宋体" w:hAnsi="宋体" w:cs="宋体"/>
                <w:color w:val="000000"/>
                <w:kern w:val="0"/>
                <w:sz w:val="24"/>
                <w:lang w:bidi="ar"/>
              </w:rPr>
              <w:t>锝[99mTc]喷替酸盐注射液</w:t>
            </w:r>
          </w:p>
        </w:tc>
        <w:tc>
          <w:tcPr>
            <w:tcW w:w="971" w:type="pct"/>
            <w:shd w:val="clear" w:color="auto" w:fill="auto"/>
            <w:vAlign w:val="center"/>
          </w:tcPr>
          <w:p w14:paraId="4FC949FA">
            <w:pPr>
              <w:widowControl/>
              <w:jc w:val="center"/>
              <w:rPr>
                <w:rFonts w:ascii="宋体" w:hAnsi="宋体" w:cs="宋体"/>
                <w:kern w:val="0"/>
                <w:highlight w:val="white"/>
              </w:rPr>
            </w:pPr>
            <w:r>
              <w:rPr>
                <w:rFonts w:hint="eastAsia" w:ascii="宋体" w:hAnsi="宋体" w:cs="宋体"/>
                <w:color w:val="000000"/>
                <w:kern w:val="0"/>
                <w:sz w:val="24"/>
                <w:lang w:bidi="ar"/>
              </w:rPr>
              <w:t>5-15 mCi</w:t>
            </w:r>
            <w:r>
              <w:rPr>
                <w:rFonts w:hint="eastAsia" w:hAnsi="宋体" w:cs="宋体"/>
                <w:color w:val="000000"/>
                <w:sz w:val="24"/>
                <w:lang w:bidi="ar"/>
              </w:rPr>
              <w:t>/支</w:t>
            </w:r>
          </w:p>
        </w:tc>
        <w:tc>
          <w:tcPr>
            <w:tcW w:w="549" w:type="pct"/>
            <w:shd w:val="clear" w:color="auto" w:fill="auto"/>
            <w:vAlign w:val="center"/>
          </w:tcPr>
          <w:p w14:paraId="70F78F71">
            <w:pPr>
              <w:widowControl/>
              <w:jc w:val="center"/>
              <w:textAlignment w:val="center"/>
              <w:rPr>
                <w:rFonts w:ascii="宋体" w:hAnsi="宋体" w:cs="宋体"/>
                <w:kern w:val="0"/>
                <w:highlight w:val="white"/>
              </w:rPr>
            </w:pPr>
            <w:r>
              <w:rPr>
                <w:rFonts w:hint="eastAsia" w:ascii="宋体" w:hAnsi="宋体" w:cs="宋体"/>
                <w:sz w:val="24"/>
                <w:lang w:bidi="ar"/>
              </w:rPr>
              <w:t>300支</w:t>
            </w:r>
          </w:p>
        </w:tc>
        <w:tc>
          <w:tcPr>
            <w:tcW w:w="567" w:type="pct"/>
            <w:vAlign w:val="center"/>
          </w:tcPr>
          <w:p w14:paraId="767E5F5A">
            <w:pPr>
              <w:widowControl/>
              <w:jc w:val="center"/>
              <w:textAlignment w:val="center"/>
              <w:rPr>
                <w:rFonts w:ascii="宋体" w:hAnsi="宋体" w:cs="宋体"/>
                <w:sz w:val="24"/>
                <w:lang w:bidi="ar"/>
              </w:rPr>
            </w:pPr>
            <w:r>
              <w:rPr>
                <w:rFonts w:hint="eastAsia" w:ascii="宋体" w:hAnsi="宋体" w:cs="宋体"/>
                <w:sz w:val="24"/>
                <w:lang w:bidi="ar"/>
              </w:rPr>
              <w:t>480</w:t>
            </w:r>
          </w:p>
        </w:tc>
        <w:tc>
          <w:tcPr>
            <w:tcW w:w="567" w:type="pct"/>
            <w:vMerge w:val="continue"/>
            <w:vAlign w:val="center"/>
          </w:tcPr>
          <w:p w14:paraId="455BD51F">
            <w:pPr>
              <w:jc w:val="center"/>
              <w:rPr>
                <w:rFonts w:ascii="宋体" w:hAnsi="宋体" w:cs="宋体"/>
                <w:kern w:val="0"/>
                <w:highlight w:val="white"/>
              </w:rPr>
            </w:pPr>
          </w:p>
        </w:tc>
        <w:tc>
          <w:tcPr>
            <w:tcW w:w="569" w:type="pct"/>
            <w:vMerge w:val="continue"/>
            <w:vAlign w:val="center"/>
          </w:tcPr>
          <w:p w14:paraId="5AFF6AB7">
            <w:pPr>
              <w:jc w:val="center"/>
              <w:rPr>
                <w:rFonts w:ascii="宋体" w:hAnsi="宋体" w:cs="宋体"/>
                <w:b/>
                <w:color w:val="FF0000"/>
                <w:szCs w:val="21"/>
              </w:rPr>
            </w:pPr>
          </w:p>
        </w:tc>
        <w:tc>
          <w:tcPr>
            <w:tcW w:w="569" w:type="pct"/>
            <w:vMerge w:val="continue"/>
            <w:vAlign w:val="center"/>
          </w:tcPr>
          <w:p w14:paraId="2E86F053">
            <w:pPr>
              <w:jc w:val="center"/>
              <w:rPr>
                <w:rFonts w:ascii="宋体" w:hAnsi="宋体" w:cs="宋体"/>
                <w:b/>
                <w:color w:val="FF0000"/>
                <w:szCs w:val="21"/>
              </w:rPr>
            </w:pPr>
          </w:p>
        </w:tc>
      </w:tr>
      <w:tr w14:paraId="5D55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154A4FBF">
            <w:pPr>
              <w:widowControl/>
              <w:jc w:val="center"/>
              <w:rPr>
                <w:rFonts w:ascii="宋体" w:hAnsi="宋体" w:cs="宋体"/>
                <w:kern w:val="0"/>
                <w:szCs w:val="21"/>
              </w:rPr>
            </w:pPr>
            <w:r>
              <w:rPr>
                <w:rFonts w:hint="eastAsia" w:ascii="宋体" w:hAnsi="宋体" w:cs="宋体"/>
                <w:color w:val="000000"/>
                <w:kern w:val="0"/>
                <w:sz w:val="24"/>
                <w:lang w:bidi="ar"/>
              </w:rPr>
              <w:t>4</w:t>
            </w:r>
          </w:p>
        </w:tc>
        <w:tc>
          <w:tcPr>
            <w:tcW w:w="938" w:type="pct"/>
            <w:shd w:val="clear" w:color="auto" w:fill="auto"/>
            <w:vAlign w:val="center"/>
          </w:tcPr>
          <w:p w14:paraId="2900C8C6">
            <w:pPr>
              <w:widowControl/>
              <w:jc w:val="center"/>
              <w:rPr>
                <w:rFonts w:ascii="宋体" w:hAnsi="宋体" w:cs="宋体"/>
                <w:kern w:val="0"/>
                <w:highlight w:val="white"/>
              </w:rPr>
            </w:pPr>
            <w:r>
              <w:rPr>
                <w:rFonts w:hint="eastAsia" w:ascii="宋体" w:hAnsi="宋体" w:cs="宋体"/>
                <w:color w:val="000000"/>
                <w:kern w:val="0"/>
                <w:sz w:val="24"/>
                <w:lang w:bidi="ar"/>
              </w:rPr>
              <w:t>锝[99mTc]甲氧异腈注射液</w:t>
            </w:r>
          </w:p>
        </w:tc>
        <w:tc>
          <w:tcPr>
            <w:tcW w:w="971" w:type="pct"/>
            <w:shd w:val="clear" w:color="auto" w:fill="auto"/>
            <w:vAlign w:val="center"/>
          </w:tcPr>
          <w:p w14:paraId="09454B63">
            <w:pPr>
              <w:widowControl/>
              <w:jc w:val="center"/>
              <w:rPr>
                <w:rFonts w:ascii="宋体" w:hAnsi="宋体" w:cs="宋体"/>
                <w:kern w:val="0"/>
                <w:highlight w:val="white"/>
              </w:rPr>
            </w:pPr>
            <w:r>
              <w:rPr>
                <w:rFonts w:hint="eastAsia" w:ascii="宋体" w:hAnsi="宋体" w:cs="宋体"/>
                <w:color w:val="000000"/>
                <w:kern w:val="0"/>
                <w:sz w:val="24"/>
                <w:lang w:bidi="ar"/>
              </w:rPr>
              <w:t>20-30 mCi</w:t>
            </w:r>
            <w:r>
              <w:rPr>
                <w:rFonts w:hint="eastAsia" w:hAnsi="宋体" w:cs="宋体"/>
                <w:color w:val="000000"/>
                <w:sz w:val="24"/>
                <w:lang w:bidi="ar"/>
              </w:rPr>
              <w:t>/支</w:t>
            </w:r>
          </w:p>
        </w:tc>
        <w:tc>
          <w:tcPr>
            <w:tcW w:w="549" w:type="pct"/>
            <w:shd w:val="clear" w:color="auto" w:fill="auto"/>
            <w:vAlign w:val="center"/>
          </w:tcPr>
          <w:p w14:paraId="1C3E60F6">
            <w:pPr>
              <w:widowControl/>
              <w:jc w:val="center"/>
              <w:textAlignment w:val="center"/>
              <w:rPr>
                <w:rFonts w:ascii="宋体" w:hAnsi="宋体" w:cs="宋体"/>
                <w:kern w:val="0"/>
                <w:highlight w:val="white"/>
              </w:rPr>
            </w:pPr>
            <w:r>
              <w:rPr>
                <w:rFonts w:hint="eastAsia" w:ascii="宋体" w:hAnsi="宋体" w:cs="宋体"/>
                <w:sz w:val="24"/>
                <w:lang w:bidi="ar"/>
              </w:rPr>
              <w:t>80支</w:t>
            </w:r>
          </w:p>
        </w:tc>
        <w:tc>
          <w:tcPr>
            <w:tcW w:w="567" w:type="pct"/>
            <w:vAlign w:val="center"/>
          </w:tcPr>
          <w:p w14:paraId="06ACCBE1">
            <w:pPr>
              <w:widowControl/>
              <w:jc w:val="center"/>
              <w:textAlignment w:val="center"/>
              <w:rPr>
                <w:rFonts w:ascii="宋体" w:hAnsi="宋体" w:cs="宋体"/>
                <w:sz w:val="24"/>
                <w:lang w:bidi="ar"/>
              </w:rPr>
            </w:pPr>
            <w:r>
              <w:rPr>
                <w:rFonts w:hint="eastAsia" w:ascii="宋体" w:hAnsi="宋体" w:cs="宋体"/>
                <w:sz w:val="24"/>
                <w:lang w:bidi="ar"/>
              </w:rPr>
              <w:t>480</w:t>
            </w:r>
          </w:p>
        </w:tc>
        <w:tc>
          <w:tcPr>
            <w:tcW w:w="567" w:type="pct"/>
            <w:vMerge w:val="continue"/>
            <w:vAlign w:val="center"/>
          </w:tcPr>
          <w:p w14:paraId="7402F7E9">
            <w:pPr>
              <w:jc w:val="center"/>
              <w:rPr>
                <w:rFonts w:ascii="宋体" w:hAnsi="宋体" w:cs="宋体"/>
                <w:kern w:val="0"/>
                <w:highlight w:val="white"/>
              </w:rPr>
            </w:pPr>
          </w:p>
        </w:tc>
        <w:tc>
          <w:tcPr>
            <w:tcW w:w="569" w:type="pct"/>
            <w:vMerge w:val="continue"/>
            <w:vAlign w:val="center"/>
          </w:tcPr>
          <w:p w14:paraId="66B094D3">
            <w:pPr>
              <w:jc w:val="center"/>
              <w:rPr>
                <w:rFonts w:ascii="宋体" w:hAnsi="宋体" w:cs="宋体"/>
                <w:b/>
                <w:color w:val="FF0000"/>
                <w:szCs w:val="21"/>
              </w:rPr>
            </w:pPr>
          </w:p>
        </w:tc>
        <w:tc>
          <w:tcPr>
            <w:tcW w:w="569" w:type="pct"/>
            <w:vMerge w:val="continue"/>
            <w:vAlign w:val="center"/>
          </w:tcPr>
          <w:p w14:paraId="3D5E8E74">
            <w:pPr>
              <w:jc w:val="center"/>
              <w:rPr>
                <w:rFonts w:ascii="宋体" w:hAnsi="宋体" w:cs="宋体"/>
                <w:b/>
                <w:color w:val="FF0000"/>
                <w:szCs w:val="21"/>
              </w:rPr>
            </w:pPr>
          </w:p>
        </w:tc>
      </w:tr>
      <w:tr w14:paraId="2976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71D3208D">
            <w:pPr>
              <w:widowControl/>
              <w:jc w:val="center"/>
              <w:rPr>
                <w:rFonts w:ascii="宋体" w:hAnsi="宋体" w:cs="宋体"/>
                <w:kern w:val="0"/>
                <w:szCs w:val="21"/>
              </w:rPr>
            </w:pPr>
            <w:r>
              <w:rPr>
                <w:rFonts w:hint="eastAsia" w:ascii="宋体" w:hAnsi="宋体" w:cs="宋体"/>
                <w:color w:val="000000"/>
                <w:kern w:val="0"/>
                <w:sz w:val="24"/>
                <w:lang w:bidi="ar"/>
              </w:rPr>
              <w:t>5</w:t>
            </w:r>
          </w:p>
        </w:tc>
        <w:tc>
          <w:tcPr>
            <w:tcW w:w="938" w:type="pct"/>
            <w:shd w:val="clear" w:color="auto" w:fill="auto"/>
            <w:vAlign w:val="center"/>
          </w:tcPr>
          <w:p w14:paraId="6BAE8388">
            <w:pPr>
              <w:widowControl/>
              <w:jc w:val="center"/>
              <w:rPr>
                <w:rFonts w:ascii="宋体" w:hAnsi="宋体" w:cs="宋体"/>
                <w:kern w:val="0"/>
                <w:highlight w:val="white"/>
              </w:rPr>
            </w:pPr>
            <w:r>
              <w:rPr>
                <w:rFonts w:hint="eastAsia" w:ascii="宋体" w:hAnsi="宋体" w:cs="宋体"/>
                <w:color w:val="000000"/>
                <w:kern w:val="0"/>
                <w:sz w:val="24"/>
                <w:lang w:bidi="ar"/>
              </w:rPr>
              <w:t>锝[99mTc]双半胱乙酯注射液</w:t>
            </w:r>
          </w:p>
        </w:tc>
        <w:tc>
          <w:tcPr>
            <w:tcW w:w="971" w:type="pct"/>
            <w:shd w:val="clear" w:color="auto" w:fill="auto"/>
            <w:vAlign w:val="center"/>
          </w:tcPr>
          <w:p w14:paraId="5E5BE70F">
            <w:pPr>
              <w:widowControl/>
              <w:jc w:val="center"/>
              <w:rPr>
                <w:rFonts w:ascii="宋体" w:hAnsi="宋体" w:cs="宋体"/>
                <w:kern w:val="0"/>
                <w:highlight w:val="white"/>
              </w:rPr>
            </w:pPr>
            <w:r>
              <w:rPr>
                <w:rFonts w:hint="eastAsia" w:ascii="宋体" w:hAnsi="宋体" w:cs="宋体"/>
                <w:color w:val="000000"/>
                <w:kern w:val="0"/>
                <w:sz w:val="24"/>
                <w:lang w:bidi="ar"/>
              </w:rPr>
              <w:t>20-30 mCi</w:t>
            </w:r>
            <w:r>
              <w:rPr>
                <w:rFonts w:hint="eastAsia" w:hAnsi="宋体" w:cs="宋体"/>
                <w:color w:val="000000"/>
                <w:sz w:val="24"/>
                <w:lang w:bidi="ar"/>
              </w:rPr>
              <w:t>/支</w:t>
            </w:r>
          </w:p>
        </w:tc>
        <w:tc>
          <w:tcPr>
            <w:tcW w:w="549" w:type="pct"/>
            <w:shd w:val="clear" w:color="auto" w:fill="auto"/>
            <w:vAlign w:val="center"/>
          </w:tcPr>
          <w:p w14:paraId="5F28E89E">
            <w:pPr>
              <w:widowControl/>
              <w:jc w:val="center"/>
              <w:textAlignment w:val="center"/>
              <w:rPr>
                <w:rFonts w:ascii="宋体" w:hAnsi="宋体" w:cs="宋体"/>
                <w:kern w:val="0"/>
                <w:highlight w:val="white"/>
              </w:rPr>
            </w:pPr>
            <w:r>
              <w:rPr>
                <w:rFonts w:hint="eastAsia" w:ascii="宋体" w:hAnsi="宋体" w:cs="宋体"/>
                <w:sz w:val="24"/>
                <w:lang w:bidi="ar"/>
              </w:rPr>
              <w:t>2支</w:t>
            </w:r>
          </w:p>
        </w:tc>
        <w:tc>
          <w:tcPr>
            <w:tcW w:w="567" w:type="pct"/>
            <w:vAlign w:val="center"/>
          </w:tcPr>
          <w:p w14:paraId="5471DF55">
            <w:pPr>
              <w:widowControl/>
              <w:jc w:val="center"/>
              <w:textAlignment w:val="center"/>
              <w:rPr>
                <w:rFonts w:ascii="宋体" w:hAnsi="宋体" w:cs="宋体"/>
                <w:sz w:val="24"/>
                <w:lang w:bidi="ar"/>
              </w:rPr>
            </w:pPr>
            <w:r>
              <w:rPr>
                <w:rFonts w:hint="eastAsia" w:ascii="宋体" w:hAnsi="宋体" w:cs="宋体"/>
                <w:sz w:val="24"/>
                <w:lang w:bidi="ar"/>
              </w:rPr>
              <w:t>480</w:t>
            </w:r>
          </w:p>
        </w:tc>
        <w:tc>
          <w:tcPr>
            <w:tcW w:w="567" w:type="pct"/>
            <w:vMerge w:val="continue"/>
            <w:vAlign w:val="center"/>
          </w:tcPr>
          <w:p w14:paraId="359A02EB">
            <w:pPr>
              <w:jc w:val="center"/>
              <w:rPr>
                <w:rFonts w:ascii="宋体" w:hAnsi="宋体" w:cs="宋体"/>
                <w:kern w:val="0"/>
                <w:highlight w:val="white"/>
              </w:rPr>
            </w:pPr>
          </w:p>
        </w:tc>
        <w:tc>
          <w:tcPr>
            <w:tcW w:w="569" w:type="pct"/>
            <w:vMerge w:val="continue"/>
            <w:vAlign w:val="center"/>
          </w:tcPr>
          <w:p w14:paraId="3FD7CD76">
            <w:pPr>
              <w:jc w:val="center"/>
              <w:rPr>
                <w:rFonts w:ascii="宋体" w:hAnsi="宋体" w:cs="宋体"/>
                <w:b/>
                <w:color w:val="FF0000"/>
                <w:szCs w:val="21"/>
              </w:rPr>
            </w:pPr>
          </w:p>
        </w:tc>
        <w:tc>
          <w:tcPr>
            <w:tcW w:w="569" w:type="pct"/>
            <w:vMerge w:val="continue"/>
            <w:vAlign w:val="center"/>
          </w:tcPr>
          <w:p w14:paraId="043D4DB1">
            <w:pPr>
              <w:jc w:val="center"/>
              <w:rPr>
                <w:rFonts w:ascii="宋体" w:hAnsi="宋体" w:cs="宋体"/>
                <w:b/>
                <w:color w:val="FF0000"/>
                <w:szCs w:val="21"/>
              </w:rPr>
            </w:pPr>
          </w:p>
        </w:tc>
      </w:tr>
      <w:tr w14:paraId="003D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6C69B290">
            <w:pPr>
              <w:widowControl/>
              <w:jc w:val="center"/>
              <w:rPr>
                <w:rFonts w:ascii="宋体" w:hAnsi="宋体" w:cs="宋体"/>
                <w:kern w:val="0"/>
                <w:szCs w:val="21"/>
              </w:rPr>
            </w:pPr>
            <w:r>
              <w:rPr>
                <w:rFonts w:hint="eastAsia" w:ascii="宋体" w:hAnsi="宋体" w:cs="宋体"/>
                <w:color w:val="000000"/>
                <w:kern w:val="0"/>
                <w:sz w:val="24"/>
                <w:lang w:bidi="ar"/>
              </w:rPr>
              <w:t>6</w:t>
            </w:r>
          </w:p>
        </w:tc>
        <w:tc>
          <w:tcPr>
            <w:tcW w:w="938" w:type="pct"/>
            <w:shd w:val="clear" w:color="auto" w:fill="auto"/>
            <w:vAlign w:val="center"/>
          </w:tcPr>
          <w:p w14:paraId="751E0CB8">
            <w:pPr>
              <w:widowControl/>
              <w:jc w:val="center"/>
              <w:rPr>
                <w:rFonts w:ascii="宋体" w:hAnsi="宋体" w:cs="宋体"/>
                <w:kern w:val="0"/>
                <w:highlight w:val="white"/>
              </w:rPr>
            </w:pPr>
            <w:r>
              <w:rPr>
                <w:rFonts w:hint="eastAsia" w:ascii="宋体" w:hAnsi="宋体" w:cs="宋体"/>
                <w:color w:val="000000"/>
                <w:kern w:val="0"/>
                <w:sz w:val="24"/>
                <w:lang w:bidi="ar"/>
              </w:rPr>
              <w:t>锝[99mTc]双半胱氨酸注射液</w:t>
            </w:r>
          </w:p>
        </w:tc>
        <w:tc>
          <w:tcPr>
            <w:tcW w:w="971" w:type="pct"/>
            <w:shd w:val="clear" w:color="auto" w:fill="auto"/>
            <w:vAlign w:val="center"/>
          </w:tcPr>
          <w:p w14:paraId="63861D39">
            <w:pPr>
              <w:widowControl/>
              <w:jc w:val="center"/>
              <w:rPr>
                <w:rFonts w:ascii="宋体" w:hAnsi="宋体" w:cs="宋体"/>
                <w:kern w:val="0"/>
                <w:highlight w:val="white"/>
              </w:rPr>
            </w:pPr>
            <w:r>
              <w:rPr>
                <w:rFonts w:hint="eastAsia" w:ascii="宋体" w:hAnsi="宋体" w:cs="宋体"/>
                <w:color w:val="000000"/>
                <w:kern w:val="0"/>
                <w:sz w:val="24"/>
                <w:lang w:bidi="ar"/>
              </w:rPr>
              <w:t>5-15 mCi</w:t>
            </w:r>
            <w:r>
              <w:rPr>
                <w:rFonts w:hint="eastAsia" w:hAnsi="宋体" w:cs="宋体"/>
                <w:color w:val="000000"/>
                <w:sz w:val="24"/>
                <w:lang w:bidi="ar"/>
              </w:rPr>
              <w:t>/支</w:t>
            </w:r>
          </w:p>
        </w:tc>
        <w:tc>
          <w:tcPr>
            <w:tcW w:w="549" w:type="pct"/>
            <w:shd w:val="clear" w:color="auto" w:fill="auto"/>
            <w:vAlign w:val="center"/>
          </w:tcPr>
          <w:p w14:paraId="14E03119">
            <w:pPr>
              <w:widowControl/>
              <w:jc w:val="center"/>
              <w:textAlignment w:val="center"/>
              <w:rPr>
                <w:rFonts w:ascii="宋体" w:hAnsi="宋体" w:cs="宋体"/>
                <w:kern w:val="0"/>
                <w:highlight w:val="white"/>
              </w:rPr>
            </w:pPr>
            <w:r>
              <w:rPr>
                <w:rFonts w:hint="eastAsia" w:ascii="宋体" w:hAnsi="宋体" w:cs="宋体"/>
                <w:sz w:val="24"/>
                <w:lang w:bidi="ar"/>
              </w:rPr>
              <w:t>2支</w:t>
            </w:r>
          </w:p>
        </w:tc>
        <w:tc>
          <w:tcPr>
            <w:tcW w:w="567" w:type="pct"/>
            <w:vAlign w:val="center"/>
          </w:tcPr>
          <w:p w14:paraId="038AD7C5">
            <w:pPr>
              <w:widowControl/>
              <w:jc w:val="center"/>
              <w:textAlignment w:val="center"/>
              <w:rPr>
                <w:rFonts w:ascii="宋体" w:hAnsi="宋体" w:cs="宋体"/>
                <w:sz w:val="24"/>
                <w:lang w:bidi="ar"/>
              </w:rPr>
            </w:pPr>
            <w:r>
              <w:rPr>
                <w:rFonts w:hint="eastAsia" w:ascii="宋体" w:hAnsi="宋体" w:cs="宋体"/>
                <w:bCs/>
                <w:kern w:val="0"/>
                <w:szCs w:val="21"/>
              </w:rPr>
              <w:t>450</w:t>
            </w:r>
          </w:p>
        </w:tc>
        <w:tc>
          <w:tcPr>
            <w:tcW w:w="567" w:type="pct"/>
            <w:vMerge w:val="continue"/>
            <w:vAlign w:val="center"/>
          </w:tcPr>
          <w:p w14:paraId="1AF1DC77">
            <w:pPr>
              <w:jc w:val="center"/>
              <w:rPr>
                <w:rFonts w:ascii="宋体" w:hAnsi="宋体" w:cs="宋体"/>
                <w:kern w:val="0"/>
                <w:highlight w:val="white"/>
              </w:rPr>
            </w:pPr>
          </w:p>
        </w:tc>
        <w:tc>
          <w:tcPr>
            <w:tcW w:w="569" w:type="pct"/>
            <w:vMerge w:val="continue"/>
            <w:vAlign w:val="center"/>
          </w:tcPr>
          <w:p w14:paraId="6CE5AE0B">
            <w:pPr>
              <w:jc w:val="center"/>
              <w:rPr>
                <w:rFonts w:ascii="宋体" w:hAnsi="宋体" w:cs="宋体"/>
                <w:b/>
                <w:color w:val="FF0000"/>
                <w:szCs w:val="21"/>
              </w:rPr>
            </w:pPr>
          </w:p>
        </w:tc>
        <w:tc>
          <w:tcPr>
            <w:tcW w:w="569" w:type="pct"/>
            <w:vMerge w:val="continue"/>
            <w:vAlign w:val="center"/>
          </w:tcPr>
          <w:p w14:paraId="2A9D4CC2">
            <w:pPr>
              <w:jc w:val="center"/>
              <w:rPr>
                <w:rFonts w:ascii="宋体" w:hAnsi="宋体" w:cs="宋体"/>
                <w:b/>
                <w:color w:val="FF0000"/>
                <w:szCs w:val="21"/>
              </w:rPr>
            </w:pPr>
          </w:p>
        </w:tc>
      </w:tr>
      <w:tr w14:paraId="2B26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27B906DE">
            <w:pPr>
              <w:widowControl/>
              <w:jc w:val="center"/>
              <w:rPr>
                <w:rFonts w:ascii="宋体" w:hAnsi="宋体" w:cs="宋体"/>
                <w:kern w:val="0"/>
                <w:szCs w:val="21"/>
              </w:rPr>
            </w:pPr>
            <w:r>
              <w:rPr>
                <w:rFonts w:hint="eastAsia" w:ascii="宋体" w:hAnsi="宋体" w:cs="宋体"/>
                <w:color w:val="000000"/>
                <w:kern w:val="0"/>
                <w:sz w:val="24"/>
                <w:lang w:bidi="ar"/>
              </w:rPr>
              <w:t>7</w:t>
            </w:r>
          </w:p>
        </w:tc>
        <w:tc>
          <w:tcPr>
            <w:tcW w:w="938" w:type="pct"/>
            <w:shd w:val="clear" w:color="auto" w:fill="auto"/>
            <w:vAlign w:val="center"/>
          </w:tcPr>
          <w:p w14:paraId="2B944436">
            <w:pPr>
              <w:widowControl/>
              <w:jc w:val="center"/>
              <w:rPr>
                <w:rFonts w:ascii="宋体" w:hAnsi="宋体" w:cs="宋体"/>
                <w:kern w:val="0"/>
                <w:highlight w:val="white"/>
              </w:rPr>
            </w:pPr>
            <w:r>
              <w:rPr>
                <w:rFonts w:hint="eastAsia" w:ascii="宋体" w:hAnsi="宋体" w:cs="宋体"/>
                <w:color w:val="000000"/>
                <w:kern w:val="0"/>
                <w:sz w:val="24"/>
                <w:lang w:bidi="ar"/>
              </w:rPr>
              <w:t>锝[99mTc]二巯丁二酸盐注射液</w:t>
            </w:r>
          </w:p>
        </w:tc>
        <w:tc>
          <w:tcPr>
            <w:tcW w:w="971" w:type="pct"/>
            <w:shd w:val="clear" w:color="auto" w:fill="auto"/>
            <w:vAlign w:val="center"/>
          </w:tcPr>
          <w:p w14:paraId="67A88309">
            <w:pPr>
              <w:widowControl/>
              <w:jc w:val="center"/>
              <w:rPr>
                <w:rFonts w:ascii="宋体" w:hAnsi="宋体" w:cs="宋体"/>
                <w:kern w:val="0"/>
                <w:highlight w:val="white"/>
              </w:rPr>
            </w:pPr>
            <w:r>
              <w:rPr>
                <w:rFonts w:hint="eastAsia" w:ascii="宋体" w:hAnsi="宋体" w:cs="宋体"/>
                <w:color w:val="000000"/>
                <w:kern w:val="0"/>
                <w:sz w:val="24"/>
                <w:lang w:bidi="ar"/>
              </w:rPr>
              <w:t>5-15 mCi</w:t>
            </w:r>
            <w:r>
              <w:rPr>
                <w:rFonts w:hint="eastAsia" w:hAnsi="宋体" w:cs="宋体"/>
                <w:color w:val="000000"/>
                <w:sz w:val="24"/>
                <w:lang w:bidi="ar"/>
              </w:rPr>
              <w:t>/支</w:t>
            </w:r>
          </w:p>
        </w:tc>
        <w:tc>
          <w:tcPr>
            <w:tcW w:w="549" w:type="pct"/>
            <w:shd w:val="clear" w:color="auto" w:fill="auto"/>
            <w:vAlign w:val="center"/>
          </w:tcPr>
          <w:p w14:paraId="0AAED5D3">
            <w:pPr>
              <w:widowControl/>
              <w:jc w:val="center"/>
              <w:textAlignment w:val="center"/>
              <w:rPr>
                <w:rFonts w:ascii="宋体" w:hAnsi="宋体" w:cs="宋体"/>
                <w:kern w:val="0"/>
                <w:highlight w:val="white"/>
              </w:rPr>
            </w:pPr>
            <w:r>
              <w:rPr>
                <w:rFonts w:hint="eastAsia" w:ascii="宋体" w:hAnsi="宋体" w:cs="宋体"/>
                <w:sz w:val="24"/>
                <w:lang w:bidi="ar"/>
              </w:rPr>
              <w:t>2支</w:t>
            </w:r>
          </w:p>
        </w:tc>
        <w:tc>
          <w:tcPr>
            <w:tcW w:w="567" w:type="pct"/>
            <w:vAlign w:val="center"/>
          </w:tcPr>
          <w:p w14:paraId="2D6E98D7">
            <w:pPr>
              <w:widowControl/>
              <w:jc w:val="center"/>
              <w:textAlignment w:val="center"/>
              <w:rPr>
                <w:rFonts w:ascii="宋体" w:hAnsi="宋体" w:cs="宋体"/>
                <w:sz w:val="24"/>
                <w:lang w:bidi="ar"/>
              </w:rPr>
            </w:pPr>
            <w:r>
              <w:rPr>
                <w:rFonts w:hint="eastAsia" w:ascii="宋体" w:hAnsi="宋体" w:cs="宋体"/>
                <w:bCs/>
                <w:kern w:val="0"/>
                <w:szCs w:val="21"/>
              </w:rPr>
              <w:t>480</w:t>
            </w:r>
          </w:p>
        </w:tc>
        <w:tc>
          <w:tcPr>
            <w:tcW w:w="567" w:type="pct"/>
            <w:vMerge w:val="continue"/>
            <w:vAlign w:val="center"/>
          </w:tcPr>
          <w:p w14:paraId="1E95188E">
            <w:pPr>
              <w:jc w:val="center"/>
              <w:rPr>
                <w:rFonts w:ascii="宋体" w:hAnsi="宋体" w:cs="宋体"/>
                <w:kern w:val="0"/>
                <w:highlight w:val="white"/>
              </w:rPr>
            </w:pPr>
          </w:p>
        </w:tc>
        <w:tc>
          <w:tcPr>
            <w:tcW w:w="569" w:type="pct"/>
            <w:vMerge w:val="continue"/>
            <w:vAlign w:val="center"/>
          </w:tcPr>
          <w:p w14:paraId="0CDFEC8D">
            <w:pPr>
              <w:jc w:val="center"/>
              <w:rPr>
                <w:rFonts w:ascii="宋体" w:hAnsi="宋体" w:cs="宋体"/>
                <w:b/>
                <w:color w:val="FF0000"/>
                <w:szCs w:val="21"/>
              </w:rPr>
            </w:pPr>
          </w:p>
        </w:tc>
        <w:tc>
          <w:tcPr>
            <w:tcW w:w="569" w:type="pct"/>
            <w:vMerge w:val="continue"/>
            <w:vAlign w:val="center"/>
          </w:tcPr>
          <w:p w14:paraId="677A3B35">
            <w:pPr>
              <w:jc w:val="center"/>
              <w:rPr>
                <w:rFonts w:ascii="宋体" w:hAnsi="宋体" w:cs="宋体"/>
                <w:b/>
                <w:color w:val="FF0000"/>
                <w:szCs w:val="21"/>
              </w:rPr>
            </w:pPr>
          </w:p>
        </w:tc>
      </w:tr>
      <w:tr w14:paraId="35B3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348C95AF">
            <w:pPr>
              <w:widowControl/>
              <w:jc w:val="center"/>
              <w:rPr>
                <w:rFonts w:ascii="宋体" w:hAnsi="宋体" w:cs="宋体"/>
                <w:kern w:val="0"/>
                <w:szCs w:val="21"/>
              </w:rPr>
            </w:pPr>
            <w:r>
              <w:rPr>
                <w:rFonts w:hint="eastAsia" w:ascii="宋体" w:hAnsi="宋体" w:cs="宋体"/>
                <w:color w:val="000000"/>
                <w:kern w:val="0"/>
                <w:sz w:val="24"/>
                <w:lang w:bidi="ar"/>
              </w:rPr>
              <w:t>8</w:t>
            </w:r>
          </w:p>
        </w:tc>
        <w:tc>
          <w:tcPr>
            <w:tcW w:w="938" w:type="pct"/>
            <w:shd w:val="clear" w:color="auto" w:fill="auto"/>
            <w:vAlign w:val="center"/>
          </w:tcPr>
          <w:p w14:paraId="094A7621">
            <w:pPr>
              <w:widowControl/>
              <w:jc w:val="center"/>
              <w:rPr>
                <w:rFonts w:ascii="宋体" w:hAnsi="宋体" w:cs="宋体"/>
                <w:kern w:val="0"/>
                <w:highlight w:val="white"/>
              </w:rPr>
            </w:pPr>
            <w:r>
              <w:rPr>
                <w:rFonts w:hint="eastAsia" w:ascii="宋体" w:hAnsi="宋体" w:cs="宋体"/>
                <w:color w:val="000000"/>
                <w:kern w:val="0"/>
                <w:sz w:val="24"/>
                <w:lang w:bidi="ar"/>
              </w:rPr>
              <w:t>锝[99mTc]依替菲宁注射液</w:t>
            </w:r>
          </w:p>
        </w:tc>
        <w:tc>
          <w:tcPr>
            <w:tcW w:w="971" w:type="pct"/>
            <w:shd w:val="clear" w:color="auto" w:fill="auto"/>
            <w:vAlign w:val="center"/>
          </w:tcPr>
          <w:p w14:paraId="686B79C3">
            <w:pPr>
              <w:widowControl/>
              <w:jc w:val="center"/>
              <w:rPr>
                <w:rFonts w:ascii="宋体" w:hAnsi="宋体" w:cs="宋体"/>
                <w:kern w:val="0"/>
                <w:highlight w:val="white"/>
              </w:rPr>
            </w:pPr>
            <w:r>
              <w:rPr>
                <w:rFonts w:hint="eastAsia" w:ascii="宋体" w:hAnsi="宋体" w:cs="宋体"/>
                <w:color w:val="000000"/>
                <w:kern w:val="0"/>
                <w:sz w:val="24"/>
                <w:lang w:bidi="ar"/>
              </w:rPr>
              <w:t>5-10 mCi</w:t>
            </w:r>
            <w:r>
              <w:rPr>
                <w:rFonts w:hint="eastAsia" w:hAnsi="宋体" w:cs="宋体"/>
                <w:color w:val="000000"/>
                <w:sz w:val="24"/>
                <w:lang w:bidi="ar"/>
              </w:rPr>
              <w:t>/支</w:t>
            </w:r>
          </w:p>
        </w:tc>
        <w:tc>
          <w:tcPr>
            <w:tcW w:w="549" w:type="pct"/>
            <w:shd w:val="clear" w:color="auto" w:fill="auto"/>
            <w:vAlign w:val="center"/>
          </w:tcPr>
          <w:p w14:paraId="029D2D87">
            <w:pPr>
              <w:widowControl/>
              <w:jc w:val="center"/>
              <w:textAlignment w:val="center"/>
              <w:rPr>
                <w:rFonts w:ascii="宋体" w:hAnsi="宋体" w:cs="宋体"/>
                <w:kern w:val="0"/>
                <w:highlight w:val="white"/>
              </w:rPr>
            </w:pPr>
            <w:r>
              <w:rPr>
                <w:rFonts w:hint="eastAsia" w:ascii="宋体" w:hAnsi="宋体" w:cs="宋体"/>
                <w:sz w:val="24"/>
                <w:lang w:bidi="ar"/>
              </w:rPr>
              <w:t>2支</w:t>
            </w:r>
          </w:p>
        </w:tc>
        <w:tc>
          <w:tcPr>
            <w:tcW w:w="567" w:type="pct"/>
            <w:vAlign w:val="center"/>
          </w:tcPr>
          <w:p w14:paraId="217206BE">
            <w:pPr>
              <w:widowControl/>
              <w:jc w:val="center"/>
              <w:textAlignment w:val="center"/>
              <w:rPr>
                <w:rFonts w:ascii="宋体" w:hAnsi="宋体" w:cs="宋体"/>
                <w:sz w:val="24"/>
                <w:lang w:bidi="ar"/>
              </w:rPr>
            </w:pPr>
            <w:r>
              <w:rPr>
                <w:rFonts w:hint="eastAsia" w:ascii="宋体" w:hAnsi="宋体" w:cs="宋体"/>
                <w:sz w:val="24"/>
                <w:lang w:bidi="ar"/>
              </w:rPr>
              <w:t>480</w:t>
            </w:r>
          </w:p>
        </w:tc>
        <w:tc>
          <w:tcPr>
            <w:tcW w:w="567" w:type="pct"/>
            <w:vMerge w:val="continue"/>
            <w:vAlign w:val="center"/>
          </w:tcPr>
          <w:p w14:paraId="666E89D1">
            <w:pPr>
              <w:jc w:val="center"/>
              <w:rPr>
                <w:rFonts w:ascii="宋体" w:hAnsi="宋体" w:cs="宋体"/>
                <w:kern w:val="0"/>
                <w:highlight w:val="white"/>
              </w:rPr>
            </w:pPr>
          </w:p>
        </w:tc>
        <w:tc>
          <w:tcPr>
            <w:tcW w:w="569" w:type="pct"/>
            <w:vMerge w:val="continue"/>
            <w:vAlign w:val="center"/>
          </w:tcPr>
          <w:p w14:paraId="1BBA7AB1">
            <w:pPr>
              <w:jc w:val="center"/>
              <w:rPr>
                <w:rFonts w:ascii="宋体" w:hAnsi="宋体" w:cs="宋体"/>
                <w:b/>
                <w:color w:val="FF0000"/>
                <w:szCs w:val="21"/>
              </w:rPr>
            </w:pPr>
          </w:p>
        </w:tc>
        <w:tc>
          <w:tcPr>
            <w:tcW w:w="569" w:type="pct"/>
            <w:vMerge w:val="continue"/>
            <w:vAlign w:val="center"/>
          </w:tcPr>
          <w:p w14:paraId="4557B97C">
            <w:pPr>
              <w:jc w:val="center"/>
              <w:rPr>
                <w:rFonts w:ascii="宋体" w:hAnsi="宋体" w:cs="宋体"/>
                <w:b/>
                <w:color w:val="FF0000"/>
                <w:szCs w:val="21"/>
              </w:rPr>
            </w:pPr>
          </w:p>
        </w:tc>
      </w:tr>
      <w:tr w14:paraId="2EA8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3996122F">
            <w:pPr>
              <w:widowControl/>
              <w:jc w:val="center"/>
              <w:rPr>
                <w:rFonts w:ascii="宋体" w:hAnsi="宋体" w:cs="宋体"/>
                <w:kern w:val="0"/>
                <w:szCs w:val="21"/>
              </w:rPr>
            </w:pPr>
            <w:r>
              <w:rPr>
                <w:rFonts w:hint="eastAsia" w:ascii="宋体" w:hAnsi="宋体" w:cs="宋体"/>
                <w:color w:val="000000"/>
                <w:kern w:val="0"/>
                <w:sz w:val="24"/>
                <w:lang w:bidi="ar"/>
              </w:rPr>
              <w:t>9</w:t>
            </w:r>
          </w:p>
        </w:tc>
        <w:tc>
          <w:tcPr>
            <w:tcW w:w="938" w:type="pct"/>
            <w:shd w:val="clear" w:color="auto" w:fill="auto"/>
            <w:vAlign w:val="center"/>
          </w:tcPr>
          <w:p w14:paraId="28AD5235">
            <w:pPr>
              <w:widowControl/>
              <w:jc w:val="center"/>
              <w:rPr>
                <w:rFonts w:ascii="宋体" w:hAnsi="宋体" w:cs="宋体"/>
                <w:kern w:val="0"/>
                <w:highlight w:val="white"/>
              </w:rPr>
            </w:pPr>
            <w:r>
              <w:rPr>
                <w:rFonts w:hint="eastAsia" w:ascii="宋体" w:hAnsi="宋体" w:cs="宋体"/>
                <w:color w:val="000000"/>
                <w:kern w:val="0"/>
                <w:sz w:val="24"/>
                <w:lang w:bidi="ar"/>
              </w:rPr>
              <w:t>锝[99mTc]聚合白蛋白注射液</w:t>
            </w:r>
          </w:p>
        </w:tc>
        <w:tc>
          <w:tcPr>
            <w:tcW w:w="971" w:type="pct"/>
            <w:shd w:val="clear" w:color="auto" w:fill="auto"/>
            <w:vAlign w:val="center"/>
          </w:tcPr>
          <w:p w14:paraId="7C76EAE6">
            <w:pPr>
              <w:widowControl/>
              <w:jc w:val="center"/>
              <w:rPr>
                <w:rFonts w:ascii="宋体" w:hAnsi="宋体" w:cs="宋体"/>
                <w:kern w:val="0"/>
                <w:highlight w:val="white"/>
              </w:rPr>
            </w:pPr>
            <w:r>
              <w:rPr>
                <w:rFonts w:hint="eastAsia" w:ascii="宋体" w:hAnsi="宋体" w:cs="宋体"/>
                <w:color w:val="000000"/>
                <w:kern w:val="0"/>
                <w:sz w:val="24"/>
                <w:lang w:bidi="ar"/>
              </w:rPr>
              <w:t>5-10 mCi</w:t>
            </w:r>
            <w:r>
              <w:rPr>
                <w:rFonts w:hint="eastAsia" w:hAnsi="宋体" w:cs="宋体"/>
                <w:color w:val="000000"/>
                <w:sz w:val="24"/>
                <w:lang w:bidi="ar"/>
              </w:rPr>
              <w:t>/支</w:t>
            </w:r>
          </w:p>
        </w:tc>
        <w:tc>
          <w:tcPr>
            <w:tcW w:w="549" w:type="pct"/>
            <w:shd w:val="clear" w:color="auto" w:fill="auto"/>
            <w:vAlign w:val="center"/>
          </w:tcPr>
          <w:p w14:paraId="6C9BB4B0">
            <w:pPr>
              <w:widowControl/>
              <w:jc w:val="center"/>
              <w:textAlignment w:val="center"/>
              <w:rPr>
                <w:rFonts w:ascii="宋体" w:hAnsi="宋体" w:cs="宋体"/>
                <w:kern w:val="0"/>
                <w:highlight w:val="white"/>
              </w:rPr>
            </w:pPr>
            <w:r>
              <w:rPr>
                <w:rFonts w:hint="eastAsia" w:ascii="宋体" w:hAnsi="宋体" w:cs="宋体"/>
                <w:color w:val="000000"/>
                <w:kern w:val="0"/>
                <w:sz w:val="24"/>
                <w:lang w:bidi="ar"/>
              </w:rPr>
              <w:t>20支</w:t>
            </w:r>
          </w:p>
        </w:tc>
        <w:tc>
          <w:tcPr>
            <w:tcW w:w="567" w:type="pct"/>
            <w:vAlign w:val="center"/>
          </w:tcPr>
          <w:p w14:paraId="4980D67B">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500</w:t>
            </w:r>
          </w:p>
        </w:tc>
        <w:tc>
          <w:tcPr>
            <w:tcW w:w="567" w:type="pct"/>
            <w:vMerge w:val="continue"/>
            <w:vAlign w:val="center"/>
          </w:tcPr>
          <w:p w14:paraId="1C373C97">
            <w:pPr>
              <w:jc w:val="center"/>
              <w:rPr>
                <w:rFonts w:ascii="宋体" w:hAnsi="宋体" w:cs="宋体"/>
                <w:kern w:val="0"/>
                <w:highlight w:val="white"/>
              </w:rPr>
            </w:pPr>
          </w:p>
        </w:tc>
        <w:tc>
          <w:tcPr>
            <w:tcW w:w="569" w:type="pct"/>
            <w:vMerge w:val="continue"/>
            <w:vAlign w:val="center"/>
          </w:tcPr>
          <w:p w14:paraId="33AA1ED3">
            <w:pPr>
              <w:jc w:val="center"/>
              <w:rPr>
                <w:rFonts w:ascii="宋体" w:hAnsi="宋体" w:cs="宋体"/>
                <w:b/>
                <w:color w:val="FF0000"/>
                <w:szCs w:val="21"/>
              </w:rPr>
            </w:pPr>
          </w:p>
        </w:tc>
        <w:tc>
          <w:tcPr>
            <w:tcW w:w="569" w:type="pct"/>
            <w:vMerge w:val="continue"/>
            <w:vAlign w:val="center"/>
          </w:tcPr>
          <w:p w14:paraId="578964CF">
            <w:pPr>
              <w:jc w:val="center"/>
              <w:rPr>
                <w:rFonts w:ascii="宋体" w:hAnsi="宋体" w:cs="宋体"/>
                <w:b/>
                <w:color w:val="FF0000"/>
                <w:szCs w:val="21"/>
              </w:rPr>
            </w:pPr>
          </w:p>
        </w:tc>
      </w:tr>
      <w:tr w14:paraId="52AC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20FBE927">
            <w:pPr>
              <w:widowControl/>
              <w:jc w:val="center"/>
              <w:rPr>
                <w:rFonts w:ascii="宋体" w:hAnsi="宋体" w:cs="宋体"/>
                <w:kern w:val="0"/>
                <w:szCs w:val="21"/>
              </w:rPr>
            </w:pPr>
            <w:r>
              <w:rPr>
                <w:rFonts w:hint="eastAsia" w:ascii="宋体" w:hAnsi="宋体" w:cs="宋体"/>
                <w:color w:val="000000"/>
                <w:kern w:val="0"/>
                <w:sz w:val="24"/>
                <w:lang w:bidi="ar"/>
              </w:rPr>
              <w:t>10</w:t>
            </w:r>
          </w:p>
        </w:tc>
        <w:tc>
          <w:tcPr>
            <w:tcW w:w="938" w:type="pct"/>
            <w:shd w:val="clear" w:color="auto" w:fill="auto"/>
            <w:vAlign w:val="center"/>
          </w:tcPr>
          <w:p w14:paraId="6D023F69">
            <w:pPr>
              <w:widowControl/>
              <w:jc w:val="center"/>
              <w:rPr>
                <w:rFonts w:ascii="宋体" w:hAnsi="宋体" w:cs="宋体"/>
                <w:kern w:val="0"/>
                <w:highlight w:val="white"/>
              </w:rPr>
            </w:pPr>
            <w:r>
              <w:rPr>
                <w:rFonts w:hint="eastAsia" w:ascii="宋体" w:hAnsi="宋体" w:cs="宋体"/>
                <w:color w:val="000000"/>
                <w:kern w:val="0"/>
                <w:sz w:val="24"/>
                <w:lang w:bidi="ar"/>
              </w:rPr>
              <w:t>锝[99mTc]植酸盐注射液</w:t>
            </w:r>
          </w:p>
        </w:tc>
        <w:tc>
          <w:tcPr>
            <w:tcW w:w="971" w:type="pct"/>
            <w:shd w:val="clear" w:color="auto" w:fill="auto"/>
            <w:vAlign w:val="center"/>
          </w:tcPr>
          <w:p w14:paraId="55F0080C">
            <w:pPr>
              <w:widowControl/>
              <w:jc w:val="center"/>
              <w:rPr>
                <w:rFonts w:ascii="宋体" w:hAnsi="宋体" w:cs="宋体"/>
                <w:kern w:val="0"/>
                <w:highlight w:val="white"/>
              </w:rPr>
            </w:pPr>
            <w:r>
              <w:rPr>
                <w:rFonts w:hint="eastAsia" w:ascii="宋体" w:hAnsi="宋体" w:cs="宋体"/>
                <w:color w:val="000000"/>
                <w:kern w:val="0"/>
                <w:sz w:val="24"/>
                <w:lang w:bidi="ar"/>
              </w:rPr>
              <w:t>5-10 mCi</w:t>
            </w:r>
            <w:r>
              <w:rPr>
                <w:rFonts w:hint="eastAsia" w:hAnsi="宋体" w:cs="宋体"/>
                <w:color w:val="000000"/>
                <w:sz w:val="24"/>
                <w:lang w:bidi="ar"/>
              </w:rPr>
              <w:t>/支</w:t>
            </w:r>
          </w:p>
        </w:tc>
        <w:tc>
          <w:tcPr>
            <w:tcW w:w="549" w:type="pct"/>
            <w:shd w:val="clear" w:color="auto" w:fill="auto"/>
            <w:vAlign w:val="center"/>
          </w:tcPr>
          <w:p w14:paraId="15CF0B01">
            <w:pPr>
              <w:widowControl/>
              <w:jc w:val="center"/>
              <w:textAlignment w:val="center"/>
              <w:rPr>
                <w:rFonts w:ascii="宋体" w:hAnsi="宋体" w:cs="宋体"/>
                <w:kern w:val="0"/>
                <w:highlight w:val="white"/>
              </w:rPr>
            </w:pPr>
            <w:r>
              <w:rPr>
                <w:rFonts w:hint="eastAsia" w:ascii="宋体" w:hAnsi="宋体" w:cs="宋体"/>
                <w:color w:val="000000"/>
                <w:kern w:val="0"/>
                <w:sz w:val="24"/>
                <w:lang w:bidi="ar"/>
              </w:rPr>
              <w:t>40支</w:t>
            </w:r>
          </w:p>
        </w:tc>
        <w:tc>
          <w:tcPr>
            <w:tcW w:w="567" w:type="pct"/>
            <w:vAlign w:val="center"/>
          </w:tcPr>
          <w:p w14:paraId="63BC8CD0">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400</w:t>
            </w:r>
          </w:p>
        </w:tc>
        <w:tc>
          <w:tcPr>
            <w:tcW w:w="567" w:type="pct"/>
            <w:vMerge w:val="continue"/>
            <w:vAlign w:val="center"/>
          </w:tcPr>
          <w:p w14:paraId="0F089DA8">
            <w:pPr>
              <w:jc w:val="center"/>
              <w:rPr>
                <w:rFonts w:ascii="宋体" w:hAnsi="宋体" w:cs="宋体"/>
                <w:kern w:val="0"/>
                <w:highlight w:val="white"/>
              </w:rPr>
            </w:pPr>
          </w:p>
        </w:tc>
        <w:tc>
          <w:tcPr>
            <w:tcW w:w="569" w:type="pct"/>
            <w:vMerge w:val="continue"/>
            <w:vAlign w:val="center"/>
          </w:tcPr>
          <w:p w14:paraId="4EF01771">
            <w:pPr>
              <w:jc w:val="center"/>
              <w:rPr>
                <w:rFonts w:ascii="宋体" w:hAnsi="宋体" w:cs="宋体"/>
                <w:b/>
                <w:color w:val="FF0000"/>
                <w:szCs w:val="21"/>
              </w:rPr>
            </w:pPr>
          </w:p>
        </w:tc>
        <w:tc>
          <w:tcPr>
            <w:tcW w:w="569" w:type="pct"/>
            <w:vMerge w:val="continue"/>
            <w:vAlign w:val="center"/>
          </w:tcPr>
          <w:p w14:paraId="67ABC98F">
            <w:pPr>
              <w:jc w:val="center"/>
              <w:rPr>
                <w:rFonts w:ascii="宋体" w:hAnsi="宋体" w:cs="宋体"/>
                <w:b/>
                <w:color w:val="FF0000"/>
                <w:szCs w:val="21"/>
              </w:rPr>
            </w:pPr>
          </w:p>
        </w:tc>
      </w:tr>
      <w:tr w14:paraId="10C0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4FEC2DE6">
            <w:pPr>
              <w:widowControl/>
              <w:jc w:val="center"/>
              <w:rPr>
                <w:rFonts w:ascii="宋体" w:hAnsi="宋体" w:cs="宋体"/>
                <w:kern w:val="0"/>
                <w:szCs w:val="21"/>
              </w:rPr>
            </w:pPr>
            <w:r>
              <w:rPr>
                <w:rFonts w:hint="eastAsia" w:ascii="宋体" w:hAnsi="宋体" w:cs="宋体"/>
                <w:color w:val="000000"/>
                <w:kern w:val="0"/>
                <w:sz w:val="24"/>
                <w:lang w:bidi="ar"/>
              </w:rPr>
              <w:t>11</w:t>
            </w:r>
          </w:p>
        </w:tc>
        <w:tc>
          <w:tcPr>
            <w:tcW w:w="938" w:type="pct"/>
            <w:shd w:val="clear" w:color="auto" w:fill="auto"/>
            <w:vAlign w:val="center"/>
          </w:tcPr>
          <w:p w14:paraId="1BEF1CD1">
            <w:pPr>
              <w:widowControl/>
              <w:jc w:val="center"/>
              <w:rPr>
                <w:rFonts w:ascii="宋体" w:hAnsi="宋体" w:cs="宋体"/>
                <w:kern w:val="0"/>
                <w:highlight w:val="white"/>
              </w:rPr>
            </w:pPr>
            <w:r>
              <w:rPr>
                <w:rFonts w:hint="eastAsia" w:ascii="宋体" w:hAnsi="宋体" w:cs="宋体"/>
                <w:color w:val="000000"/>
                <w:kern w:val="0"/>
                <w:sz w:val="24"/>
                <w:lang w:bidi="ar"/>
              </w:rPr>
              <w:t>氯化锶[89Sr]注射液</w:t>
            </w:r>
          </w:p>
        </w:tc>
        <w:tc>
          <w:tcPr>
            <w:tcW w:w="971" w:type="pct"/>
            <w:shd w:val="clear" w:color="auto" w:fill="auto"/>
            <w:vAlign w:val="center"/>
          </w:tcPr>
          <w:p w14:paraId="2C12383A">
            <w:pPr>
              <w:widowControl/>
              <w:jc w:val="center"/>
              <w:rPr>
                <w:rFonts w:ascii="宋体" w:hAnsi="宋体" w:cs="宋体"/>
                <w:kern w:val="0"/>
                <w:highlight w:val="white"/>
              </w:rPr>
            </w:pPr>
            <w:r>
              <w:rPr>
                <w:rFonts w:hint="eastAsia" w:ascii="宋体" w:hAnsi="宋体" w:cs="宋体"/>
                <w:color w:val="000000"/>
                <w:kern w:val="0"/>
                <w:sz w:val="24"/>
                <w:lang w:bidi="ar"/>
              </w:rPr>
              <w:t>4mCi/4mL</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支</w:t>
            </w:r>
            <w:r>
              <w:rPr>
                <w:rFonts w:hint="eastAsia" w:ascii="宋体" w:hAnsi="宋体" w:cs="宋体"/>
                <w:color w:val="000000"/>
                <w:kern w:val="0"/>
                <w:sz w:val="24"/>
                <w:lang w:eastAsia="zh-CN" w:bidi="ar"/>
              </w:rPr>
              <w:t>）</w:t>
            </w:r>
          </w:p>
        </w:tc>
        <w:tc>
          <w:tcPr>
            <w:tcW w:w="549" w:type="pct"/>
            <w:shd w:val="clear" w:color="auto" w:fill="auto"/>
            <w:vAlign w:val="center"/>
          </w:tcPr>
          <w:p w14:paraId="61A8F6CB">
            <w:pPr>
              <w:widowControl/>
              <w:jc w:val="center"/>
              <w:textAlignment w:val="center"/>
              <w:rPr>
                <w:rFonts w:ascii="宋体" w:hAnsi="宋体" w:cs="宋体"/>
                <w:kern w:val="0"/>
                <w:highlight w:val="white"/>
              </w:rPr>
            </w:pPr>
            <w:r>
              <w:rPr>
                <w:rFonts w:hint="eastAsia" w:ascii="宋体" w:hAnsi="宋体" w:cs="宋体"/>
                <w:color w:val="000000"/>
                <w:sz w:val="24"/>
                <w:lang w:val="en-US" w:eastAsia="zh-CN" w:bidi="ar"/>
              </w:rPr>
              <w:t>5</w:t>
            </w:r>
            <w:r>
              <w:rPr>
                <w:rFonts w:hint="eastAsia" w:ascii="宋体" w:hAnsi="宋体" w:cs="宋体"/>
                <w:color w:val="000000"/>
                <w:sz w:val="24"/>
                <w:lang w:bidi="ar"/>
              </w:rPr>
              <w:t>支</w:t>
            </w:r>
          </w:p>
        </w:tc>
        <w:tc>
          <w:tcPr>
            <w:tcW w:w="567" w:type="pct"/>
            <w:vAlign w:val="center"/>
          </w:tcPr>
          <w:p w14:paraId="0B224EA5">
            <w:pPr>
              <w:widowControl/>
              <w:jc w:val="center"/>
              <w:textAlignment w:val="center"/>
              <w:rPr>
                <w:rFonts w:ascii="宋体" w:hAnsi="宋体" w:cs="宋体"/>
                <w:color w:val="000000"/>
                <w:sz w:val="24"/>
                <w:lang w:bidi="ar"/>
              </w:rPr>
            </w:pPr>
            <w:r>
              <w:rPr>
                <w:rFonts w:hint="eastAsia" w:ascii="宋体" w:hAnsi="宋体" w:cs="宋体"/>
                <w:color w:val="000000"/>
                <w:sz w:val="24"/>
                <w:lang w:bidi="ar"/>
              </w:rPr>
              <w:t>12800</w:t>
            </w:r>
          </w:p>
        </w:tc>
        <w:tc>
          <w:tcPr>
            <w:tcW w:w="567" w:type="pct"/>
            <w:vMerge w:val="continue"/>
            <w:vAlign w:val="center"/>
          </w:tcPr>
          <w:p w14:paraId="77ABE3F0">
            <w:pPr>
              <w:jc w:val="center"/>
              <w:rPr>
                <w:rFonts w:ascii="宋体" w:hAnsi="宋体" w:cs="宋体"/>
                <w:kern w:val="0"/>
                <w:highlight w:val="white"/>
              </w:rPr>
            </w:pPr>
          </w:p>
        </w:tc>
        <w:tc>
          <w:tcPr>
            <w:tcW w:w="569" w:type="pct"/>
            <w:vMerge w:val="continue"/>
            <w:vAlign w:val="center"/>
          </w:tcPr>
          <w:p w14:paraId="6A354647">
            <w:pPr>
              <w:jc w:val="center"/>
              <w:rPr>
                <w:rFonts w:ascii="宋体" w:hAnsi="宋体" w:cs="宋体"/>
                <w:b/>
                <w:color w:val="FF0000"/>
                <w:szCs w:val="21"/>
              </w:rPr>
            </w:pPr>
          </w:p>
        </w:tc>
        <w:tc>
          <w:tcPr>
            <w:tcW w:w="569" w:type="pct"/>
            <w:vMerge w:val="continue"/>
            <w:vAlign w:val="center"/>
          </w:tcPr>
          <w:p w14:paraId="51A190F6">
            <w:pPr>
              <w:jc w:val="center"/>
              <w:rPr>
                <w:rFonts w:ascii="宋体" w:hAnsi="宋体" w:cs="宋体"/>
                <w:b/>
                <w:color w:val="FF0000"/>
                <w:szCs w:val="21"/>
              </w:rPr>
            </w:pPr>
          </w:p>
        </w:tc>
      </w:tr>
      <w:tr w14:paraId="6D7C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1BF894E4">
            <w:pPr>
              <w:widowControl/>
              <w:jc w:val="center"/>
              <w:rPr>
                <w:rFonts w:ascii="宋体" w:hAnsi="宋体" w:cs="宋体"/>
                <w:kern w:val="0"/>
                <w:szCs w:val="21"/>
              </w:rPr>
            </w:pPr>
            <w:r>
              <w:rPr>
                <w:rFonts w:hint="eastAsia" w:ascii="宋体" w:hAnsi="宋体" w:cs="宋体"/>
                <w:color w:val="000000"/>
                <w:kern w:val="0"/>
                <w:sz w:val="24"/>
                <w:lang w:bidi="ar"/>
              </w:rPr>
              <w:t>12</w:t>
            </w:r>
          </w:p>
        </w:tc>
        <w:tc>
          <w:tcPr>
            <w:tcW w:w="938" w:type="pct"/>
            <w:shd w:val="clear" w:color="auto" w:fill="auto"/>
            <w:vAlign w:val="center"/>
          </w:tcPr>
          <w:p w14:paraId="006231E6">
            <w:pPr>
              <w:widowControl/>
              <w:jc w:val="center"/>
              <w:rPr>
                <w:rFonts w:ascii="宋体" w:hAnsi="宋体" w:cs="宋体"/>
                <w:kern w:val="0"/>
                <w:highlight w:val="white"/>
              </w:rPr>
            </w:pPr>
            <w:r>
              <w:rPr>
                <w:rFonts w:hint="eastAsia" w:ascii="宋体" w:hAnsi="宋体" w:cs="宋体"/>
                <w:color w:val="000000"/>
                <w:kern w:val="0"/>
                <w:sz w:val="24"/>
                <w:lang w:bidi="ar"/>
              </w:rPr>
              <w:t>碘[131I]化钠口服溶液</w:t>
            </w:r>
          </w:p>
        </w:tc>
        <w:tc>
          <w:tcPr>
            <w:tcW w:w="971" w:type="pct"/>
            <w:shd w:val="clear" w:color="auto" w:fill="auto"/>
            <w:vAlign w:val="center"/>
          </w:tcPr>
          <w:p w14:paraId="554AFF71">
            <w:pPr>
              <w:widowControl/>
              <w:jc w:val="center"/>
              <w:rPr>
                <w:rFonts w:ascii="宋体" w:hAnsi="宋体" w:cs="宋体"/>
                <w:kern w:val="0"/>
                <w:highlight w:val="white"/>
              </w:rPr>
            </w:pPr>
            <w:r>
              <w:rPr>
                <w:rFonts w:hint="eastAsia" w:ascii="宋体" w:hAnsi="宋体" w:cs="宋体"/>
                <w:color w:val="000000"/>
                <w:kern w:val="0"/>
                <w:sz w:val="24"/>
                <w:lang w:bidi="ar"/>
              </w:rPr>
              <w:t>1mCi</w:t>
            </w:r>
            <w:r>
              <w:rPr>
                <w:rFonts w:hint="eastAsia" w:hAnsi="宋体" w:cs="宋体"/>
                <w:color w:val="000000"/>
                <w:sz w:val="24"/>
                <w:lang w:bidi="ar"/>
              </w:rPr>
              <w:t>/支</w:t>
            </w:r>
          </w:p>
        </w:tc>
        <w:tc>
          <w:tcPr>
            <w:tcW w:w="549" w:type="pct"/>
            <w:shd w:val="clear" w:color="auto" w:fill="auto"/>
            <w:vAlign w:val="center"/>
          </w:tcPr>
          <w:p w14:paraId="5314095F">
            <w:pPr>
              <w:widowControl/>
              <w:jc w:val="center"/>
              <w:textAlignment w:val="center"/>
              <w:rPr>
                <w:rFonts w:ascii="宋体" w:hAnsi="宋体" w:cs="宋体"/>
                <w:kern w:val="0"/>
                <w:highlight w:val="white"/>
              </w:rPr>
            </w:pPr>
            <w:r>
              <w:rPr>
                <w:rFonts w:hint="eastAsia" w:ascii="宋体" w:hAnsi="宋体" w:cs="宋体"/>
                <w:color w:val="000000"/>
                <w:sz w:val="24"/>
                <w:lang w:val="en-US" w:eastAsia="zh-CN" w:bidi="ar"/>
              </w:rPr>
              <w:t>4017</w:t>
            </w:r>
            <w:r>
              <w:rPr>
                <w:rFonts w:hint="eastAsia" w:ascii="宋体" w:hAnsi="宋体" w:cs="宋体"/>
                <w:sz w:val="24"/>
                <w:lang w:bidi="ar"/>
              </w:rPr>
              <w:t>支</w:t>
            </w:r>
          </w:p>
        </w:tc>
        <w:tc>
          <w:tcPr>
            <w:tcW w:w="567" w:type="pct"/>
            <w:vAlign w:val="center"/>
          </w:tcPr>
          <w:p w14:paraId="3BC55AA6">
            <w:pPr>
              <w:widowControl/>
              <w:jc w:val="center"/>
              <w:textAlignment w:val="center"/>
              <w:rPr>
                <w:rFonts w:ascii="宋体" w:hAnsi="宋体" w:cs="宋体"/>
                <w:color w:val="000000"/>
                <w:sz w:val="24"/>
                <w:lang w:bidi="ar"/>
              </w:rPr>
            </w:pPr>
            <w:r>
              <w:rPr>
                <w:rFonts w:hint="eastAsia" w:ascii="宋体" w:hAnsi="宋体" w:cs="宋体"/>
                <w:color w:val="000000"/>
                <w:sz w:val="24"/>
                <w:lang w:bidi="ar"/>
              </w:rPr>
              <w:t>60</w:t>
            </w:r>
          </w:p>
        </w:tc>
        <w:tc>
          <w:tcPr>
            <w:tcW w:w="567" w:type="pct"/>
            <w:vMerge w:val="continue"/>
            <w:vAlign w:val="center"/>
          </w:tcPr>
          <w:p w14:paraId="1C6B4C37">
            <w:pPr>
              <w:jc w:val="center"/>
              <w:rPr>
                <w:rFonts w:ascii="宋体" w:hAnsi="宋体" w:cs="宋体"/>
                <w:kern w:val="0"/>
                <w:highlight w:val="white"/>
              </w:rPr>
            </w:pPr>
          </w:p>
        </w:tc>
        <w:tc>
          <w:tcPr>
            <w:tcW w:w="569" w:type="pct"/>
            <w:vMerge w:val="continue"/>
            <w:vAlign w:val="center"/>
          </w:tcPr>
          <w:p w14:paraId="3296CD07">
            <w:pPr>
              <w:jc w:val="center"/>
              <w:rPr>
                <w:rFonts w:ascii="宋体" w:hAnsi="宋体" w:cs="宋体"/>
                <w:b/>
                <w:color w:val="FF0000"/>
                <w:szCs w:val="21"/>
              </w:rPr>
            </w:pPr>
          </w:p>
        </w:tc>
        <w:tc>
          <w:tcPr>
            <w:tcW w:w="569" w:type="pct"/>
            <w:vMerge w:val="continue"/>
            <w:vAlign w:val="center"/>
          </w:tcPr>
          <w:p w14:paraId="5172303F">
            <w:pPr>
              <w:jc w:val="center"/>
              <w:rPr>
                <w:rFonts w:ascii="宋体" w:hAnsi="宋体" w:cs="宋体"/>
                <w:b/>
                <w:color w:val="FF0000"/>
                <w:szCs w:val="21"/>
              </w:rPr>
            </w:pPr>
          </w:p>
        </w:tc>
      </w:tr>
      <w:tr w14:paraId="2732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63432E68">
            <w:pPr>
              <w:widowControl/>
              <w:jc w:val="center"/>
              <w:rPr>
                <w:rFonts w:ascii="宋体" w:hAnsi="宋体" w:cs="宋体"/>
                <w:kern w:val="0"/>
                <w:szCs w:val="21"/>
              </w:rPr>
            </w:pPr>
            <w:r>
              <w:rPr>
                <w:rFonts w:hint="eastAsia" w:ascii="宋体" w:hAnsi="宋体" w:cs="宋体"/>
                <w:color w:val="000000"/>
                <w:kern w:val="0"/>
                <w:sz w:val="24"/>
                <w:lang w:bidi="ar"/>
              </w:rPr>
              <w:t>13</w:t>
            </w:r>
          </w:p>
        </w:tc>
        <w:tc>
          <w:tcPr>
            <w:tcW w:w="938" w:type="pct"/>
            <w:shd w:val="clear" w:color="auto" w:fill="auto"/>
            <w:vAlign w:val="center"/>
          </w:tcPr>
          <w:p w14:paraId="1B474C4C">
            <w:pPr>
              <w:widowControl/>
              <w:jc w:val="center"/>
              <w:rPr>
                <w:rFonts w:ascii="宋体" w:hAnsi="宋体" w:cs="宋体"/>
                <w:kern w:val="0"/>
                <w:highlight w:val="white"/>
              </w:rPr>
            </w:pPr>
            <w:r>
              <w:rPr>
                <w:rFonts w:hint="eastAsia" w:ascii="宋体" w:hAnsi="宋体" w:cs="宋体"/>
                <w:color w:val="000000"/>
                <w:kern w:val="0"/>
                <w:sz w:val="24"/>
                <w:lang w:bidi="ar"/>
              </w:rPr>
              <w:t>碘[125I]密封籽源</w:t>
            </w:r>
          </w:p>
        </w:tc>
        <w:tc>
          <w:tcPr>
            <w:tcW w:w="971" w:type="pct"/>
            <w:shd w:val="clear" w:color="auto" w:fill="auto"/>
            <w:vAlign w:val="center"/>
          </w:tcPr>
          <w:p w14:paraId="068296D7">
            <w:pPr>
              <w:widowControl/>
              <w:jc w:val="center"/>
              <w:rPr>
                <w:rFonts w:ascii="宋体" w:hAnsi="宋体" w:cs="宋体"/>
                <w:kern w:val="0"/>
                <w:highlight w:val="white"/>
              </w:rPr>
            </w:pPr>
            <w:r>
              <w:rPr>
                <w:rFonts w:hint="eastAsia" w:ascii="宋体" w:hAnsi="宋体" w:cs="宋体"/>
                <w:color w:val="000000"/>
                <w:kern w:val="0"/>
                <w:sz w:val="24"/>
                <w:lang w:bidi="ar"/>
              </w:rPr>
              <w:t>每粒直径0.8mm，活度0.5-1.0mci</w:t>
            </w:r>
            <w:r>
              <w:rPr>
                <w:rFonts w:hint="eastAsia" w:hAnsi="宋体" w:cs="宋体"/>
                <w:color w:val="000000"/>
                <w:sz w:val="24"/>
                <w:lang w:bidi="ar"/>
              </w:rPr>
              <w:t>/粒</w:t>
            </w:r>
          </w:p>
        </w:tc>
        <w:tc>
          <w:tcPr>
            <w:tcW w:w="549" w:type="pct"/>
            <w:shd w:val="clear" w:color="auto" w:fill="auto"/>
            <w:vAlign w:val="center"/>
          </w:tcPr>
          <w:p w14:paraId="5E2BA11D">
            <w:pPr>
              <w:widowControl/>
              <w:jc w:val="center"/>
              <w:rPr>
                <w:rFonts w:ascii="宋体" w:hAnsi="宋体" w:cs="宋体"/>
                <w:kern w:val="0"/>
                <w:highlight w:val="white"/>
              </w:rPr>
            </w:pPr>
            <w:r>
              <w:rPr>
                <w:rFonts w:hint="eastAsia" w:ascii="宋体" w:hAnsi="宋体" w:cs="宋体"/>
                <w:color w:val="000000"/>
                <w:kern w:val="0"/>
                <w:sz w:val="24"/>
                <w:lang w:bidi="ar"/>
              </w:rPr>
              <w:t>200粒</w:t>
            </w:r>
          </w:p>
        </w:tc>
        <w:tc>
          <w:tcPr>
            <w:tcW w:w="567" w:type="pct"/>
            <w:vAlign w:val="center"/>
          </w:tcPr>
          <w:p w14:paraId="4B5C1D21">
            <w:pPr>
              <w:widowControl/>
              <w:jc w:val="center"/>
              <w:rPr>
                <w:rFonts w:ascii="宋体" w:hAnsi="宋体" w:cs="宋体"/>
                <w:color w:val="000000"/>
                <w:kern w:val="0"/>
                <w:sz w:val="24"/>
                <w:lang w:bidi="ar"/>
              </w:rPr>
            </w:pPr>
            <w:r>
              <w:rPr>
                <w:rFonts w:hint="eastAsia" w:ascii="宋体" w:hAnsi="宋体" w:cs="宋体"/>
                <w:color w:val="000000"/>
                <w:kern w:val="0"/>
                <w:sz w:val="24"/>
                <w:lang w:bidi="ar"/>
              </w:rPr>
              <w:t>425</w:t>
            </w:r>
          </w:p>
        </w:tc>
        <w:tc>
          <w:tcPr>
            <w:tcW w:w="567" w:type="pct"/>
            <w:vMerge w:val="continue"/>
            <w:vAlign w:val="center"/>
          </w:tcPr>
          <w:p w14:paraId="674BBF00">
            <w:pPr>
              <w:jc w:val="center"/>
              <w:rPr>
                <w:rFonts w:ascii="宋体" w:hAnsi="宋体" w:cs="宋体"/>
                <w:kern w:val="0"/>
                <w:highlight w:val="white"/>
              </w:rPr>
            </w:pPr>
          </w:p>
        </w:tc>
        <w:tc>
          <w:tcPr>
            <w:tcW w:w="569" w:type="pct"/>
            <w:vMerge w:val="continue"/>
            <w:vAlign w:val="center"/>
          </w:tcPr>
          <w:p w14:paraId="61F9F5AB">
            <w:pPr>
              <w:jc w:val="center"/>
              <w:rPr>
                <w:rFonts w:ascii="宋体" w:hAnsi="宋体" w:cs="宋体"/>
                <w:b/>
                <w:color w:val="FF0000"/>
                <w:szCs w:val="21"/>
              </w:rPr>
            </w:pPr>
          </w:p>
        </w:tc>
        <w:tc>
          <w:tcPr>
            <w:tcW w:w="569" w:type="pct"/>
            <w:vMerge w:val="continue"/>
            <w:vAlign w:val="center"/>
          </w:tcPr>
          <w:p w14:paraId="72423262">
            <w:pPr>
              <w:jc w:val="center"/>
              <w:rPr>
                <w:rFonts w:ascii="宋体" w:hAnsi="宋体" w:cs="宋体"/>
                <w:b/>
                <w:color w:val="FF0000"/>
                <w:szCs w:val="21"/>
              </w:rPr>
            </w:pPr>
          </w:p>
        </w:tc>
      </w:tr>
      <w:tr w14:paraId="5713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 w:type="pct"/>
            <w:vAlign w:val="center"/>
          </w:tcPr>
          <w:p w14:paraId="0FC2AE81">
            <w:pPr>
              <w:widowControl/>
              <w:jc w:val="center"/>
              <w:rPr>
                <w:rFonts w:ascii="宋体" w:hAnsi="宋体" w:cs="宋体"/>
                <w:kern w:val="0"/>
                <w:szCs w:val="21"/>
              </w:rPr>
            </w:pPr>
            <w:r>
              <w:rPr>
                <w:rFonts w:hint="eastAsia" w:ascii="宋体" w:hAnsi="宋体" w:cs="宋体"/>
                <w:color w:val="000000"/>
                <w:kern w:val="0"/>
                <w:sz w:val="24"/>
                <w:lang w:bidi="ar"/>
              </w:rPr>
              <w:t>14</w:t>
            </w:r>
          </w:p>
        </w:tc>
        <w:tc>
          <w:tcPr>
            <w:tcW w:w="938" w:type="pct"/>
            <w:shd w:val="clear" w:color="auto" w:fill="auto"/>
            <w:vAlign w:val="center"/>
          </w:tcPr>
          <w:p w14:paraId="7A6AB447">
            <w:pPr>
              <w:widowControl/>
              <w:jc w:val="center"/>
              <w:rPr>
                <w:rFonts w:ascii="宋体" w:hAnsi="宋体" w:cs="宋体"/>
                <w:kern w:val="0"/>
                <w:highlight w:val="white"/>
              </w:rPr>
            </w:pPr>
            <w:r>
              <w:rPr>
                <w:rFonts w:hint="eastAsia" w:ascii="宋体" w:hAnsi="宋体" w:cs="宋体"/>
                <w:color w:val="000000"/>
                <w:kern w:val="0"/>
                <w:sz w:val="24"/>
                <w:lang w:bidi="ar"/>
              </w:rPr>
              <w:t>碘[125I]密封籽源</w:t>
            </w:r>
          </w:p>
        </w:tc>
        <w:tc>
          <w:tcPr>
            <w:tcW w:w="971" w:type="pct"/>
            <w:shd w:val="clear" w:color="auto" w:fill="auto"/>
            <w:vAlign w:val="center"/>
          </w:tcPr>
          <w:p w14:paraId="48FE2CB4">
            <w:pPr>
              <w:widowControl/>
              <w:jc w:val="center"/>
              <w:rPr>
                <w:rFonts w:hint="eastAsia" w:ascii="宋体" w:hAnsi="宋体" w:cs="宋体"/>
                <w:kern w:val="0"/>
                <w:highlight w:val="white"/>
              </w:rPr>
            </w:pPr>
            <w:r>
              <w:rPr>
                <w:rFonts w:hint="eastAsia" w:ascii="宋体" w:hAnsi="宋体" w:cs="宋体"/>
                <w:color w:val="000000"/>
                <w:kern w:val="0"/>
                <w:sz w:val="24"/>
                <w:lang w:bidi="ar"/>
              </w:rPr>
              <w:t>每粒直径0.6mm，活度0.5-1.0mci</w:t>
            </w:r>
            <w:r>
              <w:rPr>
                <w:rFonts w:ascii="宋体" w:hAnsi="宋体" w:cs="宋体"/>
                <w:color w:val="000000"/>
                <w:kern w:val="0"/>
                <w:sz w:val="24"/>
                <w:lang w:bidi="ar"/>
              </w:rPr>
              <w:t>/</w:t>
            </w:r>
            <w:r>
              <w:rPr>
                <w:rFonts w:hint="eastAsia" w:ascii="宋体" w:hAnsi="宋体" w:cs="宋体"/>
                <w:color w:val="000000"/>
                <w:kern w:val="0"/>
                <w:sz w:val="24"/>
                <w:lang w:bidi="ar"/>
              </w:rPr>
              <w:t>粒</w:t>
            </w:r>
          </w:p>
        </w:tc>
        <w:tc>
          <w:tcPr>
            <w:tcW w:w="549" w:type="pct"/>
            <w:shd w:val="clear" w:color="auto" w:fill="auto"/>
            <w:vAlign w:val="center"/>
          </w:tcPr>
          <w:p w14:paraId="344EDCA2">
            <w:pPr>
              <w:widowControl/>
              <w:jc w:val="center"/>
              <w:rPr>
                <w:rFonts w:ascii="宋体" w:hAnsi="宋体" w:cs="宋体"/>
                <w:kern w:val="0"/>
                <w:highlight w:val="white"/>
              </w:rPr>
            </w:pPr>
            <w:r>
              <w:rPr>
                <w:rFonts w:hint="eastAsia" w:ascii="宋体" w:hAnsi="宋体" w:cs="宋体"/>
                <w:color w:val="000000"/>
                <w:kern w:val="0"/>
                <w:sz w:val="24"/>
                <w:lang w:bidi="ar"/>
              </w:rPr>
              <w:t>200粒</w:t>
            </w:r>
          </w:p>
        </w:tc>
        <w:tc>
          <w:tcPr>
            <w:tcW w:w="567" w:type="pct"/>
            <w:vAlign w:val="center"/>
          </w:tcPr>
          <w:p w14:paraId="09866758">
            <w:pPr>
              <w:widowControl/>
              <w:jc w:val="center"/>
              <w:rPr>
                <w:rFonts w:ascii="宋体" w:hAnsi="宋体" w:cs="宋体"/>
                <w:color w:val="000000"/>
                <w:kern w:val="0"/>
                <w:sz w:val="24"/>
                <w:lang w:bidi="ar"/>
              </w:rPr>
            </w:pPr>
            <w:r>
              <w:rPr>
                <w:rFonts w:hint="eastAsia" w:ascii="宋体" w:hAnsi="宋体" w:cs="宋体"/>
                <w:color w:val="000000"/>
                <w:kern w:val="0"/>
                <w:sz w:val="24"/>
                <w:lang w:bidi="ar"/>
              </w:rPr>
              <w:t>425</w:t>
            </w:r>
          </w:p>
        </w:tc>
        <w:tc>
          <w:tcPr>
            <w:tcW w:w="567" w:type="pct"/>
            <w:vMerge w:val="continue"/>
            <w:vAlign w:val="center"/>
          </w:tcPr>
          <w:p w14:paraId="25DFF38E">
            <w:pPr>
              <w:jc w:val="center"/>
              <w:rPr>
                <w:rFonts w:ascii="宋体" w:hAnsi="宋体" w:cs="宋体"/>
                <w:kern w:val="0"/>
                <w:highlight w:val="white"/>
              </w:rPr>
            </w:pPr>
          </w:p>
        </w:tc>
        <w:tc>
          <w:tcPr>
            <w:tcW w:w="569" w:type="pct"/>
            <w:vMerge w:val="continue"/>
            <w:vAlign w:val="center"/>
          </w:tcPr>
          <w:p w14:paraId="29EEDF5A">
            <w:pPr>
              <w:jc w:val="center"/>
              <w:rPr>
                <w:rFonts w:ascii="宋体" w:hAnsi="宋体" w:cs="宋体"/>
                <w:b/>
                <w:color w:val="FF0000"/>
                <w:szCs w:val="21"/>
              </w:rPr>
            </w:pPr>
          </w:p>
        </w:tc>
        <w:tc>
          <w:tcPr>
            <w:tcW w:w="569" w:type="pct"/>
            <w:vMerge w:val="continue"/>
            <w:vAlign w:val="center"/>
          </w:tcPr>
          <w:p w14:paraId="7F47948E">
            <w:pPr>
              <w:jc w:val="center"/>
              <w:rPr>
                <w:rFonts w:ascii="宋体" w:hAnsi="宋体" w:cs="宋体"/>
                <w:b/>
                <w:color w:val="FF0000"/>
                <w:szCs w:val="21"/>
              </w:rPr>
            </w:pPr>
          </w:p>
        </w:tc>
      </w:tr>
      <w:bookmarkEnd w:id="41"/>
      <w:bookmarkEnd w:id="42"/>
      <w:bookmarkEnd w:id="43"/>
      <w:bookmarkEnd w:id="44"/>
      <w:bookmarkEnd w:id="45"/>
      <w:bookmarkEnd w:id="46"/>
    </w:tbl>
    <w:p w14:paraId="63E53F40">
      <w:pPr>
        <w:rPr>
          <w:rFonts w:ascii="宋体" w:hAnsi="宋体"/>
          <w:b/>
          <w:color w:val="FF0000"/>
          <w:szCs w:val="21"/>
        </w:rPr>
      </w:pPr>
    </w:p>
    <w:p w14:paraId="7919B839">
      <w:pPr>
        <w:pStyle w:val="7"/>
        <w:spacing w:before="60" w:beforeLines="25" w:after="60" w:afterLines="25" w:line="240" w:lineRule="auto"/>
        <w:ind w:firstLine="394" w:firstLineChars="187"/>
        <w:rPr>
          <w:rFonts w:hint="eastAsia" w:ascii="宋体" w:hAnsi="宋体"/>
          <w:b/>
          <w:color w:val="FF0000"/>
          <w:szCs w:val="21"/>
        </w:rPr>
      </w:pPr>
      <w:r>
        <w:rPr>
          <w:rFonts w:hint="eastAsia" w:ascii="宋体" w:hAnsi="宋体"/>
          <w:b/>
          <w:color w:val="FF0000"/>
          <w:szCs w:val="21"/>
        </w:rPr>
        <w:t>备注：1、</w:t>
      </w:r>
      <w:r>
        <w:rPr>
          <w:rFonts w:hint="eastAsia" w:ascii="宋体" w:hAnsi="宋体"/>
          <w:b/>
          <w:color w:val="FF0000"/>
          <w:szCs w:val="21"/>
          <w:lang w:val="en-US" w:eastAsia="zh-CN"/>
        </w:rPr>
        <w:t>本项目</w:t>
      </w:r>
      <w:r>
        <w:rPr>
          <w:rFonts w:hint="eastAsia" w:ascii="宋体" w:hAnsi="宋体" w:eastAsia="宋体" w:cs="Times New Roman"/>
          <w:b/>
          <w:color w:val="FF0000"/>
          <w:kern w:val="2"/>
          <w:sz w:val="21"/>
          <w:szCs w:val="21"/>
          <w:lang w:val="en-US" w:eastAsia="zh-CN" w:bidi="ar-SA"/>
        </w:rPr>
        <w:t>货物的报价不得高于该货物的最高单价限价。报价中，如报价单价超过单价最高限价，则该报价为无效报价，该投标为无效投标。上述的年度用量为预计用量，本项目总</w:t>
      </w:r>
      <w:r>
        <w:rPr>
          <w:rFonts w:hint="eastAsia" w:ascii="宋体" w:hAnsi="宋体" w:cs="Times New Roman"/>
          <w:b/>
          <w:color w:val="FF0000"/>
          <w:kern w:val="2"/>
          <w:sz w:val="21"/>
          <w:szCs w:val="21"/>
          <w:lang w:val="en-US" w:eastAsia="zh-CN" w:bidi="ar-SA"/>
        </w:rPr>
        <w:t>报</w:t>
      </w:r>
      <w:r>
        <w:rPr>
          <w:rFonts w:hint="eastAsia" w:ascii="宋体" w:hAnsi="宋体" w:eastAsia="宋体" w:cs="Times New Roman"/>
          <w:b/>
          <w:color w:val="FF0000"/>
          <w:kern w:val="2"/>
          <w:sz w:val="21"/>
          <w:szCs w:val="21"/>
          <w:lang w:val="en-US" w:eastAsia="zh-CN" w:bidi="ar-SA"/>
        </w:rPr>
        <w:t>价=单价报价*预计年用量，具体</w:t>
      </w:r>
      <w:r>
        <w:rPr>
          <w:rFonts w:hint="eastAsia" w:ascii="宋体" w:hAnsi="宋体"/>
          <w:b/>
          <w:color w:val="FF0000"/>
          <w:szCs w:val="21"/>
        </w:rPr>
        <w:t>按实际发生量结算，结算价格=</w:t>
      </w:r>
      <w:r>
        <w:rPr>
          <w:rFonts w:hint="eastAsia" w:ascii="宋体" w:hAnsi="宋体"/>
          <w:b/>
          <w:color w:val="FF0000"/>
          <w:szCs w:val="21"/>
          <w:lang w:val="en-US" w:eastAsia="zh-CN"/>
        </w:rPr>
        <w:t>单价报价</w:t>
      </w:r>
      <w:r>
        <w:rPr>
          <w:rFonts w:hint="eastAsia" w:ascii="宋体" w:hAnsi="宋体"/>
          <w:b/>
          <w:color w:val="FF0000"/>
          <w:szCs w:val="21"/>
        </w:rPr>
        <w:t>×实际采购量，</w:t>
      </w:r>
      <w:r>
        <w:rPr>
          <w:rFonts w:hint="eastAsia" w:ascii="宋体" w:hAnsi="宋体"/>
          <w:b/>
          <w:color w:val="FF0000"/>
          <w:szCs w:val="21"/>
          <w:lang w:val="en-US" w:eastAsia="zh-CN"/>
        </w:rPr>
        <w:t>本项目</w:t>
      </w:r>
      <w:r>
        <w:rPr>
          <w:rFonts w:hint="eastAsia" w:ascii="宋体" w:hAnsi="宋体"/>
          <w:b/>
          <w:color w:val="FF0000"/>
          <w:szCs w:val="21"/>
        </w:rPr>
        <w:t xml:space="preserve">年度总支付金额上限为 </w:t>
      </w:r>
      <w:r>
        <w:rPr>
          <w:rFonts w:hint="eastAsia" w:ascii="宋体" w:hAnsi="宋体"/>
          <w:b/>
          <w:color w:val="FF0000"/>
          <w:szCs w:val="21"/>
          <w:lang w:val="en-US" w:eastAsia="zh-CN"/>
        </w:rPr>
        <w:t>88</w:t>
      </w:r>
      <w:r>
        <w:rPr>
          <w:rFonts w:hint="eastAsia" w:ascii="宋体" w:hAnsi="宋体"/>
          <w:b/>
          <w:color w:val="FF0000"/>
          <w:szCs w:val="21"/>
        </w:rPr>
        <w:t xml:space="preserve">0000 元。 </w:t>
      </w:r>
    </w:p>
    <w:p w14:paraId="14C33CA0">
      <w:pPr>
        <w:ind w:firstLine="422" w:firstLineChars="200"/>
        <w:rPr>
          <w:rFonts w:ascii="宋体" w:hAnsi="宋体"/>
          <w:b/>
          <w:color w:val="FF0000"/>
          <w:szCs w:val="21"/>
        </w:rPr>
      </w:pPr>
      <w:r>
        <w:rPr>
          <w:rFonts w:hint="eastAsia" w:ascii="宋体" w:hAnsi="宋体"/>
          <w:b/>
          <w:color w:val="FF0000"/>
          <w:szCs w:val="21"/>
          <w:lang w:val="en-US" w:eastAsia="zh-CN"/>
        </w:rPr>
        <w:t>2</w:t>
      </w:r>
      <w:r>
        <w:rPr>
          <w:rFonts w:hint="eastAsia" w:ascii="宋体" w:hAnsi="宋体"/>
          <w:b/>
          <w:color w:val="FF0000"/>
          <w:szCs w:val="21"/>
        </w:rPr>
        <w:t>.“是否接受进口”栏注明“拒绝进口”的产品不接受投标人选用进口产品参与投标；注明“接受进口”的产品允许投标人选用进口产品参与投标，但不排斥国内产品。</w:t>
      </w:r>
    </w:p>
    <w:p w14:paraId="75ABE8DD">
      <w:pPr>
        <w:numPr>
          <w:ilvl w:val="0"/>
          <w:numId w:val="0"/>
        </w:numPr>
        <w:ind w:firstLine="422" w:firstLineChars="200"/>
        <w:rPr>
          <w:rFonts w:ascii="宋体" w:hAnsi="宋体"/>
          <w:b/>
          <w:color w:val="FF0000"/>
          <w:szCs w:val="21"/>
        </w:rPr>
      </w:pPr>
      <w:r>
        <w:rPr>
          <w:rFonts w:hint="eastAsia" w:ascii="宋体" w:hAnsi="宋体"/>
          <w:b/>
          <w:color w:val="FF0000"/>
          <w:szCs w:val="21"/>
          <w:lang w:val="en-US" w:eastAsia="zh-CN"/>
        </w:rPr>
        <w:t>3.</w:t>
      </w:r>
      <w:r>
        <w:rPr>
          <w:rFonts w:hint="eastAsia" w:ascii="宋体" w:hAnsi="宋体"/>
          <w:b/>
          <w:color w:val="FF0000"/>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3764F6EB">
      <w:pPr>
        <w:ind w:firstLine="422" w:firstLineChars="200"/>
        <w:rPr>
          <w:rFonts w:ascii="宋体" w:hAnsi="宋体"/>
          <w:b/>
          <w:color w:val="FF0000"/>
          <w:szCs w:val="21"/>
        </w:rPr>
      </w:pPr>
      <w:r>
        <w:rPr>
          <w:rFonts w:hint="eastAsia" w:ascii="宋体" w:hAnsi="宋体"/>
          <w:b/>
          <w:color w:val="FF0000"/>
          <w:szCs w:val="21"/>
          <w:lang w:val="en-US" w:eastAsia="zh-CN"/>
        </w:rPr>
        <w:t>4.</w:t>
      </w:r>
      <w:r>
        <w:rPr>
          <w:rFonts w:hint="eastAsia" w:ascii="宋体" w:hAnsi="宋体"/>
          <w:b/>
          <w:color w:val="FF0000"/>
          <w:szCs w:val="21"/>
        </w:rPr>
        <w:t>本项目核心产品为：</w:t>
      </w:r>
      <w:r>
        <w:rPr>
          <w:rFonts w:hint="eastAsia" w:ascii="宋体" w:hAnsi="宋体"/>
          <w:b/>
          <w:color w:val="FF0000"/>
          <w:szCs w:val="21"/>
          <w:u w:val="single"/>
        </w:rPr>
        <w:t xml:space="preserve">  碘[131I]化钠口服溶液      </w:t>
      </w:r>
      <w:r>
        <w:rPr>
          <w:rFonts w:hint="eastAsia" w:ascii="宋体" w:hAnsi="宋体"/>
          <w:b/>
          <w:color w:val="FF0000"/>
          <w:szCs w:val="21"/>
        </w:rPr>
        <w:t>。</w:t>
      </w:r>
    </w:p>
    <w:bookmarkEnd w:id="39"/>
    <w:p w14:paraId="279F5056">
      <w:pPr>
        <w:pStyle w:val="18"/>
      </w:pPr>
    </w:p>
    <w:p w14:paraId="793F344D">
      <w:pPr>
        <w:rPr>
          <w:rFonts w:hint="eastAsia"/>
          <w:sz w:val="28"/>
          <w:szCs w:val="28"/>
        </w:rPr>
      </w:pPr>
      <w:bookmarkStart w:id="47" w:name="_Toc128884461"/>
      <w:r>
        <w:rPr>
          <w:rFonts w:hint="eastAsia"/>
          <w:sz w:val="28"/>
          <w:szCs w:val="28"/>
        </w:rPr>
        <w:br w:type="page"/>
      </w:r>
    </w:p>
    <w:p w14:paraId="47ABDC45">
      <w:pPr>
        <w:pStyle w:val="3"/>
        <w:spacing w:before="120" w:beforeLines="50" w:after="120" w:afterLines="50"/>
        <w:rPr>
          <w:sz w:val="28"/>
          <w:szCs w:val="28"/>
        </w:rPr>
      </w:pPr>
      <w:r>
        <w:rPr>
          <w:rFonts w:hint="eastAsia"/>
          <w:sz w:val="28"/>
          <w:szCs w:val="28"/>
        </w:rPr>
        <w:t>三、实质性条款</w:t>
      </w:r>
    </w:p>
    <w:tbl>
      <w:tblPr>
        <w:tblStyle w:val="44"/>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282"/>
      </w:tblGrid>
      <w:tr w14:paraId="1D4D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2342E604">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282" w:type="dxa"/>
            <w:vAlign w:val="center"/>
          </w:tcPr>
          <w:p w14:paraId="591A51B3">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648F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 w:type="dxa"/>
            <w:vAlign w:val="center"/>
          </w:tcPr>
          <w:p w14:paraId="733729EA">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7282" w:type="dxa"/>
            <w:vAlign w:val="center"/>
          </w:tcPr>
          <w:p w14:paraId="66DEA771">
            <w:pPr>
              <w:pStyle w:val="16"/>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提供本项目所需货物品种的注册批件，所提供的每种放射性药品均应符合以下任意一种情形：</w:t>
            </w:r>
          </w:p>
          <w:p w14:paraId="4285E438">
            <w:pPr>
              <w:pStyle w:val="16"/>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①药品具有有效的药品注册证（书）；</w:t>
            </w:r>
          </w:p>
          <w:p w14:paraId="65AB4A78">
            <w:pPr>
              <w:pStyle w:val="16"/>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②药品具有有效的药品再注册批件；</w:t>
            </w:r>
          </w:p>
          <w:p w14:paraId="327A606A">
            <w:pPr>
              <w:pStyle w:val="16"/>
              <w:adjustRightInd w:val="0"/>
              <w:snapToGrid w:val="0"/>
              <w:jc w:val="left"/>
              <w:rPr>
                <w:rFonts w:hAnsi="宋体"/>
                <w:kern w:val="0"/>
                <w:szCs w:val="21"/>
              </w:rPr>
            </w:pPr>
            <w:r>
              <w:rPr>
                <w:rFonts w:hint="eastAsia" w:ascii="宋体" w:hAnsi="宋体" w:eastAsia="宋体" w:cs="Times New Roman"/>
                <w:kern w:val="0"/>
                <w:sz w:val="21"/>
                <w:szCs w:val="21"/>
                <w:lang w:val="en-US" w:eastAsia="zh-CN" w:bidi="ar-SA"/>
              </w:rPr>
              <w:t>③配制的药品符合《关于进一步加强即时标记放射性药品生产企业管理的通知》（国药监安</w:t>
            </w:r>
            <w:r>
              <w:rPr>
                <w:rFonts w:hint="eastAsia" w:hAnsi="宋体" w:cs="Times New Roman"/>
                <w:kern w:val="0"/>
                <w:sz w:val="21"/>
                <w:szCs w:val="21"/>
                <w:lang w:val="en-US" w:eastAsia="zh-CN" w:bidi="ar-SA"/>
              </w:rPr>
              <w:t>〔2004〕263号</w:t>
            </w:r>
            <w:r>
              <w:rPr>
                <w:rFonts w:hint="eastAsia" w:ascii="宋体" w:hAnsi="宋体" w:eastAsia="宋体" w:cs="Times New Roman"/>
                <w:kern w:val="0"/>
                <w:sz w:val="21"/>
                <w:szCs w:val="21"/>
                <w:lang w:val="en-US" w:eastAsia="zh-CN" w:bidi="ar-SA"/>
              </w:rPr>
              <w:t>）中“即时标记放射性药品生产企业配制的放射性药品必须是经国家药品监督管理局批准并核发了批准文号的品种，生产企业不需再办理该品种的批准文号”规定的，提供相关证明文件。</w:t>
            </w:r>
          </w:p>
        </w:tc>
      </w:tr>
    </w:tbl>
    <w:p w14:paraId="3A89A02C">
      <w:pPr>
        <w:rPr>
          <w:sz w:val="28"/>
          <w:szCs w:val="28"/>
        </w:rPr>
      </w:pPr>
      <w:r>
        <w:rPr>
          <w:rFonts w:hint="eastAsia"/>
          <w:b/>
        </w:rPr>
        <w:t>注：上表所列内容为不可负偏离条款</w:t>
      </w:r>
      <w:bookmarkEnd w:id="47"/>
      <w:r>
        <w:rPr>
          <w:rFonts w:hint="eastAsia"/>
          <w:b/>
        </w:rPr>
        <w:t>，负偏离将视为未实质性满足招标文件要求作投标无效处理。</w:t>
      </w:r>
    </w:p>
    <w:p w14:paraId="07FFC119">
      <w:pPr>
        <w:pStyle w:val="3"/>
        <w:spacing w:before="120" w:beforeLines="50" w:after="120" w:afterLines="50"/>
        <w:rPr>
          <w:rFonts w:hint="eastAsia"/>
          <w:sz w:val="28"/>
          <w:szCs w:val="28"/>
        </w:rPr>
      </w:pPr>
    </w:p>
    <w:p w14:paraId="65C8668E">
      <w:pPr>
        <w:pStyle w:val="3"/>
        <w:spacing w:before="120" w:beforeLines="50" w:after="120" w:afterLines="50"/>
        <w:rPr>
          <w:sz w:val="28"/>
          <w:szCs w:val="28"/>
        </w:rPr>
      </w:pPr>
      <w:r>
        <w:rPr>
          <w:rFonts w:hint="eastAsia"/>
          <w:sz w:val="28"/>
          <w:szCs w:val="28"/>
        </w:rPr>
        <w:t>四、技术要求</w:t>
      </w:r>
    </w:p>
    <w:p w14:paraId="4843D4D1">
      <w:pPr>
        <w:spacing w:line="360" w:lineRule="auto"/>
        <w:ind w:firstLine="422" w:firstLineChars="200"/>
      </w:pPr>
      <w:r>
        <w:rPr>
          <w:rFonts w:hint="eastAsia" w:ascii="宋体" w:hAnsi="宋体" w:cs="宋体"/>
          <w:b/>
          <w:szCs w:val="21"/>
        </w:rPr>
        <w:t>（一）采购项目内容</w:t>
      </w:r>
    </w:p>
    <w:tbl>
      <w:tblPr>
        <w:tblStyle w:val="44"/>
        <w:tblW w:w="4998" w:type="pct"/>
        <w:tblInd w:w="0"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976"/>
        <w:gridCol w:w="3850"/>
        <w:gridCol w:w="32"/>
        <w:gridCol w:w="1158"/>
        <w:gridCol w:w="189"/>
        <w:gridCol w:w="2309"/>
        <w:gridCol w:w="12"/>
      </w:tblGrid>
      <w:tr w14:paraId="2360E84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66" w:hRule="atLeast"/>
        </w:trPr>
        <w:tc>
          <w:tcPr>
            <w:tcW w:w="572" w:type="pct"/>
            <w:noWrap/>
            <w:vAlign w:val="center"/>
          </w:tcPr>
          <w:p w14:paraId="50E6203E">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序号</w:t>
            </w:r>
          </w:p>
        </w:tc>
        <w:tc>
          <w:tcPr>
            <w:tcW w:w="2276" w:type="pct"/>
            <w:gridSpan w:val="2"/>
            <w:vAlign w:val="center"/>
          </w:tcPr>
          <w:p w14:paraId="03CA2672">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药品名称/临床应用</w:t>
            </w:r>
          </w:p>
        </w:tc>
        <w:tc>
          <w:tcPr>
            <w:tcW w:w="679" w:type="pct"/>
            <w:vAlign w:val="center"/>
          </w:tcPr>
          <w:p w14:paraId="19346E07">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常规剂量</w:t>
            </w:r>
          </w:p>
        </w:tc>
        <w:tc>
          <w:tcPr>
            <w:tcW w:w="1470" w:type="pct"/>
            <w:gridSpan w:val="3"/>
            <w:vAlign w:val="center"/>
          </w:tcPr>
          <w:p w14:paraId="38119277">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单价限价</w:t>
            </w:r>
          </w:p>
          <w:p w14:paraId="232EB5F2">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lang w:eastAsia="zh-CN"/>
              </w:rPr>
              <w:t>（</w:t>
            </w:r>
            <w:r>
              <w:rPr>
                <w:rFonts w:hint="eastAsia" w:asciiTheme="majorEastAsia" w:hAnsiTheme="majorEastAsia" w:eastAsiaTheme="majorEastAsia" w:cstheme="majorEastAsia"/>
                <w:bCs/>
                <w:kern w:val="0"/>
                <w:szCs w:val="21"/>
              </w:rPr>
              <w:t>元/单位</w:t>
            </w:r>
            <w:r>
              <w:rPr>
                <w:rFonts w:hint="eastAsia" w:asciiTheme="majorEastAsia" w:hAnsiTheme="majorEastAsia" w:eastAsiaTheme="majorEastAsia" w:cstheme="majorEastAsia"/>
                <w:bCs/>
                <w:kern w:val="0"/>
                <w:szCs w:val="21"/>
                <w:lang w:eastAsia="zh-CN"/>
              </w:rPr>
              <w:t>）</w:t>
            </w:r>
          </w:p>
        </w:tc>
      </w:tr>
      <w:tr w14:paraId="28003AC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681806A4">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1</w:t>
            </w:r>
          </w:p>
        </w:tc>
        <w:tc>
          <w:tcPr>
            <w:tcW w:w="2276" w:type="pct"/>
            <w:gridSpan w:val="2"/>
            <w:vAlign w:val="center"/>
          </w:tcPr>
          <w:p w14:paraId="6D10413A">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高锝[99mTc]酸钠注射液</w:t>
            </w:r>
          </w:p>
        </w:tc>
        <w:tc>
          <w:tcPr>
            <w:tcW w:w="679" w:type="pct"/>
            <w:vAlign w:val="center"/>
          </w:tcPr>
          <w:p w14:paraId="4DFE2D02">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szCs w:val="21"/>
              </w:rPr>
              <w:t>1mCi</w:t>
            </w:r>
          </w:p>
        </w:tc>
        <w:tc>
          <w:tcPr>
            <w:tcW w:w="1470" w:type="pct"/>
            <w:gridSpan w:val="3"/>
            <w:vAlign w:val="center"/>
          </w:tcPr>
          <w:p w14:paraId="1F9C68AE">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 xml:space="preserve"> 18</w:t>
            </w:r>
          </w:p>
        </w:tc>
      </w:tr>
      <w:tr w14:paraId="0787AB4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0F7100E4">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4B99CCB6">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主要用于甲状腺显像、甲状腺功能测定、脑显像、唾液腺显像、异位胃粘膜显像等，用量（1～5mCi）</w:t>
            </w:r>
          </w:p>
        </w:tc>
      </w:tr>
      <w:tr w14:paraId="1CBE6B2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44" w:hRule="atLeast"/>
        </w:trPr>
        <w:tc>
          <w:tcPr>
            <w:tcW w:w="572" w:type="pct"/>
            <w:noWrap/>
            <w:vAlign w:val="center"/>
          </w:tcPr>
          <w:p w14:paraId="063B4813">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2</w:t>
            </w:r>
          </w:p>
        </w:tc>
        <w:tc>
          <w:tcPr>
            <w:tcW w:w="2276" w:type="pct"/>
            <w:gridSpan w:val="2"/>
            <w:vAlign w:val="center"/>
          </w:tcPr>
          <w:p w14:paraId="296E8744">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锝[99mTc]亚甲基二膦酸盐注射液</w:t>
            </w:r>
          </w:p>
        </w:tc>
        <w:tc>
          <w:tcPr>
            <w:tcW w:w="679" w:type="pct"/>
            <w:vAlign w:val="center"/>
          </w:tcPr>
          <w:p w14:paraId="35BE4362">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color w:val="000000"/>
                <w:kern w:val="0"/>
                <w:szCs w:val="21"/>
              </w:rPr>
              <w:t>20-30 mCi</w:t>
            </w:r>
            <w:r>
              <w:rPr>
                <w:rFonts w:hint="eastAsia" w:asciiTheme="majorEastAsia" w:hAnsiTheme="majorEastAsia" w:eastAsiaTheme="majorEastAsia" w:cstheme="majorEastAsia"/>
                <w:bCs/>
                <w:kern w:val="0"/>
                <w:szCs w:val="21"/>
              </w:rPr>
              <w:t>/支</w:t>
            </w:r>
          </w:p>
        </w:tc>
        <w:tc>
          <w:tcPr>
            <w:tcW w:w="1470" w:type="pct"/>
            <w:gridSpan w:val="3"/>
            <w:vAlign w:val="center"/>
          </w:tcPr>
          <w:p w14:paraId="1BE82487">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 xml:space="preserve"> 480</w:t>
            </w:r>
          </w:p>
          <w:p w14:paraId="4ABB300C">
            <w:pPr>
              <w:widowControl/>
              <w:jc w:val="center"/>
              <w:rPr>
                <w:rFonts w:asciiTheme="majorEastAsia" w:hAnsiTheme="majorEastAsia" w:eastAsiaTheme="majorEastAsia" w:cstheme="majorEastAsia"/>
                <w:bCs/>
                <w:kern w:val="0"/>
                <w:szCs w:val="21"/>
              </w:rPr>
            </w:pPr>
          </w:p>
        </w:tc>
      </w:tr>
      <w:tr w14:paraId="4402F1E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18" w:hRule="atLeast"/>
        </w:trPr>
        <w:tc>
          <w:tcPr>
            <w:tcW w:w="572" w:type="pct"/>
            <w:noWrap/>
            <w:vAlign w:val="center"/>
          </w:tcPr>
          <w:p w14:paraId="26F8BDEE">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5719FB72">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主要用于全身或局部骨显像，诊断骨关节疾病、原发或转移性骨肿瘤病，用量185～740MBq(5～20mCi) </w:t>
            </w:r>
          </w:p>
        </w:tc>
      </w:tr>
      <w:tr w14:paraId="35AE857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80" w:hRule="atLeast"/>
        </w:trPr>
        <w:tc>
          <w:tcPr>
            <w:tcW w:w="572" w:type="pct"/>
            <w:shd w:val="clear" w:color="auto" w:fill="auto"/>
            <w:noWrap/>
            <w:vAlign w:val="center"/>
          </w:tcPr>
          <w:p w14:paraId="750D0C9F">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3</w:t>
            </w:r>
          </w:p>
        </w:tc>
        <w:tc>
          <w:tcPr>
            <w:tcW w:w="2276" w:type="pct"/>
            <w:gridSpan w:val="2"/>
            <w:shd w:val="clear" w:color="auto" w:fill="auto"/>
            <w:vAlign w:val="center"/>
          </w:tcPr>
          <w:p w14:paraId="198A7CEA">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color w:val="000000"/>
                <w:kern w:val="0"/>
                <w:szCs w:val="21"/>
              </w:rPr>
              <w:t>锝[99mTc]喷替酸盐注射液</w:t>
            </w:r>
          </w:p>
        </w:tc>
        <w:tc>
          <w:tcPr>
            <w:tcW w:w="679" w:type="pct"/>
            <w:shd w:val="clear" w:color="auto" w:fill="auto"/>
            <w:vAlign w:val="center"/>
          </w:tcPr>
          <w:p w14:paraId="6624387E">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color w:val="000000"/>
                <w:kern w:val="0"/>
                <w:szCs w:val="21"/>
              </w:rPr>
              <w:t>5-15 mC</w:t>
            </w:r>
            <w:r>
              <w:rPr>
                <w:rFonts w:hint="eastAsia" w:asciiTheme="majorEastAsia" w:hAnsiTheme="majorEastAsia" w:eastAsiaTheme="majorEastAsia" w:cstheme="majorEastAsia"/>
                <w:bCs/>
                <w:kern w:val="0"/>
                <w:szCs w:val="21"/>
              </w:rPr>
              <w:t>i/支</w:t>
            </w:r>
          </w:p>
        </w:tc>
        <w:tc>
          <w:tcPr>
            <w:tcW w:w="1470" w:type="pct"/>
            <w:gridSpan w:val="3"/>
            <w:shd w:val="clear" w:color="auto" w:fill="auto"/>
            <w:vAlign w:val="center"/>
          </w:tcPr>
          <w:p w14:paraId="515A01B0">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480</w:t>
            </w:r>
          </w:p>
        </w:tc>
      </w:tr>
      <w:tr w14:paraId="3EA361D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80" w:hRule="atLeast"/>
        </w:trPr>
        <w:tc>
          <w:tcPr>
            <w:tcW w:w="572" w:type="pct"/>
            <w:shd w:val="clear" w:color="auto" w:fill="auto"/>
            <w:noWrap/>
            <w:vAlign w:val="center"/>
          </w:tcPr>
          <w:p w14:paraId="19118CC9">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shd w:val="clear" w:color="auto" w:fill="auto"/>
            <w:vAlign w:val="center"/>
          </w:tcPr>
          <w:p w14:paraId="110A2070">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主要为肾动态显像剂，用于观察</w:t>
            </w:r>
            <w:r>
              <w:rPr>
                <w:rFonts w:hint="eastAsia" w:asciiTheme="majorEastAsia" w:hAnsiTheme="majorEastAsia" w:eastAsiaTheme="majorEastAsia" w:cstheme="majorEastAsia"/>
                <w:szCs w:val="21"/>
                <w:lang w:bidi="ar"/>
              </w:rPr>
              <w:t>肾脏血流灌注、肾小球滤过及尿液排泄过程，评价肾脏增提功能</w:t>
            </w:r>
            <w:r>
              <w:rPr>
                <w:rFonts w:hint="eastAsia" w:asciiTheme="majorEastAsia" w:hAnsiTheme="majorEastAsia" w:eastAsiaTheme="majorEastAsia" w:cstheme="majorEastAsia"/>
                <w:bCs/>
                <w:kern w:val="0"/>
                <w:szCs w:val="21"/>
              </w:rPr>
              <w:t>，以及形态，大小，位置</w:t>
            </w:r>
            <w:r>
              <w:rPr>
                <w:rFonts w:hint="eastAsia" w:asciiTheme="majorEastAsia" w:hAnsiTheme="majorEastAsia" w:eastAsiaTheme="majorEastAsia" w:cstheme="majorEastAsia"/>
                <w:bCs/>
                <w:color w:val="666666"/>
                <w:szCs w:val="21"/>
                <w:shd w:val="clear" w:color="auto" w:fill="FFFFFF"/>
              </w:rPr>
              <w:t>。</w:t>
            </w:r>
          </w:p>
        </w:tc>
      </w:tr>
      <w:tr w14:paraId="0AE3507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80" w:hRule="atLeast"/>
        </w:trPr>
        <w:tc>
          <w:tcPr>
            <w:tcW w:w="572" w:type="pct"/>
            <w:noWrap/>
            <w:vAlign w:val="center"/>
          </w:tcPr>
          <w:p w14:paraId="78105E7C">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w:t>
            </w:r>
          </w:p>
        </w:tc>
        <w:tc>
          <w:tcPr>
            <w:tcW w:w="2276" w:type="pct"/>
            <w:gridSpan w:val="2"/>
            <w:vAlign w:val="center"/>
          </w:tcPr>
          <w:p w14:paraId="58FCA01E">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锝[99mTc]甲氧异腈注射液</w:t>
            </w:r>
          </w:p>
        </w:tc>
        <w:tc>
          <w:tcPr>
            <w:tcW w:w="679" w:type="pct"/>
            <w:vAlign w:val="center"/>
          </w:tcPr>
          <w:p w14:paraId="681FB38B">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20-30mci/支</w:t>
            </w:r>
          </w:p>
        </w:tc>
        <w:tc>
          <w:tcPr>
            <w:tcW w:w="1470" w:type="pct"/>
            <w:gridSpan w:val="3"/>
            <w:vAlign w:val="center"/>
          </w:tcPr>
          <w:p w14:paraId="284FB1C2">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480</w:t>
            </w:r>
          </w:p>
        </w:tc>
      </w:tr>
      <w:tr w14:paraId="1237AF1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04" w:hRule="atLeast"/>
        </w:trPr>
        <w:tc>
          <w:tcPr>
            <w:tcW w:w="572" w:type="pct"/>
            <w:noWrap/>
            <w:vAlign w:val="center"/>
          </w:tcPr>
          <w:p w14:paraId="1786EAFD">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7EF498DA">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主要用于：冠状动脉疾患</w:t>
            </w:r>
            <w:r>
              <w:rPr>
                <w:rFonts w:hint="eastAsia" w:asciiTheme="majorEastAsia" w:hAnsiTheme="majorEastAsia" w:eastAsiaTheme="majorEastAsia" w:cstheme="majorEastAsia"/>
                <w:bCs/>
                <w:kern w:val="0"/>
                <w:szCs w:val="21"/>
                <w:lang w:eastAsia="zh-CN"/>
              </w:rPr>
              <w:t>（</w:t>
            </w:r>
            <w:r>
              <w:rPr>
                <w:rFonts w:hint="eastAsia" w:asciiTheme="majorEastAsia" w:hAnsiTheme="majorEastAsia" w:eastAsiaTheme="majorEastAsia" w:cstheme="majorEastAsia"/>
                <w:bCs/>
                <w:kern w:val="0"/>
                <w:szCs w:val="21"/>
              </w:rPr>
              <w:t>心肌缺血，心肌梗塞、甲状旁腺亢进</w:t>
            </w:r>
            <w:r>
              <w:rPr>
                <w:rFonts w:hint="eastAsia" w:asciiTheme="majorEastAsia" w:hAnsiTheme="majorEastAsia" w:eastAsiaTheme="majorEastAsia" w:cstheme="majorEastAsia"/>
                <w:bCs/>
                <w:kern w:val="0"/>
                <w:szCs w:val="21"/>
                <w:lang w:eastAsia="zh-CN"/>
              </w:rPr>
              <w:t>）</w:t>
            </w:r>
            <w:r>
              <w:rPr>
                <w:rFonts w:hint="eastAsia" w:asciiTheme="majorEastAsia" w:hAnsiTheme="majorEastAsia" w:eastAsiaTheme="majorEastAsia" w:cstheme="majorEastAsia"/>
                <w:bCs/>
                <w:kern w:val="0"/>
                <w:szCs w:val="21"/>
              </w:rPr>
              <w:t>的诊断与鉴别诊断，用量185～1110MBq(10～30mCi)</w:t>
            </w:r>
          </w:p>
        </w:tc>
      </w:tr>
      <w:tr w14:paraId="4D62E35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7BAECFBB">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5</w:t>
            </w:r>
          </w:p>
        </w:tc>
        <w:tc>
          <w:tcPr>
            <w:tcW w:w="2276" w:type="pct"/>
            <w:gridSpan w:val="2"/>
            <w:vAlign w:val="center"/>
          </w:tcPr>
          <w:p w14:paraId="5C5FB003">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锝[99mTc]双半胱乙酯注射液</w:t>
            </w:r>
          </w:p>
        </w:tc>
        <w:tc>
          <w:tcPr>
            <w:tcW w:w="679" w:type="pct"/>
            <w:vAlign w:val="center"/>
          </w:tcPr>
          <w:p w14:paraId="11164737">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20-30mci/支</w:t>
            </w:r>
          </w:p>
        </w:tc>
        <w:tc>
          <w:tcPr>
            <w:tcW w:w="1470" w:type="pct"/>
            <w:gridSpan w:val="3"/>
            <w:vAlign w:val="center"/>
          </w:tcPr>
          <w:p w14:paraId="78635F94">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480</w:t>
            </w:r>
          </w:p>
        </w:tc>
      </w:tr>
      <w:tr w14:paraId="79C9FB1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489A3D0A">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44AF1AE0">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主要用于各种脑血管性疾病（梗塞、出血、短暂性缺血发作等），</w:t>
            </w:r>
            <w:r>
              <w:rPr>
                <w:rFonts w:hint="eastAsia" w:asciiTheme="majorEastAsia" w:hAnsiTheme="majorEastAsia" w:eastAsiaTheme="majorEastAsia" w:cstheme="majorEastAsia"/>
                <w:bCs/>
                <w:kern w:val="0"/>
                <w:szCs w:val="21"/>
                <w:lang w:eastAsia="zh-CN"/>
              </w:rPr>
              <w:t>癫痫</w:t>
            </w:r>
            <w:r>
              <w:rPr>
                <w:rFonts w:hint="eastAsia" w:asciiTheme="majorEastAsia" w:hAnsiTheme="majorEastAsia" w:eastAsiaTheme="majorEastAsia" w:cstheme="majorEastAsia"/>
                <w:bCs/>
                <w:kern w:val="0"/>
                <w:szCs w:val="21"/>
              </w:rPr>
              <w:t>和痴呆、脑瘤等疾病的脑血流灌注显像。</w:t>
            </w:r>
          </w:p>
        </w:tc>
      </w:tr>
      <w:tr w14:paraId="3B7A50F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02611B2F">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6</w:t>
            </w:r>
          </w:p>
        </w:tc>
        <w:tc>
          <w:tcPr>
            <w:tcW w:w="2276" w:type="pct"/>
            <w:gridSpan w:val="2"/>
            <w:vAlign w:val="center"/>
          </w:tcPr>
          <w:p w14:paraId="17A96CA9">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锝[99mTc]双半胱氨酸注射液</w:t>
            </w:r>
          </w:p>
        </w:tc>
        <w:tc>
          <w:tcPr>
            <w:tcW w:w="679" w:type="pct"/>
            <w:vAlign w:val="center"/>
          </w:tcPr>
          <w:p w14:paraId="0CDD1DE5">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5-15mci/支</w:t>
            </w:r>
          </w:p>
        </w:tc>
        <w:tc>
          <w:tcPr>
            <w:tcW w:w="1470" w:type="pct"/>
            <w:gridSpan w:val="3"/>
            <w:vAlign w:val="center"/>
          </w:tcPr>
          <w:p w14:paraId="26859AFA">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450</w:t>
            </w:r>
          </w:p>
        </w:tc>
      </w:tr>
      <w:tr w14:paraId="53063B2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777EBC83">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2506A728">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主要用于诊断各种肾脏疾病引起的肾脏血液灌注、肾功能变化和了解尿路通畅性。</w:t>
            </w:r>
          </w:p>
        </w:tc>
      </w:tr>
      <w:tr w14:paraId="267C370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02" w:hRule="atLeast"/>
        </w:trPr>
        <w:tc>
          <w:tcPr>
            <w:tcW w:w="572" w:type="pct"/>
            <w:noWrap/>
            <w:vAlign w:val="center"/>
          </w:tcPr>
          <w:p w14:paraId="2F92A9C3">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7</w:t>
            </w:r>
          </w:p>
        </w:tc>
        <w:tc>
          <w:tcPr>
            <w:tcW w:w="2276" w:type="pct"/>
            <w:gridSpan w:val="2"/>
            <w:vAlign w:val="center"/>
          </w:tcPr>
          <w:p w14:paraId="77CB21FD">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锝[99mTc]二巯丁二酸盐注射液</w:t>
            </w:r>
          </w:p>
        </w:tc>
        <w:tc>
          <w:tcPr>
            <w:tcW w:w="679" w:type="pct"/>
            <w:vAlign w:val="center"/>
          </w:tcPr>
          <w:p w14:paraId="6A9A629D">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5-15mci/支</w:t>
            </w:r>
          </w:p>
        </w:tc>
        <w:tc>
          <w:tcPr>
            <w:tcW w:w="1470" w:type="pct"/>
            <w:gridSpan w:val="3"/>
            <w:vAlign w:val="center"/>
          </w:tcPr>
          <w:p w14:paraId="1811C3B7">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480</w:t>
            </w:r>
          </w:p>
        </w:tc>
      </w:tr>
      <w:tr w14:paraId="097E111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02" w:hRule="atLeast"/>
        </w:trPr>
        <w:tc>
          <w:tcPr>
            <w:tcW w:w="572" w:type="pct"/>
            <w:noWrap/>
            <w:vAlign w:val="center"/>
          </w:tcPr>
          <w:p w14:paraId="0B452C86">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6C7A7D09">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主要为肾皮质显像剂，用于观察形态，大小，位置及功能</w:t>
            </w:r>
            <w:r>
              <w:rPr>
                <w:rFonts w:hint="eastAsia" w:asciiTheme="majorEastAsia" w:hAnsiTheme="majorEastAsia" w:eastAsiaTheme="majorEastAsia" w:cstheme="majorEastAsia"/>
                <w:bCs/>
                <w:color w:val="666666"/>
                <w:szCs w:val="21"/>
                <w:shd w:val="clear" w:color="auto" w:fill="FFFFFF"/>
              </w:rPr>
              <w:t>。</w:t>
            </w:r>
          </w:p>
        </w:tc>
      </w:tr>
      <w:tr w14:paraId="605D71D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80" w:hRule="atLeast"/>
        </w:trPr>
        <w:tc>
          <w:tcPr>
            <w:tcW w:w="572" w:type="pct"/>
            <w:shd w:val="clear" w:color="auto" w:fill="auto"/>
            <w:noWrap/>
            <w:vAlign w:val="center"/>
          </w:tcPr>
          <w:p w14:paraId="30AA1E6A">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8</w:t>
            </w:r>
          </w:p>
        </w:tc>
        <w:tc>
          <w:tcPr>
            <w:tcW w:w="2276" w:type="pct"/>
            <w:gridSpan w:val="2"/>
            <w:shd w:val="clear" w:color="auto" w:fill="auto"/>
            <w:vAlign w:val="center"/>
          </w:tcPr>
          <w:p w14:paraId="0DF58A80">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锝[99mTc]依替菲宁注射液</w:t>
            </w:r>
          </w:p>
        </w:tc>
        <w:tc>
          <w:tcPr>
            <w:tcW w:w="679" w:type="pct"/>
            <w:shd w:val="clear" w:color="auto" w:fill="auto"/>
            <w:vAlign w:val="center"/>
          </w:tcPr>
          <w:p w14:paraId="5F6422A8">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5-10mci/支</w:t>
            </w:r>
          </w:p>
        </w:tc>
        <w:tc>
          <w:tcPr>
            <w:tcW w:w="1470" w:type="pct"/>
            <w:gridSpan w:val="3"/>
            <w:shd w:val="clear" w:color="auto" w:fill="auto"/>
            <w:vAlign w:val="center"/>
          </w:tcPr>
          <w:p w14:paraId="14020F13">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480</w:t>
            </w:r>
          </w:p>
        </w:tc>
      </w:tr>
      <w:tr w14:paraId="2014002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80" w:hRule="atLeast"/>
        </w:trPr>
        <w:tc>
          <w:tcPr>
            <w:tcW w:w="572" w:type="pct"/>
            <w:shd w:val="clear" w:color="auto" w:fill="auto"/>
            <w:noWrap/>
            <w:vAlign w:val="center"/>
          </w:tcPr>
          <w:p w14:paraId="3BC59421">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shd w:val="clear" w:color="auto" w:fill="auto"/>
            <w:vAlign w:val="center"/>
          </w:tcPr>
          <w:p w14:paraId="2296F9EF">
            <w:pPr>
              <w:widowControl/>
              <w:shd w:val="clear" w:color="auto" w:fill="FFFFFF"/>
              <w:spacing w:before="150" w:after="225"/>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主要用于胆囊显影、胆囊功能测定，黄疸鉴别和胆汁反流的诊断。</w:t>
            </w:r>
          </w:p>
        </w:tc>
      </w:tr>
      <w:tr w14:paraId="2415598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47" w:hRule="atLeast"/>
        </w:trPr>
        <w:tc>
          <w:tcPr>
            <w:tcW w:w="572" w:type="pct"/>
            <w:noWrap/>
            <w:vAlign w:val="center"/>
          </w:tcPr>
          <w:p w14:paraId="5C2C8E0B">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9</w:t>
            </w:r>
          </w:p>
        </w:tc>
        <w:tc>
          <w:tcPr>
            <w:tcW w:w="2276" w:type="pct"/>
            <w:gridSpan w:val="2"/>
            <w:vAlign w:val="center"/>
          </w:tcPr>
          <w:p w14:paraId="356898C4">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锝[99mTc]聚合白蛋白注射液</w:t>
            </w:r>
          </w:p>
        </w:tc>
        <w:tc>
          <w:tcPr>
            <w:tcW w:w="679" w:type="pct"/>
            <w:vAlign w:val="center"/>
          </w:tcPr>
          <w:p w14:paraId="25D5123C">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5-10mci/支</w:t>
            </w:r>
          </w:p>
        </w:tc>
        <w:tc>
          <w:tcPr>
            <w:tcW w:w="1470" w:type="pct"/>
            <w:gridSpan w:val="3"/>
            <w:vAlign w:val="center"/>
          </w:tcPr>
          <w:p w14:paraId="40133684">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500</w:t>
            </w:r>
          </w:p>
        </w:tc>
      </w:tr>
      <w:tr w14:paraId="763FC9C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47" w:hRule="atLeast"/>
        </w:trPr>
        <w:tc>
          <w:tcPr>
            <w:tcW w:w="572" w:type="pct"/>
            <w:noWrap/>
            <w:vAlign w:val="center"/>
          </w:tcPr>
          <w:p w14:paraId="1F11EB9E">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62172620">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主要为肺灌注显像，肺梗塞、肺疾患及双下肢静脉显像</w:t>
            </w:r>
          </w:p>
        </w:tc>
      </w:tr>
      <w:tr w14:paraId="5F7DF15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8" w:hRule="atLeast"/>
        </w:trPr>
        <w:tc>
          <w:tcPr>
            <w:tcW w:w="572" w:type="pct"/>
            <w:noWrap/>
            <w:vAlign w:val="center"/>
          </w:tcPr>
          <w:p w14:paraId="3C01831A">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10</w:t>
            </w:r>
          </w:p>
        </w:tc>
        <w:tc>
          <w:tcPr>
            <w:tcW w:w="2276" w:type="pct"/>
            <w:gridSpan w:val="2"/>
            <w:vAlign w:val="center"/>
          </w:tcPr>
          <w:p w14:paraId="00990FAF">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锝[99mTc]植酸盐注射液</w:t>
            </w:r>
          </w:p>
        </w:tc>
        <w:tc>
          <w:tcPr>
            <w:tcW w:w="679" w:type="pct"/>
            <w:vAlign w:val="center"/>
          </w:tcPr>
          <w:p w14:paraId="7B661CAC">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5-10mci/支</w:t>
            </w:r>
          </w:p>
        </w:tc>
        <w:tc>
          <w:tcPr>
            <w:tcW w:w="1470" w:type="pct"/>
            <w:gridSpan w:val="3"/>
            <w:vAlign w:val="center"/>
          </w:tcPr>
          <w:p w14:paraId="3A0817CC">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400</w:t>
            </w:r>
          </w:p>
        </w:tc>
      </w:tr>
      <w:tr w14:paraId="05DBF74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465B5F65">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6359B365">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主要用于肝显像、肝脏活检或肝脓肿引流前的定位、肝癌手术、前哨淋巴结显像、淋巴显像等</w:t>
            </w:r>
          </w:p>
        </w:tc>
      </w:tr>
      <w:tr w14:paraId="6AAB46F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shd w:val="clear" w:color="auto" w:fill="auto"/>
            <w:noWrap/>
            <w:vAlign w:val="center"/>
          </w:tcPr>
          <w:p w14:paraId="7EA46504">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11</w:t>
            </w:r>
          </w:p>
        </w:tc>
        <w:tc>
          <w:tcPr>
            <w:tcW w:w="2276" w:type="pct"/>
            <w:gridSpan w:val="2"/>
            <w:shd w:val="clear" w:color="auto" w:fill="auto"/>
            <w:vAlign w:val="center"/>
          </w:tcPr>
          <w:p w14:paraId="78D9BC65">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szCs w:val="21"/>
              </w:rPr>
              <w:t>氯化锶[89Sr]注射液</w:t>
            </w:r>
          </w:p>
        </w:tc>
        <w:tc>
          <w:tcPr>
            <w:tcW w:w="679" w:type="pct"/>
            <w:shd w:val="clear" w:color="auto" w:fill="auto"/>
            <w:vAlign w:val="center"/>
          </w:tcPr>
          <w:p w14:paraId="3C5F647F">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4mci/4mL支</w:t>
            </w:r>
          </w:p>
        </w:tc>
        <w:tc>
          <w:tcPr>
            <w:tcW w:w="1470" w:type="pct"/>
            <w:gridSpan w:val="3"/>
            <w:shd w:val="clear" w:color="auto" w:fill="auto"/>
            <w:vAlign w:val="center"/>
          </w:tcPr>
          <w:p w14:paraId="2227B7DE">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12800</w:t>
            </w:r>
          </w:p>
        </w:tc>
      </w:tr>
      <w:tr w14:paraId="60282CB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shd w:val="clear" w:color="auto" w:fill="auto"/>
            <w:noWrap/>
            <w:vAlign w:val="center"/>
          </w:tcPr>
          <w:p w14:paraId="60F837C1">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shd w:val="clear" w:color="auto" w:fill="auto"/>
            <w:vAlign w:val="center"/>
          </w:tcPr>
          <w:p w14:paraId="7E583D85">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主要用于恶性肿瘤骨转移瘤的治疗</w:t>
            </w:r>
          </w:p>
        </w:tc>
      </w:tr>
      <w:tr w14:paraId="296296D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0D9E1E74">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12</w:t>
            </w:r>
          </w:p>
        </w:tc>
        <w:tc>
          <w:tcPr>
            <w:tcW w:w="2276" w:type="pct"/>
            <w:gridSpan w:val="2"/>
            <w:vAlign w:val="center"/>
          </w:tcPr>
          <w:p w14:paraId="464D73D6">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碘[1311]化钠口服溶液</w:t>
            </w:r>
          </w:p>
        </w:tc>
        <w:tc>
          <w:tcPr>
            <w:tcW w:w="679" w:type="pct"/>
            <w:vAlign w:val="center"/>
          </w:tcPr>
          <w:p w14:paraId="1604B267">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1mci/支</w:t>
            </w:r>
          </w:p>
        </w:tc>
        <w:tc>
          <w:tcPr>
            <w:tcW w:w="1470" w:type="pct"/>
            <w:gridSpan w:val="3"/>
            <w:vAlign w:val="center"/>
          </w:tcPr>
          <w:p w14:paraId="5B9A8339">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60</w:t>
            </w:r>
          </w:p>
        </w:tc>
      </w:tr>
      <w:tr w14:paraId="7D02032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462" w:hRule="atLeast"/>
        </w:trPr>
        <w:tc>
          <w:tcPr>
            <w:tcW w:w="572" w:type="pct"/>
            <w:noWrap/>
            <w:vAlign w:val="center"/>
          </w:tcPr>
          <w:p w14:paraId="7EF4FBD3">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7" w:type="pct"/>
            <w:gridSpan w:val="6"/>
            <w:vAlign w:val="center"/>
          </w:tcPr>
          <w:p w14:paraId="566F5AC5">
            <w:pPr>
              <w:widowControl/>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主要用于异位甲状腺显像、甲状腺癌术后转移灶的显像、甲状腺碘摄取率功能测定、甲亢治疗、高功能腺瘤治疗、分化型甲状腺癌术后治疗</w:t>
            </w:r>
          </w:p>
        </w:tc>
      </w:tr>
      <w:tr w14:paraId="4FA4688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gridAfter w:val="1"/>
          <w:wAfter w:w="6" w:type="pct"/>
          <w:trHeight w:val="462" w:hRule="atLeast"/>
        </w:trPr>
        <w:tc>
          <w:tcPr>
            <w:tcW w:w="572" w:type="pct"/>
            <w:noWrap/>
            <w:vAlign w:val="center"/>
          </w:tcPr>
          <w:p w14:paraId="6B9E7BBC">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13</w:t>
            </w:r>
          </w:p>
        </w:tc>
        <w:tc>
          <w:tcPr>
            <w:tcW w:w="2257" w:type="pct"/>
            <w:vAlign w:val="center"/>
          </w:tcPr>
          <w:p w14:paraId="0A7F76C3">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szCs w:val="21"/>
              </w:rPr>
              <w:t>碘[</w:t>
            </w:r>
            <w:r>
              <w:rPr>
                <w:rFonts w:hint="eastAsia" w:asciiTheme="majorEastAsia" w:hAnsiTheme="majorEastAsia" w:eastAsiaTheme="majorEastAsia" w:cstheme="majorEastAsia"/>
                <w:szCs w:val="21"/>
                <w:vertAlign w:val="superscript"/>
              </w:rPr>
              <w:t>125</w:t>
            </w:r>
            <w:r>
              <w:rPr>
                <w:rFonts w:hint="eastAsia" w:asciiTheme="majorEastAsia" w:hAnsiTheme="majorEastAsia" w:eastAsiaTheme="majorEastAsia" w:cstheme="majorEastAsia"/>
                <w:szCs w:val="21"/>
              </w:rPr>
              <w:t xml:space="preserve">I]密封籽源 </w:t>
            </w:r>
          </w:p>
        </w:tc>
        <w:tc>
          <w:tcPr>
            <w:tcW w:w="809" w:type="pct"/>
            <w:gridSpan w:val="3"/>
            <w:vAlign w:val="center"/>
          </w:tcPr>
          <w:p w14:paraId="0945D2C9">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szCs w:val="21"/>
              </w:rPr>
              <w:t>每粒直径0.8mm，活度0.5-1.0mci</w:t>
            </w:r>
          </w:p>
        </w:tc>
        <w:tc>
          <w:tcPr>
            <w:tcW w:w="1353" w:type="pct"/>
            <w:vAlign w:val="center"/>
          </w:tcPr>
          <w:p w14:paraId="77F6A4B9">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 xml:space="preserve"> </w:t>
            </w:r>
            <w:r>
              <w:rPr>
                <w:rFonts w:hint="eastAsia" w:asciiTheme="majorEastAsia" w:hAnsiTheme="majorEastAsia" w:eastAsiaTheme="majorEastAsia" w:cstheme="majorEastAsia"/>
                <w:color w:val="000000"/>
                <w:kern w:val="0"/>
                <w:szCs w:val="21"/>
              </w:rPr>
              <w:t>425</w:t>
            </w:r>
          </w:p>
        </w:tc>
      </w:tr>
      <w:tr w14:paraId="416646F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gridAfter w:val="1"/>
          <w:wAfter w:w="6" w:type="pct"/>
          <w:trHeight w:val="462" w:hRule="atLeast"/>
        </w:trPr>
        <w:tc>
          <w:tcPr>
            <w:tcW w:w="572" w:type="pct"/>
            <w:noWrap/>
            <w:vAlign w:val="center"/>
          </w:tcPr>
          <w:p w14:paraId="409179BC">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0" w:type="pct"/>
            <w:gridSpan w:val="5"/>
            <w:vAlign w:val="center"/>
          </w:tcPr>
          <w:p w14:paraId="34B49164">
            <w:pP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w:t>
            </w:r>
            <w:r>
              <w:rPr>
                <w:rFonts w:hint="eastAsia" w:asciiTheme="majorEastAsia" w:hAnsiTheme="majorEastAsia" w:eastAsiaTheme="majorEastAsia" w:cstheme="majorEastAsia"/>
                <w:bCs/>
                <w:kern w:val="0"/>
                <w:szCs w:val="21"/>
                <w:lang w:eastAsia="zh-CN"/>
              </w:rPr>
              <w:t>用于</w:t>
            </w:r>
            <w:r>
              <w:rPr>
                <w:rFonts w:hint="eastAsia" w:asciiTheme="majorEastAsia" w:hAnsiTheme="majorEastAsia" w:eastAsiaTheme="majorEastAsia" w:cstheme="majorEastAsia"/>
                <w:szCs w:val="21"/>
              </w:rPr>
              <w:t>经病理诊断的恶性实体肿瘤的治疗以及局部进展期难以用局部治疗方法控制或远处转移的晚期肿瘤的姑息治疗。</w:t>
            </w:r>
          </w:p>
        </w:tc>
      </w:tr>
      <w:tr w14:paraId="353E5B6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gridAfter w:val="1"/>
          <w:wAfter w:w="6" w:type="pct"/>
          <w:trHeight w:val="462" w:hRule="atLeast"/>
        </w:trPr>
        <w:tc>
          <w:tcPr>
            <w:tcW w:w="572" w:type="pct"/>
            <w:noWrap/>
            <w:vAlign w:val="center"/>
          </w:tcPr>
          <w:p w14:paraId="73F481D5">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14</w:t>
            </w:r>
          </w:p>
        </w:tc>
        <w:tc>
          <w:tcPr>
            <w:tcW w:w="2257" w:type="pct"/>
            <w:vAlign w:val="center"/>
          </w:tcPr>
          <w:p w14:paraId="294FD8FE">
            <w:pPr>
              <w:widowControl/>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 xml:space="preserve">碘[125I]密封籽源 </w:t>
            </w:r>
          </w:p>
        </w:tc>
        <w:tc>
          <w:tcPr>
            <w:tcW w:w="809" w:type="pct"/>
            <w:gridSpan w:val="3"/>
            <w:vAlign w:val="center"/>
          </w:tcPr>
          <w:p w14:paraId="0B944AD6">
            <w:pPr>
              <w:widowControl/>
              <w:jc w:val="center"/>
              <w:rPr>
                <w:rFonts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szCs w:val="21"/>
              </w:rPr>
              <w:t>每粒直径0.6mm，活度0.5-1.0mci</w:t>
            </w:r>
          </w:p>
        </w:tc>
        <w:tc>
          <w:tcPr>
            <w:tcW w:w="1353" w:type="pct"/>
            <w:vAlign w:val="center"/>
          </w:tcPr>
          <w:p w14:paraId="1DD6843B">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szCs w:val="21"/>
              </w:rPr>
              <w:t>425</w:t>
            </w:r>
          </w:p>
        </w:tc>
      </w:tr>
      <w:tr w14:paraId="6FAD131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gridAfter w:val="1"/>
          <w:wAfter w:w="6" w:type="pct"/>
          <w:trHeight w:val="462" w:hRule="atLeast"/>
        </w:trPr>
        <w:tc>
          <w:tcPr>
            <w:tcW w:w="572" w:type="pct"/>
            <w:noWrap/>
            <w:vAlign w:val="center"/>
          </w:tcPr>
          <w:p w14:paraId="06A9326D">
            <w:pPr>
              <w:widowControl/>
              <w:jc w:val="cente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用途</w:t>
            </w:r>
          </w:p>
        </w:tc>
        <w:tc>
          <w:tcPr>
            <w:tcW w:w="4420" w:type="pct"/>
            <w:gridSpan w:val="5"/>
            <w:vAlign w:val="center"/>
          </w:tcPr>
          <w:p w14:paraId="555CC620">
            <w:pPr>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主要</w:t>
            </w:r>
            <w:r>
              <w:rPr>
                <w:rFonts w:hint="eastAsia" w:asciiTheme="majorEastAsia" w:hAnsiTheme="majorEastAsia" w:eastAsiaTheme="majorEastAsia" w:cstheme="majorEastAsia"/>
                <w:bCs/>
                <w:kern w:val="0"/>
                <w:szCs w:val="21"/>
                <w:lang w:eastAsia="zh-CN"/>
              </w:rPr>
              <w:t>用于</w:t>
            </w:r>
            <w:r>
              <w:rPr>
                <w:rFonts w:hint="eastAsia" w:asciiTheme="majorEastAsia" w:hAnsiTheme="majorEastAsia" w:eastAsiaTheme="majorEastAsia" w:cstheme="majorEastAsia"/>
                <w:szCs w:val="21"/>
              </w:rPr>
              <w:t>经病理诊断的恶性实体肿瘤的治疗以及局部进展期难以用局部治疗方法控制或远处转移的晚期肿瘤的姑息治疗。</w:t>
            </w:r>
          </w:p>
        </w:tc>
      </w:tr>
    </w:tbl>
    <w:p w14:paraId="1116A0D3">
      <w:pPr>
        <w:pStyle w:val="16"/>
        <w:rPr>
          <w:rFonts w:hint="eastAsia" w:asciiTheme="majorEastAsia" w:hAnsiTheme="majorEastAsia" w:eastAsiaTheme="majorEastAsia" w:cstheme="majorEastAsia"/>
          <w:kern w:val="2"/>
          <w:sz w:val="21"/>
          <w:szCs w:val="21"/>
          <w:lang w:val="en-US" w:eastAsia="zh-CN" w:bidi="ar-SA"/>
        </w:rPr>
      </w:pPr>
    </w:p>
    <w:p w14:paraId="3AA997AD">
      <w:pPr>
        <w:pStyle w:val="16"/>
        <w:rPr>
          <w:rFonts w:hint="eastAsia" w:asciiTheme="majorEastAsia" w:hAnsiTheme="majorEastAsia" w:eastAsiaTheme="majorEastAsia" w:cstheme="majorEastAsia"/>
          <w:color w:val="FF0000"/>
          <w:kern w:val="2"/>
          <w:sz w:val="21"/>
          <w:szCs w:val="21"/>
          <w:highlight w:val="yellow"/>
          <w:lang w:val="en-US" w:eastAsia="zh-CN" w:bidi="ar-SA"/>
        </w:rPr>
      </w:pPr>
      <w:r>
        <w:rPr>
          <w:rFonts w:hint="eastAsia" w:asciiTheme="majorEastAsia" w:hAnsiTheme="majorEastAsia" w:eastAsiaTheme="majorEastAsia" w:cstheme="majorEastAsia"/>
          <w:color w:val="FF0000"/>
          <w:kern w:val="2"/>
          <w:sz w:val="21"/>
          <w:szCs w:val="21"/>
          <w:highlight w:val="yellow"/>
          <w:lang w:val="en-US" w:eastAsia="zh-CN" w:bidi="ar-SA"/>
        </w:rPr>
        <w:t>★提供本项目所需货物品种的注册批件，所提供的每种放射性药品均应符合以下任意一种情形：</w:t>
      </w:r>
    </w:p>
    <w:p w14:paraId="4A20BF1E">
      <w:pPr>
        <w:pStyle w:val="16"/>
        <w:rPr>
          <w:rFonts w:hint="eastAsia" w:asciiTheme="majorEastAsia" w:hAnsiTheme="majorEastAsia" w:eastAsiaTheme="majorEastAsia" w:cstheme="majorEastAsia"/>
          <w:color w:val="FF0000"/>
          <w:kern w:val="2"/>
          <w:sz w:val="21"/>
          <w:szCs w:val="21"/>
          <w:highlight w:val="yellow"/>
          <w:lang w:val="en-US" w:eastAsia="zh-CN" w:bidi="ar-SA"/>
        </w:rPr>
      </w:pPr>
      <w:r>
        <w:rPr>
          <w:rFonts w:hint="eastAsia" w:asciiTheme="majorEastAsia" w:hAnsiTheme="majorEastAsia" w:eastAsiaTheme="majorEastAsia" w:cstheme="majorEastAsia"/>
          <w:color w:val="FF0000"/>
          <w:kern w:val="2"/>
          <w:sz w:val="21"/>
          <w:szCs w:val="21"/>
          <w:highlight w:val="yellow"/>
          <w:lang w:val="en-US" w:eastAsia="zh-CN" w:bidi="ar-SA"/>
        </w:rPr>
        <w:t>①药品具有有效的药品注册证（书）；</w:t>
      </w:r>
    </w:p>
    <w:p w14:paraId="2B9CA52E">
      <w:pPr>
        <w:pStyle w:val="16"/>
        <w:rPr>
          <w:rFonts w:hint="eastAsia" w:asciiTheme="majorEastAsia" w:hAnsiTheme="majorEastAsia" w:eastAsiaTheme="majorEastAsia" w:cstheme="majorEastAsia"/>
          <w:color w:val="FF0000"/>
          <w:kern w:val="2"/>
          <w:sz w:val="21"/>
          <w:szCs w:val="21"/>
          <w:highlight w:val="yellow"/>
          <w:lang w:val="en-US" w:eastAsia="zh-CN" w:bidi="ar-SA"/>
        </w:rPr>
      </w:pPr>
      <w:r>
        <w:rPr>
          <w:rFonts w:hint="eastAsia" w:asciiTheme="majorEastAsia" w:hAnsiTheme="majorEastAsia" w:eastAsiaTheme="majorEastAsia" w:cstheme="majorEastAsia"/>
          <w:color w:val="FF0000"/>
          <w:kern w:val="2"/>
          <w:sz w:val="21"/>
          <w:szCs w:val="21"/>
          <w:highlight w:val="yellow"/>
          <w:lang w:val="en-US" w:eastAsia="zh-CN" w:bidi="ar-SA"/>
        </w:rPr>
        <w:t>②药品具有有效的药品再注册批件；</w:t>
      </w:r>
    </w:p>
    <w:p w14:paraId="1B2A7AF7">
      <w:pPr>
        <w:pStyle w:val="16"/>
        <w:rPr>
          <w:rFonts w:hint="eastAsia" w:asciiTheme="majorEastAsia" w:hAnsiTheme="majorEastAsia" w:eastAsiaTheme="majorEastAsia" w:cstheme="majorEastAsia"/>
          <w:color w:val="FF0000"/>
          <w:kern w:val="2"/>
          <w:sz w:val="21"/>
          <w:szCs w:val="21"/>
          <w:highlight w:val="yellow"/>
          <w:lang w:val="en-US" w:eastAsia="zh-CN" w:bidi="ar-SA"/>
        </w:rPr>
      </w:pPr>
      <w:r>
        <w:rPr>
          <w:rFonts w:hint="eastAsia" w:asciiTheme="majorEastAsia" w:hAnsiTheme="majorEastAsia" w:eastAsiaTheme="majorEastAsia" w:cstheme="majorEastAsia"/>
          <w:color w:val="FF0000"/>
          <w:kern w:val="2"/>
          <w:sz w:val="21"/>
          <w:szCs w:val="21"/>
          <w:highlight w:val="yellow"/>
          <w:lang w:val="en-US" w:eastAsia="zh-CN" w:bidi="ar-SA"/>
        </w:rPr>
        <w:t>③配制的药品符合《关于进一步加强即时标记放射性药品生产企业管理的通知》（国药监安〔2004〕263号）中“即时标记放射性药品生产企业配制的放射性药品必须是经国家药品监督管理局批准并核发了批准文号的品种，生产企业不需再办理该品种的批准文号”规定的，提供相关证明文件。</w:t>
      </w:r>
    </w:p>
    <w:p w14:paraId="72426A02">
      <w:pPr>
        <w:rPr>
          <w:rFonts w:asciiTheme="majorEastAsia" w:hAnsiTheme="majorEastAsia" w:eastAsiaTheme="majorEastAsia" w:cstheme="majorEastAsia"/>
          <w:bCs/>
          <w:szCs w:val="21"/>
        </w:rPr>
      </w:pPr>
    </w:p>
    <w:p w14:paraId="21F36884">
      <w:pPr>
        <w:numPr>
          <w:ilvl w:val="0"/>
          <w:numId w:val="0"/>
        </w:numP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kern w:val="2"/>
          <w:sz w:val="21"/>
          <w:szCs w:val="21"/>
          <w:lang w:val="en-US" w:eastAsia="zh-CN" w:bidi="ar-SA"/>
        </w:rPr>
        <w:t>（二）</w:t>
      </w:r>
      <w:r>
        <w:rPr>
          <w:rFonts w:hint="eastAsia" w:asciiTheme="majorEastAsia" w:hAnsiTheme="majorEastAsia" w:eastAsiaTheme="majorEastAsia" w:cstheme="majorEastAsia"/>
          <w:b/>
          <w:szCs w:val="21"/>
        </w:rPr>
        <w:t>其他要求</w:t>
      </w:r>
    </w:p>
    <w:p w14:paraId="32463771">
      <w:pPr>
        <w:widowControl/>
        <w:jc w:val="left"/>
        <w:rPr>
          <w:b/>
          <w:bCs/>
        </w:rPr>
      </w:pPr>
      <w:r>
        <w:rPr>
          <w:rFonts w:hint="eastAsia"/>
          <w:b/>
          <w:bCs/>
        </w:rPr>
        <w:t>说明：</w:t>
      </w: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以下条款无需投标人响应，均作为采购合同条款，投标人在中标（成交）后均</w:t>
      </w:r>
      <w:r>
        <w:rPr>
          <w:rFonts w:hint="eastAsia" w:asciiTheme="minorEastAsia" w:hAnsiTheme="minorEastAsia" w:eastAsiaTheme="minorEastAsia" w:cstheme="minorEastAsia"/>
          <w:b/>
          <w:bCs/>
          <w:color w:val="000000" w:themeColor="text1"/>
          <w:kern w:val="0"/>
          <w:sz w:val="21"/>
          <w:szCs w:val="21"/>
          <w:lang w:val="en-US" w:eastAsia="zh-CN"/>
          <w14:textFill>
            <w14:solidFill>
              <w14:schemeClr w14:val="tx1"/>
            </w14:solidFill>
          </w14:textFill>
        </w:rPr>
        <w:t>需</w:t>
      </w: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满足。</w:t>
      </w:r>
    </w:p>
    <w:p w14:paraId="5F4F6105">
      <w:pPr>
        <w:ind w:firstLine="420" w:firstLineChars="200"/>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sz w:val="21"/>
          <w:szCs w:val="21"/>
        </w:rPr>
        <w:t>1.</w:t>
      </w:r>
      <w:r>
        <w:rPr>
          <w:rFonts w:hint="eastAsia" w:asciiTheme="majorEastAsia" w:hAnsiTheme="majorEastAsia" w:eastAsiaTheme="majorEastAsia" w:cstheme="majorEastAsia"/>
          <w:szCs w:val="21"/>
        </w:rPr>
        <w:t>中标</w:t>
      </w:r>
      <w:r>
        <w:rPr>
          <w:rFonts w:hint="eastAsia" w:asciiTheme="majorEastAsia" w:hAnsiTheme="majorEastAsia" w:eastAsiaTheme="majorEastAsia" w:cstheme="majorEastAsia"/>
          <w:szCs w:val="21"/>
          <w:lang w:val="en-US" w:eastAsia="zh-CN"/>
        </w:rPr>
        <w:t>人需</w:t>
      </w:r>
      <w:r>
        <w:rPr>
          <w:rFonts w:hint="eastAsia" w:asciiTheme="majorEastAsia" w:hAnsiTheme="majorEastAsia" w:eastAsiaTheme="majorEastAsia" w:cstheme="majorEastAsia"/>
          <w:szCs w:val="21"/>
        </w:rPr>
        <w:t>在采购人指定地点为所供放射性药品的临床应用进行免费现场讲解或培训。</w:t>
      </w:r>
    </w:p>
    <w:p w14:paraId="584D0E8A">
      <w:pPr>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2、中标</w:t>
      </w:r>
      <w:r>
        <w:rPr>
          <w:rFonts w:hint="eastAsia" w:asciiTheme="majorEastAsia" w:hAnsiTheme="majorEastAsia" w:eastAsiaTheme="majorEastAsia" w:cstheme="majorEastAsia"/>
          <w:szCs w:val="21"/>
          <w:lang w:val="en-US" w:eastAsia="zh-CN"/>
        </w:rPr>
        <w:t>人</w:t>
      </w:r>
      <w:r>
        <w:rPr>
          <w:rFonts w:hint="eastAsia" w:asciiTheme="majorEastAsia" w:hAnsiTheme="majorEastAsia" w:eastAsiaTheme="majorEastAsia" w:cstheme="majorEastAsia"/>
          <w:szCs w:val="21"/>
        </w:rPr>
        <w:t>提供给采购人的放射性药品的质量应符合国家制定的相应标准，内外包装均符合国家规定的放射性药品运输要求及放射性药品的相应手续及文件，确保放射性药品的质量及合法性。</w:t>
      </w:r>
    </w:p>
    <w:p w14:paraId="6E63ADD0">
      <w:pPr>
        <w:ind w:firstLine="411" w:firstLineChars="196"/>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3、中标人须根据订购需求</w:t>
      </w:r>
      <w:r>
        <w:rPr>
          <w:rFonts w:hint="eastAsia" w:asciiTheme="majorEastAsia" w:hAnsiTheme="majorEastAsia" w:eastAsiaTheme="majorEastAsia" w:cstheme="majorEastAsia"/>
          <w:szCs w:val="21"/>
          <w:lang w:val="en-US" w:eastAsia="zh-CN"/>
        </w:rPr>
        <w:t>进行</w:t>
      </w:r>
      <w:r>
        <w:rPr>
          <w:rFonts w:hint="eastAsia" w:asciiTheme="majorEastAsia" w:hAnsiTheme="majorEastAsia" w:eastAsiaTheme="majorEastAsia" w:cstheme="majorEastAsia"/>
          <w:szCs w:val="21"/>
        </w:rPr>
        <w:t>药物分装；</w:t>
      </w:r>
    </w:p>
    <w:p w14:paraId="3B274550">
      <w:pPr>
        <w:ind w:firstLine="411" w:firstLineChars="196"/>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4</w:t>
      </w:r>
      <w:r>
        <w:rPr>
          <w:rFonts w:hint="eastAsia" w:asciiTheme="majorEastAsia" w:hAnsiTheme="majorEastAsia" w:eastAsiaTheme="majorEastAsia" w:cstheme="majorEastAsia"/>
          <w:szCs w:val="21"/>
        </w:rPr>
        <w:t>、中标人送达药品的剂量精准度须满足订药的±10%；</w:t>
      </w:r>
    </w:p>
    <w:p w14:paraId="70342915">
      <w:pPr>
        <w:ind w:firstLine="411" w:firstLineChars="196"/>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5</w:t>
      </w:r>
      <w:r>
        <w:rPr>
          <w:rFonts w:hint="eastAsia" w:asciiTheme="majorEastAsia" w:hAnsiTheme="majorEastAsia" w:eastAsiaTheme="majorEastAsia" w:cstheme="majorEastAsia"/>
          <w:szCs w:val="21"/>
        </w:rPr>
        <w:t>、放射性药物需有完善的辐射防屏；</w:t>
      </w:r>
    </w:p>
    <w:p w14:paraId="1979831C">
      <w:pPr>
        <w:ind w:firstLine="411" w:firstLineChars="196"/>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val="en-US" w:eastAsia="zh-CN"/>
        </w:rPr>
        <w:t>6</w:t>
      </w:r>
      <w:r>
        <w:rPr>
          <w:rFonts w:hint="eastAsia" w:asciiTheme="majorEastAsia" w:hAnsiTheme="majorEastAsia" w:eastAsiaTheme="majorEastAsia" w:cstheme="majorEastAsia"/>
          <w:szCs w:val="21"/>
        </w:rPr>
        <w:t>、放射性药品的包装必须安全实用，符合放射性药品质量要求。每种放射性药品含内外标签，并清楚标明：内外标签一致的编号、药物名称、剂量、校准的时间、有效期限、批号、生产单位</w:t>
      </w:r>
      <w:r>
        <w:rPr>
          <w:rFonts w:hint="eastAsia" w:asciiTheme="majorEastAsia" w:hAnsiTheme="majorEastAsia" w:eastAsiaTheme="majorEastAsia" w:cstheme="majorEastAsia"/>
          <w:szCs w:val="21"/>
          <w:lang w:eastAsia="zh-CN"/>
        </w:rPr>
        <w:t>。</w:t>
      </w:r>
    </w:p>
    <w:p w14:paraId="44CE2158">
      <w:pPr>
        <w:ind w:firstLine="411" w:firstLineChars="196"/>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7</w:t>
      </w:r>
      <w:r>
        <w:rPr>
          <w:rFonts w:hint="eastAsia" w:asciiTheme="majorEastAsia" w:hAnsiTheme="majorEastAsia" w:eastAsiaTheme="majorEastAsia" w:cstheme="majorEastAsia"/>
          <w:szCs w:val="21"/>
        </w:rPr>
        <w:t>、说明书上载明的内容必须符合国家相关规定；</w:t>
      </w:r>
    </w:p>
    <w:p w14:paraId="1E5BF99B">
      <w:pPr>
        <w:ind w:firstLine="411" w:firstLineChars="196"/>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8</w:t>
      </w:r>
      <w:r>
        <w:rPr>
          <w:rFonts w:hint="eastAsia" w:asciiTheme="majorEastAsia" w:hAnsiTheme="majorEastAsia" w:eastAsiaTheme="majorEastAsia" w:cstheme="majorEastAsia"/>
          <w:szCs w:val="21"/>
        </w:rPr>
        <w:t>、药物有异常的情况，必须要免费完全回收，且必须要在3小时内再次送到</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rPr>
        <w:t>异常情况，例如：剂量不符、目测药物异常、溢岀/外漏、QC不达标、辐射感染、包装破损、过期等</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rPr>
        <w:t>；</w:t>
      </w:r>
    </w:p>
    <w:p w14:paraId="6D387DAF">
      <w:pPr>
        <w:ind w:firstLine="411" w:firstLineChars="196"/>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9</w:t>
      </w:r>
      <w:r>
        <w:rPr>
          <w:rFonts w:hint="eastAsia" w:asciiTheme="majorEastAsia" w:hAnsiTheme="majorEastAsia" w:eastAsiaTheme="majorEastAsia" w:cstheme="majorEastAsia"/>
          <w:szCs w:val="21"/>
        </w:rPr>
        <w:t>、中标人</w:t>
      </w:r>
      <w:r>
        <w:rPr>
          <w:rFonts w:hint="eastAsia" w:asciiTheme="majorEastAsia" w:hAnsiTheme="majorEastAsia" w:eastAsiaTheme="majorEastAsia" w:cstheme="majorEastAsia"/>
          <w:szCs w:val="21"/>
          <w:lang w:val="en-US" w:eastAsia="zh-CN"/>
        </w:rPr>
        <w:t>需</w:t>
      </w:r>
      <w:r>
        <w:rPr>
          <w:rFonts w:hint="eastAsia" w:asciiTheme="majorEastAsia" w:hAnsiTheme="majorEastAsia" w:eastAsiaTheme="majorEastAsia" w:cstheme="majorEastAsia"/>
          <w:szCs w:val="21"/>
        </w:rPr>
        <w:t>每月按采购人科室确认的实际临床应用数量收费，超时或没有使用的药物退回；</w:t>
      </w:r>
    </w:p>
    <w:p w14:paraId="0D445BDC">
      <w:pPr>
        <w:ind w:firstLine="411" w:firstLineChars="196"/>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10</w:t>
      </w:r>
      <w:r>
        <w:rPr>
          <w:rFonts w:hint="eastAsia" w:asciiTheme="majorEastAsia" w:hAnsiTheme="majorEastAsia" w:eastAsiaTheme="majorEastAsia" w:cstheme="majorEastAsia"/>
          <w:szCs w:val="21"/>
        </w:rPr>
        <w:t>、中标人</w:t>
      </w:r>
      <w:r>
        <w:rPr>
          <w:rFonts w:hint="eastAsia" w:asciiTheme="majorEastAsia" w:hAnsiTheme="majorEastAsia" w:eastAsiaTheme="majorEastAsia" w:cstheme="majorEastAsia"/>
          <w:szCs w:val="21"/>
          <w:lang w:val="en-US" w:eastAsia="zh-CN"/>
        </w:rPr>
        <w:t>需</w:t>
      </w:r>
      <w:r>
        <w:rPr>
          <w:rFonts w:hint="eastAsia" w:asciiTheme="majorEastAsia" w:hAnsiTheme="majorEastAsia" w:eastAsiaTheme="majorEastAsia" w:cstheme="majorEastAsia"/>
          <w:szCs w:val="21"/>
        </w:rPr>
        <w:t>回收所使用药品的防护容器</w:t>
      </w:r>
      <w:r>
        <w:rPr>
          <w:rFonts w:hint="eastAsia" w:asciiTheme="majorEastAsia" w:hAnsiTheme="majorEastAsia" w:eastAsiaTheme="majorEastAsia" w:cstheme="majorEastAsia"/>
          <w:szCs w:val="21"/>
          <w:lang w:val="en-US" w:eastAsia="zh-CN"/>
        </w:rPr>
        <w:t>及</w:t>
      </w:r>
      <w:r>
        <w:rPr>
          <w:rFonts w:hint="eastAsia" w:asciiTheme="majorEastAsia" w:hAnsiTheme="majorEastAsia" w:eastAsiaTheme="majorEastAsia" w:cstheme="majorEastAsia"/>
          <w:szCs w:val="21"/>
        </w:rPr>
        <w:t>外包装；</w:t>
      </w:r>
    </w:p>
    <w:p w14:paraId="6C91DDFD">
      <w:pPr>
        <w:ind w:firstLine="411" w:firstLineChars="196"/>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11</w:t>
      </w:r>
      <w:r>
        <w:rPr>
          <w:rFonts w:hint="eastAsia" w:asciiTheme="majorEastAsia" w:hAnsiTheme="majorEastAsia" w:eastAsiaTheme="majorEastAsia" w:cstheme="majorEastAsia"/>
          <w:szCs w:val="21"/>
        </w:rPr>
        <w:t>、中标人不得限制每天最低或最高药量，具有足量保证医院需求的供药能力，医院每天的用药量不能超出环保部门批准的总活度；</w:t>
      </w:r>
    </w:p>
    <w:p w14:paraId="340EE380">
      <w:pPr>
        <w:ind w:firstLine="411" w:firstLineChars="196"/>
        <w:rPr>
          <w:rFonts w:hint="eastAsia" w:asciiTheme="majorEastAsia" w:hAnsiTheme="majorEastAsia" w:eastAsiaTheme="majorEastAsia" w:cstheme="majorEastAsia"/>
          <w:szCs w:val="21"/>
        </w:rPr>
      </w:pPr>
      <w:bookmarkStart w:id="48" w:name="OLE_LINK5"/>
      <w:r>
        <w:rPr>
          <w:rFonts w:hint="eastAsia" w:asciiTheme="majorEastAsia" w:hAnsiTheme="majorEastAsia" w:eastAsiaTheme="majorEastAsia" w:cstheme="majorEastAsia"/>
          <w:szCs w:val="21"/>
          <w:lang w:val="en-US" w:eastAsia="zh-CN"/>
        </w:rPr>
        <w:t>12</w:t>
      </w:r>
      <w:r>
        <w:rPr>
          <w:rFonts w:hint="eastAsia" w:asciiTheme="majorEastAsia" w:hAnsiTheme="majorEastAsia" w:eastAsiaTheme="majorEastAsia" w:cstheme="majorEastAsia"/>
          <w:b w:val="0"/>
          <w:bCs w:val="0"/>
          <w:sz w:val="21"/>
          <w:szCs w:val="21"/>
          <w:lang w:val="en-US" w:eastAsia="zh-CN"/>
        </w:rPr>
        <w:t>.</w:t>
      </w:r>
      <w:r>
        <w:rPr>
          <w:rFonts w:hint="eastAsia" w:asciiTheme="majorEastAsia" w:hAnsiTheme="majorEastAsia" w:eastAsiaTheme="majorEastAsia" w:cstheme="majorEastAsia"/>
          <w:szCs w:val="21"/>
        </w:rPr>
        <w:t>中标人须按订购要求提供药品，包含但不限于：药品剂量、规格、到货时间等</w:t>
      </w:r>
      <w:bookmarkEnd w:id="48"/>
      <w:r>
        <w:rPr>
          <w:rFonts w:hint="eastAsia" w:asciiTheme="majorEastAsia" w:hAnsiTheme="majorEastAsia" w:eastAsiaTheme="majorEastAsia" w:cstheme="majorEastAsia"/>
          <w:szCs w:val="21"/>
        </w:rPr>
        <w:t>。</w:t>
      </w:r>
    </w:p>
    <w:p w14:paraId="0B1C3498">
      <w:pPr>
        <w:ind w:firstLine="411" w:firstLineChars="196"/>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lang w:eastAsia="zh-CN"/>
        </w:rPr>
        <w:t>1</w:t>
      </w:r>
      <w:r>
        <w:rPr>
          <w:rFonts w:hint="eastAsia" w:asciiTheme="majorEastAsia" w:hAnsiTheme="majorEastAsia" w:eastAsiaTheme="majorEastAsia" w:cstheme="majorEastAsia"/>
          <w:sz w:val="21"/>
          <w:szCs w:val="21"/>
          <w:lang w:val="en-US" w:eastAsia="zh-CN"/>
        </w:rPr>
        <w:t>3.</w:t>
      </w:r>
      <w:r>
        <w:rPr>
          <w:rFonts w:hint="eastAsia" w:asciiTheme="majorEastAsia" w:hAnsiTheme="majorEastAsia" w:eastAsiaTheme="majorEastAsia" w:cstheme="majorEastAsia"/>
          <w:szCs w:val="21"/>
        </w:rPr>
        <w:t>中标人须无条件提供紧急配送服务（包含所有非正常送药时间）。</w:t>
      </w:r>
    </w:p>
    <w:p w14:paraId="343161B2">
      <w:pPr>
        <w:ind w:firstLine="411" w:firstLineChars="196"/>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lang w:eastAsia="zh-CN"/>
        </w:rPr>
        <w:t>1</w:t>
      </w:r>
      <w:r>
        <w:rPr>
          <w:rFonts w:hint="eastAsia" w:asciiTheme="majorEastAsia" w:hAnsiTheme="majorEastAsia" w:eastAsiaTheme="majorEastAsia" w:cstheme="majorEastAsia"/>
          <w:sz w:val="21"/>
          <w:szCs w:val="21"/>
          <w:lang w:val="en-US" w:eastAsia="zh-CN"/>
        </w:rPr>
        <w:t>4.</w:t>
      </w:r>
      <w:r>
        <w:rPr>
          <w:rFonts w:hint="eastAsia" w:asciiTheme="majorEastAsia" w:hAnsiTheme="majorEastAsia" w:eastAsiaTheme="majorEastAsia" w:cstheme="majorEastAsia"/>
          <w:szCs w:val="21"/>
        </w:rPr>
        <w:t>中标人能配合采购人制作每年的转让审批资料。如遇到主管部门检查需要提供药品相关资料，能配合提供。</w:t>
      </w:r>
    </w:p>
    <w:p w14:paraId="59FAA95C">
      <w:pPr>
        <w:ind w:firstLine="411" w:firstLineChars="196"/>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lang w:eastAsia="zh-CN"/>
        </w:rPr>
        <w:t>1</w:t>
      </w: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Cs w:val="21"/>
        </w:rPr>
        <w:t>中标人能按采购人要求提供药品订购记录本或小程序，内容包含但不限于：药品名称、数量、剂量、用药时间等。</w:t>
      </w:r>
    </w:p>
    <w:p w14:paraId="3C454CDC">
      <w:pPr>
        <w:ind w:firstLine="411" w:firstLineChars="196"/>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lang w:eastAsia="zh-CN"/>
        </w:rPr>
        <w:t>1</w:t>
      </w:r>
      <w:r>
        <w:rPr>
          <w:rFonts w:hint="eastAsia" w:asciiTheme="majorEastAsia" w:hAnsiTheme="majorEastAsia" w:eastAsiaTheme="majorEastAsia" w:cstheme="majorEastAsia"/>
          <w:sz w:val="21"/>
          <w:szCs w:val="21"/>
          <w:lang w:val="en-US" w:eastAsia="zh-CN"/>
        </w:rPr>
        <w:t>6.</w:t>
      </w:r>
      <w:r>
        <w:rPr>
          <w:rFonts w:hint="eastAsia" w:asciiTheme="majorEastAsia" w:hAnsiTheme="majorEastAsia" w:eastAsiaTheme="majorEastAsia" w:cstheme="majorEastAsia"/>
          <w:szCs w:val="21"/>
        </w:rPr>
        <w:t>中标人能配合采购人提供每年至少</w:t>
      </w:r>
      <w:r>
        <w:rPr>
          <w:rFonts w:hint="eastAsia" w:asciiTheme="majorEastAsia" w:hAnsiTheme="majorEastAsia" w:eastAsiaTheme="majorEastAsia" w:cstheme="majorEastAsia"/>
          <w:szCs w:val="21"/>
          <w:lang w:eastAsia="zh-CN"/>
        </w:rPr>
        <w:t>4</w:t>
      </w:r>
      <w:r>
        <w:rPr>
          <w:rFonts w:hint="eastAsia" w:asciiTheme="majorEastAsia" w:hAnsiTheme="majorEastAsia" w:eastAsiaTheme="majorEastAsia" w:cstheme="majorEastAsia"/>
          <w:szCs w:val="21"/>
        </w:rPr>
        <w:t>次设备质控药品（费用包含在投标报价中）。</w:t>
      </w:r>
    </w:p>
    <w:p w14:paraId="39A49BF6">
      <w:pPr>
        <w:ind w:firstLine="411" w:firstLineChars="196"/>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lang w:eastAsia="zh-CN"/>
        </w:rPr>
        <w:t>1</w:t>
      </w:r>
      <w:r>
        <w:rPr>
          <w:rFonts w:hint="eastAsia" w:asciiTheme="majorEastAsia" w:hAnsiTheme="majorEastAsia" w:eastAsiaTheme="majorEastAsia" w:cstheme="majorEastAsia"/>
          <w:sz w:val="21"/>
          <w:szCs w:val="21"/>
          <w:lang w:val="en-US" w:eastAsia="zh-CN"/>
        </w:rPr>
        <w:t>7.</w:t>
      </w:r>
      <w:r>
        <w:rPr>
          <w:rFonts w:hint="eastAsia" w:asciiTheme="majorEastAsia" w:hAnsiTheme="majorEastAsia" w:eastAsiaTheme="majorEastAsia" w:cstheme="majorEastAsia"/>
          <w:szCs w:val="21"/>
        </w:rPr>
        <w:t>中标人能按采购人特殊需求定制药品剂量。如儿童和超肥胖患者等情况以特殊订药剂量为准。</w:t>
      </w:r>
    </w:p>
    <w:p w14:paraId="27E6E110">
      <w:pPr>
        <w:ind w:firstLine="411" w:firstLineChars="196"/>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lang w:eastAsia="zh-CN"/>
        </w:rPr>
        <w:t>1</w:t>
      </w:r>
      <w:r>
        <w:rPr>
          <w:rFonts w:hint="eastAsia" w:asciiTheme="majorEastAsia" w:hAnsiTheme="majorEastAsia" w:eastAsiaTheme="majorEastAsia" w:cstheme="majorEastAsia"/>
          <w:sz w:val="21"/>
          <w:szCs w:val="21"/>
          <w:lang w:val="en-US" w:eastAsia="zh-CN"/>
        </w:rPr>
        <w:t>8.</w:t>
      </w:r>
      <w:r>
        <w:rPr>
          <w:rFonts w:hint="eastAsia" w:asciiTheme="majorEastAsia" w:hAnsiTheme="majorEastAsia" w:eastAsiaTheme="majorEastAsia" w:cstheme="majorEastAsia"/>
          <w:szCs w:val="21"/>
        </w:rPr>
        <w:t>药品配送同时中标人需提供一份所订购药品的出厂生产厂家质检报告，并加盖中标人公章。</w:t>
      </w:r>
    </w:p>
    <w:p w14:paraId="64651393">
      <w:pPr>
        <w:ind w:firstLine="411" w:firstLineChars="196"/>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 w:val="21"/>
          <w:szCs w:val="21"/>
          <w:lang w:eastAsia="zh-CN"/>
        </w:rPr>
        <w:t>1</w:t>
      </w:r>
      <w:r>
        <w:rPr>
          <w:rFonts w:hint="eastAsia" w:asciiTheme="majorEastAsia" w:hAnsiTheme="majorEastAsia" w:eastAsiaTheme="majorEastAsia" w:cstheme="majorEastAsia"/>
          <w:sz w:val="21"/>
          <w:szCs w:val="21"/>
          <w:lang w:val="en-US" w:eastAsia="zh-CN"/>
        </w:rPr>
        <w:t>9.</w:t>
      </w:r>
      <w:r>
        <w:rPr>
          <w:rFonts w:hint="eastAsia" w:asciiTheme="majorEastAsia" w:hAnsiTheme="majorEastAsia" w:eastAsiaTheme="majorEastAsia" w:cstheme="majorEastAsia"/>
          <w:szCs w:val="21"/>
        </w:rPr>
        <w:t>中标人负责将药物安全无损运抵采购人指定地点，药物配送的包装、运输、保险、质量检测等费用包含在投标报价中。</w:t>
      </w:r>
    </w:p>
    <w:p w14:paraId="241B0CA6">
      <w:pPr>
        <w:ind w:firstLine="411" w:firstLineChars="196"/>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val="en-US" w:eastAsia="zh-CN"/>
        </w:rPr>
        <w:t>20.</w:t>
      </w:r>
      <w:r>
        <w:rPr>
          <w:rFonts w:hint="eastAsia" w:asciiTheme="majorEastAsia" w:hAnsiTheme="majorEastAsia" w:eastAsiaTheme="majorEastAsia" w:cstheme="majorEastAsia"/>
          <w:szCs w:val="21"/>
          <w:lang w:eastAsia="zh-CN"/>
        </w:rPr>
        <w:t>中标人应按其投标文件中的承诺，进行其他售后服务工作，具备完善的售后服务制度、服务流程、服务团队，以及提供售后培训方案、特殊情况应急方案。</w:t>
      </w:r>
    </w:p>
    <w:p w14:paraId="7ACB8A15">
      <w:pPr>
        <w:ind w:firstLine="411" w:firstLineChars="196"/>
        <w:rPr>
          <w:rFonts w:hint="default"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val="en-US" w:eastAsia="zh-CN"/>
        </w:rPr>
        <w:t>21.</w:t>
      </w:r>
      <w:r>
        <w:rPr>
          <w:rFonts w:hint="eastAsia" w:asciiTheme="majorEastAsia" w:hAnsiTheme="majorEastAsia" w:eastAsiaTheme="majorEastAsia" w:cstheme="majorEastAsia"/>
          <w:szCs w:val="21"/>
        </w:rPr>
        <w:t>如患者病情变化临时不能进行检查，或者机器故障导致配送药物没有使用，中标人则不能收取费用。</w:t>
      </w:r>
    </w:p>
    <w:p w14:paraId="1D683068">
      <w:pPr>
        <w:ind w:firstLine="411" w:firstLineChars="196"/>
        <w:rPr>
          <w:rFonts w:asciiTheme="majorEastAsia" w:hAnsiTheme="majorEastAsia" w:eastAsiaTheme="majorEastAsia" w:cstheme="majorEastAsia"/>
          <w:szCs w:val="21"/>
        </w:rPr>
      </w:pPr>
    </w:p>
    <w:p w14:paraId="6144AC1A">
      <w:pPr>
        <w:pStyle w:val="3"/>
        <w:numPr>
          <w:ilvl w:val="0"/>
          <w:numId w:val="0"/>
        </w:numPr>
        <w:spacing w:before="120" w:beforeLines="50" w:after="120" w:afterLines="50"/>
        <w:rPr>
          <w:sz w:val="28"/>
          <w:szCs w:val="28"/>
        </w:rPr>
      </w:pPr>
      <w:r>
        <w:rPr>
          <w:rFonts w:hint="eastAsia" w:ascii="宋体" w:hAnsi="宋体" w:eastAsia="宋体" w:cs="Times New Roman"/>
          <w:b/>
          <w:bCs/>
          <w:kern w:val="0"/>
          <w:sz w:val="28"/>
          <w:szCs w:val="28"/>
          <w:lang w:val="en-US" w:eastAsia="zh-CN" w:bidi="ar-SA"/>
        </w:rPr>
        <w:t>五、</w:t>
      </w:r>
      <w:r>
        <w:rPr>
          <w:rFonts w:hint="eastAsia"/>
          <w:sz w:val="28"/>
          <w:szCs w:val="28"/>
        </w:rPr>
        <w:t>商务要求</w:t>
      </w:r>
    </w:p>
    <w:p w14:paraId="2DE5D253">
      <w:pPr>
        <w:widowControl/>
        <w:jc w:val="left"/>
        <w:rPr>
          <w:rFonts w:hint="eastAsia" w:asciiTheme="minorEastAsia" w:hAnsiTheme="minorEastAsia" w:eastAsiaTheme="minorEastAsia" w:cstheme="minorEastAsia"/>
          <w:b/>
          <w:bCs/>
          <w:color w:val="000000" w:themeColor="text1"/>
          <w:kern w:val="0"/>
          <w:szCs w:val="21"/>
          <w14:textFill>
            <w14:solidFill>
              <w14:schemeClr w14:val="tx1"/>
            </w14:solidFill>
          </w14:textFill>
        </w:rPr>
      </w:pPr>
    </w:p>
    <w:p w14:paraId="176E6562">
      <w:pPr>
        <w:widowControl/>
        <w:jc w:val="left"/>
        <w:rPr>
          <w:rFonts w:hint="default" w:asciiTheme="minorEastAsia" w:hAnsiTheme="minorEastAsia" w:eastAsiaTheme="minorEastAsia" w:cstheme="minorEastAsia"/>
          <w:b/>
          <w:bCs/>
          <w:color w:val="000000" w:themeColor="text1"/>
          <w:kern w:val="0"/>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lang w:val="en-US" w:eastAsia="zh-CN"/>
          <w14:textFill>
            <w14:solidFill>
              <w14:schemeClr w14:val="tx1"/>
            </w14:solidFill>
          </w14:textFill>
        </w:rPr>
        <w:t>说明：</w:t>
      </w: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以下条款无需投标人响应，均作为采购合同条款，投标人在中标（成交）后均</w:t>
      </w:r>
      <w:r>
        <w:rPr>
          <w:rFonts w:hint="eastAsia" w:asciiTheme="minorEastAsia" w:hAnsiTheme="minorEastAsia" w:eastAsiaTheme="minorEastAsia" w:cstheme="minorEastAsia"/>
          <w:b/>
          <w:bCs/>
          <w:color w:val="000000" w:themeColor="text1"/>
          <w:kern w:val="0"/>
          <w:sz w:val="21"/>
          <w:szCs w:val="21"/>
          <w:lang w:val="en-US" w:eastAsia="zh-CN"/>
          <w14:textFill>
            <w14:solidFill>
              <w14:schemeClr w14:val="tx1"/>
            </w14:solidFill>
          </w14:textFill>
        </w:rPr>
        <w:t>需</w:t>
      </w: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满足。</w:t>
      </w:r>
    </w:p>
    <w:p w14:paraId="5010982E">
      <w:pPr>
        <w:widowControl/>
        <w:spacing w:beforeLines="0" w:afterLines="0"/>
        <w:ind w:firstLine="422" w:firstLineChars="200"/>
        <w:jc w:val="left"/>
        <w:rPr>
          <w:rFonts w:asciiTheme="minorEastAsia" w:hAnsiTheme="minorEastAsia" w:eastAsiaTheme="minorEastAsia" w:cstheme="minorEastAsia"/>
          <w:b/>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（一）包装要求</w:t>
      </w:r>
    </w:p>
    <w:p w14:paraId="2485D922">
      <w:pPr>
        <w:widowControl/>
        <w:spacing w:beforeLines="0" w:afterLines="0"/>
        <w:ind w:firstLine="420" w:firstLineChars="200"/>
        <w:jc w:val="lef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1、放射性药品外包装标签上应标示品名、规格、产地、生产企业、产品批号、生产日期及质量合格标志等；</w:t>
      </w:r>
    </w:p>
    <w:p w14:paraId="3E132293">
      <w:pPr>
        <w:widowControl/>
        <w:spacing w:beforeLines="0" w:afterLines="0"/>
        <w:ind w:firstLine="420" w:firstLineChars="200"/>
        <w:jc w:val="lef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2、以保证货物的完好无损为标准。</w:t>
      </w:r>
    </w:p>
    <w:p w14:paraId="18824B68">
      <w:pPr>
        <w:spacing w:beforeLines="0" w:afterLines="0"/>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（二）配送要求</w:t>
      </w:r>
    </w:p>
    <w:p w14:paraId="53773D35">
      <w:pPr>
        <w:pStyle w:val="18"/>
        <w:spacing w:beforeLines="0" w:afterLines="0" w:line="240" w:lineRule="auto"/>
        <w:ind w:firstLine="420" w:firstLineChars="200"/>
        <w:rPr>
          <w:rFonts w:asciiTheme="minorEastAsia" w:hAnsiTheme="minorEastAsia" w:eastAsiaTheme="minorEastAsia" w:cstheme="minorEastAsia"/>
          <w:b w:val="0"/>
          <w:sz w:val="21"/>
          <w:szCs w:val="21"/>
        </w:rPr>
      </w:pPr>
      <w:r>
        <w:rPr>
          <w:rFonts w:hint="eastAsia" w:asciiTheme="minorEastAsia" w:hAnsiTheme="minorEastAsia" w:eastAsiaTheme="minorEastAsia" w:cstheme="minorEastAsia"/>
          <w:b w:val="0"/>
          <w:color w:val="000000" w:themeColor="text1"/>
          <w:kern w:val="0"/>
          <w:sz w:val="21"/>
          <w:szCs w:val="21"/>
          <w14:textFill>
            <w14:solidFill>
              <w14:schemeClr w14:val="tx1"/>
            </w14:solidFill>
          </w14:textFill>
        </w:rPr>
        <w:t>中标单位</w:t>
      </w:r>
      <w:r>
        <w:rPr>
          <w:rFonts w:hint="eastAsia" w:asciiTheme="minorEastAsia" w:hAnsiTheme="minorEastAsia" w:eastAsiaTheme="minorEastAsia" w:cstheme="minorEastAsia"/>
          <w:b w:val="0"/>
          <w:sz w:val="21"/>
          <w:szCs w:val="21"/>
        </w:rPr>
        <w:t>所投产品内外包装均符合国家规定的放射性药品运输要求。</w:t>
      </w:r>
    </w:p>
    <w:p w14:paraId="3BCD4583">
      <w:pPr>
        <w:spacing w:beforeLines="0" w:afterLines="0"/>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（三）质保期及售后服务</w:t>
      </w:r>
    </w:p>
    <w:p w14:paraId="4925470B">
      <w:pPr>
        <w:pStyle w:val="18"/>
        <w:spacing w:beforeLines="0" w:afterLines="0" w:line="240" w:lineRule="auto"/>
        <w:ind w:firstLine="420" w:firstLineChars="200"/>
        <w:rPr>
          <w:rFonts w:asciiTheme="minorEastAsia" w:hAnsiTheme="minorEastAsia" w:eastAsiaTheme="minorEastAsia" w:cstheme="minorEastAsia"/>
          <w:b w:val="0"/>
          <w:sz w:val="21"/>
          <w:szCs w:val="21"/>
        </w:rPr>
      </w:pPr>
      <w:r>
        <w:rPr>
          <w:rFonts w:hint="eastAsia" w:asciiTheme="minorEastAsia" w:hAnsiTheme="minorEastAsia" w:eastAsiaTheme="minorEastAsia" w:cstheme="minorEastAsia"/>
          <w:b w:val="0"/>
          <w:sz w:val="21"/>
          <w:szCs w:val="21"/>
        </w:rPr>
        <w:t>1、质保期：</w:t>
      </w:r>
      <w:r>
        <w:rPr>
          <w:rFonts w:hint="eastAsia" w:asciiTheme="minorEastAsia" w:hAnsiTheme="minorEastAsia" w:eastAsiaTheme="minorEastAsia" w:cstheme="minorEastAsia"/>
          <w:b w:val="0"/>
          <w:kern w:val="0"/>
          <w:sz w:val="21"/>
          <w:szCs w:val="21"/>
        </w:rPr>
        <w:t>碘[131I]化钠8天；锝及锝标记的化合物：</w:t>
      </w:r>
      <w:r>
        <w:rPr>
          <w:rFonts w:hint="eastAsia" w:asciiTheme="minorEastAsia" w:hAnsiTheme="minorEastAsia" w:eastAsiaTheme="minorEastAsia" w:cstheme="minorEastAsia"/>
          <w:b w:val="0"/>
          <w:sz w:val="21"/>
          <w:szCs w:val="21"/>
        </w:rPr>
        <w:t>6小时；氯化锶[89Sr]：50天</w:t>
      </w:r>
      <w:r>
        <w:rPr>
          <w:rFonts w:hint="eastAsia" w:asciiTheme="minorEastAsia" w:hAnsiTheme="minorEastAsia" w:eastAsiaTheme="minorEastAsia" w:cstheme="minorEastAsia"/>
          <w:b w:val="0"/>
          <w:sz w:val="21"/>
          <w:szCs w:val="21"/>
          <w:lang w:eastAsia="zh-CN"/>
        </w:rPr>
        <w:t>；</w:t>
      </w:r>
      <w:r>
        <w:rPr>
          <w:rFonts w:hint="eastAsia" w:asciiTheme="minorEastAsia" w:hAnsiTheme="minorEastAsia" w:eastAsiaTheme="minorEastAsia" w:cstheme="minorEastAsia"/>
          <w:b w:val="0"/>
          <w:sz w:val="21"/>
          <w:szCs w:val="21"/>
        </w:rPr>
        <w:t>碘[125I]密封籽源60天。</w:t>
      </w:r>
    </w:p>
    <w:p w14:paraId="40295E2B">
      <w:pPr>
        <w:pStyle w:val="18"/>
        <w:spacing w:beforeLines="0" w:afterLines="0" w:line="240" w:lineRule="auto"/>
        <w:ind w:firstLine="420" w:firstLineChars="200"/>
        <w:rPr>
          <w:rFonts w:asciiTheme="minorEastAsia" w:hAnsiTheme="minorEastAsia" w:eastAsiaTheme="minorEastAsia" w:cstheme="minorEastAsia"/>
          <w:b w:val="0"/>
          <w:sz w:val="21"/>
          <w:szCs w:val="21"/>
        </w:rPr>
      </w:pPr>
      <w:r>
        <w:rPr>
          <w:rFonts w:hint="eastAsia" w:asciiTheme="minorEastAsia" w:hAnsiTheme="minorEastAsia" w:eastAsiaTheme="minorEastAsia" w:cstheme="minorEastAsia"/>
          <w:b w:val="0"/>
          <w:sz w:val="21"/>
          <w:szCs w:val="21"/>
        </w:rPr>
        <w:t>2、</w:t>
      </w:r>
      <w:r>
        <w:rPr>
          <w:rFonts w:hint="eastAsia" w:asciiTheme="minorEastAsia" w:hAnsiTheme="minorEastAsia" w:eastAsiaTheme="minorEastAsia" w:cstheme="minorEastAsia"/>
          <w:b w:val="0"/>
          <w:kern w:val="0"/>
          <w:sz w:val="21"/>
          <w:szCs w:val="21"/>
        </w:rPr>
        <w:t>中标</w:t>
      </w:r>
      <w:r>
        <w:rPr>
          <w:rFonts w:hint="eastAsia" w:asciiTheme="minorEastAsia" w:hAnsiTheme="minorEastAsia" w:eastAsiaTheme="minorEastAsia" w:cstheme="minorEastAsia"/>
          <w:b w:val="0"/>
          <w:kern w:val="0"/>
          <w:sz w:val="21"/>
          <w:szCs w:val="21"/>
          <w:lang w:val="en-US" w:eastAsia="zh-CN"/>
        </w:rPr>
        <w:t>人</w:t>
      </w:r>
      <w:r>
        <w:rPr>
          <w:rFonts w:hint="eastAsia" w:asciiTheme="minorEastAsia" w:hAnsiTheme="minorEastAsia" w:eastAsiaTheme="minorEastAsia" w:cstheme="minorEastAsia"/>
          <w:b w:val="0"/>
          <w:sz w:val="21"/>
          <w:szCs w:val="21"/>
        </w:rPr>
        <w:t>提供质保期内放射性药品。在质保期内，如货物非因采购人的人为故意原因而出现的质量问题由</w:t>
      </w:r>
      <w:r>
        <w:rPr>
          <w:rFonts w:hint="eastAsia" w:asciiTheme="minorEastAsia" w:hAnsiTheme="minorEastAsia" w:eastAsiaTheme="minorEastAsia" w:cstheme="minorEastAsia"/>
          <w:b w:val="0"/>
          <w:sz w:val="21"/>
          <w:szCs w:val="21"/>
          <w:lang w:val="en-US" w:eastAsia="zh-CN"/>
        </w:rPr>
        <w:t>中标人</w:t>
      </w:r>
      <w:r>
        <w:rPr>
          <w:rFonts w:hint="eastAsia" w:asciiTheme="minorEastAsia" w:hAnsiTheme="minorEastAsia" w:eastAsiaTheme="minorEastAsia" w:cstheme="minorEastAsia"/>
          <w:b w:val="0"/>
          <w:sz w:val="21"/>
          <w:szCs w:val="21"/>
        </w:rPr>
        <w:t>负责对问题件进行包修、包换或包退，并承担修理、调换或退货的实际费用。</w:t>
      </w:r>
    </w:p>
    <w:p w14:paraId="30439393">
      <w:pPr>
        <w:widowControl/>
        <w:spacing w:beforeLines="0" w:afterLines="0"/>
        <w:ind w:firstLine="422" w:firstLineChars="200"/>
        <w:jc w:val="left"/>
        <w:rPr>
          <w:rFonts w:asciiTheme="minorEastAsia" w:hAnsiTheme="minorEastAsia" w:eastAsiaTheme="minorEastAsia" w:cstheme="minorEastAsia"/>
          <w:b/>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（四）交货时间</w:t>
      </w:r>
    </w:p>
    <w:p w14:paraId="0C33D1A9">
      <w:pPr>
        <w:spacing w:beforeLines="0" w:afterLines="0"/>
        <w:ind w:firstLine="420" w:firstLineChars="200"/>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采购人临床应用的放射性药品在前一个工作日17:00前向中标单位预约，中标单位收到预约通知后以电话或手机短信的方式予以确认，在第二天早上8点前将放射性药品送到使用科室（核医学科）备用，并收回前一天的铅罐；或者按预约要求的时间、放射性药品数量送到使用科室（核医学科）备用，待手术完成后将未使用的放射性药品及时回收。</w:t>
      </w: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 xml:space="preserve">   </w:t>
      </w:r>
    </w:p>
    <w:p w14:paraId="640DE070">
      <w:pPr>
        <w:widowControl/>
        <w:spacing w:beforeLines="0" w:afterLines="0"/>
        <w:ind w:firstLine="420" w:firstLineChars="200"/>
        <w:jc w:val="left"/>
        <w:rPr>
          <w:rFonts w:hint="default" w:asciiTheme="minorEastAsia" w:hAnsiTheme="minorEastAsia" w:eastAsiaTheme="minorEastAsia" w:cstheme="minorEastAsia"/>
          <w:color w:val="000000" w:themeColor="text1"/>
          <w:kern w:val="0"/>
          <w:szCs w:val="21"/>
          <w:lang w:val="en-US"/>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中标人应按照采购人提前预约的采购需求及数量，做到分批次定时送药，如有</w:t>
      </w:r>
      <w:r>
        <w:rPr>
          <w:rFonts w:hint="eastAsia" w:asciiTheme="minorEastAsia" w:hAnsiTheme="minorEastAsia" w:eastAsiaTheme="minorEastAsia" w:cstheme="minorEastAsia"/>
          <w:color w:val="000000" w:themeColor="text1"/>
          <w:kern w:val="0"/>
          <w:szCs w:val="21"/>
          <w14:textFill>
            <w14:solidFill>
              <w14:schemeClr w14:val="tx1"/>
            </w14:solidFill>
          </w14:textFill>
        </w:rPr>
        <w:t>紧急需要时，</w:t>
      </w: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需做到</w:t>
      </w:r>
      <w:r>
        <w:rPr>
          <w:rFonts w:hint="eastAsia" w:asciiTheme="minorEastAsia" w:hAnsiTheme="minorEastAsia" w:eastAsiaTheme="minorEastAsia" w:cstheme="minorEastAsia"/>
          <w:color w:val="000000" w:themeColor="text1"/>
          <w:kern w:val="0"/>
          <w:szCs w:val="21"/>
          <w14:textFill>
            <w14:solidFill>
              <w14:schemeClr w14:val="tx1"/>
            </w14:solidFill>
          </w14:textFill>
        </w:rPr>
        <w:t>临时加送药物。</w:t>
      </w:r>
    </w:p>
    <w:p w14:paraId="43FE4F42">
      <w:pPr>
        <w:widowControl/>
        <w:spacing w:beforeLines="0" w:afterLines="0"/>
        <w:ind w:firstLine="420" w:firstLineChars="200"/>
        <w:jc w:val="lef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3、采购人收到中标</w:t>
      </w: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送货后及时对放射性药品进行验收，验收项目包括：品名、规格、放射性活度、外观质量、货物包装是否完好；成交供应商保证送货文件的真实、完整。采购人验收合格后视为确认收货。</w:t>
      </w:r>
    </w:p>
    <w:p w14:paraId="3F181A0A">
      <w:pPr>
        <w:widowControl/>
        <w:spacing w:beforeLines="0" w:afterLines="0"/>
        <w:ind w:firstLine="420" w:firstLineChars="200"/>
        <w:jc w:val="lef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4、交货地点：深圳市龙岗中心医院指定地点。</w:t>
      </w:r>
    </w:p>
    <w:p w14:paraId="42607990">
      <w:pPr>
        <w:widowControl/>
        <w:spacing w:beforeLines="0" w:afterLines="0"/>
        <w:ind w:firstLine="422" w:firstLineChars="200"/>
        <w:jc w:val="left"/>
        <w:rPr>
          <w:rFonts w:asciiTheme="minorEastAsia" w:hAnsiTheme="minorEastAsia" w:eastAsiaTheme="minorEastAsia" w:cstheme="minorEastAsia"/>
          <w:b/>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
          <w:bCs/>
          <w:szCs w:val="21"/>
          <w:lang w:eastAsia="zh-CN"/>
        </w:rPr>
        <w:t>（</w:t>
      </w:r>
      <w:r>
        <w:rPr>
          <w:rFonts w:hint="eastAsia" w:asciiTheme="minorEastAsia" w:hAnsiTheme="minorEastAsia" w:eastAsiaTheme="minorEastAsia" w:cstheme="minorEastAsia"/>
          <w:b/>
          <w:bCs/>
          <w:szCs w:val="21"/>
          <w:lang w:val="en-US" w:eastAsia="zh-CN"/>
        </w:rPr>
        <w:t>五</w:t>
      </w:r>
      <w:r>
        <w:rPr>
          <w:rFonts w:hint="eastAsia" w:asciiTheme="minorEastAsia" w:hAnsiTheme="minorEastAsia" w:eastAsiaTheme="minorEastAsia" w:cstheme="minorEastAsia"/>
          <w:b/>
          <w:bCs/>
          <w:szCs w:val="21"/>
          <w:lang w:eastAsia="zh-CN"/>
        </w:rPr>
        <w:t>）</w:t>
      </w: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供货期限</w:t>
      </w:r>
    </w:p>
    <w:p w14:paraId="66CCF1A8">
      <w:pPr>
        <w:widowControl/>
        <w:spacing w:beforeLines="0" w:afterLines="0"/>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szCs w:val="21"/>
          <w:highlight w:val="none"/>
        </w:rPr>
        <w:t>自合同签订之日起一年。</w:t>
      </w:r>
      <w:r>
        <w:rPr>
          <w:rFonts w:hint="eastAsia" w:asciiTheme="minorEastAsia" w:hAnsiTheme="minorEastAsia" w:eastAsiaTheme="minorEastAsia" w:cstheme="minorEastAsia"/>
          <w:szCs w:val="21"/>
        </w:rPr>
        <w:t>供货期内保持单价不变，按实际用量结算，合同期满后，采购人根据中标单位的履约情况及产品质量可续签下一个年度合同，续签合同履行期限最长不超过24个月。</w:t>
      </w:r>
    </w:p>
    <w:p w14:paraId="5DFAEC8D">
      <w:pPr>
        <w:widowControl/>
        <w:spacing w:beforeLines="0" w:afterLines="0"/>
        <w:ind w:firstLine="422" w:firstLineChars="200"/>
        <w:jc w:val="left"/>
        <w:rPr>
          <w:rFonts w:asciiTheme="minorEastAsia" w:hAnsiTheme="minorEastAsia" w:eastAsiaTheme="minorEastAsia" w:cstheme="minorEastAsia"/>
          <w:b/>
          <w:bCs/>
          <w:color w:val="000000" w:themeColor="text1"/>
          <w:kern w:val="0"/>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Cs w:val="21"/>
          <w:lang w:val="en-US" w:eastAsia="zh-CN"/>
          <w14:textFill>
            <w14:solidFill>
              <w14:schemeClr w14:val="tx1"/>
            </w14:solidFill>
          </w14:textFill>
        </w:rPr>
        <w:t>六</w:t>
      </w:r>
      <w:r>
        <w:rPr>
          <w:rFonts w:hint="eastAsia" w:asciiTheme="minorEastAsia" w:hAnsiTheme="minorEastAsia" w:eastAsiaTheme="minorEastAsia" w:cstheme="minorEastAsia"/>
          <w:b/>
          <w:bCs/>
          <w:color w:val="000000" w:themeColor="text1"/>
          <w:kern w:val="0"/>
          <w:szCs w:val="21"/>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付款方式</w:t>
      </w:r>
    </w:p>
    <w:p w14:paraId="4627BDEA">
      <w:pPr>
        <w:widowControl/>
        <w:spacing w:beforeLines="0" w:afterLines="0"/>
        <w:ind w:firstLine="420" w:firstLineChars="200"/>
        <w:jc w:val="lef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Cs w:val="21"/>
          <w14:textFill>
            <w14:solidFill>
              <w14:schemeClr w14:val="tx1"/>
            </w14:solidFill>
          </w14:textFill>
        </w:rPr>
        <w:t>因采购放射性药品单项品种数量不固定，以实际采购需求为准，先供货且提供发票后付款，按月结算。采购人对所购商品验收合格后，按合同约定周期支付货款，以转账方式付款。</w:t>
      </w:r>
    </w:p>
    <w:p w14:paraId="0B3BB842">
      <w:pPr>
        <w:widowControl/>
        <w:spacing w:beforeLines="0" w:afterLines="0"/>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Cs w:val="21"/>
          <w14:textFill>
            <w14:solidFill>
              <w14:schemeClr w14:val="tx1"/>
            </w14:solidFill>
          </w14:textFill>
        </w:rPr>
        <w:t>中标人按照采购人提供的放射性药品报价明细表进行供货。</w:t>
      </w:r>
    </w:p>
    <w:p w14:paraId="0B924CE5">
      <w:pPr>
        <w:numPr>
          <w:ilvl w:val="0"/>
          <w:numId w:val="0"/>
        </w:numPr>
        <w:spacing w:beforeLines="0" w:afterLines="0"/>
        <w:ind w:firstLine="422"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
          <w:bCs/>
          <w:color w:val="000000" w:themeColor="text1"/>
          <w:kern w:val="0"/>
          <w:szCs w:val="21"/>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Cs w:val="21"/>
          <w:lang w:val="en-US" w:eastAsia="zh-CN"/>
          <w14:textFill>
            <w14:solidFill>
              <w14:schemeClr w14:val="tx1"/>
            </w14:solidFill>
          </w14:textFill>
        </w:rPr>
        <w:t>七</w:t>
      </w:r>
      <w:r>
        <w:rPr>
          <w:rFonts w:hint="eastAsia" w:asciiTheme="minorEastAsia" w:hAnsiTheme="minorEastAsia" w:eastAsiaTheme="minorEastAsia" w:cstheme="minorEastAsia"/>
          <w:b/>
          <w:bCs/>
          <w:color w:val="000000" w:themeColor="text1"/>
          <w:kern w:val="0"/>
          <w:szCs w:val="21"/>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验收要求</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bCs/>
          <w:szCs w:val="21"/>
        </w:rPr>
        <w:t>验收应在双方共同参加下进行，依据制定的方案及国家有关规定、规范进行。</w:t>
      </w:r>
    </w:p>
    <w:p w14:paraId="6461D6FF">
      <w:pPr>
        <w:pStyle w:val="18"/>
        <w:numPr>
          <w:ilvl w:val="0"/>
          <w:numId w:val="0"/>
        </w:numPr>
        <w:spacing w:beforeLines="0" w:afterLines="0" w:line="240" w:lineRule="auto"/>
        <w:ind w:firstLine="422" w:firstLineChars="200"/>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lang w:val="en-US" w:eastAsia="zh-CN" w:bidi="ar-SA"/>
          <w14:textFill>
            <w14:solidFill>
              <w14:schemeClr w14:val="tx1"/>
            </w14:solidFill>
          </w14:textFill>
        </w:rPr>
        <w:t>（八）</w:t>
      </w:r>
      <w:r>
        <w:rPr>
          <w:rFonts w:hint="eastAsia" w:asciiTheme="minorEastAsia" w:hAnsiTheme="minorEastAsia" w:eastAsiaTheme="minorEastAsia" w:cstheme="minorEastAsia"/>
          <w:bCs/>
          <w:color w:val="000000" w:themeColor="text1"/>
          <w:kern w:val="0"/>
          <w:sz w:val="21"/>
          <w:szCs w:val="21"/>
          <w:lang w:val="en-US" w:eastAsia="zh-CN"/>
          <w14:textFill>
            <w14:solidFill>
              <w14:schemeClr w14:val="tx1"/>
            </w14:solidFill>
          </w14:textFill>
        </w:rPr>
        <w:t>知识产权</w:t>
      </w:r>
    </w:p>
    <w:p w14:paraId="24A670A4">
      <w:pPr>
        <w:pStyle w:val="18"/>
        <w:numPr>
          <w:ilvl w:val="-1"/>
          <w:numId w:val="0"/>
        </w:numPr>
        <w:spacing w:beforeLines="0" w:afterLines="0" w:line="240" w:lineRule="auto"/>
        <w:ind w:firstLine="420" w:firstLineChars="200"/>
        <w:rPr>
          <w:rFonts w:hint="eastAsia" w:asciiTheme="minorEastAsia" w:hAnsiTheme="minorEastAsia" w:eastAsiaTheme="minorEastAsia" w:cstheme="minorEastAsia"/>
          <w:b w:val="0"/>
          <w:bCs w:val="0"/>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eastAsia="zh-CN"/>
          <w14:textFill>
            <w14:solidFill>
              <w14:schemeClr w14:val="tx1"/>
            </w14:solidFill>
          </w14:textFill>
        </w:rPr>
        <w:t>1</w:t>
      </w:r>
      <w:r>
        <w:rPr>
          <w:rFonts w:hint="eastAsia" w:asciiTheme="minorEastAsia" w:hAnsiTheme="minorEastAsia" w:eastAsiaTheme="minorEastAsia" w:cstheme="minorEastAsia"/>
          <w:b w:val="0"/>
          <w:bCs w:val="0"/>
          <w:color w:val="000000" w:themeColor="text1"/>
          <w:kern w:val="0"/>
          <w:sz w:val="21"/>
          <w:szCs w:val="21"/>
          <w:lang w:val="en-US"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0"/>
          <w:sz w:val="21"/>
          <w:szCs w:val="21"/>
          <w14:textFill>
            <w14:solidFill>
              <w14:schemeClr w14:val="tx1"/>
            </w14:solidFill>
          </w14:textFill>
        </w:rPr>
        <w:t>中标人</w:t>
      </w:r>
      <w:r>
        <w:rPr>
          <w:rFonts w:hint="default" w:asciiTheme="minorEastAsia" w:hAnsiTheme="minorEastAsia" w:eastAsiaTheme="minorEastAsia" w:cstheme="minorEastAsia"/>
          <w:b w:val="0"/>
          <w:bCs w:val="0"/>
          <w:color w:val="000000" w:themeColor="text1"/>
          <w:kern w:val="0"/>
          <w:sz w:val="21"/>
          <w:szCs w:val="21"/>
          <w14:textFill>
            <w14:solidFill>
              <w14:schemeClr w14:val="tx1"/>
            </w14:solidFill>
          </w14:textFill>
        </w:rPr>
        <w:t>应拥有产品的完全知识产权，不应存在任何知识产权纠纷。</w:t>
      </w:r>
    </w:p>
    <w:p w14:paraId="02B4D075">
      <w:pPr>
        <w:pStyle w:val="18"/>
        <w:numPr>
          <w:ilvl w:val="-1"/>
          <w:numId w:val="0"/>
        </w:numPr>
        <w:spacing w:beforeLines="0" w:afterLines="0" w:line="240" w:lineRule="auto"/>
        <w:ind w:firstLine="420" w:firstLineChars="200"/>
        <w:rPr>
          <w:rFonts w:hint="eastAsia" w:asciiTheme="minorEastAsia" w:hAnsiTheme="minorEastAsia" w:eastAsiaTheme="minorEastAsia" w:cstheme="minorEastAsia"/>
          <w:b w:val="0"/>
          <w:bCs w:val="0"/>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14:textFill>
            <w14:solidFill>
              <w14:schemeClr w14:val="tx1"/>
            </w14:solidFill>
          </w14:textFill>
        </w:rPr>
        <w:t>2.</w:t>
      </w:r>
      <w:r>
        <w:rPr>
          <w:rFonts w:hint="default" w:asciiTheme="minorEastAsia" w:hAnsiTheme="minorEastAsia" w:eastAsiaTheme="minorEastAsia" w:cstheme="minorEastAsia"/>
          <w:b w:val="0"/>
          <w:bCs w:val="0"/>
          <w:color w:val="000000" w:themeColor="text1"/>
          <w:kern w:val="0"/>
          <w:sz w:val="21"/>
          <w:szCs w:val="21"/>
          <w14:textFill>
            <w14:solidFill>
              <w14:schemeClr w14:val="tx1"/>
            </w14:solidFill>
          </w14:textFill>
        </w:rPr>
        <w:t>若因</w:t>
      </w:r>
      <w:r>
        <w:rPr>
          <w:rFonts w:hint="eastAsia" w:asciiTheme="minorEastAsia" w:hAnsiTheme="minorEastAsia" w:eastAsiaTheme="minorEastAsia" w:cstheme="minorEastAsia"/>
          <w:b w:val="0"/>
          <w:bCs w:val="0"/>
          <w:color w:val="000000" w:themeColor="text1"/>
          <w:kern w:val="0"/>
          <w:sz w:val="21"/>
          <w:szCs w:val="21"/>
          <w14:textFill>
            <w14:solidFill>
              <w14:schemeClr w14:val="tx1"/>
            </w14:solidFill>
          </w14:textFill>
        </w:rPr>
        <w:t>中标人</w:t>
      </w:r>
      <w:r>
        <w:rPr>
          <w:rFonts w:hint="default" w:asciiTheme="minorEastAsia" w:hAnsiTheme="minorEastAsia" w:eastAsiaTheme="minorEastAsia" w:cstheme="minorEastAsia"/>
          <w:b w:val="0"/>
          <w:bCs w:val="0"/>
          <w:color w:val="000000" w:themeColor="text1"/>
          <w:kern w:val="0"/>
          <w:sz w:val="21"/>
          <w:szCs w:val="21"/>
          <w14:textFill>
            <w14:solidFill>
              <w14:schemeClr w14:val="tx1"/>
            </w14:solidFill>
          </w14:textFill>
        </w:rPr>
        <w:t>知识产权纠纷影响货物供应，采购人可终止合作。</w:t>
      </w:r>
    </w:p>
    <w:p w14:paraId="27C09C59">
      <w:pPr>
        <w:pStyle w:val="18"/>
        <w:numPr>
          <w:ilvl w:val="-1"/>
          <w:numId w:val="0"/>
        </w:numPr>
        <w:spacing w:beforeLines="0" w:afterLines="0" w:line="240" w:lineRule="auto"/>
        <w:ind w:firstLine="420" w:firstLineChars="200"/>
        <w:rPr>
          <w:rFonts w:hint="default" w:asciiTheme="minorEastAsia" w:hAnsiTheme="minorEastAsia" w:eastAsiaTheme="minorEastAsia" w:cstheme="minorEastAsia"/>
          <w:b w:val="0"/>
          <w:bCs w:val="0"/>
          <w:color w:val="000000" w:themeColor="text1"/>
          <w:kern w:val="0"/>
          <w:sz w:val="21"/>
          <w:szCs w:val="2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kern w:val="0"/>
          <w:sz w:val="21"/>
          <w:szCs w:val="21"/>
          <w14:textFill>
            <w14:solidFill>
              <w14:schemeClr w14:val="tx1"/>
            </w14:solidFill>
          </w14:textFill>
        </w:rPr>
        <w:t>中标人应保证在本项目使用的任何产品和服务（包括部分使用）时，不会产生因第三方提出侵犯其专利权、商标权或其它知识产权而引起的法律和经济纠纷。</w:t>
      </w:r>
    </w:p>
    <w:p w14:paraId="27857F7D">
      <w:pPr>
        <w:spacing w:beforeLines="0" w:afterLines="0"/>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bCs/>
          <w:szCs w:val="21"/>
          <w:lang w:eastAsia="zh-CN"/>
        </w:rPr>
        <w:t>（</w:t>
      </w:r>
      <w:r>
        <w:rPr>
          <w:rFonts w:hint="eastAsia" w:asciiTheme="minorEastAsia" w:hAnsiTheme="minorEastAsia" w:eastAsiaTheme="minorEastAsia" w:cstheme="minorEastAsia"/>
          <w:b/>
          <w:bCs/>
          <w:szCs w:val="21"/>
          <w:lang w:val="en-US" w:eastAsia="zh-CN"/>
        </w:rPr>
        <w:t>九</w:t>
      </w:r>
      <w:r>
        <w:rPr>
          <w:rFonts w:hint="eastAsia" w:asciiTheme="minorEastAsia" w:hAnsiTheme="minorEastAsia" w:eastAsiaTheme="minorEastAsia" w:cstheme="minorEastAsia"/>
          <w:b/>
          <w:bCs/>
          <w:szCs w:val="21"/>
          <w:lang w:eastAsia="zh-CN"/>
        </w:rPr>
        <w:t>）</w:t>
      </w:r>
      <w:r>
        <w:rPr>
          <w:rFonts w:hint="eastAsia" w:asciiTheme="minorEastAsia" w:hAnsiTheme="minorEastAsia" w:eastAsiaTheme="minorEastAsia" w:cstheme="minorEastAsia"/>
          <w:b/>
          <w:szCs w:val="21"/>
        </w:rPr>
        <w:t>报价要求</w:t>
      </w:r>
    </w:p>
    <w:p w14:paraId="578FB28D">
      <w:pPr>
        <w:pStyle w:val="7"/>
        <w:spacing w:before="0" w:beforeLines="0" w:after="0" w:afterLines="0"/>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r>
        <w:rPr>
          <w:rFonts w:hint="eastAsia" w:asciiTheme="minorEastAsia" w:hAnsiTheme="minorEastAsia" w:eastAsiaTheme="minorEastAsia" w:cstheme="minorEastAsia"/>
          <w:bCs/>
          <w:szCs w:val="21"/>
          <w:lang w:val="en-US" w:eastAsia="zh-CN"/>
        </w:rPr>
        <w:t>.</w:t>
      </w:r>
      <w:r>
        <w:rPr>
          <w:rFonts w:hint="eastAsia" w:asciiTheme="minorEastAsia" w:hAnsiTheme="minorEastAsia" w:eastAsiaTheme="minorEastAsia" w:cstheme="minorEastAsia"/>
          <w:bCs/>
          <w:szCs w:val="21"/>
        </w:rPr>
        <w:t>最高预算控制金额为人民币捌拾捌万元整（￥880,000.00元），具体货物采购数量及执行金额以实际需求为准。</w:t>
      </w:r>
    </w:p>
    <w:p w14:paraId="66E48EA4">
      <w:pPr>
        <w:pStyle w:val="7"/>
        <w:spacing w:before="0" w:beforeLines="0" w:after="0" w:afterLines="0"/>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r>
        <w:rPr>
          <w:rFonts w:hint="eastAsia" w:asciiTheme="minorEastAsia" w:hAnsiTheme="minorEastAsia" w:eastAsiaTheme="minorEastAsia" w:cstheme="minorEastAsia"/>
          <w:bCs/>
          <w:szCs w:val="21"/>
          <w:lang w:val="en-US" w:eastAsia="zh-CN"/>
        </w:rPr>
        <w:t>.</w:t>
      </w:r>
      <w:r>
        <w:rPr>
          <w:rFonts w:hint="eastAsia" w:asciiTheme="minorEastAsia" w:hAnsiTheme="minorEastAsia" w:eastAsiaTheme="minorEastAsia" w:cstheme="minorEastAsia"/>
          <w:bCs/>
          <w:szCs w:val="21"/>
        </w:rPr>
        <w:t>报价为货物单价。</w:t>
      </w:r>
    </w:p>
    <w:p w14:paraId="292B7EC8">
      <w:pPr>
        <w:pStyle w:val="7"/>
        <w:spacing w:before="0" w:beforeLines="0" w:after="0" w:afterLines="0" w:line="240" w:lineRule="auto"/>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rPr>
        <w:t>最高限价：</w:t>
      </w:r>
      <w:r>
        <w:rPr>
          <w:rFonts w:hint="eastAsia" w:asciiTheme="minorEastAsia" w:hAnsiTheme="minorEastAsia" w:eastAsiaTheme="minorEastAsia" w:cstheme="minorEastAsia"/>
          <w:bCs/>
          <w:szCs w:val="21"/>
          <w:lang w:eastAsia="zh-CN"/>
        </w:rPr>
        <w:t>货物</w:t>
      </w:r>
      <w:r>
        <w:rPr>
          <w:rFonts w:hint="eastAsia" w:asciiTheme="minorEastAsia" w:hAnsiTheme="minorEastAsia" w:eastAsiaTheme="minorEastAsia" w:cstheme="minorEastAsia"/>
          <w:bCs/>
          <w:szCs w:val="21"/>
        </w:rPr>
        <w:t>的报价不得高于该</w:t>
      </w:r>
      <w:r>
        <w:rPr>
          <w:rFonts w:hint="eastAsia" w:asciiTheme="minorEastAsia" w:hAnsiTheme="minorEastAsia" w:eastAsiaTheme="minorEastAsia" w:cstheme="minorEastAsia"/>
          <w:bCs/>
          <w:szCs w:val="21"/>
          <w:lang w:eastAsia="zh-CN"/>
        </w:rPr>
        <w:t>货物的单价最高限价</w:t>
      </w:r>
      <w:r>
        <w:rPr>
          <w:rFonts w:hint="eastAsia" w:asciiTheme="minorEastAsia" w:hAnsiTheme="minorEastAsia" w:eastAsiaTheme="minorEastAsia" w:cstheme="minorEastAsia"/>
          <w:bCs/>
          <w:szCs w:val="21"/>
        </w:rPr>
        <w:t>。报价中，</w:t>
      </w:r>
      <w:r>
        <w:rPr>
          <w:rFonts w:hint="eastAsia" w:asciiTheme="minorEastAsia" w:hAnsiTheme="minorEastAsia" w:eastAsiaTheme="minorEastAsia" w:cstheme="minorEastAsia"/>
          <w:bCs/>
          <w:szCs w:val="21"/>
          <w:lang w:eastAsia="zh-CN"/>
        </w:rPr>
        <w:t>如报价</w:t>
      </w:r>
      <w:r>
        <w:rPr>
          <w:rFonts w:hint="eastAsia" w:asciiTheme="minorEastAsia" w:hAnsiTheme="minorEastAsia" w:eastAsiaTheme="minorEastAsia" w:cstheme="minorEastAsia"/>
          <w:bCs/>
          <w:szCs w:val="21"/>
        </w:rPr>
        <w:t>单价超过</w:t>
      </w:r>
      <w:r>
        <w:rPr>
          <w:rFonts w:hint="eastAsia" w:asciiTheme="minorEastAsia" w:hAnsiTheme="minorEastAsia" w:eastAsiaTheme="minorEastAsia" w:cstheme="minorEastAsia"/>
          <w:bCs/>
          <w:szCs w:val="21"/>
          <w:lang w:eastAsia="zh-CN"/>
        </w:rPr>
        <w:t>单价最高限价</w:t>
      </w:r>
      <w:r>
        <w:rPr>
          <w:rFonts w:hint="eastAsia" w:asciiTheme="minorEastAsia" w:hAnsiTheme="minorEastAsia" w:eastAsiaTheme="minorEastAsia" w:cstheme="minorEastAsia"/>
          <w:bCs/>
          <w:szCs w:val="21"/>
        </w:rPr>
        <w:t>，则该报价为无效报价，该投标为无效投标。</w:t>
      </w:r>
    </w:p>
    <w:p w14:paraId="7BB34AD3">
      <w:pPr>
        <w:pStyle w:val="7"/>
        <w:spacing w:before="0" w:beforeLines="0" w:after="0" w:afterLines="0" w:line="240" w:lineRule="auto"/>
        <w:ind w:firstLine="420" w:firstLineChars="20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w:t>
      </w:r>
      <w:r>
        <w:rPr>
          <w:rFonts w:hint="eastAsia" w:asciiTheme="minorEastAsia" w:hAnsiTheme="minorEastAsia" w:eastAsiaTheme="minorEastAsia" w:cstheme="minorEastAsia"/>
          <w:bCs/>
          <w:szCs w:val="21"/>
          <w:lang w:eastAsia="zh-CN"/>
        </w:rPr>
        <w:t>、货物</w:t>
      </w:r>
      <w:r>
        <w:rPr>
          <w:rFonts w:hint="eastAsia" w:asciiTheme="minorEastAsia" w:hAnsiTheme="minorEastAsia" w:eastAsiaTheme="minorEastAsia" w:cstheme="minorEastAsia"/>
          <w:bCs/>
          <w:szCs w:val="21"/>
        </w:rPr>
        <w:t>所报单价均为包含税费、服务费、采购费等一切费用，该报价也是最终结算单价。</w:t>
      </w:r>
    </w:p>
    <w:p w14:paraId="15E0B442">
      <w:pPr>
        <w:pStyle w:val="7"/>
        <w:spacing w:before="0" w:beforeLines="0" w:after="0" w:afterLines="0" w:line="240" w:lineRule="auto"/>
        <w:ind w:firstLine="420" w:firstLineChars="200"/>
        <w:rPr>
          <w:rFonts w:hint="eastAsia" w:asciiTheme="minorEastAsia" w:hAnsiTheme="minorEastAsia" w:eastAsiaTheme="minorEastAsia" w:cstheme="minorEastAsia"/>
          <w:b/>
          <w:bCs w:val="0"/>
          <w:szCs w:val="21"/>
        </w:rPr>
      </w:pPr>
      <w:r>
        <w:rPr>
          <w:rFonts w:hint="eastAsia" w:asciiTheme="minorEastAsia" w:hAnsiTheme="minorEastAsia" w:eastAsiaTheme="minorEastAsia" w:cstheme="minorEastAsia"/>
          <w:bCs/>
          <w:szCs w:val="21"/>
        </w:rPr>
        <w:t xml:space="preserve">5 </w:t>
      </w:r>
      <w:r>
        <w:rPr>
          <w:rFonts w:hint="eastAsia" w:asciiTheme="minorEastAsia" w:hAnsiTheme="minorEastAsia" w:eastAsiaTheme="minorEastAsia" w:cstheme="minorEastAsia"/>
          <w:b/>
          <w:bCs w:val="0"/>
          <w:szCs w:val="21"/>
          <w:lang w:eastAsia="zh-CN"/>
        </w:rPr>
        <w:t>、</w:t>
      </w:r>
      <w:r>
        <w:rPr>
          <w:rFonts w:hint="eastAsia" w:asciiTheme="minorEastAsia" w:hAnsiTheme="minorEastAsia" w:eastAsiaTheme="minorEastAsia" w:cstheme="minorEastAsia"/>
          <w:b/>
          <w:bCs w:val="0"/>
          <w:szCs w:val="21"/>
        </w:rPr>
        <w:t>投标人必须对</w:t>
      </w:r>
      <w:r>
        <w:rPr>
          <w:rFonts w:hint="eastAsia" w:asciiTheme="minorEastAsia" w:hAnsiTheme="minorEastAsia" w:eastAsiaTheme="minorEastAsia" w:cstheme="minorEastAsia"/>
          <w:b/>
          <w:bCs w:val="0"/>
          <w:szCs w:val="21"/>
          <w:lang w:eastAsia="zh-CN"/>
        </w:rPr>
        <w:t>货物</w:t>
      </w:r>
      <w:r>
        <w:rPr>
          <w:rFonts w:hint="eastAsia" w:asciiTheme="minorEastAsia" w:hAnsiTheme="minorEastAsia" w:eastAsiaTheme="minorEastAsia" w:cstheme="minorEastAsia"/>
          <w:b/>
          <w:bCs w:val="0"/>
          <w:szCs w:val="21"/>
        </w:rPr>
        <w:t>进行报价，</w:t>
      </w:r>
      <w:r>
        <w:rPr>
          <w:rFonts w:hint="eastAsia" w:asciiTheme="minorEastAsia" w:hAnsiTheme="minorEastAsia" w:eastAsiaTheme="minorEastAsia" w:cstheme="minorEastAsia"/>
          <w:b/>
          <w:bCs w:val="0"/>
          <w:szCs w:val="21"/>
          <w:lang w:eastAsia="zh-CN"/>
        </w:rPr>
        <w:t>如</w:t>
      </w:r>
      <w:r>
        <w:rPr>
          <w:rFonts w:hint="eastAsia" w:asciiTheme="minorEastAsia" w:hAnsiTheme="minorEastAsia" w:eastAsiaTheme="minorEastAsia" w:cstheme="minorEastAsia"/>
          <w:b/>
          <w:bCs w:val="0"/>
          <w:szCs w:val="21"/>
        </w:rPr>
        <w:t>报价缺失或无法确定的，则该报价为无效报价，该投标为无效投标。</w:t>
      </w:r>
    </w:p>
    <w:p w14:paraId="1E49EE1B">
      <w:pPr>
        <w:pStyle w:val="7"/>
        <w:spacing w:before="60" w:beforeLines="25" w:after="60" w:afterLines="25"/>
        <w:ind w:firstLine="392" w:firstLineChars="187"/>
        <w:rPr>
          <w:rFonts w:asciiTheme="minorEastAsia" w:hAnsiTheme="minorEastAsia" w:eastAsiaTheme="minorEastAsia" w:cstheme="minorEastAsia"/>
          <w:bCs/>
          <w:szCs w:val="21"/>
        </w:rPr>
      </w:pPr>
    </w:p>
    <w:p w14:paraId="56DB6C2D">
      <w:pPr>
        <w:pStyle w:val="3"/>
        <w:spacing w:before="120" w:beforeLines="50" w:after="120" w:afterLines="50"/>
        <w:rPr>
          <w:sz w:val="28"/>
          <w:szCs w:val="28"/>
        </w:rPr>
      </w:pPr>
    </w:p>
    <w:p w14:paraId="41ED4394">
      <w:pPr>
        <w:pStyle w:val="3"/>
        <w:spacing w:before="120" w:beforeLines="50" w:after="120" w:afterLines="50"/>
        <w:rPr>
          <w:sz w:val="28"/>
          <w:szCs w:val="28"/>
        </w:rPr>
      </w:pPr>
      <w:r>
        <w:rPr>
          <w:rFonts w:hint="eastAsia"/>
          <w:sz w:val="28"/>
          <w:szCs w:val="28"/>
        </w:rPr>
        <w:t>六、其他重要条款</w:t>
      </w:r>
    </w:p>
    <w:p w14:paraId="6984A149">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2D91794D">
      <w:pPr>
        <w:pStyle w:val="7"/>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、投标人应充分了解项目的位置、情况、道路及任何其他足以影响投标报价的情况，任何因忽视或误解项目情况而导致的索赔或服务期限延长申请将不获批准。</w:t>
      </w:r>
    </w:p>
    <w:p w14:paraId="740EB395">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4398D2BF">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14:paraId="45625A74">
      <w:pPr>
        <w:ind w:firstLine="420" w:firstLineChars="200"/>
        <w:rPr>
          <w:bCs/>
          <w:szCs w:val="21"/>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0431B68F">
      <w:pPr>
        <w:rPr>
          <w:rFonts w:ascii="宋体" w:hAnsi="宋体"/>
        </w:rPr>
      </w:pPr>
    </w:p>
    <w:p w14:paraId="47BE1B2E">
      <w:pPr>
        <w:pStyle w:val="18"/>
        <w:rPr>
          <w:rFonts w:ascii="宋体" w:hAnsi="宋体"/>
        </w:rPr>
      </w:pPr>
    </w:p>
    <w:p w14:paraId="7399BE69">
      <w:pPr>
        <w:pStyle w:val="19"/>
      </w:pPr>
    </w:p>
    <w:p w14:paraId="07AD6BB6">
      <w:pPr>
        <w:pStyle w:val="18"/>
        <w:rPr>
          <w:rFonts w:ascii="宋体" w:hAnsi="宋体"/>
        </w:rPr>
        <w:sectPr>
          <w:footerReference r:id="rId8" w:type="default"/>
          <w:pgSz w:w="11907" w:h="16840"/>
          <w:pgMar w:top="1440" w:right="1797" w:bottom="1440" w:left="1797" w:header="851" w:footer="992" w:gutter="0"/>
          <w:pgNumType w:fmt="decimal"/>
          <w:cols w:space="425" w:num="1"/>
          <w:titlePg/>
          <w:docGrid w:linePitch="462" w:charSpace="0"/>
        </w:sectPr>
      </w:pPr>
    </w:p>
    <w:p w14:paraId="1FE489E0">
      <w:pPr>
        <w:pStyle w:val="3"/>
        <w:rPr>
          <w:kern w:val="2"/>
        </w:rPr>
      </w:pPr>
      <w:r>
        <w:rPr>
          <w:rFonts w:hint="eastAsia"/>
          <w:kern w:val="2"/>
        </w:rPr>
        <w:t>第四章</w:t>
      </w:r>
      <w:r>
        <w:rPr>
          <w:kern w:val="2"/>
        </w:rPr>
        <w:t xml:space="preserve"> </w:t>
      </w:r>
      <w:r>
        <w:rPr>
          <w:rFonts w:hint="eastAsia"/>
          <w:kern w:val="2"/>
        </w:rPr>
        <w:t xml:space="preserve"> 投标文件组成要求及格式</w:t>
      </w:r>
    </w:p>
    <w:p w14:paraId="77AA878E">
      <w:pPr>
        <w:rPr>
          <w:rFonts w:ascii="仿宋_GB2312" w:eastAsia="仿宋_GB2312"/>
          <w:sz w:val="24"/>
        </w:rPr>
      </w:pPr>
    </w:p>
    <w:p w14:paraId="12CD95BC">
      <w:pPr>
        <w:outlineLvl w:val="0"/>
        <w:rPr>
          <w:rStyle w:val="62"/>
          <w:sz w:val="28"/>
          <w:szCs w:val="28"/>
        </w:rPr>
      </w:pPr>
      <w:r>
        <w:rPr>
          <w:rStyle w:val="62"/>
          <w:rFonts w:hint="eastAsia"/>
          <w:sz w:val="28"/>
          <w:szCs w:val="28"/>
        </w:rPr>
        <w:t>投标文件组成：</w:t>
      </w:r>
    </w:p>
    <w:p w14:paraId="73731F69">
      <w:pPr>
        <w:ind w:firstLine="1200" w:firstLineChars="500"/>
        <w:outlineLvl w:val="0"/>
        <w:rPr>
          <w:rFonts w:ascii="宋体" w:hAnsi="宋体"/>
          <w:sz w:val="24"/>
        </w:rPr>
      </w:pPr>
      <w:bookmarkStart w:id="49" w:name="_Hlk72257253"/>
      <w:r>
        <w:rPr>
          <w:rFonts w:hint="eastAsia" w:ascii="宋体" w:hAnsi="宋体"/>
          <w:sz w:val="24"/>
        </w:rPr>
        <w:t>1.投标文件正文，主要包括以下内容：</w:t>
      </w:r>
    </w:p>
    <w:p w14:paraId="75D68963">
      <w:pPr>
        <w:ind w:left="718" w:leftChars="342" w:firstLine="1417" w:firstLineChars="675"/>
        <w:rPr>
          <w:szCs w:val="21"/>
        </w:rPr>
      </w:pPr>
      <w:r>
        <w:rPr>
          <w:rFonts w:hint="eastAsia"/>
          <w:szCs w:val="21"/>
        </w:rPr>
        <w:t>（1）</w:t>
      </w:r>
      <w:bookmarkStart w:id="50" w:name="_Hlk72070784"/>
      <w:r>
        <w:rPr>
          <w:rFonts w:hint="eastAsia"/>
          <w:szCs w:val="21"/>
        </w:rPr>
        <w:t>投标函</w:t>
      </w:r>
      <w:bookmarkEnd w:id="50"/>
    </w:p>
    <w:p w14:paraId="2B79C11E">
      <w:pPr>
        <w:ind w:left="718" w:leftChars="342" w:firstLine="1417" w:firstLineChars="675"/>
        <w:rPr>
          <w:szCs w:val="21"/>
        </w:rPr>
      </w:pPr>
      <w:r>
        <w:rPr>
          <w:rFonts w:hint="eastAsia"/>
          <w:szCs w:val="21"/>
        </w:rPr>
        <w:t>（2）</w:t>
      </w:r>
      <w:bookmarkStart w:id="51" w:name="_Hlk72062521"/>
      <w:r>
        <w:rPr>
          <w:rFonts w:hint="eastAsia"/>
          <w:szCs w:val="21"/>
        </w:rPr>
        <w:t>政府采购投标及履约承诺函</w:t>
      </w:r>
      <w:bookmarkEnd w:id="51"/>
    </w:p>
    <w:p w14:paraId="57A35E99">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14:paraId="4A726785">
      <w:pPr>
        <w:ind w:left="718" w:leftChars="342" w:firstLine="1417" w:firstLineChars="675"/>
        <w:rPr>
          <w:szCs w:val="21"/>
        </w:rPr>
      </w:pPr>
      <w:bookmarkStart w:id="52" w:name="_Hlk72257201"/>
      <w:r>
        <w:rPr>
          <w:rFonts w:hint="eastAsia"/>
          <w:szCs w:val="21"/>
        </w:rPr>
        <w:t>（</w:t>
      </w:r>
      <w:r>
        <w:rPr>
          <w:szCs w:val="21"/>
        </w:rPr>
        <w:t>4</w:t>
      </w:r>
      <w:r>
        <w:rPr>
          <w:rFonts w:hint="eastAsia"/>
          <w:szCs w:val="21"/>
        </w:rPr>
        <w:t>）项目详细报价</w:t>
      </w:r>
    </w:p>
    <w:p w14:paraId="792C07BB">
      <w:pPr>
        <w:ind w:left="718" w:leftChars="342" w:firstLine="1417" w:firstLineChars="675"/>
        <w:rPr>
          <w:szCs w:val="21"/>
        </w:rPr>
      </w:pPr>
      <w:r>
        <w:rPr>
          <w:rFonts w:hint="eastAsia"/>
          <w:szCs w:val="21"/>
        </w:rPr>
        <w:t>（5）</w:t>
      </w:r>
      <w:bookmarkEnd w:id="52"/>
      <w:r>
        <w:rPr>
          <w:rFonts w:hint="eastAsia" w:ascii="宋体" w:hAnsi="宋体" w:cs="宋体"/>
          <w:szCs w:val="21"/>
        </w:rPr>
        <w:t>同类项目业绩</w:t>
      </w:r>
    </w:p>
    <w:p w14:paraId="7DEB83CF">
      <w:pPr>
        <w:ind w:left="718" w:leftChars="342" w:firstLine="1417" w:firstLineChars="675"/>
        <w:rPr>
          <w:szCs w:val="21"/>
        </w:rPr>
      </w:pPr>
      <w:r>
        <w:rPr>
          <w:rFonts w:hint="eastAsia" w:ascii="宋体" w:hAnsi="宋体" w:cs="宋体"/>
          <w:szCs w:val="21"/>
        </w:rPr>
        <w:t>（6）履约评价</w:t>
      </w:r>
    </w:p>
    <w:p w14:paraId="000D7BA8">
      <w:pPr>
        <w:ind w:firstLine="1200" w:firstLineChars="500"/>
        <w:outlineLvl w:val="0"/>
        <w:rPr>
          <w:rFonts w:ascii="宋体" w:hAnsi="宋体"/>
          <w:sz w:val="24"/>
        </w:rPr>
      </w:pPr>
      <w:r>
        <w:rPr>
          <w:rFonts w:hint="eastAsia" w:ascii="宋体" w:hAnsi="宋体"/>
          <w:sz w:val="24"/>
        </w:rPr>
        <w:t>2.投标文件附件：主要包括以下内容：</w:t>
      </w:r>
    </w:p>
    <w:p w14:paraId="7925EEB1">
      <w:pPr>
        <w:ind w:left="718" w:leftChars="342" w:firstLine="1417" w:firstLineChars="675"/>
        <w:rPr>
          <w:szCs w:val="21"/>
        </w:rPr>
      </w:pPr>
      <w:r>
        <w:rPr>
          <w:rFonts w:hint="eastAsia"/>
          <w:szCs w:val="21"/>
        </w:rPr>
        <w:t>（1）供应商基本情况表</w:t>
      </w:r>
    </w:p>
    <w:p w14:paraId="6C654405">
      <w:pPr>
        <w:ind w:left="718" w:leftChars="342" w:firstLine="1417" w:firstLineChars="675"/>
        <w:rPr>
          <w:szCs w:val="21"/>
        </w:rPr>
      </w:pPr>
      <w:r>
        <w:rPr>
          <w:rFonts w:hint="eastAsia"/>
          <w:szCs w:val="21"/>
        </w:rPr>
        <w:t>（2）法定代表人（负责人）证明书</w:t>
      </w:r>
    </w:p>
    <w:p w14:paraId="67E4FDDF">
      <w:pPr>
        <w:ind w:left="718" w:leftChars="342" w:firstLine="1417" w:firstLineChars="675"/>
        <w:rPr>
          <w:szCs w:val="21"/>
        </w:rPr>
      </w:pPr>
      <w:r>
        <w:rPr>
          <w:rFonts w:hint="eastAsia"/>
          <w:szCs w:val="21"/>
        </w:rPr>
        <w:t>（3）投标文件签署授权委托书</w:t>
      </w:r>
    </w:p>
    <w:p w14:paraId="14D91AA9">
      <w:pPr>
        <w:ind w:left="718" w:leftChars="342" w:firstLine="1417" w:firstLineChars="675"/>
        <w:rPr>
          <w:szCs w:val="21"/>
        </w:rPr>
      </w:pPr>
      <w:r>
        <w:rPr>
          <w:rFonts w:hint="eastAsia"/>
          <w:szCs w:val="21"/>
        </w:rPr>
        <w:t>（4）实质性条款响应情况表</w:t>
      </w:r>
    </w:p>
    <w:p w14:paraId="2F53B1DA">
      <w:pPr>
        <w:ind w:left="718" w:leftChars="342" w:firstLine="1417" w:firstLineChars="675"/>
        <w:rPr>
          <w:szCs w:val="21"/>
        </w:rPr>
      </w:pPr>
      <w:r>
        <w:rPr>
          <w:rFonts w:hint="eastAsia"/>
          <w:szCs w:val="21"/>
        </w:rPr>
        <w:t>（5）总体服务方案</w:t>
      </w:r>
    </w:p>
    <w:p w14:paraId="6A0119F8">
      <w:pPr>
        <w:ind w:left="718" w:leftChars="342" w:firstLine="1417" w:firstLineChars="675"/>
        <w:rPr>
          <w:szCs w:val="21"/>
        </w:rPr>
      </w:pPr>
      <w:r>
        <w:rPr>
          <w:rFonts w:hint="eastAsia"/>
          <w:szCs w:val="21"/>
        </w:rPr>
        <w:t>（6）质量保障措施</w:t>
      </w:r>
    </w:p>
    <w:p w14:paraId="5F9E437F">
      <w:pPr>
        <w:ind w:left="718" w:leftChars="342" w:firstLine="1417" w:firstLineChars="675"/>
        <w:rPr>
          <w:szCs w:val="21"/>
        </w:rPr>
      </w:pPr>
      <w:r>
        <w:rPr>
          <w:rFonts w:hint="eastAsia"/>
          <w:szCs w:val="21"/>
        </w:rPr>
        <w:t>（7）特殊情况应急及退换方案</w:t>
      </w:r>
    </w:p>
    <w:p w14:paraId="71769E61">
      <w:pPr>
        <w:ind w:left="718" w:leftChars="342" w:firstLine="1417" w:firstLineChars="675"/>
        <w:rPr>
          <w:szCs w:val="21"/>
        </w:rPr>
      </w:pPr>
      <w:r>
        <w:rPr>
          <w:rFonts w:hint="eastAsia"/>
          <w:szCs w:val="21"/>
        </w:rPr>
        <w:t>（8）运输能力</w:t>
      </w:r>
    </w:p>
    <w:p w14:paraId="269FFF41">
      <w:pPr>
        <w:ind w:left="718" w:leftChars="342" w:firstLine="1417" w:firstLineChars="675"/>
        <w:rPr>
          <w:szCs w:val="21"/>
        </w:rPr>
      </w:pPr>
      <w:r>
        <w:rPr>
          <w:rFonts w:hint="eastAsia"/>
          <w:szCs w:val="21"/>
        </w:rPr>
        <w:t>（9）投</w:t>
      </w:r>
      <w:r>
        <w:rPr>
          <w:szCs w:val="21"/>
        </w:rPr>
        <w:t>标人认为需要加以说明的其他内容</w:t>
      </w:r>
    </w:p>
    <w:p w14:paraId="3962CCA3">
      <w:pPr>
        <w:pStyle w:val="18"/>
      </w:pPr>
    </w:p>
    <w:bookmarkEnd w:id="49"/>
    <w:p w14:paraId="657C0462">
      <w:pPr>
        <w:ind w:left="718" w:leftChars="342" w:firstLine="1417" w:firstLineChars="675"/>
        <w:rPr>
          <w:szCs w:val="21"/>
        </w:rPr>
      </w:pPr>
    </w:p>
    <w:p w14:paraId="6057138E">
      <w:pPr>
        <w:ind w:firstLine="426" w:firstLineChars="202"/>
        <w:rPr>
          <w:rFonts w:ascii="宋体" w:hAnsi="宋体"/>
          <w:b/>
          <w:szCs w:val="21"/>
        </w:rPr>
      </w:pPr>
      <w:bookmarkStart w:id="53" w:name="_Hlk72257771"/>
      <w:r>
        <w:rPr>
          <w:rFonts w:hint="eastAsia" w:ascii="宋体" w:hAnsi="宋体"/>
          <w:b/>
          <w:szCs w:val="21"/>
        </w:rPr>
        <w:t>备注：</w:t>
      </w:r>
    </w:p>
    <w:p w14:paraId="643EC028">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14:paraId="7D22C1DB">
      <w:pPr>
        <w:ind w:firstLine="422" w:firstLineChars="200"/>
        <w:rPr>
          <w:rFonts w:ascii="宋体" w:hAnsi="宋体"/>
          <w:color w:val="FF0000"/>
          <w:sz w:val="24"/>
        </w:rPr>
      </w:pPr>
      <w:bookmarkStart w:id="54" w:name="_Hlk72263559"/>
      <w:r>
        <w:rPr>
          <w:rFonts w:hint="eastAsia" w:ascii="宋体" w:hAnsi="宋体"/>
          <w:b/>
          <w:szCs w:val="21"/>
        </w:rPr>
        <w:t>2.关于填写“开标一览表”的说明：“开标一览表”中除“投标总价”外，其他信息不作评审依据。</w:t>
      </w:r>
      <w:bookmarkEnd w:id="53"/>
      <w:bookmarkEnd w:id="54"/>
    </w:p>
    <w:p w14:paraId="05823744">
      <w:pPr>
        <w:rPr>
          <w:rFonts w:ascii="宋体" w:hAnsi="宋体"/>
          <w:color w:val="FF0000"/>
          <w:sz w:val="24"/>
        </w:rPr>
      </w:pPr>
    </w:p>
    <w:p w14:paraId="597ADD7D">
      <w:pPr>
        <w:rPr>
          <w:rFonts w:ascii="宋体" w:hAnsi="宋体"/>
          <w:color w:val="FF0000"/>
          <w:sz w:val="24"/>
        </w:rPr>
      </w:pPr>
    </w:p>
    <w:p w14:paraId="461E75D8">
      <w:pPr>
        <w:rPr>
          <w:rFonts w:ascii="宋体" w:hAnsi="宋体"/>
          <w:color w:val="FF0000"/>
          <w:sz w:val="24"/>
        </w:rPr>
      </w:pPr>
    </w:p>
    <w:p w14:paraId="2738E56F">
      <w:pPr>
        <w:rPr>
          <w:rFonts w:ascii="宋体" w:hAnsi="宋体"/>
          <w:color w:val="FF0000"/>
          <w:sz w:val="24"/>
        </w:rPr>
        <w:sectPr>
          <w:pgSz w:w="11907" w:h="16840"/>
          <w:pgMar w:top="1440" w:right="1797" w:bottom="1440" w:left="1797" w:header="851" w:footer="992" w:gutter="0"/>
          <w:pgNumType w:fmt="decimal"/>
          <w:cols w:space="425" w:num="1"/>
          <w:titlePg/>
          <w:docGrid w:linePitch="462" w:charSpace="0"/>
        </w:sectPr>
      </w:pPr>
    </w:p>
    <w:p w14:paraId="695E40C7">
      <w:pPr>
        <w:outlineLvl w:val="1"/>
        <w:rPr>
          <w:rFonts w:ascii="宋体" w:hAnsi="宋体"/>
          <w:b/>
          <w:color w:val="FF0000"/>
          <w:sz w:val="28"/>
          <w:szCs w:val="28"/>
        </w:rPr>
      </w:pPr>
      <w:r>
        <w:rPr>
          <w:rFonts w:hint="eastAsia" w:ascii="宋体" w:hAnsi="宋体"/>
          <w:b/>
          <w:color w:val="FF0000"/>
          <w:sz w:val="28"/>
          <w:szCs w:val="28"/>
        </w:rPr>
        <w:t>投标文件正文</w:t>
      </w:r>
    </w:p>
    <w:p w14:paraId="765EE6E0">
      <w:pPr>
        <w:pStyle w:val="4"/>
        <w:jc w:val="center"/>
        <w:rPr>
          <w:rFonts w:ascii="黑体" w:eastAsia="黑体"/>
          <w:b w:val="0"/>
          <w:sz w:val="24"/>
        </w:rPr>
      </w:pPr>
      <w:r>
        <w:rPr>
          <w:rFonts w:hint="eastAsia" w:ascii="黑体" w:eastAsia="黑体"/>
          <w:b w:val="0"/>
          <w:sz w:val="24"/>
        </w:rPr>
        <w:t>一、投标函</w:t>
      </w:r>
    </w:p>
    <w:p w14:paraId="6C85B2C1">
      <w:pPr>
        <w:spacing w:line="360" w:lineRule="auto"/>
        <w:rPr>
          <w:rFonts w:ascii="宋体" w:hAnsi="宋体"/>
          <w:szCs w:val="21"/>
        </w:rPr>
      </w:pPr>
      <w:bookmarkStart w:id="55" w:name="_Hlk72257506"/>
      <w:r>
        <w:rPr>
          <w:rFonts w:hint="eastAsia" w:ascii="宋体" w:hAnsi="宋体"/>
          <w:szCs w:val="21"/>
        </w:rPr>
        <w:t>致：</w:t>
      </w:r>
      <w:r>
        <w:rPr>
          <w:rFonts w:hint="eastAsia" w:ascii="宋体" w:hAnsi="宋体"/>
          <w:color w:val="000000"/>
          <w:szCs w:val="21"/>
          <w:u w:val="single"/>
        </w:rPr>
        <w:t>深圳公共资源交易中心</w:t>
      </w:r>
    </w:p>
    <w:p w14:paraId="7FDFBE4E">
      <w:pPr>
        <w:ind w:firstLine="420" w:firstLineChars="200"/>
        <w:rPr>
          <w:rFonts w:ascii="宋体" w:hAnsi="宋体"/>
          <w:szCs w:val="21"/>
        </w:rPr>
      </w:pPr>
      <w:bookmarkStart w:id="56"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57" w:name="_Hlk72263588"/>
      <w:r>
        <w:rPr>
          <w:rFonts w:hint="eastAsia"/>
          <w:szCs w:val="21"/>
        </w:rPr>
        <w:t>愿意按照招标文件要求承包上述项目并修补其任何缺陷。</w:t>
      </w:r>
      <w:bookmarkEnd w:id="57"/>
    </w:p>
    <w:p w14:paraId="0D1915E5">
      <w:pPr>
        <w:ind w:firstLine="420" w:firstLineChars="200"/>
        <w:rPr>
          <w:rFonts w:ascii="宋体" w:hAnsi="宋体"/>
          <w:szCs w:val="21"/>
        </w:rPr>
      </w:pPr>
      <w:r>
        <w:rPr>
          <w:rFonts w:ascii="宋体" w:hAnsi="宋体"/>
          <w:szCs w:val="21"/>
        </w:rPr>
        <w:t>2</w:t>
      </w:r>
      <w:r>
        <w:rPr>
          <w:rFonts w:hint="eastAsia" w:ascii="宋体" w:hAnsi="宋体"/>
          <w:szCs w:val="21"/>
        </w:rPr>
        <w:t>、</w:t>
      </w:r>
      <w:bookmarkStart w:id="58" w:name="_Hlk73819847"/>
      <w:r>
        <w:rPr>
          <w:rFonts w:hint="eastAsia" w:ascii="宋体" w:hAnsi="宋体"/>
          <w:szCs w:val="21"/>
        </w:rPr>
        <w:t>投标价格见</w:t>
      </w:r>
      <w:r>
        <w:rPr>
          <w:rFonts w:hint="eastAsia"/>
          <w:szCs w:val="21"/>
        </w:rPr>
        <w:t>投标书编制软件中《开标一览表》中填写的投标总价。</w:t>
      </w:r>
      <w:bookmarkEnd w:id="58"/>
    </w:p>
    <w:p w14:paraId="28A6EDF5">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14:paraId="6FABE361">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546C951E">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4EB8D822">
      <w:pPr>
        <w:ind w:left="420" w:leftChars="200"/>
        <w:rPr>
          <w:rFonts w:ascii="宋体" w:hAnsi="宋体"/>
          <w:b/>
          <w:szCs w:val="21"/>
        </w:rPr>
      </w:pPr>
      <w:r>
        <w:rPr>
          <w:rFonts w:hint="eastAsia" w:ascii="宋体" w:hAnsi="宋体"/>
          <w:szCs w:val="21"/>
        </w:rPr>
        <w:t>6、我单位理解贵单位将不受必须接受所收到的最低报价或其他任何投标文件的约束。</w:t>
      </w:r>
      <w:bookmarkEnd w:id="56"/>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14:paraId="7A43F709">
      <w:pPr>
        <w:ind w:left="420" w:leftChars="200" w:firstLine="210" w:firstLineChars="100"/>
        <w:rPr>
          <w:szCs w:val="21"/>
        </w:rPr>
      </w:pPr>
    </w:p>
    <w:p w14:paraId="2EF10FA7">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单位地址：</w:t>
      </w:r>
      <w:r>
        <w:rPr>
          <w:rFonts w:hint="eastAsia"/>
          <w:szCs w:val="21"/>
          <w:u w:val="thick"/>
        </w:rPr>
        <w:t xml:space="preserve">                                            </w:t>
      </w:r>
      <w:r>
        <w:rPr>
          <w:rFonts w:hint="eastAsia"/>
          <w:szCs w:val="21"/>
        </w:rPr>
        <w:t>；</w:t>
      </w:r>
    </w:p>
    <w:p w14:paraId="670686E2">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15D3086D">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w:t>
      </w:r>
    </w:p>
    <w:p w14:paraId="0F4B6056">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p>
    <w:p w14:paraId="732383D1">
      <w:pPr>
        <w:rPr>
          <w:rFonts w:ascii="黑体" w:hAnsi="宋体" w:eastAsia="黑体"/>
        </w:rPr>
      </w:pPr>
    </w:p>
    <w:p w14:paraId="24625F6F">
      <w:pPr>
        <w:rPr>
          <w:rFonts w:ascii="黑体" w:hAnsi="宋体" w:eastAsia="黑体"/>
        </w:rPr>
      </w:pPr>
    </w:p>
    <w:bookmarkEnd w:id="55"/>
    <w:p w14:paraId="7CD83DB8">
      <w:pPr>
        <w:pStyle w:val="4"/>
        <w:jc w:val="center"/>
        <w:rPr>
          <w:rFonts w:ascii="黑体" w:eastAsia="黑体"/>
          <w:b w:val="0"/>
          <w:sz w:val="24"/>
        </w:rPr>
      </w:pPr>
      <w:r>
        <w:rPr>
          <w:rFonts w:hint="eastAsia" w:ascii="黑体" w:eastAsia="黑体"/>
          <w:b w:val="0"/>
          <w:sz w:val="24"/>
        </w:rPr>
        <w:t>二、政府采购投标及履约承诺函</w:t>
      </w:r>
    </w:p>
    <w:p w14:paraId="6CCE84DC">
      <w:pPr>
        <w:rPr>
          <w:rFonts w:ascii="宋体" w:hAnsi="宋体"/>
          <w:szCs w:val="21"/>
        </w:rPr>
      </w:pPr>
      <w:bookmarkStart w:id="59" w:name="_Hlk72257530"/>
      <w:r>
        <w:rPr>
          <w:rFonts w:hint="eastAsia" w:ascii="宋体" w:hAnsi="宋体"/>
          <w:szCs w:val="21"/>
        </w:rPr>
        <w:t>致：深圳公共资源交易中心</w:t>
      </w:r>
    </w:p>
    <w:p w14:paraId="0233686A">
      <w:pPr>
        <w:ind w:firstLine="420" w:firstLineChars="200"/>
        <w:rPr>
          <w:rFonts w:ascii="宋体" w:hAnsi="宋体"/>
          <w:szCs w:val="21"/>
        </w:rPr>
      </w:pPr>
      <w:r>
        <w:rPr>
          <w:rFonts w:hint="eastAsia" w:ascii="宋体" w:hAnsi="宋体"/>
          <w:szCs w:val="21"/>
        </w:rPr>
        <w:t>我单位承诺：</w:t>
      </w:r>
    </w:p>
    <w:p w14:paraId="6318B856">
      <w:pPr>
        <w:ind w:firstLine="420" w:firstLineChars="200"/>
        <w:rPr>
          <w:rFonts w:ascii="宋体" w:hAnsi="宋体"/>
          <w:szCs w:val="21"/>
        </w:rPr>
      </w:pPr>
      <w:r>
        <w:rPr>
          <w:rFonts w:ascii="宋体" w:hAnsi="宋体"/>
          <w:szCs w:val="21"/>
        </w:rPr>
        <w:t>1.</w:t>
      </w:r>
      <w:r>
        <w:rPr>
          <w:rFonts w:hint="eastAsia" w:ascii="宋体" w:hAnsi="宋体"/>
          <w:szCs w:val="21"/>
        </w:rPr>
        <w:t>我单位参与本项目所投标（响应）的货物、工程或服务，不存在侵犯知识产权的情况。</w:t>
      </w:r>
    </w:p>
    <w:p w14:paraId="1064C401">
      <w:pPr>
        <w:ind w:firstLine="420" w:firstLineChars="200"/>
        <w:rPr>
          <w:rFonts w:ascii="宋体" w:hAnsi="宋体"/>
          <w:szCs w:val="21"/>
        </w:rPr>
      </w:pPr>
      <w:r>
        <w:rPr>
          <w:rFonts w:ascii="宋体" w:hAnsi="宋体"/>
          <w:szCs w:val="21"/>
        </w:rPr>
        <w:t>2.</w:t>
      </w:r>
      <w:r>
        <w:rPr>
          <w:rFonts w:hint="eastAsia" w:ascii="宋体" w:hAnsi="宋体"/>
          <w:szCs w:val="21"/>
        </w:rPr>
        <w:t>我单位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54E7D12">
      <w:pPr>
        <w:ind w:firstLine="420" w:firstLineChars="200"/>
        <w:rPr>
          <w:rFonts w:ascii="宋体" w:hAnsi="宋体"/>
          <w:szCs w:val="21"/>
        </w:rPr>
      </w:pPr>
      <w:r>
        <w:rPr>
          <w:rFonts w:ascii="宋体" w:hAnsi="宋体"/>
          <w:szCs w:val="21"/>
        </w:rPr>
        <w:t>3.</w:t>
      </w:r>
      <w:r>
        <w:rPr>
          <w:rFonts w:hint="eastAsia" w:ascii="宋体" w:hAnsi="宋体"/>
          <w:szCs w:val="21"/>
        </w:rPr>
        <w:t>我单位参与本项目政府采购活动前三年内，在经营活动中没有《中华人民共和国政府采购法实施条例》第十九条规定的重大违法记录。</w:t>
      </w:r>
    </w:p>
    <w:p w14:paraId="634B178D">
      <w:pPr>
        <w:ind w:firstLine="420" w:firstLineChars="200"/>
        <w:rPr>
          <w:rFonts w:ascii="宋体" w:hAnsi="宋体"/>
          <w:szCs w:val="21"/>
        </w:rPr>
      </w:pPr>
      <w:r>
        <w:rPr>
          <w:rFonts w:ascii="宋体" w:hAnsi="宋体"/>
          <w:szCs w:val="21"/>
        </w:rPr>
        <w:t>4.</w:t>
      </w:r>
      <w:r>
        <w:rPr>
          <w:rFonts w:hint="eastAsia" w:ascii="宋体" w:hAnsi="宋体"/>
          <w:szCs w:val="21"/>
        </w:rPr>
        <w:t>我单位参与本项目政府采购活动时不存在被有关部门禁止参与政府采购活动且在有效期内的情况。</w:t>
      </w:r>
    </w:p>
    <w:p w14:paraId="0E332663">
      <w:pPr>
        <w:ind w:firstLine="420" w:firstLineChars="200"/>
        <w:rPr>
          <w:rFonts w:ascii="宋体" w:hAnsi="宋体"/>
          <w:szCs w:val="21"/>
        </w:rPr>
      </w:pPr>
      <w:r>
        <w:rPr>
          <w:rFonts w:ascii="宋体" w:hAnsi="宋体"/>
          <w:szCs w:val="21"/>
        </w:rPr>
        <w:t>5.</w:t>
      </w:r>
      <w:r>
        <w:rPr>
          <w:rFonts w:hint="eastAsia" w:ascii="宋体" w:hAnsi="宋体"/>
          <w:szCs w:val="21"/>
        </w:rPr>
        <w:t>我单位具备《中华人民共和国政府采购法》第二十二条第一款规定的六项条件。</w:t>
      </w:r>
    </w:p>
    <w:p w14:paraId="27D435F3">
      <w:pPr>
        <w:ind w:firstLine="420" w:firstLineChars="200"/>
        <w:rPr>
          <w:rFonts w:ascii="宋体" w:hAnsi="宋体"/>
          <w:szCs w:val="21"/>
        </w:rPr>
      </w:pPr>
      <w:r>
        <w:rPr>
          <w:rFonts w:ascii="宋体" w:hAnsi="宋体"/>
          <w:szCs w:val="21"/>
        </w:rPr>
        <w:t>6.</w:t>
      </w:r>
      <w:r>
        <w:rPr>
          <w:rFonts w:hint="eastAsia" w:ascii="宋体" w:hAnsi="宋体"/>
          <w:szCs w:val="21"/>
        </w:rPr>
        <w:t>我单位未被列入失信被执行人、重大税收违法案件当事人名单、政府采购严重违法失信行为记录名单。</w:t>
      </w:r>
    </w:p>
    <w:p w14:paraId="34A2B125">
      <w:pPr>
        <w:ind w:firstLine="420" w:firstLineChars="200"/>
        <w:rPr>
          <w:rFonts w:ascii="宋体" w:hAnsi="宋体"/>
          <w:szCs w:val="21"/>
        </w:rPr>
      </w:pPr>
      <w:r>
        <w:rPr>
          <w:rFonts w:ascii="宋体" w:hAnsi="宋体"/>
          <w:szCs w:val="21"/>
        </w:rPr>
        <w:t>7.</w:t>
      </w:r>
      <w:r>
        <w:rPr>
          <w:rFonts w:hint="eastAsia" w:ascii="宋体" w:hAnsi="宋体"/>
          <w:szCs w:val="21"/>
        </w:rPr>
        <w:t>我单位不存在《深圳市财政局政府采购供应商信用信息管理办法》（深财规〔</w:t>
      </w:r>
      <w:r>
        <w:rPr>
          <w:rFonts w:ascii="宋体" w:hAnsi="宋体"/>
          <w:szCs w:val="21"/>
        </w:rPr>
        <w:t>2023</w:t>
      </w:r>
      <w:r>
        <w:rPr>
          <w:rFonts w:hint="eastAsia" w:ascii="宋体" w:hAnsi="宋体"/>
          <w:szCs w:val="21"/>
        </w:rPr>
        <w:t>〕</w:t>
      </w:r>
      <w:r>
        <w:rPr>
          <w:rFonts w:ascii="宋体" w:hAnsi="宋体"/>
          <w:szCs w:val="21"/>
        </w:rPr>
        <w:t>3</w:t>
      </w:r>
      <w:r>
        <w:rPr>
          <w:rFonts w:hint="eastAsia" w:ascii="宋体" w:hAnsi="宋体"/>
          <w:szCs w:val="21"/>
        </w:rPr>
        <w:t>号）列明的严重违法失信行为。</w:t>
      </w:r>
    </w:p>
    <w:p w14:paraId="794B0B8F">
      <w:pPr>
        <w:ind w:firstLine="420" w:firstLineChars="200"/>
        <w:rPr>
          <w:rFonts w:ascii="宋体" w:hAnsi="宋体"/>
          <w:szCs w:val="21"/>
        </w:rPr>
      </w:pPr>
      <w:r>
        <w:rPr>
          <w:rFonts w:ascii="宋体" w:hAnsi="宋体"/>
          <w:szCs w:val="21"/>
        </w:rPr>
        <w:t>8.</w:t>
      </w:r>
      <w:r>
        <w:rPr>
          <w:rFonts w:hint="eastAsia" w:ascii="宋体" w:hAnsi="宋体"/>
          <w:szCs w:val="21"/>
        </w:rPr>
        <w:t>我单位参与本项目政府采购活动，严格遵守政府采购相关法律，做到诚实，不造假，不围标、串标、陪标。我单位已清楚，如违反上述要求，将作无效响应处理，被列入不良记录名单并在网上曝光，同时将被提请政府采购监督管理部门给予一定年限内禁止参与政府采购活动或其他处罚。</w:t>
      </w:r>
    </w:p>
    <w:p w14:paraId="108093CC">
      <w:pPr>
        <w:ind w:firstLine="420" w:firstLineChars="200"/>
        <w:rPr>
          <w:rFonts w:ascii="宋体" w:hAnsi="宋体"/>
          <w:szCs w:val="21"/>
        </w:rPr>
      </w:pPr>
      <w:r>
        <w:rPr>
          <w:rFonts w:ascii="宋体" w:hAnsi="宋体"/>
          <w:szCs w:val="21"/>
        </w:rPr>
        <w:t>9.</w:t>
      </w:r>
      <w:r>
        <w:rPr>
          <w:rFonts w:hint="eastAsia" w:ascii="宋体" w:hAnsi="宋体"/>
          <w:szCs w:val="21"/>
        </w:rPr>
        <w:t>我单位如果成为本项目成交供应商，做到守信，不偷工减料，依照本项目采购文件需求内容、签署的采购合同及本单位在参与政府采购活动时所作的一切响应和承诺进行履约。项目验收达到全部指标合格，力争优良。在合同履约期间，如我单位因违法行为被禁止参与政府采购活动或者存在其他重大违法行为的，采购人可以提前解除合同或者不予续签合同。</w:t>
      </w:r>
    </w:p>
    <w:p w14:paraId="6BA21366">
      <w:pPr>
        <w:ind w:firstLine="420" w:firstLineChars="200"/>
        <w:rPr>
          <w:rFonts w:ascii="宋体" w:hAnsi="宋体"/>
          <w:szCs w:val="21"/>
        </w:rPr>
      </w:pPr>
      <w:r>
        <w:rPr>
          <w:rFonts w:ascii="宋体" w:hAnsi="宋体"/>
          <w:szCs w:val="21"/>
        </w:rPr>
        <w:t>10.</w:t>
      </w:r>
      <w:r>
        <w:rPr>
          <w:rFonts w:hint="eastAsia" w:ascii="宋体" w:hAnsi="宋体"/>
          <w:szCs w:val="21"/>
        </w:rPr>
        <w:t>我单位承诺本项目的报价不低于我单位的成本价，否则，我单位清楚将面临投标无效的风险；我单位承诺不恶意低价谋取成交；我单位对本项目的报价负责，成交后将严格按照本项目采购文件需求、签署的采购合同及我单位在报价响应中所作的全部承诺履行。我单位清楚，若我单位以“报价太低而无法履约”为理由放弃本项目成交资格时，愿意接受政府采购监督管理部门的处理。若我单位成为本项目成交供应商，我单位的报价明显低于其他参与政府采购供应商的报价时，我单位清楚，本项目将成为重点监管、重点验收项目，我单位将按时保质保量完成，并全力配合有关监管、验收工作；若我单位未按上述要求履约，我单位愿意接受政府采购监督管理部门的处理。</w:t>
      </w:r>
    </w:p>
    <w:p w14:paraId="21596652">
      <w:pPr>
        <w:ind w:firstLine="420" w:firstLineChars="200"/>
        <w:rPr>
          <w:rFonts w:ascii="宋体" w:hAnsi="宋体"/>
          <w:szCs w:val="21"/>
        </w:rPr>
      </w:pPr>
      <w:r>
        <w:rPr>
          <w:rFonts w:ascii="宋体" w:hAnsi="宋体"/>
          <w:szCs w:val="21"/>
        </w:rPr>
        <w:t>11.</w:t>
      </w:r>
      <w:r>
        <w:rPr>
          <w:rFonts w:hint="eastAsia" w:ascii="宋体" w:hAnsi="宋体"/>
          <w:szCs w:val="21"/>
        </w:rPr>
        <w:t>我单位已认真核实了报价响应文件的全部内容，所有资料均为真实资料。我单位对报价响应文件中全部资料的真实性负责，如被证实我单位的报价响应文件中存在虚假资料的，则视为我单位隐瞒真实情况、提供虚假资料，我单位愿意接受政府采购监督管理部门作出的行政处罚。</w:t>
      </w:r>
    </w:p>
    <w:p w14:paraId="588FC965">
      <w:pPr>
        <w:ind w:firstLine="420" w:firstLineChars="200"/>
        <w:rPr>
          <w:rFonts w:ascii="宋体" w:hAnsi="宋体"/>
          <w:szCs w:val="21"/>
        </w:rPr>
      </w:pPr>
      <w:r>
        <w:rPr>
          <w:rFonts w:ascii="宋体" w:hAnsi="宋体"/>
          <w:szCs w:val="21"/>
        </w:rPr>
        <w:t>12.</w:t>
      </w:r>
      <w:r>
        <w:rPr>
          <w:rFonts w:hint="eastAsia" w:ascii="宋体" w:hAnsi="宋体"/>
          <w:szCs w:val="21"/>
        </w:rPr>
        <w:t>我单位承诺不非法转包、分包。</w:t>
      </w:r>
    </w:p>
    <w:p w14:paraId="3AC75CD2">
      <w:pPr>
        <w:ind w:firstLine="420" w:firstLineChars="200"/>
        <w:rPr>
          <w:rFonts w:ascii="宋体" w:hAnsi="宋体"/>
          <w:szCs w:val="21"/>
        </w:rPr>
      </w:pPr>
      <w:r>
        <w:rPr>
          <w:rFonts w:ascii="宋体" w:hAnsi="宋体"/>
          <w:szCs w:val="21"/>
        </w:rPr>
        <w:t>13.</w:t>
      </w:r>
      <w:r>
        <w:rPr>
          <w:rFonts w:hint="eastAsia" w:ascii="宋体" w:hAnsi="宋体"/>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627306EF">
      <w:pPr>
        <w:ind w:firstLine="420" w:firstLineChars="200"/>
        <w:rPr>
          <w:rFonts w:ascii="宋体" w:hAnsi="宋体"/>
          <w:szCs w:val="21"/>
        </w:rPr>
      </w:pPr>
      <w:r>
        <w:rPr>
          <w:rFonts w:ascii="宋体" w:hAnsi="宋体"/>
          <w:szCs w:val="21"/>
        </w:rPr>
        <w:t>14.</w:t>
      </w:r>
      <w:r>
        <w:rPr>
          <w:rFonts w:hint="eastAsia" w:ascii="宋体" w:hAnsi="宋体"/>
          <w:szCs w:val="21"/>
        </w:rPr>
        <w:t>我单位保证，若所投货物涉及《财政部生态环境部关于印发节能产品政府采购品目清单的通知》（财库〔</w:t>
      </w:r>
      <w:r>
        <w:rPr>
          <w:rFonts w:ascii="宋体" w:hAnsi="宋体"/>
          <w:szCs w:val="21"/>
        </w:rPr>
        <w:t>2019</w:t>
      </w:r>
      <w:r>
        <w:rPr>
          <w:rFonts w:hint="eastAsia" w:ascii="宋体" w:hAnsi="宋体"/>
          <w:szCs w:val="21"/>
        </w:rPr>
        <w:t>〕</w:t>
      </w:r>
      <w:r>
        <w:rPr>
          <w:rFonts w:ascii="宋体" w:hAnsi="宋体"/>
          <w:szCs w:val="21"/>
        </w:rPr>
        <w:t>19</w:t>
      </w:r>
      <w:r>
        <w:rPr>
          <w:rFonts w:hint="eastAsia" w:ascii="宋体" w:hAnsi="宋体"/>
          <w:szCs w:val="21"/>
        </w:rPr>
        <w:t>号）列明的政府采购强制性产品，则所投该产品符合节能产品的认证要求。若所投产品包括数据中心相关设备的，应满足《财政部</w:t>
      </w:r>
      <w:r>
        <w:rPr>
          <w:rFonts w:ascii="宋体" w:hAnsi="宋体"/>
          <w:szCs w:val="21"/>
        </w:rPr>
        <w:t xml:space="preserve"> </w:t>
      </w:r>
      <w:r>
        <w:rPr>
          <w:rFonts w:hint="eastAsia" w:ascii="宋体" w:hAnsi="宋体"/>
          <w:szCs w:val="21"/>
        </w:rPr>
        <w:t>生态环境部</w:t>
      </w:r>
      <w:r>
        <w:rPr>
          <w:rFonts w:ascii="宋体" w:hAnsi="宋体"/>
          <w:szCs w:val="21"/>
        </w:rPr>
        <w:t xml:space="preserve"> </w:t>
      </w:r>
      <w:r>
        <w:rPr>
          <w:rFonts w:hint="eastAsia" w:ascii="宋体" w:hAnsi="宋体"/>
          <w:szCs w:val="21"/>
        </w:rPr>
        <w:t>工业和信息化部关于印发〈绿色数据中心政府采购需求标准（试行）〉的通知》（财库〔</w:t>
      </w:r>
      <w:r>
        <w:rPr>
          <w:rFonts w:ascii="宋体" w:hAnsi="宋体"/>
          <w:szCs w:val="21"/>
        </w:rPr>
        <w:t>2023</w:t>
      </w:r>
      <w:r>
        <w:rPr>
          <w:rFonts w:hint="eastAsia" w:ascii="宋体" w:hAnsi="宋体"/>
          <w:szCs w:val="21"/>
        </w:rPr>
        <w:t>〕</w:t>
      </w:r>
      <w:r>
        <w:rPr>
          <w:rFonts w:ascii="宋体" w:hAnsi="宋体"/>
          <w:szCs w:val="21"/>
        </w:rPr>
        <w:t>7</w:t>
      </w:r>
      <w:r>
        <w:rPr>
          <w:rFonts w:hint="eastAsia" w:ascii="宋体" w:hAnsi="宋体"/>
          <w:szCs w:val="21"/>
        </w:rPr>
        <w:t>号）要求。若所投产品涉及国家强制性标准的，所投产品应符合国家强制性标准相关要求。</w:t>
      </w:r>
    </w:p>
    <w:p w14:paraId="47247C74">
      <w:pPr>
        <w:ind w:firstLine="420" w:firstLineChars="200"/>
        <w:rPr>
          <w:rFonts w:ascii="宋体" w:hAnsi="宋体"/>
          <w:szCs w:val="21"/>
        </w:rPr>
      </w:pPr>
      <w:r>
        <w:rPr>
          <w:rFonts w:ascii="宋体" w:hAnsi="宋体"/>
          <w:szCs w:val="21"/>
        </w:rPr>
        <w:t>15.</w:t>
      </w:r>
      <w:r>
        <w:rPr>
          <w:rFonts w:hint="eastAsia" w:ascii="宋体" w:hAnsi="宋体"/>
          <w:szCs w:val="21"/>
        </w:rPr>
        <w:t>我单位已知悉并同意中标（成交）结果信息公示（公开）的内容。</w:t>
      </w:r>
    </w:p>
    <w:p w14:paraId="7CC28EAF">
      <w:pPr>
        <w:ind w:firstLine="420" w:firstLineChars="200"/>
        <w:rPr>
          <w:rFonts w:ascii="宋体" w:hAnsi="宋体"/>
          <w:szCs w:val="21"/>
        </w:rPr>
      </w:pPr>
      <w:r>
        <w:rPr>
          <w:rFonts w:ascii="宋体" w:hAnsi="宋体"/>
          <w:szCs w:val="21"/>
        </w:rPr>
        <w:t>16.</w:t>
      </w:r>
      <w:r>
        <w:rPr>
          <w:rFonts w:hint="eastAsia" w:ascii="宋体" w:hAnsi="宋体"/>
          <w:szCs w:val="21"/>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1728B806">
      <w:pPr>
        <w:ind w:firstLine="420" w:firstLineChars="200"/>
        <w:rPr>
          <w:rFonts w:ascii="宋体" w:hAnsi="宋体"/>
          <w:szCs w:val="21"/>
        </w:rPr>
      </w:pPr>
      <w:r>
        <w:rPr>
          <w:rFonts w:ascii="宋体" w:hAnsi="宋体"/>
          <w:szCs w:val="21"/>
        </w:rPr>
        <w:t>17.</w:t>
      </w:r>
      <w:r>
        <w:rPr>
          <w:rFonts w:hint="eastAsia" w:ascii="宋体" w:hAnsi="宋体"/>
          <w:szCs w:val="21"/>
        </w:rPr>
        <w:t>我单位清楚，如存在违反投标承诺行为情节严重的，将根据《深圳市财政局关于印发〈深圳市财政局政府采购供应商信用信息管理办法〉的通知》，依法被列入失信信息。</w:t>
      </w:r>
    </w:p>
    <w:p w14:paraId="2AC44EF0">
      <w:pPr>
        <w:ind w:firstLine="420" w:firstLineChars="200"/>
        <w:rPr>
          <w:rFonts w:ascii="宋体" w:hAnsi="宋体"/>
          <w:szCs w:val="21"/>
        </w:rPr>
      </w:pPr>
      <w:r>
        <w:rPr>
          <w:rFonts w:ascii="宋体" w:hAnsi="宋体"/>
          <w:szCs w:val="21"/>
        </w:rPr>
        <w:t>18.</w:t>
      </w:r>
      <w:r>
        <w:rPr>
          <w:rFonts w:hint="eastAsia" w:ascii="宋体" w:hAnsi="宋体"/>
          <w:szCs w:val="21"/>
        </w:rPr>
        <w:t>我单位保证，不存在有采购人临床医技科室负责人员和其他从事管理的人员及配偶、子女及其配偶，参与开办、入股（除上市公司非控制股东）或实际控制投标人单位的情形。</w:t>
      </w:r>
    </w:p>
    <w:p w14:paraId="2CBEC1E6">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14:paraId="4F931334">
      <w:pPr>
        <w:ind w:firstLine="4560" w:firstLineChars="1900"/>
        <w:jc w:val="left"/>
        <w:rPr>
          <w:rFonts w:ascii="宋体" w:hAnsi="宋体" w:cs="宋体"/>
          <w:sz w:val="24"/>
        </w:rPr>
      </w:pPr>
    </w:p>
    <w:p w14:paraId="78F622CB">
      <w:pPr>
        <w:ind w:firstLine="3990" w:firstLineChars="1900"/>
        <w:jc w:val="left"/>
        <w:rPr>
          <w:rFonts w:ascii="宋体" w:hAnsi="宋体" w:cs="宋体"/>
          <w:szCs w:val="21"/>
          <w:u w:val="single"/>
        </w:rPr>
      </w:pPr>
      <w:r>
        <w:rPr>
          <w:rFonts w:hint="eastAsia" w:ascii="宋体" w:hAnsi="宋体" w:cs="宋体"/>
          <w:szCs w:val="21"/>
        </w:rPr>
        <w:t>投标人：</w:t>
      </w:r>
    </w:p>
    <w:p w14:paraId="4F213876">
      <w:pPr>
        <w:ind w:firstLine="3990" w:firstLineChars="1900"/>
        <w:jc w:val="left"/>
        <w:rPr>
          <w:rFonts w:ascii="宋体" w:hAnsi="宋体" w:cs="宋体"/>
          <w:szCs w:val="21"/>
          <w:u w:val="single"/>
        </w:rPr>
      </w:pPr>
      <w:r>
        <w:rPr>
          <w:rFonts w:hint="eastAsia" w:ascii="宋体" w:hAnsi="宋体" w:cs="宋体"/>
          <w:szCs w:val="21"/>
        </w:rPr>
        <w:t>法定代表人或其授权代表签名：</w:t>
      </w:r>
    </w:p>
    <w:p w14:paraId="2F2B9234">
      <w:pPr>
        <w:ind w:firstLine="3990" w:firstLineChars="1900"/>
        <w:rPr>
          <w:rFonts w:ascii="宋体" w:hAnsi="宋体"/>
          <w:szCs w:val="21"/>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bookmarkEnd w:id="59"/>
    <w:p w14:paraId="29450CBA"/>
    <w:p w14:paraId="2B5CE99F">
      <w:pPr>
        <w:rPr>
          <w:rFonts w:ascii="宋体" w:hAnsi="宋体"/>
          <w:szCs w:val="21"/>
        </w:rPr>
      </w:pPr>
    </w:p>
    <w:p w14:paraId="42831041">
      <w:pPr>
        <w:rPr>
          <w:rFonts w:ascii="宋体"/>
          <w:b/>
          <w:szCs w:val="21"/>
        </w:rPr>
      </w:pPr>
    </w:p>
    <w:p w14:paraId="2E80DD95">
      <w:pPr>
        <w:ind w:firstLine="482" w:firstLineChars="200"/>
        <w:jc w:val="center"/>
        <w:rPr>
          <w:rFonts w:hAnsi="宋体"/>
          <w:b/>
          <w:bCs/>
          <w:sz w:val="24"/>
        </w:rPr>
      </w:pPr>
    </w:p>
    <w:p w14:paraId="4CFE5B9F">
      <w:pPr>
        <w:pStyle w:val="4"/>
        <w:jc w:val="center"/>
        <w:rPr>
          <w:rFonts w:ascii="黑体" w:eastAsia="黑体"/>
          <w:b w:val="0"/>
          <w:sz w:val="24"/>
          <w:szCs w:val="24"/>
        </w:rPr>
      </w:pPr>
      <w:r>
        <w:rPr>
          <w:rFonts w:hint="eastAsia" w:ascii="黑体" w:eastAsia="黑体"/>
          <w:b w:val="0"/>
          <w:sz w:val="24"/>
          <w:szCs w:val="24"/>
        </w:rPr>
        <w:t>三、投标人情况及资格证明文件</w:t>
      </w:r>
    </w:p>
    <w:p w14:paraId="20A5DD1A">
      <w:pPr>
        <w:rPr>
          <w:b/>
          <w:bCs/>
          <w:sz w:val="24"/>
        </w:rPr>
      </w:pPr>
    </w:p>
    <w:p w14:paraId="3184EA79">
      <w:pPr>
        <w:ind w:firstLine="2640" w:firstLineChars="1100"/>
        <w:outlineLvl w:val="3"/>
        <w:rPr>
          <w:rFonts w:ascii="黑体" w:hAnsi="宋体" w:eastAsia="黑体"/>
          <w:bCs/>
          <w:kern w:val="0"/>
          <w:sz w:val="24"/>
          <w:szCs w:val="32"/>
        </w:rPr>
      </w:pPr>
      <w:bookmarkStart w:id="60" w:name="_Hlk72257590"/>
      <w:r>
        <w:rPr>
          <w:rFonts w:hint="eastAsia" w:ascii="黑体" w:hAnsi="宋体" w:eastAsia="黑体"/>
          <w:bCs/>
          <w:kern w:val="0"/>
          <w:sz w:val="24"/>
          <w:szCs w:val="32"/>
        </w:rPr>
        <w:t>（一）投标人资格证明文件</w:t>
      </w:r>
    </w:p>
    <w:p w14:paraId="51B3888C">
      <w:pPr>
        <w:spacing w:before="120" w:beforeLines="50"/>
        <w:ind w:firstLine="422"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其中要求提供《政府采购投标及履约承诺函》《供应商基本情况表》且已在规定章节中提供的，此处不重复提供。）</w:t>
      </w:r>
    </w:p>
    <w:p w14:paraId="4F47F5D6">
      <w:pPr>
        <w:rPr>
          <w:b/>
          <w:bCs/>
          <w:sz w:val="24"/>
        </w:rPr>
      </w:pPr>
    </w:p>
    <w:p w14:paraId="4708159D">
      <w:pPr>
        <w:ind w:firstLine="480" w:firstLineChars="200"/>
        <w:outlineLvl w:val="3"/>
        <w:rPr>
          <w:rFonts w:ascii="黑体" w:hAnsi="宋体" w:eastAsia="黑体"/>
          <w:bCs/>
          <w:kern w:val="0"/>
          <w:sz w:val="24"/>
          <w:szCs w:val="32"/>
        </w:rPr>
      </w:pPr>
      <w:bookmarkStart w:id="61" w:name="_Hlk72257908"/>
      <w:r>
        <w:rPr>
          <w:rFonts w:hint="eastAsia" w:ascii="黑体" w:hAnsi="宋体" w:eastAsia="黑体"/>
          <w:bCs/>
          <w:kern w:val="0"/>
          <w:sz w:val="24"/>
          <w:szCs w:val="32"/>
        </w:rPr>
        <w:t>（二）中小企业声明函、残疾人福利性单位声明函及监狱企业声明函</w:t>
      </w:r>
    </w:p>
    <w:bookmarkEnd w:id="60"/>
    <w:p w14:paraId="6DFF0579">
      <w:pPr>
        <w:jc w:val="left"/>
      </w:pPr>
    </w:p>
    <w:p w14:paraId="7DF27CEF">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14:paraId="112A7C6A">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1F0F81CC">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14:paraId="388A33CC">
      <w:pPr>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37362C2F">
      <w:pPr>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p>
    <w:p w14:paraId="33D78F4D">
      <w:pPr>
        <w:ind w:firstLine="420" w:firstLineChars="200"/>
        <w:outlineLvl w:val="3"/>
        <w:rPr>
          <w:rFonts w:ascii="黑体" w:hAnsi="黑体" w:eastAsia="黑体"/>
          <w:color w:val="FF0000"/>
          <w:szCs w:val="21"/>
        </w:rPr>
      </w:pPr>
      <w:r>
        <w:rPr>
          <w:rFonts w:hint="eastAsia" w:ascii="黑体" w:hAnsi="黑体" w:eastAsia="黑体"/>
          <w:color w:val="FF0000"/>
          <w:szCs w:val="21"/>
        </w:rPr>
        <w:t>（3）《统计上大中小微型企业划分办法（2017）》（国统字〔2017〕213号）；</w:t>
      </w:r>
    </w:p>
    <w:p w14:paraId="1BF833A9">
      <w:pPr>
        <w:ind w:firstLine="420" w:firstLineChars="200"/>
        <w:outlineLvl w:val="3"/>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18F337C6">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7D5DE3B4">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411B403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3FB9CC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1356B61D">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7A4D7602">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3BE41834">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69559A6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53A30070">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货物制造商名称。</w:t>
      </w:r>
      <w:r>
        <w:rPr>
          <w:rFonts w:hint="eastAsia" w:ascii="黑体" w:hAnsi="宋体" w:eastAsia="黑体"/>
          <w:bCs/>
          <w:color w:val="FF0000"/>
          <w:kern w:val="0"/>
          <w:szCs w:val="21"/>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702BDAB9">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59B339E6">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14:paraId="7B88BED9">
      <w:pPr>
        <w:pStyle w:val="55"/>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3D7547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（3）事业单位、社会组织等非企业主体不享受中小企业扶持政策，但事业单位、社会组织等非企业主体提供全部由中小企业制造的货物参加货物采购项目的除外。</w:t>
      </w:r>
    </w:p>
    <w:p w14:paraId="1B7D179E">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（4）声明残疾人福利性单位须填写《残疾人福利性单位声明函》的相关内容，具体参照以上《中小企业声明函》填写要求执行。</w:t>
      </w:r>
    </w:p>
    <w:p w14:paraId="3DA4E34E">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14:paraId="62251600">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6B62AE5B">
      <w:pPr>
        <w:pStyle w:val="55"/>
        <w:ind w:firstLine="420" w:firstLineChars="200"/>
        <w:rPr>
          <w:rFonts w:eastAsia="黑体"/>
        </w:rPr>
      </w:pPr>
      <w:r>
        <w:rPr>
          <w:rFonts w:hint="eastAsia" w:ascii="黑体" w:hAnsi="宋体" w:eastAsia="黑体"/>
          <w:bCs/>
          <w:color w:val="FF0000"/>
          <w:kern w:val="0"/>
          <w:szCs w:val="21"/>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7B823A91">
      <w:pPr>
        <w:ind w:firstLine="420" w:firstLineChars="200"/>
      </w:pPr>
    </w:p>
    <w:p w14:paraId="13F130A7">
      <w:pPr>
        <w:numPr>
          <w:ilvl w:val="0"/>
          <w:numId w:val="8"/>
        </w:numPr>
        <w:jc w:val="center"/>
        <w:outlineLvl w:val="3"/>
        <w:rPr>
          <w:b/>
          <w:sz w:val="24"/>
        </w:rPr>
      </w:pPr>
      <w:r>
        <w:rPr>
          <w:b/>
          <w:sz w:val="24"/>
        </w:rPr>
        <w:t>中小企业声明函（货物）</w:t>
      </w:r>
    </w:p>
    <w:p w14:paraId="79C0F4D4">
      <w:pPr>
        <w:pStyle w:val="18"/>
      </w:pPr>
    </w:p>
    <w:p w14:paraId="42A609C1">
      <w:pPr>
        <w:pStyle w:val="19"/>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rPr>
        <w:t xml:space="preserve">    （单位名称）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rPr>
        <w:t xml:space="preserve">    （项目名称）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14:paraId="57D519E4">
      <w:pPr>
        <w:pStyle w:val="19"/>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b/>
          <w:bCs/>
          <w:i/>
          <w:iCs/>
          <w:sz w:val="21"/>
          <w:szCs w:val="21"/>
          <w:u w:val="single"/>
        </w:rPr>
        <w:t xml:space="preserve">    （标的名称）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rPr>
        <w:t xml:space="preserve">    （采购文件中明确的所属行业）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rPr>
        <w:t xml:space="preserve">    （中型企业、小型企业、微型企业）    </w:t>
      </w:r>
      <w:r>
        <w:rPr>
          <w:rFonts w:hint="eastAsia" w:asciiTheme="minorEastAsia" w:hAnsiTheme="minorEastAsia" w:eastAsiaTheme="minorEastAsia" w:cstheme="minorEastAsia"/>
          <w:sz w:val="21"/>
          <w:szCs w:val="21"/>
        </w:rPr>
        <w:t>；</w:t>
      </w:r>
    </w:p>
    <w:p w14:paraId="7749143F">
      <w:pPr>
        <w:pStyle w:val="19"/>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b/>
          <w:bCs/>
          <w:i/>
          <w:iCs/>
          <w:sz w:val="21"/>
          <w:szCs w:val="21"/>
          <w:u w:val="single"/>
        </w:rPr>
        <w:t xml:space="preserve">    （标的名称）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rPr>
        <w:t xml:space="preserve">    （采购文件中明确的所属行业）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rPr>
        <w:t xml:space="preserve">    （中型企业、小型企业、微型企业）    </w:t>
      </w:r>
      <w:r>
        <w:rPr>
          <w:rFonts w:hint="eastAsia" w:asciiTheme="minorEastAsia" w:hAnsiTheme="minorEastAsia" w:eastAsiaTheme="minorEastAsia" w:cstheme="minorEastAsia"/>
          <w:sz w:val="21"/>
          <w:szCs w:val="21"/>
        </w:rPr>
        <w:t>；</w:t>
      </w:r>
    </w:p>
    <w:p w14:paraId="43BF89C1">
      <w:pPr>
        <w:pStyle w:val="19"/>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p w14:paraId="4D097107">
      <w:pPr>
        <w:pStyle w:val="19"/>
        <w:ind w:firstLine="420" w:firstLineChars="200"/>
        <w:rPr>
          <w:rFonts w:asciiTheme="minorEastAsia" w:hAnsiTheme="minorEastAsia" w:eastAsiaTheme="minorEastAsia" w:cstheme="minorEastAsia"/>
          <w:sz w:val="21"/>
          <w:szCs w:val="21"/>
        </w:rPr>
      </w:pPr>
    </w:p>
    <w:p w14:paraId="2D062FD7">
      <w:pPr>
        <w:spacing w:line="360" w:lineRule="auto"/>
        <w:ind w:firstLine="420" w:firstLineChars="200"/>
        <w:outlineLvl w:val="3"/>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14:paraId="666D0E2B">
      <w:pPr>
        <w:spacing w:line="360" w:lineRule="auto"/>
        <w:ind w:firstLine="420" w:firstLineChars="200"/>
        <w:rPr>
          <w:rFonts w:asciiTheme="minorEastAsia" w:hAnsiTheme="minorEastAsia" w:eastAsiaTheme="minorEastAsia" w:cstheme="minorEastAsia"/>
          <w:szCs w:val="21"/>
        </w:rPr>
      </w:pPr>
      <w:bookmarkStart w:id="62" w:name="_Hlk73562203"/>
      <w:r>
        <w:rPr>
          <w:rFonts w:hint="eastAsia" w:asciiTheme="minorEastAsia" w:hAnsiTheme="minorEastAsia" w:eastAsiaTheme="minorEastAsia" w:cstheme="minorEastAsia"/>
          <w:szCs w:val="21"/>
        </w:rPr>
        <w:t>本投标人对上述声明内容的真实性负责。如有虚假，将依法承担相应责任。</w:t>
      </w:r>
    </w:p>
    <w:p w14:paraId="60CF63B6">
      <w:pPr>
        <w:spacing w:line="360" w:lineRule="auto"/>
        <w:ind w:firstLine="420" w:firstLineChars="200"/>
        <w:rPr>
          <w:sz w:val="24"/>
        </w:rPr>
      </w:pPr>
      <w:r>
        <w:rPr>
          <w:rFonts w:hint="eastAsia" w:asciiTheme="minorEastAsia" w:hAnsiTheme="minorEastAsia" w:eastAsia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号）第二十条规定，投标人按照本办法规定提供声明函内容不实的，属于提供虚假材料谋取中标，依照《中华人民共和国政府采购法》等政府采购有关法律法规规定追究相应责任。</w:t>
      </w:r>
      <w:bookmarkEnd w:id="62"/>
    </w:p>
    <w:p w14:paraId="396789CB"/>
    <w:p w14:paraId="723A79A3"/>
    <w:p w14:paraId="0CBCB85B">
      <w:pPr>
        <w:ind w:firstLine="420" w:firstLineChars="200"/>
      </w:pPr>
    </w:p>
    <w:p w14:paraId="0B361AEB">
      <w:pPr>
        <w:jc w:val="center"/>
        <w:outlineLvl w:val="3"/>
        <w:rPr>
          <w:b/>
          <w:sz w:val="24"/>
        </w:rPr>
      </w:pPr>
      <w:r>
        <w:rPr>
          <w:rFonts w:hint="eastAsia"/>
          <w:b/>
          <w:sz w:val="24"/>
        </w:rPr>
        <w:t>2、残疾人福利性单位声明函（货物类）</w:t>
      </w:r>
    </w:p>
    <w:p w14:paraId="3BB685F7">
      <w:pPr>
        <w:rPr>
          <w:b/>
          <w:bCs/>
        </w:rPr>
      </w:pPr>
    </w:p>
    <w:p w14:paraId="2A4CCEFB">
      <w:pPr>
        <w:spacing w:line="360" w:lineRule="auto"/>
        <w:ind w:firstLine="420" w:firstLineChars="200"/>
        <w:rPr>
          <w:rFonts w:ascii="宋体" w:hAnsi="宋体" w:cs="宋体"/>
          <w:szCs w:val="21"/>
        </w:rPr>
      </w:pPr>
      <w:bookmarkStart w:id="63" w:name="_Hlk73562331"/>
      <w:bookmarkStart w:id="64" w:name="_Hlk73562245"/>
      <w:r>
        <w:rPr>
          <w:rFonts w:hint="eastAsia" w:ascii="宋体" w:hAnsi="宋体" w:cs="宋体"/>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b/>
          <w:bCs/>
          <w:i/>
          <w:iCs/>
          <w:szCs w:val="21"/>
          <w:u w:val="single"/>
        </w:rPr>
        <w:t xml:space="preserve">    （单位名称）    </w:t>
      </w:r>
      <w:r>
        <w:rPr>
          <w:rFonts w:hint="eastAsia" w:ascii="宋体" w:hAnsi="宋体" w:cs="宋体"/>
          <w:szCs w:val="21"/>
        </w:rPr>
        <w:t>单位的</w:t>
      </w:r>
      <w:r>
        <w:rPr>
          <w:rFonts w:hint="eastAsia" w:ascii="宋体" w:hAnsi="宋体" w:cs="宋体"/>
          <w:b/>
          <w:bCs/>
          <w:i/>
          <w:iCs/>
          <w:szCs w:val="21"/>
          <w:u w:val="single"/>
        </w:rPr>
        <w:t xml:space="preserve">    （项目名称）    </w:t>
      </w:r>
      <w:r>
        <w:rPr>
          <w:rFonts w:hint="eastAsia" w:ascii="宋体" w:hAnsi="宋体" w:cs="宋体"/>
          <w:szCs w:val="21"/>
        </w:rPr>
        <w:t>项目采购活动提供本单位制造的货物（由本单位承担工程/提供服务），或者提供其他残疾人福利性单位制造的货物（不包括使用非残疾人福利性单位注册商标的货物）。</w:t>
      </w:r>
    </w:p>
    <w:p w14:paraId="0FE6E36B">
      <w:pPr>
        <w:spacing w:line="360" w:lineRule="auto"/>
        <w:ind w:firstLine="420" w:firstLineChars="200"/>
        <w:rPr>
          <w:rFonts w:ascii="宋体" w:hAnsi="宋体" w:cs="宋体"/>
          <w:szCs w:val="21"/>
        </w:rPr>
      </w:pPr>
      <w:r>
        <w:rPr>
          <w:rFonts w:hint="eastAsia" w:ascii="宋体" w:hAnsi="宋体" w:cs="宋体"/>
          <w:szCs w:val="21"/>
        </w:rPr>
        <w:t>本单位对上述声明的真实性负责。如有虚假，将依法承担相应责任。</w:t>
      </w:r>
    </w:p>
    <w:p w14:paraId="4CB6D09C">
      <w:pPr>
        <w:spacing w:line="360" w:lineRule="auto"/>
        <w:ind w:firstLine="420" w:firstLineChars="200"/>
        <w:rPr>
          <w:rFonts w:ascii="宋体" w:hAnsi="宋体" w:cs="宋体"/>
          <w:szCs w:val="21"/>
        </w:rPr>
      </w:pPr>
      <w:r>
        <w:rPr>
          <w:rFonts w:hint="eastAsia" w:ascii="宋体" w:hAnsi="宋体" w:cs="宋体"/>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63"/>
    </w:p>
    <w:bookmarkEnd w:id="64"/>
    <w:p w14:paraId="32260E2B">
      <w:pPr>
        <w:ind w:firstLine="420" w:firstLineChars="200"/>
        <w:rPr>
          <w:rFonts w:ascii="宋体" w:hAnsi="宋体"/>
          <w:szCs w:val="21"/>
        </w:rPr>
      </w:pPr>
    </w:p>
    <w:p w14:paraId="5E41165C">
      <w:pPr>
        <w:ind w:firstLine="420" w:firstLineChars="200"/>
        <w:rPr>
          <w:rFonts w:ascii="宋体" w:hAnsi="宋体"/>
          <w:szCs w:val="21"/>
        </w:rPr>
      </w:pPr>
    </w:p>
    <w:p w14:paraId="742819DF">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032E37EE">
      <w:pPr>
        <w:spacing w:line="360" w:lineRule="auto"/>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77B9431C">
      <w:pPr>
        <w:spacing w:line="360" w:lineRule="auto"/>
        <w:ind w:firstLine="420" w:firstLineChars="200"/>
        <w:rPr>
          <w:rFonts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11424242">
      <w:pPr>
        <w:spacing w:line="360" w:lineRule="auto"/>
        <w:ind w:firstLine="420" w:firstLineChars="200"/>
        <w:rPr>
          <w:rFonts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763579A3">
      <w:pPr>
        <w:widowControl/>
        <w:ind w:firstLine="420" w:firstLineChars="200"/>
      </w:pPr>
      <w:r>
        <w:t xml:space="preserve">…… </w:t>
      </w:r>
    </w:p>
    <w:p w14:paraId="2F347B03">
      <w:pPr>
        <w:spacing w:line="360" w:lineRule="auto"/>
        <w:ind w:firstLine="420" w:firstLineChars="200"/>
        <w:rPr>
          <w:rFonts w:ascii="宋体" w:hAnsi="宋体"/>
          <w:szCs w:val="21"/>
        </w:rPr>
      </w:pPr>
      <w:r>
        <w:rPr>
          <w:rFonts w:ascii="宋体" w:hAnsi="宋体" w:cs="宋体"/>
          <w:szCs w:val="21"/>
        </w:rPr>
        <w:t>本</w:t>
      </w:r>
      <w:r>
        <w:rPr>
          <w:rFonts w:hint="eastAsia" w:ascii="宋体" w:hAnsi="宋体" w:cs="宋体"/>
          <w:szCs w:val="21"/>
        </w:rPr>
        <w:t>投标人</w:t>
      </w:r>
      <w:r>
        <w:rPr>
          <w:rFonts w:ascii="宋体" w:hAnsi="宋体"/>
          <w:szCs w:val="21"/>
        </w:rPr>
        <w:t>对上述声明内容的真实性负责。如有虚假，将依法承担相应责任。</w:t>
      </w:r>
    </w:p>
    <w:p w14:paraId="5B1D96C1">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61"/>
    </w:p>
    <w:p w14:paraId="6D5AF2DE">
      <w:pPr>
        <w:pStyle w:val="4"/>
        <w:jc w:val="center"/>
        <w:rPr>
          <w:rFonts w:ascii="黑体" w:eastAsia="黑体"/>
          <w:b w:val="0"/>
          <w:sz w:val="24"/>
          <w:szCs w:val="24"/>
        </w:rPr>
      </w:pPr>
      <w:bookmarkStart w:id="65" w:name="_Hlk72259976"/>
      <w:r>
        <w:rPr>
          <w:rFonts w:hint="eastAsia" w:ascii="黑体" w:eastAsia="黑体"/>
          <w:b w:val="0"/>
          <w:sz w:val="24"/>
          <w:szCs w:val="24"/>
        </w:rPr>
        <w:t>四、项目详细报价</w:t>
      </w:r>
    </w:p>
    <w:p w14:paraId="53606100">
      <w:pPr>
        <w:tabs>
          <w:tab w:val="left" w:pos="720"/>
        </w:tabs>
        <w:ind w:firstLine="3132" w:firstLineChars="1300"/>
        <w:rPr>
          <w:b/>
          <w:sz w:val="24"/>
        </w:rPr>
      </w:pPr>
      <w:r>
        <w:rPr>
          <w:rFonts w:hint="eastAsia"/>
          <w:b/>
          <w:sz w:val="24"/>
        </w:rPr>
        <w:t>（一）分项报价表</w:t>
      </w:r>
    </w:p>
    <w:tbl>
      <w:tblPr>
        <w:tblStyle w:val="44"/>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485"/>
        <w:gridCol w:w="1147"/>
        <w:gridCol w:w="703"/>
        <w:gridCol w:w="703"/>
        <w:gridCol w:w="612"/>
        <w:gridCol w:w="726"/>
        <w:gridCol w:w="462"/>
        <w:gridCol w:w="427"/>
        <w:gridCol w:w="571"/>
        <w:gridCol w:w="563"/>
        <w:gridCol w:w="703"/>
      </w:tblGrid>
      <w:tr w14:paraId="7447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Align w:val="center"/>
          </w:tcPr>
          <w:p w14:paraId="61B370C0">
            <w:pPr>
              <w:jc w:val="center"/>
              <w:rPr>
                <w:rFonts w:ascii="Times New Roman" w:hAnsi="Times New Roman" w:eastAsia="宋体" w:cs="Times New Roman"/>
                <w:bCs/>
                <w:szCs w:val="21"/>
              </w:rPr>
            </w:pPr>
            <w:r>
              <w:rPr>
                <w:rFonts w:hint="eastAsia" w:ascii="Times New Roman" w:hAnsi="Times New Roman" w:eastAsia="宋体" w:cs="Times New Roman"/>
                <w:bCs/>
                <w:szCs w:val="21"/>
              </w:rPr>
              <w:t>序号</w:t>
            </w:r>
          </w:p>
        </w:tc>
        <w:tc>
          <w:tcPr>
            <w:tcW w:w="1485" w:type="dxa"/>
            <w:vAlign w:val="center"/>
          </w:tcPr>
          <w:p w14:paraId="28A25EC9">
            <w:pPr>
              <w:jc w:val="center"/>
              <w:rPr>
                <w:rFonts w:ascii="Times New Roman" w:hAnsi="Times New Roman" w:eastAsia="宋体" w:cs="Times New Roman"/>
                <w:bCs/>
                <w:szCs w:val="21"/>
              </w:rPr>
            </w:pPr>
            <w:r>
              <w:rPr>
                <w:rFonts w:hint="eastAsia" w:ascii="Times New Roman" w:hAnsi="Times New Roman" w:eastAsia="宋体" w:cs="Times New Roman"/>
                <w:szCs w:val="21"/>
              </w:rPr>
              <w:t>采购计划编号</w:t>
            </w:r>
          </w:p>
        </w:tc>
        <w:tc>
          <w:tcPr>
            <w:tcW w:w="1147" w:type="dxa"/>
            <w:vAlign w:val="center"/>
          </w:tcPr>
          <w:p w14:paraId="73C2AE91">
            <w:pPr>
              <w:jc w:val="center"/>
              <w:rPr>
                <w:rFonts w:ascii="Times New Roman" w:hAnsi="Times New Roman" w:eastAsia="宋体" w:cs="Times New Roman"/>
                <w:bCs/>
                <w:szCs w:val="21"/>
              </w:rPr>
            </w:pPr>
            <w:r>
              <w:rPr>
                <w:rFonts w:hint="eastAsia" w:ascii="Times New Roman" w:hAnsi="Times New Roman" w:eastAsia="宋体" w:cs="Times New Roman"/>
                <w:bCs/>
                <w:szCs w:val="21"/>
              </w:rPr>
              <w:t>货物名称（标的名称</w:t>
            </w:r>
          </w:p>
        </w:tc>
        <w:tc>
          <w:tcPr>
            <w:tcW w:w="703" w:type="dxa"/>
            <w:vAlign w:val="center"/>
          </w:tcPr>
          <w:p w14:paraId="11B3AFF7">
            <w:pPr>
              <w:jc w:val="center"/>
              <w:rPr>
                <w:rFonts w:hint="eastAsia" w:ascii="Times New Roman" w:hAnsi="Times New Roman" w:eastAsia="宋体" w:cs="Times New Roman"/>
                <w:bCs/>
                <w:szCs w:val="21"/>
              </w:rPr>
            </w:pPr>
            <w:r>
              <w:rPr>
                <w:rFonts w:hint="eastAsia" w:ascii="Times New Roman" w:hAnsi="Times New Roman" w:eastAsia="宋体" w:cs="Times New Roman"/>
                <w:szCs w:val="21"/>
              </w:rPr>
              <w:t>品牌</w:t>
            </w:r>
          </w:p>
        </w:tc>
        <w:tc>
          <w:tcPr>
            <w:tcW w:w="703" w:type="dxa"/>
            <w:vAlign w:val="center"/>
          </w:tcPr>
          <w:p w14:paraId="547B84BB">
            <w:pPr>
              <w:jc w:val="center"/>
              <w:rPr>
                <w:rFonts w:ascii="Times New Roman" w:hAnsi="Times New Roman" w:eastAsia="宋体" w:cs="Times New Roman"/>
                <w:bCs/>
                <w:szCs w:val="21"/>
              </w:rPr>
            </w:pPr>
            <w:r>
              <w:rPr>
                <w:rFonts w:hint="eastAsia" w:ascii="Times New Roman" w:hAnsi="Times New Roman" w:eastAsia="宋体" w:cs="Times New Roman"/>
                <w:szCs w:val="21"/>
              </w:rPr>
              <w:t>规格/型号</w:t>
            </w:r>
          </w:p>
        </w:tc>
        <w:tc>
          <w:tcPr>
            <w:tcW w:w="612" w:type="dxa"/>
            <w:vAlign w:val="center"/>
          </w:tcPr>
          <w:p w14:paraId="1D11A177">
            <w:pPr>
              <w:jc w:val="center"/>
              <w:rPr>
                <w:rFonts w:ascii="Times New Roman" w:hAnsi="Times New Roman" w:eastAsia="宋体" w:cs="Times New Roman"/>
                <w:bCs/>
                <w:szCs w:val="21"/>
              </w:rPr>
            </w:pPr>
            <w:r>
              <w:rPr>
                <w:rFonts w:hint="eastAsia" w:ascii="Times New Roman" w:hAnsi="Times New Roman" w:eastAsia="宋体" w:cs="Times New Roman"/>
                <w:b/>
                <w:color w:val="FF0000"/>
                <w:szCs w:val="21"/>
              </w:rPr>
              <w:t>原产地</w:t>
            </w:r>
          </w:p>
        </w:tc>
        <w:tc>
          <w:tcPr>
            <w:tcW w:w="726" w:type="dxa"/>
            <w:vAlign w:val="center"/>
          </w:tcPr>
          <w:p w14:paraId="2EB47B51">
            <w:pPr>
              <w:jc w:val="center"/>
              <w:rPr>
                <w:rFonts w:ascii="Times New Roman" w:hAnsi="Times New Roman" w:eastAsia="宋体" w:cs="Times New Roman"/>
                <w:bCs/>
                <w:szCs w:val="21"/>
              </w:rPr>
            </w:pPr>
            <w:r>
              <w:rPr>
                <w:rFonts w:hint="eastAsia" w:ascii="Times New Roman" w:hAnsi="Times New Roman" w:eastAsia="宋体" w:cs="Times New Roman"/>
                <w:szCs w:val="21"/>
              </w:rPr>
              <w:t>制造商名称</w:t>
            </w:r>
          </w:p>
        </w:tc>
        <w:tc>
          <w:tcPr>
            <w:tcW w:w="462" w:type="dxa"/>
            <w:vAlign w:val="center"/>
          </w:tcPr>
          <w:p w14:paraId="0EE9603D">
            <w:pPr>
              <w:jc w:val="center"/>
              <w:rPr>
                <w:rFonts w:ascii="Times New Roman" w:hAnsi="Times New Roman" w:eastAsia="宋体" w:cs="Times New Roman"/>
                <w:bCs/>
                <w:szCs w:val="21"/>
              </w:rPr>
            </w:pPr>
            <w:r>
              <w:rPr>
                <w:rFonts w:hint="eastAsia" w:ascii="Times New Roman" w:hAnsi="Times New Roman" w:eastAsia="宋体" w:cs="Times New Roman"/>
                <w:bCs/>
                <w:szCs w:val="21"/>
              </w:rPr>
              <w:t>数量</w:t>
            </w:r>
          </w:p>
        </w:tc>
        <w:tc>
          <w:tcPr>
            <w:tcW w:w="427" w:type="dxa"/>
            <w:vAlign w:val="center"/>
          </w:tcPr>
          <w:p w14:paraId="01CE4A4B">
            <w:pPr>
              <w:jc w:val="center"/>
              <w:rPr>
                <w:rFonts w:ascii="Times New Roman" w:hAnsi="Times New Roman" w:eastAsia="宋体" w:cs="Times New Roman"/>
                <w:bCs/>
                <w:szCs w:val="21"/>
              </w:rPr>
            </w:pPr>
            <w:r>
              <w:rPr>
                <w:rFonts w:hint="eastAsia" w:ascii="Times New Roman" w:hAnsi="Times New Roman" w:eastAsia="宋体" w:cs="Times New Roman"/>
                <w:bCs/>
                <w:szCs w:val="21"/>
              </w:rPr>
              <w:t>单位</w:t>
            </w:r>
          </w:p>
        </w:tc>
        <w:tc>
          <w:tcPr>
            <w:tcW w:w="571" w:type="dxa"/>
            <w:vAlign w:val="center"/>
          </w:tcPr>
          <w:p w14:paraId="0F1D19A1">
            <w:pPr>
              <w:jc w:val="center"/>
              <w:rPr>
                <w:rFonts w:ascii="Times New Roman" w:hAnsi="Times New Roman" w:eastAsia="宋体" w:cs="Times New Roman"/>
                <w:bCs/>
                <w:szCs w:val="21"/>
              </w:rPr>
            </w:pPr>
            <w:r>
              <w:rPr>
                <w:rFonts w:hint="eastAsia" w:ascii="Times New Roman" w:hAnsi="Times New Roman" w:eastAsia="宋体" w:cs="Times New Roman"/>
                <w:szCs w:val="21"/>
              </w:rPr>
              <w:t>单价</w:t>
            </w:r>
            <w:r>
              <w:rPr>
                <w:rFonts w:hint="eastAsia" w:cs="Times New Roman"/>
                <w:szCs w:val="21"/>
                <w:lang w:eastAsia="zh-CN"/>
              </w:rPr>
              <w:t>（</w:t>
            </w:r>
            <w:r>
              <w:rPr>
                <w:rFonts w:hint="eastAsia" w:ascii="Times New Roman" w:hAnsi="Times New Roman" w:eastAsia="宋体" w:cs="Times New Roman"/>
                <w:szCs w:val="21"/>
              </w:rPr>
              <w:t>元</w:t>
            </w:r>
            <w:r>
              <w:rPr>
                <w:rFonts w:hint="eastAsia" w:cs="Times New Roman"/>
                <w:szCs w:val="21"/>
                <w:lang w:eastAsia="zh-CN"/>
              </w:rPr>
              <w:t>）</w:t>
            </w:r>
          </w:p>
        </w:tc>
        <w:tc>
          <w:tcPr>
            <w:tcW w:w="563" w:type="dxa"/>
            <w:vAlign w:val="center"/>
          </w:tcPr>
          <w:p w14:paraId="21B9C828">
            <w:pPr>
              <w:jc w:val="center"/>
              <w:rPr>
                <w:rFonts w:ascii="Times New Roman" w:hAnsi="Times New Roman" w:eastAsia="宋体" w:cs="Times New Roman"/>
                <w:bCs/>
                <w:szCs w:val="21"/>
              </w:rPr>
            </w:pPr>
            <w:r>
              <w:rPr>
                <w:rFonts w:hint="eastAsia" w:ascii="Times New Roman" w:hAnsi="Times New Roman" w:eastAsia="宋体" w:cs="Times New Roman"/>
                <w:szCs w:val="21"/>
              </w:rPr>
              <w:t>合价</w:t>
            </w:r>
            <w:r>
              <w:rPr>
                <w:rFonts w:hint="eastAsia" w:cs="Times New Roman"/>
                <w:szCs w:val="21"/>
                <w:lang w:eastAsia="zh-CN"/>
              </w:rPr>
              <w:t>（</w:t>
            </w:r>
            <w:r>
              <w:rPr>
                <w:rFonts w:hint="eastAsia" w:ascii="Times New Roman" w:hAnsi="Times New Roman" w:eastAsia="宋体" w:cs="Times New Roman"/>
                <w:szCs w:val="21"/>
              </w:rPr>
              <w:t>元</w:t>
            </w:r>
            <w:r>
              <w:rPr>
                <w:rFonts w:hint="eastAsia" w:cs="Times New Roman"/>
                <w:szCs w:val="21"/>
                <w:lang w:eastAsia="zh-CN"/>
              </w:rPr>
              <w:t>）</w:t>
            </w:r>
          </w:p>
        </w:tc>
        <w:tc>
          <w:tcPr>
            <w:tcW w:w="703" w:type="dxa"/>
            <w:vAlign w:val="center"/>
          </w:tcPr>
          <w:p w14:paraId="5338DAB5">
            <w:pPr>
              <w:jc w:val="center"/>
              <w:rPr>
                <w:rFonts w:ascii="Times New Roman" w:hAnsi="Times New Roman" w:eastAsia="宋体" w:cs="Times New Roman"/>
                <w:szCs w:val="21"/>
              </w:rPr>
            </w:pPr>
            <w:r>
              <w:rPr>
                <w:rFonts w:hint="eastAsia" w:ascii="Times New Roman" w:hAnsi="Times New Roman" w:eastAsia="宋体" w:cs="Times New Roman"/>
                <w:szCs w:val="21"/>
              </w:rPr>
              <w:t>预算金额（元）</w:t>
            </w:r>
          </w:p>
        </w:tc>
      </w:tr>
      <w:tr w14:paraId="0396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Align w:val="center"/>
          </w:tcPr>
          <w:p w14:paraId="28A8EF9B">
            <w:pPr>
              <w:jc w:val="center"/>
              <w:rPr>
                <w:rFonts w:ascii="Times New Roman" w:hAnsi="Times New Roman" w:eastAsia="宋体" w:cs="Times New Roman"/>
                <w:bCs/>
                <w:szCs w:val="21"/>
              </w:rPr>
            </w:pPr>
            <w:r>
              <w:rPr>
                <w:rFonts w:hint="eastAsia" w:ascii="Times New Roman" w:hAnsi="Times New Roman" w:eastAsia="宋体" w:cs="Times New Roman"/>
                <w:bCs/>
                <w:szCs w:val="21"/>
              </w:rPr>
              <w:t>1</w:t>
            </w:r>
          </w:p>
        </w:tc>
        <w:tc>
          <w:tcPr>
            <w:tcW w:w="1485" w:type="dxa"/>
            <w:vMerge w:val="restart"/>
            <w:vAlign w:val="center"/>
          </w:tcPr>
          <w:p w14:paraId="66ED701D">
            <w:pPr>
              <w:jc w:val="center"/>
              <w:rPr>
                <w:rFonts w:hint="eastAsia" w:ascii="Times New Roman" w:hAnsi="Times New Roman" w:eastAsia="宋体" w:cs="Times New Roman"/>
                <w:bCs/>
                <w:szCs w:val="21"/>
                <w:lang w:eastAsia="zh-CN"/>
              </w:rPr>
            </w:pPr>
            <w:r>
              <w:rPr>
                <w:rFonts w:hint="eastAsia" w:cs="Times New Roman"/>
                <w:bCs/>
                <w:szCs w:val="21"/>
                <w:lang w:val="en-US" w:eastAsia="zh-CN"/>
              </w:rPr>
              <w:t xml:space="preserve"> </w:t>
            </w:r>
          </w:p>
        </w:tc>
        <w:tc>
          <w:tcPr>
            <w:tcW w:w="1147" w:type="dxa"/>
            <w:vAlign w:val="center"/>
          </w:tcPr>
          <w:p w14:paraId="72BE3727">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r>
              <w:rPr>
                <w:rFonts w:ascii="Times New Roman" w:hAnsi="Times New Roman" w:eastAsia="宋体" w:cs="Times New Roman"/>
                <w:bCs/>
                <w:szCs w:val="21"/>
              </w:rPr>
              <w:t>**</w:t>
            </w:r>
            <w:r>
              <w:rPr>
                <w:rFonts w:hint="eastAsia" w:ascii="Times New Roman" w:hAnsi="Times New Roman" w:eastAsia="宋体" w:cs="Times New Roman"/>
                <w:bCs/>
                <w:szCs w:val="21"/>
              </w:rPr>
              <w:t>（填写相关内容）</w:t>
            </w:r>
          </w:p>
        </w:tc>
        <w:tc>
          <w:tcPr>
            <w:tcW w:w="703" w:type="dxa"/>
            <w:vAlign w:val="center"/>
          </w:tcPr>
          <w:p w14:paraId="55BEF386">
            <w:pPr>
              <w:jc w:val="center"/>
              <w:rPr>
                <w:rFonts w:hint="eastAsia" w:ascii="Times New Roman" w:hAnsi="Times New Roman" w:eastAsia="宋体" w:cs="Times New Roman"/>
                <w:bCs/>
                <w:szCs w:val="21"/>
              </w:rPr>
            </w:pPr>
          </w:p>
        </w:tc>
        <w:tc>
          <w:tcPr>
            <w:tcW w:w="703" w:type="dxa"/>
            <w:vAlign w:val="center"/>
          </w:tcPr>
          <w:p w14:paraId="4C3D6475">
            <w:pPr>
              <w:jc w:val="center"/>
              <w:rPr>
                <w:rFonts w:ascii="Times New Roman" w:hAnsi="Times New Roman" w:eastAsia="宋体" w:cs="Times New Roman"/>
                <w:bCs/>
                <w:szCs w:val="21"/>
              </w:rPr>
            </w:pPr>
          </w:p>
        </w:tc>
        <w:tc>
          <w:tcPr>
            <w:tcW w:w="612" w:type="dxa"/>
            <w:vAlign w:val="center"/>
          </w:tcPr>
          <w:p w14:paraId="31E356E5">
            <w:pPr>
              <w:jc w:val="center"/>
              <w:rPr>
                <w:rFonts w:ascii="Times New Roman" w:hAnsi="Times New Roman" w:eastAsia="宋体" w:cs="Times New Roman"/>
                <w:bCs/>
                <w:szCs w:val="21"/>
              </w:rPr>
            </w:pPr>
          </w:p>
        </w:tc>
        <w:tc>
          <w:tcPr>
            <w:tcW w:w="726" w:type="dxa"/>
            <w:vAlign w:val="center"/>
          </w:tcPr>
          <w:p w14:paraId="1A5193FA">
            <w:pPr>
              <w:jc w:val="center"/>
              <w:rPr>
                <w:rFonts w:ascii="Times New Roman" w:hAnsi="Times New Roman" w:eastAsia="宋体" w:cs="Times New Roman"/>
                <w:bCs/>
                <w:szCs w:val="21"/>
              </w:rPr>
            </w:pPr>
          </w:p>
        </w:tc>
        <w:tc>
          <w:tcPr>
            <w:tcW w:w="462" w:type="dxa"/>
            <w:vAlign w:val="center"/>
          </w:tcPr>
          <w:p w14:paraId="2F45A13D">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427" w:type="dxa"/>
            <w:vAlign w:val="center"/>
          </w:tcPr>
          <w:p w14:paraId="66A9A967">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571" w:type="dxa"/>
            <w:vAlign w:val="center"/>
          </w:tcPr>
          <w:p w14:paraId="6A5D062E">
            <w:pPr>
              <w:jc w:val="center"/>
              <w:rPr>
                <w:rFonts w:ascii="Times New Roman" w:hAnsi="Times New Roman" w:eastAsia="宋体" w:cs="Times New Roman"/>
                <w:bCs/>
                <w:szCs w:val="21"/>
              </w:rPr>
            </w:pPr>
          </w:p>
        </w:tc>
        <w:tc>
          <w:tcPr>
            <w:tcW w:w="563" w:type="dxa"/>
            <w:vAlign w:val="center"/>
          </w:tcPr>
          <w:p w14:paraId="1B5ABEC0">
            <w:pPr>
              <w:jc w:val="center"/>
              <w:rPr>
                <w:rFonts w:ascii="Times New Roman" w:hAnsi="Times New Roman" w:eastAsia="宋体" w:cs="Times New Roman"/>
                <w:bCs/>
                <w:szCs w:val="21"/>
              </w:rPr>
            </w:pPr>
          </w:p>
        </w:tc>
        <w:tc>
          <w:tcPr>
            <w:tcW w:w="703" w:type="dxa"/>
            <w:vMerge w:val="restart"/>
            <w:vAlign w:val="center"/>
          </w:tcPr>
          <w:p w14:paraId="13A72DA0">
            <w:pPr>
              <w:jc w:val="center"/>
              <w:rPr>
                <w:rFonts w:ascii="Times New Roman" w:hAnsi="Times New Roman" w:eastAsia="宋体" w:cs="Times New Roman"/>
                <w:b/>
                <w:bCs/>
                <w:szCs w:val="21"/>
              </w:rPr>
            </w:pPr>
            <w:r>
              <w:rPr>
                <w:rFonts w:ascii="Times New Roman" w:hAnsi="Times New Roman" w:eastAsia="宋体" w:cs="Times New Roman"/>
                <w:bCs/>
                <w:szCs w:val="21"/>
              </w:rPr>
              <w:t>******</w:t>
            </w:r>
          </w:p>
        </w:tc>
      </w:tr>
      <w:tr w14:paraId="7F18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Align w:val="center"/>
          </w:tcPr>
          <w:p w14:paraId="1150A0C1">
            <w:pPr>
              <w:jc w:val="center"/>
              <w:rPr>
                <w:rFonts w:ascii="Times New Roman" w:hAnsi="Times New Roman" w:eastAsia="宋体" w:cs="Times New Roman"/>
                <w:bCs/>
                <w:szCs w:val="21"/>
              </w:rPr>
            </w:pPr>
            <w:r>
              <w:rPr>
                <w:rFonts w:hint="eastAsia" w:ascii="Times New Roman" w:hAnsi="Times New Roman" w:eastAsia="宋体" w:cs="Times New Roman"/>
                <w:bCs/>
                <w:szCs w:val="21"/>
              </w:rPr>
              <w:t>2</w:t>
            </w:r>
          </w:p>
        </w:tc>
        <w:tc>
          <w:tcPr>
            <w:tcW w:w="1485" w:type="dxa"/>
            <w:vMerge w:val="continue"/>
            <w:vAlign w:val="center"/>
          </w:tcPr>
          <w:p w14:paraId="3FBF8D3D">
            <w:pPr>
              <w:jc w:val="center"/>
              <w:rPr>
                <w:rFonts w:ascii="Times New Roman" w:hAnsi="Times New Roman" w:eastAsia="宋体" w:cs="Times New Roman"/>
                <w:bCs/>
                <w:szCs w:val="21"/>
              </w:rPr>
            </w:pPr>
          </w:p>
        </w:tc>
        <w:tc>
          <w:tcPr>
            <w:tcW w:w="1147" w:type="dxa"/>
            <w:vAlign w:val="center"/>
          </w:tcPr>
          <w:p w14:paraId="6A386039">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r>
              <w:rPr>
                <w:rFonts w:ascii="Times New Roman" w:hAnsi="Times New Roman" w:eastAsia="宋体" w:cs="Times New Roman"/>
                <w:bCs/>
                <w:szCs w:val="21"/>
              </w:rPr>
              <w:t>**</w:t>
            </w:r>
          </w:p>
        </w:tc>
        <w:tc>
          <w:tcPr>
            <w:tcW w:w="703" w:type="dxa"/>
            <w:vAlign w:val="center"/>
          </w:tcPr>
          <w:p w14:paraId="3DC99CAD">
            <w:pPr>
              <w:jc w:val="center"/>
              <w:rPr>
                <w:rFonts w:hint="eastAsia" w:ascii="Times New Roman" w:hAnsi="Times New Roman" w:eastAsia="宋体" w:cs="Times New Roman"/>
                <w:bCs/>
                <w:szCs w:val="21"/>
              </w:rPr>
            </w:pPr>
          </w:p>
        </w:tc>
        <w:tc>
          <w:tcPr>
            <w:tcW w:w="703" w:type="dxa"/>
            <w:vAlign w:val="center"/>
          </w:tcPr>
          <w:p w14:paraId="111A87F5">
            <w:pPr>
              <w:jc w:val="center"/>
              <w:rPr>
                <w:rFonts w:ascii="Times New Roman" w:hAnsi="Times New Roman" w:eastAsia="宋体" w:cs="Times New Roman"/>
                <w:bCs/>
                <w:szCs w:val="21"/>
              </w:rPr>
            </w:pPr>
          </w:p>
        </w:tc>
        <w:tc>
          <w:tcPr>
            <w:tcW w:w="612" w:type="dxa"/>
            <w:vAlign w:val="center"/>
          </w:tcPr>
          <w:p w14:paraId="37809614">
            <w:pPr>
              <w:jc w:val="center"/>
              <w:rPr>
                <w:rFonts w:ascii="Times New Roman" w:hAnsi="Times New Roman" w:eastAsia="宋体" w:cs="Times New Roman"/>
                <w:bCs/>
                <w:szCs w:val="21"/>
              </w:rPr>
            </w:pPr>
          </w:p>
        </w:tc>
        <w:tc>
          <w:tcPr>
            <w:tcW w:w="726" w:type="dxa"/>
            <w:vAlign w:val="center"/>
          </w:tcPr>
          <w:p w14:paraId="7263942F">
            <w:pPr>
              <w:jc w:val="center"/>
              <w:rPr>
                <w:rFonts w:ascii="Times New Roman" w:hAnsi="Times New Roman" w:eastAsia="宋体" w:cs="Times New Roman"/>
                <w:bCs/>
                <w:szCs w:val="21"/>
              </w:rPr>
            </w:pPr>
          </w:p>
        </w:tc>
        <w:tc>
          <w:tcPr>
            <w:tcW w:w="462" w:type="dxa"/>
            <w:vAlign w:val="center"/>
          </w:tcPr>
          <w:p w14:paraId="00EC9C7B">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427" w:type="dxa"/>
            <w:vAlign w:val="center"/>
          </w:tcPr>
          <w:p w14:paraId="368BFFF7">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571" w:type="dxa"/>
            <w:vAlign w:val="center"/>
          </w:tcPr>
          <w:p w14:paraId="2A762121">
            <w:pPr>
              <w:jc w:val="center"/>
              <w:rPr>
                <w:rFonts w:ascii="Times New Roman" w:hAnsi="Times New Roman" w:eastAsia="宋体" w:cs="Times New Roman"/>
                <w:bCs/>
                <w:szCs w:val="21"/>
              </w:rPr>
            </w:pPr>
          </w:p>
        </w:tc>
        <w:tc>
          <w:tcPr>
            <w:tcW w:w="563" w:type="dxa"/>
            <w:vAlign w:val="center"/>
          </w:tcPr>
          <w:p w14:paraId="1405FCE1">
            <w:pPr>
              <w:jc w:val="center"/>
              <w:rPr>
                <w:rFonts w:ascii="Times New Roman" w:hAnsi="Times New Roman" w:eastAsia="宋体" w:cs="Times New Roman"/>
                <w:bCs/>
                <w:szCs w:val="21"/>
              </w:rPr>
            </w:pPr>
          </w:p>
        </w:tc>
        <w:tc>
          <w:tcPr>
            <w:tcW w:w="703" w:type="dxa"/>
            <w:vMerge w:val="continue"/>
            <w:vAlign w:val="center"/>
          </w:tcPr>
          <w:p w14:paraId="4A43C27A">
            <w:pPr>
              <w:jc w:val="center"/>
              <w:rPr>
                <w:rFonts w:ascii="Times New Roman" w:hAnsi="Times New Roman" w:eastAsia="宋体" w:cs="Times New Roman"/>
                <w:b/>
                <w:bCs/>
                <w:color w:val="FF0000"/>
                <w:szCs w:val="21"/>
              </w:rPr>
            </w:pPr>
          </w:p>
        </w:tc>
      </w:tr>
      <w:tr w14:paraId="6F8A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Align w:val="center"/>
          </w:tcPr>
          <w:p w14:paraId="1CEDDB7B">
            <w:pPr>
              <w:jc w:val="center"/>
              <w:rPr>
                <w:rFonts w:ascii="Times New Roman" w:hAnsi="Times New Roman" w:eastAsia="宋体" w:cs="Times New Roman"/>
                <w:bCs/>
                <w:szCs w:val="21"/>
              </w:rPr>
            </w:pPr>
            <w:r>
              <w:rPr>
                <w:rFonts w:hint="eastAsia" w:ascii="Times New Roman" w:hAnsi="Times New Roman" w:eastAsia="宋体" w:cs="Times New Roman"/>
                <w:bCs/>
                <w:szCs w:val="21"/>
              </w:rPr>
              <w:t>3</w:t>
            </w:r>
          </w:p>
        </w:tc>
        <w:tc>
          <w:tcPr>
            <w:tcW w:w="1485" w:type="dxa"/>
            <w:vMerge w:val="continue"/>
            <w:vAlign w:val="center"/>
          </w:tcPr>
          <w:p w14:paraId="1F22EC00">
            <w:pPr>
              <w:jc w:val="center"/>
              <w:rPr>
                <w:rFonts w:ascii="Times New Roman" w:hAnsi="Times New Roman" w:eastAsia="宋体" w:cs="Times New Roman"/>
                <w:bCs/>
                <w:szCs w:val="21"/>
              </w:rPr>
            </w:pPr>
          </w:p>
        </w:tc>
        <w:tc>
          <w:tcPr>
            <w:tcW w:w="1147" w:type="dxa"/>
            <w:vAlign w:val="center"/>
          </w:tcPr>
          <w:p w14:paraId="7FA2C6B1">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r>
              <w:rPr>
                <w:rFonts w:ascii="Times New Roman" w:hAnsi="Times New Roman" w:eastAsia="宋体" w:cs="Times New Roman"/>
                <w:bCs/>
                <w:szCs w:val="21"/>
              </w:rPr>
              <w:t>**</w:t>
            </w:r>
          </w:p>
        </w:tc>
        <w:tc>
          <w:tcPr>
            <w:tcW w:w="703" w:type="dxa"/>
            <w:vAlign w:val="center"/>
          </w:tcPr>
          <w:p w14:paraId="51EE0BA1">
            <w:pPr>
              <w:jc w:val="center"/>
              <w:rPr>
                <w:rFonts w:hint="eastAsia" w:ascii="Times New Roman" w:hAnsi="Times New Roman" w:eastAsia="宋体" w:cs="Times New Roman"/>
                <w:bCs/>
                <w:szCs w:val="21"/>
              </w:rPr>
            </w:pPr>
          </w:p>
        </w:tc>
        <w:tc>
          <w:tcPr>
            <w:tcW w:w="703" w:type="dxa"/>
            <w:vAlign w:val="center"/>
          </w:tcPr>
          <w:p w14:paraId="5F6AEB07">
            <w:pPr>
              <w:jc w:val="center"/>
              <w:rPr>
                <w:rFonts w:ascii="Times New Roman" w:hAnsi="Times New Roman" w:eastAsia="宋体" w:cs="Times New Roman"/>
                <w:bCs/>
                <w:szCs w:val="21"/>
              </w:rPr>
            </w:pPr>
          </w:p>
        </w:tc>
        <w:tc>
          <w:tcPr>
            <w:tcW w:w="612" w:type="dxa"/>
            <w:vAlign w:val="center"/>
          </w:tcPr>
          <w:p w14:paraId="195976A8">
            <w:pPr>
              <w:jc w:val="center"/>
              <w:rPr>
                <w:rFonts w:ascii="Times New Roman" w:hAnsi="Times New Roman" w:eastAsia="宋体" w:cs="Times New Roman"/>
                <w:bCs/>
                <w:szCs w:val="21"/>
              </w:rPr>
            </w:pPr>
          </w:p>
        </w:tc>
        <w:tc>
          <w:tcPr>
            <w:tcW w:w="726" w:type="dxa"/>
            <w:vAlign w:val="center"/>
          </w:tcPr>
          <w:p w14:paraId="1869020F">
            <w:pPr>
              <w:jc w:val="center"/>
              <w:rPr>
                <w:rFonts w:ascii="Times New Roman" w:hAnsi="Times New Roman" w:eastAsia="宋体" w:cs="Times New Roman"/>
                <w:bCs/>
                <w:szCs w:val="21"/>
              </w:rPr>
            </w:pPr>
          </w:p>
        </w:tc>
        <w:tc>
          <w:tcPr>
            <w:tcW w:w="462" w:type="dxa"/>
            <w:vAlign w:val="center"/>
          </w:tcPr>
          <w:p w14:paraId="0015E8F9">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427" w:type="dxa"/>
            <w:vAlign w:val="center"/>
          </w:tcPr>
          <w:p w14:paraId="067926FC">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571" w:type="dxa"/>
            <w:vAlign w:val="center"/>
          </w:tcPr>
          <w:p w14:paraId="5BC34E2E">
            <w:pPr>
              <w:jc w:val="center"/>
              <w:rPr>
                <w:rFonts w:ascii="Times New Roman" w:hAnsi="Times New Roman" w:eastAsia="宋体" w:cs="Times New Roman"/>
                <w:bCs/>
                <w:szCs w:val="21"/>
              </w:rPr>
            </w:pPr>
          </w:p>
        </w:tc>
        <w:tc>
          <w:tcPr>
            <w:tcW w:w="563" w:type="dxa"/>
            <w:vAlign w:val="center"/>
          </w:tcPr>
          <w:p w14:paraId="6D9A220A">
            <w:pPr>
              <w:jc w:val="center"/>
              <w:rPr>
                <w:rFonts w:ascii="Times New Roman" w:hAnsi="Times New Roman" w:eastAsia="宋体" w:cs="Times New Roman"/>
                <w:bCs/>
                <w:szCs w:val="21"/>
              </w:rPr>
            </w:pPr>
          </w:p>
        </w:tc>
        <w:tc>
          <w:tcPr>
            <w:tcW w:w="703" w:type="dxa"/>
            <w:vMerge w:val="continue"/>
            <w:vAlign w:val="center"/>
          </w:tcPr>
          <w:p w14:paraId="7043CD9F">
            <w:pPr>
              <w:jc w:val="center"/>
              <w:rPr>
                <w:rFonts w:ascii="Times New Roman" w:hAnsi="Times New Roman" w:eastAsia="宋体" w:cs="Times New Roman"/>
                <w:b/>
                <w:bCs/>
                <w:szCs w:val="21"/>
              </w:rPr>
            </w:pPr>
          </w:p>
        </w:tc>
      </w:tr>
      <w:tr w14:paraId="1351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Align w:val="center"/>
          </w:tcPr>
          <w:p w14:paraId="5EBA5F01">
            <w:pPr>
              <w:jc w:val="center"/>
              <w:rPr>
                <w:rFonts w:ascii="Times New Roman" w:hAnsi="Times New Roman" w:eastAsia="宋体" w:cs="Times New Roman"/>
                <w:bCs/>
                <w:szCs w:val="21"/>
              </w:rPr>
            </w:pPr>
            <w:r>
              <w:rPr>
                <w:rFonts w:hint="eastAsia" w:ascii="Times New Roman" w:hAnsi="Times New Roman" w:eastAsia="宋体" w:cs="Times New Roman"/>
                <w:bCs/>
                <w:szCs w:val="21"/>
              </w:rPr>
              <w:t>4</w:t>
            </w:r>
          </w:p>
        </w:tc>
        <w:tc>
          <w:tcPr>
            <w:tcW w:w="1485" w:type="dxa"/>
            <w:vMerge w:val="continue"/>
            <w:vAlign w:val="center"/>
          </w:tcPr>
          <w:p w14:paraId="47D10CAE">
            <w:pPr>
              <w:jc w:val="center"/>
              <w:rPr>
                <w:rFonts w:ascii="Times New Roman" w:hAnsi="Times New Roman" w:eastAsia="宋体" w:cs="Times New Roman"/>
                <w:bCs/>
                <w:szCs w:val="21"/>
              </w:rPr>
            </w:pPr>
          </w:p>
        </w:tc>
        <w:tc>
          <w:tcPr>
            <w:tcW w:w="1147" w:type="dxa"/>
            <w:vAlign w:val="center"/>
          </w:tcPr>
          <w:p w14:paraId="627AF7B9">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r>
              <w:rPr>
                <w:rFonts w:ascii="Times New Roman" w:hAnsi="Times New Roman" w:eastAsia="宋体" w:cs="Times New Roman"/>
                <w:bCs/>
                <w:szCs w:val="21"/>
              </w:rPr>
              <w:t>**</w:t>
            </w:r>
          </w:p>
        </w:tc>
        <w:tc>
          <w:tcPr>
            <w:tcW w:w="703" w:type="dxa"/>
            <w:vAlign w:val="center"/>
          </w:tcPr>
          <w:p w14:paraId="329B8A44">
            <w:pPr>
              <w:jc w:val="center"/>
              <w:rPr>
                <w:rFonts w:hint="eastAsia" w:ascii="Times New Roman" w:hAnsi="Times New Roman" w:eastAsia="宋体" w:cs="Times New Roman"/>
                <w:bCs/>
                <w:szCs w:val="21"/>
              </w:rPr>
            </w:pPr>
          </w:p>
        </w:tc>
        <w:tc>
          <w:tcPr>
            <w:tcW w:w="703" w:type="dxa"/>
            <w:vAlign w:val="center"/>
          </w:tcPr>
          <w:p w14:paraId="03F9376C">
            <w:pPr>
              <w:jc w:val="center"/>
              <w:rPr>
                <w:rFonts w:ascii="Times New Roman" w:hAnsi="Times New Roman" w:eastAsia="宋体" w:cs="Times New Roman"/>
                <w:bCs/>
                <w:szCs w:val="21"/>
              </w:rPr>
            </w:pPr>
          </w:p>
        </w:tc>
        <w:tc>
          <w:tcPr>
            <w:tcW w:w="612" w:type="dxa"/>
            <w:vAlign w:val="center"/>
          </w:tcPr>
          <w:p w14:paraId="3E2285FB">
            <w:pPr>
              <w:jc w:val="center"/>
              <w:rPr>
                <w:rFonts w:ascii="Times New Roman" w:hAnsi="Times New Roman" w:eastAsia="宋体" w:cs="Times New Roman"/>
                <w:bCs/>
                <w:szCs w:val="21"/>
              </w:rPr>
            </w:pPr>
          </w:p>
        </w:tc>
        <w:tc>
          <w:tcPr>
            <w:tcW w:w="726" w:type="dxa"/>
            <w:vAlign w:val="center"/>
          </w:tcPr>
          <w:p w14:paraId="40064613">
            <w:pPr>
              <w:jc w:val="center"/>
              <w:rPr>
                <w:rFonts w:ascii="Times New Roman" w:hAnsi="Times New Roman" w:eastAsia="宋体" w:cs="Times New Roman"/>
                <w:bCs/>
                <w:szCs w:val="21"/>
              </w:rPr>
            </w:pPr>
          </w:p>
        </w:tc>
        <w:tc>
          <w:tcPr>
            <w:tcW w:w="462" w:type="dxa"/>
            <w:vAlign w:val="center"/>
          </w:tcPr>
          <w:p w14:paraId="11C5ABD6">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427" w:type="dxa"/>
            <w:vAlign w:val="center"/>
          </w:tcPr>
          <w:p w14:paraId="704BDAF1">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571" w:type="dxa"/>
            <w:vAlign w:val="center"/>
          </w:tcPr>
          <w:p w14:paraId="0C272AD1">
            <w:pPr>
              <w:jc w:val="center"/>
              <w:rPr>
                <w:rFonts w:ascii="Times New Roman" w:hAnsi="Times New Roman" w:eastAsia="宋体" w:cs="Times New Roman"/>
                <w:bCs/>
                <w:szCs w:val="21"/>
              </w:rPr>
            </w:pPr>
          </w:p>
        </w:tc>
        <w:tc>
          <w:tcPr>
            <w:tcW w:w="563" w:type="dxa"/>
            <w:vAlign w:val="center"/>
          </w:tcPr>
          <w:p w14:paraId="29218E3C">
            <w:pPr>
              <w:jc w:val="center"/>
              <w:rPr>
                <w:rFonts w:ascii="Times New Roman" w:hAnsi="Times New Roman" w:eastAsia="宋体" w:cs="Times New Roman"/>
                <w:bCs/>
                <w:szCs w:val="21"/>
              </w:rPr>
            </w:pPr>
          </w:p>
        </w:tc>
        <w:tc>
          <w:tcPr>
            <w:tcW w:w="703" w:type="dxa"/>
            <w:vMerge w:val="continue"/>
            <w:vAlign w:val="center"/>
          </w:tcPr>
          <w:p w14:paraId="1D8717ED">
            <w:pPr>
              <w:jc w:val="center"/>
              <w:rPr>
                <w:rFonts w:ascii="Times New Roman" w:hAnsi="Times New Roman" w:eastAsia="宋体" w:cs="Times New Roman"/>
                <w:b/>
                <w:bCs/>
                <w:szCs w:val="21"/>
              </w:rPr>
            </w:pPr>
          </w:p>
        </w:tc>
      </w:tr>
      <w:tr w14:paraId="5EC3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7" w:type="dxa"/>
            <w:vAlign w:val="center"/>
          </w:tcPr>
          <w:p w14:paraId="2D32392F">
            <w:pPr>
              <w:jc w:val="center"/>
              <w:rPr>
                <w:rFonts w:ascii="Times New Roman" w:hAnsi="Times New Roman" w:eastAsia="宋体" w:cs="Times New Roman"/>
                <w:bCs/>
                <w:szCs w:val="21"/>
              </w:rPr>
            </w:pPr>
            <w:r>
              <w:rPr>
                <w:rFonts w:ascii="Times New Roman" w:hAnsi="Times New Roman" w:eastAsia="宋体" w:cs="Times New Roman"/>
                <w:bCs/>
                <w:szCs w:val="21"/>
              </w:rPr>
              <w:t>5</w:t>
            </w:r>
          </w:p>
        </w:tc>
        <w:tc>
          <w:tcPr>
            <w:tcW w:w="1485" w:type="dxa"/>
            <w:vMerge w:val="continue"/>
            <w:vAlign w:val="center"/>
          </w:tcPr>
          <w:p w14:paraId="3F4E4010">
            <w:pPr>
              <w:jc w:val="center"/>
              <w:rPr>
                <w:rFonts w:ascii="Times New Roman" w:hAnsi="Times New Roman" w:eastAsia="宋体" w:cs="Times New Roman"/>
                <w:bCs/>
                <w:szCs w:val="21"/>
              </w:rPr>
            </w:pPr>
          </w:p>
        </w:tc>
        <w:tc>
          <w:tcPr>
            <w:tcW w:w="1147" w:type="dxa"/>
            <w:vAlign w:val="center"/>
          </w:tcPr>
          <w:p w14:paraId="2187B8CB">
            <w:pPr>
              <w:jc w:val="center"/>
              <w:rPr>
                <w:rFonts w:ascii="Times New Roman" w:hAnsi="Times New Roman" w:eastAsia="宋体" w:cs="Times New Roman"/>
                <w:bCs/>
                <w:szCs w:val="21"/>
              </w:rPr>
            </w:pPr>
            <w:r>
              <w:rPr>
                <w:rFonts w:hint="eastAsia" w:ascii="宋体" w:hAnsi="宋体" w:eastAsia="宋体" w:cs="Times New Roman"/>
                <w:bCs/>
                <w:szCs w:val="21"/>
              </w:rPr>
              <w:t>……</w:t>
            </w:r>
          </w:p>
        </w:tc>
        <w:tc>
          <w:tcPr>
            <w:tcW w:w="703" w:type="dxa"/>
            <w:vAlign w:val="center"/>
          </w:tcPr>
          <w:p w14:paraId="3E075EFF">
            <w:pPr>
              <w:jc w:val="center"/>
              <w:rPr>
                <w:rFonts w:hint="eastAsia" w:ascii="宋体" w:hAnsi="宋体" w:eastAsia="宋体" w:cs="Times New Roman"/>
                <w:bCs/>
                <w:szCs w:val="21"/>
              </w:rPr>
            </w:pPr>
          </w:p>
        </w:tc>
        <w:tc>
          <w:tcPr>
            <w:tcW w:w="703" w:type="dxa"/>
            <w:vAlign w:val="center"/>
          </w:tcPr>
          <w:p w14:paraId="5B6C45C4">
            <w:pPr>
              <w:jc w:val="center"/>
              <w:rPr>
                <w:rFonts w:ascii="Times New Roman" w:hAnsi="Times New Roman" w:eastAsia="宋体" w:cs="Times New Roman"/>
                <w:bCs/>
                <w:szCs w:val="21"/>
              </w:rPr>
            </w:pPr>
          </w:p>
        </w:tc>
        <w:tc>
          <w:tcPr>
            <w:tcW w:w="612" w:type="dxa"/>
            <w:vAlign w:val="center"/>
          </w:tcPr>
          <w:p w14:paraId="58BE02B4">
            <w:pPr>
              <w:jc w:val="center"/>
              <w:rPr>
                <w:rFonts w:ascii="Times New Roman" w:hAnsi="Times New Roman" w:eastAsia="宋体" w:cs="Times New Roman"/>
                <w:bCs/>
                <w:szCs w:val="21"/>
              </w:rPr>
            </w:pPr>
          </w:p>
        </w:tc>
        <w:tc>
          <w:tcPr>
            <w:tcW w:w="726" w:type="dxa"/>
            <w:vAlign w:val="center"/>
          </w:tcPr>
          <w:p w14:paraId="3758AC13">
            <w:pPr>
              <w:jc w:val="center"/>
              <w:rPr>
                <w:rFonts w:ascii="Times New Roman" w:hAnsi="Times New Roman" w:eastAsia="宋体" w:cs="Times New Roman"/>
                <w:bCs/>
                <w:szCs w:val="21"/>
              </w:rPr>
            </w:pPr>
          </w:p>
        </w:tc>
        <w:tc>
          <w:tcPr>
            <w:tcW w:w="462" w:type="dxa"/>
            <w:vAlign w:val="center"/>
          </w:tcPr>
          <w:p w14:paraId="33E95BF8">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427" w:type="dxa"/>
            <w:vAlign w:val="center"/>
          </w:tcPr>
          <w:p w14:paraId="4CE8BFE5">
            <w:pPr>
              <w:jc w:val="center"/>
              <w:rPr>
                <w:rFonts w:ascii="Times New Roman" w:hAnsi="Times New Roman" w:eastAsia="宋体" w:cs="Times New Roman"/>
                <w:bCs/>
                <w:szCs w:val="21"/>
              </w:rPr>
            </w:pPr>
            <w:r>
              <w:rPr>
                <w:rFonts w:hint="eastAsia" w:ascii="Times New Roman" w:hAnsi="Times New Roman" w:eastAsia="宋体" w:cs="Times New Roman"/>
                <w:bCs/>
                <w:szCs w:val="21"/>
              </w:rPr>
              <w:t>*</w:t>
            </w:r>
          </w:p>
        </w:tc>
        <w:tc>
          <w:tcPr>
            <w:tcW w:w="571" w:type="dxa"/>
            <w:vAlign w:val="center"/>
          </w:tcPr>
          <w:p w14:paraId="021E3CE0">
            <w:pPr>
              <w:jc w:val="center"/>
              <w:rPr>
                <w:rFonts w:ascii="Times New Roman" w:hAnsi="Times New Roman" w:eastAsia="宋体" w:cs="Times New Roman"/>
                <w:bCs/>
                <w:szCs w:val="21"/>
              </w:rPr>
            </w:pPr>
          </w:p>
        </w:tc>
        <w:tc>
          <w:tcPr>
            <w:tcW w:w="563" w:type="dxa"/>
            <w:vAlign w:val="center"/>
          </w:tcPr>
          <w:p w14:paraId="7C5B049F">
            <w:pPr>
              <w:jc w:val="center"/>
              <w:rPr>
                <w:rFonts w:ascii="Times New Roman" w:hAnsi="Times New Roman" w:eastAsia="宋体" w:cs="Times New Roman"/>
                <w:bCs/>
                <w:szCs w:val="21"/>
              </w:rPr>
            </w:pPr>
          </w:p>
        </w:tc>
        <w:tc>
          <w:tcPr>
            <w:tcW w:w="703" w:type="dxa"/>
            <w:vMerge w:val="continue"/>
            <w:vAlign w:val="center"/>
          </w:tcPr>
          <w:p w14:paraId="5A79672A">
            <w:pPr>
              <w:jc w:val="center"/>
              <w:rPr>
                <w:rFonts w:ascii="Times New Roman" w:hAnsi="Times New Roman" w:eastAsia="宋体" w:cs="Times New Roman"/>
                <w:b/>
                <w:bCs/>
                <w:color w:val="FF0000"/>
                <w:szCs w:val="21"/>
              </w:rPr>
            </w:pPr>
          </w:p>
        </w:tc>
      </w:tr>
      <w:tr w14:paraId="3315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9" w:type="dxa"/>
            <w:gridSpan w:val="12"/>
            <w:vAlign w:val="center"/>
          </w:tcPr>
          <w:p w14:paraId="55667423">
            <w:pPr>
              <w:jc w:val="left"/>
              <w:rPr>
                <w:rFonts w:hint="eastAsia" w:ascii="Times New Roman" w:hAnsi="Times New Roman" w:eastAsia="宋体" w:cs="Times New Roman"/>
                <w:bCs/>
                <w:szCs w:val="21"/>
              </w:rPr>
            </w:pPr>
            <w:r>
              <w:rPr>
                <w:rFonts w:hint="eastAsia" w:ascii="Times New Roman" w:hAnsi="Times New Roman" w:eastAsia="宋体" w:cs="Times New Roman"/>
                <w:bCs/>
                <w:szCs w:val="21"/>
              </w:rPr>
              <w:t>合计（即投标总价；币种：人民币；单位：元） 小写：            大写：</w:t>
            </w:r>
          </w:p>
        </w:tc>
      </w:tr>
    </w:tbl>
    <w:p w14:paraId="7D86AFFA">
      <w:pPr>
        <w:ind w:firstLine="482" w:firstLineChars="200"/>
        <w:rPr>
          <w:rFonts w:hint="eastAsia" w:ascii="宋体" w:hAnsi="宋体"/>
          <w:b/>
          <w:sz w:val="24"/>
        </w:rPr>
      </w:pPr>
    </w:p>
    <w:p w14:paraId="05C1D0EE">
      <w:pPr>
        <w:ind w:firstLine="482" w:firstLineChars="200"/>
        <w:rPr>
          <w:rFonts w:hint="eastAsia" w:ascii="宋体" w:hAnsi="宋体"/>
          <w:b/>
          <w:sz w:val="24"/>
        </w:rPr>
      </w:pPr>
      <w:r>
        <w:rPr>
          <w:rFonts w:hint="eastAsia" w:ascii="宋体" w:hAnsi="宋体"/>
          <w:b/>
          <w:sz w:val="24"/>
        </w:rPr>
        <w:t>注：1.本表可按同样格式扩展。</w:t>
      </w:r>
    </w:p>
    <w:p w14:paraId="4EA3021B">
      <w:pPr>
        <w:ind w:firstLine="472" w:firstLineChars="196"/>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品牌”可以与商标一致，也可以填写便于区分其他公司商品的制造商简称或者制造商认可的品牌名称。此类填写错误或缺漏的不利后果由供应商承担。经评审委员会认定，在使用综合评分法的项目中一项此类填写错误或缺漏将按照一项普通招标技术要求（一般参数/普通参数）负偏离扣分处理。</w:t>
      </w:r>
    </w:p>
    <w:p w14:paraId="1EEB1A99">
      <w:pPr>
        <w:ind w:firstLine="472" w:firstLineChars="196"/>
        <w:rPr>
          <w:b/>
          <w:sz w:val="24"/>
        </w:rPr>
      </w:pPr>
      <w:r>
        <w:rPr>
          <w:rFonts w:hint="eastAsia" w:ascii="宋体" w:hAnsi="宋体"/>
          <w:b/>
          <w:sz w:val="24"/>
        </w:rPr>
        <w:t>3.如所投货物属于定制类的非量产货物或无具体型号的货物，可以在“规格/型号”栏目仅填写规格信息而不填型号信息（型号信息用“定制”描述即可）；此类填写错误或缺漏（所投货物为定制类的非量产货物但供应商却错误填报了型号）的不利后果</w:t>
      </w:r>
      <w:r>
        <w:rPr>
          <w:rFonts w:hint="eastAsia"/>
          <w:b/>
          <w:sz w:val="24"/>
        </w:rPr>
        <w:t>由供应商承担。经评审委员会认定，在使用综合评分法的项目中一项此类填写错误或缺漏将按照一项普通招标技术要求（一般参数/普通参数）负偏离扣分处理。</w:t>
      </w:r>
    </w:p>
    <w:p w14:paraId="5091F068">
      <w:pPr>
        <w:ind w:firstLine="472" w:firstLineChars="196"/>
        <w:rPr>
          <w:rFonts w:hint="eastAsia"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61E72C1D">
      <w:pPr>
        <w:ind w:firstLine="472" w:firstLineChars="196"/>
        <w:rPr>
          <w:rFonts w:hint="eastAsia" w:ascii="宋体" w:hAnsi="宋体"/>
          <w:b/>
          <w:sz w:val="24"/>
        </w:rPr>
      </w:pPr>
      <w:r>
        <w:rPr>
          <w:rFonts w:ascii="宋体" w:hAnsi="宋体"/>
          <w:b/>
          <w:sz w:val="24"/>
        </w:rPr>
        <w:t>4</w:t>
      </w:r>
      <w:r>
        <w:rPr>
          <w:rFonts w:hint="eastAsia" w:ascii="宋体" w:hAnsi="宋体"/>
          <w:b/>
          <w:sz w:val="24"/>
        </w:rPr>
        <w:t>.所投货物均应填写制造商名称，“制造商”是指产品品牌厂商，产品代工制造的，应填写接受委托生产制造的制造商。</w:t>
      </w:r>
    </w:p>
    <w:p w14:paraId="2F3EDD38">
      <w:pPr>
        <w:ind w:firstLine="482" w:firstLineChars="200"/>
        <w:rPr>
          <w:rFonts w:hint="eastAsia"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25233EC0">
      <w:pPr>
        <w:ind w:firstLine="482" w:firstLineChars="200"/>
        <w:rPr>
          <w:rFonts w:hint="eastAsia"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20AAAA55">
      <w:pPr>
        <w:ind w:firstLine="482" w:firstLineChars="200"/>
        <w:rPr>
          <w:rFonts w:hint="eastAsia"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14:paraId="453AD350">
      <w:pPr>
        <w:tabs>
          <w:tab w:val="left" w:pos="720"/>
        </w:tabs>
        <w:jc w:val="center"/>
        <w:rPr>
          <w:rFonts w:hint="eastAsia"/>
          <w:b/>
          <w:sz w:val="24"/>
        </w:rPr>
      </w:pPr>
    </w:p>
    <w:p w14:paraId="7092FC44">
      <w:pPr>
        <w:tabs>
          <w:tab w:val="left" w:pos="720"/>
        </w:tabs>
        <w:jc w:val="center"/>
        <w:rPr>
          <w:b/>
          <w:sz w:val="24"/>
        </w:rPr>
      </w:pPr>
      <w:r>
        <w:rPr>
          <w:rFonts w:hint="eastAsia"/>
          <w:b/>
          <w:sz w:val="24"/>
        </w:rPr>
        <w:t>（二）核心产品品牌</w:t>
      </w:r>
    </w:p>
    <w:p w14:paraId="6299DFDE">
      <w:pPr>
        <w:ind w:firstLine="482" w:firstLineChars="200"/>
        <w:rPr>
          <w:rFonts w:ascii="宋体" w:hAnsi="宋体"/>
          <w:b/>
          <w:color w:val="FF0000"/>
          <w:sz w:val="24"/>
        </w:rPr>
      </w:pPr>
    </w:p>
    <w:p w14:paraId="34E8DEC1">
      <w:pPr>
        <w:ind w:firstLine="482"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14:paraId="75564829">
      <w:pPr>
        <w:ind w:firstLine="482" w:firstLineChars="200"/>
        <w:rPr>
          <w:rFonts w:ascii="宋体" w:hAnsi="宋体"/>
          <w:b/>
          <w:color w:val="FF0000"/>
          <w:sz w:val="24"/>
        </w:rPr>
      </w:pPr>
    </w:p>
    <w:p w14:paraId="64681957">
      <w:pPr>
        <w:ind w:firstLine="480" w:firstLineChars="200"/>
        <w:rPr>
          <w:rFonts w:ascii="宋体" w:hAnsi="宋体"/>
          <w:sz w:val="24"/>
        </w:rPr>
      </w:pPr>
      <w:r>
        <w:rPr>
          <w:rFonts w:hint="eastAsia" w:ascii="宋体" w:hAnsi="宋体"/>
          <w:sz w:val="24"/>
        </w:rPr>
        <w:t>备注：单一产品采购项目，核心产品即为该单一产品。</w:t>
      </w:r>
    </w:p>
    <w:p w14:paraId="5F978C40">
      <w:pPr>
        <w:ind w:firstLine="482" w:firstLineChars="200"/>
        <w:rPr>
          <w:rFonts w:ascii="宋体" w:hAnsi="宋体"/>
          <w:b/>
          <w:color w:val="FF0000"/>
          <w:sz w:val="24"/>
        </w:rPr>
      </w:pPr>
    </w:p>
    <w:p w14:paraId="11B8FD93">
      <w:pPr>
        <w:ind w:firstLine="482" w:firstLineChars="200"/>
        <w:rPr>
          <w:rFonts w:ascii="宋体" w:hAnsi="宋体"/>
          <w:b/>
          <w:color w:val="FF0000"/>
          <w:sz w:val="24"/>
        </w:rPr>
      </w:pPr>
    </w:p>
    <w:p w14:paraId="74245428">
      <w:pPr>
        <w:rPr>
          <w:b/>
          <w:sz w:val="24"/>
        </w:rPr>
      </w:pPr>
    </w:p>
    <w:p w14:paraId="0D1DF2F0">
      <w:pPr>
        <w:tabs>
          <w:tab w:val="left" w:pos="720"/>
        </w:tabs>
        <w:ind w:firstLine="1928" w:firstLineChars="800"/>
        <w:rPr>
          <w:b/>
          <w:sz w:val="24"/>
        </w:rPr>
      </w:pPr>
      <w:r>
        <w:rPr>
          <w:rFonts w:hint="eastAsia"/>
          <w:b/>
          <w:sz w:val="24"/>
        </w:rPr>
        <w:t>（三）可选配件报价清单（不包括在总报价内）</w:t>
      </w:r>
    </w:p>
    <w:p w14:paraId="7C52F35A">
      <w:pPr>
        <w:ind w:firstLine="42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15F0F991">
      <w:pPr>
        <w:jc w:val="center"/>
        <w:rPr>
          <w:rFonts w:ascii="宋体" w:cs="宋体"/>
          <w:b/>
          <w:bCs/>
          <w:sz w:val="28"/>
          <w:szCs w:val="28"/>
        </w:rPr>
      </w:pPr>
    </w:p>
    <w:p w14:paraId="0168EC15">
      <w:pPr>
        <w:jc w:val="center"/>
        <w:rPr>
          <w:rFonts w:ascii="宋体" w:cs="宋体"/>
          <w:b/>
          <w:bCs/>
          <w:sz w:val="28"/>
          <w:szCs w:val="28"/>
        </w:rPr>
      </w:pPr>
    </w:p>
    <w:p w14:paraId="752269B7">
      <w:pPr>
        <w:tabs>
          <w:tab w:val="left" w:pos="720"/>
        </w:tabs>
        <w:jc w:val="center"/>
        <w:rPr>
          <w:b/>
          <w:sz w:val="24"/>
        </w:rPr>
      </w:pPr>
      <w:r>
        <w:rPr>
          <w:rFonts w:hint="eastAsia"/>
          <w:b/>
          <w:sz w:val="24"/>
        </w:rPr>
        <w:t>（四）</w:t>
      </w:r>
      <w:bookmarkStart w:id="66" w:name="_Hlk72073235"/>
      <w:r>
        <w:rPr>
          <w:rFonts w:hint="eastAsia"/>
          <w:b/>
          <w:sz w:val="24"/>
        </w:rPr>
        <w:t>投标人认为需要涉及的其他内容报价清单</w:t>
      </w:r>
      <w:bookmarkEnd w:id="66"/>
    </w:p>
    <w:p w14:paraId="393CA81A">
      <w:pPr>
        <w:pStyle w:val="4"/>
        <w:jc w:val="center"/>
        <w:rPr>
          <w:rFonts w:ascii="黑体" w:eastAsia="黑体"/>
          <w:b w:val="0"/>
          <w:sz w:val="24"/>
          <w:szCs w:val="24"/>
        </w:rPr>
      </w:pPr>
      <w:bookmarkStart w:id="67" w:name="_Hlk72260501"/>
      <w:r>
        <w:rPr>
          <w:rFonts w:hint="eastAsia" w:ascii="黑体" w:eastAsia="黑体"/>
          <w:b w:val="0"/>
          <w:sz w:val="24"/>
          <w:szCs w:val="24"/>
        </w:rPr>
        <w:t>五、同类项目业绩</w:t>
      </w:r>
    </w:p>
    <w:p w14:paraId="28180B15">
      <w:pPr>
        <w:pStyle w:val="4"/>
        <w:jc w:val="center"/>
        <w:rPr>
          <w:rFonts w:ascii="黑体" w:eastAsia="黑体"/>
          <w:b w:val="0"/>
          <w:sz w:val="24"/>
          <w:szCs w:val="24"/>
        </w:rPr>
      </w:pPr>
      <w:r>
        <w:rPr>
          <w:rFonts w:hint="eastAsia" w:ascii="黑体" w:eastAsia="黑体"/>
          <w:b w:val="0"/>
          <w:sz w:val="24"/>
          <w:szCs w:val="24"/>
        </w:rPr>
        <w:t>六、履约评价</w:t>
      </w:r>
    </w:p>
    <w:bookmarkEnd w:id="67"/>
    <w:p w14:paraId="1DDAA315"/>
    <w:p w14:paraId="0A0C1AA2">
      <w:pPr>
        <w:ind w:firstLine="723" w:firstLineChars="300"/>
        <w:rPr>
          <w:b/>
          <w:color w:val="FF0000"/>
          <w:sz w:val="24"/>
        </w:rPr>
      </w:pPr>
      <w:r>
        <w:rPr>
          <w:rFonts w:hint="eastAsia"/>
          <w:b/>
          <w:color w:val="FF0000"/>
          <w:sz w:val="24"/>
        </w:rPr>
        <w:t>（信息公开部分的内容到此为止！以下为信息不公开部分。）</w:t>
      </w:r>
    </w:p>
    <w:bookmarkEnd w:id="65"/>
    <w:p w14:paraId="5491AD04">
      <w:r>
        <w:br w:type="page"/>
      </w:r>
    </w:p>
    <w:p w14:paraId="4E0C5862">
      <w:pPr>
        <w:outlineLvl w:val="1"/>
        <w:rPr>
          <w:rFonts w:ascii="宋体" w:hAnsi="宋体"/>
          <w:b/>
          <w:color w:val="FF0000"/>
          <w:sz w:val="28"/>
          <w:szCs w:val="28"/>
        </w:rPr>
      </w:pPr>
      <w:bookmarkStart w:id="68" w:name="_Hlk72260530"/>
      <w:r>
        <w:rPr>
          <w:rFonts w:hint="eastAsia" w:ascii="宋体" w:hAnsi="宋体"/>
          <w:b/>
          <w:color w:val="FF0000"/>
          <w:sz w:val="28"/>
          <w:szCs w:val="28"/>
        </w:rPr>
        <w:t>投标文件附件（信息不公开部分）</w:t>
      </w:r>
    </w:p>
    <w:p w14:paraId="7716BA3A">
      <w:pPr>
        <w:pStyle w:val="4"/>
        <w:jc w:val="center"/>
        <w:rPr>
          <w:rFonts w:ascii="黑体" w:eastAsia="黑体"/>
          <w:b w:val="0"/>
          <w:sz w:val="24"/>
        </w:rPr>
      </w:pPr>
      <w:r>
        <w:rPr>
          <w:rFonts w:hint="eastAsia" w:ascii="黑体" w:eastAsia="黑体"/>
          <w:b w:val="0"/>
          <w:sz w:val="24"/>
        </w:rPr>
        <w:t>一、供应商基本情况表</w:t>
      </w:r>
    </w:p>
    <w:tbl>
      <w:tblPr>
        <w:tblStyle w:val="45"/>
        <w:tblW w:w="8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645"/>
        <w:gridCol w:w="1530"/>
        <w:gridCol w:w="904"/>
        <w:gridCol w:w="752"/>
        <w:gridCol w:w="1146"/>
        <w:gridCol w:w="1429"/>
        <w:gridCol w:w="1420"/>
      </w:tblGrid>
      <w:tr w14:paraId="3486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5" w:type="dxa"/>
            <w:gridSpan w:val="2"/>
            <w:vAlign w:val="center"/>
          </w:tcPr>
          <w:p w14:paraId="70041F25">
            <w:pPr>
              <w:rPr>
                <w:rFonts w:ascii="宋体" w:hAnsi="宋体" w:cs="宋体"/>
                <w:szCs w:val="21"/>
              </w:rPr>
            </w:pPr>
            <w:r>
              <w:rPr>
                <w:rFonts w:hint="eastAsia" w:ascii="宋体" w:hAnsi="宋体" w:cs="宋体"/>
                <w:szCs w:val="21"/>
              </w:rPr>
              <w:t>投标（响应）供应商</w:t>
            </w:r>
          </w:p>
        </w:tc>
        <w:tc>
          <w:tcPr>
            <w:tcW w:w="2434" w:type="dxa"/>
            <w:gridSpan w:val="2"/>
            <w:vAlign w:val="center"/>
          </w:tcPr>
          <w:p w14:paraId="38221680">
            <w:pPr>
              <w:jc w:val="center"/>
              <w:rPr>
                <w:rFonts w:ascii="宋体" w:hAnsi="宋体" w:cs="宋体"/>
                <w:szCs w:val="21"/>
              </w:rPr>
            </w:pPr>
          </w:p>
        </w:tc>
        <w:tc>
          <w:tcPr>
            <w:tcW w:w="1898" w:type="dxa"/>
            <w:gridSpan w:val="2"/>
            <w:vAlign w:val="center"/>
          </w:tcPr>
          <w:p w14:paraId="4AD74C87">
            <w:pPr>
              <w:jc w:val="center"/>
              <w:rPr>
                <w:rFonts w:ascii="宋体" w:hAnsi="宋体" w:cs="宋体"/>
                <w:szCs w:val="21"/>
              </w:rPr>
            </w:pPr>
            <w:r>
              <w:rPr>
                <w:rFonts w:hint="eastAsia" w:ascii="宋体" w:hAnsi="宋体" w:cs="宋体"/>
                <w:szCs w:val="21"/>
              </w:rPr>
              <w:t>项目名称及编号</w:t>
            </w:r>
          </w:p>
        </w:tc>
        <w:tc>
          <w:tcPr>
            <w:tcW w:w="2849" w:type="dxa"/>
            <w:gridSpan w:val="2"/>
            <w:vAlign w:val="center"/>
          </w:tcPr>
          <w:p w14:paraId="272D37F4">
            <w:pPr>
              <w:jc w:val="center"/>
              <w:rPr>
                <w:rFonts w:ascii="宋体" w:hAnsi="宋体" w:cs="宋体"/>
                <w:szCs w:val="21"/>
              </w:rPr>
            </w:pPr>
          </w:p>
        </w:tc>
      </w:tr>
      <w:tr w14:paraId="0378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6" w:type="dxa"/>
            <w:gridSpan w:val="8"/>
            <w:vAlign w:val="center"/>
          </w:tcPr>
          <w:p w14:paraId="46B65F92">
            <w:pPr>
              <w:jc w:val="center"/>
              <w:rPr>
                <w:rFonts w:ascii="宋体" w:hAnsi="宋体" w:cs="宋体"/>
                <w:szCs w:val="21"/>
              </w:rPr>
            </w:pPr>
            <w:r>
              <w:rPr>
                <w:rFonts w:hint="eastAsia" w:ascii="宋体" w:hAnsi="宋体" w:cs="宋体"/>
                <w:b/>
                <w:bCs/>
                <w:szCs w:val="21"/>
              </w:rPr>
              <w:t>投标（响应）供应商相关人员情况</w:t>
            </w:r>
          </w:p>
        </w:tc>
      </w:tr>
      <w:tr w14:paraId="7BE3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bottom w:val="single" w:color="auto" w:sz="4" w:space="0"/>
            </w:tcBorders>
            <w:vAlign w:val="center"/>
          </w:tcPr>
          <w:p w14:paraId="4E1D8E35">
            <w:pPr>
              <w:snapToGrid w:val="0"/>
              <w:jc w:val="center"/>
              <w:rPr>
                <w:rFonts w:ascii="宋体" w:hAnsi="宋体" w:cs="宋体"/>
                <w:szCs w:val="21"/>
              </w:rPr>
            </w:pPr>
            <w:r>
              <w:rPr>
                <w:rFonts w:hint="eastAsia" w:ascii="宋体" w:hAnsi="宋体" w:cs="宋体"/>
                <w:szCs w:val="21"/>
              </w:rPr>
              <w:t>序号</w:t>
            </w:r>
          </w:p>
        </w:tc>
        <w:tc>
          <w:tcPr>
            <w:tcW w:w="2175" w:type="dxa"/>
            <w:gridSpan w:val="2"/>
            <w:tcBorders>
              <w:bottom w:val="single" w:color="auto" w:sz="4" w:space="0"/>
            </w:tcBorders>
            <w:vAlign w:val="center"/>
          </w:tcPr>
          <w:p w14:paraId="2BA317E9">
            <w:pPr>
              <w:jc w:val="center"/>
              <w:rPr>
                <w:rFonts w:ascii="宋体" w:hAnsi="宋体" w:cs="宋体"/>
                <w:szCs w:val="21"/>
              </w:rPr>
            </w:pPr>
            <w:r>
              <w:rPr>
                <w:rFonts w:hint="eastAsia" w:ascii="宋体" w:hAnsi="宋体" w:cs="宋体"/>
                <w:szCs w:val="21"/>
              </w:rPr>
              <w:t>职务</w:t>
            </w:r>
          </w:p>
        </w:tc>
        <w:tc>
          <w:tcPr>
            <w:tcW w:w="904" w:type="dxa"/>
            <w:tcBorders>
              <w:bottom w:val="single" w:color="auto" w:sz="4" w:space="0"/>
            </w:tcBorders>
            <w:vAlign w:val="center"/>
          </w:tcPr>
          <w:p w14:paraId="6681F839">
            <w:pPr>
              <w:jc w:val="center"/>
              <w:rPr>
                <w:rFonts w:ascii="宋体" w:hAnsi="宋体" w:cs="宋体"/>
                <w:szCs w:val="21"/>
              </w:rPr>
            </w:pPr>
            <w:r>
              <w:rPr>
                <w:rFonts w:hint="eastAsia" w:ascii="宋体" w:hAnsi="宋体" w:cs="宋体"/>
                <w:szCs w:val="21"/>
              </w:rPr>
              <w:t>姓名</w:t>
            </w:r>
          </w:p>
        </w:tc>
        <w:tc>
          <w:tcPr>
            <w:tcW w:w="1898" w:type="dxa"/>
            <w:gridSpan w:val="2"/>
            <w:tcBorders>
              <w:bottom w:val="single" w:color="auto" w:sz="4" w:space="0"/>
            </w:tcBorders>
            <w:vAlign w:val="center"/>
          </w:tcPr>
          <w:p w14:paraId="62358FCF">
            <w:pPr>
              <w:jc w:val="center"/>
              <w:rPr>
                <w:rFonts w:ascii="宋体" w:hAnsi="宋体" w:cs="宋体"/>
                <w:szCs w:val="21"/>
              </w:rPr>
            </w:pPr>
            <w:r>
              <w:rPr>
                <w:rFonts w:hint="eastAsia" w:ascii="宋体" w:hAnsi="宋体" w:cs="宋体"/>
                <w:szCs w:val="21"/>
              </w:rPr>
              <w:t>身份证号码</w:t>
            </w:r>
          </w:p>
        </w:tc>
        <w:tc>
          <w:tcPr>
            <w:tcW w:w="1429" w:type="dxa"/>
            <w:tcBorders>
              <w:bottom w:val="single" w:color="auto" w:sz="4" w:space="0"/>
            </w:tcBorders>
            <w:vAlign w:val="center"/>
          </w:tcPr>
          <w:p w14:paraId="1FD11600">
            <w:pPr>
              <w:snapToGrid w:val="0"/>
              <w:jc w:val="center"/>
              <w:rPr>
                <w:rFonts w:ascii="宋体" w:hAnsi="宋体" w:cs="宋体"/>
                <w:szCs w:val="21"/>
              </w:rPr>
            </w:pPr>
            <w:r>
              <w:rPr>
                <w:rFonts w:hint="eastAsia" w:ascii="宋体" w:hAnsi="宋体" w:cs="宋体"/>
                <w:szCs w:val="21"/>
              </w:rPr>
              <w:t>劳动合同</w:t>
            </w:r>
          </w:p>
          <w:p w14:paraId="67867BB9">
            <w:pPr>
              <w:snapToGrid w:val="0"/>
              <w:jc w:val="center"/>
              <w:rPr>
                <w:rFonts w:ascii="宋体" w:hAnsi="宋体" w:cs="宋体"/>
                <w:szCs w:val="21"/>
              </w:rPr>
            </w:pPr>
            <w:r>
              <w:rPr>
                <w:rFonts w:hint="eastAsia" w:ascii="宋体" w:hAnsi="宋体" w:cs="宋体"/>
                <w:szCs w:val="21"/>
              </w:rPr>
              <w:t>关系单位</w:t>
            </w:r>
          </w:p>
        </w:tc>
        <w:tc>
          <w:tcPr>
            <w:tcW w:w="1420" w:type="dxa"/>
            <w:tcBorders>
              <w:bottom w:val="single" w:color="auto" w:sz="4" w:space="0"/>
            </w:tcBorders>
            <w:vAlign w:val="center"/>
          </w:tcPr>
          <w:p w14:paraId="19FB9B6F">
            <w:pPr>
              <w:snapToGrid w:val="0"/>
              <w:jc w:val="center"/>
              <w:rPr>
                <w:rFonts w:ascii="宋体" w:hAnsi="宋体" w:cs="宋体"/>
                <w:szCs w:val="21"/>
              </w:rPr>
            </w:pPr>
            <w:r>
              <w:rPr>
                <w:rFonts w:hint="eastAsia" w:ascii="宋体" w:hAnsi="宋体" w:cs="宋体"/>
                <w:szCs w:val="21"/>
              </w:rPr>
              <w:t>缴纳社会</w:t>
            </w:r>
          </w:p>
          <w:p w14:paraId="52F93512">
            <w:pPr>
              <w:snapToGrid w:val="0"/>
              <w:jc w:val="center"/>
              <w:rPr>
                <w:rFonts w:ascii="宋体" w:hAnsi="宋体" w:cs="宋体"/>
                <w:szCs w:val="21"/>
              </w:rPr>
            </w:pPr>
            <w:r>
              <w:rPr>
                <w:rFonts w:hint="eastAsia" w:ascii="宋体" w:hAnsi="宋体" w:cs="宋体"/>
                <w:szCs w:val="21"/>
              </w:rPr>
              <w:t>保险单位</w:t>
            </w:r>
          </w:p>
        </w:tc>
      </w:tr>
      <w:tr w14:paraId="43DA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vAlign w:val="center"/>
          </w:tcPr>
          <w:p w14:paraId="40240414">
            <w:pPr>
              <w:jc w:val="center"/>
              <w:rPr>
                <w:rFonts w:ascii="宋体" w:hAnsi="宋体" w:cs="宋体"/>
                <w:szCs w:val="21"/>
              </w:rPr>
            </w:pPr>
            <w:r>
              <w:rPr>
                <w:rFonts w:hint="eastAsia" w:ascii="宋体" w:hAnsi="宋体" w:cs="宋体"/>
                <w:szCs w:val="21"/>
              </w:rPr>
              <w:t>1</w:t>
            </w:r>
          </w:p>
        </w:tc>
        <w:tc>
          <w:tcPr>
            <w:tcW w:w="2175" w:type="dxa"/>
            <w:gridSpan w:val="2"/>
            <w:tcBorders>
              <w:top w:val="single" w:color="auto" w:sz="4" w:space="0"/>
              <w:left w:val="single" w:color="auto" w:sz="4" w:space="0"/>
              <w:bottom w:val="single" w:color="auto" w:sz="4" w:space="0"/>
              <w:right w:val="single" w:color="auto" w:sz="4" w:space="0"/>
            </w:tcBorders>
            <w:vAlign w:val="center"/>
          </w:tcPr>
          <w:p w14:paraId="44B65E73">
            <w:pPr>
              <w:jc w:val="center"/>
              <w:rPr>
                <w:rFonts w:ascii="宋体" w:hAnsi="宋体" w:cs="宋体"/>
                <w:szCs w:val="21"/>
              </w:rPr>
            </w:pPr>
            <w:r>
              <w:rPr>
                <w:rFonts w:hint="eastAsia" w:ascii="宋体" w:hAnsi="宋体" w:cs="宋体"/>
                <w:szCs w:val="21"/>
              </w:rPr>
              <w:t>法定代表人/单位负责人/主要经营负责人</w:t>
            </w:r>
          </w:p>
        </w:tc>
        <w:tc>
          <w:tcPr>
            <w:tcW w:w="904" w:type="dxa"/>
            <w:tcBorders>
              <w:top w:val="single" w:color="auto" w:sz="4" w:space="0"/>
              <w:left w:val="single" w:color="auto" w:sz="4" w:space="0"/>
              <w:bottom w:val="single" w:color="auto" w:sz="4" w:space="0"/>
              <w:right w:val="single" w:color="auto" w:sz="4" w:space="0"/>
            </w:tcBorders>
            <w:vAlign w:val="center"/>
          </w:tcPr>
          <w:p w14:paraId="04A5B191">
            <w:pPr>
              <w:jc w:val="center"/>
              <w:rPr>
                <w:rFonts w:ascii="宋体" w:hAnsi="宋体" w:cs="宋体"/>
                <w:szCs w:val="21"/>
              </w:rPr>
            </w:pPr>
          </w:p>
        </w:tc>
        <w:tc>
          <w:tcPr>
            <w:tcW w:w="1898" w:type="dxa"/>
            <w:gridSpan w:val="2"/>
            <w:tcBorders>
              <w:top w:val="single" w:color="auto" w:sz="4" w:space="0"/>
              <w:left w:val="single" w:color="auto" w:sz="4" w:space="0"/>
              <w:bottom w:val="single" w:color="auto" w:sz="4" w:space="0"/>
              <w:right w:val="single" w:color="auto" w:sz="4" w:space="0"/>
            </w:tcBorders>
            <w:vAlign w:val="center"/>
          </w:tcPr>
          <w:p w14:paraId="705D43C0">
            <w:pPr>
              <w:jc w:val="center"/>
              <w:rPr>
                <w:rFonts w:ascii="宋体" w:hAnsi="宋体" w:cs="宋体"/>
                <w:szCs w:val="21"/>
              </w:rPr>
            </w:pPr>
          </w:p>
        </w:tc>
        <w:tc>
          <w:tcPr>
            <w:tcW w:w="1429" w:type="dxa"/>
            <w:tcBorders>
              <w:top w:val="single" w:color="auto" w:sz="4" w:space="0"/>
              <w:left w:val="single" w:color="auto" w:sz="4" w:space="0"/>
              <w:bottom w:val="single" w:color="auto" w:sz="4" w:space="0"/>
              <w:right w:val="single" w:color="auto" w:sz="4" w:space="0"/>
            </w:tcBorders>
            <w:vAlign w:val="center"/>
          </w:tcPr>
          <w:p w14:paraId="1AF066A1">
            <w:pPr>
              <w:jc w:val="center"/>
              <w:rPr>
                <w:rFonts w:ascii="宋体" w:hAnsi="宋体" w:cs="宋体"/>
                <w:szCs w:val="21"/>
              </w:rPr>
            </w:pPr>
          </w:p>
        </w:tc>
        <w:tc>
          <w:tcPr>
            <w:tcW w:w="1420" w:type="dxa"/>
            <w:tcBorders>
              <w:top w:val="single" w:color="auto" w:sz="4" w:space="0"/>
              <w:left w:val="single" w:color="auto" w:sz="4" w:space="0"/>
              <w:bottom w:val="single" w:color="auto" w:sz="4" w:space="0"/>
              <w:right w:val="single" w:color="auto" w:sz="4" w:space="0"/>
            </w:tcBorders>
            <w:vAlign w:val="center"/>
          </w:tcPr>
          <w:p w14:paraId="40009641">
            <w:pPr>
              <w:jc w:val="center"/>
              <w:rPr>
                <w:rFonts w:ascii="宋体" w:hAnsi="宋体" w:cs="宋体"/>
                <w:szCs w:val="21"/>
              </w:rPr>
            </w:pPr>
          </w:p>
        </w:tc>
      </w:tr>
      <w:tr w14:paraId="08FF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vAlign w:val="center"/>
          </w:tcPr>
          <w:p w14:paraId="55FBEAE4">
            <w:pPr>
              <w:jc w:val="center"/>
              <w:rPr>
                <w:rFonts w:ascii="宋体" w:hAnsi="宋体" w:cs="宋体"/>
                <w:szCs w:val="21"/>
              </w:rPr>
            </w:pPr>
            <w:r>
              <w:rPr>
                <w:rFonts w:hint="eastAsia" w:ascii="宋体" w:hAnsi="宋体" w:cs="宋体"/>
                <w:szCs w:val="21"/>
              </w:rPr>
              <w:t>2</w:t>
            </w:r>
          </w:p>
        </w:tc>
        <w:tc>
          <w:tcPr>
            <w:tcW w:w="2175" w:type="dxa"/>
            <w:gridSpan w:val="2"/>
            <w:tcBorders>
              <w:top w:val="single" w:color="auto" w:sz="4" w:space="0"/>
              <w:left w:val="single" w:color="auto" w:sz="4" w:space="0"/>
              <w:bottom w:val="single" w:color="auto" w:sz="4" w:space="0"/>
              <w:right w:val="single" w:color="auto" w:sz="4" w:space="0"/>
            </w:tcBorders>
            <w:vAlign w:val="center"/>
          </w:tcPr>
          <w:p w14:paraId="75FD84EE">
            <w:pPr>
              <w:jc w:val="center"/>
              <w:rPr>
                <w:rFonts w:ascii="宋体" w:hAnsi="宋体" w:cs="宋体"/>
                <w:szCs w:val="21"/>
              </w:rPr>
            </w:pPr>
            <w:r>
              <w:rPr>
                <w:rFonts w:hint="eastAsia" w:ascii="宋体" w:hAnsi="宋体" w:cs="宋体"/>
                <w:szCs w:val="21"/>
              </w:rPr>
              <w:t>项目投标授权代表人</w:t>
            </w:r>
          </w:p>
        </w:tc>
        <w:tc>
          <w:tcPr>
            <w:tcW w:w="904" w:type="dxa"/>
            <w:tcBorders>
              <w:top w:val="single" w:color="auto" w:sz="4" w:space="0"/>
              <w:left w:val="single" w:color="auto" w:sz="4" w:space="0"/>
              <w:bottom w:val="single" w:color="auto" w:sz="4" w:space="0"/>
              <w:right w:val="single" w:color="auto" w:sz="4" w:space="0"/>
            </w:tcBorders>
            <w:vAlign w:val="center"/>
          </w:tcPr>
          <w:p w14:paraId="2D72CBC3">
            <w:pPr>
              <w:jc w:val="center"/>
              <w:rPr>
                <w:rFonts w:ascii="宋体" w:hAnsi="宋体" w:cs="宋体"/>
                <w:szCs w:val="21"/>
              </w:rPr>
            </w:pPr>
          </w:p>
        </w:tc>
        <w:tc>
          <w:tcPr>
            <w:tcW w:w="1898" w:type="dxa"/>
            <w:gridSpan w:val="2"/>
            <w:tcBorders>
              <w:top w:val="single" w:color="auto" w:sz="4" w:space="0"/>
              <w:left w:val="single" w:color="auto" w:sz="4" w:space="0"/>
              <w:bottom w:val="single" w:color="auto" w:sz="4" w:space="0"/>
              <w:right w:val="single" w:color="auto" w:sz="4" w:space="0"/>
            </w:tcBorders>
            <w:vAlign w:val="center"/>
          </w:tcPr>
          <w:p w14:paraId="484B96D5">
            <w:pPr>
              <w:jc w:val="center"/>
              <w:rPr>
                <w:rFonts w:ascii="宋体" w:hAnsi="宋体" w:cs="宋体"/>
                <w:szCs w:val="21"/>
              </w:rPr>
            </w:pPr>
          </w:p>
        </w:tc>
        <w:tc>
          <w:tcPr>
            <w:tcW w:w="1429" w:type="dxa"/>
            <w:tcBorders>
              <w:top w:val="single" w:color="auto" w:sz="4" w:space="0"/>
              <w:left w:val="single" w:color="auto" w:sz="4" w:space="0"/>
              <w:bottom w:val="single" w:color="auto" w:sz="4" w:space="0"/>
              <w:right w:val="single" w:color="auto" w:sz="4" w:space="0"/>
            </w:tcBorders>
            <w:vAlign w:val="center"/>
          </w:tcPr>
          <w:p w14:paraId="57913A40">
            <w:pPr>
              <w:jc w:val="center"/>
              <w:rPr>
                <w:rFonts w:ascii="宋体" w:hAnsi="宋体" w:cs="宋体"/>
                <w:szCs w:val="21"/>
              </w:rPr>
            </w:pPr>
          </w:p>
        </w:tc>
        <w:tc>
          <w:tcPr>
            <w:tcW w:w="1420" w:type="dxa"/>
            <w:tcBorders>
              <w:top w:val="single" w:color="auto" w:sz="4" w:space="0"/>
              <w:left w:val="single" w:color="auto" w:sz="4" w:space="0"/>
              <w:bottom w:val="single" w:color="auto" w:sz="4" w:space="0"/>
              <w:right w:val="single" w:color="auto" w:sz="4" w:space="0"/>
            </w:tcBorders>
            <w:vAlign w:val="center"/>
          </w:tcPr>
          <w:p w14:paraId="1BD4217B">
            <w:pPr>
              <w:jc w:val="center"/>
              <w:rPr>
                <w:rFonts w:ascii="宋体" w:hAnsi="宋体" w:cs="宋体"/>
                <w:szCs w:val="21"/>
              </w:rPr>
            </w:pPr>
          </w:p>
        </w:tc>
      </w:tr>
      <w:tr w14:paraId="49C1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tcBorders>
            <w:vAlign w:val="center"/>
          </w:tcPr>
          <w:p w14:paraId="526A00D0">
            <w:pPr>
              <w:jc w:val="center"/>
              <w:rPr>
                <w:rFonts w:ascii="宋体" w:hAnsi="宋体" w:cs="宋体"/>
                <w:szCs w:val="21"/>
              </w:rPr>
            </w:pPr>
            <w:r>
              <w:rPr>
                <w:rFonts w:hint="eastAsia" w:ascii="宋体" w:hAnsi="宋体" w:cs="宋体"/>
                <w:szCs w:val="21"/>
              </w:rPr>
              <w:t>3</w:t>
            </w:r>
          </w:p>
        </w:tc>
        <w:tc>
          <w:tcPr>
            <w:tcW w:w="2175" w:type="dxa"/>
            <w:gridSpan w:val="2"/>
            <w:tcBorders>
              <w:top w:val="single" w:color="auto" w:sz="4" w:space="0"/>
            </w:tcBorders>
            <w:vAlign w:val="center"/>
          </w:tcPr>
          <w:p w14:paraId="72C17ECB">
            <w:pPr>
              <w:jc w:val="center"/>
              <w:rPr>
                <w:rFonts w:ascii="宋体" w:hAnsi="宋体" w:cs="宋体"/>
                <w:szCs w:val="21"/>
              </w:rPr>
            </w:pPr>
            <w:r>
              <w:rPr>
                <w:rFonts w:hint="eastAsia" w:ascii="宋体" w:hAnsi="宋体" w:cs="宋体"/>
                <w:szCs w:val="21"/>
              </w:rPr>
              <w:t>项目负责人</w:t>
            </w:r>
          </w:p>
        </w:tc>
        <w:tc>
          <w:tcPr>
            <w:tcW w:w="904" w:type="dxa"/>
            <w:tcBorders>
              <w:top w:val="single" w:color="auto" w:sz="4" w:space="0"/>
            </w:tcBorders>
            <w:vAlign w:val="center"/>
          </w:tcPr>
          <w:p w14:paraId="032FC67B">
            <w:pPr>
              <w:jc w:val="center"/>
              <w:rPr>
                <w:rFonts w:ascii="宋体" w:hAnsi="宋体" w:cs="宋体"/>
                <w:szCs w:val="21"/>
              </w:rPr>
            </w:pPr>
          </w:p>
        </w:tc>
        <w:tc>
          <w:tcPr>
            <w:tcW w:w="1898" w:type="dxa"/>
            <w:gridSpan w:val="2"/>
            <w:tcBorders>
              <w:top w:val="single" w:color="auto" w:sz="4" w:space="0"/>
            </w:tcBorders>
            <w:vAlign w:val="center"/>
          </w:tcPr>
          <w:p w14:paraId="14362ED7">
            <w:pPr>
              <w:jc w:val="center"/>
              <w:rPr>
                <w:rFonts w:ascii="宋体" w:hAnsi="宋体" w:cs="宋体"/>
                <w:szCs w:val="21"/>
              </w:rPr>
            </w:pPr>
          </w:p>
        </w:tc>
        <w:tc>
          <w:tcPr>
            <w:tcW w:w="1429" w:type="dxa"/>
            <w:tcBorders>
              <w:top w:val="single" w:color="auto" w:sz="4" w:space="0"/>
            </w:tcBorders>
            <w:vAlign w:val="center"/>
          </w:tcPr>
          <w:p w14:paraId="6DE73A97">
            <w:pPr>
              <w:jc w:val="center"/>
              <w:rPr>
                <w:rFonts w:ascii="宋体" w:hAnsi="宋体" w:cs="宋体"/>
                <w:szCs w:val="21"/>
              </w:rPr>
            </w:pPr>
          </w:p>
        </w:tc>
        <w:tc>
          <w:tcPr>
            <w:tcW w:w="1420" w:type="dxa"/>
            <w:tcBorders>
              <w:top w:val="single" w:color="auto" w:sz="4" w:space="0"/>
            </w:tcBorders>
            <w:vAlign w:val="center"/>
          </w:tcPr>
          <w:p w14:paraId="4535F17A">
            <w:pPr>
              <w:jc w:val="center"/>
              <w:rPr>
                <w:rFonts w:ascii="宋体" w:hAnsi="宋体" w:cs="宋体"/>
                <w:szCs w:val="21"/>
              </w:rPr>
            </w:pPr>
          </w:p>
        </w:tc>
      </w:tr>
      <w:tr w14:paraId="12D4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7B6E4315">
            <w:pPr>
              <w:jc w:val="center"/>
              <w:rPr>
                <w:rFonts w:ascii="宋体" w:hAnsi="宋体" w:cs="宋体"/>
                <w:szCs w:val="21"/>
              </w:rPr>
            </w:pPr>
            <w:r>
              <w:rPr>
                <w:rFonts w:hint="eastAsia" w:ascii="宋体" w:hAnsi="宋体" w:cs="宋体"/>
                <w:szCs w:val="21"/>
              </w:rPr>
              <w:t>4</w:t>
            </w:r>
          </w:p>
        </w:tc>
        <w:tc>
          <w:tcPr>
            <w:tcW w:w="2175" w:type="dxa"/>
            <w:gridSpan w:val="2"/>
            <w:vAlign w:val="center"/>
          </w:tcPr>
          <w:p w14:paraId="40058D32">
            <w:pPr>
              <w:jc w:val="center"/>
              <w:rPr>
                <w:rFonts w:ascii="宋体" w:hAnsi="宋体" w:cs="宋体"/>
                <w:szCs w:val="21"/>
              </w:rPr>
            </w:pPr>
            <w:r>
              <w:rPr>
                <w:rFonts w:hint="eastAsia" w:ascii="宋体" w:hAnsi="宋体" w:cs="宋体"/>
                <w:szCs w:val="21"/>
              </w:rPr>
              <w:t>主要技术人员</w:t>
            </w:r>
          </w:p>
        </w:tc>
        <w:tc>
          <w:tcPr>
            <w:tcW w:w="904" w:type="dxa"/>
            <w:vAlign w:val="center"/>
          </w:tcPr>
          <w:p w14:paraId="39C1BBB9">
            <w:pPr>
              <w:jc w:val="center"/>
              <w:rPr>
                <w:rFonts w:ascii="宋体" w:hAnsi="宋体" w:cs="宋体"/>
                <w:szCs w:val="21"/>
              </w:rPr>
            </w:pPr>
          </w:p>
        </w:tc>
        <w:tc>
          <w:tcPr>
            <w:tcW w:w="1898" w:type="dxa"/>
            <w:gridSpan w:val="2"/>
            <w:vAlign w:val="center"/>
          </w:tcPr>
          <w:p w14:paraId="36891B1B">
            <w:pPr>
              <w:jc w:val="center"/>
              <w:rPr>
                <w:rFonts w:ascii="宋体" w:hAnsi="宋体" w:cs="宋体"/>
                <w:szCs w:val="21"/>
              </w:rPr>
            </w:pPr>
          </w:p>
        </w:tc>
        <w:tc>
          <w:tcPr>
            <w:tcW w:w="1429" w:type="dxa"/>
            <w:vAlign w:val="center"/>
          </w:tcPr>
          <w:p w14:paraId="2A6556D4">
            <w:pPr>
              <w:jc w:val="center"/>
              <w:rPr>
                <w:rFonts w:ascii="宋体" w:hAnsi="宋体" w:cs="宋体"/>
                <w:szCs w:val="21"/>
              </w:rPr>
            </w:pPr>
          </w:p>
        </w:tc>
        <w:tc>
          <w:tcPr>
            <w:tcW w:w="1420" w:type="dxa"/>
            <w:vAlign w:val="center"/>
          </w:tcPr>
          <w:p w14:paraId="4D021C06">
            <w:pPr>
              <w:jc w:val="center"/>
              <w:rPr>
                <w:rFonts w:ascii="宋体" w:hAnsi="宋体" w:cs="宋体"/>
                <w:szCs w:val="21"/>
              </w:rPr>
            </w:pPr>
          </w:p>
        </w:tc>
      </w:tr>
      <w:tr w14:paraId="1760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31170266">
            <w:pPr>
              <w:jc w:val="center"/>
              <w:rPr>
                <w:rFonts w:ascii="宋体" w:hAnsi="宋体" w:cs="宋体"/>
                <w:szCs w:val="21"/>
              </w:rPr>
            </w:pPr>
            <w:r>
              <w:rPr>
                <w:rFonts w:hint="eastAsia" w:ascii="宋体" w:hAnsi="宋体" w:cs="宋体"/>
                <w:szCs w:val="21"/>
              </w:rPr>
              <w:t>5</w:t>
            </w:r>
          </w:p>
        </w:tc>
        <w:tc>
          <w:tcPr>
            <w:tcW w:w="2175" w:type="dxa"/>
            <w:gridSpan w:val="2"/>
            <w:vAlign w:val="center"/>
          </w:tcPr>
          <w:p w14:paraId="7A464E18">
            <w:pPr>
              <w:snapToGrid w:val="0"/>
              <w:jc w:val="center"/>
              <w:rPr>
                <w:rFonts w:ascii="宋体" w:hAnsi="宋体" w:cs="宋体"/>
                <w:szCs w:val="21"/>
              </w:rPr>
            </w:pPr>
            <w:r>
              <w:rPr>
                <w:rFonts w:hint="eastAsia" w:ascii="宋体" w:hAnsi="宋体" w:cs="宋体"/>
                <w:szCs w:val="21"/>
              </w:rPr>
              <w:t>投标文件编制人员</w:t>
            </w:r>
          </w:p>
        </w:tc>
        <w:tc>
          <w:tcPr>
            <w:tcW w:w="904" w:type="dxa"/>
            <w:vAlign w:val="center"/>
          </w:tcPr>
          <w:p w14:paraId="1DEB7ECA">
            <w:pPr>
              <w:jc w:val="center"/>
              <w:rPr>
                <w:rFonts w:ascii="宋体" w:hAnsi="宋体" w:cs="宋体"/>
                <w:szCs w:val="21"/>
              </w:rPr>
            </w:pPr>
          </w:p>
        </w:tc>
        <w:tc>
          <w:tcPr>
            <w:tcW w:w="1898" w:type="dxa"/>
            <w:gridSpan w:val="2"/>
            <w:vAlign w:val="center"/>
          </w:tcPr>
          <w:p w14:paraId="6933CC07">
            <w:pPr>
              <w:jc w:val="center"/>
              <w:rPr>
                <w:rFonts w:ascii="宋体" w:hAnsi="宋体" w:cs="宋体"/>
                <w:szCs w:val="21"/>
              </w:rPr>
            </w:pPr>
          </w:p>
        </w:tc>
        <w:tc>
          <w:tcPr>
            <w:tcW w:w="1429" w:type="dxa"/>
            <w:vAlign w:val="center"/>
          </w:tcPr>
          <w:p w14:paraId="40D11E16">
            <w:pPr>
              <w:jc w:val="center"/>
              <w:rPr>
                <w:rFonts w:ascii="宋体" w:hAnsi="宋体" w:cs="宋体"/>
                <w:szCs w:val="21"/>
              </w:rPr>
            </w:pPr>
          </w:p>
        </w:tc>
        <w:tc>
          <w:tcPr>
            <w:tcW w:w="1420" w:type="dxa"/>
            <w:vAlign w:val="center"/>
          </w:tcPr>
          <w:p w14:paraId="6DFAC8D8">
            <w:pPr>
              <w:jc w:val="center"/>
              <w:rPr>
                <w:rFonts w:ascii="宋体" w:hAnsi="宋体" w:cs="宋体"/>
                <w:szCs w:val="21"/>
              </w:rPr>
            </w:pPr>
          </w:p>
        </w:tc>
      </w:tr>
      <w:tr w14:paraId="42DF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6" w:type="dxa"/>
            <w:gridSpan w:val="8"/>
            <w:vAlign w:val="center"/>
          </w:tcPr>
          <w:p w14:paraId="7D8F1D9C">
            <w:pPr>
              <w:rPr>
                <w:rFonts w:ascii="宋体" w:hAnsi="宋体" w:cs="宋体"/>
                <w:szCs w:val="21"/>
              </w:rPr>
            </w:pPr>
            <w:r>
              <w:rPr>
                <w:rFonts w:hint="eastAsia" w:ascii="宋体" w:hAnsi="宋体" w:cs="宋体"/>
                <w:b/>
                <w:bCs/>
                <w:szCs w:val="21"/>
              </w:rPr>
              <w:t>说明：同一职务有多人担任（如主要技术人员），应分行填写。</w:t>
            </w:r>
          </w:p>
        </w:tc>
      </w:tr>
      <w:tr w14:paraId="1833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526" w:type="dxa"/>
            <w:gridSpan w:val="8"/>
            <w:vAlign w:val="center"/>
          </w:tcPr>
          <w:p w14:paraId="7029CBFA">
            <w:pPr>
              <w:jc w:val="center"/>
              <w:rPr>
                <w:rFonts w:ascii="宋体" w:hAnsi="宋体" w:cs="宋体"/>
                <w:b/>
                <w:bCs/>
                <w:szCs w:val="21"/>
              </w:rPr>
            </w:pPr>
            <w:r>
              <w:rPr>
                <w:rFonts w:hint="eastAsia" w:ascii="宋体" w:hAnsi="宋体" w:cs="宋体"/>
                <w:b/>
                <w:bCs/>
                <w:szCs w:val="21"/>
              </w:rPr>
              <w:t>投标（响应）供应商关联关系情况</w:t>
            </w:r>
          </w:p>
        </w:tc>
      </w:tr>
      <w:tr w14:paraId="01DB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bottom w:val="single" w:color="auto" w:sz="4" w:space="0"/>
            </w:tcBorders>
            <w:vAlign w:val="center"/>
          </w:tcPr>
          <w:p w14:paraId="76CF0616">
            <w:pPr>
              <w:jc w:val="center"/>
              <w:rPr>
                <w:rFonts w:ascii="宋体" w:hAnsi="宋体" w:cs="宋体"/>
                <w:szCs w:val="21"/>
              </w:rPr>
            </w:pPr>
            <w:r>
              <w:rPr>
                <w:rFonts w:hint="eastAsia" w:ascii="宋体" w:hAnsi="宋体" w:cs="宋体"/>
                <w:szCs w:val="21"/>
              </w:rPr>
              <w:t>序号</w:t>
            </w:r>
          </w:p>
        </w:tc>
        <w:tc>
          <w:tcPr>
            <w:tcW w:w="2175" w:type="dxa"/>
            <w:gridSpan w:val="2"/>
            <w:tcBorders>
              <w:bottom w:val="single" w:color="auto" w:sz="4" w:space="0"/>
            </w:tcBorders>
            <w:vAlign w:val="center"/>
          </w:tcPr>
          <w:p w14:paraId="44428C4D">
            <w:pPr>
              <w:jc w:val="center"/>
              <w:rPr>
                <w:rFonts w:ascii="宋体" w:hAnsi="宋体" w:cs="宋体"/>
                <w:szCs w:val="21"/>
              </w:rPr>
            </w:pPr>
            <w:r>
              <w:rPr>
                <w:rFonts w:hint="eastAsia" w:ascii="宋体" w:hAnsi="宋体" w:cs="宋体"/>
                <w:szCs w:val="21"/>
              </w:rPr>
              <w:t>关联关系类型</w:t>
            </w:r>
          </w:p>
        </w:tc>
        <w:tc>
          <w:tcPr>
            <w:tcW w:w="1656" w:type="dxa"/>
            <w:gridSpan w:val="2"/>
            <w:tcBorders>
              <w:bottom w:val="single" w:color="auto" w:sz="4" w:space="0"/>
            </w:tcBorders>
            <w:vAlign w:val="center"/>
          </w:tcPr>
          <w:p w14:paraId="3EA73726">
            <w:pPr>
              <w:jc w:val="center"/>
              <w:rPr>
                <w:rFonts w:ascii="宋体" w:hAnsi="宋体" w:cs="宋体"/>
                <w:szCs w:val="21"/>
              </w:rPr>
            </w:pPr>
            <w:r>
              <w:rPr>
                <w:rFonts w:hint="eastAsia" w:ascii="宋体" w:hAnsi="宋体" w:cs="宋体"/>
                <w:szCs w:val="21"/>
              </w:rPr>
              <w:t>关联主体名称</w:t>
            </w:r>
          </w:p>
        </w:tc>
        <w:tc>
          <w:tcPr>
            <w:tcW w:w="3995" w:type="dxa"/>
            <w:gridSpan w:val="3"/>
            <w:tcBorders>
              <w:bottom w:val="single" w:color="auto" w:sz="4" w:space="0"/>
            </w:tcBorders>
            <w:vAlign w:val="center"/>
          </w:tcPr>
          <w:p w14:paraId="0E2305CB">
            <w:pPr>
              <w:jc w:val="center"/>
              <w:rPr>
                <w:rFonts w:ascii="宋体" w:hAnsi="宋体" w:cs="宋体"/>
                <w:szCs w:val="21"/>
              </w:rPr>
            </w:pPr>
            <w:r>
              <w:rPr>
                <w:rFonts w:hint="eastAsia" w:ascii="宋体" w:hAnsi="宋体" w:cs="宋体"/>
                <w:szCs w:val="21"/>
              </w:rPr>
              <w:t>备注</w:t>
            </w:r>
          </w:p>
        </w:tc>
      </w:tr>
      <w:tr w14:paraId="028A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vAlign w:val="center"/>
          </w:tcPr>
          <w:p w14:paraId="7426EA57">
            <w:pPr>
              <w:jc w:val="center"/>
              <w:rPr>
                <w:rFonts w:ascii="宋体" w:hAnsi="宋体" w:cs="宋体"/>
                <w:szCs w:val="21"/>
              </w:rPr>
            </w:pPr>
            <w:r>
              <w:rPr>
                <w:rFonts w:hint="eastAsia" w:ascii="宋体" w:hAnsi="宋体" w:cs="宋体"/>
                <w:szCs w:val="21"/>
              </w:rPr>
              <w:t>1</w:t>
            </w:r>
          </w:p>
        </w:tc>
        <w:tc>
          <w:tcPr>
            <w:tcW w:w="2175" w:type="dxa"/>
            <w:gridSpan w:val="2"/>
            <w:tcBorders>
              <w:top w:val="single" w:color="auto" w:sz="4" w:space="0"/>
              <w:left w:val="single" w:color="auto" w:sz="4" w:space="0"/>
              <w:bottom w:val="single" w:color="auto" w:sz="4" w:space="0"/>
              <w:right w:val="single" w:color="auto" w:sz="4" w:space="0"/>
            </w:tcBorders>
            <w:vAlign w:val="center"/>
          </w:tcPr>
          <w:p w14:paraId="6BF4C196">
            <w:pPr>
              <w:jc w:val="center"/>
              <w:rPr>
                <w:rFonts w:ascii="宋体" w:hAnsi="宋体" w:cs="宋体"/>
                <w:szCs w:val="21"/>
              </w:rPr>
            </w:pPr>
            <w:r>
              <w:rPr>
                <w:rFonts w:hint="eastAsia" w:ascii="宋体" w:hAnsi="宋体" w:cs="宋体"/>
                <w:szCs w:val="21"/>
              </w:rPr>
              <w:t>控股股东</w:t>
            </w:r>
          </w:p>
        </w:tc>
        <w:tc>
          <w:tcPr>
            <w:tcW w:w="1656" w:type="dxa"/>
            <w:gridSpan w:val="2"/>
            <w:tcBorders>
              <w:top w:val="single" w:color="auto" w:sz="4" w:space="0"/>
              <w:left w:val="single" w:color="auto" w:sz="4" w:space="0"/>
              <w:bottom w:val="single" w:color="auto" w:sz="4" w:space="0"/>
              <w:right w:val="single" w:color="auto" w:sz="4" w:space="0"/>
            </w:tcBorders>
            <w:vAlign w:val="center"/>
          </w:tcPr>
          <w:p w14:paraId="1AEC67E0">
            <w:pPr>
              <w:jc w:val="center"/>
              <w:rPr>
                <w:rFonts w:ascii="宋体" w:hAnsi="宋体" w:cs="宋体"/>
                <w:szCs w:val="21"/>
              </w:rPr>
            </w:pP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029E5501">
            <w:pPr>
              <w:snapToGrid w:val="0"/>
              <w:rPr>
                <w:rFonts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84B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00" w:type="dxa"/>
            <w:tcBorders>
              <w:top w:val="single" w:color="auto" w:sz="4" w:space="0"/>
              <w:left w:val="single" w:color="auto" w:sz="4" w:space="0"/>
              <w:bottom w:val="single" w:color="auto" w:sz="4" w:space="0"/>
              <w:right w:val="single" w:color="auto" w:sz="4" w:space="0"/>
            </w:tcBorders>
            <w:vAlign w:val="center"/>
          </w:tcPr>
          <w:p w14:paraId="6972A5D9">
            <w:pPr>
              <w:jc w:val="center"/>
              <w:rPr>
                <w:rFonts w:ascii="宋体" w:hAnsi="宋体" w:cs="宋体"/>
                <w:szCs w:val="21"/>
              </w:rPr>
            </w:pPr>
            <w:r>
              <w:rPr>
                <w:rFonts w:hint="eastAsia" w:ascii="宋体" w:hAnsi="宋体" w:cs="宋体"/>
                <w:szCs w:val="21"/>
              </w:rPr>
              <w:t>2</w:t>
            </w:r>
          </w:p>
        </w:tc>
        <w:tc>
          <w:tcPr>
            <w:tcW w:w="2175" w:type="dxa"/>
            <w:gridSpan w:val="2"/>
            <w:tcBorders>
              <w:top w:val="single" w:color="auto" w:sz="4" w:space="0"/>
              <w:left w:val="single" w:color="auto" w:sz="4" w:space="0"/>
              <w:bottom w:val="single" w:color="auto" w:sz="4" w:space="0"/>
              <w:right w:val="single" w:color="auto" w:sz="4" w:space="0"/>
            </w:tcBorders>
            <w:vAlign w:val="center"/>
          </w:tcPr>
          <w:p w14:paraId="4ABFCA4D">
            <w:pPr>
              <w:jc w:val="center"/>
              <w:rPr>
                <w:rFonts w:ascii="宋体" w:hAnsi="宋体" w:cs="宋体"/>
                <w:szCs w:val="21"/>
              </w:rPr>
            </w:pPr>
            <w:r>
              <w:rPr>
                <w:rFonts w:hint="eastAsia" w:ascii="宋体" w:hAnsi="宋体" w:cs="宋体"/>
                <w:szCs w:val="21"/>
              </w:rPr>
              <w:t>管理关系</w:t>
            </w:r>
          </w:p>
        </w:tc>
        <w:tc>
          <w:tcPr>
            <w:tcW w:w="1656" w:type="dxa"/>
            <w:gridSpan w:val="2"/>
            <w:tcBorders>
              <w:top w:val="single" w:color="auto" w:sz="4" w:space="0"/>
              <w:left w:val="single" w:color="auto" w:sz="4" w:space="0"/>
              <w:bottom w:val="single" w:color="auto" w:sz="4" w:space="0"/>
              <w:right w:val="single" w:color="auto" w:sz="4" w:space="0"/>
            </w:tcBorders>
            <w:vAlign w:val="center"/>
          </w:tcPr>
          <w:p w14:paraId="1D2E5715">
            <w:pPr>
              <w:jc w:val="center"/>
              <w:rPr>
                <w:rFonts w:ascii="宋体" w:hAnsi="宋体" w:cs="宋体"/>
                <w:szCs w:val="21"/>
              </w:rPr>
            </w:pP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1158C8EF">
            <w:pPr>
              <w:snapToGrid w:val="0"/>
              <w:rPr>
                <w:rFonts w:ascii="宋体" w:hAnsi="宋体" w:cs="宋体"/>
                <w:szCs w:val="21"/>
              </w:rPr>
            </w:pPr>
            <w:r>
              <w:rPr>
                <w:rFonts w:hint="eastAsia" w:ascii="宋体" w:hAnsi="宋体" w:cs="宋体"/>
                <w:szCs w:val="21"/>
              </w:rPr>
              <w:t>指对投标（响应）供应商不具有出资持股关系，但对其存在管理关系的主体。</w:t>
            </w:r>
          </w:p>
        </w:tc>
      </w:tr>
      <w:tr w14:paraId="4FF9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26" w:type="dxa"/>
            <w:gridSpan w:val="8"/>
            <w:tcBorders>
              <w:top w:val="single" w:color="auto" w:sz="4" w:space="0"/>
              <w:left w:val="single" w:color="auto" w:sz="4" w:space="0"/>
              <w:bottom w:val="single" w:color="auto" w:sz="4" w:space="0"/>
              <w:right w:val="single" w:color="auto" w:sz="4" w:space="0"/>
            </w:tcBorders>
            <w:vAlign w:val="center"/>
          </w:tcPr>
          <w:p w14:paraId="3310B0CC">
            <w:pPr>
              <w:snapToGrid w:val="0"/>
              <w:rPr>
                <w:rFonts w:ascii="宋体" w:hAnsi="宋体" w:cs="宋体"/>
                <w:szCs w:val="21"/>
              </w:rPr>
            </w:pPr>
            <w:r>
              <w:rPr>
                <w:rFonts w:hint="eastAsia" w:ascii="宋体" w:hAnsi="宋体" w:cs="宋体"/>
                <w:b/>
                <w:bCs/>
                <w:szCs w:val="21"/>
              </w:rPr>
              <w:t>说明：同一关联关系类型有多个主体的，应分行填写。</w:t>
            </w:r>
          </w:p>
        </w:tc>
      </w:tr>
    </w:tbl>
    <w:p w14:paraId="7FEA4C1C">
      <w:pPr>
        <w:pStyle w:val="55"/>
        <w:rPr>
          <w:rFonts w:ascii="宋体" w:hAnsi="宋体"/>
          <w:b/>
          <w:color w:val="FF0000"/>
          <w:sz w:val="28"/>
          <w:szCs w:val="28"/>
        </w:rPr>
      </w:pPr>
    </w:p>
    <w:p w14:paraId="0105E28D">
      <w:pPr>
        <w:snapToGrid w:val="0"/>
        <w:spacing w:line="360" w:lineRule="auto"/>
        <w:ind w:firstLine="470" w:firstLineChars="200"/>
        <w:rPr>
          <w:rFonts w:ascii="仿宋" w:hAnsi="仿宋" w:eastAsia="仿宋" w:cs="仿宋"/>
          <w:b/>
          <w:bCs/>
          <w:color w:val="FF0000"/>
          <w:spacing w:val="-3"/>
          <w:sz w:val="24"/>
        </w:rPr>
      </w:pPr>
      <w:r>
        <w:rPr>
          <w:rFonts w:hint="eastAsia" w:ascii="仿宋" w:hAnsi="仿宋" w:eastAsia="仿宋" w:cs="仿宋"/>
          <w:b/>
          <w:bCs/>
          <w:color w:val="FF0000"/>
          <w:spacing w:val="-3"/>
          <w:sz w:val="24"/>
        </w:rPr>
        <w:t>注：投标人务必完整填写上述《供应商基本情况表》中的相关信息，如无对应人员或内容的，应填写“无”，否则引起的不利后果由其自行承担。</w:t>
      </w:r>
    </w:p>
    <w:p w14:paraId="70952E85">
      <w:pPr>
        <w:pStyle w:val="23"/>
        <w:numPr>
          <w:ilvl w:val="255"/>
          <w:numId w:val="0"/>
        </w:numPr>
        <w:spacing w:line="360" w:lineRule="auto"/>
        <w:ind w:firstLine="478" w:firstLineChars="200"/>
        <w:rPr>
          <w:rFonts w:ascii="仿宋" w:hAnsi="仿宋" w:eastAsia="仿宋" w:cs="仿宋"/>
          <w:b/>
          <w:bCs/>
          <w:color w:val="FF0000"/>
          <w:spacing w:val="-1"/>
          <w:sz w:val="24"/>
          <w:szCs w:val="24"/>
        </w:rPr>
      </w:pPr>
      <w:r>
        <w:rPr>
          <w:rFonts w:hint="eastAsia" w:ascii="仿宋" w:hAnsi="仿宋" w:eastAsia="仿宋" w:cs="仿宋"/>
          <w:b/>
          <w:bCs/>
          <w:color w:val="FF0000"/>
          <w:spacing w:val="-1"/>
          <w:sz w:val="24"/>
          <w:szCs w:val="24"/>
        </w:rPr>
        <w:t>请提供上述人员最近一个月社保缴纳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w:t>
      </w:r>
      <w:r>
        <w:rPr>
          <w:rFonts w:hint="eastAsia" w:ascii="仿宋" w:hAnsi="仿宋" w:eastAsia="仿宋" w:cs="仿宋"/>
          <w:b/>
          <w:bCs/>
          <w:color w:val="FF0000"/>
          <w:spacing w:val="-1"/>
          <w:sz w:val="24"/>
          <w:szCs w:val="24"/>
          <w:highlight w:val="yellow"/>
        </w:rPr>
        <w:t>如为退休返聘人员提供退休证明和聘用合同。</w:t>
      </w:r>
      <w:r>
        <w:rPr>
          <w:rFonts w:hint="eastAsia" w:ascii="仿宋" w:hAnsi="仿宋" w:eastAsia="仿宋" w:cs="仿宋"/>
          <w:b/>
          <w:bCs/>
          <w:color w:val="FF0000"/>
          <w:spacing w:val="-1"/>
          <w:sz w:val="24"/>
          <w:szCs w:val="24"/>
        </w:rPr>
        <w:t>如本项目未安排项目投标授权代表人、项目负责人、主要技术人员的，无需提供投标授权代表人、项目负责人、主要技术人员的社会保险证明）。</w:t>
      </w:r>
    </w:p>
    <w:p w14:paraId="329BC31A">
      <w:pPr>
        <w:snapToGrid w:val="0"/>
        <w:spacing w:line="360" w:lineRule="auto"/>
        <w:ind w:firstLine="470" w:firstLineChars="200"/>
        <w:rPr>
          <w:rFonts w:ascii="仿宋" w:hAnsi="仿宋" w:eastAsia="仿宋" w:cs="仿宋"/>
          <w:b/>
          <w:bCs/>
          <w:color w:val="FF0000"/>
          <w:spacing w:val="-3"/>
          <w:sz w:val="24"/>
          <w:highlight w:val="yellow"/>
        </w:rPr>
      </w:pPr>
      <w:r>
        <w:rPr>
          <w:rFonts w:hint="eastAsia" w:ascii="仿宋" w:hAnsi="仿宋" w:eastAsia="仿宋" w:cs="仿宋"/>
          <w:b/>
          <w:bCs/>
          <w:color w:val="FF0000"/>
          <w:spacing w:val="-3"/>
          <w:sz w:val="24"/>
          <w:highlight w:val="yellow"/>
        </w:rPr>
        <w:t>投标时需提供以下附件，该要求作为供应商资格性审查的证明材料。如未提供，视为未提供资格审查的相关证明材料，按资格审查不通过处理。</w:t>
      </w:r>
    </w:p>
    <w:p w14:paraId="38DD86B8">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1、法定代表人/单位负责人/主要经营负责人</w:t>
      </w:r>
    </w:p>
    <w:p w14:paraId="42DDB900">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姓名：</w:t>
      </w:r>
      <w:r>
        <w:rPr>
          <w:rFonts w:hint="eastAsia" w:ascii="仿宋" w:hAnsi="仿宋" w:eastAsia="仿宋" w:cs="仿宋"/>
          <w:b/>
          <w:bCs/>
          <w:spacing w:val="-3"/>
          <w:sz w:val="24"/>
          <w:u w:val="single"/>
        </w:rPr>
        <w:t xml:space="preserve">         </w:t>
      </w:r>
    </w:p>
    <w:p w14:paraId="1C0B6274">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最近一个月的社保缴纳证明：</w:t>
      </w:r>
    </w:p>
    <w:p w14:paraId="259BA456">
      <w:pPr>
        <w:snapToGrid w:val="0"/>
        <w:spacing w:line="360" w:lineRule="auto"/>
        <w:rPr>
          <w:rFonts w:ascii="宋体" w:hAnsi="宋体" w:cs="宋体"/>
          <w:bCs/>
          <w:sz w:val="24"/>
        </w:rPr>
      </w:pPr>
    </w:p>
    <w:p w14:paraId="0DE0D084">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2、项目投标授权代表人（如有）</w:t>
      </w:r>
    </w:p>
    <w:p w14:paraId="72CF6FF0">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姓名：</w:t>
      </w:r>
      <w:r>
        <w:rPr>
          <w:rFonts w:hint="eastAsia" w:ascii="仿宋" w:hAnsi="仿宋" w:eastAsia="仿宋" w:cs="仿宋"/>
          <w:b/>
          <w:bCs/>
          <w:spacing w:val="-3"/>
          <w:sz w:val="24"/>
          <w:u w:val="single"/>
        </w:rPr>
        <w:t xml:space="preserve">         </w:t>
      </w:r>
    </w:p>
    <w:p w14:paraId="22C89753">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最近一个月的社保缴纳证明：</w:t>
      </w:r>
    </w:p>
    <w:p w14:paraId="3631D571">
      <w:pPr>
        <w:snapToGrid w:val="0"/>
        <w:spacing w:line="360" w:lineRule="auto"/>
        <w:rPr>
          <w:rFonts w:ascii="宋体" w:hAnsi="宋体" w:cs="宋体"/>
          <w:bCs/>
          <w:sz w:val="24"/>
        </w:rPr>
      </w:pPr>
    </w:p>
    <w:p w14:paraId="66600B40">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3、项目负责人（如有）</w:t>
      </w:r>
    </w:p>
    <w:p w14:paraId="48D33467">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姓名：</w:t>
      </w:r>
      <w:r>
        <w:rPr>
          <w:rFonts w:hint="eastAsia" w:ascii="仿宋" w:hAnsi="仿宋" w:eastAsia="仿宋" w:cs="仿宋"/>
          <w:b/>
          <w:bCs/>
          <w:spacing w:val="-3"/>
          <w:sz w:val="24"/>
          <w:u w:val="single"/>
        </w:rPr>
        <w:t xml:space="preserve">         </w:t>
      </w:r>
    </w:p>
    <w:p w14:paraId="619F5D60">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最近一个月的社保缴纳证明：</w:t>
      </w:r>
    </w:p>
    <w:p w14:paraId="52D8C170">
      <w:pPr>
        <w:snapToGrid w:val="0"/>
        <w:spacing w:line="360" w:lineRule="auto"/>
        <w:rPr>
          <w:rFonts w:ascii="宋体" w:hAnsi="宋体" w:cs="宋体"/>
          <w:bCs/>
          <w:sz w:val="24"/>
        </w:rPr>
      </w:pPr>
    </w:p>
    <w:p w14:paraId="7D35365C">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4、主要技术人员（如有多人担任，应分行填写）</w:t>
      </w:r>
    </w:p>
    <w:p w14:paraId="631A5382">
      <w:pPr>
        <w:snapToGrid w:val="0"/>
        <w:spacing w:line="360" w:lineRule="auto"/>
        <w:rPr>
          <w:rFonts w:ascii="仿宋" w:hAnsi="仿宋" w:eastAsia="仿宋" w:cs="仿宋"/>
          <w:b/>
          <w:bCs/>
          <w:spacing w:val="-3"/>
          <w:sz w:val="24"/>
          <w:u w:val="single"/>
        </w:rPr>
      </w:pPr>
      <w:r>
        <w:rPr>
          <w:rFonts w:hint="eastAsia" w:ascii="仿宋" w:hAnsi="仿宋" w:eastAsia="仿宋" w:cs="仿宋"/>
          <w:b/>
          <w:bCs/>
          <w:spacing w:val="-3"/>
          <w:sz w:val="24"/>
        </w:rPr>
        <w:t>姓名：</w:t>
      </w:r>
      <w:r>
        <w:rPr>
          <w:rFonts w:hint="eastAsia" w:ascii="仿宋" w:hAnsi="仿宋" w:eastAsia="仿宋" w:cs="仿宋"/>
          <w:b/>
          <w:bCs/>
          <w:spacing w:val="-3"/>
          <w:sz w:val="24"/>
          <w:u w:val="single"/>
        </w:rPr>
        <w:t xml:space="preserve">         </w:t>
      </w:r>
    </w:p>
    <w:p w14:paraId="52D9867C">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最近一个月的社保缴纳证明：</w:t>
      </w:r>
    </w:p>
    <w:p w14:paraId="42183946">
      <w:pPr>
        <w:snapToGrid w:val="0"/>
        <w:spacing w:line="360" w:lineRule="auto"/>
        <w:rPr>
          <w:rFonts w:ascii="宋体" w:hAnsi="宋体" w:cs="宋体"/>
          <w:bCs/>
          <w:sz w:val="24"/>
        </w:rPr>
      </w:pPr>
    </w:p>
    <w:p w14:paraId="14A5218D">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 xml:space="preserve">5、投标文件编制人员（如有多人担任，应分行填写） </w:t>
      </w:r>
    </w:p>
    <w:p w14:paraId="4FAF6C6D">
      <w:pPr>
        <w:snapToGrid w:val="0"/>
        <w:spacing w:line="360" w:lineRule="auto"/>
        <w:rPr>
          <w:rFonts w:ascii="仿宋" w:hAnsi="仿宋" w:eastAsia="仿宋" w:cs="仿宋"/>
          <w:b/>
          <w:bCs/>
          <w:spacing w:val="-3"/>
          <w:sz w:val="24"/>
          <w:u w:val="single"/>
        </w:rPr>
      </w:pPr>
      <w:r>
        <w:rPr>
          <w:rFonts w:hint="eastAsia" w:ascii="仿宋" w:hAnsi="仿宋" w:eastAsia="仿宋" w:cs="仿宋"/>
          <w:b/>
          <w:bCs/>
          <w:spacing w:val="-3"/>
          <w:sz w:val="24"/>
        </w:rPr>
        <w:t>姓名：</w:t>
      </w:r>
      <w:r>
        <w:rPr>
          <w:rFonts w:hint="eastAsia" w:ascii="仿宋" w:hAnsi="仿宋" w:eastAsia="仿宋" w:cs="仿宋"/>
          <w:b/>
          <w:bCs/>
          <w:spacing w:val="-3"/>
          <w:sz w:val="24"/>
          <w:u w:val="single"/>
        </w:rPr>
        <w:t xml:space="preserve">         </w:t>
      </w:r>
    </w:p>
    <w:p w14:paraId="1AA6EE11">
      <w:pPr>
        <w:snapToGrid w:val="0"/>
        <w:spacing w:line="360" w:lineRule="auto"/>
        <w:rPr>
          <w:rFonts w:ascii="仿宋" w:hAnsi="仿宋" w:eastAsia="仿宋" w:cs="仿宋"/>
          <w:b/>
          <w:bCs/>
          <w:spacing w:val="-3"/>
          <w:sz w:val="24"/>
        </w:rPr>
      </w:pPr>
      <w:r>
        <w:rPr>
          <w:rFonts w:hint="eastAsia" w:ascii="仿宋" w:hAnsi="仿宋" w:eastAsia="仿宋" w:cs="仿宋"/>
          <w:b/>
          <w:bCs/>
          <w:spacing w:val="-3"/>
          <w:sz w:val="24"/>
        </w:rPr>
        <w:t>最近一个月的社保缴纳证明：</w:t>
      </w:r>
    </w:p>
    <w:p w14:paraId="22129AC5">
      <w:pPr>
        <w:snapToGrid w:val="0"/>
        <w:spacing w:line="360" w:lineRule="auto"/>
        <w:rPr>
          <w:rFonts w:ascii="仿宋" w:hAnsi="仿宋" w:eastAsia="仿宋" w:cs="仿宋"/>
          <w:b/>
          <w:bCs/>
          <w:spacing w:val="-3"/>
          <w:sz w:val="24"/>
        </w:rPr>
      </w:pPr>
    </w:p>
    <w:p w14:paraId="370F1361">
      <w:pPr>
        <w:rPr>
          <w:rFonts w:ascii="仿宋" w:hAnsi="仿宋" w:eastAsia="仿宋" w:cs="仿宋"/>
          <w:color w:val="FF0000"/>
          <w:kern w:val="0"/>
          <w:sz w:val="24"/>
        </w:rPr>
      </w:pPr>
      <w:r>
        <w:rPr>
          <w:rFonts w:hint="eastAsia" w:ascii="仿宋" w:hAnsi="仿宋" w:eastAsia="仿宋" w:cs="仿宋"/>
          <w:b/>
          <w:bCs/>
          <w:spacing w:val="-3"/>
          <w:sz w:val="24"/>
        </w:rPr>
        <w:t>6、企业股权关系证明材料</w:t>
      </w:r>
      <w:r>
        <w:rPr>
          <w:rFonts w:hint="eastAsia" w:ascii="宋体" w:hAnsi="宋体" w:cs="宋体"/>
          <w:b/>
          <w:color w:val="FF0000"/>
          <w:szCs w:val="21"/>
        </w:rPr>
        <w:t>（提供国家企业信用信息公示系统（https://www.gsxt.gov.cn/index.html）或机关赋码和事业单位登记管理网（http://www.gjsy.gov.cn/sydwfrxxcx/）或全国社会组织信用信息公示平台（https://xxgs.chinanpo.mca.gov.cn/gsxt/newList）等网站截图；若企业无股权关系，除提供上述网站截图外，还须提供相关情况说明）</w:t>
      </w:r>
    </w:p>
    <w:p w14:paraId="51F380EC">
      <w:pPr>
        <w:pStyle w:val="23"/>
        <w:adjustRightInd w:val="0"/>
        <w:snapToGrid w:val="0"/>
        <w:spacing w:line="360" w:lineRule="auto"/>
        <w:rPr>
          <w:rFonts w:ascii="仿宋" w:hAnsi="仿宋" w:eastAsia="仿宋" w:cs="仿宋"/>
          <w:color w:val="FF0000"/>
          <w:kern w:val="0"/>
          <w:sz w:val="24"/>
          <w:szCs w:val="24"/>
        </w:rPr>
      </w:pPr>
    </w:p>
    <w:p w14:paraId="57B743AB">
      <w:pPr>
        <w:pStyle w:val="23"/>
        <w:adjustRightInd w:val="0"/>
        <w:snapToGrid w:val="0"/>
        <w:spacing w:line="360" w:lineRule="auto"/>
        <w:rPr>
          <w:rFonts w:hAnsi="宋体"/>
          <w:b/>
          <w:color w:val="FF0000"/>
          <w:sz w:val="28"/>
          <w:szCs w:val="28"/>
        </w:rPr>
      </w:pPr>
      <w:r>
        <w:rPr>
          <w:rFonts w:hint="eastAsia" w:ascii="仿宋" w:hAnsi="仿宋" w:eastAsia="仿宋" w:cs="仿宋"/>
          <w:color w:val="FF0000"/>
          <w:kern w:val="0"/>
          <w:sz w:val="24"/>
          <w:szCs w:val="24"/>
        </w:rPr>
        <w:t>兹证明，上述说明属实，并已提供相应资料和数据，我方同意遵照贵方要求出示有关证明文件。</w:t>
      </w:r>
    </w:p>
    <w:p w14:paraId="31924077">
      <w:pPr>
        <w:rPr>
          <w:rFonts w:ascii="黑体" w:eastAsia="黑体"/>
          <w:sz w:val="24"/>
        </w:rPr>
      </w:pPr>
      <w:r>
        <w:rPr>
          <w:rFonts w:hint="eastAsia" w:ascii="黑体" w:eastAsia="黑体"/>
          <w:sz w:val="24"/>
        </w:rPr>
        <w:br w:type="page"/>
      </w:r>
    </w:p>
    <w:p w14:paraId="5C00BD48">
      <w:pPr>
        <w:pStyle w:val="4"/>
        <w:jc w:val="center"/>
        <w:rPr>
          <w:rFonts w:ascii="黑体" w:eastAsia="黑体"/>
          <w:b w:val="0"/>
          <w:sz w:val="24"/>
        </w:rPr>
      </w:pPr>
      <w:r>
        <w:rPr>
          <w:rFonts w:hint="eastAsia" w:ascii="黑体" w:eastAsia="黑体"/>
          <w:b w:val="0"/>
          <w:sz w:val="24"/>
        </w:rPr>
        <w:t>二、</w:t>
      </w:r>
      <w:bookmarkStart w:id="69" w:name="_Hlk72092499"/>
      <w:r>
        <w:rPr>
          <w:rFonts w:hint="eastAsia" w:ascii="黑体" w:eastAsia="黑体"/>
          <w:b w:val="0"/>
          <w:sz w:val="24"/>
        </w:rPr>
        <w:t>法定代表人（负责人）证明书</w:t>
      </w:r>
      <w:bookmarkEnd w:id="69"/>
    </w:p>
    <w:p w14:paraId="46B09599">
      <w:pPr>
        <w:rPr>
          <w:sz w:val="24"/>
        </w:rPr>
      </w:pPr>
    </w:p>
    <w:p w14:paraId="03CC8775">
      <w:pPr>
        <w:spacing w:line="360" w:lineRule="auto"/>
        <w:ind w:firstLine="420" w:firstLineChars="200"/>
        <w:rPr>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2B6AE533">
      <w:pPr>
        <w:spacing w:line="360" w:lineRule="auto"/>
        <w:ind w:firstLine="420" w:firstLineChars="200"/>
        <w:rPr>
          <w:szCs w:val="21"/>
        </w:rPr>
      </w:pPr>
      <w:r>
        <w:rPr>
          <w:rFonts w:hint="eastAsia"/>
          <w:szCs w:val="21"/>
        </w:rPr>
        <w:t>特此证明。</w:t>
      </w:r>
    </w:p>
    <w:p w14:paraId="1B54510D">
      <w:pPr>
        <w:spacing w:line="360" w:lineRule="auto"/>
        <w:ind w:firstLine="420" w:firstLineChars="200"/>
        <w:rPr>
          <w:szCs w:val="21"/>
        </w:rPr>
      </w:pPr>
      <w:r>
        <w:rPr>
          <w:rFonts w:hint="eastAsia"/>
          <w:szCs w:val="21"/>
        </w:rPr>
        <w:t>说明：1、法定代表人为投标人（企业事业单位、国家机关、社会团体）的主要行政负责人。</w:t>
      </w:r>
    </w:p>
    <w:p w14:paraId="06587EF2">
      <w:pPr>
        <w:numPr>
          <w:ilvl w:val="0"/>
          <w:numId w:val="9"/>
        </w:numPr>
        <w:spacing w:line="360" w:lineRule="auto"/>
        <w:ind w:firstLine="420" w:firstLineChars="200"/>
        <w:rPr>
          <w:szCs w:val="21"/>
        </w:rPr>
      </w:pPr>
      <w:r>
        <w:rPr>
          <w:rFonts w:hint="eastAsia"/>
          <w:szCs w:val="21"/>
        </w:rPr>
        <w:t>本证明书要提供法定代表人（负责人）相关身份证明文件：身份证扫描件（正反两面）；港澳台居民可提供来往通行证扫描件；非中国国籍管辖范围人员，可提供公安部门认可的身份证明材料扫描件。</w:t>
      </w:r>
    </w:p>
    <w:p w14:paraId="0AC9D7BD">
      <w:pPr>
        <w:numPr>
          <w:ilvl w:val="0"/>
          <w:numId w:val="9"/>
        </w:numPr>
        <w:spacing w:line="360" w:lineRule="auto"/>
        <w:ind w:firstLine="420" w:firstLineChars="200"/>
        <w:rPr>
          <w:szCs w:val="21"/>
        </w:rPr>
      </w:pPr>
      <w:r>
        <w:rPr>
          <w:rFonts w:hint="eastAsia"/>
          <w:szCs w:val="21"/>
        </w:rPr>
        <w:t>本项目投标授权代表为法定代表人（负责人）的，无需提供《投标文件签署授权委托书》。</w:t>
      </w:r>
    </w:p>
    <w:p w14:paraId="440222BD">
      <w:pPr>
        <w:numPr>
          <w:ilvl w:val="0"/>
          <w:numId w:val="9"/>
        </w:numPr>
        <w:spacing w:line="360" w:lineRule="auto"/>
        <w:ind w:firstLine="420" w:firstLineChars="200"/>
        <w:rPr>
          <w:szCs w:val="21"/>
        </w:rPr>
      </w:pPr>
      <w:r>
        <w:rPr>
          <w:rFonts w:hint="eastAsia"/>
          <w:szCs w:val="21"/>
        </w:rPr>
        <w:t>内容必须填写真实、清楚，涂改无效，不得转让、买卖。</w:t>
      </w:r>
    </w:p>
    <w:tbl>
      <w:tblPr>
        <w:tblStyle w:val="45"/>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C71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55889DD">
            <w:pPr>
              <w:jc w:val="center"/>
            </w:pPr>
            <w:r>
              <w:rPr>
                <w:rFonts w:hint="eastAsia"/>
              </w:rPr>
              <w:t>证件扫描件正面</w:t>
            </w:r>
          </w:p>
          <w:p w14:paraId="5B80D19F">
            <w:pPr>
              <w:pStyle w:val="18"/>
              <w:jc w:val="center"/>
            </w:pPr>
          </w:p>
          <w:p w14:paraId="02C5EE79">
            <w:pPr>
              <w:pStyle w:val="19"/>
              <w:jc w:val="center"/>
            </w:pPr>
          </w:p>
          <w:p w14:paraId="1390E4AF">
            <w:pPr>
              <w:pStyle w:val="19"/>
              <w:jc w:val="center"/>
            </w:pPr>
          </w:p>
          <w:p w14:paraId="05863AD5">
            <w:pPr>
              <w:pStyle w:val="19"/>
              <w:jc w:val="center"/>
            </w:pPr>
          </w:p>
          <w:p w14:paraId="258C22CF">
            <w:pPr>
              <w:pStyle w:val="19"/>
              <w:jc w:val="center"/>
            </w:pPr>
          </w:p>
          <w:p w14:paraId="6A3FDCA2">
            <w:pPr>
              <w:pStyle w:val="19"/>
              <w:jc w:val="center"/>
            </w:pPr>
          </w:p>
          <w:p w14:paraId="1D16204E">
            <w:pPr>
              <w:pStyle w:val="19"/>
              <w:jc w:val="center"/>
            </w:pPr>
          </w:p>
        </w:tc>
        <w:tc>
          <w:tcPr>
            <w:tcW w:w="4265" w:type="dxa"/>
          </w:tcPr>
          <w:p w14:paraId="3D5AED55">
            <w:pPr>
              <w:jc w:val="center"/>
            </w:pPr>
            <w:r>
              <w:rPr>
                <w:rFonts w:hint="eastAsia"/>
              </w:rPr>
              <w:t>证件扫描件反面</w:t>
            </w:r>
          </w:p>
          <w:p w14:paraId="7C0A6823">
            <w:pPr>
              <w:pStyle w:val="18"/>
              <w:jc w:val="center"/>
            </w:pPr>
          </w:p>
          <w:p w14:paraId="524C2AD5">
            <w:pPr>
              <w:pStyle w:val="19"/>
              <w:jc w:val="center"/>
            </w:pPr>
          </w:p>
        </w:tc>
      </w:tr>
    </w:tbl>
    <w:p w14:paraId="5B6CFAE1">
      <w:pPr>
        <w:rPr>
          <w:sz w:val="24"/>
        </w:rPr>
      </w:pPr>
    </w:p>
    <w:p w14:paraId="458CD30B">
      <w:pPr>
        <w:pStyle w:val="55"/>
        <w:rPr>
          <w:sz w:val="24"/>
        </w:rPr>
        <w:sectPr>
          <w:pgSz w:w="11907" w:h="16840"/>
          <w:pgMar w:top="1440" w:right="1797" w:bottom="1440" w:left="1797" w:header="851" w:footer="992" w:gutter="0"/>
          <w:pgNumType w:fmt="decimal"/>
          <w:cols w:space="425" w:num="1"/>
          <w:titlePg/>
          <w:docGrid w:linePitch="462" w:charSpace="0"/>
        </w:sect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456EA5F0">
      <w:pPr>
        <w:pStyle w:val="4"/>
        <w:spacing w:before="120" w:after="120"/>
        <w:jc w:val="center"/>
        <w:rPr>
          <w:rFonts w:ascii="黑体" w:eastAsia="黑体"/>
          <w:b w:val="0"/>
          <w:sz w:val="24"/>
        </w:rPr>
      </w:pPr>
      <w:r>
        <w:rPr>
          <w:rFonts w:hint="eastAsia" w:ascii="黑体" w:eastAsia="黑体"/>
          <w:b w:val="0"/>
          <w:sz w:val="24"/>
        </w:rPr>
        <w:t>三、投标文件签署授权委托书</w:t>
      </w:r>
    </w:p>
    <w:p w14:paraId="578AA95D">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3FDF0282">
      <w:pPr>
        <w:spacing w:line="360" w:lineRule="auto"/>
        <w:ind w:firstLine="420" w:firstLineChars="200"/>
        <w:rPr>
          <w:szCs w:val="21"/>
        </w:rPr>
      </w:pPr>
      <w:r>
        <w:rPr>
          <w:rFonts w:hint="eastAsia"/>
          <w:szCs w:val="21"/>
        </w:rPr>
        <w:t>代理人无转委托权，特此委托。</w:t>
      </w:r>
    </w:p>
    <w:p w14:paraId="52949845">
      <w:pPr>
        <w:spacing w:line="360" w:lineRule="auto"/>
        <w:ind w:firstLine="420" w:firstLineChars="200"/>
        <w:rPr>
          <w:szCs w:val="21"/>
        </w:rPr>
      </w:pPr>
    </w:p>
    <w:p w14:paraId="1549D7DA">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7CFE1F0D">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11EA005D">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14:paraId="6A895D79">
      <w:pPr>
        <w:spacing w:line="360" w:lineRule="auto"/>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1498D94F">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5"/>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F21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81DA837">
            <w:pPr>
              <w:jc w:val="center"/>
            </w:pPr>
            <w:r>
              <w:rPr>
                <w:rFonts w:hint="eastAsia"/>
              </w:rPr>
              <w:t>证件扫描件正面</w:t>
            </w:r>
          </w:p>
          <w:p w14:paraId="1A2E4BB9">
            <w:pPr>
              <w:pStyle w:val="18"/>
              <w:jc w:val="center"/>
            </w:pPr>
          </w:p>
          <w:p w14:paraId="3E148053">
            <w:pPr>
              <w:pStyle w:val="19"/>
              <w:jc w:val="center"/>
            </w:pPr>
          </w:p>
          <w:p w14:paraId="34F372DE">
            <w:pPr>
              <w:pStyle w:val="19"/>
              <w:jc w:val="center"/>
            </w:pPr>
          </w:p>
          <w:p w14:paraId="56103313">
            <w:pPr>
              <w:pStyle w:val="19"/>
              <w:jc w:val="center"/>
            </w:pPr>
          </w:p>
          <w:p w14:paraId="53BF11C6">
            <w:pPr>
              <w:pStyle w:val="19"/>
              <w:jc w:val="center"/>
            </w:pPr>
          </w:p>
          <w:p w14:paraId="22941357">
            <w:pPr>
              <w:pStyle w:val="19"/>
              <w:jc w:val="center"/>
            </w:pPr>
          </w:p>
          <w:p w14:paraId="3B6DE7A7">
            <w:pPr>
              <w:pStyle w:val="19"/>
              <w:jc w:val="center"/>
            </w:pPr>
          </w:p>
        </w:tc>
        <w:tc>
          <w:tcPr>
            <w:tcW w:w="4265" w:type="dxa"/>
          </w:tcPr>
          <w:p w14:paraId="4BADCC26">
            <w:pPr>
              <w:jc w:val="center"/>
            </w:pPr>
            <w:r>
              <w:rPr>
                <w:rFonts w:hint="eastAsia"/>
              </w:rPr>
              <w:t>证件扫描件反面</w:t>
            </w:r>
          </w:p>
          <w:p w14:paraId="7824F05D">
            <w:pPr>
              <w:pStyle w:val="18"/>
              <w:jc w:val="center"/>
            </w:pPr>
          </w:p>
          <w:p w14:paraId="4CC79920">
            <w:pPr>
              <w:pStyle w:val="19"/>
              <w:jc w:val="center"/>
            </w:pPr>
          </w:p>
        </w:tc>
      </w:tr>
    </w:tbl>
    <w:p w14:paraId="10469D88">
      <w:pPr>
        <w:rPr>
          <w:rFonts w:ascii="黑体" w:hAnsi="黑体" w:eastAsia="黑体" w:cs="黑体"/>
          <w:b/>
          <w:bCs/>
          <w:sz w:val="24"/>
        </w:rPr>
      </w:pPr>
    </w:p>
    <w:p w14:paraId="4CCCACFD">
      <w:pPr>
        <w:rPr>
          <w:rFonts w:ascii="Calibri" w:hAnsi="Calibri"/>
          <w:szCs w:val="22"/>
        </w:rPr>
      </w:pPr>
      <w:r>
        <w:rPr>
          <w:rFonts w:hint="eastAsia" w:ascii="黑体" w:hAnsi="黑体" w:eastAsia="黑体" w:cs="黑体"/>
          <w:b/>
          <w:bCs/>
          <w:sz w:val="24"/>
        </w:rPr>
        <w:t>温馨提示</w:t>
      </w:r>
      <w:r>
        <w:rPr>
          <w:rFonts w:hint="eastAsia" w:ascii="黑体" w:hAnsi="黑体" w:eastAsia="黑体" w:cs="黑体"/>
          <w:sz w:val="24"/>
        </w:rPr>
        <w:t>：</w:t>
      </w:r>
      <w:r>
        <w:rPr>
          <w:rFonts w:hint="eastAsia"/>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3EFECC95">
      <w:pPr>
        <w:rPr>
          <w:rFonts w:ascii="Calibri" w:hAnsi="Calibri"/>
          <w:szCs w:val="22"/>
        </w:rPr>
      </w:pPr>
    </w:p>
    <w:p w14:paraId="7203CA79">
      <w:pPr>
        <w:rPr>
          <w:rFonts w:ascii="Calibri" w:hAnsi="Calibri"/>
          <w:szCs w:val="22"/>
        </w:rPr>
      </w:pPr>
    </w:p>
    <w:p w14:paraId="3B35A714">
      <w:pPr>
        <w:rPr>
          <w:rFonts w:ascii="Calibri" w:hAnsi="Calibri"/>
          <w:szCs w:val="22"/>
        </w:rPr>
      </w:pPr>
    </w:p>
    <w:p w14:paraId="54A5E41A">
      <w:pPr>
        <w:rPr>
          <w:rFonts w:ascii="黑体" w:eastAsia="黑体"/>
          <w:kern w:val="0"/>
          <w:sz w:val="24"/>
        </w:rPr>
      </w:pPr>
    </w:p>
    <w:p w14:paraId="422BC6EC">
      <w:pPr>
        <w:pStyle w:val="55"/>
        <w:rPr>
          <w:rFonts w:ascii="黑体" w:eastAsia="黑体"/>
          <w:kern w:val="0"/>
          <w:sz w:val="24"/>
          <w:szCs w:val="24"/>
        </w:rPr>
        <w:sectPr>
          <w:pgSz w:w="11907" w:h="16840"/>
          <w:pgMar w:top="1440" w:right="1797" w:bottom="1440" w:left="1797" w:header="851" w:footer="992" w:gutter="0"/>
          <w:pgNumType w:fmt="decimal"/>
          <w:cols w:space="425" w:num="1"/>
          <w:titlePg/>
          <w:docGrid w:linePitch="462" w:charSpace="0"/>
        </w:sectPr>
      </w:pPr>
    </w:p>
    <w:p w14:paraId="77D4B775">
      <w:pPr>
        <w:pStyle w:val="4"/>
        <w:jc w:val="center"/>
        <w:rPr>
          <w:rFonts w:ascii="黑体" w:eastAsia="黑体"/>
          <w:b w:val="0"/>
          <w:kern w:val="0"/>
          <w:sz w:val="24"/>
          <w:szCs w:val="24"/>
        </w:rPr>
      </w:pPr>
      <w:r>
        <w:rPr>
          <w:rFonts w:hint="eastAsia" w:ascii="黑体" w:eastAsia="黑体"/>
          <w:b w:val="0"/>
          <w:kern w:val="0"/>
          <w:sz w:val="24"/>
          <w:szCs w:val="24"/>
        </w:rPr>
        <w:t>四、</w:t>
      </w:r>
      <w:bookmarkStart w:id="70" w:name="_Hlk72092634"/>
      <w:r>
        <w:rPr>
          <w:rFonts w:hint="eastAsia" w:ascii="黑体" w:eastAsia="黑体"/>
          <w:b w:val="0"/>
          <w:kern w:val="0"/>
          <w:sz w:val="24"/>
          <w:szCs w:val="24"/>
        </w:rPr>
        <w:t>实质性条款响应情况表</w:t>
      </w:r>
      <w:bookmarkEnd w:id="70"/>
    </w:p>
    <w:tbl>
      <w:tblPr>
        <w:tblStyle w:val="44"/>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14:paraId="29E7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6BA7451D">
            <w:pPr>
              <w:adjustRightInd w:val="0"/>
              <w:snapToGrid w:val="0"/>
              <w:spacing w:line="360" w:lineRule="auto"/>
              <w:jc w:val="center"/>
              <w:rPr>
                <w:rFonts w:ascii="宋体" w:hAnsi="宋体"/>
                <w:kern w:val="0"/>
                <w:szCs w:val="21"/>
              </w:rPr>
            </w:pPr>
            <w:bookmarkStart w:id="71" w:name="_Hlk72092651"/>
            <w:r>
              <w:rPr>
                <w:rFonts w:hint="eastAsia" w:ascii="宋体" w:hAnsi="宋体"/>
                <w:kern w:val="0"/>
                <w:szCs w:val="21"/>
              </w:rPr>
              <w:t>序号</w:t>
            </w:r>
          </w:p>
        </w:tc>
        <w:tc>
          <w:tcPr>
            <w:tcW w:w="2664" w:type="dxa"/>
            <w:vAlign w:val="center"/>
          </w:tcPr>
          <w:p w14:paraId="4F9E52DF">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14:paraId="1C83AAAE">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14:paraId="3D106EB6">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14:paraId="5DA209E3">
            <w:pPr>
              <w:adjustRightInd w:val="0"/>
              <w:snapToGrid w:val="0"/>
              <w:spacing w:line="360" w:lineRule="auto"/>
              <w:jc w:val="center"/>
              <w:rPr>
                <w:rFonts w:ascii="宋体" w:hAnsi="宋体"/>
                <w:kern w:val="0"/>
                <w:szCs w:val="21"/>
              </w:rPr>
            </w:pPr>
            <w:r>
              <w:rPr>
                <w:rFonts w:hint="eastAsia"/>
              </w:rPr>
              <w:t>说明</w:t>
            </w:r>
          </w:p>
        </w:tc>
      </w:tr>
      <w:bookmarkEnd w:id="71"/>
      <w:tr w14:paraId="6E6A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647713CD">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2664" w:type="dxa"/>
            <w:vAlign w:val="center"/>
          </w:tcPr>
          <w:p w14:paraId="47A6093D">
            <w:pPr>
              <w:adjustRightInd w:val="0"/>
              <w:snapToGrid w:val="0"/>
              <w:spacing w:line="360" w:lineRule="auto"/>
              <w:jc w:val="center"/>
              <w:rPr>
                <w:rFonts w:hAnsi="宋体"/>
                <w:kern w:val="0"/>
                <w:szCs w:val="21"/>
              </w:rPr>
            </w:pPr>
            <w:r>
              <w:rPr>
                <w:rFonts w:hint="eastAsia" w:hAnsi="宋体"/>
                <w:kern w:val="0"/>
                <w:szCs w:val="21"/>
              </w:rPr>
              <w:t>（填写相关内容）</w:t>
            </w:r>
          </w:p>
        </w:tc>
        <w:tc>
          <w:tcPr>
            <w:tcW w:w="1588" w:type="dxa"/>
          </w:tcPr>
          <w:p w14:paraId="663A153B">
            <w:pPr>
              <w:adjustRightInd w:val="0"/>
              <w:snapToGrid w:val="0"/>
              <w:spacing w:line="360" w:lineRule="auto"/>
              <w:rPr>
                <w:rFonts w:ascii="宋体" w:hAnsi="宋体"/>
                <w:kern w:val="0"/>
                <w:szCs w:val="21"/>
              </w:rPr>
            </w:pPr>
          </w:p>
        </w:tc>
        <w:tc>
          <w:tcPr>
            <w:tcW w:w="1842" w:type="dxa"/>
          </w:tcPr>
          <w:p w14:paraId="008073F5">
            <w:pPr>
              <w:adjustRightInd w:val="0"/>
              <w:snapToGrid w:val="0"/>
              <w:spacing w:line="360" w:lineRule="auto"/>
              <w:rPr>
                <w:rFonts w:ascii="宋体" w:hAnsi="宋体"/>
                <w:kern w:val="0"/>
                <w:szCs w:val="21"/>
              </w:rPr>
            </w:pPr>
          </w:p>
        </w:tc>
        <w:tc>
          <w:tcPr>
            <w:tcW w:w="1418" w:type="dxa"/>
          </w:tcPr>
          <w:p w14:paraId="4A06ED40">
            <w:pPr>
              <w:adjustRightInd w:val="0"/>
              <w:snapToGrid w:val="0"/>
              <w:spacing w:line="360" w:lineRule="auto"/>
              <w:rPr>
                <w:rFonts w:ascii="宋体" w:hAnsi="宋体"/>
                <w:kern w:val="0"/>
                <w:szCs w:val="21"/>
              </w:rPr>
            </w:pPr>
          </w:p>
        </w:tc>
      </w:tr>
      <w:tr w14:paraId="4F5F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053E3F6E">
            <w:pPr>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2664" w:type="dxa"/>
            <w:vAlign w:val="center"/>
          </w:tcPr>
          <w:p w14:paraId="4DD5365F">
            <w:pPr>
              <w:adjustRightInd w:val="0"/>
              <w:snapToGrid w:val="0"/>
              <w:spacing w:line="360" w:lineRule="auto"/>
              <w:jc w:val="center"/>
              <w:rPr>
                <w:rFonts w:hAnsi="宋体"/>
                <w:kern w:val="0"/>
                <w:szCs w:val="21"/>
              </w:rPr>
            </w:pPr>
            <w:r>
              <w:rPr>
                <w:rFonts w:hint="eastAsia" w:hAnsi="宋体"/>
                <w:kern w:val="0"/>
                <w:szCs w:val="21"/>
              </w:rPr>
              <w:t>（填写相关内容）</w:t>
            </w:r>
          </w:p>
        </w:tc>
        <w:tc>
          <w:tcPr>
            <w:tcW w:w="1588" w:type="dxa"/>
          </w:tcPr>
          <w:p w14:paraId="12873E9E">
            <w:pPr>
              <w:adjustRightInd w:val="0"/>
              <w:snapToGrid w:val="0"/>
              <w:spacing w:line="360" w:lineRule="auto"/>
              <w:rPr>
                <w:rFonts w:ascii="宋体" w:hAnsi="宋体"/>
                <w:kern w:val="0"/>
                <w:szCs w:val="21"/>
              </w:rPr>
            </w:pPr>
          </w:p>
        </w:tc>
        <w:tc>
          <w:tcPr>
            <w:tcW w:w="1842" w:type="dxa"/>
          </w:tcPr>
          <w:p w14:paraId="04404401">
            <w:pPr>
              <w:adjustRightInd w:val="0"/>
              <w:snapToGrid w:val="0"/>
              <w:spacing w:line="360" w:lineRule="auto"/>
              <w:rPr>
                <w:rFonts w:ascii="宋体" w:hAnsi="宋体"/>
                <w:kern w:val="0"/>
                <w:szCs w:val="21"/>
              </w:rPr>
            </w:pPr>
          </w:p>
        </w:tc>
        <w:tc>
          <w:tcPr>
            <w:tcW w:w="1418" w:type="dxa"/>
          </w:tcPr>
          <w:p w14:paraId="7558D15F">
            <w:pPr>
              <w:adjustRightInd w:val="0"/>
              <w:snapToGrid w:val="0"/>
              <w:spacing w:line="360" w:lineRule="auto"/>
              <w:rPr>
                <w:rFonts w:ascii="宋体" w:hAnsi="宋体"/>
                <w:kern w:val="0"/>
                <w:szCs w:val="21"/>
              </w:rPr>
            </w:pPr>
          </w:p>
        </w:tc>
      </w:tr>
      <w:tr w14:paraId="0C8E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53503B9C">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2664" w:type="dxa"/>
            <w:vAlign w:val="center"/>
          </w:tcPr>
          <w:p w14:paraId="0C52D1DA">
            <w:pPr>
              <w:adjustRightInd w:val="0"/>
              <w:snapToGrid w:val="0"/>
              <w:spacing w:line="360" w:lineRule="auto"/>
              <w:jc w:val="center"/>
              <w:rPr>
                <w:rFonts w:ascii="宋体" w:hAnsi="宋体"/>
                <w:kern w:val="0"/>
                <w:szCs w:val="21"/>
              </w:rPr>
            </w:pPr>
            <w:r>
              <w:rPr>
                <w:rFonts w:hint="eastAsia" w:ascii="宋体" w:hAnsi="宋体"/>
                <w:kern w:val="0"/>
                <w:szCs w:val="21"/>
              </w:rPr>
              <w:t>…………</w:t>
            </w:r>
          </w:p>
        </w:tc>
        <w:tc>
          <w:tcPr>
            <w:tcW w:w="1588" w:type="dxa"/>
          </w:tcPr>
          <w:p w14:paraId="425EB792">
            <w:pPr>
              <w:adjustRightInd w:val="0"/>
              <w:snapToGrid w:val="0"/>
              <w:spacing w:line="360" w:lineRule="auto"/>
              <w:rPr>
                <w:rFonts w:ascii="宋体" w:hAnsi="宋体"/>
                <w:kern w:val="0"/>
                <w:szCs w:val="21"/>
              </w:rPr>
            </w:pPr>
          </w:p>
        </w:tc>
        <w:tc>
          <w:tcPr>
            <w:tcW w:w="1842" w:type="dxa"/>
          </w:tcPr>
          <w:p w14:paraId="7D01805B">
            <w:pPr>
              <w:adjustRightInd w:val="0"/>
              <w:snapToGrid w:val="0"/>
              <w:spacing w:line="360" w:lineRule="auto"/>
              <w:rPr>
                <w:rFonts w:ascii="宋体" w:hAnsi="宋体"/>
                <w:kern w:val="0"/>
                <w:szCs w:val="21"/>
              </w:rPr>
            </w:pPr>
          </w:p>
        </w:tc>
        <w:tc>
          <w:tcPr>
            <w:tcW w:w="1418" w:type="dxa"/>
          </w:tcPr>
          <w:p w14:paraId="65C8A265">
            <w:pPr>
              <w:adjustRightInd w:val="0"/>
              <w:snapToGrid w:val="0"/>
              <w:spacing w:line="360" w:lineRule="auto"/>
              <w:rPr>
                <w:rFonts w:ascii="宋体" w:hAnsi="宋体"/>
                <w:kern w:val="0"/>
                <w:szCs w:val="21"/>
              </w:rPr>
            </w:pPr>
          </w:p>
        </w:tc>
      </w:tr>
    </w:tbl>
    <w:p w14:paraId="6D5BC490">
      <w:pPr>
        <w:ind w:firstLine="482" w:firstLineChars="200"/>
        <w:rPr>
          <w:b/>
          <w:sz w:val="24"/>
          <w:szCs w:val="22"/>
        </w:rPr>
      </w:pPr>
    </w:p>
    <w:p w14:paraId="26AF1F18">
      <w:pPr>
        <w:ind w:firstLine="482" w:firstLineChars="200"/>
        <w:rPr>
          <w:b/>
          <w:sz w:val="24"/>
          <w:szCs w:val="22"/>
        </w:rPr>
      </w:pPr>
      <w:r>
        <w:rPr>
          <w:rFonts w:hint="eastAsia"/>
          <w:b/>
          <w:sz w:val="24"/>
          <w:szCs w:val="22"/>
        </w:rPr>
        <w:t>注：1.上表所列各项均为不可负偏离条款。</w:t>
      </w:r>
    </w:p>
    <w:p w14:paraId="41D682D3">
      <w:pPr>
        <w:ind w:firstLine="482" w:firstLineChars="200"/>
        <w:rPr>
          <w:b/>
          <w:sz w:val="24"/>
          <w:szCs w:val="22"/>
        </w:rPr>
      </w:pPr>
      <w:r>
        <w:rPr>
          <w:rFonts w:hint="eastAsia"/>
          <w:b/>
          <w:sz w:val="24"/>
          <w:szCs w:val="22"/>
        </w:rPr>
        <w:t>2.“投标响应”一栏应当详细填写投标人自身响应情况，而不能不合理照搬照抄实质性条款具体内容。存在未填写或响应不全（包括未填写整项实质性条款具体内容或者仅填写响应、全部响应等情况）均视为负偏离。</w:t>
      </w:r>
    </w:p>
    <w:p w14:paraId="6505D5D9">
      <w:pPr>
        <w:ind w:firstLine="482"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存在未填写或响应不全（包括仅填写响应、偏离、正、负、无等情况）均视为负偏离。</w:t>
      </w:r>
    </w:p>
    <w:p w14:paraId="59880A7C">
      <w:pPr>
        <w:ind w:firstLine="482" w:firstLineChars="200"/>
        <w:rPr>
          <w:b/>
          <w:sz w:val="24"/>
        </w:rPr>
      </w:pPr>
      <w:r>
        <w:rPr>
          <w:b/>
          <w:sz w:val="24"/>
        </w:rPr>
        <w:t>4.</w:t>
      </w:r>
      <w:r>
        <w:rPr>
          <w:rFonts w:hint="eastAsia"/>
          <w:b/>
          <w:sz w:val="24"/>
        </w:rPr>
        <w:t>评审委员会有权对投标响应情况作出判断（作出评审结论）。</w:t>
      </w:r>
    </w:p>
    <w:p w14:paraId="4274FBC5">
      <w:pPr>
        <w:ind w:firstLine="482" w:firstLineChars="200"/>
        <w:rPr>
          <w:b/>
          <w:sz w:val="24"/>
          <w:szCs w:val="22"/>
        </w:rPr>
      </w:pPr>
      <w:r>
        <w:rPr>
          <w:b/>
          <w:sz w:val="24"/>
          <w:szCs w:val="22"/>
        </w:rPr>
        <w:t>5</w:t>
      </w:r>
      <w:r>
        <w:rPr>
          <w:rFonts w:hint="eastAsia"/>
          <w:b/>
          <w:sz w:val="24"/>
          <w:szCs w:val="22"/>
        </w:rPr>
        <w:t>.实质性响应条款“投标响应情况”与投标文件其他内容冲突的，以实质性响应条款“投标响应情况”为准。</w:t>
      </w:r>
      <w:bookmarkEnd w:id="68"/>
    </w:p>
    <w:p w14:paraId="3007B66F">
      <w:pPr>
        <w:ind w:firstLine="482" w:firstLineChars="200"/>
        <w:rPr>
          <w:b/>
          <w:sz w:val="24"/>
          <w:szCs w:val="22"/>
        </w:rPr>
      </w:pPr>
      <w:r>
        <w:rPr>
          <w:rFonts w:hint="eastAsia"/>
          <w:b/>
          <w:sz w:val="24"/>
          <w:szCs w:val="22"/>
        </w:rPr>
        <w:t>6.要求提供证明资料，在“说明”一栏中列明证明资料的位置，以便评审；未要求提供证明材料的，投标人可以不提供。</w:t>
      </w:r>
    </w:p>
    <w:p w14:paraId="5FEA2173">
      <w:pPr>
        <w:pStyle w:val="18"/>
        <w:rPr>
          <w:szCs w:val="22"/>
        </w:rPr>
      </w:pPr>
    </w:p>
    <w:p w14:paraId="2BAE3F67">
      <w:pPr>
        <w:rPr>
          <w:b/>
          <w:sz w:val="24"/>
          <w:szCs w:val="22"/>
        </w:rPr>
      </w:pPr>
    </w:p>
    <w:p w14:paraId="4C47FE7D">
      <w:pPr>
        <w:pStyle w:val="18"/>
        <w:rPr>
          <w:szCs w:val="22"/>
        </w:rPr>
      </w:pPr>
    </w:p>
    <w:p w14:paraId="13436C46">
      <w:pPr>
        <w:ind w:firstLine="480" w:firstLineChars="200"/>
        <w:jc w:val="center"/>
        <w:rPr>
          <w:rFonts w:ascii="黑体" w:hAnsi="宋体" w:eastAsia="黑体"/>
          <w:sz w:val="24"/>
          <w:szCs w:val="20"/>
        </w:rPr>
      </w:pPr>
      <w:r>
        <w:rPr>
          <w:rFonts w:hint="eastAsia" w:ascii="黑体" w:eastAsia="黑体"/>
          <w:sz w:val="24"/>
        </w:rPr>
        <w:t>五、总体服务方案</w:t>
      </w:r>
    </w:p>
    <w:p w14:paraId="715C45C4">
      <w:pPr>
        <w:pStyle w:val="4"/>
        <w:ind w:left="17" w:hanging="16" w:hangingChars="7"/>
        <w:jc w:val="center"/>
        <w:rPr>
          <w:rFonts w:ascii="黑体" w:eastAsia="黑体"/>
          <w:b w:val="0"/>
          <w:sz w:val="24"/>
          <w:szCs w:val="24"/>
        </w:rPr>
      </w:pPr>
      <w:r>
        <w:rPr>
          <w:rFonts w:hint="eastAsia" w:ascii="黑体" w:eastAsia="黑体"/>
          <w:b w:val="0"/>
          <w:sz w:val="24"/>
          <w:szCs w:val="24"/>
        </w:rPr>
        <w:t>六、质量保障措施</w:t>
      </w:r>
    </w:p>
    <w:p w14:paraId="23A8EEB2">
      <w:pPr>
        <w:pStyle w:val="4"/>
        <w:ind w:left="17" w:hanging="16" w:hangingChars="7"/>
        <w:jc w:val="center"/>
        <w:rPr>
          <w:rFonts w:ascii="黑体" w:eastAsia="黑体"/>
          <w:b w:val="0"/>
          <w:sz w:val="24"/>
          <w:szCs w:val="24"/>
        </w:rPr>
      </w:pPr>
      <w:r>
        <w:rPr>
          <w:rFonts w:hint="eastAsia" w:ascii="黑体" w:eastAsia="黑体"/>
          <w:b w:val="0"/>
          <w:sz w:val="24"/>
          <w:szCs w:val="24"/>
        </w:rPr>
        <w:t>七、特殊情况应急及退换方案</w:t>
      </w:r>
    </w:p>
    <w:p w14:paraId="4DE6BD77">
      <w:pPr>
        <w:jc w:val="center"/>
        <w:rPr>
          <w:rFonts w:ascii="黑体" w:hAnsi="宋体" w:eastAsia="黑体"/>
          <w:bCs/>
          <w:sz w:val="24"/>
        </w:rPr>
      </w:pPr>
      <w:r>
        <w:rPr>
          <w:rFonts w:hint="eastAsia" w:ascii="黑体" w:hAnsi="宋体" w:eastAsia="黑体"/>
          <w:bCs/>
          <w:sz w:val="24"/>
        </w:rPr>
        <w:t>八、运输能力</w:t>
      </w:r>
    </w:p>
    <w:p w14:paraId="5206ACC2">
      <w:pPr>
        <w:pStyle w:val="4"/>
        <w:ind w:left="17" w:hanging="16" w:hangingChars="7"/>
        <w:jc w:val="center"/>
        <w:rPr>
          <w:rFonts w:ascii="黑体" w:eastAsia="黑体"/>
          <w:b w:val="0"/>
          <w:sz w:val="24"/>
          <w:szCs w:val="24"/>
        </w:rPr>
      </w:pPr>
      <w:r>
        <w:rPr>
          <w:rFonts w:hint="eastAsia" w:ascii="黑体" w:eastAsia="黑体"/>
          <w:b w:val="0"/>
          <w:sz w:val="24"/>
          <w:szCs w:val="24"/>
        </w:rPr>
        <w:t>九、投标人认为需要加以说明的其他内容</w:t>
      </w:r>
    </w:p>
    <w:p w14:paraId="0736015C">
      <w:pPr>
        <w:rPr>
          <w:sz w:val="24"/>
        </w:rPr>
      </w:pPr>
      <w:bookmarkStart w:id="72" w:name="_Hlk72260576"/>
    </w:p>
    <w:bookmarkEnd w:id="72"/>
    <w:p w14:paraId="72958264">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14:paraId="0D94DE7D">
      <w:pPr>
        <w:widowControl/>
        <w:jc w:val="center"/>
        <w:rPr>
          <w:rFonts w:ascii="黑体" w:hAnsi="宋体" w:eastAsia="黑体"/>
          <w:kern w:val="0"/>
          <w:sz w:val="24"/>
          <w:szCs w:val="20"/>
        </w:rPr>
      </w:pPr>
    </w:p>
    <w:p w14:paraId="6C6B5C2A">
      <w:pPr>
        <w:spacing w:after="156" w:afterLines="50" w:line="360" w:lineRule="exact"/>
        <w:ind w:firstLine="422" w:firstLineChars="200"/>
        <w:rPr>
          <w:rFonts w:ascii="宋体" w:hAnsi="宋体" w:cs="宋体"/>
          <w:b/>
          <w:bCs/>
          <w:szCs w:val="21"/>
        </w:rPr>
      </w:pPr>
      <w:r>
        <w:rPr>
          <w:rFonts w:hint="eastAsia" w:ascii="宋体" w:hAnsi="宋体" w:cs="宋体"/>
          <w:b/>
          <w:bCs/>
          <w:szCs w:val="21"/>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811"/>
      </w:tblGrid>
      <w:tr w14:paraId="284D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14:paraId="574FCE38">
            <w:pPr>
              <w:spacing w:line="400" w:lineRule="exact"/>
              <w:jc w:val="center"/>
              <w:rPr>
                <w:rFonts w:ascii="宋体" w:hAnsi="宋体" w:cs="宋体"/>
                <w:szCs w:val="21"/>
              </w:rPr>
            </w:pPr>
            <w:r>
              <w:rPr>
                <w:rFonts w:hint="eastAsia" w:ascii="宋体" w:hAnsi="宋体" w:cs="宋体"/>
                <w:szCs w:val="21"/>
              </w:rPr>
              <w:t>序号</w:t>
            </w:r>
          </w:p>
        </w:tc>
        <w:tc>
          <w:tcPr>
            <w:tcW w:w="7811" w:type="dxa"/>
          </w:tcPr>
          <w:p w14:paraId="48126E0F">
            <w:pPr>
              <w:spacing w:line="400" w:lineRule="exact"/>
              <w:jc w:val="center"/>
              <w:rPr>
                <w:rFonts w:ascii="宋体" w:hAnsi="宋体" w:cs="宋体"/>
                <w:szCs w:val="21"/>
              </w:rPr>
            </w:pPr>
            <w:r>
              <w:rPr>
                <w:rFonts w:hint="eastAsia" w:ascii="宋体" w:hAnsi="宋体" w:cs="宋体"/>
                <w:b/>
                <w:bCs/>
                <w:szCs w:val="21"/>
              </w:rPr>
              <w:t>供应商参与投标禁止情形</w:t>
            </w:r>
          </w:p>
        </w:tc>
      </w:tr>
      <w:tr w14:paraId="64CC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638051E0">
            <w:pPr>
              <w:spacing w:line="400" w:lineRule="exact"/>
              <w:jc w:val="center"/>
              <w:rPr>
                <w:rFonts w:ascii="宋体" w:hAnsi="宋体" w:cs="宋体"/>
                <w:szCs w:val="21"/>
              </w:rPr>
            </w:pPr>
            <w:r>
              <w:rPr>
                <w:rFonts w:hint="eastAsia" w:ascii="宋体" w:hAnsi="宋体" w:cs="宋体"/>
                <w:szCs w:val="21"/>
              </w:rPr>
              <w:t>1</w:t>
            </w:r>
          </w:p>
        </w:tc>
        <w:tc>
          <w:tcPr>
            <w:tcW w:w="7811" w:type="dxa"/>
            <w:vAlign w:val="center"/>
          </w:tcPr>
          <w:p w14:paraId="7EF5323A">
            <w:pPr>
              <w:spacing w:line="400" w:lineRule="exact"/>
              <w:jc w:val="left"/>
              <w:rPr>
                <w:rFonts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14:paraId="41EB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7728C631">
            <w:pPr>
              <w:spacing w:line="400" w:lineRule="exact"/>
              <w:jc w:val="center"/>
              <w:rPr>
                <w:rFonts w:ascii="宋体" w:hAnsi="宋体" w:cs="宋体"/>
                <w:szCs w:val="21"/>
              </w:rPr>
            </w:pPr>
            <w:r>
              <w:rPr>
                <w:rFonts w:hint="eastAsia" w:ascii="宋体" w:hAnsi="宋体" w:cs="宋体"/>
                <w:szCs w:val="21"/>
              </w:rPr>
              <w:t>2</w:t>
            </w:r>
          </w:p>
        </w:tc>
        <w:tc>
          <w:tcPr>
            <w:tcW w:w="7811" w:type="dxa"/>
            <w:vAlign w:val="center"/>
          </w:tcPr>
          <w:p w14:paraId="394AE6D7">
            <w:pPr>
              <w:spacing w:line="400" w:lineRule="exact"/>
              <w:jc w:val="left"/>
              <w:rPr>
                <w:rFonts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14:paraId="3468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5E79DCF">
            <w:pPr>
              <w:spacing w:line="400" w:lineRule="exact"/>
              <w:jc w:val="center"/>
              <w:rPr>
                <w:rFonts w:ascii="宋体" w:hAnsi="宋体" w:cs="宋体"/>
                <w:szCs w:val="21"/>
              </w:rPr>
            </w:pPr>
            <w:r>
              <w:rPr>
                <w:rFonts w:hint="eastAsia" w:ascii="宋体" w:hAnsi="宋体" w:cs="宋体"/>
                <w:szCs w:val="21"/>
              </w:rPr>
              <w:t>3</w:t>
            </w:r>
          </w:p>
        </w:tc>
        <w:tc>
          <w:tcPr>
            <w:tcW w:w="7811" w:type="dxa"/>
            <w:vAlign w:val="center"/>
          </w:tcPr>
          <w:p w14:paraId="5A2B5F47">
            <w:pPr>
              <w:spacing w:line="400" w:lineRule="exact"/>
              <w:jc w:val="left"/>
              <w:rPr>
                <w:rFonts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szCs w:val="21"/>
              </w:rPr>
              <w:t>相互混装或存在非正常一致</w:t>
            </w:r>
            <w:r>
              <w:rPr>
                <w:rFonts w:hint="eastAsia" w:ascii="宋体" w:hAnsi="宋体" w:cs="宋体"/>
                <w:szCs w:val="21"/>
              </w:rPr>
              <w:t>。</w:t>
            </w:r>
          </w:p>
        </w:tc>
      </w:tr>
      <w:tr w14:paraId="4995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24D57417">
            <w:pPr>
              <w:spacing w:line="400" w:lineRule="exact"/>
              <w:jc w:val="center"/>
              <w:rPr>
                <w:rFonts w:ascii="宋体" w:hAnsi="宋体" w:cs="宋体"/>
                <w:szCs w:val="21"/>
              </w:rPr>
            </w:pPr>
            <w:r>
              <w:rPr>
                <w:rFonts w:hint="eastAsia" w:ascii="宋体" w:hAnsi="宋体" w:cs="宋体"/>
                <w:szCs w:val="21"/>
              </w:rPr>
              <w:t>4</w:t>
            </w:r>
          </w:p>
        </w:tc>
        <w:tc>
          <w:tcPr>
            <w:tcW w:w="7811" w:type="dxa"/>
            <w:vAlign w:val="center"/>
          </w:tcPr>
          <w:p w14:paraId="0E68FC0E">
            <w:pPr>
              <w:spacing w:line="400" w:lineRule="exact"/>
              <w:jc w:val="left"/>
              <w:rPr>
                <w:rFonts w:ascii="宋体" w:hAnsi="宋体" w:cs="宋体"/>
                <w:szCs w:val="21"/>
              </w:rPr>
            </w:pPr>
            <w:r>
              <w:rPr>
                <w:rFonts w:hint="eastAsia" w:ascii="宋体" w:hAnsi="宋体" w:cs="宋体"/>
                <w:szCs w:val="21"/>
              </w:rPr>
              <w:t>与其他投标供应商的投标文件由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14:paraId="0C45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72E80348">
            <w:pPr>
              <w:spacing w:line="400" w:lineRule="exact"/>
              <w:jc w:val="center"/>
              <w:rPr>
                <w:rFonts w:ascii="宋体" w:hAnsi="宋体" w:cs="宋体"/>
                <w:szCs w:val="21"/>
              </w:rPr>
            </w:pPr>
            <w:r>
              <w:rPr>
                <w:rFonts w:hint="eastAsia" w:ascii="宋体" w:hAnsi="宋体" w:cs="宋体"/>
                <w:szCs w:val="21"/>
              </w:rPr>
              <w:t>5</w:t>
            </w:r>
          </w:p>
        </w:tc>
        <w:tc>
          <w:tcPr>
            <w:tcW w:w="7811" w:type="dxa"/>
            <w:vAlign w:val="center"/>
          </w:tcPr>
          <w:p w14:paraId="3C9A42D6">
            <w:pPr>
              <w:spacing w:line="400" w:lineRule="exact"/>
              <w:jc w:val="left"/>
              <w:rPr>
                <w:rFonts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r w14:paraId="7062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343A35B">
            <w:pPr>
              <w:spacing w:line="400" w:lineRule="exact"/>
              <w:jc w:val="center"/>
              <w:rPr>
                <w:rFonts w:ascii="宋体" w:hAnsi="宋体" w:cs="宋体"/>
                <w:szCs w:val="21"/>
              </w:rPr>
            </w:pPr>
            <w:r>
              <w:rPr>
                <w:rFonts w:hint="eastAsia" w:ascii="宋体" w:hAnsi="宋体" w:cs="宋体"/>
                <w:szCs w:val="21"/>
              </w:rPr>
              <w:t>6</w:t>
            </w:r>
          </w:p>
        </w:tc>
        <w:tc>
          <w:tcPr>
            <w:tcW w:w="7811" w:type="dxa"/>
            <w:vAlign w:val="center"/>
          </w:tcPr>
          <w:p w14:paraId="2EFAB261">
            <w:pPr>
              <w:spacing w:line="400" w:lineRule="exact"/>
              <w:jc w:val="left"/>
              <w:rPr>
                <w:rFonts w:ascii="宋体" w:hAnsi="宋体" w:cs="宋体"/>
                <w:szCs w:val="21"/>
              </w:rPr>
            </w:pPr>
            <w:r>
              <w:rPr>
                <w:rFonts w:hint="eastAsia" w:ascii="宋体" w:hAnsi="宋体" w:cs="宋体"/>
                <w:szCs w:val="21"/>
              </w:rPr>
              <w:t>擅自将投标密钥或电子营业执照出借他人使用或未妥善保管。</w:t>
            </w:r>
          </w:p>
        </w:tc>
      </w:tr>
    </w:tbl>
    <w:p w14:paraId="3789F147">
      <w:pPr>
        <w:spacing w:before="156" w:beforeLines="50" w:line="380" w:lineRule="exact"/>
        <w:ind w:firstLine="422" w:firstLineChars="200"/>
        <w:rPr>
          <w:rFonts w:ascii="宋体" w:hAnsi="宋体" w:cs="宋体"/>
          <w:b/>
          <w:szCs w:val="21"/>
        </w:rPr>
      </w:pPr>
      <w:r>
        <w:rPr>
          <w:rFonts w:hint="eastAsia" w:ascii="宋体" w:hAnsi="宋体" w:cs="宋体"/>
          <w:b/>
          <w:szCs w:val="21"/>
        </w:rPr>
        <w:t>一、我单位已充分知悉“隐瞒真实情况，提供虚假资料”的法定情形，包括但不限于：</w:t>
      </w:r>
    </w:p>
    <w:p w14:paraId="788818B1">
      <w:pPr>
        <w:spacing w:line="380" w:lineRule="exact"/>
        <w:ind w:firstLine="420" w:firstLineChars="200"/>
        <w:rPr>
          <w:rFonts w:ascii="宋体" w:hAnsi="宋体" w:cs="宋体"/>
          <w:szCs w:val="21"/>
        </w:rPr>
      </w:pPr>
      <w:r>
        <w:rPr>
          <w:rFonts w:hint="eastAsia" w:ascii="宋体" w:hAnsi="宋体" w:cs="宋体"/>
          <w:szCs w:val="21"/>
        </w:rPr>
        <w:t>（一）通过转让或者租借等方式从其他单位获取资格或者资质证书投标的。</w:t>
      </w:r>
    </w:p>
    <w:p w14:paraId="67071BBB">
      <w:pPr>
        <w:spacing w:line="380" w:lineRule="exact"/>
        <w:ind w:firstLine="420" w:firstLineChars="200"/>
        <w:rPr>
          <w:rFonts w:ascii="宋体" w:hAnsi="宋体" w:cs="宋体"/>
          <w:szCs w:val="21"/>
        </w:rPr>
      </w:pPr>
      <w:r>
        <w:rPr>
          <w:rFonts w:hint="eastAsia" w:ascii="宋体" w:hAnsi="宋体" w:cs="宋体"/>
          <w:szCs w:val="21"/>
        </w:rPr>
        <w:t>（二）由其他单位或者其他单位负责人在投标供应商编制的投标文件上加盖印章或者签字的。</w:t>
      </w:r>
    </w:p>
    <w:p w14:paraId="298217BD">
      <w:pPr>
        <w:spacing w:line="380" w:lineRule="exact"/>
        <w:ind w:firstLine="420" w:firstLineChars="200"/>
        <w:rPr>
          <w:rFonts w:ascii="宋体" w:hAnsi="宋体" w:cs="宋体"/>
          <w:szCs w:val="21"/>
        </w:rPr>
      </w:pPr>
      <w:r>
        <w:rPr>
          <w:rFonts w:hint="eastAsia" w:ascii="宋体" w:hAnsi="宋体" w:cs="宋体"/>
          <w:szCs w:val="21"/>
        </w:rPr>
        <w:t>（三）项目负责人或者主要技术人员不是本单位人员的。</w:t>
      </w:r>
    </w:p>
    <w:p w14:paraId="6AA048C8">
      <w:pPr>
        <w:spacing w:line="380" w:lineRule="exact"/>
        <w:ind w:firstLine="420" w:firstLineChars="200"/>
        <w:rPr>
          <w:rFonts w:ascii="宋体" w:hAnsi="宋体" w:cs="宋体"/>
          <w:szCs w:val="21"/>
        </w:rPr>
      </w:pPr>
      <w:r>
        <w:rPr>
          <w:rFonts w:hint="eastAsia" w:ascii="宋体" w:hAnsi="宋体" w:cs="宋体"/>
          <w:szCs w:val="21"/>
        </w:rPr>
        <w:t>（四）投标保证金不是从投标供应商基本账户转出的。</w:t>
      </w:r>
    </w:p>
    <w:p w14:paraId="3B33FBCA">
      <w:pPr>
        <w:spacing w:line="380" w:lineRule="exact"/>
        <w:ind w:firstLine="420" w:firstLineChars="200"/>
        <w:rPr>
          <w:rFonts w:ascii="宋体" w:hAnsi="宋体" w:cs="宋体"/>
          <w:szCs w:val="21"/>
        </w:rPr>
      </w:pPr>
      <w:r>
        <w:rPr>
          <w:rFonts w:hint="eastAsia" w:ascii="宋体" w:hAnsi="宋体" w:cs="宋体"/>
          <w:szCs w:val="21"/>
        </w:rPr>
        <w:t>（五）其他隐瞒真实情况、提供虚假资料的行为。</w:t>
      </w:r>
    </w:p>
    <w:p w14:paraId="4AF5C915">
      <w:pPr>
        <w:spacing w:line="380" w:lineRule="exact"/>
        <w:ind w:firstLine="422" w:firstLineChars="200"/>
        <w:rPr>
          <w:rFonts w:ascii="宋体" w:hAnsi="宋体" w:cs="宋体"/>
          <w:b/>
          <w:szCs w:val="21"/>
        </w:rPr>
      </w:pPr>
      <w:r>
        <w:rPr>
          <w:rFonts w:hint="eastAsia" w:ascii="宋体" w:hAnsi="宋体" w:cs="宋体"/>
          <w:b/>
          <w:szCs w:val="21"/>
        </w:rPr>
        <w:t>二、我单位已充分知悉“与其他采购参加人串通投标”的法定情形，包括但不限于：</w:t>
      </w:r>
    </w:p>
    <w:p w14:paraId="514BF2C2">
      <w:pPr>
        <w:spacing w:line="380" w:lineRule="exact"/>
        <w:ind w:firstLine="420" w:firstLineChars="200"/>
        <w:rPr>
          <w:rFonts w:ascii="宋体" w:hAnsi="宋体" w:cs="宋体"/>
          <w:szCs w:val="21"/>
        </w:rPr>
      </w:pPr>
      <w:r>
        <w:rPr>
          <w:rFonts w:hint="eastAsia" w:ascii="宋体" w:hAnsi="宋体" w:cs="宋体"/>
          <w:szCs w:val="21"/>
        </w:rPr>
        <w:t>（一）投标供应商之间相互约定给予未中标的供应商利益补偿。</w:t>
      </w:r>
    </w:p>
    <w:p w14:paraId="313F98CA">
      <w:pPr>
        <w:spacing w:line="380" w:lineRule="exact"/>
        <w:ind w:firstLine="420" w:firstLineChars="200"/>
        <w:rPr>
          <w:rFonts w:ascii="宋体" w:hAnsi="宋体" w:cs="宋体"/>
          <w:szCs w:val="21"/>
        </w:rPr>
      </w:pPr>
      <w:r>
        <w:rPr>
          <w:rFonts w:hint="eastAsia" w:ascii="宋体" w:hAnsi="宋体" w:cs="宋体"/>
          <w:szCs w:val="21"/>
        </w:rPr>
        <w:t>（二）不同投标供应商的法定代表人、主要经营负责人、项目投标授权代表人、项目负责人、主要技术人员为同一人、属同一单位或者在同一单位缴纳社会保险。</w:t>
      </w:r>
    </w:p>
    <w:p w14:paraId="6E302687">
      <w:pPr>
        <w:spacing w:line="340" w:lineRule="exact"/>
        <w:ind w:firstLine="420" w:firstLineChars="200"/>
        <w:rPr>
          <w:rFonts w:ascii="宋体" w:hAnsi="宋体" w:cs="宋体"/>
          <w:szCs w:val="21"/>
        </w:rPr>
      </w:pPr>
      <w:r>
        <w:rPr>
          <w:rFonts w:hint="eastAsia" w:ascii="宋体" w:hAnsi="宋体" w:cs="宋体"/>
          <w:szCs w:val="21"/>
        </w:rPr>
        <w:t>（三）不同投标供应商的投标文件由同一单位或者同一人编制，或者由同一人分阶段参与编制的。</w:t>
      </w:r>
    </w:p>
    <w:p w14:paraId="6F696D89">
      <w:pPr>
        <w:spacing w:line="340" w:lineRule="exact"/>
        <w:ind w:firstLine="420" w:firstLineChars="200"/>
        <w:rPr>
          <w:rFonts w:ascii="宋体" w:hAnsi="宋体" w:cs="宋体"/>
          <w:szCs w:val="21"/>
        </w:rPr>
      </w:pPr>
      <w:r>
        <w:rPr>
          <w:rFonts w:hint="eastAsia" w:ascii="宋体" w:hAnsi="宋体" w:cs="宋体"/>
          <w:szCs w:val="21"/>
        </w:rPr>
        <w:t>（四）不同投标供应商的投标文件或部分投标文件相互混装。</w:t>
      </w:r>
    </w:p>
    <w:p w14:paraId="4CEB6521">
      <w:pPr>
        <w:spacing w:line="340" w:lineRule="exact"/>
        <w:ind w:firstLine="420" w:firstLineChars="200"/>
        <w:rPr>
          <w:rFonts w:ascii="宋体" w:hAnsi="宋体" w:cs="宋体"/>
          <w:szCs w:val="21"/>
        </w:rPr>
      </w:pPr>
      <w:r>
        <w:rPr>
          <w:rFonts w:hint="eastAsia" w:ascii="宋体" w:hAnsi="宋体" w:cs="宋体"/>
          <w:szCs w:val="21"/>
        </w:rPr>
        <w:t>（五）不同投标供应商的投标文件内容存在非正常一致。</w:t>
      </w:r>
    </w:p>
    <w:p w14:paraId="73DB799E">
      <w:pPr>
        <w:spacing w:line="340" w:lineRule="exact"/>
        <w:ind w:firstLine="420" w:firstLineChars="200"/>
        <w:rPr>
          <w:rFonts w:ascii="宋体" w:hAnsi="宋体" w:cs="宋体"/>
          <w:szCs w:val="21"/>
        </w:rPr>
      </w:pPr>
      <w:r>
        <w:rPr>
          <w:rFonts w:hint="eastAsia" w:ascii="宋体" w:hAnsi="宋体" w:cs="宋体"/>
          <w:szCs w:val="21"/>
        </w:rPr>
        <w:t>（六）由同一单位工作人员为两家以上（含两家）供应商进行同一项投标活动的。</w:t>
      </w:r>
    </w:p>
    <w:p w14:paraId="00041925">
      <w:pPr>
        <w:spacing w:line="340" w:lineRule="exact"/>
        <w:ind w:firstLine="420" w:firstLineChars="200"/>
        <w:rPr>
          <w:rFonts w:ascii="宋体" w:hAnsi="宋体" w:cs="宋体"/>
          <w:szCs w:val="21"/>
        </w:rPr>
      </w:pPr>
      <w:r>
        <w:rPr>
          <w:rFonts w:hint="eastAsia" w:ascii="宋体" w:hAnsi="宋体" w:cs="宋体"/>
          <w:szCs w:val="21"/>
        </w:rPr>
        <w:t>（七）不同投标人的投标报价呈规律性差异。</w:t>
      </w:r>
    </w:p>
    <w:p w14:paraId="7ED60F6E">
      <w:pPr>
        <w:spacing w:line="340" w:lineRule="exact"/>
        <w:ind w:firstLine="420" w:firstLineChars="200"/>
        <w:rPr>
          <w:rFonts w:ascii="宋体" w:hAnsi="宋体" w:cs="宋体"/>
          <w:szCs w:val="21"/>
        </w:rPr>
      </w:pPr>
      <w:r>
        <w:rPr>
          <w:rFonts w:hint="eastAsia" w:ascii="宋体" w:hAnsi="宋体" w:cs="宋体"/>
          <w:szCs w:val="21"/>
        </w:rPr>
        <w:t>（八）不同投标人的投标保证金从同一单位或者个人的账户转出。</w:t>
      </w:r>
    </w:p>
    <w:p w14:paraId="11D8BC70">
      <w:pPr>
        <w:spacing w:line="340" w:lineRule="exact"/>
        <w:ind w:firstLine="420" w:firstLineChars="200"/>
        <w:rPr>
          <w:rFonts w:ascii="宋体" w:hAnsi="宋体" w:cs="宋体"/>
          <w:szCs w:val="21"/>
        </w:rPr>
      </w:pPr>
      <w:r>
        <w:rPr>
          <w:rFonts w:hint="eastAsia" w:ascii="宋体" w:hAnsi="宋体" w:cs="宋体"/>
          <w:szCs w:val="21"/>
        </w:rPr>
        <w:t>（九）主管部门依照法律、法规认定的其他情形。</w:t>
      </w:r>
    </w:p>
    <w:p w14:paraId="44DD16A9">
      <w:pPr>
        <w:spacing w:line="340" w:lineRule="exact"/>
        <w:ind w:firstLine="422" w:firstLineChars="200"/>
        <w:rPr>
          <w:rFonts w:ascii="宋体" w:hAnsi="宋体" w:cs="宋体"/>
          <w:b/>
          <w:szCs w:val="21"/>
        </w:rPr>
      </w:pPr>
      <w:r>
        <w:rPr>
          <w:rFonts w:hint="eastAsia" w:ascii="宋体" w:hAnsi="宋体" w:cs="宋体"/>
          <w:b/>
          <w:szCs w:val="21"/>
        </w:rPr>
        <w:t>三、我单位已充分知悉下列情形存在法律风险，在投标前已对相关风险事项进行排查。</w:t>
      </w:r>
    </w:p>
    <w:p w14:paraId="1C31EEA9">
      <w:pPr>
        <w:spacing w:line="340" w:lineRule="exact"/>
        <w:ind w:firstLine="420" w:firstLineChars="200"/>
        <w:rPr>
          <w:rFonts w:ascii="宋体" w:hAnsi="宋体" w:cs="宋体"/>
          <w:b/>
          <w:szCs w:val="21"/>
        </w:rPr>
      </w:pPr>
      <w:r>
        <w:rPr>
          <w:rFonts w:hint="eastAsia" w:ascii="宋体" w:hAnsi="宋体" w:cs="宋体"/>
          <w:szCs w:val="21"/>
        </w:rPr>
        <w:t>（一）对于从其他主体获取的投标资料，我单位应审慎核查，确保其真实性。</w:t>
      </w:r>
      <w:r>
        <w:rPr>
          <w:rFonts w:hint="eastAsia" w:ascii="宋体" w:hAnsi="宋体" w:cs="宋体"/>
          <w:b/>
          <w:szCs w:val="21"/>
        </w:rPr>
        <w:t>如主管部门查实投标文件中存在虚假资料的，无论相关资料是否由第三方或本公司员工提供，均不影响主管部门对供应商存在“隐瞒真实情况，提供虚假资料”违法行为的认定。</w:t>
      </w:r>
    </w:p>
    <w:p w14:paraId="647A4497">
      <w:pPr>
        <w:spacing w:line="340" w:lineRule="exact"/>
        <w:ind w:firstLine="420" w:firstLineChars="200"/>
        <w:rPr>
          <w:rFonts w:ascii="宋体" w:hAnsi="宋体" w:cs="宋体"/>
          <w:szCs w:val="21"/>
        </w:rPr>
      </w:pPr>
      <w:r>
        <w:rPr>
          <w:rFonts w:hint="eastAsia" w:ascii="宋体" w:hAnsi="宋体" w:cs="宋体"/>
          <w:szCs w:val="21"/>
        </w:rPr>
        <w:t>（二）对于涉及国家机关出具的公文、证件、证明材料等文件，一旦涉嫌虚假，经查实，主管部门将依法从严处理，并移送有关部门追究法律责任；涉嫌犯罪的，移送司法机关处理。</w:t>
      </w:r>
    </w:p>
    <w:p w14:paraId="7A69AAE9">
      <w:pPr>
        <w:spacing w:line="340" w:lineRule="exact"/>
        <w:ind w:firstLine="420" w:firstLineChars="200"/>
        <w:rPr>
          <w:rFonts w:ascii="宋体" w:hAnsi="宋体" w:cs="宋体"/>
          <w:szCs w:val="21"/>
        </w:rPr>
      </w:pPr>
      <w:r>
        <w:rPr>
          <w:rFonts w:hint="eastAsia" w:ascii="宋体" w:hAnsi="宋体" w:cs="宋体"/>
          <w:szCs w:val="21"/>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ascii="宋体" w:hAnsi="宋体" w:cs="宋体"/>
          <w:b/>
          <w:bCs/>
          <w:szCs w:val="21"/>
        </w:rPr>
        <w:t>擅自将投标密钥或电子营业执照出借他人使用所造成的法律后果，由我单位自行承担</w:t>
      </w:r>
      <w:r>
        <w:rPr>
          <w:rFonts w:hint="eastAsia" w:ascii="宋体" w:hAnsi="宋体" w:cs="宋体"/>
          <w:szCs w:val="21"/>
        </w:rPr>
        <w:t>。</w:t>
      </w:r>
    </w:p>
    <w:p w14:paraId="0B2AD80A">
      <w:pPr>
        <w:spacing w:line="340" w:lineRule="exact"/>
        <w:ind w:firstLine="422" w:firstLineChars="200"/>
        <w:rPr>
          <w:rFonts w:ascii="宋体" w:hAnsi="宋体" w:cs="宋体"/>
          <w:b/>
          <w:szCs w:val="21"/>
        </w:rPr>
      </w:pPr>
      <w:r>
        <w:rPr>
          <w:rFonts w:hint="eastAsia" w:ascii="宋体" w:hAnsi="宋体" w:cs="宋体"/>
          <w:b/>
          <w:szCs w:val="21"/>
        </w:rPr>
        <w:t>四、我单位已充分知悉政府采购违法、违规行为的法律后果。</w:t>
      </w:r>
    </w:p>
    <w:p w14:paraId="1E604D62">
      <w:pPr>
        <w:spacing w:line="340" w:lineRule="exact"/>
        <w:ind w:firstLine="420" w:firstLineChars="200"/>
        <w:rPr>
          <w:rFonts w:ascii="宋体" w:hAnsi="宋体" w:cs="宋体"/>
          <w:szCs w:val="21"/>
        </w:rPr>
      </w:pPr>
      <w:r>
        <w:rPr>
          <w:rFonts w:hint="eastAsia" w:ascii="宋体" w:hAnsi="宋体" w:cs="宋体"/>
          <w:szCs w:val="21"/>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02556823">
      <w:pPr>
        <w:spacing w:line="340" w:lineRule="exact"/>
        <w:ind w:firstLine="420" w:firstLineChars="200"/>
        <w:rPr>
          <w:rFonts w:ascii="宋体" w:hAnsi="宋体" w:cs="宋体"/>
          <w:szCs w:val="21"/>
          <w:highlight w:val="yellow"/>
        </w:rPr>
      </w:pPr>
      <w:r>
        <w:rPr>
          <w:rFonts w:hint="eastAsia" w:ascii="宋体" w:hAnsi="宋体" w:cs="宋体"/>
          <w:szCs w:val="21"/>
          <w:highlight w:val="yellow"/>
        </w:rPr>
        <w:t>以下文字请投标供应商抄写并确认：“我单位已仔细阅读《政府采购违法行为风险知悉确认书》，充分知悉违法行为的法律后果，并承诺将严谨、诚信、依法依规参与政府采购活动”。</w:t>
      </w:r>
    </w:p>
    <w:tbl>
      <w:tblPr>
        <w:tblStyle w:val="478"/>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2137D83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304" w:hRule="atLeast"/>
        </w:trPr>
        <w:tc>
          <w:tcPr>
            <w:tcW w:w="8529" w:type="dxa"/>
            <w:tcBorders>
              <w:top w:val="nil"/>
              <w:left w:val="nil"/>
              <w:bottom w:val="single" w:color="000000" w:sz="8" w:space="0"/>
              <w:right w:val="nil"/>
            </w:tcBorders>
          </w:tcPr>
          <w:p w14:paraId="161631C1">
            <w:pPr>
              <w:autoSpaceDE w:val="0"/>
              <w:autoSpaceDN w:val="0"/>
              <w:spacing w:line="340" w:lineRule="exact"/>
              <w:ind w:firstLine="1866"/>
              <w:rPr>
                <w:rFonts w:ascii="宋体" w:hAnsi="宋体" w:cs="宋体"/>
                <w:spacing w:val="-4"/>
                <w:kern w:val="0"/>
                <w:szCs w:val="21"/>
              </w:rPr>
            </w:pPr>
          </w:p>
        </w:tc>
      </w:tr>
      <w:tr w14:paraId="1DED4AF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0081AEAD">
            <w:pPr>
              <w:autoSpaceDE w:val="0"/>
              <w:autoSpaceDN w:val="0"/>
              <w:spacing w:line="340" w:lineRule="exact"/>
              <w:ind w:firstLine="1866"/>
              <w:rPr>
                <w:rFonts w:ascii="宋体" w:hAnsi="宋体" w:cs="宋体"/>
                <w:spacing w:val="-4"/>
                <w:kern w:val="0"/>
                <w:szCs w:val="21"/>
              </w:rPr>
            </w:pPr>
          </w:p>
        </w:tc>
      </w:tr>
      <w:tr w14:paraId="409D8AC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2B0F8B7F">
            <w:pPr>
              <w:autoSpaceDE w:val="0"/>
              <w:autoSpaceDN w:val="0"/>
              <w:spacing w:line="340" w:lineRule="exact"/>
              <w:ind w:firstLine="1866"/>
              <w:rPr>
                <w:rFonts w:ascii="宋体" w:hAnsi="宋体" w:cs="宋体"/>
                <w:spacing w:val="-4"/>
                <w:kern w:val="0"/>
                <w:szCs w:val="21"/>
              </w:rPr>
            </w:pPr>
          </w:p>
        </w:tc>
      </w:tr>
      <w:tr w14:paraId="7E56D6D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5227695E">
            <w:pPr>
              <w:autoSpaceDE w:val="0"/>
              <w:autoSpaceDN w:val="0"/>
              <w:spacing w:line="340" w:lineRule="exact"/>
              <w:ind w:firstLine="1866"/>
              <w:rPr>
                <w:rFonts w:ascii="宋体" w:hAnsi="宋体" w:cs="宋体"/>
                <w:spacing w:val="-4"/>
                <w:kern w:val="0"/>
                <w:szCs w:val="21"/>
              </w:rPr>
            </w:pPr>
          </w:p>
        </w:tc>
      </w:tr>
    </w:tbl>
    <w:p w14:paraId="677CA02A">
      <w:pPr>
        <w:widowControl/>
        <w:wordWrap w:val="0"/>
        <w:autoSpaceDE w:val="0"/>
        <w:autoSpaceDN w:val="0"/>
        <w:spacing w:line="340" w:lineRule="exact"/>
        <w:ind w:right="808" w:firstLine="404" w:firstLineChars="200"/>
        <w:jc w:val="right"/>
        <w:rPr>
          <w:rFonts w:ascii="宋体" w:hAnsi="宋体" w:cs="宋体"/>
          <w:spacing w:val="-4"/>
          <w:kern w:val="0"/>
          <w:szCs w:val="21"/>
        </w:rPr>
      </w:pPr>
    </w:p>
    <w:p w14:paraId="01462B36">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单位负责人签名：</w:t>
      </w:r>
      <w:r>
        <w:rPr>
          <w:rFonts w:hint="eastAsia" w:ascii="宋体" w:hAnsi="宋体" w:cs="宋体"/>
          <w:spacing w:val="-4"/>
          <w:kern w:val="0"/>
          <w:szCs w:val="21"/>
          <w:u w:val="single"/>
        </w:rPr>
        <w:t xml:space="preserve">              </w:t>
      </w:r>
    </w:p>
    <w:p w14:paraId="071BBC31">
      <w:pPr>
        <w:widowControl/>
        <w:wordWrap w:val="0"/>
        <w:autoSpaceDE w:val="0"/>
        <w:autoSpaceDN w:val="0"/>
        <w:spacing w:line="340" w:lineRule="exact"/>
        <w:ind w:right="808" w:firstLine="404" w:firstLineChars="200"/>
        <w:jc w:val="center"/>
        <w:rPr>
          <w:rFonts w:ascii="宋体" w:hAnsi="宋体" w:cs="宋体"/>
          <w:spacing w:val="-4"/>
          <w:kern w:val="0"/>
          <w:szCs w:val="21"/>
          <w:u w:val="single"/>
        </w:rPr>
      </w:pPr>
      <w:r>
        <w:rPr>
          <w:rFonts w:hint="eastAsia" w:ascii="宋体" w:hAnsi="宋体" w:cs="宋体"/>
          <w:spacing w:val="-4"/>
          <w:kern w:val="0"/>
          <w:szCs w:val="21"/>
        </w:rPr>
        <w:t xml:space="preserve">                                 （加盖公章）</w:t>
      </w:r>
    </w:p>
    <w:p w14:paraId="2A9E6BB9">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 xml:space="preserve">     日期：</w:t>
      </w:r>
      <w:r>
        <w:rPr>
          <w:rFonts w:hint="eastAsia" w:ascii="宋体" w:hAnsi="宋体" w:cs="宋体"/>
          <w:spacing w:val="-4"/>
          <w:kern w:val="0"/>
          <w:szCs w:val="21"/>
          <w:u w:val="single"/>
        </w:rPr>
        <w:t xml:space="preserve">              </w:t>
      </w:r>
    </w:p>
    <w:p w14:paraId="0343CBAC">
      <w:pPr>
        <w:widowControl/>
        <w:autoSpaceDE w:val="0"/>
        <w:autoSpaceDN w:val="0"/>
        <w:spacing w:line="340" w:lineRule="exact"/>
        <w:ind w:firstLine="406" w:firstLineChars="200"/>
        <w:jc w:val="left"/>
        <w:rPr>
          <w:rFonts w:ascii="宋体" w:hAnsi="宋体" w:cs="宋体"/>
          <w:b/>
          <w:bCs/>
          <w:spacing w:val="-4"/>
          <w:kern w:val="0"/>
          <w:szCs w:val="21"/>
        </w:rPr>
      </w:pPr>
    </w:p>
    <w:p w14:paraId="2C240F3D">
      <w:pPr>
        <w:widowControl/>
        <w:autoSpaceDE w:val="0"/>
        <w:autoSpaceDN w:val="0"/>
        <w:spacing w:line="340" w:lineRule="exact"/>
        <w:ind w:firstLine="406" w:firstLineChars="200"/>
        <w:jc w:val="left"/>
        <w:rPr>
          <w:rFonts w:ascii="宋体" w:hAnsi="宋体" w:cs="宋体"/>
          <w:b/>
          <w:bCs/>
          <w:spacing w:val="-4"/>
          <w:kern w:val="0"/>
          <w:szCs w:val="21"/>
        </w:rPr>
      </w:pPr>
      <w:r>
        <w:rPr>
          <w:rFonts w:hint="eastAsia" w:ascii="宋体" w:hAnsi="宋体" w:cs="宋体"/>
          <w:b/>
          <w:bCs/>
          <w:spacing w:val="-4"/>
          <w:kern w:val="0"/>
          <w:szCs w:val="21"/>
        </w:rPr>
        <w:t>注：1.《政府采购违法行为风险知悉确认书》需由投标供应商负责人签字并加盖单位公章后，扫描上传至投标文件一并提交。</w:t>
      </w:r>
    </w:p>
    <w:p w14:paraId="7D48AEFB">
      <w:pPr>
        <w:pStyle w:val="55"/>
      </w:pPr>
      <w:r>
        <w:rPr>
          <w:rFonts w:hint="eastAsia" w:ascii="宋体" w:hAnsi="宋体" w:cs="宋体"/>
          <w:b/>
          <w:bCs/>
          <w:spacing w:val="-4"/>
          <w:kern w:val="0"/>
          <w:szCs w:val="21"/>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14:paraId="33C04E4B">
      <w:pPr>
        <w:widowControl/>
        <w:autoSpaceDE w:val="0"/>
        <w:autoSpaceDN w:val="0"/>
        <w:spacing w:line="400" w:lineRule="exact"/>
        <w:jc w:val="left"/>
        <w:rPr>
          <w:rFonts w:ascii="宋体" w:hAnsi="宋体"/>
          <w:color w:val="FF0000"/>
          <w:spacing w:val="-4"/>
          <w:kern w:val="0"/>
          <w:szCs w:val="21"/>
        </w:rPr>
      </w:pPr>
    </w:p>
    <w:p w14:paraId="090FFAE2">
      <w:pPr>
        <w:pStyle w:val="55"/>
        <w:rPr>
          <w:rFonts w:ascii="宋体" w:hAnsi="宋体"/>
          <w:color w:val="FF0000"/>
          <w:spacing w:val="-4"/>
          <w:kern w:val="0"/>
          <w:szCs w:val="21"/>
        </w:rPr>
      </w:pPr>
    </w:p>
    <w:p w14:paraId="0E05C20F">
      <w:pPr>
        <w:pStyle w:val="55"/>
        <w:rPr>
          <w:rFonts w:ascii="宋体" w:hAnsi="宋体"/>
          <w:color w:val="FF0000"/>
          <w:spacing w:val="-4"/>
          <w:kern w:val="0"/>
          <w:szCs w:val="21"/>
        </w:rPr>
      </w:pPr>
    </w:p>
    <w:p w14:paraId="6581F93B">
      <w:pPr>
        <w:pStyle w:val="55"/>
        <w:rPr>
          <w:rFonts w:ascii="宋体" w:hAnsi="宋体"/>
          <w:color w:val="FF0000"/>
          <w:spacing w:val="-4"/>
          <w:kern w:val="0"/>
          <w:szCs w:val="21"/>
        </w:rPr>
      </w:pPr>
    </w:p>
    <w:p w14:paraId="2BFC1892">
      <w:pPr>
        <w:pStyle w:val="55"/>
        <w:rPr>
          <w:rFonts w:ascii="宋体" w:hAnsi="宋体"/>
          <w:color w:val="FF0000"/>
          <w:spacing w:val="-4"/>
          <w:kern w:val="0"/>
          <w:szCs w:val="21"/>
        </w:rPr>
      </w:pPr>
    </w:p>
    <w:p w14:paraId="2376A9F4">
      <w:pPr>
        <w:widowControl/>
        <w:jc w:val="center"/>
        <w:rPr>
          <w:rFonts w:ascii="黑体" w:hAnsi="宋体" w:eastAsia="黑体"/>
          <w:kern w:val="0"/>
          <w:sz w:val="24"/>
          <w:szCs w:val="20"/>
        </w:rPr>
      </w:pPr>
      <w:r>
        <w:rPr>
          <w:rFonts w:hint="eastAsia" w:ascii="黑体" w:hAnsi="宋体" w:eastAsia="黑体"/>
          <w:kern w:val="0"/>
          <w:sz w:val="24"/>
          <w:szCs w:val="20"/>
        </w:rPr>
        <w:t>（二）警示情形自查确认表</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3"/>
        <w:gridCol w:w="356"/>
        <w:gridCol w:w="377"/>
        <w:gridCol w:w="459"/>
        <w:gridCol w:w="841"/>
        <w:gridCol w:w="926"/>
        <w:gridCol w:w="1822"/>
        <w:gridCol w:w="1327"/>
        <w:gridCol w:w="1589"/>
      </w:tblGrid>
      <w:tr w14:paraId="278F8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87" w:type="pct"/>
            <w:tcBorders>
              <w:top w:val="single" w:color="000000" w:sz="4" w:space="0"/>
              <w:left w:val="single" w:color="000000" w:sz="4" w:space="0"/>
              <w:bottom w:val="single" w:color="000000" w:sz="4" w:space="0"/>
              <w:right w:val="single" w:color="000000" w:sz="4" w:space="0"/>
            </w:tcBorders>
            <w:noWrap/>
            <w:vAlign w:val="center"/>
          </w:tcPr>
          <w:p w14:paraId="557547E1">
            <w:pPr>
              <w:jc w:val="center"/>
              <w:rPr>
                <w:rFonts w:ascii="宋体" w:hAnsi="宋体" w:cs="宋体"/>
                <w:b/>
                <w:bCs/>
                <w:szCs w:val="21"/>
              </w:rPr>
            </w:pPr>
            <w:r>
              <w:rPr>
                <w:rFonts w:hint="eastAsia" w:ascii="宋体" w:hAnsi="宋体" w:cs="宋体"/>
                <w:b/>
                <w:bCs/>
                <w:szCs w:val="21"/>
              </w:rPr>
              <w:t>序号</w:t>
            </w:r>
          </w:p>
        </w:tc>
        <w:tc>
          <w:tcPr>
            <w:tcW w:w="420" w:type="pct"/>
            <w:gridSpan w:val="2"/>
            <w:tcBorders>
              <w:top w:val="single" w:color="000000" w:sz="4" w:space="0"/>
              <w:left w:val="single" w:color="000000" w:sz="4" w:space="0"/>
              <w:bottom w:val="single" w:color="000000" w:sz="4" w:space="0"/>
              <w:right w:val="single" w:color="000000" w:sz="4" w:space="0"/>
            </w:tcBorders>
            <w:noWrap/>
            <w:vAlign w:val="center"/>
          </w:tcPr>
          <w:p w14:paraId="044969FD">
            <w:pPr>
              <w:jc w:val="center"/>
              <w:rPr>
                <w:rFonts w:ascii="宋体" w:hAnsi="宋体" w:cs="宋体"/>
                <w:b/>
                <w:bCs/>
                <w:szCs w:val="21"/>
              </w:rPr>
            </w:pPr>
            <w:r>
              <w:rPr>
                <w:rFonts w:hint="eastAsia" w:ascii="宋体" w:hAnsi="宋体" w:cs="宋体"/>
                <w:b/>
                <w:bCs/>
                <w:szCs w:val="21"/>
              </w:rPr>
              <w:t>类别</w:t>
            </w:r>
          </w:p>
        </w:tc>
        <w:tc>
          <w:tcPr>
            <w:tcW w:w="2321" w:type="pct"/>
            <w:gridSpan w:val="4"/>
            <w:tcBorders>
              <w:top w:val="single" w:color="000000" w:sz="4" w:space="0"/>
              <w:left w:val="single" w:color="000000" w:sz="4" w:space="0"/>
              <w:bottom w:val="single" w:color="000000" w:sz="4" w:space="0"/>
              <w:right w:val="single" w:color="000000" w:sz="4" w:space="0"/>
            </w:tcBorders>
            <w:vAlign w:val="center"/>
          </w:tcPr>
          <w:p w14:paraId="4CEC65A8">
            <w:pPr>
              <w:jc w:val="center"/>
              <w:rPr>
                <w:rFonts w:ascii="宋体" w:hAnsi="宋体" w:cs="宋体"/>
                <w:b/>
                <w:bCs/>
                <w:szCs w:val="21"/>
              </w:rPr>
            </w:pPr>
            <w:r>
              <w:rPr>
                <w:rFonts w:hint="eastAsia" w:ascii="宋体" w:hAnsi="宋体" w:cs="宋体"/>
                <w:b/>
                <w:bCs/>
                <w:szCs w:val="21"/>
              </w:rPr>
              <w:t>内容</w:t>
            </w:r>
          </w:p>
        </w:tc>
        <w:tc>
          <w:tcPr>
            <w:tcW w:w="1670" w:type="pct"/>
            <w:gridSpan w:val="2"/>
            <w:tcBorders>
              <w:top w:val="single" w:color="000000" w:sz="4" w:space="0"/>
              <w:left w:val="single" w:color="000000" w:sz="4" w:space="0"/>
              <w:bottom w:val="single" w:color="000000" w:sz="4" w:space="0"/>
              <w:right w:val="single" w:color="000000" w:sz="4" w:space="0"/>
            </w:tcBorders>
            <w:noWrap/>
            <w:vAlign w:val="center"/>
          </w:tcPr>
          <w:p w14:paraId="30F53E70">
            <w:pPr>
              <w:jc w:val="center"/>
              <w:rPr>
                <w:rFonts w:ascii="宋体" w:hAnsi="宋体" w:cs="宋体"/>
                <w:b/>
                <w:bCs/>
                <w:szCs w:val="21"/>
              </w:rPr>
            </w:pPr>
            <w:r>
              <w:rPr>
                <w:rFonts w:hint="eastAsia" w:ascii="宋体" w:hAnsi="宋体" w:cs="宋体"/>
                <w:b/>
                <w:bCs/>
                <w:szCs w:val="21"/>
              </w:rPr>
              <w:t>选项</w:t>
            </w:r>
          </w:p>
        </w:tc>
      </w:tr>
      <w:tr w14:paraId="69DC1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000000" w:sz="4" w:space="0"/>
            </w:tcBorders>
            <w:noWrap/>
            <w:vAlign w:val="center"/>
          </w:tcPr>
          <w:p w14:paraId="7E6B06D6">
            <w:pPr>
              <w:jc w:val="center"/>
              <w:rPr>
                <w:rFonts w:ascii="宋体" w:hAnsi="宋体" w:cs="宋体"/>
                <w:szCs w:val="21"/>
              </w:rPr>
            </w:pPr>
            <w:r>
              <w:rPr>
                <w:rFonts w:hint="eastAsia" w:ascii="宋体" w:hAnsi="宋体" w:cs="宋体"/>
                <w:szCs w:val="21"/>
              </w:rPr>
              <w:t>1</w:t>
            </w:r>
          </w:p>
        </w:tc>
        <w:tc>
          <w:tcPr>
            <w:tcW w:w="420" w:type="pct"/>
            <w:gridSpan w:val="2"/>
            <w:vMerge w:val="restart"/>
            <w:tcBorders>
              <w:top w:val="nil"/>
              <w:left w:val="single" w:color="000000" w:sz="4" w:space="0"/>
              <w:bottom w:val="single" w:color="000000" w:sz="4" w:space="0"/>
              <w:right w:val="single" w:color="000000" w:sz="4" w:space="0"/>
            </w:tcBorders>
            <w:vAlign w:val="center"/>
          </w:tcPr>
          <w:p w14:paraId="2AF9D970">
            <w:pPr>
              <w:jc w:val="center"/>
              <w:rPr>
                <w:rFonts w:ascii="宋体" w:hAnsi="宋体" w:cs="宋体"/>
                <w:szCs w:val="21"/>
              </w:rPr>
            </w:pPr>
            <w:r>
              <w:rPr>
                <w:rFonts w:hint="eastAsia" w:ascii="宋体" w:hAnsi="宋体" w:cs="宋体"/>
                <w:szCs w:val="21"/>
              </w:rPr>
              <w:t>串通投标</w:t>
            </w:r>
          </w:p>
        </w:tc>
        <w:tc>
          <w:tcPr>
            <w:tcW w:w="2321" w:type="pct"/>
            <w:gridSpan w:val="4"/>
            <w:tcBorders>
              <w:top w:val="single" w:color="000000" w:sz="4" w:space="0"/>
              <w:left w:val="single" w:color="000000" w:sz="4" w:space="0"/>
              <w:bottom w:val="single" w:color="000000" w:sz="4" w:space="0"/>
              <w:right w:val="single" w:color="000000" w:sz="4" w:space="0"/>
            </w:tcBorders>
            <w:vAlign w:val="center"/>
          </w:tcPr>
          <w:p w14:paraId="1D4E7BA4">
            <w:pPr>
              <w:rPr>
                <w:rFonts w:ascii="宋体" w:hAnsi="宋体" w:cs="宋体"/>
                <w:szCs w:val="21"/>
              </w:rPr>
            </w:pPr>
            <w:r>
              <w:rPr>
                <w:rFonts w:hint="eastAsia" w:ascii="宋体" w:hAnsi="宋体" w:cs="宋体"/>
                <w:szCs w:val="21"/>
              </w:rPr>
              <w:t>我单位不存在与其他投标供应商的法定代表人、主要经营负责人、项目投标授权代表人、项目负责人、主要技术人员为同一人、属同一单位或者在同一单位缴纳社会保险的“串通投标”违法行为。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3B128F7A">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7F776EE0">
            <w:pPr>
              <w:rPr>
                <w:rFonts w:ascii="宋体" w:hAnsi="宋体" w:cs="宋体"/>
                <w:szCs w:val="21"/>
              </w:rPr>
            </w:pPr>
            <w:r>
              <w:rPr>
                <w:rFonts w:hint="eastAsia" w:ascii="宋体" w:hAnsi="宋体" w:cs="宋体"/>
                <w:szCs w:val="21"/>
              </w:rPr>
              <w:t>□否</w:t>
            </w:r>
          </w:p>
        </w:tc>
      </w:tr>
      <w:tr w14:paraId="7C15F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000000" w:sz="4" w:space="0"/>
            </w:tcBorders>
            <w:noWrap/>
            <w:vAlign w:val="center"/>
          </w:tcPr>
          <w:p w14:paraId="3FE44BE3">
            <w:pPr>
              <w:jc w:val="center"/>
              <w:rPr>
                <w:rFonts w:ascii="宋体" w:hAnsi="宋体" w:cs="宋体"/>
                <w:szCs w:val="21"/>
              </w:rPr>
            </w:pPr>
            <w:r>
              <w:rPr>
                <w:rFonts w:hint="eastAsia" w:ascii="宋体" w:hAnsi="宋体" w:cs="宋体"/>
                <w:szCs w:val="21"/>
              </w:rPr>
              <w:t>2</w:t>
            </w:r>
          </w:p>
        </w:tc>
        <w:tc>
          <w:tcPr>
            <w:tcW w:w="420" w:type="pct"/>
            <w:gridSpan w:val="2"/>
            <w:vMerge w:val="continue"/>
            <w:tcBorders>
              <w:top w:val="nil"/>
              <w:left w:val="single" w:color="000000" w:sz="4" w:space="0"/>
              <w:bottom w:val="single" w:color="000000" w:sz="4" w:space="0"/>
              <w:right w:val="single" w:color="000000" w:sz="4" w:space="0"/>
            </w:tcBorders>
            <w:vAlign w:val="center"/>
          </w:tcPr>
          <w:p w14:paraId="4624554A">
            <w:pPr>
              <w:rPr>
                <w:rFonts w:ascii="宋体" w:hAnsi="宋体" w:cs="宋体"/>
                <w:szCs w:val="21"/>
              </w:rPr>
            </w:pPr>
          </w:p>
        </w:tc>
        <w:tc>
          <w:tcPr>
            <w:tcW w:w="2321" w:type="pct"/>
            <w:gridSpan w:val="4"/>
            <w:tcBorders>
              <w:top w:val="single" w:color="000000" w:sz="4" w:space="0"/>
              <w:left w:val="single" w:color="000000" w:sz="4" w:space="0"/>
              <w:bottom w:val="single" w:color="000000" w:sz="4" w:space="0"/>
              <w:right w:val="single" w:color="000000" w:sz="4" w:space="0"/>
            </w:tcBorders>
            <w:vAlign w:val="center"/>
          </w:tcPr>
          <w:p w14:paraId="5A447716">
            <w:pPr>
              <w:rPr>
                <w:rFonts w:ascii="宋体" w:hAnsi="宋体" w:cs="宋体"/>
                <w:szCs w:val="21"/>
              </w:rPr>
            </w:pPr>
            <w:r>
              <w:rPr>
                <w:rFonts w:hint="eastAsia" w:ascii="宋体" w:hAnsi="宋体" w:cs="宋体"/>
                <w:szCs w:val="21"/>
              </w:rPr>
              <w:t>我单位不存在与其他投标供应商的投标文件由同一单位或者同一人编制的“串通投标”违法行为。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5F7FE928">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150DEB88">
            <w:pPr>
              <w:rPr>
                <w:rFonts w:ascii="宋体" w:hAnsi="宋体" w:cs="宋体"/>
                <w:szCs w:val="21"/>
              </w:rPr>
            </w:pPr>
            <w:r>
              <w:rPr>
                <w:rFonts w:hint="eastAsia" w:ascii="宋体" w:hAnsi="宋体" w:cs="宋体"/>
                <w:szCs w:val="21"/>
              </w:rPr>
              <w:t>□否</w:t>
            </w:r>
          </w:p>
        </w:tc>
      </w:tr>
      <w:tr w14:paraId="3DC60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000000" w:sz="4" w:space="0"/>
            </w:tcBorders>
            <w:noWrap/>
            <w:vAlign w:val="center"/>
          </w:tcPr>
          <w:p w14:paraId="31EDF267">
            <w:pPr>
              <w:jc w:val="center"/>
              <w:rPr>
                <w:rFonts w:ascii="宋体" w:hAnsi="宋体" w:cs="宋体"/>
                <w:szCs w:val="21"/>
              </w:rPr>
            </w:pPr>
            <w:r>
              <w:rPr>
                <w:rFonts w:hint="eastAsia" w:ascii="宋体" w:hAnsi="宋体" w:cs="宋体"/>
                <w:szCs w:val="21"/>
              </w:rPr>
              <w:t>3</w:t>
            </w:r>
          </w:p>
        </w:tc>
        <w:tc>
          <w:tcPr>
            <w:tcW w:w="420" w:type="pct"/>
            <w:gridSpan w:val="2"/>
            <w:vMerge w:val="continue"/>
            <w:tcBorders>
              <w:top w:val="nil"/>
              <w:left w:val="single" w:color="000000" w:sz="4" w:space="0"/>
              <w:bottom w:val="single" w:color="000000" w:sz="4" w:space="0"/>
              <w:right w:val="single" w:color="000000" w:sz="4" w:space="0"/>
            </w:tcBorders>
            <w:vAlign w:val="center"/>
          </w:tcPr>
          <w:p w14:paraId="235165DB">
            <w:pPr>
              <w:rPr>
                <w:rFonts w:ascii="宋体" w:hAnsi="宋体" w:cs="宋体"/>
                <w:szCs w:val="21"/>
              </w:rPr>
            </w:pPr>
          </w:p>
        </w:tc>
        <w:tc>
          <w:tcPr>
            <w:tcW w:w="2321" w:type="pct"/>
            <w:gridSpan w:val="4"/>
            <w:tcBorders>
              <w:top w:val="single" w:color="000000" w:sz="4" w:space="0"/>
              <w:left w:val="single" w:color="000000" w:sz="4" w:space="0"/>
              <w:bottom w:val="single" w:color="000000" w:sz="4" w:space="0"/>
              <w:right w:val="single" w:color="000000" w:sz="4" w:space="0"/>
            </w:tcBorders>
            <w:vAlign w:val="center"/>
          </w:tcPr>
          <w:p w14:paraId="405B177C">
            <w:pPr>
              <w:rPr>
                <w:rFonts w:ascii="宋体" w:hAnsi="宋体" w:cs="宋体"/>
                <w:szCs w:val="21"/>
              </w:rPr>
            </w:pPr>
            <w:r>
              <w:rPr>
                <w:rFonts w:hint="eastAsia" w:ascii="宋体" w:hAnsi="宋体" w:cs="宋体"/>
                <w:szCs w:val="21"/>
              </w:rPr>
              <w:t>我单位不存在与其他投标供应商的投标文件或部分投标文件相互混装的“串通投标”违法行为。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669DBB1D">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09557571">
            <w:pPr>
              <w:rPr>
                <w:rFonts w:ascii="宋体" w:hAnsi="宋体" w:cs="宋体"/>
                <w:szCs w:val="21"/>
              </w:rPr>
            </w:pPr>
            <w:r>
              <w:rPr>
                <w:rFonts w:hint="eastAsia" w:ascii="宋体" w:hAnsi="宋体" w:cs="宋体"/>
                <w:szCs w:val="21"/>
              </w:rPr>
              <w:t>□否</w:t>
            </w:r>
          </w:p>
        </w:tc>
      </w:tr>
      <w:tr w14:paraId="65EC1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000000" w:sz="4" w:space="0"/>
            </w:tcBorders>
            <w:noWrap/>
            <w:vAlign w:val="center"/>
          </w:tcPr>
          <w:p w14:paraId="30E1D3F0">
            <w:pPr>
              <w:jc w:val="center"/>
              <w:rPr>
                <w:rFonts w:ascii="宋体" w:hAnsi="宋体" w:cs="宋体"/>
                <w:szCs w:val="21"/>
              </w:rPr>
            </w:pPr>
            <w:r>
              <w:rPr>
                <w:rFonts w:hint="eastAsia" w:ascii="宋体" w:hAnsi="宋体" w:cs="宋体"/>
                <w:szCs w:val="21"/>
              </w:rPr>
              <w:t>4</w:t>
            </w:r>
          </w:p>
        </w:tc>
        <w:tc>
          <w:tcPr>
            <w:tcW w:w="420" w:type="pct"/>
            <w:gridSpan w:val="2"/>
            <w:vMerge w:val="continue"/>
            <w:tcBorders>
              <w:top w:val="nil"/>
              <w:left w:val="single" w:color="000000" w:sz="4" w:space="0"/>
              <w:bottom w:val="single" w:color="000000" w:sz="4" w:space="0"/>
              <w:right w:val="single" w:color="000000" w:sz="4" w:space="0"/>
            </w:tcBorders>
            <w:vAlign w:val="center"/>
          </w:tcPr>
          <w:p w14:paraId="2CE8FD73">
            <w:pPr>
              <w:rPr>
                <w:rFonts w:ascii="宋体" w:hAnsi="宋体" w:cs="宋体"/>
                <w:szCs w:val="21"/>
              </w:rPr>
            </w:pPr>
          </w:p>
        </w:tc>
        <w:tc>
          <w:tcPr>
            <w:tcW w:w="2321" w:type="pct"/>
            <w:gridSpan w:val="4"/>
            <w:tcBorders>
              <w:top w:val="single" w:color="000000" w:sz="4" w:space="0"/>
              <w:left w:val="single" w:color="000000" w:sz="4" w:space="0"/>
              <w:bottom w:val="single" w:color="000000" w:sz="4" w:space="0"/>
              <w:right w:val="single" w:color="000000" w:sz="4" w:space="0"/>
            </w:tcBorders>
            <w:vAlign w:val="center"/>
          </w:tcPr>
          <w:p w14:paraId="613594FE">
            <w:pPr>
              <w:rPr>
                <w:rFonts w:ascii="宋体" w:hAnsi="宋体" w:cs="宋体"/>
                <w:szCs w:val="21"/>
              </w:rPr>
            </w:pPr>
            <w:r>
              <w:rPr>
                <w:rFonts w:hint="eastAsia" w:ascii="宋体" w:hAnsi="宋体" w:cs="宋体"/>
                <w:szCs w:val="21"/>
              </w:rPr>
              <w:t>我单位不存在与其他投标供应商的投标文件内容非正常一致的“串通投标”违法行为。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001DC55C">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76BAC3CE">
            <w:pPr>
              <w:rPr>
                <w:rFonts w:ascii="宋体" w:hAnsi="宋体" w:cs="宋体"/>
                <w:szCs w:val="21"/>
              </w:rPr>
            </w:pPr>
            <w:r>
              <w:rPr>
                <w:rFonts w:hint="eastAsia" w:ascii="宋体" w:hAnsi="宋体" w:cs="宋体"/>
                <w:szCs w:val="21"/>
              </w:rPr>
              <w:t>□否</w:t>
            </w:r>
          </w:p>
        </w:tc>
      </w:tr>
      <w:tr w14:paraId="54FCD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000000" w:sz="4" w:space="0"/>
            </w:tcBorders>
            <w:noWrap/>
            <w:vAlign w:val="center"/>
          </w:tcPr>
          <w:p w14:paraId="7D18C2B6">
            <w:pPr>
              <w:jc w:val="center"/>
              <w:rPr>
                <w:rFonts w:ascii="宋体" w:hAnsi="宋体" w:cs="宋体"/>
                <w:szCs w:val="21"/>
              </w:rPr>
            </w:pPr>
            <w:r>
              <w:rPr>
                <w:rFonts w:hint="eastAsia" w:ascii="宋体" w:hAnsi="宋体" w:cs="宋体"/>
                <w:szCs w:val="21"/>
              </w:rPr>
              <w:t>5</w:t>
            </w:r>
          </w:p>
        </w:tc>
        <w:tc>
          <w:tcPr>
            <w:tcW w:w="420" w:type="pct"/>
            <w:gridSpan w:val="2"/>
            <w:vMerge w:val="continue"/>
            <w:tcBorders>
              <w:top w:val="nil"/>
              <w:left w:val="single" w:color="000000" w:sz="4" w:space="0"/>
              <w:bottom w:val="single" w:color="000000" w:sz="4" w:space="0"/>
              <w:right w:val="single" w:color="000000" w:sz="4" w:space="0"/>
            </w:tcBorders>
            <w:vAlign w:val="center"/>
          </w:tcPr>
          <w:p w14:paraId="04570C9E">
            <w:pPr>
              <w:rPr>
                <w:rFonts w:ascii="宋体" w:hAnsi="宋体" w:cs="宋体"/>
                <w:szCs w:val="21"/>
              </w:rPr>
            </w:pPr>
          </w:p>
        </w:tc>
        <w:tc>
          <w:tcPr>
            <w:tcW w:w="2321" w:type="pct"/>
            <w:gridSpan w:val="4"/>
            <w:tcBorders>
              <w:top w:val="single" w:color="000000" w:sz="4" w:space="0"/>
              <w:left w:val="single" w:color="000000" w:sz="4" w:space="0"/>
              <w:bottom w:val="single" w:color="000000" w:sz="4" w:space="0"/>
              <w:right w:val="single" w:color="000000" w:sz="4" w:space="0"/>
            </w:tcBorders>
            <w:vAlign w:val="center"/>
          </w:tcPr>
          <w:p w14:paraId="25CF6A1A">
            <w:pPr>
              <w:rPr>
                <w:rFonts w:ascii="宋体" w:hAnsi="宋体" w:cs="宋体"/>
                <w:szCs w:val="21"/>
              </w:rPr>
            </w:pPr>
            <w:r>
              <w:rPr>
                <w:rFonts w:hint="eastAsia" w:ascii="宋体" w:hAnsi="宋体" w:cs="宋体"/>
                <w:szCs w:val="21"/>
              </w:rPr>
              <w:t>我单位不存在由同一单位工作人员为两家（含）以上供应商进行同一项投标活动的“串通投标”违法行为。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5701581B">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78F3CCD6">
            <w:pPr>
              <w:rPr>
                <w:rFonts w:ascii="宋体" w:hAnsi="宋体" w:cs="宋体"/>
                <w:szCs w:val="21"/>
              </w:rPr>
            </w:pPr>
            <w:r>
              <w:rPr>
                <w:rFonts w:hint="eastAsia" w:ascii="宋体" w:hAnsi="宋体" w:cs="宋体"/>
                <w:szCs w:val="21"/>
              </w:rPr>
              <w:t>□否</w:t>
            </w:r>
          </w:p>
        </w:tc>
      </w:tr>
      <w:tr w14:paraId="3C697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000000" w:sz="4" w:space="0"/>
            </w:tcBorders>
            <w:noWrap/>
            <w:vAlign w:val="center"/>
          </w:tcPr>
          <w:p w14:paraId="4D229D5C">
            <w:pPr>
              <w:jc w:val="center"/>
              <w:rPr>
                <w:rFonts w:ascii="宋体" w:hAnsi="宋体" w:cs="宋体"/>
                <w:szCs w:val="21"/>
              </w:rPr>
            </w:pPr>
            <w:r>
              <w:rPr>
                <w:rFonts w:hint="eastAsia" w:ascii="宋体" w:hAnsi="宋体" w:cs="宋体"/>
                <w:szCs w:val="21"/>
              </w:rPr>
              <w:t>6</w:t>
            </w:r>
          </w:p>
        </w:tc>
        <w:tc>
          <w:tcPr>
            <w:tcW w:w="420" w:type="pct"/>
            <w:gridSpan w:val="2"/>
            <w:vMerge w:val="continue"/>
            <w:tcBorders>
              <w:top w:val="nil"/>
              <w:left w:val="single" w:color="000000" w:sz="4" w:space="0"/>
              <w:bottom w:val="single" w:color="000000" w:sz="4" w:space="0"/>
              <w:right w:val="single" w:color="000000" w:sz="4" w:space="0"/>
            </w:tcBorders>
            <w:vAlign w:val="center"/>
          </w:tcPr>
          <w:p w14:paraId="1660E37D">
            <w:pPr>
              <w:rPr>
                <w:rFonts w:ascii="宋体" w:hAnsi="宋体" w:cs="宋体"/>
                <w:szCs w:val="21"/>
              </w:rPr>
            </w:pPr>
          </w:p>
        </w:tc>
        <w:tc>
          <w:tcPr>
            <w:tcW w:w="2321" w:type="pct"/>
            <w:gridSpan w:val="4"/>
            <w:tcBorders>
              <w:top w:val="single" w:color="000000" w:sz="4" w:space="0"/>
              <w:left w:val="single" w:color="000000" w:sz="4" w:space="0"/>
              <w:bottom w:val="single" w:color="000000" w:sz="4" w:space="0"/>
              <w:right w:val="single" w:color="000000" w:sz="4" w:space="0"/>
            </w:tcBorders>
            <w:vAlign w:val="center"/>
          </w:tcPr>
          <w:p w14:paraId="38896BC3">
            <w:pPr>
              <w:rPr>
                <w:rFonts w:ascii="宋体" w:hAnsi="宋体" w:cs="宋体"/>
                <w:szCs w:val="21"/>
              </w:rPr>
            </w:pPr>
            <w:r>
              <w:rPr>
                <w:rFonts w:hint="eastAsia" w:ascii="宋体" w:hAnsi="宋体" w:cs="宋体"/>
                <w:szCs w:val="21"/>
              </w:rPr>
              <w:t>我单位不存在与其他投标供应商相互约定给予未中标供应商利益补偿的“串通投标”违法行为。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5BE0D1C9">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13224CF0">
            <w:pPr>
              <w:rPr>
                <w:rFonts w:ascii="宋体" w:hAnsi="宋体" w:cs="宋体"/>
                <w:szCs w:val="21"/>
              </w:rPr>
            </w:pPr>
            <w:r>
              <w:rPr>
                <w:rFonts w:hint="eastAsia" w:ascii="宋体" w:hAnsi="宋体" w:cs="宋体"/>
                <w:szCs w:val="21"/>
              </w:rPr>
              <w:t>□否</w:t>
            </w:r>
          </w:p>
        </w:tc>
      </w:tr>
      <w:tr w14:paraId="2D776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201E4FD8">
            <w:pPr>
              <w:jc w:val="center"/>
              <w:rPr>
                <w:rFonts w:ascii="宋体" w:hAnsi="宋体" w:cs="宋体"/>
                <w:szCs w:val="21"/>
              </w:rPr>
            </w:pPr>
            <w:r>
              <w:rPr>
                <w:rFonts w:hint="eastAsia" w:ascii="宋体" w:hAnsi="宋体" w:cs="宋体"/>
                <w:szCs w:val="21"/>
              </w:rPr>
              <w:t>7</w:t>
            </w:r>
          </w:p>
        </w:tc>
        <w:tc>
          <w:tcPr>
            <w:tcW w:w="420" w:type="pct"/>
            <w:gridSpan w:val="2"/>
            <w:vMerge w:val="restart"/>
            <w:tcBorders>
              <w:top w:val="nil"/>
              <w:left w:val="nil"/>
              <w:bottom w:val="single" w:color="auto" w:sz="4" w:space="0"/>
              <w:right w:val="single" w:color="auto" w:sz="4" w:space="0"/>
            </w:tcBorders>
            <w:vAlign w:val="center"/>
          </w:tcPr>
          <w:p w14:paraId="5B931E1D">
            <w:pPr>
              <w:jc w:val="center"/>
              <w:rPr>
                <w:rFonts w:ascii="宋体" w:hAnsi="宋体" w:cs="宋体"/>
                <w:szCs w:val="21"/>
              </w:rPr>
            </w:pPr>
            <w:r>
              <w:rPr>
                <w:rFonts w:hint="eastAsia" w:ascii="宋体" w:hAnsi="宋体" w:cs="宋体"/>
                <w:szCs w:val="21"/>
              </w:rPr>
              <w:t>虚假材料</w:t>
            </w:r>
          </w:p>
        </w:tc>
        <w:tc>
          <w:tcPr>
            <w:tcW w:w="2321" w:type="pct"/>
            <w:gridSpan w:val="4"/>
            <w:tcBorders>
              <w:top w:val="single" w:color="000000" w:sz="4" w:space="0"/>
              <w:left w:val="nil"/>
              <w:bottom w:val="single" w:color="000000" w:sz="4" w:space="0"/>
              <w:right w:val="single" w:color="000000" w:sz="4" w:space="0"/>
            </w:tcBorders>
            <w:vAlign w:val="center"/>
          </w:tcPr>
          <w:p w14:paraId="5F681ACA">
            <w:pPr>
              <w:rPr>
                <w:rFonts w:ascii="宋体" w:hAnsi="宋体" w:cs="宋体"/>
                <w:szCs w:val="21"/>
              </w:rPr>
            </w:pPr>
            <w:r>
              <w:rPr>
                <w:rFonts w:hint="eastAsia" w:ascii="宋体" w:hAnsi="宋体" w:cs="宋体"/>
                <w:szCs w:val="21"/>
              </w:rPr>
              <w:t>我单位已认真核查了投标文件的全部内容，</w:t>
            </w:r>
            <w:r>
              <w:rPr>
                <w:rFonts w:hint="eastAsia" w:ascii="宋体" w:hAnsi="宋体" w:cs="宋体"/>
                <w:b/>
                <w:bCs/>
                <w:szCs w:val="21"/>
              </w:rPr>
              <w:t>所有资料（包括但不限于人员学历证书、职称证书、合同、履约验收材料或从其他单位取得的检验检测报告、证书、证明等材料）</w:t>
            </w:r>
            <w:r>
              <w:rPr>
                <w:rFonts w:hint="eastAsia" w:ascii="宋体" w:hAnsi="宋体" w:cs="宋体"/>
                <w:szCs w:val="21"/>
              </w:rPr>
              <w:t>均为真实资料，已</w:t>
            </w:r>
            <w:r>
              <w:rPr>
                <w:rFonts w:hint="eastAsia" w:ascii="宋体" w:hAnsi="宋体" w:cs="宋体"/>
                <w:b/>
                <w:bCs/>
                <w:szCs w:val="21"/>
              </w:rPr>
              <w:t>通过出具机构或全国认证认可信息公共服务平台（认e云平台）等官方渠道核实材料内容的真实性</w:t>
            </w:r>
            <w:r>
              <w:rPr>
                <w:rFonts w:hint="eastAsia" w:ascii="宋体" w:hAnsi="宋体" w:cs="宋体"/>
                <w:szCs w:val="21"/>
              </w:rPr>
              <w:t>。我单位对投标文件中全部投标资料的真实性负责。</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2B6913C6">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653664D1">
            <w:pPr>
              <w:rPr>
                <w:rFonts w:ascii="宋体" w:hAnsi="宋体" w:cs="宋体"/>
                <w:szCs w:val="21"/>
              </w:rPr>
            </w:pPr>
            <w:r>
              <w:rPr>
                <w:rFonts w:hint="eastAsia" w:ascii="宋体" w:hAnsi="宋体" w:cs="宋体"/>
                <w:szCs w:val="21"/>
              </w:rPr>
              <w:t>□否</w:t>
            </w:r>
          </w:p>
        </w:tc>
      </w:tr>
      <w:tr w14:paraId="4EB83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6529C5F2">
            <w:pPr>
              <w:jc w:val="center"/>
              <w:rPr>
                <w:rFonts w:ascii="宋体" w:hAnsi="宋体" w:cs="宋体"/>
                <w:szCs w:val="21"/>
              </w:rPr>
            </w:pPr>
            <w:r>
              <w:rPr>
                <w:rFonts w:hint="eastAsia" w:ascii="宋体" w:hAnsi="宋体" w:cs="宋体"/>
                <w:szCs w:val="21"/>
              </w:rPr>
              <w:t>8</w:t>
            </w:r>
          </w:p>
        </w:tc>
        <w:tc>
          <w:tcPr>
            <w:tcW w:w="420" w:type="pct"/>
            <w:gridSpan w:val="2"/>
            <w:vMerge w:val="continue"/>
            <w:tcBorders>
              <w:top w:val="nil"/>
              <w:left w:val="nil"/>
              <w:bottom w:val="single" w:color="auto" w:sz="4" w:space="0"/>
              <w:right w:val="single" w:color="auto" w:sz="4" w:space="0"/>
            </w:tcBorders>
            <w:vAlign w:val="center"/>
          </w:tcPr>
          <w:p w14:paraId="701C2C73">
            <w:pPr>
              <w:rPr>
                <w:rFonts w:ascii="宋体" w:hAnsi="宋体" w:cs="宋体"/>
                <w:szCs w:val="21"/>
              </w:rPr>
            </w:pPr>
          </w:p>
        </w:tc>
        <w:tc>
          <w:tcPr>
            <w:tcW w:w="2321" w:type="pct"/>
            <w:gridSpan w:val="4"/>
            <w:tcBorders>
              <w:top w:val="single" w:color="000000" w:sz="4" w:space="0"/>
              <w:left w:val="nil"/>
              <w:bottom w:val="single" w:color="000000" w:sz="4" w:space="0"/>
              <w:right w:val="single" w:color="000000" w:sz="4" w:space="0"/>
            </w:tcBorders>
            <w:vAlign w:val="center"/>
          </w:tcPr>
          <w:p w14:paraId="14029FF1">
            <w:pPr>
              <w:rPr>
                <w:rFonts w:ascii="宋体" w:hAnsi="宋体" w:cs="宋体"/>
                <w:szCs w:val="21"/>
              </w:rPr>
            </w:pPr>
            <w:r>
              <w:rPr>
                <w:rFonts w:hint="eastAsia" w:ascii="宋体" w:hAnsi="宋体" w:cs="宋体"/>
                <w:szCs w:val="21"/>
              </w:rPr>
              <w:t>我单位不存在通过转让或者租借等方式从其他单位获取资格或者资质证书投标的“提供虚假资料”违法行为。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09BA6C07">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0013E2F6">
            <w:pPr>
              <w:rPr>
                <w:rFonts w:ascii="宋体" w:hAnsi="宋体" w:cs="宋体"/>
                <w:szCs w:val="21"/>
              </w:rPr>
            </w:pPr>
            <w:r>
              <w:rPr>
                <w:rFonts w:hint="eastAsia" w:ascii="宋体" w:hAnsi="宋体" w:cs="宋体"/>
                <w:szCs w:val="21"/>
              </w:rPr>
              <w:t>□否</w:t>
            </w:r>
          </w:p>
        </w:tc>
      </w:tr>
      <w:tr w14:paraId="11ABC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6C8EFF97">
            <w:pPr>
              <w:jc w:val="center"/>
              <w:rPr>
                <w:rFonts w:ascii="宋体" w:hAnsi="宋体" w:cs="宋体"/>
                <w:szCs w:val="21"/>
              </w:rPr>
            </w:pPr>
            <w:r>
              <w:rPr>
                <w:rFonts w:hint="eastAsia" w:ascii="宋体" w:hAnsi="宋体" w:cs="宋体"/>
                <w:szCs w:val="21"/>
              </w:rPr>
              <w:t>9</w:t>
            </w:r>
          </w:p>
        </w:tc>
        <w:tc>
          <w:tcPr>
            <w:tcW w:w="420" w:type="pct"/>
            <w:gridSpan w:val="2"/>
            <w:vMerge w:val="continue"/>
            <w:tcBorders>
              <w:top w:val="nil"/>
              <w:left w:val="nil"/>
              <w:bottom w:val="single" w:color="auto" w:sz="4" w:space="0"/>
              <w:right w:val="single" w:color="auto" w:sz="4" w:space="0"/>
            </w:tcBorders>
            <w:vAlign w:val="center"/>
          </w:tcPr>
          <w:p w14:paraId="0A182638">
            <w:pPr>
              <w:rPr>
                <w:rFonts w:ascii="宋体" w:hAnsi="宋体" w:cs="宋体"/>
                <w:szCs w:val="21"/>
              </w:rPr>
            </w:pPr>
          </w:p>
        </w:tc>
        <w:tc>
          <w:tcPr>
            <w:tcW w:w="2321" w:type="pct"/>
            <w:gridSpan w:val="4"/>
            <w:tcBorders>
              <w:top w:val="single" w:color="000000" w:sz="4" w:space="0"/>
              <w:left w:val="nil"/>
              <w:bottom w:val="single" w:color="000000" w:sz="4" w:space="0"/>
              <w:right w:val="single" w:color="000000" w:sz="4" w:space="0"/>
            </w:tcBorders>
            <w:vAlign w:val="center"/>
          </w:tcPr>
          <w:p w14:paraId="54F64CD3">
            <w:pPr>
              <w:rPr>
                <w:rFonts w:ascii="宋体" w:hAnsi="宋体" w:cs="宋体"/>
                <w:szCs w:val="21"/>
              </w:rPr>
            </w:pPr>
            <w:r>
              <w:rPr>
                <w:rFonts w:hint="eastAsia" w:ascii="宋体" w:hAnsi="宋体" w:cs="宋体"/>
                <w:szCs w:val="21"/>
              </w:rPr>
              <w:t>我单位不存在由其他单位或者其他单位负责人在我单位投标文件上加盖印章或者签字的“提供虚假资料”违法行为。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086E18EE">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14E9A94E">
            <w:pPr>
              <w:rPr>
                <w:rFonts w:ascii="宋体" w:hAnsi="宋体" w:cs="宋体"/>
                <w:szCs w:val="21"/>
              </w:rPr>
            </w:pPr>
            <w:r>
              <w:rPr>
                <w:rFonts w:hint="eastAsia" w:ascii="宋体" w:hAnsi="宋体" w:cs="宋体"/>
                <w:szCs w:val="21"/>
              </w:rPr>
              <w:t>□否</w:t>
            </w:r>
          </w:p>
        </w:tc>
      </w:tr>
      <w:tr w14:paraId="25C0E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41071745">
            <w:pPr>
              <w:jc w:val="center"/>
              <w:rPr>
                <w:rFonts w:ascii="宋体" w:hAnsi="宋体" w:cs="宋体"/>
                <w:szCs w:val="21"/>
              </w:rPr>
            </w:pPr>
            <w:r>
              <w:rPr>
                <w:rFonts w:hint="eastAsia" w:ascii="宋体" w:hAnsi="宋体" w:cs="宋体"/>
                <w:szCs w:val="21"/>
              </w:rPr>
              <w:t>10</w:t>
            </w:r>
          </w:p>
        </w:tc>
        <w:tc>
          <w:tcPr>
            <w:tcW w:w="420" w:type="pct"/>
            <w:gridSpan w:val="2"/>
            <w:vMerge w:val="continue"/>
            <w:tcBorders>
              <w:top w:val="nil"/>
              <w:left w:val="nil"/>
              <w:bottom w:val="single" w:color="auto" w:sz="4" w:space="0"/>
              <w:right w:val="single" w:color="auto" w:sz="4" w:space="0"/>
            </w:tcBorders>
            <w:vAlign w:val="center"/>
          </w:tcPr>
          <w:p w14:paraId="67EF8D09">
            <w:pPr>
              <w:rPr>
                <w:rFonts w:ascii="宋体" w:hAnsi="宋体" w:cs="宋体"/>
                <w:szCs w:val="21"/>
              </w:rPr>
            </w:pPr>
          </w:p>
        </w:tc>
        <w:tc>
          <w:tcPr>
            <w:tcW w:w="2321" w:type="pct"/>
            <w:gridSpan w:val="4"/>
            <w:tcBorders>
              <w:top w:val="single" w:color="000000" w:sz="4" w:space="0"/>
              <w:left w:val="nil"/>
              <w:bottom w:val="single" w:color="000000" w:sz="4" w:space="0"/>
              <w:right w:val="single" w:color="000000" w:sz="4" w:space="0"/>
            </w:tcBorders>
            <w:vAlign w:val="center"/>
          </w:tcPr>
          <w:p w14:paraId="35245136">
            <w:pPr>
              <w:rPr>
                <w:rFonts w:ascii="宋体" w:hAnsi="宋体" w:cs="宋体"/>
                <w:szCs w:val="21"/>
              </w:rPr>
            </w:pPr>
            <w:r>
              <w:rPr>
                <w:rFonts w:hint="eastAsia" w:ascii="宋体" w:hAnsi="宋体" w:cs="宋体"/>
                <w:szCs w:val="21"/>
              </w:rPr>
              <w:t>我单位不存在项目负责人或者主要技术人员不是本单位人员的“提供虚假资料”违法行为。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1A8B94CA">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66BECD00">
            <w:pPr>
              <w:rPr>
                <w:rFonts w:ascii="宋体" w:hAnsi="宋体" w:cs="宋体"/>
                <w:szCs w:val="21"/>
              </w:rPr>
            </w:pPr>
            <w:r>
              <w:rPr>
                <w:rFonts w:hint="eastAsia" w:ascii="宋体" w:hAnsi="宋体" w:cs="宋体"/>
                <w:szCs w:val="21"/>
              </w:rPr>
              <w:t>□否</w:t>
            </w:r>
          </w:p>
        </w:tc>
      </w:tr>
      <w:tr w14:paraId="0D028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340D2B84">
            <w:pPr>
              <w:jc w:val="center"/>
              <w:rPr>
                <w:rFonts w:ascii="宋体" w:hAnsi="宋体" w:cs="宋体"/>
                <w:szCs w:val="21"/>
              </w:rPr>
            </w:pPr>
            <w:r>
              <w:rPr>
                <w:rFonts w:hint="eastAsia" w:ascii="宋体" w:hAnsi="宋体" w:cs="宋体"/>
                <w:szCs w:val="21"/>
              </w:rPr>
              <w:t>11</w:t>
            </w:r>
          </w:p>
        </w:tc>
        <w:tc>
          <w:tcPr>
            <w:tcW w:w="420" w:type="pct"/>
            <w:gridSpan w:val="2"/>
            <w:vMerge w:val="continue"/>
            <w:tcBorders>
              <w:top w:val="nil"/>
              <w:left w:val="nil"/>
              <w:bottom w:val="single" w:color="auto" w:sz="4" w:space="0"/>
              <w:right w:val="single" w:color="auto" w:sz="4" w:space="0"/>
            </w:tcBorders>
            <w:vAlign w:val="center"/>
          </w:tcPr>
          <w:p w14:paraId="6D541663">
            <w:pPr>
              <w:rPr>
                <w:rFonts w:ascii="宋体" w:hAnsi="宋体" w:cs="宋体"/>
                <w:szCs w:val="21"/>
              </w:rPr>
            </w:pPr>
          </w:p>
        </w:tc>
        <w:tc>
          <w:tcPr>
            <w:tcW w:w="2321" w:type="pct"/>
            <w:gridSpan w:val="4"/>
            <w:tcBorders>
              <w:top w:val="single" w:color="000000" w:sz="4" w:space="0"/>
              <w:left w:val="nil"/>
              <w:bottom w:val="single" w:color="000000" w:sz="4" w:space="0"/>
              <w:right w:val="single" w:color="000000" w:sz="4" w:space="0"/>
            </w:tcBorders>
            <w:vAlign w:val="center"/>
          </w:tcPr>
          <w:p w14:paraId="20B4D665">
            <w:pPr>
              <w:rPr>
                <w:rFonts w:ascii="宋体" w:hAnsi="宋体" w:cs="宋体"/>
                <w:szCs w:val="21"/>
              </w:rPr>
            </w:pPr>
            <w:r>
              <w:rPr>
                <w:rFonts w:hint="eastAsia" w:ascii="宋体" w:hAnsi="宋体" w:cs="宋体"/>
                <w:szCs w:val="21"/>
              </w:rPr>
              <w:t>我单位不存在投标保证金（根据采购文件要求提交）是从我单位基本账户转出的“提供虚假资料”违法行为。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03F6AEC3">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6D08A01B">
            <w:pPr>
              <w:rPr>
                <w:rFonts w:ascii="宋体" w:hAnsi="宋体" w:cs="宋体"/>
                <w:szCs w:val="21"/>
              </w:rPr>
            </w:pPr>
            <w:r>
              <w:rPr>
                <w:rFonts w:hint="eastAsia" w:ascii="宋体" w:hAnsi="宋体" w:cs="宋体"/>
                <w:szCs w:val="21"/>
              </w:rPr>
              <w:t>□否</w:t>
            </w:r>
          </w:p>
        </w:tc>
      </w:tr>
      <w:tr w14:paraId="1A886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09D42FD2">
            <w:pPr>
              <w:jc w:val="center"/>
              <w:rPr>
                <w:rFonts w:ascii="宋体" w:hAnsi="宋体" w:cs="宋体"/>
                <w:szCs w:val="21"/>
              </w:rPr>
            </w:pPr>
            <w:r>
              <w:rPr>
                <w:rFonts w:hint="eastAsia" w:ascii="宋体" w:hAnsi="宋体" w:cs="宋体"/>
                <w:szCs w:val="21"/>
              </w:rPr>
              <w:t>12</w:t>
            </w:r>
          </w:p>
        </w:tc>
        <w:tc>
          <w:tcPr>
            <w:tcW w:w="420" w:type="pct"/>
            <w:gridSpan w:val="2"/>
            <w:vMerge w:val="restart"/>
            <w:tcBorders>
              <w:top w:val="nil"/>
              <w:left w:val="nil"/>
              <w:bottom w:val="single" w:color="auto" w:sz="4" w:space="0"/>
              <w:right w:val="single" w:color="auto" w:sz="4" w:space="0"/>
            </w:tcBorders>
            <w:vAlign w:val="center"/>
          </w:tcPr>
          <w:p w14:paraId="2CE36612">
            <w:pPr>
              <w:jc w:val="center"/>
              <w:rPr>
                <w:rFonts w:ascii="宋体" w:hAnsi="宋体" w:cs="宋体"/>
                <w:szCs w:val="21"/>
              </w:rPr>
            </w:pPr>
            <w:r>
              <w:rPr>
                <w:rFonts w:hint="eastAsia" w:ascii="宋体" w:hAnsi="宋体" w:cs="宋体"/>
                <w:szCs w:val="21"/>
              </w:rPr>
              <w:t>关联关系及其他情形</w:t>
            </w:r>
          </w:p>
        </w:tc>
        <w:tc>
          <w:tcPr>
            <w:tcW w:w="2321" w:type="pct"/>
            <w:gridSpan w:val="4"/>
            <w:tcBorders>
              <w:top w:val="single" w:color="000000" w:sz="4" w:space="0"/>
              <w:left w:val="nil"/>
              <w:bottom w:val="single" w:color="000000" w:sz="4" w:space="0"/>
              <w:right w:val="single" w:color="000000" w:sz="4" w:space="0"/>
            </w:tcBorders>
            <w:vAlign w:val="center"/>
          </w:tcPr>
          <w:p w14:paraId="709BB838">
            <w:pPr>
              <w:rPr>
                <w:rFonts w:ascii="宋体" w:hAnsi="宋体" w:cs="宋体"/>
                <w:szCs w:val="21"/>
              </w:rPr>
            </w:pPr>
            <w:r>
              <w:rPr>
                <w:rFonts w:hint="eastAsia" w:ascii="宋体" w:hAnsi="宋体" w:cs="宋体"/>
                <w:szCs w:val="21"/>
              </w:rPr>
              <w:t>我单位严格管理本单位的电子密钥及电子营业执照，不委托或出借给第三方（人）使用和管理。</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424DABEE">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2E41C4C6">
            <w:pPr>
              <w:rPr>
                <w:rFonts w:ascii="宋体" w:hAnsi="宋体" w:cs="宋体"/>
                <w:szCs w:val="21"/>
              </w:rPr>
            </w:pPr>
            <w:r>
              <w:rPr>
                <w:rFonts w:hint="eastAsia" w:ascii="宋体" w:hAnsi="宋体" w:cs="宋体"/>
                <w:szCs w:val="21"/>
              </w:rPr>
              <w:t>□否</w:t>
            </w:r>
          </w:p>
        </w:tc>
      </w:tr>
      <w:tr w14:paraId="50D6C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695430FC">
            <w:pPr>
              <w:jc w:val="center"/>
              <w:rPr>
                <w:rFonts w:ascii="宋体" w:hAnsi="宋体" w:cs="宋体"/>
                <w:szCs w:val="21"/>
              </w:rPr>
            </w:pPr>
            <w:r>
              <w:rPr>
                <w:rFonts w:hint="eastAsia" w:ascii="宋体" w:hAnsi="宋体" w:cs="宋体"/>
                <w:szCs w:val="21"/>
              </w:rPr>
              <w:t>13</w:t>
            </w:r>
          </w:p>
        </w:tc>
        <w:tc>
          <w:tcPr>
            <w:tcW w:w="420" w:type="pct"/>
            <w:gridSpan w:val="2"/>
            <w:vMerge w:val="continue"/>
            <w:tcBorders>
              <w:top w:val="nil"/>
              <w:left w:val="nil"/>
              <w:bottom w:val="single" w:color="auto" w:sz="4" w:space="0"/>
              <w:right w:val="single" w:color="auto" w:sz="4" w:space="0"/>
            </w:tcBorders>
            <w:vAlign w:val="center"/>
          </w:tcPr>
          <w:p w14:paraId="16DB22AF">
            <w:pPr>
              <w:rPr>
                <w:rFonts w:ascii="宋体" w:hAnsi="宋体" w:cs="宋体"/>
                <w:szCs w:val="21"/>
              </w:rPr>
            </w:pPr>
          </w:p>
        </w:tc>
        <w:tc>
          <w:tcPr>
            <w:tcW w:w="2321" w:type="pct"/>
            <w:gridSpan w:val="4"/>
            <w:tcBorders>
              <w:top w:val="single" w:color="000000" w:sz="4" w:space="0"/>
              <w:left w:val="nil"/>
              <w:bottom w:val="single" w:color="000000" w:sz="4" w:space="0"/>
              <w:right w:val="single" w:color="000000" w:sz="4" w:space="0"/>
            </w:tcBorders>
            <w:vAlign w:val="center"/>
          </w:tcPr>
          <w:p w14:paraId="43A9D9A1">
            <w:pPr>
              <w:rPr>
                <w:rFonts w:ascii="宋体" w:hAnsi="宋体" w:cs="宋体"/>
                <w:szCs w:val="21"/>
              </w:rPr>
            </w:pPr>
            <w:r>
              <w:rPr>
                <w:rFonts w:hint="eastAsia" w:ascii="宋体" w:hAnsi="宋体" w:cs="宋体"/>
                <w:szCs w:val="21"/>
              </w:rPr>
              <w:t>我单位不使用公共电脑设备或公共网络编制、上传投标文件。</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17F73EAF">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45014D8C">
            <w:pPr>
              <w:rPr>
                <w:rFonts w:ascii="宋体" w:hAnsi="宋体" w:cs="宋体"/>
                <w:szCs w:val="21"/>
              </w:rPr>
            </w:pPr>
            <w:r>
              <w:rPr>
                <w:rFonts w:hint="eastAsia" w:ascii="宋体" w:hAnsi="宋体" w:cs="宋体"/>
                <w:szCs w:val="21"/>
              </w:rPr>
              <w:t>□否</w:t>
            </w:r>
          </w:p>
        </w:tc>
      </w:tr>
      <w:tr w14:paraId="50F1F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62BC4E8E">
            <w:pPr>
              <w:jc w:val="center"/>
              <w:rPr>
                <w:rFonts w:ascii="宋体" w:hAnsi="宋体" w:cs="宋体"/>
                <w:szCs w:val="21"/>
              </w:rPr>
            </w:pPr>
            <w:r>
              <w:rPr>
                <w:rFonts w:hint="eastAsia" w:ascii="宋体" w:hAnsi="宋体" w:cs="宋体"/>
                <w:szCs w:val="21"/>
              </w:rPr>
              <w:t>14</w:t>
            </w:r>
          </w:p>
        </w:tc>
        <w:tc>
          <w:tcPr>
            <w:tcW w:w="420" w:type="pct"/>
            <w:gridSpan w:val="2"/>
            <w:vMerge w:val="continue"/>
            <w:tcBorders>
              <w:top w:val="nil"/>
              <w:left w:val="nil"/>
              <w:bottom w:val="single" w:color="auto" w:sz="4" w:space="0"/>
              <w:right w:val="single" w:color="auto" w:sz="4" w:space="0"/>
            </w:tcBorders>
            <w:vAlign w:val="center"/>
          </w:tcPr>
          <w:p w14:paraId="3C5759A1">
            <w:pPr>
              <w:rPr>
                <w:rFonts w:ascii="宋体" w:hAnsi="宋体" w:cs="宋体"/>
                <w:szCs w:val="21"/>
              </w:rPr>
            </w:pPr>
          </w:p>
        </w:tc>
        <w:tc>
          <w:tcPr>
            <w:tcW w:w="2321" w:type="pct"/>
            <w:gridSpan w:val="4"/>
            <w:tcBorders>
              <w:top w:val="single" w:color="000000" w:sz="4" w:space="0"/>
              <w:left w:val="nil"/>
              <w:bottom w:val="single" w:color="000000" w:sz="4" w:space="0"/>
              <w:right w:val="single" w:color="000000" w:sz="4" w:space="0"/>
            </w:tcBorders>
            <w:vAlign w:val="center"/>
          </w:tcPr>
          <w:p w14:paraId="199CD652">
            <w:pPr>
              <w:rPr>
                <w:rFonts w:ascii="宋体" w:hAnsi="宋体" w:cs="宋体"/>
                <w:szCs w:val="21"/>
              </w:rPr>
            </w:pPr>
            <w:r>
              <w:rPr>
                <w:rFonts w:hint="eastAsia" w:ascii="宋体" w:hAnsi="宋体" w:cs="宋体"/>
                <w:szCs w:val="21"/>
              </w:rPr>
              <w:t>我单位与其他投标供应商在参与本项目时，不存在单位负责人为同一人或直接控股、管理关系的行为。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4EE51F44">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0F09F6F0">
            <w:pPr>
              <w:rPr>
                <w:rFonts w:ascii="宋体" w:hAnsi="宋体" w:cs="宋体"/>
                <w:szCs w:val="21"/>
              </w:rPr>
            </w:pPr>
            <w:r>
              <w:rPr>
                <w:rFonts w:hint="eastAsia" w:ascii="宋体" w:hAnsi="宋体" w:cs="宋体"/>
                <w:szCs w:val="21"/>
              </w:rPr>
              <w:t>□否</w:t>
            </w:r>
          </w:p>
        </w:tc>
      </w:tr>
      <w:tr w14:paraId="01B5F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719BB448">
            <w:pPr>
              <w:jc w:val="center"/>
              <w:rPr>
                <w:rFonts w:ascii="宋体" w:hAnsi="宋体" w:cs="宋体"/>
                <w:szCs w:val="21"/>
              </w:rPr>
            </w:pPr>
            <w:r>
              <w:rPr>
                <w:rFonts w:hint="eastAsia" w:ascii="宋体" w:hAnsi="宋体" w:cs="宋体"/>
                <w:szCs w:val="21"/>
              </w:rPr>
              <w:t>15</w:t>
            </w:r>
          </w:p>
        </w:tc>
        <w:tc>
          <w:tcPr>
            <w:tcW w:w="420" w:type="pct"/>
            <w:gridSpan w:val="2"/>
            <w:vMerge w:val="continue"/>
            <w:tcBorders>
              <w:top w:val="nil"/>
              <w:left w:val="nil"/>
              <w:bottom w:val="single" w:color="auto" w:sz="4" w:space="0"/>
              <w:right w:val="single" w:color="auto" w:sz="4" w:space="0"/>
            </w:tcBorders>
            <w:vAlign w:val="center"/>
          </w:tcPr>
          <w:p w14:paraId="13ABC3C4">
            <w:pPr>
              <w:rPr>
                <w:rFonts w:ascii="宋体" w:hAnsi="宋体" w:cs="宋体"/>
                <w:szCs w:val="21"/>
              </w:rPr>
            </w:pPr>
          </w:p>
        </w:tc>
        <w:tc>
          <w:tcPr>
            <w:tcW w:w="2321" w:type="pct"/>
            <w:gridSpan w:val="4"/>
            <w:tcBorders>
              <w:top w:val="single" w:color="000000" w:sz="4" w:space="0"/>
              <w:left w:val="nil"/>
              <w:bottom w:val="single" w:color="000000" w:sz="4" w:space="0"/>
              <w:right w:val="single" w:color="000000" w:sz="4" w:space="0"/>
            </w:tcBorders>
            <w:vAlign w:val="center"/>
          </w:tcPr>
          <w:p w14:paraId="0478A8D2">
            <w:pPr>
              <w:rPr>
                <w:rFonts w:ascii="宋体" w:hAnsi="宋体" w:cs="宋体"/>
                <w:szCs w:val="21"/>
              </w:rPr>
            </w:pPr>
            <w:r>
              <w:rPr>
                <w:rFonts w:hint="eastAsia" w:ascii="宋体" w:hAnsi="宋体" w:cs="宋体"/>
                <w:szCs w:val="21"/>
              </w:rPr>
              <w:t>我单位在参与本项目（单一来源采购项目除外）时，不存在同时为本项目提供整体设计、规范编制或者项目管理、监理、检测等服务的行为。</w:t>
            </w:r>
          </w:p>
        </w:tc>
        <w:tc>
          <w:tcPr>
            <w:tcW w:w="761" w:type="pct"/>
            <w:tcBorders>
              <w:top w:val="single" w:color="000000" w:sz="4" w:space="0"/>
              <w:left w:val="single" w:color="000000" w:sz="4" w:space="0"/>
              <w:bottom w:val="single" w:color="000000" w:sz="4" w:space="0"/>
              <w:right w:val="single" w:color="000000" w:sz="4" w:space="0"/>
            </w:tcBorders>
            <w:noWrap/>
            <w:vAlign w:val="center"/>
          </w:tcPr>
          <w:p w14:paraId="56DC880B">
            <w:pPr>
              <w:rPr>
                <w:rFonts w:ascii="宋体" w:hAnsi="宋体" w:cs="宋体"/>
                <w:szCs w:val="21"/>
              </w:rPr>
            </w:pPr>
            <w:r>
              <w:rPr>
                <w:rFonts w:hint="eastAsia" w:ascii="宋体" w:hAnsi="宋体" w:cs="宋体"/>
                <w:szCs w:val="21"/>
              </w:rPr>
              <w:t>□是</w:t>
            </w:r>
          </w:p>
        </w:tc>
        <w:tc>
          <w:tcPr>
            <w:tcW w:w="909" w:type="pct"/>
            <w:tcBorders>
              <w:top w:val="single" w:color="000000" w:sz="4" w:space="0"/>
              <w:left w:val="single" w:color="000000" w:sz="4" w:space="0"/>
              <w:bottom w:val="single" w:color="000000" w:sz="4" w:space="0"/>
              <w:right w:val="single" w:color="000000" w:sz="4" w:space="0"/>
            </w:tcBorders>
            <w:noWrap/>
            <w:vAlign w:val="center"/>
          </w:tcPr>
          <w:p w14:paraId="11D24DB2">
            <w:pPr>
              <w:rPr>
                <w:rFonts w:ascii="宋体" w:hAnsi="宋体" w:cs="宋体"/>
                <w:szCs w:val="21"/>
              </w:rPr>
            </w:pPr>
            <w:r>
              <w:rPr>
                <w:rFonts w:hint="eastAsia" w:ascii="宋体" w:hAnsi="宋体" w:cs="宋体"/>
                <w:szCs w:val="21"/>
              </w:rPr>
              <w:t>□否</w:t>
            </w:r>
          </w:p>
        </w:tc>
      </w:tr>
      <w:tr w14:paraId="1D8BF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587" w:type="pct"/>
            <w:tcBorders>
              <w:top w:val="single" w:color="000000" w:sz="4" w:space="0"/>
              <w:left w:val="single" w:color="000000" w:sz="4" w:space="0"/>
              <w:bottom w:val="single" w:color="000000" w:sz="4" w:space="0"/>
              <w:right w:val="single" w:color="auto" w:sz="4" w:space="0"/>
            </w:tcBorders>
            <w:noWrap/>
            <w:vAlign w:val="center"/>
          </w:tcPr>
          <w:p w14:paraId="60864DAB">
            <w:pPr>
              <w:jc w:val="center"/>
              <w:rPr>
                <w:rFonts w:ascii="宋体" w:hAnsi="宋体" w:cs="宋体"/>
                <w:szCs w:val="21"/>
              </w:rPr>
            </w:pPr>
            <w:r>
              <w:rPr>
                <w:rFonts w:hint="eastAsia" w:ascii="宋体" w:hAnsi="宋体" w:cs="宋体"/>
                <w:szCs w:val="21"/>
              </w:rPr>
              <w:t>16</w:t>
            </w:r>
          </w:p>
        </w:tc>
        <w:tc>
          <w:tcPr>
            <w:tcW w:w="420" w:type="pct"/>
            <w:gridSpan w:val="2"/>
            <w:vMerge w:val="continue"/>
            <w:tcBorders>
              <w:top w:val="nil"/>
              <w:left w:val="nil"/>
              <w:bottom w:val="single" w:color="auto" w:sz="4" w:space="0"/>
              <w:right w:val="single" w:color="auto" w:sz="4" w:space="0"/>
            </w:tcBorders>
            <w:vAlign w:val="center"/>
          </w:tcPr>
          <w:p w14:paraId="733B3261">
            <w:pPr>
              <w:rPr>
                <w:rFonts w:ascii="宋体" w:hAnsi="宋体" w:cs="宋体"/>
                <w:szCs w:val="21"/>
              </w:rPr>
            </w:pPr>
          </w:p>
        </w:tc>
        <w:tc>
          <w:tcPr>
            <w:tcW w:w="2321" w:type="pct"/>
            <w:gridSpan w:val="4"/>
            <w:tcBorders>
              <w:top w:val="single" w:color="000000" w:sz="4" w:space="0"/>
              <w:left w:val="nil"/>
              <w:bottom w:val="single" w:color="000000" w:sz="4" w:space="0"/>
              <w:right w:val="single" w:color="000000" w:sz="4" w:space="0"/>
            </w:tcBorders>
            <w:vAlign w:val="center"/>
          </w:tcPr>
          <w:p w14:paraId="3E76B2BF">
            <w:pPr>
              <w:rPr>
                <w:rFonts w:ascii="宋体" w:hAnsi="宋体" w:cs="宋体"/>
                <w:szCs w:val="21"/>
              </w:rPr>
            </w:pPr>
            <w:r>
              <w:rPr>
                <w:rFonts w:hint="eastAsia" w:ascii="宋体" w:hAnsi="宋体" w:cs="宋体"/>
                <w:szCs w:val="21"/>
              </w:rPr>
              <w:t>我单位在本项目中，□是□否 委托第三方（人）代为办理或从生产厂家、代理商等第三方（人）间接取得投标文件涉及的检验检测报告、证书、证明等材料。</w:t>
            </w:r>
          </w:p>
        </w:tc>
        <w:tc>
          <w:tcPr>
            <w:tcW w:w="761" w:type="pct"/>
            <w:tcBorders>
              <w:top w:val="single" w:color="000000" w:sz="4" w:space="0"/>
              <w:left w:val="nil"/>
              <w:bottom w:val="single" w:color="000000" w:sz="4" w:space="0"/>
              <w:right w:val="single" w:color="000000" w:sz="4" w:space="0"/>
            </w:tcBorders>
            <w:noWrap/>
            <w:vAlign w:val="center"/>
          </w:tcPr>
          <w:p w14:paraId="7138976A">
            <w:pPr>
              <w:rPr>
                <w:rFonts w:ascii="宋体" w:hAnsi="宋体" w:cs="宋体"/>
                <w:szCs w:val="21"/>
              </w:rPr>
            </w:pPr>
            <w:r>
              <w:rPr>
                <w:rFonts w:hint="eastAsia" w:ascii="宋体" w:hAnsi="宋体" w:cs="宋体"/>
                <w:szCs w:val="21"/>
              </w:rPr>
              <w:t>□是</w:t>
            </w:r>
          </w:p>
        </w:tc>
        <w:tc>
          <w:tcPr>
            <w:tcW w:w="909" w:type="pct"/>
            <w:tcBorders>
              <w:top w:val="single" w:color="000000" w:sz="4" w:space="0"/>
              <w:left w:val="nil"/>
              <w:bottom w:val="single" w:color="000000" w:sz="4" w:space="0"/>
              <w:right w:val="single" w:color="000000" w:sz="4" w:space="0"/>
            </w:tcBorders>
            <w:noWrap/>
            <w:vAlign w:val="center"/>
          </w:tcPr>
          <w:p w14:paraId="7DAD4D19">
            <w:pPr>
              <w:rPr>
                <w:rFonts w:ascii="宋体" w:hAnsi="宋体" w:cs="宋体"/>
                <w:szCs w:val="21"/>
              </w:rPr>
            </w:pPr>
            <w:r>
              <w:rPr>
                <w:rFonts w:hint="eastAsia" w:ascii="宋体" w:hAnsi="宋体" w:cs="宋体"/>
                <w:szCs w:val="21"/>
              </w:rPr>
              <w:t>□否</w:t>
            </w:r>
          </w:p>
        </w:tc>
      </w:tr>
      <w:tr w14:paraId="5D01A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000" w:type="pct"/>
            <w:gridSpan w:val="9"/>
            <w:tcBorders>
              <w:top w:val="single" w:color="000000" w:sz="4" w:space="0"/>
              <w:left w:val="single" w:color="000000" w:sz="4" w:space="0"/>
              <w:bottom w:val="single" w:color="000000" w:sz="4" w:space="0"/>
              <w:right w:val="single" w:color="000000" w:sz="4" w:space="0"/>
            </w:tcBorders>
            <w:noWrap/>
            <w:vAlign w:val="center"/>
          </w:tcPr>
          <w:p w14:paraId="0FAFB0BE">
            <w:pPr>
              <w:autoSpaceDE w:val="0"/>
              <w:spacing w:line="360" w:lineRule="auto"/>
              <w:rPr>
                <w:rFonts w:ascii="宋体" w:hAnsi="宋体" w:cs="宋体"/>
                <w:b/>
                <w:bCs/>
                <w:szCs w:val="21"/>
              </w:rPr>
            </w:pPr>
            <w:r>
              <w:rPr>
                <w:rFonts w:hint="eastAsia" w:ascii="宋体" w:hAnsi="宋体" w:cs="宋体"/>
                <w:b/>
                <w:bCs/>
                <w:szCs w:val="21"/>
              </w:rPr>
              <w:t>若第16项选择“是”，则投标供应商需要填写以下内容：</w:t>
            </w:r>
          </w:p>
          <w:p w14:paraId="26ACA7E7">
            <w:pPr>
              <w:pStyle w:val="38"/>
              <w:rPr>
                <w:rFonts w:ascii="宋体" w:hAnsi="宋体" w:cs="宋体"/>
                <w:b/>
                <w:bCs/>
                <w:sz w:val="21"/>
                <w:szCs w:val="21"/>
              </w:rPr>
            </w:pPr>
            <w:r>
              <w:rPr>
                <w:rFonts w:hint="eastAsia" w:ascii="宋体" w:hAnsi="宋体" w:cs="宋体"/>
                <w:b/>
                <w:bCs/>
                <w:sz w:val="21"/>
                <w:szCs w:val="21"/>
              </w:rPr>
              <w:t>注：1、根据提供材料类型进行勾选，</w:t>
            </w:r>
            <w:r>
              <w:rPr>
                <w:rFonts w:hint="eastAsia" w:ascii="宋体" w:hAnsi="宋体" w:cs="宋体"/>
                <w:b/>
                <w:bCs/>
                <w:color w:val="000000"/>
                <w:sz w:val="21"/>
                <w:szCs w:val="21"/>
                <w:shd w:val="clear" w:color="auto" w:fill="FFFFFF"/>
              </w:rPr>
              <w:t>并相应地填写其他材料内容。</w:t>
            </w:r>
          </w:p>
          <w:p w14:paraId="4D4A7A99">
            <w:pPr>
              <w:pStyle w:val="38"/>
              <w:rPr>
                <w:rFonts w:ascii="宋体" w:hAnsi="宋体" w:cs="宋体"/>
                <w:b/>
                <w:bCs/>
                <w:sz w:val="21"/>
                <w:szCs w:val="21"/>
              </w:rPr>
            </w:pPr>
            <w:r>
              <w:rPr>
                <w:rFonts w:hint="eastAsia" w:ascii="宋体" w:hAnsi="宋体" w:cs="宋体"/>
                <w:b/>
                <w:bCs/>
                <w:color w:val="000000"/>
                <w:sz w:val="21"/>
                <w:szCs w:val="21"/>
                <w:shd w:val="clear" w:color="auto" w:fill="FFFFFF"/>
              </w:rPr>
              <w:t>2、若存在</w:t>
            </w:r>
            <w:r>
              <w:rPr>
                <w:rFonts w:hint="eastAsia" w:ascii="宋体" w:hAnsi="宋体" w:cs="宋体"/>
                <w:b/>
                <w:bCs/>
                <w:sz w:val="21"/>
                <w:szCs w:val="21"/>
              </w:rPr>
              <w:t>同一类型材料有多份的，</w:t>
            </w:r>
            <w:r>
              <w:rPr>
                <w:rFonts w:hint="eastAsia" w:ascii="宋体" w:hAnsi="宋体" w:cs="宋体"/>
                <w:b/>
                <w:bCs/>
                <w:color w:val="000000"/>
                <w:sz w:val="21"/>
                <w:szCs w:val="21"/>
                <w:shd w:val="clear" w:color="auto" w:fill="FFFFFF"/>
              </w:rPr>
              <w:t>可自行添加行进行填写。</w:t>
            </w:r>
            <w:r>
              <w:rPr>
                <w:rFonts w:hint="eastAsia" w:ascii="宋体" w:hAnsi="宋体" w:cs="宋体"/>
                <w:b/>
                <w:bCs/>
                <w:sz w:val="21"/>
                <w:szCs w:val="21"/>
              </w:rPr>
              <w:t>例：</w:t>
            </w:r>
            <w:r>
              <w:rPr>
                <w:rFonts w:hint="eastAsia" w:ascii="宋体" w:hAnsi="宋体" w:cs="宋体"/>
                <w:b/>
                <w:bCs/>
                <w:color w:val="000000"/>
                <w:sz w:val="21"/>
                <w:szCs w:val="21"/>
                <w:shd w:val="clear" w:color="auto" w:fill="FFFFFF"/>
              </w:rPr>
              <w:t>若存在两份检验检测报告，</w:t>
            </w:r>
            <w:r>
              <w:rPr>
                <w:rFonts w:hint="eastAsia" w:ascii="宋体" w:hAnsi="宋体" w:cs="宋体"/>
                <w:b/>
                <w:bCs/>
                <w:sz w:val="21"/>
                <w:szCs w:val="21"/>
              </w:rPr>
              <w:t>则材料类型命名为：□检验检测报告1、□检验检测报告2，</w:t>
            </w:r>
            <w:r>
              <w:rPr>
                <w:rFonts w:hint="eastAsia" w:ascii="宋体" w:hAnsi="宋体" w:cs="宋体"/>
                <w:b/>
                <w:bCs/>
                <w:color w:val="000000"/>
                <w:sz w:val="21"/>
                <w:szCs w:val="21"/>
                <w:shd w:val="clear" w:color="auto" w:fill="FFFFFF"/>
              </w:rPr>
              <w:t>并相应地填写其他材料内容。</w:t>
            </w:r>
          </w:p>
        </w:tc>
      </w:tr>
      <w:tr w14:paraId="60598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791" w:type="pct"/>
            <w:gridSpan w:val="2"/>
            <w:tcBorders>
              <w:top w:val="single" w:color="000000" w:sz="4" w:space="0"/>
              <w:left w:val="single" w:color="000000" w:sz="4" w:space="0"/>
              <w:bottom w:val="single" w:color="000000" w:sz="4" w:space="0"/>
              <w:right w:val="single" w:color="auto" w:sz="4" w:space="0"/>
            </w:tcBorders>
            <w:noWrap/>
            <w:vAlign w:val="center"/>
          </w:tcPr>
          <w:p w14:paraId="3C0DE6EB">
            <w:pPr>
              <w:pStyle w:val="38"/>
              <w:jc w:val="center"/>
              <w:rPr>
                <w:rFonts w:ascii="宋体" w:hAnsi="宋体" w:cs="宋体"/>
                <w:b/>
                <w:bCs/>
                <w:sz w:val="21"/>
                <w:szCs w:val="21"/>
              </w:rPr>
            </w:pPr>
            <w:r>
              <w:rPr>
                <w:rFonts w:hint="eastAsia" w:ascii="宋体" w:hAnsi="宋体" w:cs="宋体"/>
                <w:b/>
                <w:bCs/>
                <w:sz w:val="21"/>
                <w:szCs w:val="21"/>
              </w:rPr>
              <w:t>材料类型（必填）</w:t>
            </w:r>
            <w:r>
              <w:rPr>
                <w:rFonts w:hint="eastAsia" w:ascii="宋体" w:hAnsi="宋体" w:cs="宋体"/>
                <w:sz w:val="21"/>
                <w:szCs w:val="21"/>
              </w:rPr>
              <w:t>（按材料类型选择）</w:t>
            </w:r>
          </w:p>
        </w:tc>
        <w:tc>
          <w:tcPr>
            <w:tcW w:w="479" w:type="pct"/>
            <w:gridSpan w:val="2"/>
            <w:tcBorders>
              <w:top w:val="single" w:color="000000" w:sz="4" w:space="0"/>
              <w:left w:val="nil"/>
              <w:bottom w:val="single" w:color="000000" w:sz="4" w:space="0"/>
              <w:right w:val="single" w:color="auto" w:sz="4" w:space="0"/>
            </w:tcBorders>
            <w:vAlign w:val="center"/>
          </w:tcPr>
          <w:p w14:paraId="43F78A23">
            <w:pPr>
              <w:pStyle w:val="38"/>
              <w:jc w:val="center"/>
              <w:rPr>
                <w:rFonts w:ascii="宋体" w:hAnsi="宋体" w:cs="宋体"/>
                <w:b/>
                <w:bCs/>
                <w:sz w:val="21"/>
                <w:szCs w:val="21"/>
              </w:rPr>
            </w:pPr>
            <w:r>
              <w:rPr>
                <w:rFonts w:hint="eastAsia" w:ascii="宋体" w:hAnsi="宋体" w:cs="宋体"/>
                <w:b/>
                <w:bCs/>
                <w:sz w:val="21"/>
                <w:szCs w:val="21"/>
              </w:rPr>
              <w:t>材料名称（必填）</w:t>
            </w:r>
            <w:r>
              <w:rPr>
                <w:rFonts w:hint="eastAsia" w:ascii="宋体" w:hAnsi="宋体" w:cs="宋体"/>
                <w:sz w:val="21"/>
                <w:szCs w:val="21"/>
              </w:rPr>
              <w:t>（按材料类型填写，不同类型的需分别填写）</w:t>
            </w:r>
          </w:p>
        </w:tc>
        <w:tc>
          <w:tcPr>
            <w:tcW w:w="482" w:type="pct"/>
            <w:tcBorders>
              <w:top w:val="single" w:color="000000" w:sz="4" w:space="0"/>
              <w:left w:val="nil"/>
              <w:bottom w:val="single" w:color="000000" w:sz="4" w:space="0"/>
              <w:right w:val="single" w:color="auto" w:sz="4" w:space="0"/>
            </w:tcBorders>
            <w:vAlign w:val="center"/>
          </w:tcPr>
          <w:p w14:paraId="6CE15A40">
            <w:pPr>
              <w:pStyle w:val="38"/>
              <w:jc w:val="center"/>
              <w:rPr>
                <w:rFonts w:ascii="宋体" w:hAnsi="宋体" w:cs="宋体"/>
                <w:b/>
                <w:bCs/>
                <w:sz w:val="21"/>
                <w:szCs w:val="21"/>
              </w:rPr>
            </w:pPr>
            <w:r>
              <w:rPr>
                <w:rFonts w:hint="eastAsia" w:ascii="宋体" w:hAnsi="宋体" w:cs="宋体"/>
                <w:b/>
                <w:bCs/>
                <w:sz w:val="21"/>
                <w:szCs w:val="21"/>
              </w:rPr>
              <w:t>材料出具单位（必填）</w:t>
            </w:r>
            <w:r>
              <w:rPr>
                <w:rFonts w:hint="eastAsia" w:ascii="宋体" w:hAnsi="宋体" w:cs="宋体"/>
                <w:sz w:val="21"/>
                <w:szCs w:val="21"/>
              </w:rPr>
              <w:t>（按材料类型填写，出具单位即为相关材料的落款单位）</w:t>
            </w:r>
          </w:p>
        </w:tc>
        <w:tc>
          <w:tcPr>
            <w:tcW w:w="531" w:type="pct"/>
            <w:tcBorders>
              <w:top w:val="single" w:color="000000" w:sz="4" w:space="0"/>
              <w:left w:val="nil"/>
              <w:bottom w:val="single" w:color="000000" w:sz="4" w:space="0"/>
              <w:right w:val="single" w:color="auto" w:sz="4" w:space="0"/>
            </w:tcBorders>
            <w:vAlign w:val="center"/>
          </w:tcPr>
          <w:p w14:paraId="7A5F2C7D">
            <w:pPr>
              <w:pStyle w:val="38"/>
              <w:jc w:val="center"/>
              <w:rPr>
                <w:rFonts w:ascii="宋体" w:hAnsi="宋体" w:cs="宋体"/>
                <w:b/>
                <w:bCs/>
                <w:sz w:val="21"/>
                <w:szCs w:val="21"/>
              </w:rPr>
            </w:pPr>
            <w:r>
              <w:rPr>
                <w:rFonts w:hint="eastAsia" w:ascii="宋体" w:hAnsi="宋体" w:cs="宋体"/>
                <w:b/>
                <w:bCs/>
                <w:sz w:val="21"/>
                <w:szCs w:val="21"/>
              </w:rPr>
              <w:t>是否向材料出具单位核实材料真实性（必填）</w:t>
            </w:r>
          </w:p>
        </w:tc>
        <w:tc>
          <w:tcPr>
            <w:tcW w:w="1044" w:type="pct"/>
            <w:tcBorders>
              <w:top w:val="single" w:color="000000" w:sz="4" w:space="0"/>
              <w:left w:val="nil"/>
              <w:bottom w:val="single" w:color="000000" w:sz="4" w:space="0"/>
              <w:right w:val="single" w:color="000000" w:sz="4" w:space="0"/>
            </w:tcBorders>
            <w:vAlign w:val="center"/>
          </w:tcPr>
          <w:p w14:paraId="3E1D5548">
            <w:pPr>
              <w:pStyle w:val="38"/>
              <w:jc w:val="center"/>
              <w:rPr>
                <w:rFonts w:ascii="宋体" w:hAnsi="宋体" w:cs="宋体"/>
                <w:b/>
                <w:bCs/>
                <w:sz w:val="21"/>
                <w:szCs w:val="21"/>
              </w:rPr>
            </w:pPr>
            <w:r>
              <w:rPr>
                <w:rFonts w:hint="eastAsia" w:ascii="宋体" w:hAnsi="宋体" w:cs="宋体"/>
                <w:b/>
                <w:bCs/>
                <w:sz w:val="21"/>
                <w:szCs w:val="21"/>
              </w:rPr>
              <w:t>第三方（人）的基本信息（必填）</w:t>
            </w:r>
            <w:r>
              <w:rPr>
                <w:rFonts w:hint="eastAsia" w:ascii="宋体" w:hAnsi="宋体" w:cs="宋体"/>
                <w:sz w:val="21"/>
                <w:szCs w:val="21"/>
              </w:rPr>
              <w:t>（按材料类型填写，□单位□个人，其中，“单位”需填写单位全称、统一社会信用代码、联系人及电话，“个人”需填写个人姓名、联系方式）</w:t>
            </w:r>
          </w:p>
        </w:tc>
        <w:tc>
          <w:tcPr>
            <w:tcW w:w="761" w:type="pct"/>
            <w:tcBorders>
              <w:top w:val="single" w:color="000000" w:sz="4" w:space="0"/>
              <w:left w:val="nil"/>
              <w:bottom w:val="single" w:color="000000" w:sz="4" w:space="0"/>
              <w:right w:val="single" w:color="000000" w:sz="4" w:space="0"/>
            </w:tcBorders>
            <w:noWrap/>
            <w:vAlign w:val="center"/>
          </w:tcPr>
          <w:p w14:paraId="05DCD913">
            <w:pPr>
              <w:pStyle w:val="38"/>
              <w:jc w:val="center"/>
              <w:rPr>
                <w:rFonts w:ascii="宋体" w:hAnsi="宋体" w:cs="宋体"/>
                <w:b/>
                <w:bCs/>
                <w:sz w:val="21"/>
                <w:szCs w:val="21"/>
              </w:rPr>
            </w:pPr>
            <w:r>
              <w:rPr>
                <w:rFonts w:hint="eastAsia" w:ascii="宋体" w:hAnsi="宋体" w:cs="宋体"/>
                <w:b/>
                <w:bCs/>
                <w:sz w:val="21"/>
                <w:szCs w:val="21"/>
              </w:rPr>
              <w:t>材料编号（选填）</w:t>
            </w:r>
            <w:r>
              <w:rPr>
                <w:rFonts w:hint="eastAsia" w:ascii="宋体" w:hAnsi="宋体" w:cs="宋体"/>
                <w:sz w:val="21"/>
                <w:szCs w:val="21"/>
              </w:rPr>
              <w:t>（按材料类型填写）</w:t>
            </w:r>
          </w:p>
        </w:tc>
        <w:tc>
          <w:tcPr>
            <w:tcW w:w="909" w:type="pct"/>
            <w:tcBorders>
              <w:top w:val="single" w:color="000000" w:sz="4" w:space="0"/>
              <w:left w:val="nil"/>
              <w:bottom w:val="single" w:color="000000" w:sz="4" w:space="0"/>
              <w:right w:val="single" w:color="000000" w:sz="4" w:space="0"/>
            </w:tcBorders>
            <w:noWrap/>
            <w:vAlign w:val="center"/>
          </w:tcPr>
          <w:p w14:paraId="02D30A1C">
            <w:pPr>
              <w:pStyle w:val="38"/>
              <w:jc w:val="center"/>
              <w:rPr>
                <w:rFonts w:ascii="宋体" w:hAnsi="宋体" w:cs="宋体"/>
                <w:b/>
                <w:bCs/>
                <w:sz w:val="21"/>
                <w:szCs w:val="21"/>
              </w:rPr>
            </w:pPr>
            <w:r>
              <w:rPr>
                <w:rFonts w:hint="eastAsia" w:ascii="宋体" w:hAnsi="宋体" w:cs="宋体"/>
                <w:b/>
                <w:bCs/>
                <w:sz w:val="21"/>
                <w:szCs w:val="21"/>
              </w:rPr>
              <w:t>相关材料出具时间（选填）</w:t>
            </w:r>
            <w:r>
              <w:rPr>
                <w:rFonts w:hint="eastAsia" w:ascii="宋体" w:hAnsi="宋体" w:cs="宋体"/>
                <w:sz w:val="21"/>
                <w:szCs w:val="21"/>
              </w:rPr>
              <w:t>（按材料类型填写）</w:t>
            </w:r>
          </w:p>
        </w:tc>
      </w:tr>
      <w:tr w14:paraId="7C9E6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791" w:type="pct"/>
            <w:gridSpan w:val="2"/>
            <w:tcBorders>
              <w:top w:val="single" w:color="000000" w:sz="4" w:space="0"/>
              <w:left w:val="single" w:color="000000" w:sz="4" w:space="0"/>
              <w:bottom w:val="single" w:color="000000" w:sz="4" w:space="0"/>
              <w:right w:val="single" w:color="auto" w:sz="4" w:space="0"/>
            </w:tcBorders>
            <w:noWrap/>
            <w:vAlign w:val="center"/>
          </w:tcPr>
          <w:p w14:paraId="5959A9D3">
            <w:pPr>
              <w:pStyle w:val="38"/>
              <w:rPr>
                <w:rFonts w:ascii="宋体" w:hAnsi="宋体" w:cs="宋体"/>
                <w:sz w:val="21"/>
                <w:szCs w:val="21"/>
              </w:rPr>
            </w:pPr>
            <w:r>
              <w:rPr>
                <w:rFonts w:hint="eastAsia" w:ascii="宋体" w:hAnsi="宋体" w:cs="宋体"/>
                <w:sz w:val="21"/>
                <w:szCs w:val="21"/>
              </w:rPr>
              <w:t>□检验检测报告</w:t>
            </w:r>
          </w:p>
        </w:tc>
        <w:tc>
          <w:tcPr>
            <w:tcW w:w="479" w:type="pct"/>
            <w:gridSpan w:val="2"/>
            <w:tcBorders>
              <w:top w:val="single" w:color="000000" w:sz="4" w:space="0"/>
              <w:left w:val="nil"/>
              <w:bottom w:val="single" w:color="000000" w:sz="4" w:space="0"/>
              <w:right w:val="single" w:color="auto" w:sz="4" w:space="0"/>
            </w:tcBorders>
            <w:vAlign w:val="center"/>
          </w:tcPr>
          <w:p w14:paraId="3AEB586E">
            <w:pPr>
              <w:pStyle w:val="38"/>
              <w:rPr>
                <w:rFonts w:ascii="宋体" w:hAnsi="宋体" w:cs="宋体"/>
                <w:sz w:val="21"/>
                <w:szCs w:val="21"/>
              </w:rPr>
            </w:pPr>
          </w:p>
        </w:tc>
        <w:tc>
          <w:tcPr>
            <w:tcW w:w="482" w:type="pct"/>
            <w:tcBorders>
              <w:top w:val="single" w:color="000000" w:sz="4" w:space="0"/>
              <w:left w:val="nil"/>
              <w:bottom w:val="single" w:color="000000" w:sz="4" w:space="0"/>
              <w:right w:val="single" w:color="auto" w:sz="4" w:space="0"/>
            </w:tcBorders>
            <w:vAlign w:val="center"/>
          </w:tcPr>
          <w:p w14:paraId="3E398CF2">
            <w:pPr>
              <w:pStyle w:val="38"/>
              <w:rPr>
                <w:rFonts w:ascii="宋体" w:hAnsi="宋体" w:cs="宋体"/>
                <w:sz w:val="21"/>
                <w:szCs w:val="21"/>
              </w:rPr>
            </w:pPr>
          </w:p>
        </w:tc>
        <w:tc>
          <w:tcPr>
            <w:tcW w:w="531" w:type="pct"/>
            <w:tcBorders>
              <w:top w:val="single" w:color="000000" w:sz="4" w:space="0"/>
              <w:left w:val="nil"/>
              <w:bottom w:val="single" w:color="000000" w:sz="4" w:space="0"/>
              <w:right w:val="single" w:color="auto" w:sz="4" w:space="0"/>
            </w:tcBorders>
            <w:vAlign w:val="center"/>
          </w:tcPr>
          <w:p w14:paraId="65F2079D">
            <w:pPr>
              <w:pStyle w:val="38"/>
              <w:rPr>
                <w:rFonts w:ascii="宋体" w:hAnsi="宋体" w:cs="宋体"/>
                <w:sz w:val="21"/>
                <w:szCs w:val="21"/>
              </w:rPr>
            </w:pPr>
            <w:r>
              <w:rPr>
                <w:rFonts w:hint="eastAsia" w:ascii="宋体" w:hAnsi="宋体" w:cs="宋体"/>
                <w:sz w:val="21"/>
                <w:szCs w:val="21"/>
              </w:rPr>
              <w:t>□是</w:t>
            </w:r>
          </w:p>
          <w:p w14:paraId="75AED4F8">
            <w:pPr>
              <w:pStyle w:val="38"/>
              <w:rPr>
                <w:rFonts w:ascii="宋体" w:hAnsi="宋体" w:cs="宋体"/>
                <w:sz w:val="21"/>
                <w:szCs w:val="21"/>
              </w:rPr>
            </w:pPr>
            <w:r>
              <w:rPr>
                <w:rFonts w:hint="eastAsia" w:ascii="宋体" w:hAnsi="宋体" w:cs="宋体"/>
                <w:sz w:val="21"/>
                <w:szCs w:val="21"/>
              </w:rPr>
              <w:t>□否</w:t>
            </w:r>
          </w:p>
        </w:tc>
        <w:tc>
          <w:tcPr>
            <w:tcW w:w="1044" w:type="pct"/>
            <w:tcBorders>
              <w:top w:val="single" w:color="000000" w:sz="4" w:space="0"/>
              <w:left w:val="nil"/>
              <w:bottom w:val="single" w:color="000000" w:sz="4" w:space="0"/>
              <w:right w:val="single" w:color="000000" w:sz="4" w:space="0"/>
            </w:tcBorders>
            <w:vAlign w:val="center"/>
          </w:tcPr>
          <w:p w14:paraId="14464D63">
            <w:pPr>
              <w:pStyle w:val="38"/>
              <w:rPr>
                <w:rFonts w:ascii="宋体" w:hAnsi="宋体" w:cs="宋体"/>
                <w:sz w:val="21"/>
                <w:szCs w:val="21"/>
              </w:rPr>
            </w:pPr>
            <w:r>
              <w:rPr>
                <w:rFonts w:hint="eastAsia" w:ascii="宋体" w:hAnsi="宋体" w:cs="宋体"/>
                <w:sz w:val="21"/>
                <w:szCs w:val="21"/>
              </w:rPr>
              <w:t>□单位</w:t>
            </w:r>
          </w:p>
          <w:p w14:paraId="1E353A67">
            <w:pPr>
              <w:pStyle w:val="38"/>
              <w:rPr>
                <w:rFonts w:ascii="宋体" w:hAnsi="宋体" w:cs="宋体"/>
                <w:sz w:val="21"/>
                <w:szCs w:val="21"/>
                <w:u w:val="single"/>
              </w:rPr>
            </w:pPr>
            <w:r>
              <w:rPr>
                <w:rFonts w:hint="eastAsia" w:ascii="宋体" w:hAnsi="宋体" w:cs="宋体"/>
                <w:sz w:val="21"/>
                <w:szCs w:val="21"/>
              </w:rPr>
              <w:t>单位全称：</w:t>
            </w:r>
            <w:r>
              <w:rPr>
                <w:rFonts w:hint="eastAsia" w:ascii="宋体" w:hAnsi="宋体" w:cs="宋体"/>
                <w:sz w:val="21"/>
                <w:szCs w:val="21"/>
                <w:u w:val="single"/>
              </w:rPr>
              <w:t xml:space="preserve">                      </w:t>
            </w:r>
          </w:p>
          <w:p w14:paraId="65595F76">
            <w:pPr>
              <w:pStyle w:val="38"/>
              <w:rPr>
                <w:rFonts w:ascii="宋体" w:hAnsi="宋体" w:cs="宋体"/>
                <w:sz w:val="21"/>
                <w:szCs w:val="21"/>
                <w:u w:val="single"/>
              </w:rPr>
            </w:pPr>
            <w:r>
              <w:rPr>
                <w:rFonts w:hint="eastAsia" w:ascii="宋体" w:hAnsi="宋体" w:cs="宋体"/>
                <w:sz w:val="21"/>
                <w:szCs w:val="21"/>
              </w:rPr>
              <w:t>统一社会信用代码：</w:t>
            </w:r>
            <w:r>
              <w:rPr>
                <w:rFonts w:hint="eastAsia" w:ascii="宋体" w:hAnsi="宋体" w:cs="宋体"/>
                <w:sz w:val="21"/>
                <w:szCs w:val="21"/>
                <w:u w:val="single"/>
              </w:rPr>
              <w:t xml:space="preserve">                </w:t>
            </w:r>
          </w:p>
          <w:p w14:paraId="4B92615F">
            <w:pPr>
              <w:pStyle w:val="38"/>
              <w:rPr>
                <w:rFonts w:ascii="宋体" w:hAnsi="宋体" w:cs="宋体"/>
                <w:sz w:val="21"/>
                <w:szCs w:val="21"/>
                <w:u w:val="single"/>
              </w:rPr>
            </w:pPr>
            <w:r>
              <w:rPr>
                <w:rFonts w:hint="eastAsia" w:ascii="宋体" w:hAnsi="宋体" w:cs="宋体"/>
                <w:sz w:val="21"/>
                <w:szCs w:val="21"/>
              </w:rPr>
              <w:t>联系人：</w:t>
            </w:r>
            <w:r>
              <w:rPr>
                <w:rFonts w:hint="eastAsia" w:ascii="宋体" w:hAnsi="宋体" w:cs="宋体"/>
                <w:sz w:val="21"/>
                <w:szCs w:val="21"/>
                <w:u w:val="single"/>
              </w:rPr>
              <w:t xml:space="preserve">                      </w:t>
            </w:r>
          </w:p>
          <w:p w14:paraId="416A2D73">
            <w:pPr>
              <w:pStyle w:val="38"/>
              <w:rPr>
                <w:rFonts w:ascii="宋体" w:hAnsi="宋体" w:cs="宋体"/>
                <w:sz w:val="21"/>
                <w:szCs w:val="21"/>
              </w:rPr>
            </w:pPr>
            <w:r>
              <w:rPr>
                <w:rFonts w:hint="eastAsia" w:ascii="宋体" w:hAnsi="宋体" w:cs="宋体"/>
                <w:sz w:val="21"/>
                <w:szCs w:val="21"/>
              </w:rPr>
              <w:t>联系电话：</w:t>
            </w:r>
            <w:r>
              <w:rPr>
                <w:rFonts w:hint="eastAsia" w:ascii="宋体" w:hAnsi="宋体" w:cs="宋体"/>
                <w:sz w:val="21"/>
                <w:szCs w:val="21"/>
                <w:u w:val="single"/>
              </w:rPr>
              <w:t xml:space="preserve">                     </w:t>
            </w:r>
          </w:p>
          <w:p w14:paraId="148BB851">
            <w:pPr>
              <w:pStyle w:val="38"/>
              <w:rPr>
                <w:rFonts w:ascii="宋体" w:hAnsi="宋体" w:cs="宋体"/>
                <w:sz w:val="21"/>
                <w:szCs w:val="21"/>
              </w:rPr>
            </w:pPr>
            <w:r>
              <w:rPr>
                <w:rFonts w:hint="eastAsia" w:ascii="宋体" w:hAnsi="宋体" w:cs="宋体"/>
                <w:sz w:val="21"/>
                <w:szCs w:val="21"/>
              </w:rPr>
              <w:t xml:space="preserve">□个人  </w:t>
            </w:r>
          </w:p>
          <w:p w14:paraId="5EBCB504">
            <w:pPr>
              <w:pStyle w:val="38"/>
              <w:rPr>
                <w:rFonts w:ascii="宋体" w:hAnsi="宋体" w:cs="宋体"/>
                <w:sz w:val="21"/>
                <w:szCs w:val="21"/>
              </w:rPr>
            </w:pPr>
            <w:r>
              <w:rPr>
                <w:rFonts w:hint="eastAsia" w:ascii="宋体" w:hAnsi="宋体" w:cs="宋体"/>
                <w:sz w:val="21"/>
                <w:szCs w:val="21"/>
              </w:rPr>
              <w:t>个人姓名：</w:t>
            </w:r>
            <w:r>
              <w:rPr>
                <w:rFonts w:hint="eastAsia" w:ascii="宋体" w:hAnsi="宋体" w:cs="宋体"/>
                <w:sz w:val="21"/>
                <w:szCs w:val="21"/>
                <w:u w:val="single"/>
              </w:rPr>
              <w:t xml:space="preserve">                    </w:t>
            </w:r>
          </w:p>
          <w:p w14:paraId="7556D819">
            <w:pPr>
              <w:pStyle w:val="38"/>
              <w:rPr>
                <w:rFonts w:ascii="宋体" w:hAnsi="宋体" w:cs="宋体"/>
                <w:sz w:val="21"/>
                <w:szCs w:val="21"/>
              </w:rPr>
            </w:pPr>
            <w:r>
              <w:rPr>
                <w:rFonts w:hint="eastAsia" w:ascii="宋体" w:hAnsi="宋体" w:cs="宋体"/>
                <w:sz w:val="21"/>
                <w:szCs w:val="21"/>
              </w:rPr>
              <w:t>联系方式：</w:t>
            </w:r>
            <w:r>
              <w:rPr>
                <w:rFonts w:hint="eastAsia" w:ascii="宋体" w:hAnsi="宋体" w:cs="宋体"/>
                <w:sz w:val="21"/>
                <w:szCs w:val="21"/>
                <w:u w:val="single"/>
              </w:rPr>
              <w:t xml:space="preserve">                    </w:t>
            </w:r>
          </w:p>
        </w:tc>
        <w:tc>
          <w:tcPr>
            <w:tcW w:w="761" w:type="pct"/>
            <w:tcBorders>
              <w:top w:val="single" w:color="000000" w:sz="4" w:space="0"/>
              <w:left w:val="nil"/>
              <w:bottom w:val="single" w:color="000000" w:sz="4" w:space="0"/>
              <w:right w:val="single" w:color="000000" w:sz="4" w:space="0"/>
            </w:tcBorders>
            <w:noWrap/>
            <w:vAlign w:val="center"/>
          </w:tcPr>
          <w:p w14:paraId="666B1A58">
            <w:pPr>
              <w:rPr>
                <w:rFonts w:ascii="宋体" w:hAnsi="宋体" w:cs="宋体"/>
                <w:szCs w:val="21"/>
              </w:rPr>
            </w:pPr>
          </w:p>
        </w:tc>
        <w:tc>
          <w:tcPr>
            <w:tcW w:w="909" w:type="pct"/>
            <w:tcBorders>
              <w:top w:val="single" w:color="000000" w:sz="4" w:space="0"/>
              <w:left w:val="nil"/>
              <w:bottom w:val="single" w:color="000000" w:sz="4" w:space="0"/>
              <w:right w:val="single" w:color="000000" w:sz="4" w:space="0"/>
            </w:tcBorders>
            <w:noWrap/>
            <w:vAlign w:val="center"/>
          </w:tcPr>
          <w:p w14:paraId="1D1F2C55">
            <w:pPr>
              <w:rPr>
                <w:rFonts w:ascii="宋体" w:hAnsi="宋体" w:cs="宋体"/>
                <w:szCs w:val="21"/>
              </w:rPr>
            </w:pPr>
          </w:p>
        </w:tc>
      </w:tr>
      <w:tr w14:paraId="760C4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791" w:type="pct"/>
            <w:gridSpan w:val="2"/>
            <w:tcBorders>
              <w:top w:val="single" w:color="000000" w:sz="4" w:space="0"/>
              <w:left w:val="single" w:color="000000" w:sz="4" w:space="0"/>
              <w:bottom w:val="single" w:color="auto" w:sz="4" w:space="0"/>
              <w:right w:val="single" w:color="auto" w:sz="4" w:space="0"/>
            </w:tcBorders>
            <w:noWrap/>
            <w:vAlign w:val="center"/>
          </w:tcPr>
          <w:p w14:paraId="4E94C947">
            <w:pPr>
              <w:pStyle w:val="38"/>
              <w:rPr>
                <w:rFonts w:ascii="宋体" w:hAnsi="宋体" w:cs="宋体"/>
                <w:sz w:val="21"/>
                <w:szCs w:val="21"/>
              </w:rPr>
            </w:pPr>
            <w:r>
              <w:rPr>
                <w:rFonts w:hint="eastAsia" w:ascii="宋体" w:hAnsi="宋体" w:cs="宋体"/>
                <w:sz w:val="21"/>
                <w:szCs w:val="21"/>
              </w:rPr>
              <w:t>□学历证书</w:t>
            </w:r>
          </w:p>
        </w:tc>
        <w:tc>
          <w:tcPr>
            <w:tcW w:w="479" w:type="pct"/>
            <w:gridSpan w:val="2"/>
            <w:tcBorders>
              <w:top w:val="single" w:color="000000" w:sz="4" w:space="0"/>
              <w:left w:val="nil"/>
              <w:bottom w:val="single" w:color="000000" w:sz="4" w:space="0"/>
              <w:right w:val="single" w:color="auto" w:sz="4" w:space="0"/>
            </w:tcBorders>
            <w:vAlign w:val="center"/>
          </w:tcPr>
          <w:p w14:paraId="0F435CD8">
            <w:pPr>
              <w:pStyle w:val="38"/>
              <w:rPr>
                <w:rFonts w:ascii="宋体" w:hAnsi="宋体" w:cs="宋体"/>
                <w:sz w:val="21"/>
                <w:szCs w:val="21"/>
              </w:rPr>
            </w:pPr>
          </w:p>
        </w:tc>
        <w:tc>
          <w:tcPr>
            <w:tcW w:w="482" w:type="pct"/>
            <w:tcBorders>
              <w:top w:val="single" w:color="000000" w:sz="4" w:space="0"/>
              <w:left w:val="nil"/>
              <w:bottom w:val="single" w:color="000000" w:sz="4" w:space="0"/>
              <w:right w:val="single" w:color="auto" w:sz="4" w:space="0"/>
            </w:tcBorders>
            <w:vAlign w:val="center"/>
          </w:tcPr>
          <w:p w14:paraId="1ADFD4D2">
            <w:pPr>
              <w:pStyle w:val="38"/>
              <w:rPr>
                <w:rFonts w:ascii="宋体" w:hAnsi="宋体" w:cs="宋体"/>
                <w:sz w:val="21"/>
                <w:szCs w:val="21"/>
              </w:rPr>
            </w:pPr>
          </w:p>
        </w:tc>
        <w:tc>
          <w:tcPr>
            <w:tcW w:w="531" w:type="pct"/>
            <w:tcBorders>
              <w:top w:val="single" w:color="000000" w:sz="4" w:space="0"/>
              <w:left w:val="nil"/>
              <w:bottom w:val="single" w:color="000000" w:sz="4" w:space="0"/>
              <w:right w:val="single" w:color="auto" w:sz="4" w:space="0"/>
            </w:tcBorders>
            <w:vAlign w:val="center"/>
          </w:tcPr>
          <w:p w14:paraId="493DDCD4">
            <w:pPr>
              <w:rPr>
                <w:rFonts w:ascii="宋体" w:hAnsi="宋体" w:cs="宋体"/>
                <w:szCs w:val="21"/>
              </w:rPr>
            </w:pPr>
            <w:r>
              <w:rPr>
                <w:rFonts w:hint="eastAsia" w:ascii="宋体" w:hAnsi="宋体" w:cs="宋体"/>
                <w:szCs w:val="21"/>
              </w:rPr>
              <w:t>□是</w:t>
            </w:r>
          </w:p>
          <w:p w14:paraId="477DCCA6">
            <w:pPr>
              <w:rPr>
                <w:rFonts w:ascii="宋体" w:hAnsi="宋体" w:cs="宋体"/>
                <w:szCs w:val="21"/>
              </w:rPr>
            </w:pPr>
            <w:r>
              <w:rPr>
                <w:rFonts w:hint="eastAsia" w:ascii="宋体" w:hAnsi="宋体" w:cs="宋体"/>
                <w:szCs w:val="21"/>
              </w:rPr>
              <w:t>□否</w:t>
            </w:r>
          </w:p>
        </w:tc>
        <w:tc>
          <w:tcPr>
            <w:tcW w:w="1044" w:type="pct"/>
            <w:tcBorders>
              <w:top w:val="single" w:color="000000" w:sz="4" w:space="0"/>
              <w:left w:val="nil"/>
              <w:bottom w:val="single" w:color="000000" w:sz="4" w:space="0"/>
              <w:right w:val="single" w:color="000000" w:sz="4" w:space="0"/>
            </w:tcBorders>
            <w:vAlign w:val="center"/>
          </w:tcPr>
          <w:p w14:paraId="30F1EA27">
            <w:pPr>
              <w:pStyle w:val="38"/>
              <w:rPr>
                <w:rFonts w:ascii="宋体" w:hAnsi="宋体" w:cs="宋体"/>
                <w:sz w:val="21"/>
                <w:szCs w:val="21"/>
              </w:rPr>
            </w:pPr>
            <w:r>
              <w:rPr>
                <w:rFonts w:hint="eastAsia" w:ascii="宋体" w:hAnsi="宋体" w:cs="宋体"/>
                <w:sz w:val="21"/>
                <w:szCs w:val="21"/>
              </w:rPr>
              <w:t>□单位</w:t>
            </w:r>
          </w:p>
          <w:p w14:paraId="7CDF0A10">
            <w:pPr>
              <w:pStyle w:val="38"/>
              <w:rPr>
                <w:rFonts w:ascii="宋体" w:hAnsi="宋体" w:cs="宋体"/>
                <w:sz w:val="21"/>
                <w:szCs w:val="21"/>
                <w:u w:val="single"/>
              </w:rPr>
            </w:pPr>
            <w:r>
              <w:rPr>
                <w:rFonts w:hint="eastAsia" w:ascii="宋体" w:hAnsi="宋体" w:cs="宋体"/>
                <w:sz w:val="21"/>
                <w:szCs w:val="21"/>
              </w:rPr>
              <w:t>单位全称：</w:t>
            </w:r>
            <w:r>
              <w:rPr>
                <w:rFonts w:hint="eastAsia" w:ascii="宋体" w:hAnsi="宋体" w:cs="宋体"/>
                <w:sz w:val="21"/>
                <w:szCs w:val="21"/>
                <w:u w:val="single"/>
              </w:rPr>
              <w:t xml:space="preserve">                      </w:t>
            </w:r>
          </w:p>
          <w:p w14:paraId="43BD21F8">
            <w:pPr>
              <w:pStyle w:val="38"/>
              <w:rPr>
                <w:rFonts w:ascii="宋体" w:hAnsi="宋体" w:cs="宋体"/>
                <w:sz w:val="21"/>
                <w:szCs w:val="21"/>
                <w:u w:val="single"/>
              </w:rPr>
            </w:pPr>
            <w:r>
              <w:rPr>
                <w:rFonts w:hint="eastAsia" w:ascii="宋体" w:hAnsi="宋体" w:cs="宋体"/>
                <w:sz w:val="21"/>
                <w:szCs w:val="21"/>
              </w:rPr>
              <w:t>统一社会信用代码：</w:t>
            </w:r>
            <w:r>
              <w:rPr>
                <w:rFonts w:hint="eastAsia" w:ascii="宋体" w:hAnsi="宋体" w:cs="宋体"/>
                <w:sz w:val="21"/>
                <w:szCs w:val="21"/>
                <w:u w:val="single"/>
              </w:rPr>
              <w:t xml:space="preserve">                </w:t>
            </w:r>
          </w:p>
          <w:p w14:paraId="0B28C365">
            <w:pPr>
              <w:pStyle w:val="38"/>
              <w:rPr>
                <w:rFonts w:ascii="宋体" w:hAnsi="宋体" w:cs="宋体"/>
                <w:sz w:val="21"/>
                <w:szCs w:val="21"/>
                <w:u w:val="single"/>
              </w:rPr>
            </w:pPr>
            <w:r>
              <w:rPr>
                <w:rFonts w:hint="eastAsia" w:ascii="宋体" w:hAnsi="宋体" w:cs="宋体"/>
                <w:sz w:val="21"/>
                <w:szCs w:val="21"/>
              </w:rPr>
              <w:t>联系人：</w:t>
            </w:r>
            <w:r>
              <w:rPr>
                <w:rFonts w:hint="eastAsia" w:ascii="宋体" w:hAnsi="宋体" w:cs="宋体"/>
                <w:sz w:val="21"/>
                <w:szCs w:val="21"/>
                <w:u w:val="single"/>
              </w:rPr>
              <w:t xml:space="preserve">                      </w:t>
            </w:r>
          </w:p>
          <w:p w14:paraId="2903A4A0">
            <w:pPr>
              <w:pStyle w:val="38"/>
              <w:rPr>
                <w:rFonts w:ascii="宋体" w:hAnsi="宋体" w:cs="宋体"/>
                <w:sz w:val="21"/>
                <w:szCs w:val="21"/>
              </w:rPr>
            </w:pPr>
            <w:r>
              <w:rPr>
                <w:rFonts w:hint="eastAsia" w:ascii="宋体" w:hAnsi="宋体" w:cs="宋体"/>
                <w:sz w:val="21"/>
                <w:szCs w:val="21"/>
              </w:rPr>
              <w:t>联系电话：</w:t>
            </w:r>
            <w:r>
              <w:rPr>
                <w:rFonts w:hint="eastAsia" w:ascii="宋体" w:hAnsi="宋体" w:cs="宋体"/>
                <w:sz w:val="21"/>
                <w:szCs w:val="21"/>
                <w:u w:val="single"/>
              </w:rPr>
              <w:t xml:space="preserve">                     </w:t>
            </w:r>
          </w:p>
          <w:p w14:paraId="4AC3CEA7">
            <w:pPr>
              <w:pStyle w:val="38"/>
              <w:rPr>
                <w:rFonts w:ascii="宋体" w:hAnsi="宋体" w:cs="宋体"/>
                <w:sz w:val="21"/>
                <w:szCs w:val="21"/>
              </w:rPr>
            </w:pPr>
            <w:r>
              <w:rPr>
                <w:rFonts w:hint="eastAsia" w:ascii="宋体" w:hAnsi="宋体" w:cs="宋体"/>
                <w:sz w:val="21"/>
                <w:szCs w:val="21"/>
              </w:rPr>
              <w:t xml:space="preserve">□个人  </w:t>
            </w:r>
          </w:p>
          <w:p w14:paraId="41561066">
            <w:pPr>
              <w:pStyle w:val="38"/>
              <w:rPr>
                <w:rFonts w:ascii="宋体" w:hAnsi="宋体" w:cs="宋体"/>
                <w:sz w:val="21"/>
                <w:szCs w:val="21"/>
              </w:rPr>
            </w:pPr>
            <w:r>
              <w:rPr>
                <w:rFonts w:hint="eastAsia" w:ascii="宋体" w:hAnsi="宋体" w:cs="宋体"/>
                <w:sz w:val="21"/>
                <w:szCs w:val="21"/>
              </w:rPr>
              <w:t>个人姓名：</w:t>
            </w:r>
            <w:r>
              <w:rPr>
                <w:rFonts w:hint="eastAsia" w:ascii="宋体" w:hAnsi="宋体" w:cs="宋体"/>
                <w:sz w:val="21"/>
                <w:szCs w:val="21"/>
                <w:u w:val="single"/>
              </w:rPr>
              <w:t xml:space="preserve">                    </w:t>
            </w:r>
          </w:p>
          <w:p w14:paraId="6A41F335">
            <w:pPr>
              <w:pStyle w:val="38"/>
              <w:rPr>
                <w:rFonts w:ascii="宋体" w:hAnsi="宋体" w:cs="宋体"/>
                <w:sz w:val="21"/>
                <w:szCs w:val="21"/>
              </w:rPr>
            </w:pPr>
            <w:r>
              <w:rPr>
                <w:rFonts w:hint="eastAsia" w:ascii="宋体" w:hAnsi="宋体" w:cs="宋体"/>
                <w:sz w:val="21"/>
                <w:szCs w:val="21"/>
              </w:rPr>
              <w:t>联系方式：</w:t>
            </w:r>
            <w:r>
              <w:rPr>
                <w:rFonts w:hint="eastAsia" w:ascii="宋体" w:hAnsi="宋体" w:cs="宋体"/>
                <w:sz w:val="21"/>
                <w:szCs w:val="21"/>
                <w:u w:val="single"/>
              </w:rPr>
              <w:t xml:space="preserve">                    </w:t>
            </w:r>
          </w:p>
        </w:tc>
        <w:tc>
          <w:tcPr>
            <w:tcW w:w="761" w:type="pct"/>
            <w:tcBorders>
              <w:top w:val="single" w:color="000000" w:sz="4" w:space="0"/>
              <w:left w:val="nil"/>
              <w:bottom w:val="single" w:color="000000" w:sz="4" w:space="0"/>
              <w:right w:val="single" w:color="000000" w:sz="4" w:space="0"/>
            </w:tcBorders>
            <w:noWrap/>
            <w:vAlign w:val="center"/>
          </w:tcPr>
          <w:p w14:paraId="71B3EF99">
            <w:pPr>
              <w:rPr>
                <w:rFonts w:ascii="宋体" w:hAnsi="宋体" w:cs="宋体"/>
                <w:szCs w:val="21"/>
              </w:rPr>
            </w:pPr>
          </w:p>
        </w:tc>
        <w:tc>
          <w:tcPr>
            <w:tcW w:w="909" w:type="pct"/>
            <w:tcBorders>
              <w:top w:val="single" w:color="000000" w:sz="4" w:space="0"/>
              <w:left w:val="nil"/>
              <w:bottom w:val="single" w:color="000000" w:sz="4" w:space="0"/>
              <w:right w:val="single" w:color="000000" w:sz="4" w:space="0"/>
            </w:tcBorders>
            <w:noWrap/>
            <w:vAlign w:val="center"/>
          </w:tcPr>
          <w:p w14:paraId="1B0123EB">
            <w:pPr>
              <w:rPr>
                <w:rFonts w:ascii="宋体" w:hAnsi="宋体" w:cs="宋体"/>
                <w:szCs w:val="21"/>
              </w:rPr>
            </w:pPr>
          </w:p>
        </w:tc>
      </w:tr>
      <w:tr w14:paraId="32C22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791" w:type="pct"/>
            <w:gridSpan w:val="2"/>
            <w:tcBorders>
              <w:top w:val="single" w:color="auto" w:sz="4" w:space="0"/>
              <w:left w:val="single" w:color="auto" w:sz="4" w:space="0"/>
              <w:bottom w:val="single" w:color="auto" w:sz="4" w:space="0"/>
              <w:right w:val="single" w:color="auto" w:sz="4" w:space="0"/>
            </w:tcBorders>
            <w:noWrap/>
            <w:vAlign w:val="center"/>
          </w:tcPr>
          <w:p w14:paraId="4418A9C5">
            <w:pPr>
              <w:pStyle w:val="38"/>
              <w:rPr>
                <w:rFonts w:ascii="宋体" w:hAnsi="宋体" w:cs="宋体"/>
                <w:sz w:val="21"/>
                <w:szCs w:val="21"/>
              </w:rPr>
            </w:pPr>
            <w:r>
              <w:rPr>
                <w:rFonts w:hint="eastAsia" w:ascii="宋体" w:hAnsi="宋体" w:cs="宋体"/>
                <w:sz w:val="21"/>
                <w:szCs w:val="21"/>
              </w:rPr>
              <w:t>□职称证书</w:t>
            </w:r>
          </w:p>
        </w:tc>
        <w:tc>
          <w:tcPr>
            <w:tcW w:w="479" w:type="pct"/>
            <w:gridSpan w:val="2"/>
            <w:tcBorders>
              <w:top w:val="single" w:color="000000" w:sz="4" w:space="0"/>
              <w:left w:val="nil"/>
              <w:bottom w:val="single" w:color="000000" w:sz="4" w:space="0"/>
              <w:right w:val="single" w:color="auto" w:sz="4" w:space="0"/>
            </w:tcBorders>
            <w:vAlign w:val="center"/>
          </w:tcPr>
          <w:p w14:paraId="729B5EBB">
            <w:pPr>
              <w:pStyle w:val="38"/>
              <w:rPr>
                <w:rFonts w:ascii="宋体" w:hAnsi="宋体" w:cs="宋体"/>
                <w:sz w:val="21"/>
                <w:szCs w:val="21"/>
              </w:rPr>
            </w:pPr>
          </w:p>
        </w:tc>
        <w:tc>
          <w:tcPr>
            <w:tcW w:w="482" w:type="pct"/>
            <w:tcBorders>
              <w:top w:val="single" w:color="000000" w:sz="4" w:space="0"/>
              <w:left w:val="nil"/>
              <w:bottom w:val="single" w:color="000000" w:sz="4" w:space="0"/>
              <w:right w:val="single" w:color="auto" w:sz="4" w:space="0"/>
            </w:tcBorders>
            <w:vAlign w:val="center"/>
          </w:tcPr>
          <w:p w14:paraId="1B7B343F">
            <w:pPr>
              <w:pStyle w:val="38"/>
              <w:rPr>
                <w:rFonts w:ascii="宋体" w:hAnsi="宋体" w:cs="宋体"/>
                <w:sz w:val="21"/>
                <w:szCs w:val="21"/>
              </w:rPr>
            </w:pPr>
          </w:p>
        </w:tc>
        <w:tc>
          <w:tcPr>
            <w:tcW w:w="531" w:type="pct"/>
            <w:tcBorders>
              <w:top w:val="single" w:color="000000" w:sz="4" w:space="0"/>
              <w:left w:val="nil"/>
              <w:bottom w:val="single" w:color="000000" w:sz="4" w:space="0"/>
              <w:right w:val="single" w:color="auto" w:sz="4" w:space="0"/>
            </w:tcBorders>
            <w:vAlign w:val="center"/>
          </w:tcPr>
          <w:p w14:paraId="0EEB2538">
            <w:pPr>
              <w:rPr>
                <w:rFonts w:ascii="宋体" w:hAnsi="宋体" w:cs="宋体"/>
                <w:szCs w:val="21"/>
              </w:rPr>
            </w:pPr>
            <w:r>
              <w:rPr>
                <w:rFonts w:hint="eastAsia" w:ascii="宋体" w:hAnsi="宋体" w:cs="宋体"/>
                <w:szCs w:val="21"/>
              </w:rPr>
              <w:t>□是</w:t>
            </w:r>
          </w:p>
          <w:p w14:paraId="5D0F143E">
            <w:pPr>
              <w:rPr>
                <w:rFonts w:ascii="宋体" w:hAnsi="宋体" w:cs="宋体"/>
                <w:szCs w:val="21"/>
              </w:rPr>
            </w:pPr>
            <w:r>
              <w:rPr>
                <w:rFonts w:hint="eastAsia" w:ascii="宋体" w:hAnsi="宋体" w:cs="宋体"/>
                <w:szCs w:val="21"/>
              </w:rPr>
              <w:t>□否</w:t>
            </w:r>
          </w:p>
        </w:tc>
        <w:tc>
          <w:tcPr>
            <w:tcW w:w="1044" w:type="pct"/>
            <w:tcBorders>
              <w:top w:val="single" w:color="000000" w:sz="4" w:space="0"/>
              <w:left w:val="nil"/>
              <w:bottom w:val="single" w:color="000000" w:sz="4" w:space="0"/>
              <w:right w:val="single" w:color="000000" w:sz="4" w:space="0"/>
            </w:tcBorders>
            <w:vAlign w:val="center"/>
          </w:tcPr>
          <w:p w14:paraId="435491A1">
            <w:pPr>
              <w:pStyle w:val="38"/>
              <w:rPr>
                <w:rFonts w:ascii="宋体" w:hAnsi="宋体" w:cs="宋体"/>
                <w:sz w:val="21"/>
                <w:szCs w:val="21"/>
              </w:rPr>
            </w:pPr>
            <w:r>
              <w:rPr>
                <w:rFonts w:hint="eastAsia" w:ascii="宋体" w:hAnsi="宋体" w:cs="宋体"/>
                <w:sz w:val="21"/>
                <w:szCs w:val="21"/>
              </w:rPr>
              <w:t>□单位</w:t>
            </w:r>
          </w:p>
          <w:p w14:paraId="72A30341">
            <w:pPr>
              <w:pStyle w:val="38"/>
              <w:rPr>
                <w:rFonts w:ascii="宋体" w:hAnsi="宋体" w:cs="宋体"/>
                <w:sz w:val="21"/>
                <w:szCs w:val="21"/>
                <w:u w:val="single"/>
              </w:rPr>
            </w:pPr>
            <w:r>
              <w:rPr>
                <w:rFonts w:hint="eastAsia" w:ascii="宋体" w:hAnsi="宋体" w:cs="宋体"/>
                <w:sz w:val="21"/>
                <w:szCs w:val="21"/>
              </w:rPr>
              <w:t>单位全称：</w:t>
            </w:r>
            <w:r>
              <w:rPr>
                <w:rFonts w:hint="eastAsia" w:ascii="宋体" w:hAnsi="宋体" w:cs="宋体"/>
                <w:sz w:val="21"/>
                <w:szCs w:val="21"/>
                <w:u w:val="single"/>
              </w:rPr>
              <w:t xml:space="preserve">                      </w:t>
            </w:r>
          </w:p>
          <w:p w14:paraId="784C80D2">
            <w:pPr>
              <w:pStyle w:val="38"/>
              <w:rPr>
                <w:rFonts w:ascii="宋体" w:hAnsi="宋体" w:cs="宋体"/>
                <w:sz w:val="21"/>
                <w:szCs w:val="21"/>
                <w:u w:val="single"/>
              </w:rPr>
            </w:pPr>
            <w:r>
              <w:rPr>
                <w:rFonts w:hint="eastAsia" w:ascii="宋体" w:hAnsi="宋体" w:cs="宋体"/>
                <w:sz w:val="21"/>
                <w:szCs w:val="21"/>
              </w:rPr>
              <w:t>统一社会信用代码：</w:t>
            </w:r>
            <w:r>
              <w:rPr>
                <w:rFonts w:hint="eastAsia" w:ascii="宋体" w:hAnsi="宋体" w:cs="宋体"/>
                <w:sz w:val="21"/>
                <w:szCs w:val="21"/>
                <w:u w:val="single"/>
              </w:rPr>
              <w:t xml:space="preserve">                </w:t>
            </w:r>
          </w:p>
          <w:p w14:paraId="14BF6DAB">
            <w:pPr>
              <w:pStyle w:val="38"/>
              <w:rPr>
                <w:rFonts w:ascii="宋体" w:hAnsi="宋体" w:cs="宋体"/>
                <w:sz w:val="21"/>
                <w:szCs w:val="21"/>
                <w:u w:val="single"/>
              </w:rPr>
            </w:pPr>
            <w:r>
              <w:rPr>
                <w:rFonts w:hint="eastAsia" w:ascii="宋体" w:hAnsi="宋体" w:cs="宋体"/>
                <w:sz w:val="21"/>
                <w:szCs w:val="21"/>
              </w:rPr>
              <w:t>联系人：</w:t>
            </w:r>
            <w:r>
              <w:rPr>
                <w:rFonts w:hint="eastAsia" w:ascii="宋体" w:hAnsi="宋体" w:cs="宋体"/>
                <w:sz w:val="21"/>
                <w:szCs w:val="21"/>
                <w:u w:val="single"/>
              </w:rPr>
              <w:t xml:space="preserve">                      </w:t>
            </w:r>
          </w:p>
          <w:p w14:paraId="671579B2">
            <w:pPr>
              <w:pStyle w:val="38"/>
              <w:rPr>
                <w:rFonts w:ascii="宋体" w:hAnsi="宋体" w:cs="宋体"/>
                <w:sz w:val="21"/>
                <w:szCs w:val="21"/>
              </w:rPr>
            </w:pPr>
            <w:r>
              <w:rPr>
                <w:rFonts w:hint="eastAsia" w:ascii="宋体" w:hAnsi="宋体" w:cs="宋体"/>
                <w:sz w:val="21"/>
                <w:szCs w:val="21"/>
              </w:rPr>
              <w:t>联系电话：</w:t>
            </w:r>
            <w:r>
              <w:rPr>
                <w:rFonts w:hint="eastAsia" w:ascii="宋体" w:hAnsi="宋体" w:cs="宋体"/>
                <w:sz w:val="21"/>
                <w:szCs w:val="21"/>
                <w:u w:val="single"/>
              </w:rPr>
              <w:t xml:space="preserve">                     </w:t>
            </w:r>
          </w:p>
          <w:p w14:paraId="212ADBF2">
            <w:pPr>
              <w:pStyle w:val="38"/>
              <w:rPr>
                <w:rFonts w:ascii="宋体" w:hAnsi="宋体" w:cs="宋体"/>
                <w:sz w:val="21"/>
                <w:szCs w:val="21"/>
              </w:rPr>
            </w:pPr>
            <w:r>
              <w:rPr>
                <w:rFonts w:hint="eastAsia" w:ascii="宋体" w:hAnsi="宋体" w:cs="宋体"/>
                <w:sz w:val="21"/>
                <w:szCs w:val="21"/>
              </w:rPr>
              <w:t xml:space="preserve">□个人  </w:t>
            </w:r>
          </w:p>
          <w:p w14:paraId="4F162525">
            <w:pPr>
              <w:pStyle w:val="38"/>
              <w:rPr>
                <w:rFonts w:ascii="宋体" w:hAnsi="宋体" w:cs="宋体"/>
                <w:sz w:val="21"/>
                <w:szCs w:val="21"/>
              </w:rPr>
            </w:pPr>
            <w:r>
              <w:rPr>
                <w:rFonts w:hint="eastAsia" w:ascii="宋体" w:hAnsi="宋体" w:cs="宋体"/>
                <w:sz w:val="21"/>
                <w:szCs w:val="21"/>
              </w:rPr>
              <w:t>个人姓名：</w:t>
            </w:r>
            <w:r>
              <w:rPr>
                <w:rFonts w:hint="eastAsia" w:ascii="宋体" w:hAnsi="宋体" w:cs="宋体"/>
                <w:sz w:val="21"/>
                <w:szCs w:val="21"/>
                <w:u w:val="single"/>
              </w:rPr>
              <w:t xml:space="preserve">                    </w:t>
            </w:r>
          </w:p>
          <w:p w14:paraId="7788327C">
            <w:pPr>
              <w:pStyle w:val="38"/>
              <w:rPr>
                <w:rFonts w:ascii="宋体" w:hAnsi="宋体" w:cs="宋体"/>
                <w:sz w:val="21"/>
                <w:szCs w:val="21"/>
              </w:rPr>
            </w:pPr>
            <w:r>
              <w:rPr>
                <w:rFonts w:hint="eastAsia" w:ascii="宋体" w:hAnsi="宋体" w:cs="宋体"/>
                <w:sz w:val="21"/>
                <w:szCs w:val="21"/>
              </w:rPr>
              <w:t>联系方式：</w:t>
            </w:r>
            <w:r>
              <w:rPr>
                <w:rFonts w:hint="eastAsia" w:ascii="宋体" w:hAnsi="宋体" w:cs="宋体"/>
                <w:sz w:val="21"/>
                <w:szCs w:val="21"/>
                <w:u w:val="single"/>
              </w:rPr>
              <w:t xml:space="preserve">                    </w:t>
            </w:r>
          </w:p>
        </w:tc>
        <w:tc>
          <w:tcPr>
            <w:tcW w:w="761" w:type="pct"/>
            <w:tcBorders>
              <w:top w:val="single" w:color="000000" w:sz="4" w:space="0"/>
              <w:left w:val="nil"/>
              <w:bottom w:val="single" w:color="000000" w:sz="4" w:space="0"/>
              <w:right w:val="single" w:color="000000" w:sz="4" w:space="0"/>
            </w:tcBorders>
            <w:noWrap/>
            <w:vAlign w:val="center"/>
          </w:tcPr>
          <w:p w14:paraId="2ACC4CEA">
            <w:pPr>
              <w:rPr>
                <w:rFonts w:ascii="宋体" w:hAnsi="宋体" w:cs="宋体"/>
                <w:szCs w:val="21"/>
              </w:rPr>
            </w:pPr>
          </w:p>
        </w:tc>
        <w:tc>
          <w:tcPr>
            <w:tcW w:w="909" w:type="pct"/>
            <w:tcBorders>
              <w:top w:val="single" w:color="000000" w:sz="4" w:space="0"/>
              <w:left w:val="nil"/>
              <w:bottom w:val="single" w:color="000000" w:sz="4" w:space="0"/>
              <w:right w:val="single" w:color="000000" w:sz="4" w:space="0"/>
            </w:tcBorders>
            <w:noWrap/>
            <w:vAlign w:val="center"/>
          </w:tcPr>
          <w:p w14:paraId="5674D06C">
            <w:pPr>
              <w:rPr>
                <w:rFonts w:ascii="宋体" w:hAnsi="宋体" w:cs="宋体"/>
                <w:szCs w:val="21"/>
              </w:rPr>
            </w:pPr>
          </w:p>
        </w:tc>
      </w:tr>
      <w:tr w14:paraId="031A8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791" w:type="pct"/>
            <w:gridSpan w:val="2"/>
            <w:tcBorders>
              <w:top w:val="single" w:color="auto" w:sz="4" w:space="0"/>
              <w:left w:val="single" w:color="000000" w:sz="4" w:space="0"/>
              <w:bottom w:val="single" w:color="000000" w:sz="4" w:space="0"/>
              <w:right w:val="single" w:color="auto" w:sz="4" w:space="0"/>
            </w:tcBorders>
            <w:noWrap/>
            <w:vAlign w:val="center"/>
          </w:tcPr>
          <w:p w14:paraId="607241B7">
            <w:pPr>
              <w:pStyle w:val="38"/>
              <w:rPr>
                <w:rFonts w:ascii="宋体" w:hAnsi="宋体" w:cs="宋体"/>
                <w:sz w:val="21"/>
                <w:szCs w:val="21"/>
              </w:rPr>
            </w:pPr>
            <w:r>
              <w:rPr>
                <w:rFonts w:hint="eastAsia" w:ascii="宋体" w:hAnsi="宋体" w:cs="宋体"/>
                <w:sz w:val="21"/>
                <w:szCs w:val="21"/>
              </w:rPr>
              <w:t>□社保证明</w:t>
            </w:r>
          </w:p>
        </w:tc>
        <w:tc>
          <w:tcPr>
            <w:tcW w:w="479" w:type="pct"/>
            <w:gridSpan w:val="2"/>
            <w:tcBorders>
              <w:top w:val="single" w:color="000000" w:sz="4" w:space="0"/>
              <w:left w:val="nil"/>
              <w:bottom w:val="single" w:color="000000" w:sz="4" w:space="0"/>
              <w:right w:val="single" w:color="auto" w:sz="4" w:space="0"/>
            </w:tcBorders>
            <w:vAlign w:val="center"/>
          </w:tcPr>
          <w:p w14:paraId="50543BF2">
            <w:pPr>
              <w:pStyle w:val="38"/>
              <w:rPr>
                <w:rFonts w:ascii="宋体" w:hAnsi="宋体" w:cs="宋体"/>
                <w:sz w:val="21"/>
                <w:szCs w:val="21"/>
              </w:rPr>
            </w:pPr>
          </w:p>
        </w:tc>
        <w:tc>
          <w:tcPr>
            <w:tcW w:w="482" w:type="pct"/>
            <w:tcBorders>
              <w:top w:val="single" w:color="000000" w:sz="4" w:space="0"/>
              <w:left w:val="nil"/>
              <w:bottom w:val="single" w:color="000000" w:sz="4" w:space="0"/>
              <w:right w:val="single" w:color="auto" w:sz="4" w:space="0"/>
            </w:tcBorders>
            <w:vAlign w:val="center"/>
          </w:tcPr>
          <w:p w14:paraId="473A94EE">
            <w:pPr>
              <w:pStyle w:val="38"/>
              <w:rPr>
                <w:rFonts w:ascii="宋体" w:hAnsi="宋体" w:cs="宋体"/>
                <w:sz w:val="21"/>
                <w:szCs w:val="21"/>
              </w:rPr>
            </w:pPr>
          </w:p>
        </w:tc>
        <w:tc>
          <w:tcPr>
            <w:tcW w:w="531" w:type="pct"/>
            <w:tcBorders>
              <w:top w:val="single" w:color="000000" w:sz="4" w:space="0"/>
              <w:left w:val="nil"/>
              <w:bottom w:val="single" w:color="000000" w:sz="4" w:space="0"/>
              <w:right w:val="single" w:color="auto" w:sz="4" w:space="0"/>
            </w:tcBorders>
            <w:vAlign w:val="center"/>
          </w:tcPr>
          <w:p w14:paraId="30EC061A">
            <w:pPr>
              <w:rPr>
                <w:rFonts w:ascii="宋体" w:hAnsi="宋体" w:cs="宋体"/>
                <w:szCs w:val="21"/>
              </w:rPr>
            </w:pPr>
            <w:r>
              <w:rPr>
                <w:rFonts w:hint="eastAsia" w:ascii="宋体" w:hAnsi="宋体" w:cs="宋体"/>
                <w:szCs w:val="21"/>
              </w:rPr>
              <w:t>□是</w:t>
            </w:r>
          </w:p>
          <w:p w14:paraId="5501DA03">
            <w:pPr>
              <w:rPr>
                <w:rFonts w:ascii="宋体" w:hAnsi="宋体" w:cs="宋体"/>
                <w:szCs w:val="21"/>
              </w:rPr>
            </w:pPr>
            <w:r>
              <w:rPr>
                <w:rFonts w:hint="eastAsia" w:ascii="宋体" w:hAnsi="宋体" w:cs="宋体"/>
                <w:szCs w:val="21"/>
              </w:rPr>
              <w:t>□否</w:t>
            </w:r>
          </w:p>
        </w:tc>
        <w:tc>
          <w:tcPr>
            <w:tcW w:w="1044" w:type="pct"/>
            <w:tcBorders>
              <w:top w:val="single" w:color="000000" w:sz="4" w:space="0"/>
              <w:left w:val="nil"/>
              <w:bottom w:val="single" w:color="000000" w:sz="4" w:space="0"/>
              <w:right w:val="single" w:color="000000" w:sz="4" w:space="0"/>
            </w:tcBorders>
            <w:vAlign w:val="center"/>
          </w:tcPr>
          <w:p w14:paraId="0EDD08FA">
            <w:pPr>
              <w:pStyle w:val="38"/>
              <w:rPr>
                <w:rFonts w:ascii="宋体" w:hAnsi="宋体" w:cs="宋体"/>
                <w:sz w:val="21"/>
                <w:szCs w:val="21"/>
              </w:rPr>
            </w:pPr>
            <w:r>
              <w:rPr>
                <w:rFonts w:hint="eastAsia" w:ascii="宋体" w:hAnsi="宋体" w:cs="宋体"/>
                <w:sz w:val="21"/>
                <w:szCs w:val="21"/>
              </w:rPr>
              <w:t>□单位</w:t>
            </w:r>
          </w:p>
          <w:p w14:paraId="02A0FB60">
            <w:pPr>
              <w:pStyle w:val="38"/>
              <w:rPr>
                <w:rFonts w:ascii="宋体" w:hAnsi="宋体" w:cs="宋体"/>
                <w:sz w:val="21"/>
                <w:szCs w:val="21"/>
                <w:u w:val="single"/>
              </w:rPr>
            </w:pPr>
            <w:r>
              <w:rPr>
                <w:rFonts w:hint="eastAsia" w:ascii="宋体" w:hAnsi="宋体" w:cs="宋体"/>
                <w:sz w:val="21"/>
                <w:szCs w:val="21"/>
              </w:rPr>
              <w:t>单位全称：</w:t>
            </w:r>
            <w:r>
              <w:rPr>
                <w:rFonts w:hint="eastAsia" w:ascii="宋体" w:hAnsi="宋体" w:cs="宋体"/>
                <w:sz w:val="21"/>
                <w:szCs w:val="21"/>
                <w:u w:val="single"/>
              </w:rPr>
              <w:t xml:space="preserve">                      </w:t>
            </w:r>
          </w:p>
          <w:p w14:paraId="7C0D3E9A">
            <w:pPr>
              <w:pStyle w:val="38"/>
              <w:rPr>
                <w:rFonts w:ascii="宋体" w:hAnsi="宋体" w:cs="宋体"/>
                <w:sz w:val="21"/>
                <w:szCs w:val="21"/>
                <w:u w:val="single"/>
              </w:rPr>
            </w:pPr>
            <w:r>
              <w:rPr>
                <w:rFonts w:hint="eastAsia" w:ascii="宋体" w:hAnsi="宋体" w:cs="宋体"/>
                <w:sz w:val="21"/>
                <w:szCs w:val="21"/>
              </w:rPr>
              <w:t>统一社会信用代码：</w:t>
            </w:r>
            <w:r>
              <w:rPr>
                <w:rFonts w:hint="eastAsia" w:ascii="宋体" w:hAnsi="宋体" w:cs="宋体"/>
                <w:sz w:val="21"/>
                <w:szCs w:val="21"/>
                <w:u w:val="single"/>
              </w:rPr>
              <w:t xml:space="preserve">                </w:t>
            </w:r>
          </w:p>
          <w:p w14:paraId="515D8C25">
            <w:pPr>
              <w:pStyle w:val="38"/>
              <w:rPr>
                <w:rFonts w:ascii="宋体" w:hAnsi="宋体" w:cs="宋体"/>
                <w:sz w:val="21"/>
                <w:szCs w:val="21"/>
                <w:u w:val="single"/>
              </w:rPr>
            </w:pPr>
            <w:r>
              <w:rPr>
                <w:rFonts w:hint="eastAsia" w:ascii="宋体" w:hAnsi="宋体" w:cs="宋体"/>
                <w:sz w:val="21"/>
                <w:szCs w:val="21"/>
              </w:rPr>
              <w:t>联系人：</w:t>
            </w:r>
            <w:r>
              <w:rPr>
                <w:rFonts w:hint="eastAsia" w:ascii="宋体" w:hAnsi="宋体" w:cs="宋体"/>
                <w:sz w:val="21"/>
                <w:szCs w:val="21"/>
                <w:u w:val="single"/>
              </w:rPr>
              <w:t xml:space="preserve">                      </w:t>
            </w:r>
          </w:p>
          <w:p w14:paraId="27B8934A">
            <w:pPr>
              <w:pStyle w:val="38"/>
              <w:rPr>
                <w:rFonts w:ascii="宋体" w:hAnsi="宋体" w:cs="宋体"/>
                <w:sz w:val="21"/>
                <w:szCs w:val="21"/>
              </w:rPr>
            </w:pPr>
            <w:r>
              <w:rPr>
                <w:rFonts w:hint="eastAsia" w:ascii="宋体" w:hAnsi="宋体" w:cs="宋体"/>
                <w:sz w:val="21"/>
                <w:szCs w:val="21"/>
              </w:rPr>
              <w:t>联系电话：</w:t>
            </w:r>
            <w:r>
              <w:rPr>
                <w:rFonts w:hint="eastAsia" w:ascii="宋体" w:hAnsi="宋体" w:cs="宋体"/>
                <w:sz w:val="21"/>
                <w:szCs w:val="21"/>
                <w:u w:val="single"/>
              </w:rPr>
              <w:t xml:space="preserve">                     </w:t>
            </w:r>
          </w:p>
          <w:p w14:paraId="291713AC">
            <w:pPr>
              <w:pStyle w:val="38"/>
              <w:rPr>
                <w:rFonts w:ascii="宋体" w:hAnsi="宋体" w:cs="宋体"/>
                <w:sz w:val="21"/>
                <w:szCs w:val="21"/>
              </w:rPr>
            </w:pPr>
            <w:r>
              <w:rPr>
                <w:rFonts w:hint="eastAsia" w:ascii="宋体" w:hAnsi="宋体" w:cs="宋体"/>
                <w:sz w:val="21"/>
                <w:szCs w:val="21"/>
              </w:rPr>
              <w:t xml:space="preserve">□个人  </w:t>
            </w:r>
          </w:p>
          <w:p w14:paraId="0833F7DE">
            <w:pPr>
              <w:pStyle w:val="38"/>
              <w:rPr>
                <w:rFonts w:ascii="宋体" w:hAnsi="宋体" w:cs="宋体"/>
                <w:sz w:val="21"/>
                <w:szCs w:val="21"/>
              </w:rPr>
            </w:pPr>
            <w:r>
              <w:rPr>
                <w:rFonts w:hint="eastAsia" w:ascii="宋体" w:hAnsi="宋体" w:cs="宋体"/>
                <w:sz w:val="21"/>
                <w:szCs w:val="21"/>
              </w:rPr>
              <w:t>个人姓名：</w:t>
            </w:r>
            <w:r>
              <w:rPr>
                <w:rFonts w:hint="eastAsia" w:ascii="宋体" w:hAnsi="宋体" w:cs="宋体"/>
                <w:sz w:val="21"/>
                <w:szCs w:val="21"/>
                <w:u w:val="single"/>
              </w:rPr>
              <w:t xml:space="preserve">                    </w:t>
            </w:r>
          </w:p>
          <w:p w14:paraId="20CD3D61">
            <w:pPr>
              <w:pStyle w:val="38"/>
              <w:rPr>
                <w:rFonts w:ascii="宋体" w:hAnsi="宋体" w:cs="宋体"/>
                <w:sz w:val="21"/>
                <w:szCs w:val="21"/>
              </w:rPr>
            </w:pPr>
            <w:r>
              <w:rPr>
                <w:rFonts w:hint="eastAsia" w:ascii="宋体" w:hAnsi="宋体" w:cs="宋体"/>
                <w:sz w:val="21"/>
                <w:szCs w:val="21"/>
              </w:rPr>
              <w:t>联系方式：</w:t>
            </w:r>
            <w:r>
              <w:rPr>
                <w:rFonts w:hint="eastAsia" w:ascii="宋体" w:hAnsi="宋体" w:cs="宋体"/>
                <w:sz w:val="21"/>
                <w:szCs w:val="21"/>
                <w:u w:val="single"/>
              </w:rPr>
              <w:t xml:space="preserve">                    </w:t>
            </w:r>
          </w:p>
        </w:tc>
        <w:tc>
          <w:tcPr>
            <w:tcW w:w="761" w:type="pct"/>
            <w:tcBorders>
              <w:top w:val="single" w:color="000000" w:sz="4" w:space="0"/>
              <w:left w:val="nil"/>
              <w:bottom w:val="single" w:color="000000" w:sz="4" w:space="0"/>
              <w:right w:val="single" w:color="000000" w:sz="4" w:space="0"/>
            </w:tcBorders>
            <w:noWrap/>
            <w:vAlign w:val="center"/>
          </w:tcPr>
          <w:p w14:paraId="67EA10EB">
            <w:pPr>
              <w:rPr>
                <w:rFonts w:ascii="宋体" w:hAnsi="宋体" w:cs="宋体"/>
                <w:szCs w:val="21"/>
              </w:rPr>
            </w:pPr>
          </w:p>
        </w:tc>
        <w:tc>
          <w:tcPr>
            <w:tcW w:w="909" w:type="pct"/>
            <w:tcBorders>
              <w:top w:val="single" w:color="000000" w:sz="4" w:space="0"/>
              <w:left w:val="nil"/>
              <w:bottom w:val="single" w:color="000000" w:sz="4" w:space="0"/>
              <w:right w:val="single" w:color="000000" w:sz="4" w:space="0"/>
            </w:tcBorders>
            <w:noWrap/>
            <w:vAlign w:val="center"/>
          </w:tcPr>
          <w:p w14:paraId="5438FD39">
            <w:pPr>
              <w:rPr>
                <w:rFonts w:ascii="宋体" w:hAnsi="宋体" w:cs="宋体"/>
                <w:szCs w:val="21"/>
              </w:rPr>
            </w:pPr>
          </w:p>
        </w:tc>
      </w:tr>
      <w:tr w14:paraId="1E077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791" w:type="pct"/>
            <w:gridSpan w:val="2"/>
            <w:tcBorders>
              <w:top w:val="single" w:color="000000" w:sz="4" w:space="0"/>
              <w:left w:val="single" w:color="000000" w:sz="4" w:space="0"/>
              <w:bottom w:val="single" w:color="000000" w:sz="4" w:space="0"/>
              <w:right w:val="single" w:color="auto" w:sz="4" w:space="0"/>
            </w:tcBorders>
            <w:noWrap/>
            <w:vAlign w:val="center"/>
          </w:tcPr>
          <w:p w14:paraId="550A5A47">
            <w:pPr>
              <w:pStyle w:val="38"/>
              <w:rPr>
                <w:rFonts w:ascii="宋体" w:hAnsi="宋体" w:cs="宋体"/>
                <w:sz w:val="21"/>
                <w:szCs w:val="21"/>
              </w:rPr>
            </w:pPr>
            <w:r>
              <w:rPr>
                <w:rFonts w:hint="eastAsia" w:ascii="宋体" w:hAnsi="宋体" w:cs="宋体"/>
                <w:sz w:val="21"/>
                <w:szCs w:val="21"/>
              </w:rPr>
              <w:t>□合同业绩</w:t>
            </w:r>
          </w:p>
        </w:tc>
        <w:tc>
          <w:tcPr>
            <w:tcW w:w="479" w:type="pct"/>
            <w:gridSpan w:val="2"/>
            <w:tcBorders>
              <w:top w:val="single" w:color="000000" w:sz="4" w:space="0"/>
              <w:left w:val="nil"/>
              <w:bottom w:val="single" w:color="000000" w:sz="4" w:space="0"/>
              <w:right w:val="single" w:color="auto" w:sz="4" w:space="0"/>
            </w:tcBorders>
            <w:vAlign w:val="center"/>
          </w:tcPr>
          <w:p w14:paraId="292E08B1">
            <w:pPr>
              <w:pStyle w:val="38"/>
              <w:rPr>
                <w:rFonts w:ascii="宋体" w:hAnsi="宋体" w:cs="宋体"/>
                <w:sz w:val="21"/>
                <w:szCs w:val="21"/>
              </w:rPr>
            </w:pPr>
          </w:p>
        </w:tc>
        <w:tc>
          <w:tcPr>
            <w:tcW w:w="482" w:type="pct"/>
            <w:tcBorders>
              <w:top w:val="single" w:color="000000" w:sz="4" w:space="0"/>
              <w:left w:val="nil"/>
              <w:bottom w:val="single" w:color="000000" w:sz="4" w:space="0"/>
              <w:right w:val="single" w:color="auto" w:sz="4" w:space="0"/>
            </w:tcBorders>
            <w:vAlign w:val="center"/>
          </w:tcPr>
          <w:p w14:paraId="5739D694">
            <w:pPr>
              <w:pStyle w:val="38"/>
              <w:rPr>
                <w:rFonts w:ascii="宋体" w:hAnsi="宋体" w:cs="宋体"/>
                <w:sz w:val="21"/>
                <w:szCs w:val="21"/>
              </w:rPr>
            </w:pPr>
          </w:p>
        </w:tc>
        <w:tc>
          <w:tcPr>
            <w:tcW w:w="531" w:type="pct"/>
            <w:tcBorders>
              <w:top w:val="single" w:color="000000" w:sz="4" w:space="0"/>
              <w:left w:val="nil"/>
              <w:bottom w:val="single" w:color="000000" w:sz="4" w:space="0"/>
              <w:right w:val="single" w:color="auto" w:sz="4" w:space="0"/>
            </w:tcBorders>
            <w:vAlign w:val="center"/>
          </w:tcPr>
          <w:p w14:paraId="62726357">
            <w:pPr>
              <w:rPr>
                <w:rFonts w:ascii="宋体" w:hAnsi="宋体" w:cs="宋体"/>
                <w:szCs w:val="21"/>
              </w:rPr>
            </w:pPr>
            <w:r>
              <w:rPr>
                <w:rFonts w:hint="eastAsia" w:ascii="宋体" w:hAnsi="宋体" w:cs="宋体"/>
                <w:szCs w:val="21"/>
              </w:rPr>
              <w:t>□是</w:t>
            </w:r>
          </w:p>
          <w:p w14:paraId="15EA2CD0">
            <w:pPr>
              <w:rPr>
                <w:rFonts w:ascii="宋体" w:hAnsi="宋体" w:cs="宋体"/>
                <w:szCs w:val="21"/>
              </w:rPr>
            </w:pPr>
            <w:r>
              <w:rPr>
                <w:rFonts w:hint="eastAsia" w:ascii="宋体" w:hAnsi="宋体" w:cs="宋体"/>
                <w:szCs w:val="21"/>
              </w:rPr>
              <w:t>□否</w:t>
            </w:r>
          </w:p>
        </w:tc>
        <w:tc>
          <w:tcPr>
            <w:tcW w:w="1044" w:type="pct"/>
            <w:tcBorders>
              <w:top w:val="single" w:color="000000" w:sz="4" w:space="0"/>
              <w:left w:val="nil"/>
              <w:bottom w:val="single" w:color="000000" w:sz="4" w:space="0"/>
              <w:right w:val="single" w:color="000000" w:sz="4" w:space="0"/>
            </w:tcBorders>
            <w:vAlign w:val="center"/>
          </w:tcPr>
          <w:p w14:paraId="5C3E1D81">
            <w:pPr>
              <w:pStyle w:val="38"/>
              <w:rPr>
                <w:rFonts w:ascii="宋体" w:hAnsi="宋体" w:cs="宋体"/>
                <w:sz w:val="21"/>
                <w:szCs w:val="21"/>
              </w:rPr>
            </w:pPr>
            <w:r>
              <w:rPr>
                <w:rFonts w:hint="eastAsia" w:ascii="宋体" w:hAnsi="宋体" w:cs="宋体"/>
                <w:sz w:val="21"/>
                <w:szCs w:val="21"/>
              </w:rPr>
              <w:t>□单位</w:t>
            </w:r>
          </w:p>
          <w:p w14:paraId="10EFD75B">
            <w:pPr>
              <w:pStyle w:val="38"/>
              <w:rPr>
                <w:rFonts w:ascii="宋体" w:hAnsi="宋体" w:cs="宋体"/>
                <w:sz w:val="21"/>
                <w:szCs w:val="21"/>
                <w:u w:val="single"/>
              </w:rPr>
            </w:pPr>
            <w:r>
              <w:rPr>
                <w:rFonts w:hint="eastAsia" w:ascii="宋体" w:hAnsi="宋体" w:cs="宋体"/>
                <w:sz w:val="21"/>
                <w:szCs w:val="21"/>
              </w:rPr>
              <w:t>单位全称：</w:t>
            </w:r>
            <w:r>
              <w:rPr>
                <w:rFonts w:hint="eastAsia" w:ascii="宋体" w:hAnsi="宋体" w:cs="宋体"/>
                <w:sz w:val="21"/>
                <w:szCs w:val="21"/>
                <w:u w:val="single"/>
              </w:rPr>
              <w:t xml:space="preserve">                      </w:t>
            </w:r>
          </w:p>
          <w:p w14:paraId="68B9D4FB">
            <w:pPr>
              <w:pStyle w:val="38"/>
              <w:rPr>
                <w:rFonts w:ascii="宋体" w:hAnsi="宋体" w:cs="宋体"/>
                <w:sz w:val="21"/>
                <w:szCs w:val="21"/>
                <w:u w:val="single"/>
              </w:rPr>
            </w:pPr>
            <w:r>
              <w:rPr>
                <w:rFonts w:hint="eastAsia" w:ascii="宋体" w:hAnsi="宋体" w:cs="宋体"/>
                <w:sz w:val="21"/>
                <w:szCs w:val="21"/>
              </w:rPr>
              <w:t>统一社会信用代码：</w:t>
            </w:r>
            <w:r>
              <w:rPr>
                <w:rFonts w:hint="eastAsia" w:ascii="宋体" w:hAnsi="宋体" w:cs="宋体"/>
                <w:sz w:val="21"/>
                <w:szCs w:val="21"/>
                <w:u w:val="single"/>
              </w:rPr>
              <w:t xml:space="preserve">                </w:t>
            </w:r>
          </w:p>
          <w:p w14:paraId="740844A4">
            <w:pPr>
              <w:pStyle w:val="38"/>
              <w:rPr>
                <w:rFonts w:ascii="宋体" w:hAnsi="宋体" w:cs="宋体"/>
                <w:sz w:val="21"/>
                <w:szCs w:val="21"/>
                <w:u w:val="single"/>
              </w:rPr>
            </w:pPr>
            <w:r>
              <w:rPr>
                <w:rFonts w:hint="eastAsia" w:ascii="宋体" w:hAnsi="宋体" w:cs="宋体"/>
                <w:sz w:val="21"/>
                <w:szCs w:val="21"/>
              </w:rPr>
              <w:t>联系人：</w:t>
            </w:r>
            <w:r>
              <w:rPr>
                <w:rFonts w:hint="eastAsia" w:ascii="宋体" w:hAnsi="宋体" w:cs="宋体"/>
                <w:sz w:val="21"/>
                <w:szCs w:val="21"/>
                <w:u w:val="single"/>
              </w:rPr>
              <w:t xml:space="preserve">                      </w:t>
            </w:r>
          </w:p>
          <w:p w14:paraId="72CC6E6B">
            <w:pPr>
              <w:pStyle w:val="38"/>
              <w:rPr>
                <w:rFonts w:ascii="宋体" w:hAnsi="宋体" w:cs="宋体"/>
                <w:sz w:val="21"/>
                <w:szCs w:val="21"/>
              </w:rPr>
            </w:pPr>
            <w:r>
              <w:rPr>
                <w:rFonts w:hint="eastAsia" w:ascii="宋体" w:hAnsi="宋体" w:cs="宋体"/>
                <w:sz w:val="21"/>
                <w:szCs w:val="21"/>
              </w:rPr>
              <w:t>联系电话：</w:t>
            </w:r>
            <w:r>
              <w:rPr>
                <w:rFonts w:hint="eastAsia" w:ascii="宋体" w:hAnsi="宋体" w:cs="宋体"/>
                <w:sz w:val="21"/>
                <w:szCs w:val="21"/>
                <w:u w:val="single"/>
              </w:rPr>
              <w:t xml:space="preserve">                     </w:t>
            </w:r>
          </w:p>
          <w:p w14:paraId="3D8992A0">
            <w:pPr>
              <w:pStyle w:val="38"/>
              <w:rPr>
                <w:rFonts w:ascii="宋体" w:hAnsi="宋体" w:cs="宋体"/>
                <w:sz w:val="21"/>
                <w:szCs w:val="21"/>
              </w:rPr>
            </w:pPr>
            <w:r>
              <w:rPr>
                <w:rFonts w:hint="eastAsia" w:ascii="宋体" w:hAnsi="宋体" w:cs="宋体"/>
                <w:sz w:val="21"/>
                <w:szCs w:val="21"/>
              </w:rPr>
              <w:t xml:space="preserve">□个人  </w:t>
            </w:r>
          </w:p>
          <w:p w14:paraId="6EF27D3C">
            <w:pPr>
              <w:pStyle w:val="38"/>
              <w:rPr>
                <w:rFonts w:ascii="宋体" w:hAnsi="宋体" w:cs="宋体"/>
                <w:sz w:val="21"/>
                <w:szCs w:val="21"/>
              </w:rPr>
            </w:pPr>
            <w:r>
              <w:rPr>
                <w:rFonts w:hint="eastAsia" w:ascii="宋体" w:hAnsi="宋体" w:cs="宋体"/>
                <w:sz w:val="21"/>
                <w:szCs w:val="21"/>
              </w:rPr>
              <w:t>个人姓名：</w:t>
            </w:r>
            <w:r>
              <w:rPr>
                <w:rFonts w:hint="eastAsia" w:ascii="宋体" w:hAnsi="宋体" w:cs="宋体"/>
                <w:sz w:val="21"/>
                <w:szCs w:val="21"/>
                <w:u w:val="single"/>
              </w:rPr>
              <w:t xml:space="preserve">                    </w:t>
            </w:r>
          </w:p>
          <w:p w14:paraId="67D16A04">
            <w:pPr>
              <w:pStyle w:val="38"/>
              <w:rPr>
                <w:rFonts w:ascii="宋体" w:hAnsi="宋体" w:cs="宋体"/>
                <w:sz w:val="21"/>
                <w:szCs w:val="21"/>
              </w:rPr>
            </w:pPr>
            <w:r>
              <w:rPr>
                <w:rFonts w:hint="eastAsia" w:ascii="宋体" w:hAnsi="宋体" w:cs="宋体"/>
                <w:sz w:val="21"/>
                <w:szCs w:val="21"/>
              </w:rPr>
              <w:t>联系方式：</w:t>
            </w:r>
            <w:r>
              <w:rPr>
                <w:rFonts w:hint="eastAsia" w:ascii="宋体" w:hAnsi="宋体" w:cs="宋体"/>
                <w:sz w:val="21"/>
                <w:szCs w:val="21"/>
                <w:u w:val="single"/>
              </w:rPr>
              <w:t xml:space="preserve">                    </w:t>
            </w:r>
          </w:p>
        </w:tc>
        <w:tc>
          <w:tcPr>
            <w:tcW w:w="761" w:type="pct"/>
            <w:tcBorders>
              <w:top w:val="single" w:color="000000" w:sz="4" w:space="0"/>
              <w:left w:val="nil"/>
              <w:bottom w:val="single" w:color="000000" w:sz="4" w:space="0"/>
              <w:right w:val="single" w:color="000000" w:sz="4" w:space="0"/>
            </w:tcBorders>
            <w:noWrap/>
            <w:vAlign w:val="center"/>
          </w:tcPr>
          <w:p w14:paraId="213818AA">
            <w:pPr>
              <w:rPr>
                <w:rFonts w:ascii="宋体" w:hAnsi="宋体" w:cs="宋体"/>
                <w:szCs w:val="21"/>
              </w:rPr>
            </w:pPr>
          </w:p>
        </w:tc>
        <w:tc>
          <w:tcPr>
            <w:tcW w:w="909" w:type="pct"/>
            <w:tcBorders>
              <w:top w:val="single" w:color="000000" w:sz="4" w:space="0"/>
              <w:left w:val="nil"/>
              <w:bottom w:val="single" w:color="000000" w:sz="4" w:space="0"/>
              <w:right w:val="single" w:color="000000" w:sz="4" w:space="0"/>
            </w:tcBorders>
            <w:noWrap/>
            <w:vAlign w:val="center"/>
          </w:tcPr>
          <w:p w14:paraId="150CA103">
            <w:pPr>
              <w:rPr>
                <w:rFonts w:ascii="宋体" w:hAnsi="宋体" w:cs="宋体"/>
                <w:szCs w:val="21"/>
              </w:rPr>
            </w:pPr>
          </w:p>
        </w:tc>
      </w:tr>
      <w:tr w14:paraId="50843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791" w:type="pct"/>
            <w:gridSpan w:val="2"/>
            <w:tcBorders>
              <w:top w:val="single" w:color="000000" w:sz="4" w:space="0"/>
              <w:left w:val="single" w:color="000000" w:sz="4" w:space="0"/>
              <w:bottom w:val="single" w:color="000000" w:sz="4" w:space="0"/>
              <w:right w:val="single" w:color="auto" w:sz="4" w:space="0"/>
            </w:tcBorders>
            <w:noWrap/>
            <w:vAlign w:val="center"/>
          </w:tcPr>
          <w:p w14:paraId="44EB3740">
            <w:pPr>
              <w:pStyle w:val="38"/>
              <w:rPr>
                <w:rFonts w:ascii="宋体" w:hAnsi="宋体" w:cs="宋体"/>
                <w:sz w:val="21"/>
                <w:szCs w:val="21"/>
              </w:rPr>
            </w:pPr>
            <w:r>
              <w:rPr>
                <w:rFonts w:hint="eastAsia" w:ascii="宋体" w:hAnsi="宋体" w:cs="宋体"/>
                <w:sz w:val="21"/>
                <w:szCs w:val="21"/>
              </w:rPr>
              <w:t>□其他</w:t>
            </w:r>
          </w:p>
        </w:tc>
        <w:tc>
          <w:tcPr>
            <w:tcW w:w="479" w:type="pct"/>
            <w:gridSpan w:val="2"/>
            <w:tcBorders>
              <w:top w:val="single" w:color="000000" w:sz="4" w:space="0"/>
              <w:left w:val="nil"/>
              <w:bottom w:val="single" w:color="000000" w:sz="4" w:space="0"/>
              <w:right w:val="single" w:color="auto" w:sz="4" w:space="0"/>
            </w:tcBorders>
            <w:vAlign w:val="center"/>
          </w:tcPr>
          <w:p w14:paraId="0BD57296">
            <w:pPr>
              <w:pStyle w:val="38"/>
              <w:rPr>
                <w:rFonts w:ascii="宋体" w:hAnsi="宋体" w:cs="宋体"/>
                <w:sz w:val="21"/>
                <w:szCs w:val="21"/>
              </w:rPr>
            </w:pPr>
          </w:p>
        </w:tc>
        <w:tc>
          <w:tcPr>
            <w:tcW w:w="482" w:type="pct"/>
            <w:tcBorders>
              <w:top w:val="single" w:color="000000" w:sz="4" w:space="0"/>
              <w:left w:val="nil"/>
              <w:bottom w:val="single" w:color="000000" w:sz="4" w:space="0"/>
              <w:right w:val="single" w:color="auto" w:sz="4" w:space="0"/>
            </w:tcBorders>
            <w:vAlign w:val="center"/>
          </w:tcPr>
          <w:p w14:paraId="2CFE5515">
            <w:pPr>
              <w:pStyle w:val="38"/>
              <w:rPr>
                <w:rFonts w:ascii="宋体" w:hAnsi="宋体" w:cs="宋体"/>
                <w:sz w:val="21"/>
                <w:szCs w:val="21"/>
              </w:rPr>
            </w:pPr>
          </w:p>
        </w:tc>
        <w:tc>
          <w:tcPr>
            <w:tcW w:w="531" w:type="pct"/>
            <w:tcBorders>
              <w:top w:val="single" w:color="000000" w:sz="4" w:space="0"/>
              <w:left w:val="nil"/>
              <w:bottom w:val="single" w:color="000000" w:sz="4" w:space="0"/>
              <w:right w:val="single" w:color="auto" w:sz="4" w:space="0"/>
            </w:tcBorders>
            <w:vAlign w:val="center"/>
          </w:tcPr>
          <w:p w14:paraId="5C30AD0D">
            <w:pPr>
              <w:rPr>
                <w:rFonts w:ascii="宋体" w:hAnsi="宋体" w:cs="宋体"/>
                <w:szCs w:val="21"/>
              </w:rPr>
            </w:pPr>
            <w:r>
              <w:rPr>
                <w:rFonts w:hint="eastAsia" w:ascii="宋体" w:hAnsi="宋体" w:cs="宋体"/>
                <w:szCs w:val="21"/>
              </w:rPr>
              <w:t>□是</w:t>
            </w:r>
          </w:p>
          <w:p w14:paraId="5CF1EBB2">
            <w:pPr>
              <w:rPr>
                <w:rFonts w:ascii="宋体" w:hAnsi="宋体" w:cs="宋体"/>
                <w:szCs w:val="21"/>
              </w:rPr>
            </w:pPr>
            <w:r>
              <w:rPr>
                <w:rFonts w:hint="eastAsia" w:ascii="宋体" w:hAnsi="宋体" w:cs="宋体"/>
                <w:szCs w:val="21"/>
              </w:rPr>
              <w:t>□否</w:t>
            </w:r>
          </w:p>
        </w:tc>
        <w:tc>
          <w:tcPr>
            <w:tcW w:w="1044" w:type="pct"/>
            <w:tcBorders>
              <w:top w:val="single" w:color="000000" w:sz="4" w:space="0"/>
              <w:left w:val="nil"/>
              <w:bottom w:val="single" w:color="000000" w:sz="4" w:space="0"/>
              <w:right w:val="single" w:color="000000" w:sz="4" w:space="0"/>
            </w:tcBorders>
            <w:vAlign w:val="center"/>
          </w:tcPr>
          <w:p w14:paraId="4648485C">
            <w:pPr>
              <w:pStyle w:val="38"/>
              <w:rPr>
                <w:rFonts w:ascii="宋体" w:hAnsi="宋体" w:cs="宋体"/>
                <w:sz w:val="21"/>
                <w:szCs w:val="21"/>
              </w:rPr>
            </w:pPr>
            <w:r>
              <w:rPr>
                <w:rFonts w:hint="eastAsia" w:ascii="宋体" w:hAnsi="宋体" w:cs="宋体"/>
                <w:sz w:val="21"/>
                <w:szCs w:val="21"/>
              </w:rPr>
              <w:t>□单位</w:t>
            </w:r>
          </w:p>
          <w:p w14:paraId="47C0389A">
            <w:pPr>
              <w:pStyle w:val="38"/>
              <w:rPr>
                <w:rFonts w:ascii="宋体" w:hAnsi="宋体" w:cs="宋体"/>
                <w:sz w:val="21"/>
                <w:szCs w:val="21"/>
                <w:u w:val="single"/>
              </w:rPr>
            </w:pPr>
            <w:r>
              <w:rPr>
                <w:rFonts w:hint="eastAsia" w:ascii="宋体" w:hAnsi="宋体" w:cs="宋体"/>
                <w:sz w:val="21"/>
                <w:szCs w:val="21"/>
              </w:rPr>
              <w:t>单位全称：</w:t>
            </w:r>
            <w:r>
              <w:rPr>
                <w:rFonts w:hint="eastAsia" w:ascii="宋体" w:hAnsi="宋体" w:cs="宋体"/>
                <w:sz w:val="21"/>
                <w:szCs w:val="21"/>
                <w:u w:val="single"/>
              </w:rPr>
              <w:t xml:space="preserve">                      </w:t>
            </w:r>
          </w:p>
          <w:p w14:paraId="5E2239FC">
            <w:pPr>
              <w:pStyle w:val="38"/>
              <w:rPr>
                <w:rFonts w:ascii="宋体" w:hAnsi="宋体" w:cs="宋体"/>
                <w:sz w:val="21"/>
                <w:szCs w:val="21"/>
                <w:u w:val="single"/>
              </w:rPr>
            </w:pPr>
            <w:r>
              <w:rPr>
                <w:rFonts w:hint="eastAsia" w:ascii="宋体" w:hAnsi="宋体" w:cs="宋体"/>
                <w:sz w:val="21"/>
                <w:szCs w:val="21"/>
              </w:rPr>
              <w:t>统一社会信用代码：</w:t>
            </w:r>
            <w:r>
              <w:rPr>
                <w:rFonts w:hint="eastAsia" w:ascii="宋体" w:hAnsi="宋体" w:cs="宋体"/>
                <w:sz w:val="21"/>
                <w:szCs w:val="21"/>
                <w:u w:val="single"/>
              </w:rPr>
              <w:t xml:space="preserve">                </w:t>
            </w:r>
          </w:p>
          <w:p w14:paraId="270038C8">
            <w:pPr>
              <w:pStyle w:val="38"/>
              <w:rPr>
                <w:rFonts w:ascii="宋体" w:hAnsi="宋体" w:cs="宋体"/>
                <w:sz w:val="21"/>
                <w:szCs w:val="21"/>
                <w:u w:val="single"/>
              </w:rPr>
            </w:pPr>
            <w:r>
              <w:rPr>
                <w:rFonts w:hint="eastAsia" w:ascii="宋体" w:hAnsi="宋体" w:cs="宋体"/>
                <w:sz w:val="21"/>
                <w:szCs w:val="21"/>
              </w:rPr>
              <w:t>联系人：</w:t>
            </w:r>
            <w:r>
              <w:rPr>
                <w:rFonts w:hint="eastAsia" w:ascii="宋体" w:hAnsi="宋体" w:cs="宋体"/>
                <w:sz w:val="21"/>
                <w:szCs w:val="21"/>
                <w:u w:val="single"/>
              </w:rPr>
              <w:t xml:space="preserve">                      </w:t>
            </w:r>
          </w:p>
          <w:p w14:paraId="2253AECC">
            <w:pPr>
              <w:pStyle w:val="38"/>
              <w:rPr>
                <w:rFonts w:ascii="宋体" w:hAnsi="宋体" w:cs="宋体"/>
                <w:sz w:val="21"/>
                <w:szCs w:val="21"/>
              </w:rPr>
            </w:pPr>
            <w:r>
              <w:rPr>
                <w:rFonts w:hint="eastAsia" w:ascii="宋体" w:hAnsi="宋体" w:cs="宋体"/>
                <w:sz w:val="21"/>
                <w:szCs w:val="21"/>
              </w:rPr>
              <w:t>联系电话：</w:t>
            </w:r>
            <w:r>
              <w:rPr>
                <w:rFonts w:hint="eastAsia" w:ascii="宋体" w:hAnsi="宋体" w:cs="宋体"/>
                <w:sz w:val="21"/>
                <w:szCs w:val="21"/>
                <w:u w:val="single"/>
              </w:rPr>
              <w:t xml:space="preserve">                     </w:t>
            </w:r>
          </w:p>
          <w:p w14:paraId="23BAA6DE">
            <w:pPr>
              <w:pStyle w:val="38"/>
              <w:rPr>
                <w:rFonts w:ascii="宋体" w:hAnsi="宋体" w:cs="宋体"/>
                <w:sz w:val="21"/>
                <w:szCs w:val="21"/>
              </w:rPr>
            </w:pPr>
            <w:r>
              <w:rPr>
                <w:rFonts w:hint="eastAsia" w:ascii="宋体" w:hAnsi="宋体" w:cs="宋体"/>
                <w:sz w:val="21"/>
                <w:szCs w:val="21"/>
              </w:rPr>
              <w:t xml:space="preserve">□个人  </w:t>
            </w:r>
          </w:p>
          <w:p w14:paraId="38AB3516">
            <w:pPr>
              <w:pStyle w:val="38"/>
              <w:rPr>
                <w:rFonts w:ascii="宋体" w:hAnsi="宋体" w:cs="宋体"/>
                <w:sz w:val="21"/>
                <w:szCs w:val="21"/>
              </w:rPr>
            </w:pPr>
            <w:r>
              <w:rPr>
                <w:rFonts w:hint="eastAsia" w:ascii="宋体" w:hAnsi="宋体" w:cs="宋体"/>
                <w:sz w:val="21"/>
                <w:szCs w:val="21"/>
              </w:rPr>
              <w:t>个人姓名：</w:t>
            </w:r>
            <w:r>
              <w:rPr>
                <w:rFonts w:hint="eastAsia" w:ascii="宋体" w:hAnsi="宋体" w:cs="宋体"/>
                <w:sz w:val="21"/>
                <w:szCs w:val="21"/>
                <w:u w:val="single"/>
              </w:rPr>
              <w:t xml:space="preserve">                    </w:t>
            </w:r>
          </w:p>
          <w:p w14:paraId="42087FC5">
            <w:pPr>
              <w:pStyle w:val="38"/>
              <w:rPr>
                <w:rFonts w:ascii="宋体" w:hAnsi="宋体" w:cs="宋体"/>
                <w:sz w:val="21"/>
                <w:szCs w:val="21"/>
              </w:rPr>
            </w:pPr>
            <w:r>
              <w:rPr>
                <w:rFonts w:hint="eastAsia" w:ascii="宋体" w:hAnsi="宋体" w:cs="宋体"/>
                <w:sz w:val="21"/>
                <w:szCs w:val="21"/>
              </w:rPr>
              <w:t>联系方式：</w:t>
            </w:r>
            <w:r>
              <w:rPr>
                <w:rFonts w:hint="eastAsia" w:ascii="宋体" w:hAnsi="宋体" w:cs="宋体"/>
                <w:sz w:val="21"/>
                <w:szCs w:val="21"/>
                <w:u w:val="single"/>
              </w:rPr>
              <w:t xml:space="preserve">                    </w:t>
            </w:r>
          </w:p>
        </w:tc>
        <w:tc>
          <w:tcPr>
            <w:tcW w:w="761" w:type="pct"/>
            <w:tcBorders>
              <w:top w:val="single" w:color="000000" w:sz="4" w:space="0"/>
              <w:left w:val="nil"/>
              <w:bottom w:val="single" w:color="000000" w:sz="4" w:space="0"/>
              <w:right w:val="single" w:color="000000" w:sz="4" w:space="0"/>
            </w:tcBorders>
            <w:noWrap/>
            <w:vAlign w:val="center"/>
          </w:tcPr>
          <w:p w14:paraId="3D0F54DF">
            <w:pPr>
              <w:rPr>
                <w:rFonts w:ascii="宋体" w:hAnsi="宋体" w:cs="宋体"/>
                <w:szCs w:val="21"/>
              </w:rPr>
            </w:pPr>
          </w:p>
        </w:tc>
        <w:tc>
          <w:tcPr>
            <w:tcW w:w="909" w:type="pct"/>
            <w:tcBorders>
              <w:top w:val="single" w:color="000000" w:sz="4" w:space="0"/>
              <w:left w:val="nil"/>
              <w:bottom w:val="single" w:color="000000" w:sz="4" w:space="0"/>
              <w:right w:val="single" w:color="000000" w:sz="4" w:space="0"/>
            </w:tcBorders>
            <w:noWrap/>
            <w:vAlign w:val="center"/>
          </w:tcPr>
          <w:p w14:paraId="45E0E83F">
            <w:pPr>
              <w:rPr>
                <w:rFonts w:ascii="宋体" w:hAnsi="宋体" w:cs="宋体"/>
                <w:szCs w:val="21"/>
              </w:rPr>
            </w:pPr>
          </w:p>
        </w:tc>
      </w:tr>
    </w:tbl>
    <w:p w14:paraId="2BC0D5B5">
      <w:pPr>
        <w:pStyle w:val="38"/>
        <w:adjustRightInd w:val="0"/>
        <w:snapToGrid w:val="0"/>
        <w:spacing w:line="360" w:lineRule="auto"/>
        <w:ind w:firstLine="141" w:firstLineChars="67"/>
        <w:rPr>
          <w:rFonts w:ascii="仿宋" w:hAnsi="仿宋" w:eastAsia="仿宋" w:cs="仿宋"/>
          <w:b/>
          <w:sz w:val="21"/>
          <w:szCs w:val="21"/>
        </w:rPr>
      </w:pPr>
      <w:r>
        <w:rPr>
          <w:rFonts w:hint="eastAsia" w:ascii="仿宋" w:hAnsi="仿宋" w:eastAsia="仿宋" w:cs="仿宋"/>
          <w:b/>
          <w:sz w:val="21"/>
          <w:szCs w:val="21"/>
        </w:rPr>
        <w:t xml:space="preserve"> </w:t>
      </w:r>
    </w:p>
    <w:p w14:paraId="593302A3">
      <w:pPr>
        <w:pStyle w:val="38"/>
        <w:adjustRightInd w:val="0"/>
        <w:snapToGrid w:val="0"/>
        <w:spacing w:line="360" w:lineRule="auto"/>
        <w:ind w:firstLine="148" w:firstLineChars="67"/>
        <w:rPr>
          <w:rFonts w:ascii="仿宋" w:hAnsi="仿宋" w:eastAsia="仿宋" w:cs="仿宋"/>
          <w:b/>
          <w:sz w:val="22"/>
          <w:szCs w:val="22"/>
          <w:u w:val="single"/>
        </w:rPr>
      </w:pPr>
      <w:r>
        <w:rPr>
          <w:rFonts w:hint="eastAsia" w:ascii="仿宋" w:hAnsi="仿宋" w:eastAsia="仿宋" w:cs="仿宋"/>
          <w:b/>
          <w:sz w:val="22"/>
          <w:szCs w:val="22"/>
        </w:rPr>
        <w:t>投标供应商名称（盖公章）：</w:t>
      </w:r>
    </w:p>
    <w:p w14:paraId="601BA687">
      <w:pPr>
        <w:pStyle w:val="38"/>
        <w:adjustRightInd w:val="0"/>
        <w:snapToGrid w:val="0"/>
        <w:spacing w:line="360" w:lineRule="auto"/>
        <w:ind w:firstLine="148" w:firstLineChars="67"/>
        <w:rPr>
          <w:rFonts w:ascii="仿宋" w:hAnsi="仿宋" w:eastAsia="仿宋" w:cs="仿宋"/>
          <w:b/>
          <w:sz w:val="22"/>
          <w:szCs w:val="22"/>
          <w:u w:val="single"/>
        </w:rPr>
      </w:pPr>
      <w:r>
        <w:rPr>
          <w:rFonts w:hint="eastAsia" w:ascii="仿宋" w:hAnsi="仿宋" w:eastAsia="仿宋" w:cs="仿宋"/>
          <w:b/>
          <w:sz w:val="22"/>
          <w:szCs w:val="22"/>
        </w:rPr>
        <w:t>法定代表人（或授权代表）签字：</w:t>
      </w:r>
    </w:p>
    <w:p w14:paraId="0A37EC93">
      <w:pPr>
        <w:pStyle w:val="55"/>
        <w:widowControl/>
        <w:ind w:firstLine="221" w:firstLineChars="100"/>
        <w:rPr>
          <w:rFonts w:ascii="仿宋" w:hAnsi="仿宋" w:eastAsia="仿宋" w:cs="仿宋"/>
          <w:b/>
          <w:szCs w:val="21"/>
        </w:rPr>
      </w:pPr>
      <w:r>
        <w:rPr>
          <w:rFonts w:hint="eastAsia" w:ascii="仿宋" w:hAnsi="仿宋" w:eastAsia="仿宋" w:cs="仿宋"/>
          <w:b/>
          <w:sz w:val="22"/>
        </w:rPr>
        <w:t>日期：   年   月   日</w:t>
      </w:r>
    </w:p>
    <w:p w14:paraId="324B1171">
      <w:pPr>
        <w:pStyle w:val="55"/>
        <w:widowControl/>
        <w:rPr>
          <w:rFonts w:ascii="仿宋" w:hAnsi="仿宋" w:eastAsia="仿宋" w:cs="仿宋"/>
          <w:b/>
          <w:bCs/>
          <w:color w:val="FF0000"/>
          <w:spacing w:val="-4"/>
          <w:kern w:val="0"/>
          <w:sz w:val="24"/>
          <w:szCs w:val="24"/>
        </w:rPr>
      </w:pPr>
    </w:p>
    <w:p w14:paraId="3E530FDA">
      <w:pPr>
        <w:pStyle w:val="55"/>
        <w:widowControl/>
        <w:rPr>
          <w:rFonts w:ascii="仿宋" w:hAnsi="仿宋" w:eastAsia="仿宋" w:cs="仿宋"/>
          <w:b/>
          <w:sz w:val="24"/>
          <w:szCs w:val="24"/>
        </w:rPr>
        <w:sectPr>
          <w:pgSz w:w="11906" w:h="16838"/>
          <w:pgMar w:top="1247" w:right="1701" w:bottom="1247" w:left="1701" w:header="851" w:footer="992" w:gutter="0"/>
          <w:pgNumType w:fmt="decimal"/>
          <w:cols w:space="720" w:num="1"/>
          <w:docGrid w:type="lines" w:linePitch="312" w:charSpace="0"/>
        </w:sectPr>
      </w:pPr>
      <w:r>
        <w:rPr>
          <w:rFonts w:hint="eastAsia" w:ascii="仿宋" w:hAnsi="仿宋" w:eastAsia="仿宋" w:cs="仿宋"/>
          <w:b/>
          <w:bCs/>
          <w:color w:val="FF0000"/>
          <w:spacing w:val="-4"/>
          <w:kern w:val="0"/>
          <w:sz w:val="24"/>
          <w:szCs w:val="24"/>
        </w:rPr>
        <w:t>注：该确认表用于对供应商违法行为的警示，不作为供应商资格性审查及符合性审查条件。</w:t>
      </w:r>
    </w:p>
    <w:p w14:paraId="6BAACC91">
      <w:pPr>
        <w:jc w:val="center"/>
        <w:rPr>
          <w:rFonts w:ascii="黑体" w:eastAsia="黑体"/>
          <w:sz w:val="24"/>
          <w:szCs w:val="20"/>
        </w:rPr>
      </w:pPr>
      <w:r>
        <w:rPr>
          <w:rFonts w:hint="eastAsia" w:ascii="黑体" w:eastAsia="黑体"/>
          <w:sz w:val="24"/>
          <w:szCs w:val="20"/>
        </w:rPr>
        <w:t>（三）订单融资情况</w:t>
      </w:r>
    </w:p>
    <w:p w14:paraId="2E421979">
      <w:pPr>
        <w:ind w:firstLine="422" w:firstLineChars="200"/>
        <w:rPr>
          <w:rFonts w:ascii="宋体" w:hAnsi="宋体" w:cs="宋体"/>
          <w:b/>
          <w:bCs/>
        </w:rPr>
      </w:pPr>
      <w:r>
        <w:rPr>
          <w:rFonts w:hint="eastAsia" w:ascii="宋体" w:hAnsi="宋体" w:cs="宋体"/>
          <w:b/>
          <w:bCs/>
        </w:rPr>
        <w:t>1、关于政府采购订单融资政策</w:t>
      </w:r>
    </w:p>
    <w:p w14:paraId="00EDA413">
      <w:pPr>
        <w:pStyle w:val="18"/>
        <w:spacing w:line="240" w:lineRule="auto"/>
        <w:ind w:firstLine="420" w:firstLineChars="200"/>
        <w:rPr>
          <w:b w:val="0"/>
          <w:sz w:val="21"/>
          <w:szCs w:val="21"/>
        </w:rPr>
      </w:pPr>
      <w:r>
        <w:rPr>
          <w:rFonts w:hint="eastAsia"/>
          <w:b w:val="0"/>
          <w:sz w:val="21"/>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52A1D595">
      <w:pPr>
        <w:ind w:firstLine="422" w:firstLineChars="200"/>
        <w:rPr>
          <w:rFonts w:ascii="宋体" w:hAnsi="宋体" w:cs="宋体"/>
          <w:b/>
          <w:bCs/>
        </w:rPr>
      </w:pPr>
      <w:r>
        <w:rPr>
          <w:rFonts w:hint="eastAsia" w:ascii="宋体" w:hAnsi="宋体" w:cs="宋体"/>
          <w:b/>
          <w:bCs/>
        </w:rPr>
        <w:t>2、供应商账户信息</w:t>
      </w:r>
    </w:p>
    <w:p w14:paraId="5A6EAACE">
      <w:pPr>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szCs w:val="21"/>
        </w:rPr>
        <w:t xml:space="preserve">；  </w:t>
      </w:r>
    </w:p>
    <w:p w14:paraId="65E12222">
      <w:pPr>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szCs w:val="21"/>
        </w:rPr>
        <w:t>；</w:t>
      </w:r>
    </w:p>
    <w:p w14:paraId="5A1C3FF4">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49E7B1A2">
      <w:pPr>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szCs w:val="21"/>
        </w:rPr>
        <w:t>；</w:t>
      </w:r>
      <w:r>
        <w:rPr>
          <w:rFonts w:hint="eastAsia"/>
          <w:szCs w:val="21"/>
          <w:u w:val="thick"/>
        </w:rPr>
        <w:t xml:space="preserve">               </w:t>
      </w:r>
    </w:p>
    <w:p w14:paraId="066AD88A">
      <w:pPr>
        <w:ind w:left="420" w:leftChars="200" w:firstLine="210" w:firstLineChars="100"/>
        <w:rPr>
          <w:szCs w:val="21"/>
        </w:rPr>
      </w:pPr>
      <w:r>
        <w:rPr>
          <w:rFonts w:hint="eastAsia"/>
          <w:szCs w:val="21"/>
        </w:rPr>
        <w:t>开户银行名称：</w:t>
      </w:r>
      <w:r>
        <w:rPr>
          <w:rFonts w:hint="eastAsia"/>
          <w:szCs w:val="21"/>
          <w:u w:val="thick"/>
        </w:rPr>
        <w:t xml:space="preserve">                                                           </w:t>
      </w:r>
      <w:r>
        <w:rPr>
          <w:rFonts w:hint="eastAsia"/>
          <w:szCs w:val="21"/>
        </w:rPr>
        <w:t>；</w:t>
      </w:r>
    </w:p>
    <w:p w14:paraId="03AC9570">
      <w:pPr>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14:paraId="6B15A700">
      <w:pPr>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14:paraId="4F3CF3E7">
      <w:pPr>
        <w:ind w:left="420" w:leftChars="200" w:firstLine="210" w:firstLineChars="100"/>
        <w:rPr>
          <w:szCs w:val="21"/>
        </w:rPr>
      </w:pPr>
      <w:r>
        <w:rPr>
          <w:rFonts w:hint="eastAsia"/>
          <w:szCs w:val="21"/>
        </w:rPr>
        <w:t xml:space="preserve"> </w:t>
      </w:r>
      <w:r>
        <w:rPr>
          <w:rFonts w:hint="eastAsia" w:ascii="宋体" w:hAnsi="宋体"/>
          <w:b/>
          <w:bCs/>
          <w:color w:val="FF0000"/>
          <w:spacing w:val="-4"/>
          <w:kern w:val="0"/>
          <w:szCs w:val="21"/>
        </w:rPr>
        <w:t>注：本项填写内容作为订单融资开展的参考信息，不作为供应商资格性审查及符合性审查条件。</w:t>
      </w:r>
    </w:p>
    <w:p w14:paraId="7B7DE78E">
      <w:pPr>
        <w:widowControl/>
        <w:tabs>
          <w:tab w:val="left" w:pos="8200"/>
        </w:tabs>
        <w:autoSpaceDE w:val="0"/>
        <w:autoSpaceDN w:val="0"/>
        <w:spacing w:line="400" w:lineRule="exact"/>
        <w:ind w:right="1414" w:firstLine="406" w:firstLineChars="200"/>
        <w:rPr>
          <w:rFonts w:ascii="宋体" w:hAnsi="宋体"/>
          <w:b/>
          <w:bCs/>
          <w:color w:val="FF0000"/>
          <w:spacing w:val="-4"/>
          <w:kern w:val="0"/>
          <w:szCs w:val="21"/>
        </w:rPr>
      </w:pPr>
    </w:p>
    <w:p w14:paraId="2173AB6F">
      <w:pPr>
        <w:widowControl/>
        <w:tabs>
          <w:tab w:val="left" w:pos="6930"/>
          <w:tab w:val="left" w:pos="8200"/>
        </w:tabs>
        <w:autoSpaceDE w:val="0"/>
        <w:autoSpaceDN w:val="0"/>
        <w:spacing w:line="400" w:lineRule="exact"/>
        <w:ind w:right="1414" w:firstLine="480" w:firstLineChars="200"/>
        <w:rPr>
          <w:kern w:val="0"/>
          <w:sz w:val="24"/>
        </w:rPr>
      </w:pPr>
    </w:p>
    <w:p w14:paraId="70BE1328">
      <w:pPr>
        <w:widowControl/>
        <w:autoSpaceDE w:val="0"/>
        <w:autoSpaceDN w:val="0"/>
        <w:spacing w:line="400" w:lineRule="exact"/>
        <w:ind w:right="1414" w:firstLine="480" w:firstLineChars="200"/>
        <w:jc w:val="right"/>
        <w:rPr>
          <w:kern w:val="0"/>
          <w:sz w:val="24"/>
        </w:rPr>
      </w:pPr>
    </w:p>
    <w:p w14:paraId="07CE4D7F">
      <w:pPr>
        <w:ind w:firstLine="630" w:firstLineChars="300"/>
        <w:rPr>
          <w:rFonts w:ascii="宋体" w:hAnsi="宋体"/>
        </w:rPr>
      </w:pPr>
    </w:p>
    <w:p w14:paraId="09C77D77">
      <w:pPr>
        <w:ind w:firstLine="720" w:firstLineChars="300"/>
        <w:rPr>
          <w:sz w:val="24"/>
        </w:rPr>
      </w:pPr>
    </w:p>
    <w:p w14:paraId="17F3A6FF">
      <w:pPr>
        <w:widowControl/>
        <w:spacing w:line="360" w:lineRule="auto"/>
        <w:jc w:val="left"/>
        <w:rPr>
          <w:b/>
          <w:bCs/>
          <w:kern w:val="0"/>
          <w:sz w:val="24"/>
        </w:rPr>
      </w:pPr>
    </w:p>
    <w:p w14:paraId="0BD8C3C8">
      <w:pPr>
        <w:widowControl/>
        <w:jc w:val="center"/>
        <w:rPr>
          <w:rFonts w:ascii="黑体" w:hAnsi="宋体" w:eastAsia="黑体"/>
          <w:kern w:val="0"/>
          <w:sz w:val="24"/>
          <w:szCs w:val="20"/>
        </w:rPr>
      </w:pPr>
      <w:r>
        <w:rPr>
          <w:rFonts w:hint="eastAsia" w:ascii="黑体" w:hAnsi="宋体" w:eastAsia="黑体"/>
          <w:kern w:val="0"/>
          <w:sz w:val="24"/>
          <w:szCs w:val="20"/>
        </w:rPr>
        <w:t>（四）投标人认为需要加以说明的其他内容（格式自定）</w:t>
      </w:r>
    </w:p>
    <w:p w14:paraId="40AC1408">
      <w:pPr>
        <w:jc w:val="center"/>
        <w:rPr>
          <w:b/>
          <w:sz w:val="32"/>
          <w:szCs w:val="32"/>
        </w:rPr>
      </w:pPr>
    </w:p>
    <w:p w14:paraId="1D4F3301">
      <w:pPr>
        <w:ind w:firstLine="424" w:firstLineChars="202"/>
        <w:rPr>
          <w:rFonts w:ascii="宋体" w:hAnsi="宋体"/>
          <w:szCs w:val="21"/>
        </w:rPr>
      </w:pPr>
    </w:p>
    <w:p w14:paraId="5464D4A0">
      <w:pPr>
        <w:jc w:val="center"/>
        <w:rPr>
          <w:rFonts w:ascii="黑体" w:hAnsi="宋体" w:eastAsia="黑体"/>
          <w:bCs/>
          <w:kern w:val="0"/>
          <w:sz w:val="24"/>
        </w:rPr>
      </w:pPr>
    </w:p>
    <w:p w14:paraId="64EE1186">
      <w:pPr>
        <w:jc w:val="center"/>
        <w:rPr>
          <w:rFonts w:ascii="黑体" w:hAnsi="宋体" w:eastAsia="黑体"/>
          <w:bCs/>
          <w:kern w:val="0"/>
          <w:sz w:val="24"/>
        </w:rPr>
      </w:pPr>
    </w:p>
    <w:p w14:paraId="2C53652F">
      <w:pPr>
        <w:jc w:val="center"/>
        <w:rPr>
          <w:rFonts w:ascii="黑体" w:hAnsi="宋体" w:eastAsia="黑体"/>
          <w:bCs/>
          <w:kern w:val="0"/>
          <w:sz w:val="24"/>
        </w:rPr>
      </w:pPr>
    </w:p>
    <w:p w14:paraId="20B0CC3B">
      <w:pPr>
        <w:jc w:val="center"/>
        <w:rPr>
          <w:rFonts w:ascii="黑体" w:hAnsi="宋体" w:eastAsia="黑体"/>
          <w:bCs/>
          <w:kern w:val="0"/>
          <w:sz w:val="24"/>
        </w:rPr>
      </w:pPr>
    </w:p>
    <w:p w14:paraId="35B50BAE">
      <w:pPr>
        <w:jc w:val="center"/>
        <w:rPr>
          <w:rFonts w:ascii="黑体" w:hAnsi="宋体" w:eastAsia="黑体"/>
          <w:bCs/>
          <w:kern w:val="0"/>
          <w:sz w:val="24"/>
        </w:rPr>
      </w:pPr>
    </w:p>
    <w:p w14:paraId="7D8ED0D2">
      <w:pPr>
        <w:jc w:val="center"/>
        <w:rPr>
          <w:rFonts w:ascii="黑体" w:hAnsi="宋体" w:eastAsia="黑体"/>
          <w:bCs/>
          <w:kern w:val="0"/>
          <w:sz w:val="24"/>
        </w:rPr>
      </w:pPr>
    </w:p>
    <w:p w14:paraId="79BB8E31">
      <w:pPr>
        <w:jc w:val="center"/>
        <w:rPr>
          <w:rFonts w:ascii="黑体" w:hAnsi="宋体" w:eastAsia="黑体"/>
          <w:bCs/>
          <w:kern w:val="0"/>
          <w:sz w:val="24"/>
        </w:rPr>
      </w:pPr>
    </w:p>
    <w:p w14:paraId="39ABD1C5">
      <w:pPr>
        <w:jc w:val="center"/>
        <w:rPr>
          <w:rFonts w:ascii="黑体" w:hAnsi="宋体" w:eastAsia="黑体"/>
          <w:bCs/>
          <w:kern w:val="0"/>
          <w:sz w:val="24"/>
        </w:rPr>
      </w:pPr>
    </w:p>
    <w:p w14:paraId="74A0C998">
      <w:pPr>
        <w:jc w:val="center"/>
        <w:rPr>
          <w:rFonts w:ascii="黑体" w:hAnsi="宋体" w:eastAsia="黑体"/>
          <w:bCs/>
          <w:kern w:val="0"/>
          <w:sz w:val="24"/>
        </w:rPr>
      </w:pPr>
    </w:p>
    <w:p w14:paraId="09EA7A37">
      <w:pPr>
        <w:jc w:val="left"/>
        <w:rPr>
          <w:rFonts w:ascii="黑体" w:hAnsi="宋体" w:eastAsia="黑体"/>
          <w:bCs/>
          <w:kern w:val="0"/>
          <w:sz w:val="24"/>
        </w:rPr>
      </w:pPr>
      <w:r>
        <w:rPr>
          <w:rFonts w:ascii="黑体" w:hAnsi="宋体" w:eastAsia="黑体"/>
          <w:bCs/>
          <w:kern w:val="0"/>
          <w:sz w:val="24"/>
        </w:rPr>
        <w:br w:type="page"/>
      </w:r>
    </w:p>
    <w:p w14:paraId="14D162F5">
      <w:pPr>
        <w:pStyle w:val="3"/>
      </w:pPr>
      <w:bookmarkStart w:id="73" w:name="_Toc3995"/>
      <w:r>
        <w:rPr>
          <w:rFonts w:hint="eastAsia"/>
        </w:rPr>
        <w:t>第五章  合同条款及格式</w:t>
      </w:r>
    </w:p>
    <w:p w14:paraId="607B00A7"/>
    <w:p w14:paraId="1075FF33">
      <w:pPr>
        <w:jc w:val="center"/>
        <w:outlineLvl w:val="0"/>
      </w:pPr>
      <w:r>
        <w:rPr>
          <w:rFonts w:hint="eastAsia"/>
          <w:b/>
          <w:sz w:val="24"/>
        </w:rPr>
        <w:t>（仅供参考，具体以项目需求及采购结果为准）</w:t>
      </w:r>
    </w:p>
    <w:p w14:paraId="06694877">
      <w:pPr>
        <w:jc w:val="center"/>
        <w:rPr>
          <w:rFonts w:ascii="宋体" w:hAnsi="宋体" w:cs="宋体"/>
          <w:b/>
          <w:bCs/>
          <w:spacing w:val="-20"/>
          <w:kern w:val="44"/>
          <w:sz w:val="48"/>
          <w:szCs w:val="48"/>
        </w:rPr>
      </w:pPr>
    </w:p>
    <w:p w14:paraId="023EF4EE">
      <w:pPr>
        <w:ind w:right="1200" w:firstLine="3600" w:firstLineChars="1200"/>
        <w:rPr>
          <w:sz w:val="30"/>
          <w:szCs w:val="30"/>
        </w:rPr>
      </w:pPr>
      <w:r>
        <w:rPr>
          <w:rFonts w:hint="eastAsia"/>
          <w:sz w:val="30"/>
          <w:szCs w:val="30"/>
        </w:rPr>
        <w:t>合同编号：</w:t>
      </w:r>
    </w:p>
    <w:p w14:paraId="03B1FAC7">
      <w:pPr>
        <w:ind w:right="600" w:firstLine="602" w:firstLineChars="200"/>
        <w:rPr>
          <w:b/>
          <w:sz w:val="30"/>
          <w:szCs w:val="30"/>
        </w:rPr>
      </w:pPr>
    </w:p>
    <w:p w14:paraId="6314D7C7">
      <w:pPr>
        <w:jc w:val="center"/>
        <w:rPr>
          <w:rFonts w:ascii="黑体" w:hAnsi="黑体" w:eastAsia="黑体"/>
          <w:b/>
          <w:sz w:val="44"/>
          <w:szCs w:val="44"/>
        </w:rPr>
      </w:pPr>
      <w:r>
        <w:rPr>
          <w:rFonts w:hint="eastAsia" w:ascii="黑体" w:hAnsi="黑体" w:eastAsia="黑体"/>
          <w:b/>
          <w:sz w:val="44"/>
          <w:szCs w:val="44"/>
        </w:rPr>
        <w:t>产品购销合同</w:t>
      </w:r>
    </w:p>
    <w:p w14:paraId="31A6D8D1">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甲  方：深圳市龙岗中心医院</w:t>
      </w:r>
    </w:p>
    <w:p w14:paraId="68D89680">
      <w:pPr>
        <w:widowControl/>
        <w:spacing w:line="500" w:lineRule="exact"/>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地  址：</w:t>
      </w:r>
      <w:r>
        <w:rPr>
          <w:rFonts w:hint="eastAsia" w:ascii="仿宋" w:hAnsi="仿宋" w:eastAsia="仿宋" w:cs="仿宋"/>
          <w:color w:val="000000" w:themeColor="text1"/>
          <w:kern w:val="0"/>
          <w:sz w:val="32"/>
          <w:szCs w:val="32"/>
          <w14:textFill>
            <w14:solidFill>
              <w14:schemeClr w14:val="tx1"/>
            </w14:solidFill>
          </w14:textFill>
        </w:rPr>
        <w:t>深圳市龙岗区龙岗大道6082号</w:t>
      </w:r>
    </w:p>
    <w:p w14:paraId="58129EC4">
      <w:pPr>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乙  方：</w:t>
      </w:r>
      <w:r>
        <w:rPr>
          <w:rFonts w:hint="eastAsia" w:ascii="仿宋" w:hAnsi="仿宋" w:eastAsia="仿宋" w:cs="仿宋"/>
          <w:sz w:val="32"/>
          <w:szCs w:val="32"/>
        </w:rPr>
        <w:t xml:space="preserve"> </w:t>
      </w:r>
    </w:p>
    <w:p w14:paraId="5D619F1E">
      <w:pPr>
        <w:widowControl/>
        <w:spacing w:line="500" w:lineRule="exact"/>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地  址：</w:t>
      </w:r>
    </w:p>
    <w:p w14:paraId="05221A8B">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依照《中华人民共和国民法典》及其他有关法律、行政法规</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遵循平等、自愿、公平和诚实信用的原则，经甲、乙双方友好协商，就乙方向甲方提供放射性特殊产品的有关事项达成如下一致意见。特订立本合同，以资信守。</w:t>
      </w:r>
    </w:p>
    <w:p w14:paraId="0860F568">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第一条  合同内容</w:t>
      </w:r>
    </w:p>
    <w:p w14:paraId="0AB33F05">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1、乙方提供的货物为特殊放射性产品，按照环保相关要求每年底双方要办理下一年度的转让审批手续。</w:t>
      </w:r>
    </w:p>
    <w:p w14:paraId="19856B0D">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2、甲乙双方在本合同中确定买卖法律关系，规定双方权利、义务及责任。买卖货物的具体名称、规格、有效期、单位、数量、单价和总价双方以附件约定。</w:t>
      </w:r>
    </w:p>
    <w:p w14:paraId="2E688919">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3、放射性产品存在自然衰减快、原材料生产和供应不确定性因素大的特点，供货日期以乙方实际生产安排为准。</w:t>
      </w:r>
    </w:p>
    <w:p w14:paraId="7B604079">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第二条：供货范围：放射性药品明细清单（详见附件</w:t>
      </w:r>
      <w:r>
        <w:rPr>
          <w:rFonts w:ascii="仿宋_GB2312" w:hAnsi="仿宋_GB2312"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14:paraId="36964B3B">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第三条  产品质量</w:t>
      </w:r>
    </w:p>
    <w:p w14:paraId="30147BE1">
      <w:pPr>
        <w:widowControl/>
        <w:spacing w:line="500" w:lineRule="exact"/>
        <w:ind w:firstLine="640" w:firstLineChars="200"/>
        <w:jc w:val="left"/>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乙方需向甲方提供以下资质证明复印件</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14:paraId="075CDBAC">
      <w:pPr>
        <w:widowControl/>
        <w:spacing w:line="500" w:lineRule="exact"/>
        <w:ind w:firstLine="640" w:firstLineChars="200"/>
        <w:jc w:val="left"/>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p>
    <w:p w14:paraId="71CF3164">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第四条 合同价格：详见附件</w:t>
      </w:r>
      <w:r>
        <w:rPr>
          <w:rFonts w:ascii="仿宋_GB2312" w:hAnsi="仿宋_GB2312" w:eastAsia="仿宋_GB2312" w:cs="仿宋_GB2312"/>
          <w:color w:val="000000" w:themeColor="text1"/>
          <w:kern w:val="0"/>
          <w:sz w:val="32"/>
          <w:szCs w:val="32"/>
          <w14:textFill>
            <w14:solidFill>
              <w14:schemeClr w14:val="tx1"/>
            </w14:solidFill>
          </w14:textFill>
        </w:rPr>
        <w:t>3</w:t>
      </w:r>
    </w:p>
    <w:p w14:paraId="34A6BA3F">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包括（原材料费、加工费、包装费、运费、国家税费和可能出现的保险费、知识产权费）等费用。具体数量以甲方的订单数量为准。</w:t>
      </w:r>
      <w:r>
        <w:rPr>
          <w:rFonts w:hint="eastAsia" w:ascii="仿宋_GB2312" w:hAnsi="仿宋_GB2312" w:eastAsia="仿宋_GB2312" w:cs="仿宋_GB2312"/>
          <w:color w:val="000000" w:themeColor="text1"/>
          <w:kern w:val="0"/>
          <w:sz w:val="32"/>
          <w:szCs w:val="32"/>
          <w14:textFill>
            <w14:solidFill>
              <w14:schemeClr w14:val="tx1"/>
            </w14:solidFill>
          </w14:textFill>
        </w:rPr>
        <w:br w:type="textWrapping"/>
      </w:r>
    </w:p>
    <w:p w14:paraId="7B43D288">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第五条  订货及交货时间</w:t>
      </w:r>
    </w:p>
    <w:p w14:paraId="73F0AED4">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1、订货资质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甲方须持有符合规定的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资质要求</w:t>
      </w:r>
      <w:r>
        <w:rPr>
          <w:rFonts w:hint="eastAsia" w:ascii="仿宋_GB2312" w:hAnsi="仿宋_GB2312" w:eastAsia="仿宋_GB2312" w:cs="仿宋_GB2312"/>
          <w:color w:val="000000" w:themeColor="text1"/>
          <w:kern w:val="0"/>
          <w:sz w:val="32"/>
          <w:szCs w:val="32"/>
          <w14:textFill>
            <w14:solidFill>
              <w14:schemeClr w14:val="tx1"/>
            </w14:solidFill>
          </w14:textFill>
        </w:rPr>
        <w:t>，并在经相关政府部门批准的许可证附件及转移审批表允许使用核素范围内购买。</w:t>
      </w:r>
    </w:p>
    <w:p w14:paraId="736FEBEE">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2、订货要求</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甲方订货时，需以电话、短信或传真形式至少提前一天告知乙方，并确认药品名称、数量、活度、标定时间等信息，乙方收到订货通知应以同样的形式跟甲方予以确认。乙方在第二天早上8点前将放射性药品送到使用科室（核医学科）备用，并收回前一天的铅罐。送货时间每周一至周五工作日，</w:t>
      </w:r>
      <w:r>
        <w:rPr>
          <w:rFonts w:ascii="仿宋_GB2312" w:hAnsi="仿宋_GB2312" w:eastAsia="仿宋_GB2312" w:cs="仿宋_GB2312"/>
          <w:color w:val="FF0000"/>
          <w:kern w:val="0"/>
          <w:sz w:val="32"/>
          <w:szCs w:val="32"/>
        </w:rPr>
        <w:t>若甲方在</w:t>
      </w:r>
      <w:r>
        <w:rPr>
          <w:rFonts w:hint="eastAsia" w:ascii="仿宋_GB2312" w:hAnsi="仿宋_GB2312" w:eastAsia="仿宋_GB2312" w:cs="仿宋_GB2312"/>
          <w:color w:val="FF0000"/>
          <w:kern w:val="0"/>
          <w:sz w:val="32"/>
          <w:szCs w:val="32"/>
        </w:rPr>
        <w:t>节假日期间有</w:t>
      </w:r>
      <w:r>
        <w:rPr>
          <w:rFonts w:ascii="仿宋_GB2312" w:hAnsi="仿宋_GB2312" w:eastAsia="仿宋_GB2312" w:cs="仿宋_GB2312"/>
          <w:color w:val="FF0000"/>
          <w:kern w:val="0"/>
          <w:sz w:val="32"/>
          <w:szCs w:val="32"/>
        </w:rPr>
        <w:t>业务需求</w:t>
      </w:r>
      <w:r>
        <w:rPr>
          <w:rFonts w:hint="eastAsia" w:ascii="仿宋_GB2312" w:hAnsi="仿宋_GB2312" w:eastAsia="仿宋_GB2312" w:cs="仿宋_GB2312"/>
          <w:color w:val="FF0000"/>
          <w:kern w:val="0"/>
          <w:sz w:val="32"/>
          <w:szCs w:val="32"/>
        </w:rPr>
        <w:t>，</w:t>
      </w:r>
      <w:r>
        <w:rPr>
          <w:rFonts w:ascii="仿宋_GB2312" w:hAnsi="仿宋_GB2312" w:eastAsia="仿宋_GB2312" w:cs="仿宋_GB2312"/>
          <w:color w:val="FF0000"/>
          <w:kern w:val="0"/>
          <w:sz w:val="32"/>
          <w:szCs w:val="32"/>
        </w:rPr>
        <w:t>增加送货的服务</w:t>
      </w:r>
      <w:r>
        <w:rPr>
          <w:rFonts w:hint="eastAsia" w:ascii="仿宋_GB2312" w:hAnsi="仿宋_GB2312" w:eastAsia="仿宋_GB2312" w:cs="仿宋_GB2312"/>
          <w:color w:val="FF0000"/>
          <w:kern w:val="0"/>
          <w:sz w:val="32"/>
          <w:szCs w:val="32"/>
        </w:rPr>
        <w:t>；且货物在</w:t>
      </w:r>
      <w:r>
        <w:rPr>
          <w:rFonts w:ascii="仿宋_GB2312" w:hAnsi="仿宋_GB2312" w:eastAsia="仿宋_GB2312" w:cs="仿宋_GB2312"/>
          <w:color w:val="FF0000"/>
          <w:kern w:val="0"/>
          <w:sz w:val="32"/>
          <w:szCs w:val="32"/>
        </w:rPr>
        <w:t>遇到特殊情况下由</w:t>
      </w:r>
      <w:r>
        <w:rPr>
          <w:rFonts w:hint="eastAsia" w:ascii="仿宋_GB2312" w:hAnsi="仿宋_GB2312" w:eastAsia="仿宋_GB2312" w:cs="仿宋_GB2312"/>
          <w:color w:val="FF0000"/>
          <w:kern w:val="0"/>
          <w:sz w:val="32"/>
          <w:szCs w:val="32"/>
        </w:rPr>
        <w:t>双</w:t>
      </w:r>
      <w:r>
        <w:rPr>
          <w:rFonts w:ascii="仿宋_GB2312" w:hAnsi="仿宋_GB2312" w:eastAsia="仿宋_GB2312" w:cs="仿宋_GB2312"/>
          <w:color w:val="FF0000"/>
          <w:kern w:val="0"/>
          <w:sz w:val="32"/>
          <w:szCs w:val="32"/>
        </w:rPr>
        <w:t>方</w:t>
      </w:r>
      <w:r>
        <w:rPr>
          <w:rFonts w:hint="eastAsia" w:ascii="仿宋_GB2312" w:hAnsi="仿宋_GB2312" w:eastAsia="仿宋_GB2312" w:cs="仿宋_GB2312"/>
          <w:color w:val="FF0000"/>
          <w:kern w:val="0"/>
          <w:sz w:val="32"/>
          <w:szCs w:val="32"/>
        </w:rPr>
        <w:t>解决）。</w:t>
      </w:r>
    </w:p>
    <w:p w14:paraId="27BAFF7A">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3、乙方应按照甲方每月的采购需求数量，做到分批分次不定时送货。</w:t>
      </w:r>
    </w:p>
    <w:p w14:paraId="4BE7A218">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第六条  包装、运输、发货</w:t>
      </w:r>
    </w:p>
    <w:p w14:paraId="10424418">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1、产品包装、运输、发货符合《放射性药品管理办法》及其他国家相关运输标准和要求。</w:t>
      </w:r>
    </w:p>
    <w:p w14:paraId="593B0A3C">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2、运输方式</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乙方在约定时间内由专人专车送至甲方使用科室。</w:t>
      </w:r>
    </w:p>
    <w:p w14:paraId="49047E82">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3、运输费用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由乙方承担。</w:t>
      </w:r>
    </w:p>
    <w:p w14:paraId="4C760B7B">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4、甲方须对乙方包装容器进行妥善保存，不得丢失，并有义务配合乙方对使用后容器的收回，双方做好交接手续。</w:t>
      </w:r>
    </w:p>
    <w:p w14:paraId="67A347BF">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第七条  交货及验收 </w:t>
      </w:r>
    </w:p>
    <w:p w14:paraId="7E0450F6">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1、交货地点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乙方按时将货物运输至甲方指定地点。送货信息如发生变化，甲方应提前一天告知乙方。</w:t>
      </w:r>
    </w:p>
    <w:p w14:paraId="06A2E0C3">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2、验收</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货到后由甲方指定人员确认签收，并保存送货单底单，回单由司机带回乙方。</w:t>
      </w:r>
    </w:p>
    <w:p w14:paraId="319541D4">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3、乙方应当保证按约定时间、地点将货物送至交货地点。无正当理由不得延迟交货。若乙方遇到突发情况或受不可</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抗力</w:t>
      </w:r>
      <w:r>
        <w:rPr>
          <w:rFonts w:hint="eastAsia" w:ascii="仿宋_GB2312" w:hAnsi="仿宋_GB2312" w:eastAsia="仿宋_GB2312" w:cs="仿宋_GB2312"/>
          <w:color w:val="000000" w:themeColor="text1"/>
          <w:kern w:val="0"/>
          <w:sz w:val="32"/>
          <w:szCs w:val="32"/>
          <w14:textFill>
            <w14:solidFill>
              <w14:schemeClr w14:val="tx1"/>
            </w14:solidFill>
          </w14:textFill>
        </w:rPr>
        <w:t>因素影响不能按时送达时，乙方应与甲方及时沟通并采取相应措施将影响降到最少。</w:t>
      </w:r>
    </w:p>
    <w:p w14:paraId="460B2334">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第八条  服务</w:t>
      </w:r>
    </w:p>
    <w:p w14:paraId="34525CC8">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1、乙方有义务对产品的使用为甲方提供各种技术咨询和服务。</w:t>
      </w:r>
    </w:p>
    <w:p w14:paraId="56BE24CB">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2、甲方有义务对药品使用过程中可能出现的药品不良反应向乙方反馈。</w:t>
      </w:r>
    </w:p>
    <w:p w14:paraId="57966C2B">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第九条  货款结算方式</w:t>
      </w:r>
    </w:p>
    <w:p w14:paraId="40C08117">
      <w:pPr>
        <w:spacing w:line="380" w:lineRule="exact"/>
        <w:ind w:right="42" w:rightChars="20" w:firstLine="640" w:firstLineChars="200"/>
        <w:rPr>
          <w:rFonts w:ascii="仿宋" w:hAnsi="仿宋" w:eastAsia="仿宋"/>
          <w:bCs/>
          <w:sz w:val="28"/>
          <w:szCs w:val="28"/>
        </w:rPr>
      </w:pPr>
      <w:r>
        <w:rPr>
          <w:rFonts w:hint="eastAsia"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 w:hAnsi="仿宋" w:eastAsia="仿宋"/>
          <w:bCs/>
          <w:sz w:val="28"/>
          <w:szCs w:val="28"/>
        </w:rPr>
        <w:t>乙方送货完毕，甲方验收合格后，由乙方开具发票交付给甲方，甲方在收到发票后转账支付。</w:t>
      </w:r>
    </w:p>
    <w:p w14:paraId="34253688">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2、甲方按如下的账户和开户行汇款：</w:t>
      </w:r>
    </w:p>
    <w:p w14:paraId="12A9DDD2">
      <w:pPr>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账户名：</w:t>
      </w:r>
      <w:r>
        <w:rPr>
          <w:rFonts w:hint="eastAsia" w:ascii="仿宋" w:hAnsi="仿宋" w:eastAsia="仿宋" w:cs="仿宋"/>
          <w:sz w:val="32"/>
          <w:szCs w:val="32"/>
        </w:rPr>
        <w:t xml:space="preserve"> </w:t>
      </w:r>
    </w:p>
    <w:p w14:paraId="19AF6FAC">
      <w:pPr>
        <w:widowControl/>
        <w:spacing w:line="500" w:lineRule="exact"/>
        <w:ind w:firstLine="640" w:firstLineChars="200"/>
        <w:jc w:val="left"/>
        <w:rPr>
          <w:rFonts w:ascii="仿宋" w:hAnsi="仿宋" w:eastAsia="仿宋" w:cs="仿宋"/>
          <w:sz w:val="32"/>
          <w:szCs w:val="32"/>
        </w:rPr>
      </w:pPr>
      <w:r>
        <w:rPr>
          <w:rFonts w:hint="eastAsia" w:ascii="仿宋" w:hAnsi="仿宋" w:eastAsia="仿宋" w:cs="仿宋"/>
          <w:color w:val="000000" w:themeColor="text1"/>
          <w:kern w:val="0"/>
          <w:sz w:val="32"/>
          <w:szCs w:val="32"/>
          <w14:textFill>
            <w14:solidFill>
              <w14:schemeClr w14:val="tx1"/>
            </w14:solidFill>
          </w14:textFill>
        </w:rPr>
        <w:t>开户行：</w:t>
      </w:r>
    </w:p>
    <w:p w14:paraId="7A5BDDAA">
      <w:pPr>
        <w:adjustRightInd w:val="0"/>
        <w:snapToGrid w:val="0"/>
        <w:spacing w:line="360" w:lineRule="auto"/>
        <w:ind w:firstLine="630"/>
        <w:jc w:val="left"/>
        <w:rPr>
          <w:rFonts w:ascii="仿宋" w:hAnsi="仿宋" w:eastAsia="仿宋" w:cs="仿宋"/>
          <w:sz w:val="32"/>
          <w:szCs w:val="32"/>
        </w:rPr>
      </w:pPr>
      <w:r>
        <w:rPr>
          <w:rFonts w:hint="eastAsia" w:ascii="仿宋" w:hAnsi="仿宋" w:eastAsia="仿宋" w:cs="仿宋"/>
          <w:color w:val="000000" w:themeColor="text1"/>
          <w:kern w:val="0"/>
          <w:sz w:val="32"/>
          <w:szCs w:val="32"/>
          <w14:textFill>
            <w14:solidFill>
              <w14:schemeClr w14:val="tx1"/>
            </w14:solidFill>
          </w14:textFill>
        </w:rPr>
        <w:t>账  号：</w:t>
      </w:r>
    </w:p>
    <w:p w14:paraId="3153CE33">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第十条  违约责任</w:t>
      </w:r>
    </w:p>
    <w:p w14:paraId="771A55B6">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1、损失赔偿金</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甲乙双方应严格信守合同，不得违约</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如有违约，违约方应向守约方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赔付</w:t>
      </w:r>
      <w:r>
        <w:rPr>
          <w:rFonts w:hint="eastAsia" w:ascii="仿宋_GB2312" w:hAnsi="仿宋_GB2312" w:eastAsia="仿宋_GB2312" w:cs="仿宋_GB2312"/>
          <w:color w:val="000000" w:themeColor="text1"/>
          <w:kern w:val="0"/>
          <w:sz w:val="32"/>
          <w:szCs w:val="32"/>
          <w14:textFill>
            <w14:solidFill>
              <w14:schemeClr w14:val="tx1"/>
            </w14:solidFill>
          </w14:textFill>
        </w:rPr>
        <w:t>因违约所造成的经济损失。</w:t>
      </w:r>
    </w:p>
    <w:p w14:paraId="4857297E">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2、不可抗力</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由于医用放射性</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药品</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半衰期较短，原材料基本依赖进口，又作为危险品运输，有时受运输管制或其他不可抗力影响，造成运输或供货拖延，甚至不能供应该批货物时，乙方应及时将拖延或不供货的事实、可能拖延的时间和原因以书面形式通知甲方。甲方在收到乙方通知后，应尽快对情况进行核实，决定是否酌情延长交货时间。 </w:t>
      </w:r>
    </w:p>
    <w:p w14:paraId="52DFA2B6">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3、所述的“不可抗力”指那些双方不能预见、不能控制并且不能避免的事件，但不包括双方的违约或疏忽。这些事件包括但不限于：战争、严重火灾、洪水、台风、地震及其它双方商定的事件。</w:t>
      </w:r>
    </w:p>
    <w:p w14:paraId="6871F515">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4、乙方产品受国家标准保证，除非有确切证据或司法鉴定证明，乙方不承担侵权责任。</w:t>
      </w:r>
    </w:p>
    <w:p w14:paraId="76D42614">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第十一条  合同的变更、解除、终止</w:t>
      </w:r>
    </w:p>
    <w:p w14:paraId="43C5CC58">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1、经双方协商一致，另行签订书面协议或在本协议第十二条中约定，可以变更合同中约定的事项。</w:t>
      </w:r>
    </w:p>
    <w:p w14:paraId="163D2835">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2、经双方协商一致，可以解除合同。此前已履行的合同不受影响。</w:t>
      </w:r>
    </w:p>
    <w:p w14:paraId="433C43BC">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3、合同有效期届满或双方约定的合同内容已完成的，合同终止。</w:t>
      </w:r>
    </w:p>
    <w:p w14:paraId="79FF4BE6">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第十二条  争议解决办法</w:t>
      </w:r>
    </w:p>
    <w:p w14:paraId="520FB721">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1、合同解释</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对合同的理解发生争议的，应当按照通常理解予以解释。</w:t>
      </w:r>
    </w:p>
    <w:p w14:paraId="3FF16181">
      <w:pPr>
        <w:spacing w:line="380" w:lineRule="exact"/>
        <w:ind w:right="42" w:rightChars="20" w:firstLine="640" w:firstLineChars="200"/>
        <w:rPr>
          <w:rFonts w:ascii="仿宋" w:hAnsi="仿宋" w:eastAsia="仿宋" w:cs="宋体"/>
          <w:kern w:val="0"/>
          <w:sz w:val="28"/>
          <w:szCs w:val="28"/>
        </w:rPr>
      </w:pPr>
      <w:r>
        <w:rPr>
          <w:rFonts w:hint="eastAsia" w:ascii="仿宋_GB2312" w:hAnsi="仿宋_GB2312" w:eastAsia="仿宋_GB2312" w:cs="仿宋_GB2312"/>
          <w:color w:val="000000" w:themeColor="text1"/>
          <w:kern w:val="0"/>
          <w:sz w:val="32"/>
          <w:szCs w:val="32"/>
          <w14:textFill>
            <w14:solidFill>
              <w14:schemeClr w14:val="tx1"/>
            </w14:solidFill>
          </w14:textFill>
        </w:rPr>
        <w:t>2、仲裁条款</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凡因本合同的效力、履行、解释等发生的一切争议，双方友好协商解决。</w:t>
      </w:r>
      <w:r>
        <w:rPr>
          <w:rFonts w:hint="eastAsia" w:ascii="仿宋" w:hAnsi="仿宋" w:eastAsia="仿宋" w:cs="宋体"/>
          <w:kern w:val="0"/>
          <w:sz w:val="28"/>
          <w:szCs w:val="28"/>
        </w:rPr>
        <w:t>协商不成时，任何一方均可向</w:t>
      </w:r>
      <w:r>
        <w:rPr>
          <w:rFonts w:hint="eastAsia" w:ascii="仿宋" w:hAnsi="仿宋" w:eastAsia="仿宋"/>
          <w:sz w:val="28"/>
          <w:szCs w:val="28"/>
        </w:rPr>
        <w:t>甲</w:t>
      </w:r>
      <w:r>
        <w:rPr>
          <w:rFonts w:hint="eastAsia" w:ascii="仿宋" w:hAnsi="仿宋" w:eastAsia="仿宋" w:cs="宋体"/>
          <w:kern w:val="0"/>
          <w:sz w:val="28"/>
          <w:szCs w:val="28"/>
        </w:rPr>
        <w:t xml:space="preserve">方所在地的人民法院起诉。 </w:t>
      </w:r>
    </w:p>
    <w:p w14:paraId="2A3656A6">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p>
    <w:p w14:paraId="01A6EE68">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第十三条：以下附件作为本合同的补充内容，具有同等法律效应。</w:t>
      </w:r>
    </w:p>
    <w:p w14:paraId="7C14C5EC">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附件：</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、廉洁承诺书</w:t>
      </w:r>
    </w:p>
    <w:p w14:paraId="43F9ED24">
      <w:pPr>
        <w:widowControl/>
        <w:spacing w:line="500" w:lineRule="exact"/>
        <w:ind w:firstLine="1600" w:firstLineChars="5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、龙岗区进一步规范政商交往行为告知书</w:t>
      </w:r>
    </w:p>
    <w:p w14:paraId="660B4D93">
      <w:pPr>
        <w:widowControl/>
        <w:spacing w:line="500" w:lineRule="exact"/>
        <w:ind w:firstLine="1600" w:firstLineChars="5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ascii="仿宋_GB2312" w:hAnsi="仿宋_GB2312"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14:textFill>
            <w14:solidFill>
              <w14:schemeClr w14:val="tx1"/>
            </w14:solidFill>
          </w14:textFill>
        </w:rPr>
        <w:t>、放射性药品明细清单</w:t>
      </w:r>
    </w:p>
    <w:p w14:paraId="5AABF5E3">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第十四条：本合同一式四份，自签订</w:t>
      </w:r>
      <w:r>
        <w:rPr>
          <w:rFonts w:ascii="仿宋_GB2312" w:hAnsi="仿宋_GB2312" w:eastAsia="仿宋_GB2312" w:cs="仿宋_GB2312"/>
          <w:color w:val="000000" w:themeColor="text1"/>
          <w:kern w:val="0"/>
          <w:sz w:val="32"/>
          <w:szCs w:val="32"/>
          <w14:textFill>
            <w14:solidFill>
              <w14:schemeClr w14:val="tx1"/>
            </w14:solidFill>
          </w14:textFill>
        </w:rPr>
        <w:t>之日起</w:t>
      </w:r>
      <w:r>
        <w:rPr>
          <w:rFonts w:hint="eastAsia" w:ascii="仿宋_GB2312" w:hAnsi="仿宋_GB2312" w:eastAsia="仿宋_GB2312" w:cs="仿宋_GB2312"/>
          <w:color w:val="000000" w:themeColor="text1"/>
          <w:kern w:val="0"/>
          <w:sz w:val="32"/>
          <w:szCs w:val="32"/>
          <w14:textFill>
            <w14:solidFill>
              <w14:schemeClr w14:val="tx1"/>
            </w14:solidFill>
          </w14:textFill>
        </w:rPr>
        <w:t>至202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32"/>
          <w:szCs w:val="32"/>
          <w14:textFill>
            <w14:solidFill>
              <w14:schemeClr w14:val="tx1"/>
            </w14:solidFill>
          </w14:textFill>
        </w:rPr>
        <w:t>年12月31日止。</w:t>
      </w:r>
    </w:p>
    <w:p w14:paraId="1204FE7A">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第十五条：供货期为：自签订</w:t>
      </w:r>
      <w:r>
        <w:rPr>
          <w:rFonts w:ascii="仿宋_GB2312" w:hAnsi="仿宋_GB2312" w:eastAsia="仿宋_GB2312" w:cs="仿宋_GB2312"/>
          <w:color w:val="000000" w:themeColor="text1"/>
          <w:kern w:val="0"/>
          <w:sz w:val="32"/>
          <w:szCs w:val="32"/>
          <w14:textFill>
            <w14:solidFill>
              <w14:schemeClr w14:val="tx1"/>
            </w14:solidFill>
          </w14:textFill>
        </w:rPr>
        <w:t>之日起</w:t>
      </w:r>
      <w:r>
        <w:rPr>
          <w:rFonts w:hint="eastAsia" w:ascii="仿宋_GB2312" w:hAnsi="仿宋_GB2312" w:eastAsia="仿宋_GB2312" w:cs="仿宋_GB2312"/>
          <w:color w:val="000000" w:themeColor="text1"/>
          <w:kern w:val="0"/>
          <w:sz w:val="32"/>
          <w:szCs w:val="32"/>
          <w14:textFill>
            <w14:solidFill>
              <w14:schemeClr w14:val="tx1"/>
            </w14:solidFill>
          </w14:textFill>
        </w:rPr>
        <w:t>至202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32"/>
          <w:szCs w:val="32"/>
          <w14:textFill>
            <w14:solidFill>
              <w14:schemeClr w14:val="tx1"/>
            </w14:solidFill>
          </w14:textFill>
        </w:rPr>
        <w:t>年12月31日。供货期内保持单价不变，按实际用量结算，合同期满后，甲方根据乙方的履约情况及产品质量可以续签下一年年度合同，最多可续签一次，</w:t>
      </w:r>
      <w:r>
        <w:rPr>
          <w:rFonts w:ascii="仿宋_GB2312" w:hAnsi="仿宋_GB2312" w:eastAsia="仿宋_GB2312" w:cs="仿宋_GB2312"/>
          <w:color w:val="000000" w:themeColor="text1"/>
          <w:kern w:val="0"/>
          <w:sz w:val="32"/>
          <w:szCs w:val="32"/>
          <w14:textFill>
            <w14:solidFill>
              <w14:schemeClr w14:val="tx1"/>
            </w14:solidFill>
          </w14:textFill>
        </w:rPr>
        <w:t>现</w:t>
      </w:r>
      <w:r>
        <w:rPr>
          <w:rFonts w:hint="eastAsia" w:ascii="仿宋_GB2312" w:hAnsi="仿宋_GB2312" w:eastAsia="仿宋_GB2312" w:cs="仿宋_GB2312"/>
          <w:color w:val="000000" w:themeColor="text1"/>
          <w:kern w:val="0"/>
          <w:sz w:val="32"/>
          <w:szCs w:val="32"/>
          <w14:textFill>
            <w14:solidFill>
              <w14:schemeClr w14:val="tx1"/>
            </w14:solidFill>
          </w14:textFill>
        </w:rPr>
        <w:t>为</w:t>
      </w:r>
      <w:r>
        <w:rPr>
          <w:rFonts w:ascii="仿宋_GB2312" w:hAnsi="仿宋_GB2312" w:eastAsia="仿宋_GB2312" w:cs="仿宋_GB2312"/>
          <w:color w:val="000000" w:themeColor="text1"/>
          <w:kern w:val="0"/>
          <w:sz w:val="32"/>
          <w:szCs w:val="32"/>
          <w14:textFill>
            <w14:solidFill>
              <w14:schemeClr w14:val="tx1"/>
            </w14:solidFill>
          </w14:textFill>
        </w:rPr>
        <w:t>续签</w:t>
      </w:r>
      <w:r>
        <w:rPr>
          <w:rFonts w:hint="eastAsia" w:ascii="仿宋_GB2312" w:hAnsi="仿宋_GB2312" w:eastAsia="仿宋_GB2312" w:cs="仿宋_GB2312"/>
          <w:color w:val="000000" w:themeColor="text1"/>
          <w:kern w:val="0"/>
          <w:sz w:val="32"/>
          <w:szCs w:val="32"/>
          <w14:textFill>
            <w14:solidFill>
              <w14:schemeClr w14:val="tx1"/>
            </w14:solidFill>
          </w14:textFill>
        </w:rPr>
        <w:t>下一年年度合同。</w:t>
      </w:r>
    </w:p>
    <w:p w14:paraId="64A34F35">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p>
    <w:p w14:paraId="682289A1">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甲方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深圳市龙岗中心医院    乙方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p>
    <w:p w14:paraId="1006DC7A">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p>
    <w:p w14:paraId="7244F8E1">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法人或授权代表人：          法人或授权代表人：</w:t>
      </w:r>
    </w:p>
    <w:p w14:paraId="5B0CB14B">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p>
    <w:p w14:paraId="10FA7745">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年      月     日             年      月      日</w:t>
      </w:r>
    </w:p>
    <w:p w14:paraId="73BE508E">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p>
    <w:p w14:paraId="239C7FB6">
      <w:pPr>
        <w:pStyle w:val="7"/>
        <w:ind w:firstLine="0"/>
      </w:pPr>
    </w:p>
    <w:p w14:paraId="775EC575">
      <w:pPr>
        <w:pStyle w:val="7"/>
        <w:ind w:firstLine="0"/>
        <w:rPr>
          <w:rFonts w:hint="eastAsia"/>
        </w:rPr>
      </w:pPr>
    </w:p>
    <w:p w14:paraId="45DC2E6D">
      <w:pPr>
        <w:pStyle w:val="7"/>
      </w:pPr>
    </w:p>
    <w:p w14:paraId="2AEDE61D">
      <w:pPr>
        <w:rPr>
          <w:rFonts w:ascii="仿宋" w:hAnsi="仿宋" w:eastAsia="仿宋"/>
          <w:b/>
          <w:bCs/>
          <w:sz w:val="28"/>
          <w:szCs w:val="28"/>
        </w:rPr>
      </w:pPr>
      <w:r>
        <w:rPr>
          <w:rFonts w:hint="eastAsia" w:ascii="仿宋" w:hAnsi="仿宋" w:eastAsia="仿宋"/>
          <w:b/>
          <w:bCs/>
          <w:sz w:val="28"/>
          <w:szCs w:val="28"/>
        </w:rPr>
        <w:t>附件</w:t>
      </w:r>
      <w:r>
        <w:rPr>
          <w:rFonts w:ascii="仿宋" w:hAnsi="仿宋" w:eastAsia="仿宋"/>
          <w:b/>
          <w:bCs/>
          <w:sz w:val="28"/>
          <w:szCs w:val="28"/>
        </w:rPr>
        <w:t>1</w:t>
      </w:r>
    </w:p>
    <w:p w14:paraId="03A1AA33">
      <w:pPr>
        <w:jc w:val="center"/>
        <w:rPr>
          <w:rFonts w:ascii="仿宋" w:hAnsi="仿宋" w:eastAsia="仿宋"/>
          <w:b/>
          <w:bCs/>
          <w:sz w:val="28"/>
          <w:szCs w:val="28"/>
        </w:rPr>
      </w:pPr>
      <w:r>
        <w:rPr>
          <w:rFonts w:hint="eastAsia" w:ascii="仿宋" w:hAnsi="仿宋" w:eastAsia="仿宋"/>
          <w:b/>
          <w:bCs/>
          <w:sz w:val="28"/>
          <w:szCs w:val="28"/>
        </w:rPr>
        <w:t>廉  洁  承  诺  书</w:t>
      </w:r>
    </w:p>
    <w:p w14:paraId="6C0B1AD3">
      <w:pPr>
        <w:spacing w:line="540" w:lineRule="exact"/>
        <w:ind w:firstLine="560" w:firstLineChars="200"/>
        <w:rPr>
          <w:rFonts w:ascii="仿宋" w:hAnsi="仿宋" w:eastAsia="仿宋"/>
          <w:sz w:val="28"/>
          <w:szCs w:val="28"/>
        </w:rPr>
      </w:pPr>
      <w:r>
        <w:rPr>
          <w:rFonts w:hint="eastAsia" w:ascii="仿宋" w:hAnsi="仿宋" w:eastAsia="仿宋"/>
          <w:sz w:val="28"/>
          <w:szCs w:val="28"/>
        </w:rPr>
        <w:t>甲方：深圳市龙岗中心医院</w:t>
      </w:r>
    </w:p>
    <w:p w14:paraId="0111089E">
      <w:pPr>
        <w:widowControl/>
        <w:spacing w:line="500" w:lineRule="exact"/>
        <w:ind w:firstLine="560" w:firstLineChars="200"/>
        <w:jc w:val="left"/>
        <w:rPr>
          <w:rFonts w:ascii="仿宋" w:hAnsi="仿宋" w:eastAsia="仿宋"/>
          <w:sz w:val="28"/>
          <w:szCs w:val="28"/>
        </w:rPr>
      </w:pPr>
      <w:r>
        <w:rPr>
          <w:rFonts w:hint="eastAsia" w:ascii="仿宋" w:hAnsi="仿宋" w:eastAsia="仿宋"/>
          <w:sz w:val="28"/>
          <w:szCs w:val="28"/>
        </w:rPr>
        <w:t>乙方：</w:t>
      </w:r>
    </w:p>
    <w:p w14:paraId="05844189">
      <w:pPr>
        <w:pStyle w:val="20"/>
        <w:adjustRightInd w:val="0"/>
        <w:snapToGrid w:val="0"/>
        <w:spacing w:line="540" w:lineRule="exact"/>
        <w:rPr>
          <w:rFonts w:ascii="仿宋" w:hAnsi="仿宋" w:eastAsia="仿宋"/>
          <w:w w:val="100"/>
          <w:sz w:val="28"/>
          <w:szCs w:val="28"/>
        </w:rPr>
      </w:pPr>
      <w:r>
        <w:rPr>
          <w:rFonts w:hint="eastAsia" w:ascii="仿宋" w:hAnsi="仿宋" w:eastAsia="仿宋"/>
          <w:w w:val="100"/>
          <w:sz w:val="28"/>
          <w:szCs w:val="28"/>
        </w:rPr>
        <w:t>为进一步完善监督制约机制，确保工作质量和预防职务犯罪行为以及各种不正当行为的发生，在物资供应、工程招投标等各项工作中保持总务科工作人员的廉洁自律，根据国家、广东省和深圳市有关廉政建设的各项规定，结合实际，我科现制订本协议如下：</w:t>
      </w:r>
    </w:p>
    <w:p w14:paraId="3DD2D7B9">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一、甲乙双方在合作过程中，自觉遵守国家法律、法规，按照《中华人民共和国反不正当竞争法》、《中华人民共和国招标投标法》、《关于禁止商业贿赂行为的暂行规定》、以及其他相关规定开展正常的商业交易活动。</w:t>
      </w:r>
    </w:p>
    <w:p w14:paraId="5CAAA6F6">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二、甲方工作人员应保持与乙方的正常工作交往，不得接受乙方的礼金、有价证券和贵重物品，不得在乙方报销任何应由个人支付的费用，不得以任何形式向乙方索要和收受回扣或变相收受贿赂。</w:t>
      </w:r>
    </w:p>
    <w:p w14:paraId="19D40249">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三、甲方工作人员不得参加可能对公正执行公务有影响的宴请和娱乐活动。</w:t>
      </w:r>
    </w:p>
    <w:p w14:paraId="756878F7">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四、甲方工作人员不得要求或者接收乙方为其住房装修、婚丧嫁娶、家属和子女的工作安排以及出国等提供方便。</w:t>
      </w:r>
    </w:p>
    <w:p w14:paraId="43F5A2C0">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五、甲方工作人员不得向乙方介绍亲属或亲友从事与甲方工作有关的经济活动。</w:t>
      </w:r>
    </w:p>
    <w:p w14:paraId="417185E1">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六、乙方应当通过正常途径开展相关业务工作，不得为促进品种的销量或在零星工程的招投标等占便宜，而向甲方工作人员赠送礼金、有价证券、贵重物品及现金回扣等。</w:t>
      </w:r>
    </w:p>
    <w:p w14:paraId="3B29D252">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七、乙方不得以洽谈业务、签订合同等为借口，邀请甲方工作人员外出旅游和进入营业性高消费娱乐场所。</w:t>
      </w:r>
    </w:p>
    <w:p w14:paraId="4E765580">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八、乙方不得为甲方单位或个人购置或者提供通信工具、交通工具、家电、高档办公用品等。</w:t>
      </w:r>
    </w:p>
    <w:p w14:paraId="2CBAF4CE">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九、乙方如发现甲方工作人员有违反上述协议者，应向领导或者甲方上级主管单位举报。甲方不得以任何借口对乙方进行报复。</w:t>
      </w:r>
    </w:p>
    <w:p w14:paraId="1B4E4C7E">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十、如发现甲方工作人员违反上述协议者，一律交由医院纪检</w:t>
      </w:r>
      <w:r>
        <w:rPr>
          <w:rFonts w:hint="eastAsia" w:ascii="仿宋" w:hAnsi="仿宋" w:eastAsia="仿宋"/>
          <w:sz w:val="28"/>
          <w:szCs w:val="28"/>
          <w:lang w:eastAsia="zh-CN"/>
        </w:rPr>
        <w:t>部门</w:t>
      </w:r>
      <w:r>
        <w:rPr>
          <w:rFonts w:hint="eastAsia" w:ascii="仿宋" w:hAnsi="仿宋" w:eastAsia="仿宋"/>
          <w:sz w:val="28"/>
          <w:szCs w:val="28"/>
        </w:rPr>
        <w:t>处理。</w:t>
      </w:r>
    </w:p>
    <w:p w14:paraId="25D94675">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十一、如发现乙方工作人员违反上述协议，甲方有权终止与乙方的所有业务往来。</w:t>
      </w:r>
    </w:p>
    <w:p w14:paraId="1B70B153">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十二、甲乙双方监督单位为其上级主管部门。</w:t>
      </w:r>
    </w:p>
    <w:p w14:paraId="4D4F872E">
      <w:pPr>
        <w:pStyle w:val="20"/>
        <w:adjustRightInd w:val="0"/>
        <w:snapToGrid w:val="0"/>
        <w:spacing w:line="540" w:lineRule="exact"/>
        <w:rPr>
          <w:rFonts w:ascii="仿宋" w:hAnsi="仿宋" w:eastAsia="仿宋"/>
          <w:w w:val="100"/>
          <w:sz w:val="28"/>
          <w:szCs w:val="28"/>
        </w:rPr>
      </w:pPr>
      <w:r>
        <w:rPr>
          <w:rFonts w:hint="eastAsia" w:ascii="仿宋" w:hAnsi="仿宋" w:eastAsia="仿宋"/>
          <w:w w:val="100"/>
          <w:sz w:val="28"/>
          <w:szCs w:val="28"/>
        </w:rPr>
        <w:t>十三、本协议与合同具有同等法律效力。经双方签署后立即生效。</w:t>
      </w:r>
    </w:p>
    <w:p w14:paraId="7F01DB3B">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十四、</w:t>
      </w:r>
      <w:r>
        <w:rPr>
          <w:rFonts w:hint="eastAsia" w:ascii="仿宋" w:hAnsi="仿宋" w:eastAsia="仿宋"/>
          <w:spacing w:val="-2"/>
          <w:sz w:val="28"/>
          <w:szCs w:val="28"/>
        </w:rPr>
        <w:t>本协议的有效期为双方签署之日起至双方业务终止时止。</w:t>
      </w:r>
    </w:p>
    <w:p w14:paraId="05445961">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十五、本协议一式四份，由甲乙双方单位各执二份。</w:t>
      </w:r>
    </w:p>
    <w:p w14:paraId="31D4F4AD">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51BB66F1">
      <w:pPr>
        <w:widowControl/>
        <w:spacing w:line="500" w:lineRule="exact"/>
        <w:ind w:firstLine="56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 w:hAnsi="仿宋" w:eastAsia="仿宋"/>
          <w:sz w:val="28"/>
          <w:szCs w:val="28"/>
        </w:rPr>
        <w:t>甲方</w:t>
      </w:r>
      <w:r>
        <w:rPr>
          <w:rFonts w:hint="eastAsia" w:ascii="仿宋" w:hAnsi="仿宋" w:eastAsia="仿宋"/>
          <w:sz w:val="28"/>
          <w:szCs w:val="28"/>
          <w:lang w:eastAsia="zh-CN"/>
        </w:rPr>
        <w:t>：</w:t>
      </w:r>
      <w:r>
        <w:rPr>
          <w:rFonts w:hint="eastAsia" w:ascii="仿宋" w:hAnsi="仿宋" w:eastAsia="仿宋"/>
          <w:sz w:val="28"/>
          <w:szCs w:val="28"/>
        </w:rPr>
        <w:t xml:space="preserve"> 深圳市龙岗中心医院       乙方</w:t>
      </w:r>
      <w:r>
        <w:rPr>
          <w:rFonts w:hint="eastAsia" w:ascii="仿宋" w:hAnsi="仿宋" w:eastAsia="仿宋"/>
          <w:sz w:val="28"/>
          <w:szCs w:val="28"/>
          <w:lang w:eastAsia="zh-CN"/>
        </w:rPr>
        <w:t>：</w:t>
      </w:r>
      <w:r>
        <w:rPr>
          <w:rFonts w:hint="eastAsia" w:ascii="仿宋" w:hAnsi="仿宋" w:eastAsia="仿宋"/>
          <w:bCs/>
          <w:sz w:val="28"/>
          <w:szCs w:val="28"/>
        </w:rPr>
        <w:t xml:space="preserve"> </w:t>
      </w:r>
    </w:p>
    <w:p w14:paraId="1D68FA14">
      <w:pPr>
        <w:tabs>
          <w:tab w:val="left" w:pos="420"/>
        </w:tabs>
        <w:spacing w:line="400" w:lineRule="exact"/>
        <w:rPr>
          <w:rFonts w:ascii="仿宋" w:hAnsi="仿宋" w:eastAsia="仿宋"/>
          <w:bCs/>
          <w:sz w:val="28"/>
          <w:szCs w:val="28"/>
        </w:rPr>
      </w:pPr>
    </w:p>
    <w:p w14:paraId="645826E6">
      <w:pPr>
        <w:adjustRightInd w:val="0"/>
        <w:snapToGrid w:val="0"/>
        <w:spacing w:line="540" w:lineRule="exact"/>
        <w:ind w:firstLine="420" w:firstLineChars="150"/>
        <w:rPr>
          <w:rFonts w:ascii="仿宋" w:hAnsi="仿宋" w:eastAsia="仿宋"/>
          <w:sz w:val="28"/>
          <w:szCs w:val="28"/>
        </w:rPr>
      </w:pPr>
    </w:p>
    <w:p w14:paraId="24D927F0">
      <w:pPr>
        <w:adjustRightInd w:val="0"/>
        <w:snapToGrid w:val="0"/>
        <w:spacing w:line="540" w:lineRule="exact"/>
        <w:ind w:firstLine="560" w:firstLineChars="200"/>
        <w:rPr>
          <w:rFonts w:ascii="仿宋" w:hAnsi="仿宋" w:eastAsia="仿宋"/>
          <w:sz w:val="28"/>
          <w:szCs w:val="28"/>
        </w:rPr>
      </w:pPr>
      <w:r>
        <w:rPr>
          <w:rFonts w:hint="eastAsia" w:ascii="仿宋" w:hAnsi="仿宋" w:eastAsia="仿宋"/>
          <w:sz w:val="28"/>
          <w:szCs w:val="28"/>
        </w:rPr>
        <w:t xml:space="preserve">代表或委托人（签字）： </w:t>
      </w:r>
      <w:r>
        <w:rPr>
          <w:rFonts w:ascii="仿宋" w:hAnsi="仿宋" w:eastAsia="仿宋"/>
          <w:sz w:val="28"/>
          <w:szCs w:val="28"/>
        </w:rPr>
        <w:t xml:space="preserve">     </w:t>
      </w:r>
      <w:r>
        <w:rPr>
          <w:rFonts w:hint="eastAsia" w:ascii="仿宋" w:hAnsi="仿宋" w:eastAsia="仿宋"/>
          <w:sz w:val="28"/>
          <w:szCs w:val="28"/>
        </w:rPr>
        <w:t xml:space="preserve">   </w:t>
      </w:r>
      <w:r>
        <w:rPr>
          <w:rFonts w:hint="eastAsia" w:ascii="仿宋" w:hAnsi="仿宋" w:eastAsia="仿宋"/>
          <w:sz w:val="28"/>
          <w:szCs w:val="28"/>
          <w:lang w:eastAsia="zh-CN"/>
        </w:rPr>
        <w:t>法定代表人</w:t>
      </w:r>
      <w:r>
        <w:rPr>
          <w:rFonts w:hint="eastAsia" w:ascii="仿宋" w:hAnsi="仿宋" w:eastAsia="仿宋"/>
          <w:sz w:val="28"/>
          <w:szCs w:val="28"/>
        </w:rPr>
        <w:t>或委托人（签字）：</w:t>
      </w:r>
    </w:p>
    <w:p w14:paraId="1131EBB7">
      <w:pPr>
        <w:tabs>
          <w:tab w:val="left" w:pos="4860"/>
        </w:tabs>
        <w:adjustRightInd w:val="0"/>
        <w:snapToGrid w:val="0"/>
        <w:spacing w:line="540" w:lineRule="exact"/>
        <w:ind w:firstLine="560" w:firstLineChars="200"/>
        <w:rPr>
          <w:rFonts w:ascii="仿宋" w:hAnsi="仿宋" w:eastAsia="仿宋"/>
          <w:sz w:val="28"/>
          <w:szCs w:val="28"/>
        </w:rPr>
      </w:pPr>
    </w:p>
    <w:p w14:paraId="432C77B0">
      <w:pPr>
        <w:tabs>
          <w:tab w:val="left" w:pos="4860"/>
        </w:tabs>
        <w:adjustRightInd w:val="0"/>
        <w:snapToGrid w:val="0"/>
        <w:spacing w:line="540" w:lineRule="exact"/>
        <w:ind w:firstLine="3080" w:firstLineChars="1100"/>
        <w:rPr>
          <w:rFonts w:ascii="仿宋" w:hAnsi="仿宋" w:eastAsia="仿宋"/>
          <w:sz w:val="28"/>
          <w:szCs w:val="28"/>
        </w:rPr>
      </w:pPr>
      <w:r>
        <w:rPr>
          <w:rFonts w:hint="eastAsia" w:ascii="仿宋" w:hAnsi="仿宋" w:eastAsia="仿宋"/>
          <w:sz w:val="28"/>
          <w:szCs w:val="28"/>
        </w:rPr>
        <w:t xml:space="preserve">签订日期：  年   月   日     </w:t>
      </w:r>
    </w:p>
    <w:p w14:paraId="2CEAECED">
      <w:pPr>
        <w:rPr>
          <w:rFonts w:ascii="仿宋" w:hAnsi="仿宋" w:eastAsia="仿宋"/>
          <w:b/>
          <w:bCs/>
          <w:sz w:val="28"/>
          <w:szCs w:val="28"/>
        </w:rPr>
      </w:pPr>
    </w:p>
    <w:p w14:paraId="4B900FE5">
      <w:pPr>
        <w:rPr>
          <w:rFonts w:ascii="仿宋_GB2312" w:eastAsia="仿宋_GB2312"/>
          <w:b/>
          <w:bCs/>
          <w:sz w:val="28"/>
          <w:szCs w:val="28"/>
        </w:rPr>
      </w:pPr>
      <w:r>
        <w:rPr>
          <w:rFonts w:hint="eastAsia" w:ascii="仿宋_GB2312" w:eastAsia="仿宋_GB2312"/>
          <w:b/>
          <w:bCs/>
          <w:sz w:val="28"/>
          <w:szCs w:val="28"/>
        </w:rPr>
        <w:br w:type="page"/>
      </w:r>
    </w:p>
    <w:p w14:paraId="70BEAF30">
      <w:pPr>
        <w:rPr>
          <w:rFonts w:ascii="仿宋_GB2312" w:eastAsia="仿宋_GB2312"/>
          <w:b/>
          <w:bCs/>
          <w:sz w:val="28"/>
          <w:szCs w:val="28"/>
        </w:rPr>
      </w:pPr>
      <w:r>
        <w:rPr>
          <w:rFonts w:hint="eastAsia" w:ascii="仿宋_GB2312" w:eastAsia="仿宋_GB2312"/>
          <w:b/>
          <w:bCs/>
          <w:sz w:val="28"/>
          <w:szCs w:val="28"/>
        </w:rPr>
        <w:t>附件</w:t>
      </w:r>
      <w:r>
        <w:rPr>
          <w:rFonts w:ascii="仿宋_GB2312" w:eastAsia="仿宋_GB2312"/>
          <w:b/>
          <w:bCs/>
          <w:sz w:val="28"/>
          <w:szCs w:val="28"/>
        </w:rPr>
        <w:t>2</w:t>
      </w:r>
    </w:p>
    <w:p w14:paraId="5E53ACF6">
      <w:pPr>
        <w:widowControl/>
        <w:spacing w:line="520" w:lineRule="exact"/>
        <w:jc w:val="center"/>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龙岗区进一步规范政商交往行为“十个不得”告知书</w:t>
      </w:r>
    </w:p>
    <w:p w14:paraId="4B1F4231">
      <w:pPr>
        <w:widowControl/>
        <w:spacing w:line="520" w:lineRule="exact"/>
        <w:jc w:val="center"/>
        <w:rPr>
          <w:rFonts w:ascii="方正小标宋简体" w:hAnsi="方正小标宋简体" w:eastAsia="方正小标宋简体" w:cs="方正小标宋简体"/>
          <w:color w:val="000000"/>
          <w:kern w:val="0"/>
          <w:sz w:val="30"/>
          <w:szCs w:val="30"/>
          <w:lang w:bidi="ar"/>
        </w:rPr>
      </w:pPr>
      <w:r>
        <w:rPr>
          <w:rFonts w:hint="eastAsia" w:ascii="方正小标宋简体" w:hAnsi="方正小标宋简体" w:eastAsia="方正小标宋简体" w:cs="方正小标宋简体"/>
          <w:color w:val="000000"/>
          <w:kern w:val="0"/>
          <w:sz w:val="30"/>
          <w:szCs w:val="30"/>
          <w:lang w:bidi="ar"/>
        </w:rPr>
        <w:t>（2</w:t>
      </w:r>
      <w:r>
        <w:rPr>
          <w:rFonts w:ascii="方正小标宋简体" w:hAnsi="方正小标宋简体" w:eastAsia="方正小标宋简体" w:cs="方正小标宋简体"/>
          <w:color w:val="000000"/>
          <w:kern w:val="0"/>
          <w:sz w:val="30"/>
          <w:szCs w:val="30"/>
          <w:lang w:bidi="ar"/>
        </w:rPr>
        <w:t>02</w:t>
      </w:r>
      <w:r>
        <w:rPr>
          <w:rFonts w:hint="eastAsia" w:ascii="方正小标宋简体" w:hAnsi="方正小标宋简体" w:eastAsia="方正小标宋简体" w:cs="方正小标宋简体"/>
          <w:color w:val="000000"/>
          <w:kern w:val="0"/>
          <w:sz w:val="30"/>
          <w:szCs w:val="30"/>
          <w:lang w:bidi="ar"/>
        </w:rPr>
        <w:t>5</w:t>
      </w:r>
      <w:r>
        <w:rPr>
          <w:rFonts w:ascii="方正小标宋简体" w:hAnsi="方正小标宋简体" w:eastAsia="方正小标宋简体" w:cs="方正小标宋简体"/>
          <w:color w:val="000000"/>
          <w:kern w:val="0"/>
          <w:sz w:val="30"/>
          <w:szCs w:val="30"/>
          <w:lang w:bidi="ar"/>
        </w:rPr>
        <w:t>年</w:t>
      </w:r>
      <w:r>
        <w:rPr>
          <w:rFonts w:hint="eastAsia" w:ascii="方正小标宋简体" w:hAnsi="方正小标宋简体" w:eastAsia="方正小标宋简体" w:cs="方正小标宋简体"/>
          <w:color w:val="000000"/>
          <w:kern w:val="0"/>
          <w:sz w:val="30"/>
          <w:szCs w:val="30"/>
          <w:lang w:bidi="ar"/>
        </w:rPr>
        <w:t>）</w:t>
      </w:r>
    </w:p>
    <w:p w14:paraId="093B3010">
      <w:pPr>
        <w:pStyle w:val="7"/>
        <w:spacing w:line="460" w:lineRule="exact"/>
      </w:pPr>
    </w:p>
    <w:p w14:paraId="3EAF9C9F">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为深入构建</w:t>
      </w:r>
      <w:r>
        <w:rPr>
          <w:rFonts w:hint="eastAsia" w:ascii="仿宋_GB2312" w:hAnsi="宋体" w:cs="仿宋_GB2312"/>
          <w:color w:val="000000"/>
          <w:kern w:val="0"/>
          <w:sz w:val="31"/>
          <w:szCs w:val="31"/>
          <w:lang w:eastAsia="zh-CN" w:bidi="ar"/>
        </w:rPr>
        <w:t>“</w:t>
      </w:r>
      <w:r>
        <w:rPr>
          <w:rFonts w:hint="eastAsia" w:ascii="仿宋_GB2312" w:hAnsi="宋体" w:cs="仿宋_GB2312"/>
          <w:color w:val="000000"/>
          <w:kern w:val="0"/>
          <w:sz w:val="31"/>
          <w:szCs w:val="31"/>
          <w:lang w:bidi="ar"/>
        </w:rPr>
        <w:t>亲</w:t>
      </w:r>
      <w:r>
        <w:rPr>
          <w:rFonts w:hint="eastAsia" w:ascii="仿宋_GB2312" w:hAnsi="宋体" w:cs="仿宋_GB2312"/>
          <w:color w:val="000000"/>
          <w:kern w:val="0"/>
          <w:sz w:val="31"/>
          <w:szCs w:val="31"/>
          <w:lang w:eastAsia="zh-CN" w:bidi="ar"/>
        </w:rPr>
        <w:t>”“</w:t>
      </w:r>
      <w:r>
        <w:rPr>
          <w:rFonts w:hint="eastAsia" w:ascii="仿宋_GB2312" w:hAnsi="宋体" w:cs="仿宋_GB2312"/>
          <w:color w:val="000000"/>
          <w:kern w:val="0"/>
          <w:sz w:val="31"/>
          <w:szCs w:val="31"/>
          <w:lang w:bidi="ar"/>
        </w:rPr>
        <w:t>清</w:t>
      </w:r>
      <w:r>
        <w:rPr>
          <w:rFonts w:hint="eastAsia" w:ascii="仿宋_GB2312" w:hAnsi="宋体" w:cs="仿宋_GB2312"/>
          <w:color w:val="000000"/>
          <w:kern w:val="0"/>
          <w:sz w:val="31"/>
          <w:szCs w:val="31"/>
          <w:lang w:eastAsia="zh-CN" w:bidi="ar"/>
        </w:rPr>
        <w:t>”</w:t>
      </w:r>
      <w:r>
        <w:rPr>
          <w:rFonts w:hint="eastAsia" w:ascii="仿宋_GB2312" w:hAnsi="宋体" w:cs="仿宋_GB2312"/>
          <w:color w:val="000000"/>
          <w:kern w:val="0"/>
          <w:sz w:val="31"/>
          <w:szCs w:val="31"/>
          <w:lang w:bidi="ar"/>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72184C30">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一、不得向公职人员赠送礼品、礼金、消费卡等财物。</w:t>
      </w:r>
    </w:p>
    <w:p w14:paraId="292FB1C5">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二、不得违规向公职人员提供宴请、旅游、娱乐等安排。</w:t>
      </w:r>
    </w:p>
    <w:p w14:paraId="25C38E70">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三、不得通过打麻将等形式向公职人员输送利益。</w:t>
      </w:r>
    </w:p>
    <w:p w14:paraId="5A3C172F">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四、不得为公职人员报销应由其个人支付的费用。</w:t>
      </w:r>
    </w:p>
    <w:p w14:paraId="4E523E44">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五、不得违规向公职人员及其亲友借贷款。</w:t>
      </w:r>
    </w:p>
    <w:p w14:paraId="442B8886">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六、不得违规将车辆、住房等借给公职人员使用。</w:t>
      </w:r>
    </w:p>
    <w:p w14:paraId="5521640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七、不得在招投标中与公职人员搞暗箱操作、围标串标。</w:t>
      </w:r>
    </w:p>
    <w:p w14:paraId="7D0666B5">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八、不得为利益相关人和公职人员牵线搭桥或者代为传递信息、传递财物。</w:t>
      </w:r>
    </w:p>
    <w:p w14:paraId="799F209E">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九、不得让公职人员在企业违规兼职取酬。</w:t>
      </w:r>
    </w:p>
    <w:p w14:paraId="68B338C5">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十、不得为公职人员亲友违规承揽业务提供便利。</w:t>
      </w:r>
    </w:p>
    <w:p w14:paraId="3E95C2A5">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12590F0F">
      <w:pPr>
        <w:widowControl/>
        <w:spacing w:line="460" w:lineRule="exact"/>
        <w:jc w:val="left"/>
        <w:rPr>
          <w:rFonts w:ascii="仿宋_GB2312" w:hAnsi="宋体" w:cs="仿宋_GB2312"/>
          <w:color w:val="000000"/>
          <w:kern w:val="0"/>
          <w:sz w:val="31"/>
          <w:szCs w:val="31"/>
          <w:lang w:bidi="ar"/>
        </w:rPr>
      </w:pPr>
    </w:p>
    <w:p w14:paraId="7DA36120">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本人已知晓上述告知内容，并愿意遵照执行（签名）：</w:t>
      </w:r>
    </w:p>
    <w:p w14:paraId="7FD20F0B">
      <w:pPr>
        <w:widowControl/>
        <w:spacing w:line="460" w:lineRule="exact"/>
        <w:jc w:val="left"/>
        <w:rPr>
          <w:rFonts w:ascii="仿宋_GB2312" w:hAnsi="宋体" w:cs="仿宋_GB2312"/>
          <w:color w:val="000000"/>
          <w:kern w:val="0"/>
          <w:sz w:val="31"/>
          <w:szCs w:val="31"/>
          <w:lang w:bidi="ar"/>
        </w:rPr>
      </w:pPr>
      <w:r>
        <w:rPr>
          <w:rFonts w:ascii="仿宋_GB2312" w:hAnsi="宋体" w:cs="仿宋_GB2312"/>
          <w:color w:val="000000"/>
          <w:kern w:val="0"/>
          <w:sz w:val="31"/>
          <w:szCs w:val="31"/>
          <w:lang w:bidi="ar"/>
        </w:rPr>
        <w:t xml:space="preserve"> </w:t>
      </w:r>
    </w:p>
    <w:p w14:paraId="3898141B">
      <w:pPr>
        <w:widowControl/>
        <w:spacing w:line="460" w:lineRule="exact"/>
        <w:ind w:firstLine="5270" w:firstLineChars="17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20</w:t>
      </w:r>
      <w:r>
        <w:rPr>
          <w:rFonts w:ascii="仿宋_GB2312" w:hAnsi="宋体" w:cs="仿宋_GB2312"/>
          <w:color w:val="000000"/>
          <w:kern w:val="0"/>
          <w:sz w:val="31"/>
          <w:szCs w:val="31"/>
          <w:lang w:bidi="ar"/>
        </w:rPr>
        <w:t>2</w:t>
      </w:r>
      <w:r>
        <w:rPr>
          <w:rFonts w:hint="eastAsia" w:ascii="仿宋_GB2312" w:hAnsi="宋体" w:cs="仿宋_GB2312"/>
          <w:color w:val="000000"/>
          <w:kern w:val="0"/>
          <w:sz w:val="31"/>
          <w:szCs w:val="31"/>
          <w:lang w:bidi="ar"/>
        </w:rPr>
        <w:t xml:space="preserve">5  年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月</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日</w:t>
      </w:r>
    </w:p>
    <w:p w14:paraId="3D481412">
      <w:pPr>
        <w:pStyle w:val="7"/>
        <w:rPr>
          <w:lang w:bidi="ar"/>
        </w:rPr>
      </w:pPr>
    </w:p>
    <w:p w14:paraId="1136BC3A">
      <w:pPr>
        <w:widowControl/>
        <w:spacing w:line="240" w:lineRule="auto"/>
        <w:ind w:firstLine="0" w:firstLineChars="0"/>
        <w:jc w:val="left"/>
        <w:rPr>
          <w:rFonts w:ascii="仿宋_GB2312" w:hAnsi="仿宋_GB2312" w:eastAsia="仿宋_GB2312" w:cs="仿宋_GB2312"/>
          <w:color w:val="000000" w:themeColor="text1"/>
          <w:kern w:val="0"/>
          <w:sz w:val="32"/>
          <w:szCs w:val="32"/>
          <w14:textFill>
            <w14:solidFill>
              <w14:schemeClr w14:val="tx1"/>
            </w14:solidFill>
          </w14:textFill>
        </w:rPr>
      </w:pPr>
      <w:r>
        <w:rPr>
          <w:rFonts w:ascii="楷体_GB2312" w:hAnsi="宋体" w:eastAsia="楷体_GB2312" w:cs="楷体_GB2312"/>
          <w:color w:val="000000"/>
          <w:kern w:val="0"/>
          <w:sz w:val="24"/>
          <w:szCs w:val="24"/>
          <w:lang w:bidi="ar"/>
        </w:rPr>
        <w:t>（本告知书一式两份，一份由被告知人保存，一份由告知人所在单位留存。）</w:t>
      </w:r>
    </w:p>
    <w:p w14:paraId="4F178172">
      <w:pPr>
        <w:widowControl/>
        <w:spacing w:line="50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ab/>
      </w:r>
    </w:p>
    <w:p w14:paraId="5535EB17">
      <w:pPr>
        <w:tabs>
          <w:tab w:val="left" w:pos="2533"/>
        </w:tabs>
        <w:jc w:val="left"/>
        <w:rPr>
          <w:rFonts w:ascii="黑体" w:hAnsi="黑体" w:eastAsia="黑体"/>
          <w:szCs w:val="21"/>
        </w:rPr>
        <w:sectPr>
          <w:headerReference r:id="rId9" w:type="default"/>
          <w:pgSz w:w="11906" w:h="16838"/>
          <w:pgMar w:top="993" w:right="991" w:bottom="993" w:left="720" w:header="568" w:footer="992" w:gutter="0"/>
          <w:pgNumType w:fmt="decimal"/>
          <w:cols w:space="425" w:num="1"/>
          <w:docGrid w:type="lines" w:linePitch="312" w:charSpace="0"/>
        </w:sectPr>
      </w:pPr>
    </w:p>
    <w:p w14:paraId="198926A2">
      <w:pPr>
        <w:rPr>
          <w:rFonts w:ascii="仿宋_GB2312" w:eastAsia="仿宋_GB2312"/>
          <w:b/>
          <w:bCs/>
          <w:sz w:val="28"/>
          <w:szCs w:val="28"/>
        </w:rPr>
      </w:pPr>
      <w:r>
        <w:rPr>
          <w:rFonts w:hint="eastAsia" w:ascii="仿宋_GB2312" w:eastAsia="仿宋_GB2312"/>
          <w:b/>
          <w:bCs/>
          <w:sz w:val="28"/>
          <w:szCs w:val="28"/>
        </w:rPr>
        <w:t>附件</w:t>
      </w:r>
      <w:r>
        <w:rPr>
          <w:rFonts w:ascii="仿宋_GB2312" w:eastAsia="仿宋_GB2312"/>
          <w:b/>
          <w:bCs/>
          <w:sz w:val="28"/>
          <w:szCs w:val="28"/>
        </w:rPr>
        <w:t>3</w:t>
      </w:r>
    </w:p>
    <w:tbl>
      <w:tblPr>
        <w:tblStyle w:val="44"/>
        <w:tblW w:w="9451" w:type="dxa"/>
        <w:jc w:val="center"/>
        <w:tblLayout w:type="autofit"/>
        <w:tblCellMar>
          <w:top w:w="0" w:type="dxa"/>
          <w:left w:w="108" w:type="dxa"/>
          <w:bottom w:w="0" w:type="dxa"/>
          <w:right w:w="108" w:type="dxa"/>
        </w:tblCellMar>
      </w:tblPr>
      <w:tblGrid>
        <w:gridCol w:w="2835"/>
        <w:gridCol w:w="2410"/>
        <w:gridCol w:w="2268"/>
        <w:gridCol w:w="1938"/>
      </w:tblGrid>
      <w:tr w14:paraId="1D13482C">
        <w:tblPrEx>
          <w:tblCellMar>
            <w:top w:w="0" w:type="dxa"/>
            <w:left w:w="108" w:type="dxa"/>
            <w:bottom w:w="0" w:type="dxa"/>
            <w:right w:w="108" w:type="dxa"/>
          </w:tblCellMar>
        </w:tblPrEx>
        <w:trPr>
          <w:trHeight w:val="650" w:hRule="atLeast"/>
          <w:jc w:val="center"/>
        </w:trPr>
        <w:tc>
          <w:tcPr>
            <w:tcW w:w="9451" w:type="dxa"/>
            <w:gridSpan w:val="4"/>
            <w:tcBorders>
              <w:top w:val="nil"/>
              <w:left w:val="nil"/>
              <w:bottom w:val="nil"/>
              <w:right w:val="nil"/>
            </w:tcBorders>
            <w:shd w:val="clear" w:color="auto" w:fill="auto"/>
            <w:noWrap/>
            <w:vAlign w:val="center"/>
          </w:tcPr>
          <w:p w14:paraId="3D9BCCF9">
            <w:pPr>
              <w:widowControl/>
              <w:jc w:val="center"/>
              <w:rPr>
                <w:rFonts w:ascii="Courier New" w:hAnsi="Courier New" w:eastAsia="宋体" w:cs="Courier New"/>
                <w:b/>
                <w:bCs/>
                <w:kern w:val="0"/>
                <w:sz w:val="32"/>
                <w:szCs w:val="32"/>
              </w:rPr>
            </w:pPr>
            <w:r>
              <w:rPr>
                <w:rFonts w:ascii="Courier New" w:hAnsi="Courier New" w:eastAsia="宋体" w:cs="Courier New"/>
                <w:b/>
                <w:bCs/>
                <w:kern w:val="0"/>
                <w:sz w:val="32"/>
                <w:szCs w:val="32"/>
              </w:rPr>
              <w:t>深圳市龙岗中心医院放射性药品明细清单</w:t>
            </w:r>
          </w:p>
        </w:tc>
      </w:tr>
      <w:tr w14:paraId="15786207">
        <w:tblPrEx>
          <w:tblCellMar>
            <w:top w:w="0" w:type="dxa"/>
            <w:left w:w="108" w:type="dxa"/>
            <w:bottom w:w="0" w:type="dxa"/>
            <w:right w:w="108" w:type="dxa"/>
          </w:tblCellMar>
        </w:tblPrEx>
        <w:trPr>
          <w:trHeight w:val="650" w:hRule="atLeast"/>
          <w:jc w:val="center"/>
        </w:trPr>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07C4800D">
            <w:pPr>
              <w:widowControl/>
              <w:jc w:val="center"/>
              <w:rPr>
                <w:rFonts w:cs="Courier New" w:asciiTheme="minorEastAsia" w:hAnsiTheme="minorEastAsia"/>
                <w:b/>
                <w:bCs/>
                <w:kern w:val="0"/>
                <w:sz w:val="22"/>
              </w:rPr>
            </w:pPr>
            <w:r>
              <w:rPr>
                <w:rFonts w:cs="Courier New" w:asciiTheme="minorEastAsia" w:hAnsiTheme="minorEastAsia"/>
                <w:b/>
                <w:bCs/>
                <w:kern w:val="0"/>
                <w:sz w:val="22"/>
              </w:rPr>
              <w:t>药品名称</w:t>
            </w:r>
          </w:p>
        </w:tc>
        <w:tc>
          <w:tcPr>
            <w:tcW w:w="2410" w:type="dxa"/>
            <w:tcBorders>
              <w:top w:val="single" w:color="auto" w:sz="4" w:space="0"/>
              <w:left w:val="nil"/>
              <w:bottom w:val="single" w:color="auto" w:sz="4" w:space="0"/>
              <w:right w:val="single" w:color="auto" w:sz="4" w:space="0"/>
            </w:tcBorders>
            <w:shd w:val="clear" w:color="auto" w:fill="auto"/>
            <w:vAlign w:val="center"/>
          </w:tcPr>
          <w:p w14:paraId="187131D1">
            <w:pPr>
              <w:widowControl/>
              <w:jc w:val="center"/>
              <w:rPr>
                <w:rFonts w:cs="Courier New" w:asciiTheme="minorEastAsia" w:hAnsiTheme="minorEastAsia"/>
                <w:b/>
                <w:bCs/>
                <w:kern w:val="0"/>
                <w:sz w:val="22"/>
              </w:rPr>
            </w:pPr>
            <w:r>
              <w:rPr>
                <w:rFonts w:cs="Courier New" w:asciiTheme="minorEastAsia" w:hAnsiTheme="minorEastAsia"/>
                <w:b/>
                <w:bCs/>
                <w:kern w:val="0"/>
                <w:sz w:val="22"/>
              </w:rPr>
              <w:t>常规剂量</w:t>
            </w:r>
          </w:p>
        </w:tc>
        <w:tc>
          <w:tcPr>
            <w:tcW w:w="2268" w:type="dxa"/>
            <w:tcBorders>
              <w:top w:val="single" w:color="auto" w:sz="4" w:space="0"/>
              <w:left w:val="nil"/>
              <w:bottom w:val="single" w:color="auto" w:sz="4" w:space="0"/>
              <w:right w:val="single" w:color="auto" w:sz="4" w:space="0"/>
            </w:tcBorders>
            <w:shd w:val="clear" w:color="auto" w:fill="auto"/>
            <w:vAlign w:val="center"/>
          </w:tcPr>
          <w:p w14:paraId="4990D027">
            <w:pPr>
              <w:widowControl/>
              <w:jc w:val="center"/>
              <w:rPr>
                <w:rFonts w:cs="Courier New" w:asciiTheme="minorEastAsia" w:hAnsiTheme="minorEastAsia"/>
                <w:b/>
                <w:bCs/>
                <w:kern w:val="0"/>
                <w:sz w:val="22"/>
              </w:rPr>
            </w:pPr>
            <w:r>
              <w:rPr>
                <w:rFonts w:hint="eastAsia" w:cs="Courier New" w:asciiTheme="minorEastAsia" w:hAnsiTheme="minorEastAsia"/>
                <w:b/>
                <w:bCs/>
                <w:kern w:val="0"/>
                <w:sz w:val="22"/>
              </w:rPr>
              <w:t>单</w:t>
            </w:r>
            <w:r>
              <w:rPr>
                <w:rFonts w:cs="Courier New" w:asciiTheme="minorEastAsia" w:hAnsiTheme="minorEastAsia"/>
                <w:b/>
                <w:bCs/>
                <w:kern w:val="0"/>
                <w:sz w:val="22"/>
              </w:rPr>
              <w:t>价（元）</w:t>
            </w:r>
          </w:p>
        </w:tc>
        <w:tc>
          <w:tcPr>
            <w:tcW w:w="1938" w:type="dxa"/>
            <w:tcBorders>
              <w:top w:val="single" w:color="auto" w:sz="4" w:space="0"/>
              <w:left w:val="nil"/>
              <w:bottom w:val="single" w:color="auto" w:sz="4" w:space="0"/>
              <w:right w:val="single" w:color="auto" w:sz="4" w:space="0"/>
            </w:tcBorders>
            <w:shd w:val="clear" w:color="auto" w:fill="auto"/>
            <w:vAlign w:val="center"/>
          </w:tcPr>
          <w:p w14:paraId="538E4EF8">
            <w:pPr>
              <w:widowControl/>
              <w:jc w:val="center"/>
              <w:rPr>
                <w:rFonts w:cs="Courier New" w:asciiTheme="minorEastAsia" w:hAnsiTheme="minorEastAsia"/>
                <w:b/>
                <w:bCs/>
                <w:kern w:val="0"/>
                <w:sz w:val="22"/>
              </w:rPr>
            </w:pPr>
            <w:r>
              <w:rPr>
                <w:rFonts w:hint="eastAsia" w:cs="Courier New" w:asciiTheme="minorEastAsia" w:hAnsiTheme="minorEastAsia"/>
                <w:b/>
                <w:bCs/>
                <w:kern w:val="0"/>
                <w:sz w:val="22"/>
              </w:rPr>
              <w:t>备注</w:t>
            </w:r>
          </w:p>
        </w:tc>
      </w:tr>
      <w:tr w14:paraId="7A68F53C">
        <w:tblPrEx>
          <w:tblCellMar>
            <w:top w:w="0" w:type="dxa"/>
            <w:left w:w="108" w:type="dxa"/>
            <w:bottom w:w="0" w:type="dxa"/>
            <w:right w:w="108" w:type="dxa"/>
          </w:tblCellMar>
        </w:tblPrEx>
        <w:trPr>
          <w:trHeight w:val="723" w:hRule="atLeast"/>
          <w:jc w:val="center"/>
        </w:trPr>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46556987">
            <w:pPr>
              <w:jc w:val="center"/>
              <w:rPr>
                <w:rFonts w:ascii="宋体" w:hAnsi="宋体" w:eastAsia="宋体" w:cs="宋体"/>
                <w:kern w:val="0"/>
                <w:sz w:val="22"/>
              </w:rPr>
            </w:pPr>
          </w:p>
        </w:tc>
        <w:tc>
          <w:tcPr>
            <w:tcW w:w="2410" w:type="dxa"/>
            <w:tcBorders>
              <w:top w:val="nil"/>
              <w:left w:val="nil"/>
              <w:bottom w:val="single" w:color="auto" w:sz="4" w:space="0"/>
              <w:right w:val="single" w:color="auto" w:sz="4" w:space="0"/>
            </w:tcBorders>
            <w:shd w:val="clear" w:color="auto" w:fill="auto"/>
            <w:vAlign w:val="center"/>
          </w:tcPr>
          <w:p w14:paraId="55BE48B7">
            <w:pPr>
              <w:jc w:val="center"/>
              <w:rPr>
                <w:rFonts w:ascii="宋体" w:hAnsi="宋体" w:eastAsia="宋体" w:cs="宋体"/>
                <w:kern w:val="0"/>
                <w:sz w:val="22"/>
              </w:rPr>
            </w:pPr>
          </w:p>
        </w:tc>
        <w:tc>
          <w:tcPr>
            <w:tcW w:w="2268" w:type="dxa"/>
            <w:tcBorders>
              <w:top w:val="nil"/>
              <w:left w:val="nil"/>
              <w:bottom w:val="single" w:color="auto" w:sz="4" w:space="0"/>
              <w:right w:val="single" w:color="auto" w:sz="4" w:space="0"/>
            </w:tcBorders>
            <w:shd w:val="clear" w:color="auto" w:fill="auto"/>
            <w:vAlign w:val="center"/>
          </w:tcPr>
          <w:p w14:paraId="7FF88B2A">
            <w:pPr>
              <w:adjustRightInd w:val="0"/>
              <w:spacing w:line="360" w:lineRule="auto"/>
              <w:jc w:val="center"/>
              <w:rPr>
                <w:rFonts w:ascii="宋体" w:hAnsi="宋体" w:eastAsia="宋体" w:cs="宋体"/>
                <w:kern w:val="0"/>
                <w:sz w:val="22"/>
              </w:rPr>
            </w:pPr>
          </w:p>
        </w:tc>
        <w:tc>
          <w:tcPr>
            <w:tcW w:w="1938" w:type="dxa"/>
            <w:tcBorders>
              <w:top w:val="nil"/>
              <w:left w:val="nil"/>
              <w:bottom w:val="single" w:color="auto" w:sz="4" w:space="0"/>
              <w:right w:val="single" w:color="auto" w:sz="4" w:space="0"/>
            </w:tcBorders>
            <w:shd w:val="clear" w:color="auto" w:fill="auto"/>
            <w:vAlign w:val="center"/>
          </w:tcPr>
          <w:p w14:paraId="7CFFBFAB">
            <w:pPr>
              <w:widowControl/>
              <w:rPr>
                <w:rFonts w:cs="Courier New" w:asciiTheme="minorEastAsia" w:hAnsiTheme="minorEastAsia"/>
                <w:kern w:val="0"/>
                <w:sz w:val="22"/>
              </w:rPr>
            </w:pPr>
          </w:p>
        </w:tc>
      </w:tr>
    </w:tbl>
    <w:p w14:paraId="2794F137">
      <w:pPr>
        <w:tabs>
          <w:tab w:val="left" w:pos="2533"/>
        </w:tabs>
        <w:ind w:right="118" w:rightChars="56"/>
        <w:jc w:val="center"/>
        <w:rPr>
          <w:rFonts w:ascii="黑体" w:hAnsi="黑体" w:eastAsia="黑体"/>
          <w:sz w:val="44"/>
          <w:szCs w:val="44"/>
        </w:rPr>
      </w:pPr>
    </w:p>
    <w:bookmarkEnd w:id="73"/>
    <w:p w14:paraId="7EDCDDAA">
      <w:pPr>
        <w:rPr>
          <w:rFonts w:hint="eastAsia"/>
          <w:sz w:val="28"/>
          <w:szCs w:val="28"/>
        </w:rPr>
      </w:pPr>
      <w:r>
        <w:rPr>
          <w:rFonts w:hint="eastAsia"/>
          <w:sz w:val="28"/>
          <w:szCs w:val="28"/>
        </w:rPr>
        <w:br w:type="page"/>
      </w:r>
    </w:p>
    <w:p w14:paraId="04A3EC7F">
      <w:pPr>
        <w:pStyle w:val="3"/>
        <w:spacing w:before="120" w:beforeLines="50" w:after="120" w:afterLines="50"/>
        <w:ind w:left="562"/>
        <w:rPr>
          <w:sz w:val="28"/>
          <w:szCs w:val="28"/>
        </w:rPr>
      </w:pPr>
      <w:r>
        <w:rPr>
          <w:rFonts w:hint="eastAsia"/>
          <w:sz w:val="28"/>
          <w:szCs w:val="28"/>
        </w:rPr>
        <w:t>第二册  通用条款（公开招标）</w:t>
      </w:r>
    </w:p>
    <w:p w14:paraId="3D412064">
      <w:pPr>
        <w:pStyle w:val="3"/>
        <w:numPr>
          <w:ilvl w:val="0"/>
          <w:numId w:val="10"/>
        </w:numPr>
        <w:spacing w:before="120" w:beforeLines="50" w:after="120" w:afterLines="50"/>
        <w:ind w:left="562" w:hanging="562"/>
        <w:rPr>
          <w:sz w:val="28"/>
          <w:szCs w:val="28"/>
        </w:rPr>
      </w:pPr>
      <w:bookmarkStart w:id="74" w:name="_Hlk72399513"/>
      <w:r>
        <w:rPr>
          <w:rFonts w:hint="eastAsia"/>
          <w:sz w:val="28"/>
          <w:szCs w:val="28"/>
        </w:rPr>
        <w:t>总则</w:t>
      </w:r>
    </w:p>
    <w:bookmarkEnd w:id="74"/>
    <w:p w14:paraId="068907F8">
      <w:pPr>
        <w:rPr>
          <w:rFonts w:ascii="黑体" w:hAnsi="宋体" w:eastAsia="黑体"/>
          <w:sz w:val="24"/>
        </w:rPr>
      </w:pPr>
      <w:r>
        <w:rPr>
          <w:rFonts w:hint="eastAsia" w:ascii="黑体" w:hAnsi="宋体" w:eastAsia="黑体"/>
          <w:sz w:val="24"/>
        </w:rPr>
        <w:t>1. 通用条款说明</w:t>
      </w:r>
    </w:p>
    <w:p w14:paraId="6AC36A45">
      <w:pPr>
        <w:ind w:firstLine="411" w:firstLineChars="196"/>
        <w:rPr>
          <w:rFonts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75" w:name="_Hlk72399729"/>
      <w:r>
        <w:rPr>
          <w:rFonts w:hint="eastAsia" w:ascii="宋体" w:hAnsi="宋体"/>
          <w:szCs w:val="21"/>
        </w:rPr>
        <w:t>如有需要，政府集中采购机构可以对通用条款的内容进行补充。</w:t>
      </w:r>
      <w:bookmarkEnd w:id="75"/>
    </w:p>
    <w:p w14:paraId="44249F26">
      <w:pPr>
        <w:ind w:firstLine="411" w:firstLineChars="196"/>
        <w:rPr>
          <w:rFonts w:ascii="宋体" w:hAnsi="宋体"/>
          <w:szCs w:val="21"/>
        </w:rPr>
      </w:pPr>
      <w:r>
        <w:rPr>
          <w:rFonts w:hint="eastAsia" w:ascii="宋体" w:hAnsi="宋体"/>
          <w:szCs w:val="21"/>
        </w:rPr>
        <w:t>1.2招标文件分为第一册“专用条款”和第二册“通用条款”。</w:t>
      </w:r>
    </w:p>
    <w:p w14:paraId="03A74549">
      <w:pPr>
        <w:ind w:firstLine="411" w:firstLineChars="196"/>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52C32A22">
      <w:pPr>
        <w:ind w:firstLine="411" w:firstLineChars="196"/>
        <w:rPr>
          <w:rFonts w:ascii="宋体" w:hAnsi="宋体"/>
          <w:szCs w:val="21"/>
        </w:rPr>
      </w:pPr>
      <w:r>
        <w:rPr>
          <w:rFonts w:hint="eastAsia" w:ascii="宋体" w:hAnsi="宋体"/>
          <w:szCs w:val="21"/>
        </w:rPr>
        <w:t>1.4“通用条款”是适用于政府采购公开招标项目的基础性条款，具有普遍性和通用性。</w:t>
      </w:r>
    </w:p>
    <w:p w14:paraId="5C3ECC5B">
      <w:pPr>
        <w:ind w:firstLine="411" w:firstLineChars="196"/>
        <w:rPr>
          <w:rFonts w:ascii="宋体" w:hAnsi="宋体"/>
          <w:szCs w:val="21"/>
        </w:rPr>
      </w:pPr>
      <w:r>
        <w:rPr>
          <w:rFonts w:hint="eastAsia" w:ascii="宋体" w:hAnsi="宋体"/>
          <w:szCs w:val="21"/>
        </w:rPr>
        <w:t>1.5 “专用条款”和“通用条款”表述不一致或有冲突时，以“专用条款”为准。</w:t>
      </w:r>
    </w:p>
    <w:p w14:paraId="0512767D">
      <w:pPr>
        <w:rPr>
          <w:rFonts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5A33FD11">
      <w:pPr>
        <w:ind w:firstLine="411" w:firstLineChars="196"/>
        <w:rPr>
          <w:rFonts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14:paraId="4BBEA407">
      <w:pPr>
        <w:rPr>
          <w:rFonts w:ascii="黑体" w:hAnsi="宋体" w:eastAsia="黑体"/>
          <w:sz w:val="24"/>
        </w:rPr>
      </w:pPr>
      <w:r>
        <w:rPr>
          <w:rFonts w:hint="eastAsia" w:ascii="黑体" w:hAnsi="宋体" w:eastAsia="黑体"/>
          <w:sz w:val="24"/>
        </w:rPr>
        <w:t>3．定义</w:t>
      </w:r>
    </w:p>
    <w:p w14:paraId="34069ACD">
      <w:pPr>
        <w:ind w:firstLine="420" w:firstLineChars="200"/>
        <w:rPr>
          <w:rFonts w:ascii="宋体" w:hAnsi="宋体"/>
          <w:szCs w:val="21"/>
        </w:rPr>
      </w:pPr>
      <w:r>
        <w:rPr>
          <w:rFonts w:ascii="宋体" w:hAnsi="宋体"/>
          <w:szCs w:val="21"/>
        </w:rPr>
        <w:t>招标文件中下列术语应解释为：</w:t>
      </w:r>
    </w:p>
    <w:p w14:paraId="26641A8A">
      <w:pPr>
        <w:ind w:firstLine="411" w:firstLineChars="196"/>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14:paraId="48B73892">
      <w:pPr>
        <w:ind w:firstLine="411" w:firstLineChars="196"/>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1C904A37">
      <w:pPr>
        <w:ind w:firstLine="411" w:firstLineChars="196"/>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67F0C712">
      <w:pPr>
        <w:ind w:firstLine="411" w:firstLineChars="196"/>
        <w:rPr>
          <w:rFonts w:ascii="宋体" w:hAnsi="宋体"/>
          <w:szCs w:val="21"/>
        </w:rPr>
      </w:pPr>
      <w:r>
        <w:rPr>
          <w:rFonts w:hint="eastAsia" w:ascii="宋体" w:hAnsi="宋体"/>
          <w:szCs w:val="21"/>
        </w:rPr>
        <w:t>3.4“评审委员会”是参照《深圳经济特区政府采购条例》、《深圳经济特区政府采购条例实施细则》等有关规定组建的专门负责本次</w:t>
      </w:r>
      <w:r>
        <w:rPr>
          <w:rFonts w:hint="eastAsia" w:ascii="宋体" w:hAnsi="宋体"/>
          <w:szCs w:val="21"/>
          <w:lang w:eastAsia="zh-CN"/>
        </w:rPr>
        <w:t>招标</w:t>
      </w:r>
      <w:r>
        <w:rPr>
          <w:rFonts w:hint="eastAsia" w:ascii="宋体" w:hAnsi="宋体"/>
          <w:szCs w:val="21"/>
        </w:rPr>
        <w:t>评审工作的临时性机构；</w:t>
      </w:r>
    </w:p>
    <w:p w14:paraId="3B6DB824">
      <w:pPr>
        <w:ind w:firstLine="411" w:firstLineChars="196"/>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088F4111">
      <w:pPr>
        <w:ind w:firstLine="411" w:firstLineChars="196"/>
        <w:rPr>
          <w:rFonts w:ascii="宋体" w:hAnsi="宋体"/>
          <w:szCs w:val="21"/>
        </w:rPr>
      </w:pPr>
      <w:r>
        <w:rPr>
          <w:rFonts w:hint="eastAsia" w:ascii="宋体" w:hAnsi="宋体"/>
          <w:szCs w:val="21"/>
        </w:rPr>
        <w:t>3.6“合同”指由本次招标所产生的合同或合约文件；</w:t>
      </w:r>
    </w:p>
    <w:p w14:paraId="198C61C5">
      <w:pPr>
        <w:ind w:firstLine="411" w:firstLineChars="196"/>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深圳公共资源交易中心（深圳交易集团有限公司龙岗分公司）</w:t>
      </w:r>
      <w:r>
        <w:rPr>
          <w:rFonts w:hint="eastAsia" w:ascii="宋体" w:hAnsi="宋体"/>
          <w:szCs w:val="21"/>
        </w:rPr>
        <w:t>网站提供的深圳市自行采购系统投标文件编制工具（以下简称：投标文件制作软件）制作并加密的投标文件</w:t>
      </w:r>
      <w:r>
        <w:rPr>
          <w:rFonts w:hint="eastAsia" w:ascii="宋体" w:hAnsi="宋体"/>
          <w:szCs w:val="21"/>
          <w:lang w:eastAsia="zh-CN"/>
        </w:rPr>
        <w:t>，</w:t>
      </w:r>
      <w:r>
        <w:rPr>
          <w:rFonts w:hint="eastAsia" w:ascii="宋体" w:hAnsi="宋体"/>
          <w:szCs w:val="21"/>
        </w:rPr>
        <w:t>适用于网上投标；（投标文件制作软件可从“下载地址：https://www.szggzy.com/jyfw/details.html?contentId=2053275”下载）</w:t>
      </w:r>
    </w:p>
    <w:p w14:paraId="5E3A3A01">
      <w:pPr>
        <w:ind w:firstLine="411" w:firstLineChars="196"/>
        <w:rPr>
          <w:rFonts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深圳公共资源交易中心（深圳交易集团有限公司龙岗分公司）</w:t>
      </w:r>
      <w:r>
        <w:rPr>
          <w:rFonts w:hint="eastAsia" w:ascii="宋体" w:hAnsi="宋体"/>
          <w:szCs w:val="21"/>
        </w:rPr>
        <w:t>网站上传电子投标文件；</w:t>
      </w:r>
    </w:p>
    <w:p w14:paraId="7BB38BEB">
      <w:pPr>
        <w:ind w:firstLine="411" w:firstLineChars="196"/>
        <w:rPr>
          <w:rFonts w:ascii="宋体" w:hAnsi="宋体"/>
          <w:szCs w:val="21"/>
        </w:rPr>
      </w:pPr>
      <w:r>
        <w:rPr>
          <w:rFonts w:hint="eastAsia" w:ascii="宋体" w:hAnsi="宋体"/>
          <w:szCs w:val="21"/>
        </w:rPr>
        <w:t>3.9招标文件中的标题或题名仅起引导作用，而不应视为对招标文件内容的理解和解释。</w:t>
      </w:r>
    </w:p>
    <w:p w14:paraId="1EB2266E">
      <w:pPr>
        <w:rPr>
          <w:rFonts w:ascii="黑体" w:hAnsi="宋体" w:eastAsia="黑体"/>
          <w:sz w:val="24"/>
        </w:rPr>
      </w:pPr>
      <w:r>
        <w:rPr>
          <w:rFonts w:hint="eastAsia" w:ascii="黑体" w:hAnsi="宋体" w:eastAsia="黑体"/>
          <w:sz w:val="24"/>
        </w:rPr>
        <w:t xml:space="preserve">4. </w:t>
      </w:r>
      <w:bookmarkStart w:id="76" w:name="_Hlk72398643"/>
      <w:r>
        <w:rPr>
          <w:rFonts w:hint="eastAsia" w:ascii="黑体" w:hAnsi="宋体" w:eastAsia="黑体"/>
          <w:sz w:val="24"/>
        </w:rPr>
        <w:t>政府采购供应商责任</w:t>
      </w:r>
    </w:p>
    <w:p w14:paraId="20E80E09">
      <w:pPr>
        <w:ind w:firstLine="411" w:firstLineChars="196"/>
        <w:rPr>
          <w:rFonts w:ascii="宋体" w:hAnsi="宋体"/>
          <w:szCs w:val="21"/>
        </w:rPr>
      </w:pPr>
      <w:r>
        <w:rPr>
          <w:rFonts w:hint="eastAsia" w:ascii="宋体" w:hAnsi="宋体"/>
          <w:szCs w:val="21"/>
        </w:rPr>
        <w:t>4.1欢迎诚信、有实力和有社会责任心的供应商参与政府采购事业。</w:t>
      </w:r>
    </w:p>
    <w:p w14:paraId="4750AC80">
      <w:pPr>
        <w:ind w:firstLine="411" w:firstLineChars="196"/>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68378437">
      <w:pPr>
        <w:rPr>
          <w:rFonts w:ascii="黑体" w:hAnsi="宋体" w:eastAsia="黑体"/>
          <w:sz w:val="24"/>
        </w:rPr>
      </w:pPr>
      <w:r>
        <w:rPr>
          <w:rFonts w:hint="eastAsia" w:ascii="黑体" w:hAnsi="宋体" w:eastAsia="黑体"/>
          <w:sz w:val="24"/>
        </w:rPr>
        <w:t>5．投标人参加政府采购的条件</w:t>
      </w:r>
    </w:p>
    <w:p w14:paraId="2C6D3586">
      <w:pPr>
        <w:ind w:firstLine="411" w:firstLineChars="196"/>
        <w:jc w:val="left"/>
        <w:rPr>
          <w:rFonts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14:paraId="61B79270">
      <w:pPr>
        <w:ind w:firstLine="411" w:firstLineChars="196"/>
        <w:jc w:val="left"/>
        <w:rPr>
          <w:rFonts w:ascii="宋体" w:hAnsi="宋体"/>
          <w:szCs w:val="21"/>
        </w:rPr>
      </w:pPr>
      <w:r>
        <w:rPr>
          <w:rFonts w:hint="eastAsia" w:ascii="宋体" w:hAnsi="宋体"/>
          <w:szCs w:val="21"/>
        </w:rPr>
        <w:t>5.2投标人资格要求</w:t>
      </w:r>
    </w:p>
    <w:p w14:paraId="24F4C779">
      <w:pPr>
        <w:ind w:firstLine="411" w:firstLineChars="196"/>
        <w:rPr>
          <w:rFonts w:ascii="宋体" w:hAnsi="宋体"/>
          <w:szCs w:val="21"/>
        </w:rPr>
      </w:pPr>
      <w:r>
        <w:rPr>
          <w:rFonts w:hint="eastAsia" w:ascii="宋体" w:hAnsi="宋体"/>
          <w:szCs w:val="21"/>
        </w:rPr>
        <w:t>参加本项目的投标人应具备的资格条件详见本项目招标公告中“投标人资格要求”（即申请人的资格要求）的内容。</w:t>
      </w:r>
    </w:p>
    <w:p w14:paraId="5AC750E8">
      <w:pPr>
        <w:ind w:firstLine="411" w:firstLineChars="196"/>
        <w:rPr>
          <w:rFonts w:ascii="宋体" w:hAnsi="宋体"/>
          <w:szCs w:val="21"/>
        </w:rPr>
      </w:pPr>
      <w:r>
        <w:rPr>
          <w:rFonts w:hint="eastAsia" w:ascii="宋体" w:hAnsi="宋体"/>
          <w:szCs w:val="21"/>
        </w:rPr>
        <w:t>5.3联合体投标</w:t>
      </w:r>
    </w:p>
    <w:p w14:paraId="06795793">
      <w:pPr>
        <w:ind w:firstLine="411" w:firstLineChars="196"/>
        <w:rPr>
          <w:rFonts w:ascii="宋体" w:hAnsi="宋体"/>
          <w:szCs w:val="21"/>
        </w:rPr>
      </w:pPr>
      <w:r>
        <w:rPr>
          <w:rFonts w:hint="eastAsia" w:ascii="宋体" w:hAnsi="宋体"/>
          <w:szCs w:val="21"/>
        </w:rPr>
        <w:t>5.3.1　以下有关联合体投标的条款仅适用于允许投标人组成联合体投标的项目。</w:t>
      </w:r>
    </w:p>
    <w:p w14:paraId="58B9013D">
      <w:pPr>
        <w:ind w:firstLine="411" w:firstLineChars="196"/>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51449963">
      <w:pPr>
        <w:ind w:firstLine="411" w:firstLineChars="196"/>
        <w:rPr>
          <w:rFonts w:ascii="宋体" w:hAnsi="宋体"/>
        </w:rPr>
      </w:pPr>
      <w:r>
        <w:rPr>
          <w:rFonts w:hint="eastAsia" w:ascii="宋体" w:hAnsi="宋体"/>
        </w:rPr>
        <w:t>（1）投标联合体各方参加政府采购活动应当具备下列条件：</w:t>
      </w:r>
      <w:r>
        <w:rPr>
          <w:rFonts w:ascii="宋体" w:hAnsi="宋体"/>
        </w:rPr>
        <w:t xml:space="preserve"> </w:t>
      </w:r>
    </w:p>
    <w:p w14:paraId="6E88F6C3">
      <w:pPr>
        <w:ind w:left="420" w:leftChars="200" w:firstLine="411" w:firstLineChars="196"/>
        <w:rPr>
          <w:rFonts w:ascii="宋体" w:hAnsi="宋体"/>
        </w:rPr>
      </w:pPr>
      <w:r>
        <w:rPr>
          <w:rFonts w:hint="eastAsia" w:ascii="宋体" w:hAnsi="宋体"/>
        </w:rPr>
        <w:t>1、具有独立承担民事责任的能力；</w:t>
      </w:r>
      <w:r>
        <w:rPr>
          <w:rFonts w:ascii="宋体" w:hAnsi="宋体"/>
        </w:rPr>
        <w:t xml:space="preserve"> </w:t>
      </w:r>
    </w:p>
    <w:p w14:paraId="5C91754B">
      <w:pPr>
        <w:ind w:left="420" w:firstLine="411" w:firstLineChars="196"/>
        <w:rPr>
          <w:rFonts w:ascii="宋体" w:hAnsi="宋体"/>
        </w:rPr>
      </w:pPr>
      <w:r>
        <w:rPr>
          <w:rFonts w:hint="eastAsia" w:ascii="宋体" w:hAnsi="宋体"/>
        </w:rPr>
        <w:t>2、有良好的商业信誉和健全的财务会计制度；</w:t>
      </w:r>
      <w:r>
        <w:rPr>
          <w:rFonts w:ascii="宋体" w:hAnsi="宋体"/>
        </w:rPr>
        <w:t xml:space="preserve"> </w:t>
      </w:r>
    </w:p>
    <w:p w14:paraId="0982DBCB">
      <w:pPr>
        <w:ind w:left="420" w:leftChars="200" w:firstLine="411" w:firstLineChars="196"/>
        <w:rPr>
          <w:rFonts w:ascii="宋体" w:hAnsi="宋体"/>
        </w:rPr>
      </w:pPr>
      <w:r>
        <w:rPr>
          <w:rFonts w:hint="eastAsia" w:ascii="宋体" w:hAnsi="宋体"/>
        </w:rPr>
        <w:t>3、具有履行合同所必需的设备和专业技术能力；</w:t>
      </w:r>
      <w:r>
        <w:rPr>
          <w:rFonts w:ascii="宋体" w:hAnsi="宋体"/>
        </w:rPr>
        <w:t xml:space="preserve"> </w:t>
      </w:r>
    </w:p>
    <w:p w14:paraId="48FF874D">
      <w:pPr>
        <w:ind w:left="420" w:leftChars="200" w:firstLine="411" w:firstLineChars="196"/>
        <w:rPr>
          <w:rFonts w:ascii="宋体" w:hAnsi="宋体"/>
        </w:rPr>
      </w:pPr>
      <w:r>
        <w:rPr>
          <w:rFonts w:hint="eastAsia" w:ascii="宋体" w:hAnsi="宋体"/>
        </w:rPr>
        <w:t>4、有依法缴纳税收和社会保障资金的良好记录；</w:t>
      </w:r>
      <w:r>
        <w:rPr>
          <w:rFonts w:ascii="宋体" w:hAnsi="宋体"/>
        </w:rPr>
        <w:t xml:space="preserve"> </w:t>
      </w:r>
    </w:p>
    <w:p w14:paraId="0819F638">
      <w:pPr>
        <w:ind w:left="420" w:leftChars="200" w:firstLine="411" w:firstLineChars="196"/>
        <w:rPr>
          <w:rFonts w:ascii="宋体" w:hAnsi="宋体"/>
        </w:rPr>
      </w:pPr>
      <w:r>
        <w:rPr>
          <w:rFonts w:hint="eastAsia" w:ascii="宋体" w:hAnsi="宋体"/>
        </w:rPr>
        <w:t>5、参加政府采购活动前三年内，在经营活动中没有重大违法记录；</w:t>
      </w:r>
      <w:r>
        <w:rPr>
          <w:rFonts w:ascii="宋体" w:hAnsi="宋体"/>
        </w:rPr>
        <w:t xml:space="preserve"> </w:t>
      </w:r>
    </w:p>
    <w:p w14:paraId="7877A201">
      <w:pPr>
        <w:ind w:left="420" w:leftChars="200" w:firstLine="411" w:firstLineChars="196"/>
        <w:rPr>
          <w:rFonts w:ascii="宋体" w:hAnsi="宋体"/>
        </w:rPr>
      </w:pPr>
      <w:r>
        <w:rPr>
          <w:rFonts w:hint="eastAsia" w:ascii="宋体" w:hAnsi="宋体"/>
        </w:rPr>
        <w:t>6、法律、行政法规规定的其他条件。</w:t>
      </w:r>
      <w:r>
        <w:rPr>
          <w:rFonts w:ascii="宋体" w:hAnsi="宋体"/>
        </w:rPr>
        <w:t xml:space="preserve"> </w:t>
      </w:r>
    </w:p>
    <w:p w14:paraId="14E2B8E9">
      <w:pPr>
        <w:ind w:firstLine="411" w:firstLineChars="196"/>
        <w:rPr>
          <w:rFonts w:ascii="宋体" w:hAnsi="宋体"/>
        </w:rPr>
      </w:pPr>
      <w:r>
        <w:rPr>
          <w:rFonts w:hint="eastAsia" w:ascii="宋体" w:hAnsi="宋体"/>
        </w:rPr>
        <w:t>（2）在投标截止前，投标联合体各方均应注册成政府集中采购机构供应商；</w:t>
      </w:r>
    </w:p>
    <w:p w14:paraId="7EC0E46B">
      <w:pPr>
        <w:ind w:firstLine="411" w:firstLineChars="196"/>
        <w:rPr>
          <w:rFonts w:ascii="宋体" w:hAnsi="宋体"/>
        </w:rPr>
      </w:pPr>
      <w:r>
        <w:rPr>
          <w:rFonts w:hint="eastAsia" w:ascii="宋体" w:hAnsi="宋体"/>
        </w:rPr>
        <w:t>（3）联合体中有同类资质的供应商按照联合体分工承担相同工作的，应当按照资质等级较低的供应商确定资质等级；</w:t>
      </w:r>
    </w:p>
    <w:p w14:paraId="161D0BD4">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14:paraId="4709590E">
      <w:pPr>
        <w:ind w:firstLine="411" w:firstLineChars="196"/>
        <w:rPr>
          <w:rFonts w:ascii="宋体" w:hAnsi="宋体"/>
        </w:rPr>
      </w:pPr>
      <w:r>
        <w:rPr>
          <w:rFonts w:hint="eastAsia" w:ascii="宋体" w:hAnsi="宋体"/>
        </w:rPr>
        <w:t>（5）投标人的投标文件及中标后签署的合同协议对联合体各方均具法律约束力；</w:t>
      </w:r>
    </w:p>
    <w:p w14:paraId="49184D09">
      <w:pPr>
        <w:ind w:firstLine="411" w:firstLineChars="196"/>
        <w:rPr>
          <w:rFonts w:ascii="宋体" w:hAnsi="宋体"/>
        </w:rPr>
      </w:pPr>
      <w:r>
        <w:rPr>
          <w:rFonts w:hint="eastAsia" w:ascii="宋体" w:hAnsi="宋体"/>
        </w:rPr>
        <w:t>（6）联合体各方应当签订联合体投标协议，明确约定各方拟承担的工作和责任，并将该协议随投标文件一并递交给政府集中采购机构；</w:t>
      </w:r>
    </w:p>
    <w:p w14:paraId="128CF5C5">
      <w:pPr>
        <w:ind w:firstLine="411" w:firstLineChars="196"/>
        <w:rPr>
          <w:rFonts w:ascii="宋体" w:hAnsi="宋体"/>
        </w:rPr>
      </w:pPr>
      <w:r>
        <w:rPr>
          <w:rFonts w:hint="eastAsia" w:ascii="宋体" w:hAnsi="宋体"/>
        </w:rPr>
        <w:t>（7）联合体中标后，联合体各方应当共同与采购人签订合同，就中标项目向采购人承担连带责任；</w:t>
      </w:r>
    </w:p>
    <w:p w14:paraId="67B844F7">
      <w:pPr>
        <w:ind w:firstLine="411" w:firstLineChars="196"/>
        <w:rPr>
          <w:rFonts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51F1B4B6">
      <w:pPr>
        <w:ind w:firstLine="411" w:firstLineChars="196"/>
        <w:rPr>
          <w:rFonts w:ascii="宋体" w:hAnsi="宋体"/>
          <w:szCs w:val="21"/>
        </w:rPr>
      </w:pPr>
      <w:r>
        <w:rPr>
          <w:rFonts w:hint="eastAsia" w:ascii="宋体" w:hAnsi="宋体"/>
        </w:rPr>
        <w:t>（9）本通用条款中“投标人”一词亦指联合体各方，专用条款另有规定或说明的除外。</w:t>
      </w:r>
    </w:p>
    <w:p w14:paraId="39E1F75E">
      <w:pPr>
        <w:rPr>
          <w:rFonts w:ascii="黑体" w:hAnsi="宋体" w:eastAsia="黑体"/>
          <w:sz w:val="24"/>
        </w:rPr>
      </w:pPr>
      <w:r>
        <w:rPr>
          <w:rFonts w:hint="eastAsia" w:ascii="黑体" w:hAnsi="宋体" w:eastAsia="黑体"/>
          <w:sz w:val="24"/>
        </w:rPr>
        <w:t>6．政策导向</w:t>
      </w:r>
    </w:p>
    <w:p w14:paraId="15F475B5">
      <w:pPr>
        <w:ind w:firstLine="411" w:firstLineChars="196"/>
        <w:rPr>
          <w:rFonts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14:paraId="1238D575">
      <w:pPr>
        <w:ind w:firstLine="405"/>
        <w:rPr>
          <w:rFonts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14:paraId="3C7FA653">
      <w:pPr>
        <w:ind w:firstLine="405"/>
      </w:pPr>
      <w:r>
        <w:rPr>
          <w:rFonts w:hint="eastAsia" w:ascii="宋体" w:hAnsi="宋体"/>
        </w:rPr>
        <w:t>6.3  本项目支持投标人性别平等的相关政策。</w:t>
      </w:r>
    </w:p>
    <w:p w14:paraId="5D41B226">
      <w:pPr>
        <w:rPr>
          <w:rFonts w:ascii="黑体" w:hAnsi="宋体" w:eastAsia="黑体"/>
          <w:sz w:val="24"/>
        </w:rPr>
      </w:pPr>
      <w:r>
        <w:rPr>
          <w:rFonts w:hint="eastAsia" w:ascii="黑体" w:hAnsi="宋体" w:eastAsia="黑体"/>
          <w:sz w:val="24"/>
        </w:rPr>
        <w:t>7. 本项目若涉及采购货物，则合格的货物及相应服务应满足以下要求：</w:t>
      </w:r>
    </w:p>
    <w:p w14:paraId="25290B7B">
      <w:pPr>
        <w:ind w:firstLine="411" w:firstLineChars="196"/>
        <w:rPr>
          <w:rFonts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6C2612AB">
      <w:pPr>
        <w:ind w:firstLine="411" w:firstLineChars="196"/>
        <w:rPr>
          <w:rFonts w:ascii="宋体" w:hAnsi="宋体"/>
        </w:rPr>
      </w:pPr>
      <w:r>
        <w:rPr>
          <w:rFonts w:hint="eastAsia" w:ascii="宋体" w:hAnsi="宋体"/>
        </w:rPr>
        <w:t>7.2  国产的货物及其有关服务必须符合中华人民共和国的设计、制造生产标准及行业标准。招标公告有其他要求的，亦应符合其要求。</w:t>
      </w:r>
    </w:p>
    <w:p w14:paraId="3D3C46BF">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77B84B34">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77"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77"/>
    </w:p>
    <w:p w14:paraId="7884CD26">
      <w:pPr>
        <w:ind w:firstLine="411" w:firstLineChars="196"/>
        <w:rPr>
          <w:rFonts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261432D4">
      <w:pPr>
        <w:ind w:firstLine="411" w:firstLineChars="196"/>
        <w:rPr>
          <w:rFonts w:ascii="宋体" w:hAnsi="宋体"/>
        </w:rPr>
      </w:pPr>
      <w:r>
        <w:rPr>
          <w:rFonts w:hint="eastAsia" w:ascii="宋体" w:hAnsi="宋体"/>
        </w:rPr>
        <w:t>7.6  工期要求：投标人在投标时对其所投项目应提交交货进度、交货计划等，在合同规定的时间内完成项目实施工作。</w:t>
      </w:r>
    </w:p>
    <w:p w14:paraId="4146CB45">
      <w:pPr>
        <w:ind w:firstLine="411" w:firstLineChars="196"/>
        <w:rPr>
          <w:rFonts w:ascii="宋体" w:hAnsi="宋体"/>
        </w:rPr>
      </w:pPr>
      <w:r>
        <w:rPr>
          <w:rFonts w:hint="eastAsia" w:ascii="宋体" w:hAnsi="宋体"/>
        </w:rPr>
        <w:t>7.7  投标人必须承担的设备运输、安装调试、验收检测和提供设备操作说明书、图纸等其他相关及类似的义务。</w:t>
      </w:r>
    </w:p>
    <w:p w14:paraId="154681CC">
      <w:pPr>
        <w:rPr>
          <w:rFonts w:ascii="黑体" w:hAnsi="宋体" w:eastAsia="黑体"/>
          <w:sz w:val="24"/>
        </w:rPr>
      </w:pPr>
      <w:r>
        <w:rPr>
          <w:rFonts w:hint="eastAsia" w:ascii="黑体" w:hAnsi="宋体" w:eastAsia="黑体"/>
          <w:sz w:val="24"/>
        </w:rPr>
        <w:t>8．投标费用</w:t>
      </w:r>
    </w:p>
    <w:p w14:paraId="341BB071">
      <w:pPr>
        <w:ind w:firstLine="411" w:firstLineChars="196"/>
        <w:rPr>
          <w:rFonts w:ascii="宋体" w:hAnsi="宋体"/>
          <w:szCs w:val="21"/>
        </w:rPr>
      </w:pPr>
      <w:r>
        <w:rPr>
          <w:rFonts w:hint="eastAsia" w:ascii="宋体" w:hAnsi="宋体"/>
          <w:szCs w:val="21"/>
        </w:rPr>
        <w:t>不论投标结果如何，投标人应承担其编制投标文件与递交投标文件所涉及的一切费用。</w:t>
      </w:r>
    </w:p>
    <w:p w14:paraId="2136A5D6">
      <w:pPr>
        <w:rPr>
          <w:rFonts w:ascii="黑体" w:hAnsi="宋体" w:eastAsia="黑体"/>
          <w:sz w:val="24"/>
        </w:rPr>
      </w:pPr>
      <w:r>
        <w:rPr>
          <w:rFonts w:hint="eastAsia" w:ascii="黑体" w:hAnsi="宋体" w:eastAsia="黑体"/>
          <w:sz w:val="24"/>
        </w:rPr>
        <w:t>9．踏勘现场</w:t>
      </w:r>
    </w:p>
    <w:p w14:paraId="2684BE00">
      <w:pPr>
        <w:ind w:firstLine="411" w:firstLineChars="196"/>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0A8C621">
      <w:pPr>
        <w:ind w:firstLine="411" w:firstLineChars="196"/>
        <w:rPr>
          <w:rFonts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14:paraId="5BF362E1">
      <w:pPr>
        <w:ind w:firstLine="411" w:firstLineChars="196"/>
        <w:rPr>
          <w:rFonts w:ascii="宋体" w:hAnsi="宋体"/>
        </w:rPr>
      </w:pPr>
      <w:r>
        <w:rPr>
          <w:rFonts w:hint="eastAsia" w:ascii="宋体" w:hAnsi="宋体"/>
        </w:rPr>
        <w:t>9.3采购人应当通过政府集中采购机构向投标人提供有关现场的书面资料和数据。</w:t>
      </w:r>
    </w:p>
    <w:p w14:paraId="224228FE">
      <w:pPr>
        <w:ind w:firstLine="411" w:firstLineChars="196"/>
        <w:rPr>
          <w:rFonts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14:paraId="6E5DC780">
      <w:pPr>
        <w:ind w:firstLine="411" w:firstLineChars="196"/>
        <w:rPr>
          <w:rFonts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44FAB00A">
      <w:pPr>
        <w:rPr>
          <w:rFonts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14:paraId="28473899">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74BA4E2E">
      <w:pPr>
        <w:ind w:firstLine="411" w:firstLineChars="196"/>
        <w:rPr>
          <w:rFonts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14:paraId="4908BB47">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76"/>
    <w:p w14:paraId="430B283E">
      <w:pPr>
        <w:ind w:firstLine="411" w:firstLineChars="196"/>
        <w:rPr>
          <w:rFonts w:ascii="宋体" w:hAnsi="宋体"/>
        </w:rPr>
      </w:pPr>
    </w:p>
    <w:p w14:paraId="042F39FF">
      <w:pPr>
        <w:pStyle w:val="3"/>
        <w:numPr>
          <w:ilvl w:val="0"/>
          <w:numId w:val="10"/>
        </w:numPr>
        <w:spacing w:before="120" w:beforeLines="50" w:after="120" w:afterLines="50"/>
        <w:ind w:left="562" w:hanging="562"/>
        <w:rPr>
          <w:sz w:val="28"/>
          <w:szCs w:val="28"/>
        </w:rPr>
      </w:pPr>
      <w:r>
        <w:rPr>
          <w:rFonts w:hint="eastAsia"/>
          <w:sz w:val="28"/>
          <w:szCs w:val="28"/>
        </w:rPr>
        <w:t>招标文件</w:t>
      </w:r>
    </w:p>
    <w:p w14:paraId="23839516">
      <w:pPr>
        <w:rPr>
          <w:rFonts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78" w:name="_Hlk72399819"/>
      <w:r>
        <w:rPr>
          <w:rFonts w:hint="eastAsia" w:ascii="黑体" w:hAnsi="宋体" w:eastAsia="黑体"/>
          <w:sz w:val="24"/>
        </w:rPr>
        <w:t>招标文件的编制与组成</w:t>
      </w:r>
    </w:p>
    <w:p w14:paraId="756A0AF8">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2EBF6FE4">
      <w:pPr>
        <w:ind w:firstLine="411" w:firstLineChars="196"/>
        <w:rPr>
          <w:rFonts w:ascii="宋体" w:hAnsi="宋体"/>
          <w:szCs w:val="21"/>
        </w:rPr>
      </w:pPr>
      <w:r>
        <w:rPr>
          <w:rFonts w:hint="eastAsia" w:ascii="宋体" w:hAnsi="宋体"/>
          <w:szCs w:val="21"/>
        </w:rPr>
        <w:t>招标文件包括下列内容：</w:t>
      </w:r>
    </w:p>
    <w:p w14:paraId="202F6FDC">
      <w:pPr>
        <w:ind w:left="420" w:leftChars="200" w:firstLine="413" w:firstLineChars="196"/>
        <w:rPr>
          <w:rFonts w:ascii="宋体" w:hAnsi="宋体"/>
          <w:b/>
          <w:szCs w:val="21"/>
        </w:rPr>
      </w:pPr>
      <w:r>
        <w:rPr>
          <w:rFonts w:hint="eastAsia" w:ascii="宋体" w:hAnsi="宋体"/>
          <w:b/>
          <w:szCs w:val="21"/>
        </w:rPr>
        <w:t>第一册  专用条款</w:t>
      </w:r>
    </w:p>
    <w:p w14:paraId="716B49D2">
      <w:pPr>
        <w:ind w:left="1079" w:leftChars="514"/>
        <w:rPr>
          <w:rFonts w:ascii="宋体" w:hAnsi="宋体"/>
          <w:b/>
          <w:szCs w:val="21"/>
        </w:rPr>
      </w:pPr>
      <w:r>
        <w:rPr>
          <w:rFonts w:hint="eastAsia" w:ascii="宋体" w:hAnsi="宋体"/>
          <w:b/>
          <w:szCs w:val="21"/>
        </w:rPr>
        <w:t>关键信息</w:t>
      </w:r>
    </w:p>
    <w:p w14:paraId="7A1150AF">
      <w:pPr>
        <w:ind w:left="630" w:leftChars="300" w:firstLine="411" w:firstLineChars="196"/>
        <w:rPr>
          <w:rFonts w:ascii="宋体" w:hAnsi="宋体"/>
          <w:szCs w:val="21"/>
        </w:rPr>
      </w:pPr>
      <w:r>
        <w:rPr>
          <w:rFonts w:hint="eastAsia" w:ascii="宋体" w:hAnsi="宋体"/>
          <w:szCs w:val="21"/>
        </w:rPr>
        <w:t>第一章  招标公告</w:t>
      </w:r>
    </w:p>
    <w:p w14:paraId="0CA1D99B">
      <w:pPr>
        <w:ind w:left="630" w:leftChars="300" w:firstLine="411" w:firstLineChars="196"/>
        <w:rPr>
          <w:rFonts w:ascii="宋体" w:hAnsi="宋体"/>
          <w:szCs w:val="21"/>
        </w:rPr>
      </w:pPr>
      <w:r>
        <w:rPr>
          <w:rFonts w:hint="eastAsia" w:ascii="宋体" w:hAnsi="宋体"/>
          <w:szCs w:val="21"/>
        </w:rPr>
        <w:t>第二章  对通用条款的补充内容及其他关键信息</w:t>
      </w:r>
    </w:p>
    <w:p w14:paraId="1966B279">
      <w:pPr>
        <w:ind w:left="630" w:leftChars="300" w:firstLine="411" w:firstLineChars="196"/>
        <w:rPr>
          <w:rFonts w:ascii="宋体" w:hAnsi="宋体"/>
          <w:szCs w:val="21"/>
        </w:rPr>
      </w:pPr>
      <w:r>
        <w:rPr>
          <w:rFonts w:hint="eastAsia" w:ascii="宋体" w:hAnsi="宋体"/>
          <w:szCs w:val="21"/>
        </w:rPr>
        <w:t>第三章  用户需求书</w:t>
      </w:r>
    </w:p>
    <w:p w14:paraId="0FD91DA2">
      <w:pPr>
        <w:ind w:left="630" w:leftChars="300" w:firstLine="411" w:firstLineChars="196"/>
        <w:rPr>
          <w:rFonts w:ascii="宋体" w:hAnsi="宋体"/>
          <w:szCs w:val="21"/>
        </w:rPr>
      </w:pPr>
      <w:r>
        <w:rPr>
          <w:rFonts w:hint="eastAsia"/>
        </w:rPr>
        <w:t xml:space="preserve">第四章 </w:t>
      </w:r>
      <w:r>
        <w:t xml:space="preserve"> </w:t>
      </w:r>
      <w:r>
        <w:rPr>
          <w:rFonts w:hint="eastAsia"/>
        </w:rPr>
        <w:t>投标文件格式及附件</w:t>
      </w:r>
    </w:p>
    <w:p w14:paraId="5E13F171">
      <w:pPr>
        <w:ind w:left="630" w:leftChars="300" w:firstLine="411" w:firstLineChars="196"/>
        <w:rPr>
          <w:rFonts w:ascii="宋体" w:hAnsi="宋体"/>
          <w:szCs w:val="21"/>
        </w:rPr>
      </w:pPr>
      <w:r>
        <w:rPr>
          <w:rFonts w:hint="eastAsia" w:ascii="宋体" w:hAnsi="宋体"/>
          <w:szCs w:val="21"/>
        </w:rPr>
        <w:t>第五章  合同条款及格式</w:t>
      </w:r>
    </w:p>
    <w:p w14:paraId="39CBCD2A">
      <w:pPr>
        <w:ind w:left="420" w:leftChars="200" w:firstLine="413" w:firstLineChars="196"/>
        <w:rPr>
          <w:rFonts w:ascii="宋体" w:hAnsi="宋体"/>
          <w:b/>
          <w:szCs w:val="21"/>
        </w:rPr>
      </w:pPr>
      <w:r>
        <w:rPr>
          <w:rFonts w:hint="eastAsia" w:ascii="宋体" w:hAnsi="宋体"/>
          <w:b/>
          <w:szCs w:val="21"/>
        </w:rPr>
        <w:t>第二册  通用条款</w:t>
      </w:r>
    </w:p>
    <w:p w14:paraId="17BC8DFD">
      <w:pPr>
        <w:ind w:left="630" w:leftChars="300" w:firstLine="411" w:firstLineChars="196"/>
        <w:rPr>
          <w:rFonts w:ascii="宋体" w:hAnsi="宋体"/>
          <w:szCs w:val="21"/>
        </w:rPr>
      </w:pPr>
      <w:r>
        <w:rPr>
          <w:rFonts w:hint="eastAsia" w:ascii="宋体" w:hAnsi="宋体"/>
          <w:szCs w:val="21"/>
        </w:rPr>
        <w:t>第一章  总则</w:t>
      </w:r>
    </w:p>
    <w:p w14:paraId="6B59991E">
      <w:pPr>
        <w:ind w:left="630" w:leftChars="300" w:firstLine="411" w:firstLineChars="196"/>
        <w:rPr>
          <w:rFonts w:ascii="宋体" w:hAnsi="宋体"/>
          <w:szCs w:val="21"/>
        </w:rPr>
      </w:pPr>
      <w:r>
        <w:rPr>
          <w:rFonts w:hint="eastAsia" w:ascii="宋体" w:hAnsi="宋体"/>
          <w:szCs w:val="21"/>
        </w:rPr>
        <w:t>第二章  招标文件</w:t>
      </w:r>
    </w:p>
    <w:p w14:paraId="2A990004">
      <w:pPr>
        <w:ind w:left="630" w:leftChars="300" w:firstLine="411" w:firstLineChars="196"/>
        <w:rPr>
          <w:rFonts w:ascii="宋体" w:hAnsi="宋体"/>
          <w:szCs w:val="21"/>
        </w:rPr>
      </w:pPr>
      <w:r>
        <w:rPr>
          <w:rFonts w:hint="eastAsia" w:ascii="宋体" w:hAnsi="宋体"/>
          <w:szCs w:val="21"/>
        </w:rPr>
        <w:t>第三章  投标文件的编制</w:t>
      </w:r>
    </w:p>
    <w:p w14:paraId="1BED0974">
      <w:pPr>
        <w:ind w:left="630" w:leftChars="300" w:firstLine="411" w:firstLineChars="196"/>
        <w:rPr>
          <w:rFonts w:ascii="宋体" w:hAnsi="宋体"/>
          <w:szCs w:val="21"/>
        </w:rPr>
      </w:pPr>
      <w:r>
        <w:rPr>
          <w:rFonts w:hint="eastAsia" w:ascii="宋体" w:hAnsi="宋体"/>
          <w:szCs w:val="21"/>
        </w:rPr>
        <w:t>第四章  投标文件的递交</w:t>
      </w:r>
    </w:p>
    <w:p w14:paraId="52217B1A">
      <w:pPr>
        <w:ind w:left="630" w:leftChars="300" w:firstLine="411" w:firstLineChars="196"/>
        <w:rPr>
          <w:rFonts w:ascii="宋体" w:hAnsi="宋体"/>
          <w:szCs w:val="21"/>
        </w:rPr>
      </w:pPr>
      <w:r>
        <w:rPr>
          <w:rFonts w:hint="eastAsia" w:ascii="宋体" w:hAnsi="宋体"/>
          <w:szCs w:val="21"/>
        </w:rPr>
        <w:t>第五章  开标</w:t>
      </w:r>
    </w:p>
    <w:p w14:paraId="479669C2">
      <w:pPr>
        <w:ind w:left="630" w:leftChars="300" w:firstLine="411" w:firstLineChars="196"/>
        <w:rPr>
          <w:rFonts w:ascii="宋体" w:hAnsi="宋体"/>
          <w:szCs w:val="21"/>
        </w:rPr>
      </w:pPr>
      <w:r>
        <w:rPr>
          <w:rFonts w:hint="eastAsia" w:ascii="宋体" w:hAnsi="宋体"/>
          <w:szCs w:val="21"/>
        </w:rPr>
        <w:t>第六章  评审要求</w:t>
      </w:r>
    </w:p>
    <w:p w14:paraId="0D8E2225">
      <w:pPr>
        <w:ind w:left="630" w:leftChars="300" w:firstLine="411" w:firstLineChars="196"/>
        <w:rPr>
          <w:rFonts w:ascii="宋体" w:hAnsi="宋体"/>
          <w:szCs w:val="21"/>
        </w:rPr>
      </w:pPr>
      <w:r>
        <w:rPr>
          <w:rFonts w:hint="eastAsia" w:ascii="宋体" w:hAnsi="宋体"/>
          <w:szCs w:val="21"/>
        </w:rPr>
        <w:t>第七章  评审程序及评审方法</w:t>
      </w:r>
    </w:p>
    <w:p w14:paraId="0E264B46">
      <w:pPr>
        <w:ind w:left="630" w:leftChars="300" w:firstLine="411" w:firstLineChars="196"/>
        <w:rPr>
          <w:rFonts w:ascii="宋体" w:hAnsi="宋体"/>
          <w:szCs w:val="21"/>
        </w:rPr>
      </w:pPr>
      <w:r>
        <w:rPr>
          <w:rFonts w:hint="eastAsia" w:ascii="宋体" w:hAnsi="宋体"/>
          <w:szCs w:val="21"/>
        </w:rPr>
        <w:t>第八章  定标及公示</w:t>
      </w:r>
    </w:p>
    <w:p w14:paraId="75C1434F">
      <w:pPr>
        <w:ind w:left="630" w:leftChars="300" w:firstLine="411" w:firstLineChars="196"/>
        <w:rPr>
          <w:rFonts w:ascii="宋体" w:hAnsi="宋体"/>
          <w:szCs w:val="21"/>
        </w:rPr>
      </w:pPr>
      <w:r>
        <w:rPr>
          <w:rFonts w:hint="eastAsia" w:ascii="宋体" w:hAnsi="宋体"/>
          <w:szCs w:val="21"/>
        </w:rPr>
        <w:t>第九章  公开招标失败的后续处理</w:t>
      </w:r>
    </w:p>
    <w:p w14:paraId="32D8305C">
      <w:pPr>
        <w:ind w:left="630" w:leftChars="300" w:firstLine="411" w:firstLineChars="196"/>
        <w:rPr>
          <w:rFonts w:ascii="宋体" w:hAnsi="宋体"/>
          <w:szCs w:val="21"/>
        </w:rPr>
      </w:pPr>
      <w:r>
        <w:rPr>
          <w:rFonts w:hint="eastAsia" w:ascii="宋体" w:hAnsi="宋体"/>
          <w:szCs w:val="21"/>
        </w:rPr>
        <w:t>第十章  合同的授予与备案</w:t>
      </w:r>
    </w:p>
    <w:p w14:paraId="7A65AD0B">
      <w:pPr>
        <w:ind w:left="630" w:leftChars="300" w:firstLine="411" w:firstLineChars="196"/>
        <w:rPr>
          <w:rFonts w:ascii="宋体" w:hAnsi="宋体"/>
          <w:szCs w:val="21"/>
        </w:rPr>
      </w:pPr>
      <w:r>
        <w:rPr>
          <w:rFonts w:hint="eastAsia" w:ascii="宋体" w:hAnsi="宋体"/>
          <w:szCs w:val="21"/>
        </w:rPr>
        <w:t>第十一章  质疑处理</w:t>
      </w:r>
    </w:p>
    <w:p w14:paraId="513AA129">
      <w:pPr>
        <w:ind w:firstLine="411" w:firstLineChars="196"/>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34ECEEF3">
      <w:pPr>
        <w:ind w:firstLine="411" w:firstLineChars="196"/>
        <w:rPr>
          <w:rFonts w:ascii="宋体" w:hAnsi="宋体"/>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20BB9FE8">
      <w:pPr>
        <w:ind w:firstLine="411" w:firstLineChars="196"/>
        <w:rPr>
          <w:rFonts w:ascii="宋体" w:hAnsi="宋体"/>
          <w:szCs w:val="21"/>
        </w:rPr>
      </w:pPr>
      <w:r>
        <w:rPr>
          <w:rFonts w:hint="eastAsia" w:ascii="宋体" w:hAnsi="宋体"/>
          <w:szCs w:val="21"/>
        </w:rPr>
        <w:t>11.4招标文件所称“原件备查”，是指在项目产生质疑、投诉等阶段，主管部门、采购人、代理机构、评审委员会等可以要求供应商提供原件进行核查。</w:t>
      </w:r>
    </w:p>
    <w:p w14:paraId="5A6D548B">
      <w:pPr>
        <w:rPr>
          <w:rFonts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14:paraId="1BF1FCD5">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274AB3DD">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14:paraId="4CA4BDB4">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791DFC12">
      <w:pPr>
        <w:rPr>
          <w:rFonts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71951357">
      <w:pPr>
        <w:ind w:firstLine="411" w:firstLineChars="196"/>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1C5C3ABC">
      <w:pPr>
        <w:ind w:firstLine="411" w:firstLineChars="196"/>
        <w:rPr>
          <w:rFonts w:ascii="宋体" w:hAnsi="宋体"/>
          <w:szCs w:val="21"/>
        </w:rPr>
      </w:pPr>
      <w:r>
        <w:rPr>
          <w:rFonts w:ascii="宋体" w:hAnsi="宋体"/>
          <w:szCs w:val="21"/>
        </w:rPr>
        <w:t>1</w:t>
      </w:r>
      <w:r>
        <w:rPr>
          <w:rFonts w:hint="eastAsia" w:ascii="宋体" w:hAnsi="宋体"/>
          <w:szCs w:val="21"/>
        </w:rPr>
        <w:t>3.2招标文件的修改以书面形式（包括网站发布方式，如更正公告等）发送给所有投标人，招标文件的修改内容作为招标文件的组成部分，并具有约束力。</w:t>
      </w:r>
    </w:p>
    <w:p w14:paraId="3E4725BA">
      <w:pPr>
        <w:ind w:firstLine="411" w:firstLineChars="196"/>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1991A2F1">
      <w:pPr>
        <w:ind w:firstLine="411" w:firstLineChars="196"/>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网站发布方式，如更正公告等）发送给所有投标人。为使投标人在编制投标文件时有充分时间对招标文件的修改部分进行研究，政府集中采购机构可以酌情延长递交投标文件的截止日期。</w:t>
      </w:r>
      <w:bookmarkEnd w:id="78"/>
    </w:p>
    <w:p w14:paraId="13F18030">
      <w:pPr>
        <w:rPr>
          <w:rFonts w:ascii="宋体" w:hAnsi="宋体"/>
          <w:szCs w:val="21"/>
        </w:rPr>
      </w:pPr>
    </w:p>
    <w:p w14:paraId="08C61337">
      <w:pPr>
        <w:pStyle w:val="3"/>
        <w:numPr>
          <w:ilvl w:val="0"/>
          <w:numId w:val="10"/>
        </w:numPr>
        <w:spacing w:before="120" w:beforeLines="50" w:after="120" w:afterLines="50"/>
        <w:ind w:left="562" w:hanging="562"/>
        <w:rPr>
          <w:sz w:val="28"/>
          <w:szCs w:val="28"/>
        </w:rPr>
      </w:pPr>
      <w:r>
        <w:rPr>
          <w:rFonts w:hint="eastAsia"/>
          <w:sz w:val="28"/>
          <w:szCs w:val="28"/>
        </w:rPr>
        <w:t>投标文件的编制</w:t>
      </w:r>
    </w:p>
    <w:p w14:paraId="1725330A">
      <w:pPr>
        <w:rPr>
          <w:rFonts w:ascii="黑体" w:hAnsi="宋体" w:eastAsia="黑体"/>
          <w:sz w:val="24"/>
        </w:rPr>
      </w:pPr>
      <w:r>
        <w:rPr>
          <w:rFonts w:hint="eastAsia" w:ascii="黑体" w:hAnsi="宋体" w:eastAsia="黑体"/>
          <w:sz w:val="24"/>
        </w:rPr>
        <w:t>14．</w:t>
      </w:r>
      <w:bookmarkStart w:id="79" w:name="_Hlk72400236"/>
      <w:r>
        <w:rPr>
          <w:rFonts w:hint="eastAsia" w:ascii="黑体" w:hAnsi="宋体" w:eastAsia="黑体"/>
          <w:sz w:val="24"/>
        </w:rPr>
        <w:t>投标文件的语言及度量单位</w:t>
      </w:r>
    </w:p>
    <w:p w14:paraId="3C79EB99">
      <w:pPr>
        <w:ind w:firstLine="411" w:firstLineChars="196"/>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w:t>
      </w:r>
      <w:r>
        <w:rPr>
          <w:rFonts w:hint="eastAsia" w:ascii="宋体" w:hAnsi="宋体"/>
          <w:szCs w:val="21"/>
          <w:lang w:eastAsia="zh-CN"/>
        </w:rPr>
        <w:t>其他语言</w:t>
      </w:r>
      <w:r>
        <w:rPr>
          <w:rFonts w:hint="eastAsia" w:ascii="宋体" w:hAnsi="宋体"/>
          <w:szCs w:val="21"/>
        </w:rPr>
        <w:t>，但必须附中文译文。翻译的中文资料与外文资料如果出现差异时，以中文为准。</w:t>
      </w:r>
    </w:p>
    <w:p w14:paraId="16024CDE">
      <w:pPr>
        <w:ind w:firstLine="411" w:firstLineChars="196"/>
        <w:rPr>
          <w:rFonts w:ascii="宋体" w:hAnsi="宋体"/>
          <w:szCs w:val="21"/>
        </w:rPr>
      </w:pPr>
      <w:r>
        <w:rPr>
          <w:rFonts w:hint="eastAsia" w:ascii="宋体" w:hAnsi="宋体"/>
          <w:szCs w:val="21"/>
        </w:rPr>
        <w:t>14.2 除技术规范另有规定外，投标文件使用的度量单位，均采用中华人民共和国法定计量单位。</w:t>
      </w:r>
    </w:p>
    <w:bookmarkEnd w:id="79"/>
    <w:p w14:paraId="3A9F3A44">
      <w:pPr>
        <w:rPr>
          <w:rFonts w:ascii="黑体" w:hAnsi="宋体" w:eastAsia="黑体"/>
          <w:sz w:val="24"/>
        </w:rPr>
      </w:pPr>
      <w:r>
        <w:rPr>
          <w:rFonts w:hint="eastAsia" w:ascii="黑体" w:hAnsi="宋体" w:eastAsia="黑体"/>
          <w:sz w:val="24"/>
        </w:rPr>
        <w:t>15．</w:t>
      </w:r>
      <w:bookmarkStart w:id="80" w:name="_Hlk72401567"/>
      <w:r>
        <w:rPr>
          <w:rFonts w:hint="eastAsia" w:ascii="黑体" w:hAnsi="宋体" w:eastAsia="黑体"/>
          <w:sz w:val="24"/>
        </w:rPr>
        <w:t>投标文件的组成</w:t>
      </w:r>
    </w:p>
    <w:p w14:paraId="34201F3F">
      <w:pPr>
        <w:ind w:firstLine="411" w:firstLineChars="196"/>
        <w:rPr>
          <w:rFonts w:ascii="宋体" w:hAnsi="宋体"/>
          <w:szCs w:val="21"/>
        </w:rPr>
      </w:pPr>
      <w:r>
        <w:rPr>
          <w:rFonts w:hint="eastAsia" w:ascii="宋体" w:hAnsi="宋体"/>
          <w:szCs w:val="21"/>
        </w:rPr>
        <w:t>具体内容在招标文件专用条款中进行规定。</w:t>
      </w:r>
    </w:p>
    <w:p w14:paraId="7C60D515">
      <w:pPr>
        <w:rPr>
          <w:rFonts w:ascii="黑体" w:hAnsi="宋体" w:eastAsia="黑体"/>
          <w:sz w:val="24"/>
        </w:rPr>
      </w:pPr>
      <w:r>
        <w:rPr>
          <w:rFonts w:ascii="黑体" w:hAnsi="宋体" w:eastAsia="黑体"/>
          <w:sz w:val="24"/>
        </w:rPr>
        <w:t>16．投标文件格式</w:t>
      </w:r>
    </w:p>
    <w:p w14:paraId="4DB4208C">
      <w:pPr>
        <w:ind w:firstLine="411" w:firstLineChars="196"/>
        <w:rPr>
          <w:rFonts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766F10CA">
      <w:pPr>
        <w:rPr>
          <w:rFonts w:ascii="黑体" w:hAnsi="宋体" w:eastAsia="黑体"/>
          <w:sz w:val="24"/>
        </w:rPr>
      </w:pPr>
      <w:r>
        <w:rPr>
          <w:rFonts w:hint="eastAsia" w:ascii="黑体" w:hAnsi="宋体" w:eastAsia="黑体"/>
          <w:sz w:val="24"/>
        </w:rPr>
        <w:t>17．投标货币</w:t>
      </w:r>
    </w:p>
    <w:p w14:paraId="191C7739">
      <w:pPr>
        <w:ind w:firstLine="411" w:firstLineChars="196"/>
        <w:rPr>
          <w:rFonts w:ascii="宋体" w:hAnsi="宋体"/>
          <w:szCs w:val="21"/>
        </w:rPr>
      </w:pPr>
      <w:r>
        <w:rPr>
          <w:rFonts w:hint="eastAsia" w:ascii="宋体" w:hAnsi="宋体"/>
          <w:szCs w:val="21"/>
        </w:rPr>
        <w:t>本项目的投标报价应以人民币计。</w:t>
      </w:r>
    </w:p>
    <w:bookmarkEnd w:id="80"/>
    <w:p w14:paraId="1F8FF9B8">
      <w:pPr>
        <w:rPr>
          <w:rFonts w:ascii="黑体" w:hAnsi="宋体" w:eastAsia="黑体"/>
          <w:sz w:val="24"/>
        </w:rPr>
      </w:pPr>
      <w:r>
        <w:rPr>
          <w:rFonts w:hint="eastAsia" w:ascii="黑体" w:hAnsi="宋体" w:eastAsia="黑体"/>
          <w:sz w:val="24"/>
        </w:rPr>
        <w:t>18．</w:t>
      </w:r>
      <w:bookmarkStart w:id="81" w:name="_Hlk72401735"/>
      <w:r>
        <w:rPr>
          <w:rFonts w:hint="eastAsia" w:ascii="黑体" w:hAnsi="宋体" w:eastAsia="黑体"/>
          <w:sz w:val="24"/>
        </w:rPr>
        <w:t>证明投标文件投标技术方案的合格性和符合招标文件规定的文件要求</w:t>
      </w:r>
    </w:p>
    <w:p w14:paraId="626EB12D">
      <w:pPr>
        <w:ind w:firstLine="411" w:firstLineChars="196"/>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246F075E">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006D8636">
      <w:pPr>
        <w:ind w:firstLine="411" w:firstLineChars="196"/>
        <w:rPr>
          <w:rFonts w:ascii="宋体" w:hAnsi="宋体"/>
          <w:szCs w:val="21"/>
        </w:rPr>
      </w:pPr>
      <w:r>
        <w:rPr>
          <w:rFonts w:hint="eastAsia" w:ascii="宋体" w:hAnsi="宋体"/>
          <w:szCs w:val="21"/>
        </w:rPr>
        <w:t>18.2.1主要技术指标和性能的详细说明。</w:t>
      </w:r>
    </w:p>
    <w:p w14:paraId="3DF2F410">
      <w:pPr>
        <w:ind w:firstLine="411" w:firstLineChars="196"/>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170BE84F">
      <w:pPr>
        <w:ind w:firstLine="411" w:firstLineChars="196"/>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553C13BC">
      <w:pPr>
        <w:ind w:firstLine="411" w:firstLineChars="196"/>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6E2C0243">
      <w:pPr>
        <w:ind w:firstLine="411" w:firstLineChars="196"/>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58DF0FBD">
      <w:pPr>
        <w:ind w:firstLine="411" w:firstLineChars="196"/>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5337A6EA">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7BB5B004">
      <w:pPr>
        <w:ind w:firstLine="411" w:firstLineChars="196"/>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81"/>
    <w:p w14:paraId="13151356">
      <w:pPr>
        <w:rPr>
          <w:rFonts w:ascii="黑体" w:hAnsi="宋体" w:eastAsia="黑体"/>
          <w:sz w:val="24"/>
        </w:rPr>
      </w:pPr>
      <w:r>
        <w:rPr>
          <w:rFonts w:hint="eastAsia" w:ascii="黑体" w:hAnsi="宋体" w:eastAsia="黑体"/>
          <w:sz w:val="24"/>
        </w:rPr>
        <w:t>19．</w:t>
      </w:r>
      <w:bookmarkStart w:id="82" w:name="_Hlk72402034"/>
      <w:r>
        <w:rPr>
          <w:rFonts w:hint="eastAsia" w:ascii="黑体" w:hAnsi="宋体" w:eastAsia="黑体"/>
          <w:sz w:val="24"/>
        </w:rPr>
        <w:t>投标文件其他证明文件的要求</w:t>
      </w:r>
    </w:p>
    <w:p w14:paraId="500BF55A">
      <w:pPr>
        <w:rPr>
          <w:rFonts w:ascii="宋体" w:hAnsi="宋体"/>
          <w:color w:val="FF0000"/>
          <w:szCs w:val="21"/>
        </w:rPr>
      </w:pPr>
      <w:r>
        <w:rPr>
          <w:rFonts w:hint="eastAsia" w:ascii="黑体" w:hAnsi="宋体" w:eastAsia="黑体"/>
          <w:sz w:val="24"/>
        </w:rPr>
        <w:t xml:space="preserve">    </w:t>
      </w: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83" w:name="_Hlk71407299"/>
      <w:r>
        <w:rPr>
          <w:rFonts w:hint="eastAsia" w:ascii="宋体" w:hAnsi="宋体"/>
          <w:szCs w:val="21"/>
        </w:rPr>
        <w:t>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83"/>
    <w:p w14:paraId="6B57BC6E">
      <w:pPr>
        <w:ind w:firstLine="411" w:firstLineChars="196"/>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w:t>
      </w:r>
      <w:r>
        <w:rPr>
          <w:rFonts w:hint="eastAsia" w:ascii="宋体" w:hAnsi="宋体"/>
          <w:szCs w:val="21"/>
          <w:lang w:eastAsia="zh-CN"/>
        </w:rPr>
        <w:t>围内</w:t>
      </w:r>
      <w:r>
        <w:rPr>
          <w:rFonts w:hint="eastAsia" w:ascii="宋体" w:hAnsi="宋体"/>
          <w:szCs w:val="21"/>
        </w:rPr>
        <w:t>不需提供的，供应商应做书面说明并提供证明文件，否则该证书无效），则该投标人提供年审证明的可按原资质（资格）投标；若投标人正在申报上一级别资质（资格），在未获批准之前，仍按原级别资质（资格）投标。</w:t>
      </w:r>
    </w:p>
    <w:p w14:paraId="6ABA9391">
      <w:pPr>
        <w:rPr>
          <w:rFonts w:ascii="黑体" w:hAnsi="宋体" w:eastAsia="黑体"/>
          <w:sz w:val="24"/>
        </w:rPr>
      </w:pPr>
      <w:r>
        <w:rPr>
          <w:rFonts w:hint="eastAsia" w:ascii="黑体" w:hAnsi="宋体" w:eastAsia="黑体"/>
          <w:sz w:val="24"/>
        </w:rPr>
        <w:t>20．投标有效期</w:t>
      </w:r>
    </w:p>
    <w:bookmarkEnd w:id="82"/>
    <w:p w14:paraId="13B7E293">
      <w:pPr>
        <w:ind w:firstLine="411" w:firstLineChars="196"/>
        <w:rPr>
          <w:rFonts w:ascii="宋体" w:hAnsi="宋体"/>
          <w:szCs w:val="21"/>
        </w:rPr>
      </w:pPr>
      <w:bookmarkStart w:id="84"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296EE518">
      <w:pPr>
        <w:ind w:firstLine="411" w:firstLineChars="196"/>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7F8ADF82">
      <w:pPr>
        <w:ind w:firstLine="411" w:firstLineChars="196"/>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84"/>
    <w:p w14:paraId="4127FD41">
      <w:pPr>
        <w:rPr>
          <w:rFonts w:ascii="黑体" w:hAnsi="宋体" w:eastAsia="黑体"/>
          <w:sz w:val="24"/>
        </w:rPr>
      </w:pPr>
      <w:r>
        <w:rPr>
          <w:rFonts w:hint="eastAsia" w:ascii="黑体" w:hAnsi="宋体" w:eastAsia="黑体"/>
          <w:sz w:val="24"/>
        </w:rPr>
        <w:t>21．</w:t>
      </w:r>
      <w:bookmarkStart w:id="85" w:name="_Hlk72402325"/>
      <w:r>
        <w:rPr>
          <w:rFonts w:hint="eastAsia" w:ascii="黑体" w:hAnsi="宋体" w:eastAsia="黑体"/>
          <w:sz w:val="24"/>
        </w:rPr>
        <w:t xml:space="preserve">关于投标保证金 </w:t>
      </w:r>
    </w:p>
    <w:p w14:paraId="4B5D0529">
      <w:pPr>
        <w:rPr>
          <w:rFonts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根据《深圳市财政局关于调整政府采购投标（响应）保证金管理政策的通知》（深财购〔2021〕51号）文的规定，本项目不收取投标保证金。</w:t>
      </w:r>
    </w:p>
    <w:p w14:paraId="0A4C0BC0">
      <w:pPr>
        <w:rPr>
          <w:rFonts w:ascii="黑体" w:hAnsi="宋体" w:eastAsia="黑体"/>
          <w:sz w:val="24"/>
        </w:rPr>
      </w:pPr>
      <w:r>
        <w:rPr>
          <w:rFonts w:hint="eastAsia" w:ascii="黑体" w:hAnsi="宋体" w:eastAsia="黑体"/>
          <w:sz w:val="24"/>
        </w:rPr>
        <w:t>22．投标人的替代方案</w:t>
      </w:r>
    </w:p>
    <w:p w14:paraId="6DCAAA2C">
      <w:pPr>
        <w:ind w:firstLine="411" w:firstLineChars="196"/>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2D70964F">
      <w:pPr>
        <w:ind w:firstLine="411" w:firstLineChars="196"/>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w:t>
      </w:r>
      <w:r>
        <w:rPr>
          <w:rFonts w:hint="eastAsia" w:ascii="宋体" w:hAnsi="宋体"/>
          <w:szCs w:val="21"/>
          <w:lang w:eastAsia="zh-CN"/>
        </w:rPr>
        <w:t>其他</w:t>
      </w:r>
      <w:r>
        <w:rPr>
          <w:rFonts w:hint="eastAsia" w:ascii="宋体" w:hAnsi="宋体"/>
          <w:szCs w:val="21"/>
        </w:rPr>
        <w:t>详细资料。</w:t>
      </w:r>
    </w:p>
    <w:bookmarkEnd w:id="85"/>
    <w:p w14:paraId="3871754B">
      <w:pPr>
        <w:rPr>
          <w:rFonts w:ascii="黑体" w:hAnsi="宋体" w:eastAsia="黑体"/>
          <w:sz w:val="24"/>
        </w:rPr>
      </w:pPr>
      <w:r>
        <w:rPr>
          <w:rFonts w:hint="eastAsia" w:ascii="黑体" w:hAnsi="宋体" w:eastAsia="黑体"/>
          <w:sz w:val="24"/>
        </w:rPr>
        <w:t>23．</w:t>
      </w:r>
      <w:bookmarkStart w:id="86"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4D328F62">
      <w:pPr>
        <w:ind w:firstLine="411" w:firstLineChars="196"/>
        <w:rPr>
          <w:rFonts w:ascii="宋体" w:hAnsi="宋体"/>
        </w:rPr>
      </w:pPr>
      <w:r>
        <w:rPr>
          <w:rFonts w:hint="eastAsia" w:ascii="宋体" w:hAnsi="宋体"/>
        </w:rPr>
        <w:t>23.1投标人应准备所投项目的电子投标文件一份。此电子投标文件须由投标人根据政府集中采购机构提供的后缀名为.TYZB的电子招标文件，下载并使用相应的</w:t>
      </w:r>
      <w:r>
        <w:rPr>
          <w:rFonts w:hint="eastAsia" w:ascii="宋体" w:hAnsi="宋体"/>
          <w:szCs w:val="21"/>
        </w:rPr>
        <w:t>深圳市自行采购系统</w:t>
      </w:r>
      <w:r>
        <w:rPr>
          <w:rFonts w:hint="eastAsia" w:ascii="宋体" w:hAnsi="宋体"/>
        </w:rPr>
        <w:t>投标文件制作专用软件打开招标文件（.TYZB格式）【下载地址：https://www.szggzy.com/jyfw/list.html?id=jyfwzfcg】。</w:t>
      </w:r>
    </w:p>
    <w:p w14:paraId="61826B0F">
      <w:pPr>
        <w:ind w:firstLine="411" w:firstLineChars="196"/>
        <w:rPr>
          <w:rFonts w:ascii="宋体" w:hAnsi="宋体"/>
        </w:rPr>
      </w:pPr>
      <w:r>
        <w:rPr>
          <w:rFonts w:hint="eastAsia" w:ascii="宋体" w:hAnsi="宋体"/>
        </w:rPr>
        <w:t>23.2投标人在使用《投标书编制软件》编制投标书时须注意：</w:t>
      </w:r>
    </w:p>
    <w:p w14:paraId="52DED316">
      <w:pPr>
        <w:ind w:firstLine="411" w:firstLineChars="196"/>
        <w:rPr>
          <w:rFonts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14:paraId="57340DE7">
      <w:pPr>
        <w:ind w:firstLine="411" w:firstLineChars="196"/>
        <w:rPr>
          <w:rFonts w:ascii="宋体" w:hAnsi="宋体"/>
        </w:rPr>
      </w:pPr>
      <w:r>
        <w:rPr>
          <w:rFonts w:hint="eastAsia" w:ascii="宋体" w:hAnsi="宋体"/>
        </w:rPr>
        <w:t>23.2.2不能用非本公司的电子密钥加密本公司的投标文件，或者用</w:t>
      </w:r>
      <w:r>
        <w:rPr>
          <w:rFonts w:hint="eastAsia" w:ascii="宋体" w:hAnsi="宋体"/>
          <w:lang w:eastAsia="zh-CN"/>
        </w:rPr>
        <w:t>其他公司的</w:t>
      </w:r>
      <w:r>
        <w:rPr>
          <w:rFonts w:hint="eastAsia" w:ascii="宋体" w:hAnsi="宋体"/>
        </w:rPr>
        <w:t>登录用户上传本公司的投标文件。</w:t>
      </w:r>
    </w:p>
    <w:p w14:paraId="487CB37C">
      <w:pPr>
        <w:ind w:firstLine="411" w:firstLineChars="196"/>
        <w:rPr>
          <w:rFonts w:ascii="宋体" w:hAnsi="宋体"/>
        </w:rPr>
      </w:pPr>
      <w:r>
        <w:rPr>
          <w:rFonts w:hint="eastAsia" w:ascii="宋体" w:hAnsi="宋体"/>
        </w:rPr>
        <w:t>23.2.3要求用《投标书编制软件》编制投标书的包，不能</w:t>
      </w:r>
      <w:r>
        <w:rPr>
          <w:rFonts w:hint="eastAsia" w:ascii="宋体" w:hAnsi="宋体"/>
          <w:lang w:eastAsia="zh-CN"/>
        </w:rPr>
        <w:t>用其他方式</w:t>
      </w:r>
      <w:r>
        <w:rPr>
          <w:rFonts w:hint="eastAsia" w:ascii="宋体" w:hAnsi="宋体"/>
        </w:rPr>
        <w:t>编制投标书。编制投标文件时，电脑须连通互联网。</w:t>
      </w:r>
    </w:p>
    <w:p w14:paraId="78A1661E">
      <w:pPr>
        <w:ind w:firstLine="411" w:firstLineChars="196"/>
        <w:rPr>
          <w:rFonts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14:paraId="64850944">
      <w:pPr>
        <w:ind w:firstLine="411" w:firstLineChars="196"/>
        <w:rPr>
          <w:rFonts w:ascii="宋体" w:hAnsi="宋体"/>
          <w:b/>
        </w:rPr>
      </w:pPr>
      <w:r>
        <w:rPr>
          <w:rFonts w:hint="eastAsia" w:ascii="宋体" w:hAnsi="宋体"/>
        </w:rPr>
        <w:t>23.2.5</w:t>
      </w:r>
      <w:r>
        <w:rPr>
          <w:rFonts w:hint="eastAsia" w:ascii="宋体" w:hAnsi="宋体"/>
          <w:b/>
        </w:rPr>
        <w:t>“开标一览表”中的“投标报价”将作为价格分计算依据；</w:t>
      </w:r>
      <w:r>
        <w:rPr>
          <w:rFonts w:hint="eastAsia" w:ascii="宋体" w:hAnsi="宋体"/>
          <w:b/>
          <w:lang w:eastAsia="zh-CN"/>
        </w:rPr>
        <w:t>其他</w:t>
      </w:r>
      <w:r>
        <w:rPr>
          <w:rFonts w:hint="eastAsia" w:ascii="宋体" w:hAnsi="宋体"/>
          <w:b/>
        </w:rPr>
        <w:t>信息仅是对投标文件相关内容的概括性表述，不作为评审依据。</w:t>
      </w:r>
    </w:p>
    <w:p w14:paraId="2AAE31CB">
      <w:pPr>
        <w:ind w:firstLine="411" w:firstLineChars="196"/>
        <w:rPr>
          <w:rFonts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14:paraId="08C0701E">
      <w:pPr>
        <w:ind w:firstLine="411" w:firstLineChars="196"/>
        <w:rPr>
          <w:rFonts w:ascii="宋体" w:hAnsi="宋体"/>
        </w:rPr>
      </w:pPr>
      <w:r>
        <w:rPr>
          <w:rFonts w:hint="eastAsia" w:ascii="宋体" w:hAnsi="宋体"/>
        </w:rPr>
        <w:t>23.2.7投标文件编写完成后，</w:t>
      </w:r>
      <w:r>
        <w:rPr>
          <w:rFonts w:hint="eastAsia" w:ascii="宋体" w:hAnsi="宋体"/>
          <w:b/>
        </w:rPr>
        <w:t>可选择用属于投标人的电子密钥或电子营业执照进行加密。</w:t>
      </w:r>
    </w:p>
    <w:p w14:paraId="18892DEF">
      <w:pPr>
        <w:ind w:firstLine="411" w:firstLineChars="196"/>
        <w:rPr>
          <w:rFonts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14:paraId="412EAD47">
      <w:pPr>
        <w:ind w:firstLine="411" w:firstLineChars="196"/>
        <w:rPr>
          <w:rFonts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14:paraId="50EEA1DF">
      <w:pPr>
        <w:ind w:firstLine="411" w:firstLineChars="196"/>
        <w:rPr>
          <w:rFonts w:ascii="宋体" w:hAnsi="宋体"/>
        </w:rPr>
      </w:pPr>
      <w:r>
        <w:rPr>
          <w:rFonts w:hint="eastAsia" w:ascii="宋体" w:hAnsi="宋体"/>
        </w:rPr>
        <w:t>23.3电报、电话、传真形式的投标概不接受。</w:t>
      </w:r>
    </w:p>
    <w:p w14:paraId="5F552658">
      <w:pPr>
        <w:ind w:firstLine="413" w:firstLineChars="196"/>
        <w:rPr>
          <w:rFonts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14:paraId="2441DB8F">
      <w:pPr>
        <w:ind w:firstLine="413" w:firstLineChars="196"/>
        <w:rPr>
          <w:rFonts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86"/>
    </w:p>
    <w:p w14:paraId="246617E0">
      <w:pPr>
        <w:ind w:firstLine="411" w:firstLineChars="196"/>
        <w:rPr>
          <w:rFonts w:ascii="宋体" w:hAnsi="宋体"/>
          <w:szCs w:val="21"/>
        </w:rPr>
      </w:pPr>
    </w:p>
    <w:p w14:paraId="730D4BEE">
      <w:pPr>
        <w:pStyle w:val="3"/>
        <w:numPr>
          <w:ilvl w:val="0"/>
          <w:numId w:val="10"/>
        </w:numPr>
        <w:spacing w:before="120" w:beforeLines="50" w:after="120" w:afterLines="50"/>
        <w:ind w:left="562" w:hanging="562"/>
        <w:rPr>
          <w:sz w:val="28"/>
          <w:szCs w:val="28"/>
        </w:rPr>
      </w:pPr>
      <w:r>
        <w:rPr>
          <w:rFonts w:hint="eastAsia"/>
          <w:sz w:val="28"/>
          <w:szCs w:val="28"/>
        </w:rPr>
        <w:t>投标文件的递交</w:t>
      </w:r>
    </w:p>
    <w:p w14:paraId="048591B9">
      <w:pPr>
        <w:rPr>
          <w:rFonts w:ascii="黑体" w:hAnsi="宋体" w:eastAsia="黑体"/>
          <w:sz w:val="24"/>
        </w:rPr>
      </w:pPr>
      <w:bookmarkStart w:id="87" w:name="_Hlk72405459"/>
      <w:r>
        <w:rPr>
          <w:rFonts w:hint="eastAsia" w:ascii="黑体" w:hAnsi="宋体" w:eastAsia="黑体"/>
          <w:sz w:val="24"/>
        </w:rPr>
        <w:t>24．投标文件的保密</w:t>
      </w:r>
    </w:p>
    <w:p w14:paraId="344D142B">
      <w:pPr>
        <w:widowControl/>
        <w:ind w:firstLine="411" w:firstLineChars="196"/>
        <w:jc w:val="left"/>
        <w:rPr>
          <w:color w:val="FF0000"/>
        </w:rPr>
      </w:pPr>
      <w:r>
        <w:rPr>
          <w:rFonts w:hint="eastAsia" w:ascii="宋体" w:hAnsi="宋体"/>
        </w:rPr>
        <w:t>24.1</w:t>
      </w:r>
      <w:r>
        <w:rPr>
          <w:rFonts w:hint="eastAsia"/>
          <w:color w:val="FF0000"/>
        </w:rPr>
        <w:t>投标文件生成后会选择是否加密投标文件，如不加密则直接点击生成文件即可，如需加密请插入CA锁，点击加密后生成文件，需输入CA锁密码即可加密成功。</w:t>
      </w:r>
    </w:p>
    <w:p w14:paraId="559B39AF">
      <w:pPr>
        <w:spacing w:line="360" w:lineRule="auto"/>
      </w:pPr>
      <w:r>
        <w:rPr>
          <w:rFonts w:hint="eastAsia"/>
        </w:rPr>
        <w:drawing>
          <wp:inline distT="0" distB="0" distL="114300" distR="114300">
            <wp:extent cx="5266690" cy="2126615"/>
            <wp:effectExtent l="0" t="0" r="3810" b="6985"/>
            <wp:docPr id="14" name="图片 14" descr="企业微信截图_1699261725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企业微信截图_16992617251837"/>
                    <pic:cNvPicPr>
                      <a:picLocks noChangeAspect="1"/>
                    </pic:cNvPicPr>
                  </pic:nvPicPr>
                  <pic:blipFill>
                    <a:blip r:embed="rId13"/>
                    <a:stretch>
                      <a:fillRect/>
                    </a:stretch>
                  </pic:blipFill>
                  <pic:spPr>
                    <a:xfrm>
                      <a:off x="0" y="0"/>
                      <a:ext cx="5266690" cy="2126615"/>
                    </a:xfrm>
                    <a:prstGeom prst="rect">
                      <a:avLst/>
                    </a:prstGeom>
                  </pic:spPr>
                </pic:pic>
              </a:graphicData>
            </a:graphic>
          </wp:inline>
        </w:drawing>
      </w:r>
    </w:p>
    <w:p w14:paraId="5DABB9C6">
      <w:pPr>
        <w:jc w:val="left"/>
      </w:pPr>
      <w:r>
        <w:rPr>
          <w:rFonts w:hint="eastAsia"/>
        </w:rPr>
        <w:t>加密后会提示文件生成成功！</w:t>
      </w:r>
    </w:p>
    <w:p w14:paraId="08CBBFCB">
      <w:pPr>
        <w:jc w:val="left"/>
        <w:rPr>
          <w:sz w:val="24"/>
        </w:rPr>
      </w:pPr>
      <w:r>
        <w:rPr>
          <w:rFonts w:hint="eastAsia"/>
          <w:color w:val="FF0000"/>
          <w:lang w:eastAsia="zh-CN"/>
        </w:rPr>
        <w:t>（</w:t>
      </w:r>
      <w:r>
        <w:rPr>
          <w:rFonts w:hint="eastAsia"/>
          <w:color w:val="FF0000"/>
        </w:rPr>
        <w:t>注意：</w:t>
      </w:r>
      <w:r>
        <w:rPr>
          <w:rFonts w:hint="eastAsia"/>
        </w:rPr>
        <w:t>加密的投标文件</w:t>
      </w:r>
      <w:r>
        <w:rPr>
          <w:rFonts w:hint="eastAsia"/>
          <w:color w:val="FF0000"/>
        </w:rPr>
        <w:t>开标时须使用加密文件时使用的锁在项目规定时间内解密！</w:t>
      </w:r>
      <w:r>
        <w:rPr>
          <w:rFonts w:hint="eastAsia"/>
          <w:color w:val="FF0000"/>
          <w:lang w:eastAsia="zh-CN"/>
        </w:rPr>
        <w:t>）</w:t>
      </w:r>
    </w:p>
    <w:p w14:paraId="38433EFB">
      <w:pPr>
        <w:rPr>
          <w:rFonts w:ascii="宋体" w:hAnsi="宋体"/>
        </w:rPr>
      </w:pPr>
      <w:r>
        <w:drawing>
          <wp:inline distT="0" distB="0" distL="114300" distR="114300">
            <wp:extent cx="5266690" cy="2185035"/>
            <wp:effectExtent l="0" t="0" r="3810" b="1206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a:stretch>
                      <a:fillRect/>
                    </a:stretch>
                  </pic:blipFill>
                  <pic:spPr>
                    <a:xfrm>
                      <a:off x="0" y="0"/>
                      <a:ext cx="5266690" cy="2185035"/>
                    </a:xfrm>
                    <a:prstGeom prst="rect">
                      <a:avLst/>
                    </a:prstGeom>
                    <a:noFill/>
                    <a:ln>
                      <a:noFill/>
                    </a:ln>
                  </pic:spPr>
                </pic:pic>
              </a:graphicData>
            </a:graphic>
          </wp:inline>
        </w:drawing>
      </w:r>
    </w:p>
    <w:p w14:paraId="0CD924F4">
      <w:pPr>
        <w:rPr>
          <w:rFonts w:ascii="宋体" w:hAnsi="宋体"/>
          <w:b/>
        </w:rPr>
      </w:pPr>
      <w:r>
        <w:rPr>
          <w:rFonts w:hint="eastAsia" w:ascii="宋体" w:hAnsi="宋体"/>
          <w:b/>
        </w:rPr>
        <w:t>24.2若采购项目出现延期情况：</w:t>
      </w:r>
    </w:p>
    <w:p w14:paraId="4BF5AD53">
      <w:pPr>
        <w:ind w:firstLine="422" w:firstLineChars="200"/>
        <w:rPr>
          <w:rFonts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如果供下载的招标文件没有更新，投标人必须重新加密投标文件、重新上传投标文件（是否重新制作投标文件根据项目实际情</w:t>
      </w:r>
      <w:r>
        <w:rPr>
          <w:rFonts w:hint="eastAsia" w:ascii="宋体" w:hAnsi="宋体"/>
          <w:b/>
          <w:lang w:eastAsia="zh-CN"/>
        </w:rPr>
        <w:t>况确</w:t>
      </w:r>
      <w:r>
        <w:rPr>
          <w:rFonts w:hint="eastAsia" w:ascii="宋体" w:hAnsi="宋体"/>
          <w:b/>
        </w:rPr>
        <w:t>定）。否则，投标人自行承担投标文件无法解密导致投标无效的后果。</w:t>
      </w:r>
    </w:p>
    <w:p w14:paraId="0DC61B80">
      <w:pPr>
        <w:rPr>
          <w:rFonts w:ascii="黑体" w:hAnsi="宋体" w:eastAsia="黑体"/>
          <w:sz w:val="24"/>
        </w:rPr>
      </w:pPr>
      <w:r>
        <w:rPr>
          <w:rFonts w:hint="eastAsia" w:ascii="黑体" w:hAnsi="宋体" w:eastAsia="黑体"/>
          <w:sz w:val="24"/>
        </w:rPr>
        <w:t>25．上传投标文件及投标截止日期</w:t>
      </w:r>
    </w:p>
    <w:p w14:paraId="4D130833">
      <w:pPr>
        <w:wordWrap w:val="0"/>
        <w:ind w:firstLine="411" w:firstLineChars="196"/>
        <w:rPr>
          <w:rFonts w:ascii="宋体" w:hAnsi="宋体"/>
        </w:rPr>
      </w:pPr>
      <w:r>
        <w:rPr>
          <w:rFonts w:hint="eastAsia" w:ascii="宋体" w:hAnsi="宋体"/>
        </w:rPr>
        <w:t>25</w:t>
      </w:r>
      <w:r>
        <w:rPr>
          <w:rFonts w:ascii="宋体" w:hAnsi="宋体"/>
        </w:rPr>
        <w:t>.</w:t>
      </w:r>
      <w:r>
        <w:rPr>
          <w:rFonts w:hint="eastAsia" w:ascii="宋体" w:hAnsi="宋体"/>
        </w:rPr>
        <w:t>1实行网上投标，</w:t>
      </w:r>
      <w:r>
        <w:rPr>
          <w:rFonts w:hint="eastAsia"/>
        </w:rPr>
        <w:t>生成投标文件后供应商需要在投标文件递交截止时间之前递交投标文件，超过规定时间则无法递交</w:t>
      </w:r>
      <w:r>
        <w:rPr>
          <w:rFonts w:hint="eastAsia" w:ascii="宋体" w:hAnsi="宋体"/>
        </w:rPr>
        <w:t>。</w:t>
      </w:r>
    </w:p>
    <w:p w14:paraId="263CEE6D">
      <w:pPr>
        <w:ind w:firstLine="411" w:firstLineChars="196"/>
        <w:rPr>
          <w:rFonts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5B3FA879">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14:paraId="7629B66B">
      <w:pPr>
        <w:ind w:firstLine="411" w:firstLineChars="196"/>
        <w:rPr>
          <w:rFonts w:ascii="宋体" w:hAnsi="宋体"/>
        </w:rPr>
      </w:pPr>
    </w:p>
    <w:bookmarkEnd w:id="87"/>
    <w:p w14:paraId="042DCAB2">
      <w:pPr>
        <w:rPr>
          <w:rFonts w:ascii="黑体" w:hAnsi="宋体" w:eastAsia="黑体"/>
          <w:sz w:val="24"/>
        </w:rPr>
      </w:pPr>
      <w:r>
        <w:rPr>
          <w:rFonts w:hint="eastAsia" w:ascii="黑体" w:hAnsi="宋体" w:eastAsia="黑体"/>
          <w:sz w:val="24"/>
        </w:rPr>
        <w:t>26. 样品、现场演示、方案讲解</w:t>
      </w:r>
    </w:p>
    <w:p w14:paraId="66BDC467">
      <w:pPr>
        <w:ind w:firstLine="411" w:firstLineChars="196"/>
        <w:rPr>
          <w:rFonts w:ascii="宋体" w:hAnsi="宋体"/>
          <w:szCs w:val="21"/>
        </w:rPr>
      </w:pPr>
      <w:r>
        <w:rPr>
          <w:rFonts w:hint="eastAsia" w:ascii="宋体" w:hAnsi="宋体"/>
          <w:szCs w:val="21"/>
        </w:rPr>
        <w:t>26.1 样品、现场演示、方案讲解等事项在招标文件专用条款中进行规定。</w:t>
      </w:r>
    </w:p>
    <w:p w14:paraId="65A6A99B">
      <w:pPr>
        <w:rPr>
          <w:rFonts w:ascii="黑体" w:hAnsi="宋体" w:eastAsia="黑体"/>
          <w:sz w:val="24"/>
        </w:rPr>
      </w:pPr>
      <w:bookmarkStart w:id="88"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7F66A659">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1527A0F7">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14:paraId="1E3D94D0">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14:paraId="354DEFFB">
      <w:pPr>
        <w:ind w:firstLine="411" w:firstLineChars="196"/>
        <w:rPr>
          <w:rFonts w:ascii="宋体" w:hAnsi="宋体"/>
          <w:szCs w:val="21"/>
        </w:rPr>
      </w:pPr>
      <w:r>
        <w:rPr>
          <w:rFonts w:hint="eastAsia" w:ascii="宋体" w:hAnsi="宋体"/>
          <w:szCs w:val="21"/>
        </w:rPr>
        <w:t>27.4政府集中采购机构不退还投标文件，专用条款另有规定的除外。</w:t>
      </w:r>
    </w:p>
    <w:bookmarkEnd w:id="88"/>
    <w:p w14:paraId="6B13C410">
      <w:pPr>
        <w:pStyle w:val="3"/>
        <w:numPr>
          <w:ilvl w:val="0"/>
          <w:numId w:val="10"/>
        </w:numPr>
        <w:spacing w:before="120" w:beforeLines="50" w:after="120" w:afterLines="50"/>
        <w:ind w:left="562" w:hanging="562"/>
        <w:rPr>
          <w:sz w:val="28"/>
          <w:szCs w:val="28"/>
        </w:rPr>
      </w:pPr>
      <w:r>
        <w:rPr>
          <w:rFonts w:hint="eastAsia"/>
          <w:sz w:val="28"/>
          <w:szCs w:val="28"/>
        </w:rPr>
        <w:t>开标</w:t>
      </w:r>
    </w:p>
    <w:p w14:paraId="5898F725">
      <w:pPr>
        <w:rPr>
          <w:rFonts w:ascii="黑体" w:hAnsi="宋体" w:eastAsia="黑体"/>
          <w:sz w:val="24"/>
        </w:rPr>
      </w:pPr>
      <w:r>
        <w:rPr>
          <w:rFonts w:hint="eastAsia" w:ascii="黑体" w:hAnsi="宋体" w:eastAsia="黑体"/>
          <w:sz w:val="24"/>
        </w:rPr>
        <w:t>28．开标</w:t>
      </w:r>
    </w:p>
    <w:p w14:paraId="476FDD76">
      <w:pPr>
        <w:ind w:firstLine="359" w:firstLineChars="171"/>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w:t>
      </w:r>
      <w:r>
        <w:rPr>
          <w:rFonts w:hint="eastAsia"/>
        </w:rPr>
        <w:t>如投标文件为加密，则需插入CA锁点击解密，</w:t>
      </w:r>
      <w:r>
        <w:rPr>
          <w:rFonts w:hint="eastAsia" w:ascii="宋体" w:hAnsi="宋体"/>
          <w:szCs w:val="21"/>
        </w:rPr>
        <w:t>逾期未解密的作无效处理，</w:t>
      </w:r>
      <w:r>
        <w:rPr>
          <w:rFonts w:hint="eastAsia"/>
        </w:rPr>
        <w:t>否则无需解密。</w:t>
      </w:r>
    </w:p>
    <w:p w14:paraId="7F1CA0CB">
      <w:pPr>
        <w:rPr>
          <w:rFonts w:ascii="宋体" w:hAnsi="宋体"/>
          <w:szCs w:val="21"/>
        </w:rPr>
      </w:pPr>
      <w:r>
        <w:drawing>
          <wp:inline distT="0" distB="0" distL="114300" distR="114300">
            <wp:extent cx="5269230" cy="2591435"/>
            <wp:effectExtent l="0" t="0" r="1270" b="1206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5"/>
                    <a:stretch>
                      <a:fillRect/>
                    </a:stretch>
                  </pic:blipFill>
                  <pic:spPr>
                    <a:xfrm>
                      <a:off x="0" y="0"/>
                      <a:ext cx="5269230" cy="2591435"/>
                    </a:xfrm>
                    <a:prstGeom prst="rect">
                      <a:avLst/>
                    </a:prstGeom>
                    <a:noFill/>
                    <a:ln>
                      <a:noFill/>
                    </a:ln>
                  </pic:spPr>
                </pic:pic>
              </a:graphicData>
            </a:graphic>
          </wp:inline>
        </w:drawing>
      </w:r>
    </w:p>
    <w:p w14:paraId="72F9BF72">
      <w:pPr>
        <w:ind w:firstLine="315" w:firstLineChars="150"/>
        <w:rPr>
          <w:rFonts w:ascii="宋体" w:hAnsi="宋体"/>
          <w:szCs w:val="21"/>
        </w:rPr>
      </w:pPr>
      <w:r>
        <w:rPr>
          <w:rFonts w:hint="eastAsia" w:ascii="宋体" w:hAnsi="宋体"/>
          <w:szCs w:val="21"/>
        </w:rPr>
        <w:t>28.2政府集中采购机构将在满足开标条件后，对投标文件进行开标。</w:t>
      </w:r>
    </w:p>
    <w:p w14:paraId="3460BCDC">
      <w:pPr>
        <w:ind w:firstLine="315" w:firstLineChars="150"/>
        <w:rPr>
          <w:rFonts w:ascii="宋体" w:hAnsi="宋体"/>
          <w:szCs w:val="21"/>
        </w:rPr>
      </w:pPr>
    </w:p>
    <w:p w14:paraId="6EEAEEE3">
      <w:pPr>
        <w:pStyle w:val="3"/>
        <w:numPr>
          <w:ilvl w:val="0"/>
          <w:numId w:val="10"/>
        </w:numPr>
        <w:spacing w:before="120" w:beforeLines="50" w:after="120" w:afterLines="50"/>
        <w:ind w:left="562" w:hanging="562"/>
        <w:rPr>
          <w:sz w:val="28"/>
          <w:szCs w:val="28"/>
        </w:rPr>
      </w:pPr>
      <w:r>
        <w:rPr>
          <w:rFonts w:hint="eastAsia"/>
          <w:sz w:val="28"/>
          <w:szCs w:val="28"/>
        </w:rPr>
        <w:t>评审要求</w:t>
      </w:r>
    </w:p>
    <w:p w14:paraId="720FD8D1">
      <w:pPr>
        <w:rPr>
          <w:rFonts w:ascii="黑体" w:hAnsi="宋体" w:eastAsia="黑体"/>
          <w:sz w:val="24"/>
        </w:rPr>
      </w:pPr>
      <w:r>
        <w:rPr>
          <w:rFonts w:hint="eastAsia" w:ascii="黑体" w:hAnsi="宋体" w:eastAsia="黑体"/>
          <w:sz w:val="24"/>
        </w:rPr>
        <w:t>29．评审委员会组成</w:t>
      </w:r>
    </w:p>
    <w:p w14:paraId="128230D9">
      <w:pPr>
        <w:ind w:firstLine="411" w:firstLineChars="196"/>
        <w:rPr>
          <w:rFonts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14:paraId="17039732">
      <w:pPr>
        <w:ind w:firstLine="411" w:firstLineChars="196"/>
        <w:rPr>
          <w:rFonts w:ascii="宋体" w:hAnsi="宋体"/>
        </w:rPr>
      </w:pPr>
      <w:bookmarkStart w:id="89" w:name="_Hlk72436580"/>
      <w:r>
        <w:rPr>
          <w:rFonts w:hint="eastAsia" w:ascii="宋体" w:hAnsi="宋体"/>
        </w:rPr>
        <w:t>评审委员会由采购人代表和评审专家组成。</w:t>
      </w:r>
      <w:bookmarkEnd w:id="89"/>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14:paraId="0139576C">
      <w:pPr>
        <w:ind w:firstLine="411" w:firstLineChars="196"/>
        <w:rPr>
          <w:rFonts w:ascii="宋体" w:hAnsi="宋体"/>
        </w:rPr>
      </w:pPr>
      <w:r>
        <w:rPr>
          <w:rFonts w:hint="eastAsia" w:ascii="宋体" w:hAnsi="宋体"/>
        </w:rPr>
        <w:t>29.2评审定标应当遵循公平、公正、科学、择优的原则。</w:t>
      </w:r>
    </w:p>
    <w:p w14:paraId="3E86A53F">
      <w:pPr>
        <w:ind w:firstLine="411" w:firstLineChars="196"/>
        <w:rPr>
          <w:rFonts w:ascii="宋体" w:hAnsi="宋体"/>
        </w:rPr>
      </w:pPr>
      <w:r>
        <w:rPr>
          <w:rFonts w:hint="eastAsia" w:ascii="宋体" w:hAnsi="宋体"/>
        </w:rPr>
        <w:t>29.3评审活动依法进行，任何单位和个人不得非法干预评标过程和结果。</w:t>
      </w:r>
    </w:p>
    <w:p w14:paraId="7F0AA17D">
      <w:pPr>
        <w:ind w:firstLine="411" w:firstLineChars="196"/>
        <w:rPr>
          <w:rFonts w:ascii="宋体" w:hAnsi="宋体"/>
        </w:rPr>
      </w:pPr>
      <w:r>
        <w:rPr>
          <w:rFonts w:hint="eastAsia" w:ascii="宋体" w:hAnsi="宋体"/>
        </w:rPr>
        <w:t>29.4评审过程中不允许违背评标程序或采用招标文件未载明的评标方法或评标因素进行评标。</w:t>
      </w:r>
    </w:p>
    <w:p w14:paraId="2FD3A664">
      <w:pPr>
        <w:ind w:firstLine="411" w:firstLineChars="196"/>
        <w:rPr>
          <w:rFonts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14:paraId="50E7E14C">
      <w:pPr>
        <w:rPr>
          <w:rFonts w:ascii="黑体" w:hAnsi="宋体" w:eastAsia="黑体"/>
          <w:sz w:val="24"/>
        </w:rPr>
      </w:pPr>
      <w:r>
        <w:rPr>
          <w:rFonts w:hint="eastAsia" w:ascii="黑体" w:hAnsi="宋体" w:eastAsia="黑体"/>
          <w:sz w:val="24"/>
        </w:rPr>
        <w:t>30．向评审委员会提供的资料</w:t>
      </w:r>
    </w:p>
    <w:p w14:paraId="29E5EAC6">
      <w:pPr>
        <w:ind w:firstLine="411" w:firstLineChars="196"/>
        <w:rPr>
          <w:rFonts w:ascii="宋体" w:hAnsi="宋体"/>
        </w:rPr>
      </w:pPr>
      <w:r>
        <w:rPr>
          <w:rFonts w:hint="eastAsia" w:ascii="宋体" w:hAnsi="宋体"/>
        </w:rPr>
        <w:t>30.1公开发布的招标文件，包括图纸、服务清单、答疑文件等；</w:t>
      </w:r>
    </w:p>
    <w:p w14:paraId="6D0336B4">
      <w:pPr>
        <w:ind w:firstLine="411" w:firstLineChars="196"/>
        <w:rPr>
          <w:rFonts w:ascii="宋体" w:hAnsi="宋体"/>
        </w:rPr>
      </w:pPr>
      <w:r>
        <w:rPr>
          <w:rFonts w:hint="eastAsia" w:ascii="宋体" w:hAnsi="宋体"/>
        </w:rPr>
        <w:t>30.2其他评标必须的资料。</w:t>
      </w:r>
    </w:p>
    <w:p w14:paraId="539AD550">
      <w:pPr>
        <w:ind w:firstLine="411" w:firstLineChars="196"/>
        <w:rPr>
          <w:rFonts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44F5A6D2">
      <w:pPr>
        <w:ind w:firstLine="411" w:firstLineChars="196"/>
        <w:rPr>
          <w:rFonts w:ascii="宋体" w:hAnsi="宋体"/>
        </w:rPr>
      </w:pPr>
      <w:r>
        <w:rPr>
          <w:rFonts w:hint="eastAsia" w:ascii="宋体" w:hAnsi="宋体"/>
        </w:rPr>
        <w:t>（1）招标的目的；</w:t>
      </w:r>
    </w:p>
    <w:p w14:paraId="17773401">
      <w:pPr>
        <w:ind w:firstLine="411" w:firstLineChars="196"/>
        <w:rPr>
          <w:rFonts w:ascii="宋体" w:hAnsi="宋体"/>
        </w:rPr>
      </w:pPr>
      <w:r>
        <w:rPr>
          <w:rFonts w:hint="eastAsia" w:ascii="宋体" w:hAnsi="宋体"/>
        </w:rPr>
        <w:t>（2）招标项目需求的范围和性质；</w:t>
      </w:r>
    </w:p>
    <w:p w14:paraId="43F39D47">
      <w:pPr>
        <w:ind w:firstLine="411" w:firstLineChars="196"/>
        <w:rPr>
          <w:rFonts w:ascii="宋体" w:hAnsi="宋体"/>
        </w:rPr>
      </w:pPr>
      <w:r>
        <w:rPr>
          <w:rFonts w:hint="eastAsia" w:ascii="宋体" w:hAnsi="宋体"/>
        </w:rPr>
        <w:t>（3）招标文件规定的投标人的资格、财政预算限额、商务条款；</w:t>
      </w:r>
    </w:p>
    <w:p w14:paraId="4C494E72">
      <w:pPr>
        <w:ind w:firstLine="411" w:firstLineChars="196"/>
        <w:rPr>
          <w:rFonts w:ascii="宋体" w:hAnsi="宋体"/>
        </w:rPr>
      </w:pPr>
      <w:r>
        <w:rPr>
          <w:rFonts w:hint="eastAsia" w:ascii="宋体" w:hAnsi="宋体"/>
        </w:rPr>
        <w:t>（4）招标文件规定的评标程序、评标方法和评标因素；</w:t>
      </w:r>
    </w:p>
    <w:p w14:paraId="10CDAD7C">
      <w:pPr>
        <w:ind w:firstLine="411" w:firstLineChars="196"/>
        <w:rPr>
          <w:rFonts w:ascii="宋体" w:hAnsi="宋体"/>
        </w:rPr>
      </w:pPr>
      <w:r>
        <w:rPr>
          <w:rFonts w:hint="eastAsia" w:ascii="宋体" w:hAnsi="宋体"/>
        </w:rPr>
        <w:t>（5）招标文件所列示的资格性审查表及符合性审查表。</w:t>
      </w:r>
    </w:p>
    <w:p w14:paraId="5C7D2FED">
      <w:pPr>
        <w:rPr>
          <w:rFonts w:ascii="黑体" w:hAnsi="宋体" w:eastAsia="黑体"/>
          <w:sz w:val="24"/>
        </w:rPr>
      </w:pPr>
      <w:r>
        <w:rPr>
          <w:rFonts w:hint="eastAsia" w:ascii="黑体" w:hAnsi="宋体" w:eastAsia="黑体"/>
          <w:sz w:val="24"/>
        </w:rPr>
        <w:t>31．独立评审</w:t>
      </w:r>
    </w:p>
    <w:p w14:paraId="3619EAAD">
      <w:pPr>
        <w:ind w:firstLine="411" w:firstLineChars="196"/>
        <w:rPr>
          <w:rFonts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14:paraId="39D1C446">
      <w:pPr>
        <w:ind w:firstLine="411" w:firstLineChars="196"/>
        <w:rPr>
          <w:rFonts w:ascii="宋体" w:hAnsi="宋体"/>
          <w:bCs/>
          <w:szCs w:val="21"/>
        </w:rPr>
      </w:pPr>
    </w:p>
    <w:p w14:paraId="7DD1C925">
      <w:pPr>
        <w:pStyle w:val="3"/>
        <w:numPr>
          <w:ilvl w:val="0"/>
          <w:numId w:val="10"/>
        </w:numPr>
        <w:spacing w:before="120" w:beforeLines="50" w:after="120" w:afterLines="50"/>
        <w:ind w:left="562" w:hanging="562"/>
        <w:rPr>
          <w:sz w:val="28"/>
          <w:szCs w:val="28"/>
        </w:rPr>
      </w:pPr>
      <w:r>
        <w:rPr>
          <w:rFonts w:hint="eastAsia"/>
          <w:sz w:val="28"/>
          <w:szCs w:val="28"/>
        </w:rPr>
        <w:t>评审程序及评审方法</w:t>
      </w:r>
    </w:p>
    <w:p w14:paraId="07D49F02">
      <w:pPr>
        <w:rPr>
          <w:rFonts w:ascii="黑体" w:hAnsi="宋体" w:eastAsia="黑体"/>
          <w:sz w:val="24"/>
        </w:rPr>
      </w:pPr>
      <w:r>
        <w:rPr>
          <w:rFonts w:hint="eastAsia" w:ascii="黑体" w:hAnsi="宋体" w:eastAsia="黑体"/>
          <w:sz w:val="24"/>
        </w:rPr>
        <w:t>32．投标文件初审</w:t>
      </w:r>
    </w:p>
    <w:p w14:paraId="10B4BFB5">
      <w:pPr>
        <w:ind w:firstLine="411" w:firstLineChars="196"/>
        <w:rPr>
          <w:rFonts w:ascii="宋体" w:hAnsi="宋体"/>
        </w:rPr>
      </w:pPr>
      <w:r>
        <w:rPr>
          <w:rFonts w:hint="eastAsia" w:ascii="宋体" w:hAnsi="宋体"/>
        </w:rPr>
        <w:t>32.1投标文件初审包括资格性审查和符合性审查。</w:t>
      </w:r>
    </w:p>
    <w:p w14:paraId="139BDC0D">
      <w:pPr>
        <w:ind w:firstLine="411" w:firstLineChars="196"/>
        <w:rPr>
          <w:rFonts w:ascii="宋体" w:hAnsi="宋体"/>
        </w:rPr>
      </w:pPr>
      <w:r>
        <w:rPr>
          <w:rFonts w:hint="eastAsia" w:ascii="宋体" w:hAnsi="宋体"/>
        </w:rPr>
        <w:t>资格性审查：依据法律法规和招标文件的规定，对投标文件中的资格证明等进行审查，以确定投标供应商是否具备投标资格。</w:t>
      </w:r>
    </w:p>
    <w:p w14:paraId="6986A2C1">
      <w:pPr>
        <w:ind w:firstLine="411" w:firstLineChars="196"/>
        <w:rPr>
          <w:rFonts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14:paraId="435B32C8">
      <w:pPr>
        <w:ind w:firstLine="411" w:firstLineChars="196"/>
        <w:rPr>
          <w:rFonts w:ascii="宋体" w:hAnsi="宋体"/>
        </w:rPr>
      </w:pPr>
      <w:r>
        <w:rPr>
          <w:rFonts w:hint="eastAsia" w:ascii="宋体" w:hAnsi="宋体"/>
        </w:rPr>
        <w:t>32.2 投标文件初审内容请详见《资格性审查表》和《符合性审查表》部分。投标人若有一条审查不通过则按投标无效处理。</w:t>
      </w:r>
    </w:p>
    <w:p w14:paraId="70278ABC">
      <w:pPr>
        <w:ind w:firstLine="411" w:firstLineChars="196"/>
        <w:rPr>
          <w:rFonts w:ascii="宋体" w:hAnsi="宋体"/>
          <w:bCs/>
        </w:rPr>
      </w:pPr>
      <w:r>
        <w:rPr>
          <w:rFonts w:hint="eastAsia" w:ascii="宋体" w:hAnsi="宋体"/>
          <w:bCs/>
        </w:rPr>
        <w:t>32.3 投标文件初审中关于供应商家数的计算</w:t>
      </w:r>
      <w:r>
        <w:rPr>
          <w:rFonts w:hint="eastAsia" w:ascii="宋体" w:hAnsi="宋体"/>
          <w:bCs/>
          <w:lang w:eastAsia="zh-CN"/>
        </w:rPr>
        <w:t>：</w:t>
      </w:r>
    </w:p>
    <w:p w14:paraId="451A6B1A">
      <w:pPr>
        <w:ind w:firstLine="411" w:firstLineChars="196"/>
        <w:rPr>
          <w:rFonts w:ascii="宋体" w:hAnsi="宋体"/>
          <w:bCs/>
        </w:rPr>
      </w:pPr>
      <w:r>
        <w:rPr>
          <w:rFonts w:hint="eastAsia" w:ascii="宋体" w:hAnsi="宋体"/>
          <w:bCs/>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2A414DDB">
      <w:pPr>
        <w:ind w:firstLine="411" w:firstLineChars="196"/>
        <w:rPr>
          <w:rFonts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14:paraId="1218ED62">
      <w:pPr>
        <w:ind w:firstLine="411" w:firstLineChars="196"/>
        <w:rPr>
          <w:rFonts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14:paraId="1792FB3C">
      <w:pPr>
        <w:ind w:firstLine="411" w:firstLineChars="196"/>
        <w:rPr>
          <w:rFonts w:ascii="宋体" w:hAnsi="宋体"/>
        </w:rPr>
      </w:pPr>
      <w:r>
        <w:rPr>
          <w:rFonts w:hint="eastAsia" w:ascii="宋体" w:hAnsi="宋体"/>
        </w:rPr>
        <w:t>32.4投标人投标文件作无效处理的情形，具体包括但不限于以下：</w:t>
      </w:r>
    </w:p>
    <w:p w14:paraId="32177833">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104122AD">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2C7C68D9">
      <w:pPr>
        <w:ind w:firstLine="411" w:firstLineChars="196"/>
        <w:rPr>
          <w:rFonts w:ascii="宋体" w:hAnsi="宋体"/>
        </w:rPr>
      </w:pPr>
      <w:r>
        <w:rPr>
          <w:rFonts w:hint="eastAsia" w:ascii="宋体" w:hAnsi="宋体"/>
        </w:rPr>
        <w:t>32.4.3不同投标人的投标文件载明的项目管理成员或者联系人员为同一人；</w:t>
      </w:r>
    </w:p>
    <w:p w14:paraId="1EDD6622">
      <w:pPr>
        <w:ind w:firstLine="411" w:firstLineChars="196"/>
        <w:rPr>
          <w:rFonts w:ascii="宋体" w:hAnsi="宋体"/>
        </w:rPr>
      </w:pPr>
      <w:r>
        <w:rPr>
          <w:rFonts w:hint="eastAsia" w:ascii="宋体" w:hAnsi="宋体"/>
        </w:rPr>
        <w:t>32.4.4不同投标人的投标文件异常一致或者投标报价呈规律性差异；</w:t>
      </w:r>
    </w:p>
    <w:p w14:paraId="21033487">
      <w:pPr>
        <w:ind w:firstLine="411" w:firstLineChars="196"/>
        <w:rPr>
          <w:rFonts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14:paraId="5642FC0B">
      <w:pPr>
        <w:ind w:firstLine="411" w:firstLineChars="196"/>
        <w:rPr>
          <w:rFonts w:ascii="宋体" w:hAnsi="宋体"/>
        </w:rPr>
      </w:pPr>
      <w:r>
        <w:rPr>
          <w:rFonts w:hint="eastAsia" w:ascii="宋体" w:hAnsi="宋体"/>
        </w:rPr>
        <w:t>32.4.6投标供应商之间相互约定给予未中标的供应商利益补偿；</w:t>
      </w:r>
    </w:p>
    <w:p w14:paraId="6CEBDA03">
      <w:pPr>
        <w:ind w:firstLine="411" w:firstLineChars="196"/>
        <w:rPr>
          <w:rFonts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14:paraId="77397EA4">
      <w:pPr>
        <w:ind w:firstLine="411" w:firstLineChars="196"/>
        <w:rPr>
          <w:rFonts w:ascii="宋体" w:hAnsi="宋体"/>
        </w:rPr>
      </w:pPr>
      <w:r>
        <w:rPr>
          <w:rFonts w:hint="eastAsia" w:ascii="宋体" w:hAnsi="宋体"/>
        </w:rPr>
        <w:t>32.4.8不同投标供应商的投标文件内容存在非正常一致；</w:t>
      </w:r>
    </w:p>
    <w:p w14:paraId="75E1E067">
      <w:pPr>
        <w:ind w:firstLine="411" w:firstLineChars="196"/>
        <w:rPr>
          <w:rFonts w:ascii="宋体" w:hAnsi="宋体"/>
        </w:rPr>
      </w:pPr>
      <w:r>
        <w:rPr>
          <w:rFonts w:hint="eastAsia" w:ascii="宋体" w:hAnsi="宋体"/>
        </w:rPr>
        <w:t>32.4.9在同一单位工作人员为两家以上（含两家）供应商进行同一项投标活动；</w:t>
      </w:r>
    </w:p>
    <w:p w14:paraId="5E593222">
      <w:pPr>
        <w:ind w:firstLine="411" w:firstLineChars="196"/>
        <w:rPr>
          <w:rFonts w:ascii="宋体" w:hAnsi="宋体"/>
        </w:rPr>
      </w:pPr>
      <w:r>
        <w:rPr>
          <w:rFonts w:hint="eastAsia" w:ascii="宋体" w:hAnsi="宋体"/>
        </w:rPr>
        <w:t>32.4.10主管部门依照法律、法规认定的其他情形。</w:t>
      </w:r>
    </w:p>
    <w:p w14:paraId="2B6FC922">
      <w:pPr>
        <w:rPr>
          <w:rFonts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5A8ABEC1">
      <w:pPr>
        <w:rPr>
          <w:rFonts w:ascii="黑体" w:hAnsi="宋体" w:eastAsia="黑体"/>
          <w:sz w:val="24"/>
        </w:rPr>
      </w:pPr>
      <w:r>
        <w:rPr>
          <w:rFonts w:hint="eastAsia" w:ascii="黑体" w:hAnsi="宋体" w:eastAsia="黑体"/>
          <w:sz w:val="24"/>
        </w:rPr>
        <w:t>33．澄清有关问题</w:t>
      </w:r>
    </w:p>
    <w:p w14:paraId="7F577A29">
      <w:pPr>
        <w:ind w:firstLine="411" w:firstLineChars="196"/>
        <w:rPr>
          <w:rFonts w:ascii="宋体" w:hAnsi="宋体"/>
        </w:rPr>
      </w:pPr>
      <w:bookmarkStart w:id="90"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90"/>
    </w:p>
    <w:p w14:paraId="56AE95AF">
      <w:pPr>
        <w:ind w:firstLine="411" w:firstLineChars="196"/>
        <w:rPr>
          <w:rFonts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14:paraId="504617EC">
      <w:pPr>
        <w:ind w:firstLine="411" w:firstLineChars="196"/>
        <w:rPr>
          <w:rFonts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7EE0B40D">
      <w:pPr>
        <w:ind w:firstLine="411" w:firstLineChars="196"/>
        <w:rPr>
          <w:rFonts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5CCA6362">
      <w:pPr>
        <w:ind w:firstLine="411" w:firstLineChars="196"/>
        <w:rPr>
          <w:rFonts w:ascii="宋体" w:hAnsi="宋体"/>
          <w:szCs w:val="21"/>
        </w:rPr>
      </w:pPr>
      <w:r>
        <w:rPr>
          <w:rFonts w:hint="eastAsia" w:ascii="宋体" w:hAnsi="宋体"/>
          <w:szCs w:val="21"/>
        </w:rPr>
        <w:t>根据本通用条款第34条，凡属于评审委员会在评审中发现的算术错误进行核实的修改不在此列。</w:t>
      </w:r>
    </w:p>
    <w:p w14:paraId="521C3812">
      <w:pPr>
        <w:rPr>
          <w:rFonts w:ascii="黑体" w:hAnsi="宋体" w:eastAsia="黑体"/>
          <w:sz w:val="24"/>
        </w:rPr>
      </w:pPr>
      <w:bookmarkStart w:id="91" w:name="_Toc73518151"/>
      <w:bookmarkStart w:id="92" w:name="_Toc73521669"/>
      <w:bookmarkStart w:id="93" w:name="_Toc100052400"/>
      <w:bookmarkStart w:id="94" w:name="_Toc73517673"/>
      <w:bookmarkStart w:id="95" w:name="_Toc73521581"/>
      <w:r>
        <w:rPr>
          <w:rFonts w:hint="eastAsia" w:ascii="黑体" w:hAnsi="宋体" w:eastAsia="黑体"/>
          <w:sz w:val="24"/>
        </w:rPr>
        <w:t>34．错误的修正</w:t>
      </w:r>
      <w:bookmarkEnd w:id="91"/>
      <w:bookmarkEnd w:id="92"/>
      <w:bookmarkEnd w:id="93"/>
      <w:bookmarkEnd w:id="94"/>
      <w:bookmarkEnd w:id="95"/>
    </w:p>
    <w:p w14:paraId="50BDE9B3">
      <w:pPr>
        <w:ind w:firstLine="411" w:firstLineChars="196"/>
        <w:rPr>
          <w:rFonts w:ascii="宋体" w:hAnsi="宋体"/>
          <w:szCs w:val="21"/>
        </w:rPr>
      </w:pPr>
      <w:r>
        <w:rPr>
          <w:rFonts w:hint="eastAsia" w:ascii="宋体" w:hAnsi="宋体"/>
          <w:szCs w:val="21"/>
        </w:rPr>
        <w:t>投标文件报价出现前后不一致的，除专用条款另有规定外，按照下列规定修正：</w:t>
      </w:r>
    </w:p>
    <w:p w14:paraId="2DBCCC11">
      <w:pPr>
        <w:ind w:firstLine="411" w:firstLineChars="196"/>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14:paraId="5504E95E">
      <w:pPr>
        <w:ind w:firstLine="411" w:firstLineChars="196"/>
        <w:rPr>
          <w:rFonts w:ascii="宋体" w:hAnsi="宋体"/>
          <w:szCs w:val="21"/>
        </w:rPr>
      </w:pPr>
      <w:r>
        <w:rPr>
          <w:rFonts w:hint="eastAsia" w:ascii="宋体" w:hAnsi="宋体"/>
          <w:szCs w:val="21"/>
        </w:rPr>
        <w:t>34.2大写金额和小写金额不一致的，以大写金额为准；</w:t>
      </w:r>
    </w:p>
    <w:p w14:paraId="18D46318">
      <w:pPr>
        <w:ind w:firstLine="411" w:firstLineChars="196"/>
        <w:rPr>
          <w:rFonts w:ascii="宋体" w:hAnsi="宋体"/>
          <w:szCs w:val="21"/>
        </w:rPr>
      </w:pPr>
      <w:r>
        <w:rPr>
          <w:rFonts w:hint="eastAsia" w:ascii="宋体" w:hAnsi="宋体"/>
          <w:szCs w:val="21"/>
        </w:rPr>
        <w:t>34.3单价金额小数点或者百分比有明显错位，以开标一览表的总价为准，并修改单价；</w:t>
      </w:r>
    </w:p>
    <w:p w14:paraId="646F11A0">
      <w:pPr>
        <w:ind w:firstLine="411" w:firstLineChars="196"/>
        <w:rPr>
          <w:rFonts w:ascii="宋体" w:hAnsi="宋体"/>
          <w:szCs w:val="21"/>
        </w:rPr>
      </w:pPr>
      <w:r>
        <w:rPr>
          <w:rFonts w:hint="eastAsia" w:ascii="宋体" w:hAnsi="宋体"/>
          <w:szCs w:val="21"/>
        </w:rPr>
        <w:t>34.4总价金额与按单价汇总金额不一致的，以单价金额计算结果为准。</w:t>
      </w:r>
    </w:p>
    <w:p w14:paraId="097A87A1">
      <w:pPr>
        <w:ind w:firstLine="411" w:firstLineChars="196"/>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5EDDB015">
      <w:pPr>
        <w:rPr>
          <w:rFonts w:ascii="黑体" w:hAnsi="宋体" w:eastAsia="黑体"/>
          <w:sz w:val="24"/>
        </w:rPr>
      </w:pPr>
      <w:r>
        <w:rPr>
          <w:rFonts w:hint="eastAsia" w:ascii="黑体" w:hAnsi="宋体" w:eastAsia="黑体"/>
          <w:sz w:val="24"/>
        </w:rPr>
        <w:t>35．投标文件的比较与评价</w:t>
      </w:r>
    </w:p>
    <w:p w14:paraId="6DBCC66D">
      <w:pPr>
        <w:ind w:firstLine="411" w:firstLineChars="196"/>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2E523C2D">
      <w:pPr>
        <w:ind w:firstLine="411" w:firstLineChars="196"/>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02DBD89D">
      <w:pPr>
        <w:rPr>
          <w:rFonts w:ascii="黑体" w:hAnsi="宋体" w:eastAsia="黑体"/>
          <w:sz w:val="24"/>
        </w:rPr>
      </w:pPr>
      <w:r>
        <w:rPr>
          <w:rFonts w:hint="eastAsia" w:ascii="黑体" w:hAnsi="宋体" w:eastAsia="黑体"/>
          <w:sz w:val="24"/>
        </w:rPr>
        <w:t>36. 实地考察或资料查验</w:t>
      </w:r>
    </w:p>
    <w:p w14:paraId="00EC7DBE">
      <w:pPr>
        <w:ind w:firstLine="411" w:firstLineChars="196"/>
        <w:rPr>
          <w:rFonts w:ascii="宋体" w:hAnsi="宋体"/>
          <w:szCs w:val="21"/>
        </w:rPr>
      </w:pPr>
      <w:r>
        <w:rPr>
          <w:rFonts w:hint="eastAsia" w:ascii="宋体" w:hAnsi="宋体"/>
          <w:szCs w:val="21"/>
        </w:rPr>
        <w:t>36.1在评审期间，评审委员会根据招标文件规定（详见“一、对通用条款的补充内容”），有权对本项目的投标人开展实地考察，投标人需时刻做好接收实地考察的准备。</w:t>
      </w:r>
    </w:p>
    <w:p w14:paraId="1BD55F7A">
      <w:pPr>
        <w:rPr>
          <w:rFonts w:ascii="黑体" w:hAnsi="宋体" w:eastAsia="黑体"/>
          <w:sz w:val="24"/>
        </w:rPr>
      </w:pPr>
      <w:r>
        <w:rPr>
          <w:rFonts w:hint="eastAsia" w:ascii="黑体" w:hAnsi="宋体" w:eastAsia="黑体"/>
          <w:sz w:val="24"/>
        </w:rPr>
        <w:t>37．评审方法</w:t>
      </w:r>
    </w:p>
    <w:p w14:paraId="0D8A2486">
      <w:pPr>
        <w:ind w:firstLine="413" w:firstLineChars="196"/>
        <w:rPr>
          <w:rFonts w:ascii="宋体" w:hAnsi="宋体"/>
          <w:b/>
          <w:bCs/>
          <w:szCs w:val="21"/>
        </w:rPr>
      </w:pPr>
      <w:r>
        <w:rPr>
          <w:rFonts w:hint="eastAsia" w:ascii="宋体" w:hAnsi="宋体"/>
          <w:b/>
          <w:bCs/>
          <w:szCs w:val="21"/>
        </w:rPr>
        <w:t>37.1.1最低价法</w:t>
      </w:r>
    </w:p>
    <w:p w14:paraId="33278239">
      <w:pPr>
        <w:ind w:firstLine="411" w:firstLineChars="196"/>
        <w:rPr>
          <w:rFonts w:ascii="ˎ̥" w:hAnsi="ˎ̥"/>
        </w:rPr>
      </w:pPr>
      <w:bookmarkStart w:id="96" w:name="_Hlk72438142"/>
      <w:r>
        <w:rPr>
          <w:rFonts w:ascii="ˎ̥" w:hAnsi="ˎ̥"/>
        </w:rPr>
        <w:t>最低价法，</w:t>
      </w:r>
      <w:r>
        <w:rPr>
          <w:rFonts w:hint="eastAsia" w:ascii="ˎ̥" w:hAnsi="ˎ̥"/>
        </w:rPr>
        <w:t>是指投标文件满足招标文件全部实质性要求，且投标报价最低的投标人为中标候选人的评标方法。</w:t>
      </w:r>
    </w:p>
    <w:p w14:paraId="439CD10F">
      <w:pPr>
        <w:ind w:firstLine="411" w:firstLineChars="196"/>
        <w:rPr>
          <w:rFonts w:ascii="ˎ̥" w:hAnsi="ˎ̥"/>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中标候选人并列的，由采购人或者采购人委托评标委员会按照招标文件规定的方式确定中标人；招标文件未规定的，采取随机抽取的方式确定。</w:t>
      </w:r>
    </w:p>
    <w:p w14:paraId="439D908C">
      <w:pPr>
        <w:ind w:firstLine="413" w:firstLineChars="196"/>
        <w:rPr>
          <w:rFonts w:ascii="宋体" w:hAnsi="宋体"/>
          <w:b/>
          <w:bCs/>
          <w:szCs w:val="21"/>
        </w:rPr>
      </w:pPr>
      <w:r>
        <w:rPr>
          <w:rFonts w:hint="eastAsia" w:ascii="宋体" w:hAnsi="宋体"/>
          <w:b/>
          <w:bCs/>
          <w:szCs w:val="21"/>
        </w:rPr>
        <w:t>37.1.2综合评分法</w:t>
      </w:r>
    </w:p>
    <w:p w14:paraId="60189B9F">
      <w:pPr>
        <w:ind w:firstLine="411" w:firstLineChars="196"/>
        <w:rPr>
          <w:rFonts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bookmarkEnd w:id="96"/>
      <w:r>
        <w:rPr>
          <w:rFonts w:hint="eastAsia" w:ascii="ˎ̥" w:hAnsi="ˎ̥"/>
        </w:rPr>
        <w:t>。</w:t>
      </w:r>
    </w:p>
    <w:p w14:paraId="7050D483">
      <w:pPr>
        <w:ind w:firstLine="411" w:firstLineChars="196"/>
        <w:rPr>
          <w:rFonts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中标候选人并列的，由采购人或者采购人委托评标委员会按照招标文件规定的方式确定中标人；招标文件未规定的，采取随机抽取的方式确定。</w:t>
      </w:r>
    </w:p>
    <w:p w14:paraId="1F9A1176">
      <w:pPr>
        <w:ind w:firstLine="413" w:firstLineChars="196"/>
        <w:rPr>
          <w:rFonts w:ascii="宋体" w:hAnsi="宋体"/>
          <w:b/>
          <w:bCs/>
          <w:szCs w:val="21"/>
        </w:rPr>
      </w:pPr>
      <w:r>
        <w:rPr>
          <w:rFonts w:hint="eastAsia" w:ascii="宋体" w:hAnsi="宋体"/>
          <w:b/>
          <w:bCs/>
          <w:szCs w:val="21"/>
        </w:rPr>
        <w:t>37.2本项目采用的评审方法见本项目招标文件第一册“专用条款”的相关内容。</w:t>
      </w:r>
    </w:p>
    <w:p w14:paraId="3CEE508C">
      <w:pPr>
        <w:ind w:firstLine="413" w:firstLineChars="196"/>
        <w:rPr>
          <w:rFonts w:ascii="宋体" w:hAnsi="宋体"/>
          <w:b/>
          <w:bCs/>
          <w:szCs w:val="21"/>
        </w:rPr>
      </w:pPr>
      <w:r>
        <w:rPr>
          <w:rFonts w:hint="eastAsia" w:ascii="宋体" w:hAnsi="宋体"/>
          <w:b/>
          <w:bCs/>
          <w:szCs w:val="21"/>
        </w:rPr>
        <w:t>37.3重新评审的情形</w:t>
      </w:r>
    </w:p>
    <w:p w14:paraId="3945F590">
      <w:pPr>
        <w:ind w:firstLine="411" w:firstLineChars="196"/>
        <w:rPr>
          <w:rFonts w:ascii="宋体" w:hAnsi="宋体"/>
          <w:b/>
          <w:bCs/>
          <w:szCs w:val="21"/>
        </w:rPr>
      </w:pPr>
      <w:r>
        <w:rPr>
          <w:rFonts w:hint="eastAsia" w:ascii="宋体" w:hAnsi="宋体" w:cs="宋体"/>
          <w:kern w:val="0"/>
          <w:szCs w:val="21"/>
        </w:rPr>
        <w:t>评审结果汇总完成后，除下列情形外，任何人不得修改评审结果：</w:t>
      </w:r>
    </w:p>
    <w:p w14:paraId="60379AD1">
      <w:pPr>
        <w:ind w:firstLine="411" w:firstLineChars="196"/>
        <w:rPr>
          <w:rFonts w:ascii="宋体" w:hAnsi="宋体" w:cs="宋体"/>
          <w:kern w:val="0"/>
          <w:szCs w:val="21"/>
        </w:rPr>
      </w:pPr>
      <w:r>
        <w:rPr>
          <w:rFonts w:hint="eastAsia" w:ascii="宋体" w:hAnsi="宋体" w:cs="宋体"/>
          <w:kern w:val="0"/>
          <w:szCs w:val="21"/>
        </w:rPr>
        <w:t>37.3.1分值汇总计算错误的；</w:t>
      </w:r>
    </w:p>
    <w:p w14:paraId="3CB5274B">
      <w:pPr>
        <w:ind w:firstLine="411" w:firstLineChars="196"/>
        <w:rPr>
          <w:rFonts w:ascii="宋体" w:hAnsi="宋体" w:cs="宋体"/>
          <w:kern w:val="0"/>
          <w:szCs w:val="21"/>
        </w:rPr>
      </w:pPr>
      <w:r>
        <w:rPr>
          <w:rFonts w:hint="eastAsia" w:ascii="宋体" w:hAnsi="宋体" w:cs="宋体"/>
          <w:kern w:val="0"/>
          <w:szCs w:val="21"/>
        </w:rPr>
        <w:t>37.3.2分项评分超出评分标准范围的；</w:t>
      </w:r>
    </w:p>
    <w:p w14:paraId="5F30C396">
      <w:pPr>
        <w:ind w:firstLine="411" w:firstLineChars="196"/>
        <w:rPr>
          <w:rFonts w:ascii="宋体" w:hAnsi="宋体" w:cs="宋体"/>
          <w:kern w:val="0"/>
          <w:szCs w:val="21"/>
        </w:rPr>
      </w:pPr>
      <w:r>
        <w:rPr>
          <w:rFonts w:hint="eastAsia" w:ascii="宋体" w:hAnsi="宋体" w:cs="宋体"/>
          <w:kern w:val="0"/>
          <w:szCs w:val="21"/>
        </w:rPr>
        <w:t>37.3.3评审委员会成员对客观评审因素评分不一致的；</w:t>
      </w:r>
    </w:p>
    <w:p w14:paraId="7FC05610">
      <w:pPr>
        <w:ind w:firstLine="411" w:firstLineChars="196"/>
        <w:rPr>
          <w:rFonts w:ascii="宋体" w:hAnsi="宋体" w:cs="宋体"/>
          <w:kern w:val="0"/>
          <w:szCs w:val="21"/>
        </w:rPr>
      </w:pPr>
      <w:r>
        <w:rPr>
          <w:rFonts w:hint="eastAsia" w:ascii="宋体" w:hAnsi="宋体" w:cs="宋体"/>
          <w:kern w:val="0"/>
          <w:szCs w:val="21"/>
        </w:rPr>
        <w:t>37.3.4经评审委员会认定评分畸高、畸低的。</w:t>
      </w:r>
    </w:p>
    <w:p w14:paraId="4A6DE012">
      <w:pPr>
        <w:ind w:firstLine="411" w:firstLineChars="196"/>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41A3E605">
      <w:pPr>
        <w:ind w:firstLine="411" w:firstLineChars="196"/>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2065A668">
      <w:pPr>
        <w:ind w:firstLine="413" w:firstLineChars="196"/>
        <w:rPr>
          <w:rFonts w:ascii="宋体" w:hAnsi="宋体"/>
          <w:b/>
          <w:bCs/>
          <w:szCs w:val="21"/>
        </w:rPr>
      </w:pPr>
      <w:r>
        <w:rPr>
          <w:rFonts w:hint="eastAsia" w:ascii="宋体" w:hAnsi="宋体"/>
          <w:b/>
          <w:bCs/>
          <w:szCs w:val="21"/>
        </w:rPr>
        <w:t>37.4重新组建评审委员会的情形</w:t>
      </w:r>
    </w:p>
    <w:p w14:paraId="02898C1A">
      <w:pPr>
        <w:ind w:firstLine="411" w:firstLineChars="196"/>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2677FE34">
      <w:pPr>
        <w:ind w:firstLine="411" w:firstLineChars="196"/>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087D443E">
      <w:pPr>
        <w:ind w:firstLine="411" w:firstLineChars="196"/>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79D0F59F">
      <w:pPr>
        <w:ind w:firstLine="411" w:firstLineChars="196"/>
        <w:rPr>
          <w:rFonts w:ascii="宋体" w:hAnsi="宋体" w:cs="宋体"/>
          <w:kern w:val="0"/>
          <w:szCs w:val="21"/>
        </w:rPr>
      </w:pPr>
      <w:r>
        <w:rPr>
          <w:rFonts w:hint="eastAsia" w:ascii="宋体" w:hAnsi="宋体" w:cs="宋体"/>
          <w:kern w:val="0"/>
          <w:szCs w:val="21"/>
        </w:rPr>
        <w:t>37.4.3评审委员会及其成员独立评标受到非法干预的；</w:t>
      </w:r>
    </w:p>
    <w:p w14:paraId="33F4F60E">
      <w:pPr>
        <w:ind w:firstLine="411" w:firstLineChars="196"/>
        <w:rPr>
          <w:rFonts w:ascii="宋体" w:hAnsi="宋体" w:cs="宋体"/>
          <w:kern w:val="0"/>
          <w:szCs w:val="21"/>
        </w:rPr>
      </w:pPr>
      <w:r>
        <w:rPr>
          <w:rFonts w:hint="eastAsia" w:ascii="宋体" w:hAnsi="宋体" w:cs="宋体"/>
          <w:kern w:val="0"/>
          <w:szCs w:val="21"/>
        </w:rPr>
        <w:t>37.4.4有政府采购法实施条例第七十五条规定的违法行为的。</w:t>
      </w:r>
    </w:p>
    <w:p w14:paraId="4237E096">
      <w:pPr>
        <w:ind w:firstLine="411" w:firstLineChars="196"/>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6D1B7CE3">
      <w:pPr>
        <w:ind w:firstLine="411" w:firstLineChars="196"/>
        <w:rPr>
          <w:rFonts w:ascii="宋体" w:hAnsi="宋体"/>
          <w:szCs w:val="21"/>
        </w:rPr>
      </w:pPr>
    </w:p>
    <w:p w14:paraId="20281F27">
      <w:pPr>
        <w:pStyle w:val="3"/>
        <w:numPr>
          <w:ilvl w:val="0"/>
          <w:numId w:val="10"/>
        </w:numPr>
        <w:spacing w:before="120" w:beforeLines="50" w:after="120" w:afterLines="50"/>
        <w:ind w:left="562" w:hanging="562"/>
        <w:rPr>
          <w:sz w:val="28"/>
          <w:szCs w:val="28"/>
        </w:rPr>
      </w:pPr>
      <w:r>
        <w:rPr>
          <w:rFonts w:hint="eastAsia"/>
          <w:sz w:val="28"/>
          <w:szCs w:val="28"/>
        </w:rPr>
        <w:t>定标及公示</w:t>
      </w:r>
    </w:p>
    <w:p w14:paraId="02B62861">
      <w:pPr>
        <w:rPr>
          <w:rFonts w:ascii="黑体" w:hAnsi="宋体" w:eastAsia="黑体"/>
          <w:sz w:val="24"/>
        </w:rPr>
      </w:pPr>
      <w:r>
        <w:rPr>
          <w:rFonts w:hint="eastAsia" w:ascii="黑体" w:hAnsi="宋体" w:eastAsia="黑体"/>
          <w:sz w:val="24"/>
        </w:rPr>
        <w:t>38．定标方法</w:t>
      </w:r>
    </w:p>
    <w:p w14:paraId="2F39E50B">
      <w:pPr>
        <w:ind w:firstLine="411" w:firstLineChars="196"/>
        <w:rPr>
          <w:rFonts w:ascii="宋体" w:hAnsi="宋体"/>
          <w:szCs w:val="21"/>
        </w:rPr>
      </w:pPr>
      <w:bookmarkStart w:id="97" w:name="_Hlk73782795"/>
      <w:r>
        <w:rPr>
          <w:rFonts w:hint="eastAsia" w:ascii="宋体" w:hAnsi="宋体"/>
          <w:szCs w:val="21"/>
        </w:rPr>
        <w:t>38.1非评定分离项目定标方法</w:t>
      </w:r>
    </w:p>
    <w:p w14:paraId="0429415B">
      <w:pPr>
        <w:ind w:firstLine="411" w:firstLineChars="196"/>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24DC6076">
      <w:pPr>
        <w:ind w:firstLine="411" w:firstLineChars="196"/>
        <w:rPr>
          <w:rFonts w:ascii="ˎ̥" w:hAnsi="ˎ̥"/>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采用最低价法的，评</w:t>
      </w:r>
      <w:r>
        <w:rPr>
          <w:rFonts w:hint="eastAsia" w:ascii="ˎ̥" w:hAnsi="ˎ̥"/>
        </w:rPr>
        <w:t>审</w:t>
      </w:r>
      <w:r>
        <w:rPr>
          <w:rFonts w:ascii="ˎ̥" w:hAnsi="ˎ̥"/>
        </w:rPr>
        <w:t>结果按投标报价由低到高顺序排列。投标报价相同的并列。投标文件满足招标文件全部实质性要求且投标报价最低的</w:t>
      </w:r>
      <w:r>
        <w:rPr>
          <w:rFonts w:hint="eastAsia" w:ascii="ˎ̥" w:hAnsi="ˎ̥"/>
        </w:rPr>
        <w:t>投标人为</w:t>
      </w:r>
      <w:bookmarkStart w:id="98" w:name="_Hlk73821177"/>
      <w:r>
        <w:rPr>
          <w:rFonts w:hint="eastAsia" w:ascii="ˎ̥" w:hAnsi="ˎ̥"/>
        </w:rPr>
        <w:t>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bookmarkEnd w:id="98"/>
      <w:r>
        <w:rPr>
          <w:rFonts w:ascii="ˎ̥" w:hAnsi="ˎ̥"/>
        </w:rPr>
        <w:t>）。</w:t>
      </w:r>
    </w:p>
    <w:p w14:paraId="61DBFA80">
      <w:pPr>
        <w:ind w:firstLine="411" w:firstLineChars="196"/>
        <w:rPr>
          <w:rFonts w:ascii="ˎ̥" w:hAnsi="ˎ̥"/>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rPr>
        <w:t>为中标供应商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r>
        <w:rPr>
          <w:rFonts w:ascii="ˎ̥" w:hAnsi="ˎ̥"/>
        </w:rPr>
        <w:t>）。</w:t>
      </w:r>
      <w:r>
        <w:rPr>
          <w:rFonts w:hint="eastAsia" w:ascii="ˎ̥" w:hAnsi="ˎ̥"/>
        </w:rPr>
        <w:t>出现</w:t>
      </w:r>
      <w:r>
        <w:rPr>
          <w:rFonts w:ascii="ˎ̥" w:hAnsi="ˎ̥"/>
        </w:rPr>
        <w:t>得分且投标报价相同的并列</w:t>
      </w:r>
      <w:r>
        <w:rPr>
          <w:rFonts w:hint="eastAsia" w:ascii="ˎ̥" w:hAnsi="ˎ̥"/>
        </w:rPr>
        <w:t>情况时，采取随机抽取的方式确定，具体操作办法及流程由评审委员会确定。</w:t>
      </w:r>
    </w:p>
    <w:p w14:paraId="6F5B9AFD">
      <w:pPr>
        <w:ind w:firstLine="411" w:firstLineChars="196"/>
        <w:rPr>
          <w:rFonts w:ascii="宋体" w:hAnsi="宋体"/>
          <w:szCs w:val="21"/>
        </w:rPr>
      </w:pPr>
      <w:r>
        <w:rPr>
          <w:rFonts w:hint="eastAsia" w:ascii="宋体" w:hAnsi="宋体"/>
          <w:szCs w:val="21"/>
        </w:rPr>
        <w:t>38.2评定分离项目定标方法</w:t>
      </w:r>
    </w:p>
    <w:p w14:paraId="748A1D1A">
      <w:pPr>
        <w:ind w:firstLine="411" w:firstLineChars="196"/>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5FF46228">
      <w:pPr>
        <w:ind w:firstLine="411" w:firstLineChars="196"/>
      </w:pPr>
      <w:r>
        <w:rPr>
          <w:rFonts w:ascii="宋体" w:hAnsi="宋体"/>
          <w:szCs w:val="21"/>
        </w:rPr>
        <w:t xml:space="preserve">38.2.2 </w:t>
      </w:r>
      <w:bookmarkStart w:id="99"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14:paraId="58300EE1">
      <w:pPr>
        <w:ind w:firstLine="411" w:firstLineChars="196"/>
        <w:rPr>
          <w:rFonts w:ascii="宋体" w:hAnsi="宋体"/>
          <w:szCs w:val="21"/>
        </w:rPr>
      </w:pPr>
      <w:r>
        <w:rPr>
          <w:rFonts w:hint="eastAsia" w:ascii="宋体" w:hAnsi="宋体"/>
          <w:szCs w:val="21"/>
        </w:rPr>
        <w:t>38.2.3</w:t>
      </w:r>
      <w:bookmarkStart w:id="100"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99"/>
      <w:bookmarkEnd w:id="100"/>
    </w:p>
    <w:p w14:paraId="5165A386">
      <w:pPr>
        <w:ind w:firstLine="411" w:firstLineChars="196"/>
        <w:rPr>
          <w:rFonts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政府集中采购机构。具体定标程序及相关要求按照《深圳市财政局关于</w:t>
      </w:r>
      <w:r>
        <w:rPr>
          <w:rFonts w:hint="eastAsia"/>
          <w:lang w:eastAsia="zh-CN"/>
        </w:rPr>
        <w:t>〈</w:t>
      </w:r>
      <w:r>
        <w:rPr>
          <w:rFonts w:hint="eastAsia"/>
        </w:rPr>
        <w:t>深圳市政府采购评标定标分离管理办法</w:t>
      </w:r>
      <w:r>
        <w:rPr>
          <w:rFonts w:hint="eastAsia"/>
          <w:lang w:eastAsia="zh-CN"/>
        </w:rPr>
        <w:t>〉</w:t>
      </w:r>
      <w:r>
        <w:rPr>
          <w:rFonts w:hint="eastAsia"/>
        </w:rPr>
        <w:t>续期的通知》（深财规〔2023〕1号）执行。</w:t>
      </w:r>
    </w:p>
    <w:p w14:paraId="4E6CF9EB">
      <w:pPr>
        <w:ind w:firstLine="411" w:firstLineChars="196"/>
        <w:rPr>
          <w:rFonts w:ascii="宋体" w:hAnsi="宋体"/>
          <w:szCs w:val="21"/>
        </w:rPr>
      </w:pPr>
      <w:r>
        <w:rPr>
          <w:rFonts w:hint="eastAsia" w:ascii="宋体" w:hAnsi="宋体"/>
          <w:szCs w:val="21"/>
        </w:rPr>
        <w:t>说明：采购人及投标供应商应按照上述方法提前做好相关准备。</w:t>
      </w:r>
    </w:p>
    <w:p w14:paraId="0465C445">
      <w:pPr>
        <w:ind w:firstLine="411" w:firstLineChars="196"/>
        <w:rPr>
          <w:rFonts w:ascii="宋体" w:hAnsi="宋体"/>
          <w:szCs w:val="21"/>
        </w:rPr>
      </w:pPr>
      <w:r>
        <w:rPr>
          <w:rFonts w:hint="eastAsia" w:ascii="宋体" w:hAnsi="宋体"/>
          <w:szCs w:val="21"/>
        </w:rPr>
        <w:t>38.3专用条款另有规定的，按专用条款相关要求定标。</w:t>
      </w:r>
      <w:bookmarkEnd w:id="97"/>
    </w:p>
    <w:p w14:paraId="6292A52E">
      <w:pPr>
        <w:rPr>
          <w:rFonts w:ascii="黑体" w:hAnsi="宋体" w:eastAsia="黑体"/>
          <w:sz w:val="24"/>
        </w:rPr>
      </w:pPr>
      <w:r>
        <w:rPr>
          <w:rFonts w:hint="eastAsia" w:ascii="黑体" w:hAnsi="宋体" w:eastAsia="黑体"/>
          <w:sz w:val="24"/>
        </w:rPr>
        <w:t>39．编写评审报告</w:t>
      </w:r>
    </w:p>
    <w:p w14:paraId="19AF18A2">
      <w:pPr>
        <w:ind w:firstLine="411" w:firstLineChars="196"/>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075C06F1">
      <w:pPr>
        <w:rPr>
          <w:rFonts w:ascii="黑体" w:hAnsi="宋体" w:eastAsia="黑体"/>
          <w:sz w:val="24"/>
        </w:rPr>
      </w:pPr>
      <w:r>
        <w:rPr>
          <w:rFonts w:hint="eastAsia" w:ascii="黑体" w:hAnsi="宋体" w:eastAsia="黑体"/>
          <w:sz w:val="24"/>
        </w:rPr>
        <w:t>40．中标公告</w:t>
      </w:r>
    </w:p>
    <w:p w14:paraId="014F9D41">
      <w:pPr>
        <w:ind w:firstLine="411" w:firstLineChars="196"/>
        <w:rPr>
          <w:rFonts w:ascii="宋体" w:hAnsi="宋体"/>
          <w:szCs w:val="21"/>
        </w:rPr>
      </w:pPr>
      <w:r>
        <w:rPr>
          <w:rFonts w:hint="eastAsia" w:ascii="宋体" w:hAnsi="宋体"/>
          <w:szCs w:val="21"/>
        </w:rPr>
        <w:t>40.1</w:t>
      </w:r>
      <w:bookmarkStart w:id="101"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szCs w:val="21"/>
        </w:rPr>
        <w:t>深圳公共资源交易网（https://szggzy.com/）</w:t>
      </w:r>
      <w:r>
        <w:rPr>
          <w:rFonts w:hint="eastAsia" w:ascii="宋体" w:hAnsi="宋体"/>
          <w:szCs w:val="21"/>
        </w:rPr>
        <w:t>上发布中标结果公告。供应商如对评审结果有异议，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若在公示期内未提出质疑，则视为认同该评审结果。</w:t>
      </w:r>
      <w:bookmarkEnd w:id="101"/>
      <w:bookmarkStart w:id="102" w:name="_Hlk72438751"/>
    </w:p>
    <w:bookmarkEnd w:id="102"/>
    <w:p w14:paraId="61DF3F09">
      <w:pPr>
        <w:ind w:firstLine="411" w:firstLineChars="196"/>
        <w:rPr>
          <w:rFonts w:ascii="宋体" w:hAnsi="宋体"/>
          <w:szCs w:val="21"/>
        </w:rPr>
      </w:pPr>
      <w:r>
        <w:rPr>
          <w:rFonts w:hint="eastAsia" w:ascii="宋体" w:hAnsi="宋体"/>
          <w:szCs w:val="21"/>
        </w:rPr>
        <w:t>40.2质疑、投诉供应商应保证质疑、投诉内容的真实性和可靠性，并承担相应的法律责任。</w:t>
      </w:r>
    </w:p>
    <w:p w14:paraId="3BA9D0DD">
      <w:pPr>
        <w:rPr>
          <w:rFonts w:ascii="黑体" w:hAnsi="宋体" w:eastAsia="黑体"/>
          <w:sz w:val="24"/>
        </w:rPr>
      </w:pPr>
      <w:r>
        <w:rPr>
          <w:rFonts w:hint="eastAsia" w:ascii="黑体" w:hAnsi="宋体" w:eastAsia="黑体"/>
          <w:sz w:val="24"/>
        </w:rPr>
        <w:t>41．中标通知书</w:t>
      </w:r>
    </w:p>
    <w:p w14:paraId="063FC3AC">
      <w:pPr>
        <w:ind w:firstLine="411" w:firstLineChars="196"/>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03" w:name="_Hlk72438863"/>
      <w:r>
        <w:rPr>
          <w:rFonts w:hint="eastAsia" w:ascii="宋体" w:hAnsi="宋体"/>
          <w:szCs w:val="21"/>
        </w:rPr>
        <w:t>中标公告公布以后无异常的情况下</w:t>
      </w:r>
      <w:r>
        <w:rPr>
          <w:rFonts w:hint="eastAsia" w:ascii="宋体" w:hAnsi="宋体"/>
          <w:szCs w:val="21"/>
          <w:lang w:eastAsia="zh-CN"/>
        </w:rPr>
        <w:t>，</w:t>
      </w:r>
      <w:r>
        <w:rPr>
          <w:rFonts w:hint="eastAsia" w:ascii="宋体" w:hAnsi="宋体"/>
          <w:szCs w:val="21"/>
        </w:rPr>
        <w:t>中标供应商和采购人可自行在</w:t>
      </w:r>
      <w:r>
        <w:rPr>
          <w:rFonts w:hint="eastAsia" w:ascii="宋体" w:hAnsi="宋体"/>
          <w:b/>
          <w:bCs/>
          <w:szCs w:val="21"/>
        </w:rPr>
        <w:t>“深圳市自行采购系统”</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03"/>
    </w:p>
    <w:p w14:paraId="16DCFE22">
      <w:pPr>
        <w:ind w:firstLine="411" w:firstLineChars="196"/>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7791ECBF">
      <w:pPr>
        <w:ind w:firstLine="411" w:firstLineChars="196"/>
        <w:rPr>
          <w:rFonts w:ascii="宋体" w:hAnsi="宋体"/>
          <w:szCs w:val="21"/>
        </w:rPr>
      </w:pPr>
      <w:bookmarkStart w:id="104" w:name="_Hlk71407340"/>
      <w:r>
        <w:rPr>
          <w:rFonts w:hint="eastAsia" w:ascii="宋体" w:hAnsi="宋体"/>
          <w:szCs w:val="21"/>
        </w:rPr>
        <w:t>41.3因质疑投诉或</w:t>
      </w:r>
      <w:r>
        <w:rPr>
          <w:rFonts w:hint="eastAsia" w:ascii="宋体" w:hAnsi="宋体"/>
          <w:szCs w:val="21"/>
          <w:lang w:eastAsia="zh-CN"/>
        </w:rPr>
        <w:t>其他</w:t>
      </w:r>
      <w:r>
        <w:rPr>
          <w:rFonts w:hint="eastAsia" w:ascii="宋体" w:hAnsi="宋体"/>
          <w:szCs w:val="21"/>
        </w:rPr>
        <w:t>原因导致项目结果变更或采购终止的，政府集中采购机构有权吊销中标通知书。</w:t>
      </w:r>
    </w:p>
    <w:bookmarkEnd w:id="104"/>
    <w:p w14:paraId="3374B57C">
      <w:pPr>
        <w:ind w:firstLine="411" w:firstLineChars="196"/>
        <w:rPr>
          <w:rFonts w:ascii="宋体" w:hAnsi="宋体"/>
          <w:szCs w:val="21"/>
        </w:rPr>
      </w:pPr>
    </w:p>
    <w:p w14:paraId="0CA6E469">
      <w:pPr>
        <w:pStyle w:val="3"/>
        <w:numPr>
          <w:ilvl w:val="0"/>
          <w:numId w:val="10"/>
        </w:numPr>
        <w:spacing w:before="120" w:beforeLines="50" w:after="120" w:afterLines="50"/>
        <w:ind w:left="562" w:hanging="562"/>
        <w:rPr>
          <w:sz w:val="28"/>
          <w:szCs w:val="28"/>
        </w:rPr>
      </w:pPr>
      <w:r>
        <w:rPr>
          <w:rFonts w:hint="eastAsia"/>
          <w:sz w:val="28"/>
          <w:szCs w:val="28"/>
        </w:rPr>
        <w:t>公开招标失败的后续处理</w:t>
      </w:r>
    </w:p>
    <w:p w14:paraId="284204B5">
      <w:pPr>
        <w:rPr>
          <w:rFonts w:ascii="黑体" w:hAnsi="宋体" w:eastAsia="黑体"/>
          <w:sz w:val="24"/>
        </w:rPr>
      </w:pPr>
      <w:r>
        <w:rPr>
          <w:rFonts w:hint="eastAsia" w:ascii="黑体" w:hAnsi="宋体" w:eastAsia="黑体"/>
          <w:sz w:val="24"/>
        </w:rPr>
        <w:t>42．公开招标失败的处理</w:t>
      </w:r>
    </w:p>
    <w:p w14:paraId="4B7C58F3">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2C6ADF76">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773B7356">
      <w:pPr>
        <w:ind w:firstLine="411" w:firstLineChars="196"/>
        <w:rPr>
          <w:rFonts w:ascii="宋体" w:hAnsi="宋体"/>
          <w:szCs w:val="21"/>
        </w:rPr>
      </w:pPr>
      <w:r>
        <w:rPr>
          <w:rFonts w:hint="eastAsia" w:ascii="宋体" w:hAnsi="宋体"/>
          <w:szCs w:val="21"/>
        </w:rPr>
        <w:t>42.3重新组织采购有以下两种组织形式：</w:t>
      </w:r>
    </w:p>
    <w:p w14:paraId="32CB6740">
      <w:pPr>
        <w:ind w:firstLine="411" w:firstLineChars="196"/>
        <w:rPr>
          <w:rFonts w:ascii="宋体" w:hAnsi="宋体"/>
        </w:rPr>
      </w:pPr>
      <w:r>
        <w:rPr>
          <w:rFonts w:hint="eastAsia" w:ascii="宋体" w:hAnsi="宋体"/>
        </w:rPr>
        <w:t>（1）由政府集中采购机构重新组织公开招标；</w:t>
      </w:r>
    </w:p>
    <w:p w14:paraId="65B569C3">
      <w:pPr>
        <w:ind w:firstLine="411" w:firstLineChars="196"/>
        <w:rPr>
          <w:rFonts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14:paraId="50C5A004">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14:paraId="4D29477C">
      <w:pPr>
        <w:rPr>
          <w:rFonts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14:paraId="3DE1E86C">
      <w:pPr>
        <w:rPr>
          <w:rFonts w:ascii="黑体" w:hAnsi="宋体" w:eastAsia="黑体"/>
          <w:sz w:val="24"/>
        </w:rPr>
      </w:pPr>
    </w:p>
    <w:p w14:paraId="2A4A42F6">
      <w:pPr>
        <w:pStyle w:val="3"/>
        <w:numPr>
          <w:ilvl w:val="0"/>
          <w:numId w:val="10"/>
        </w:numPr>
        <w:spacing w:before="120" w:beforeLines="50" w:after="120" w:afterLines="50"/>
        <w:ind w:left="562" w:hanging="562"/>
        <w:rPr>
          <w:sz w:val="28"/>
          <w:szCs w:val="28"/>
        </w:rPr>
      </w:pPr>
      <w:bookmarkStart w:id="105" w:name="_Hlk72439043"/>
      <w:r>
        <w:rPr>
          <w:rFonts w:hint="eastAsia"/>
          <w:sz w:val="28"/>
          <w:szCs w:val="28"/>
        </w:rPr>
        <w:t>合同的授予与备案</w:t>
      </w:r>
      <w:bookmarkEnd w:id="105"/>
    </w:p>
    <w:p w14:paraId="4E3B5319">
      <w:pPr>
        <w:rPr>
          <w:rFonts w:ascii="黑体" w:hAnsi="宋体" w:eastAsia="黑体"/>
          <w:sz w:val="24"/>
        </w:rPr>
      </w:pPr>
      <w:bookmarkStart w:id="106" w:name="_Toc73518157"/>
      <w:bookmarkStart w:id="107" w:name="_Toc100052408"/>
      <w:bookmarkStart w:id="108" w:name="_Toc73521674"/>
      <w:bookmarkStart w:id="109" w:name="_Toc73521586"/>
      <w:bookmarkStart w:id="110" w:name="_Toc73517679"/>
      <w:bookmarkStart w:id="111" w:name="_Hlk72439088"/>
      <w:r>
        <w:rPr>
          <w:rFonts w:hint="eastAsia" w:ascii="黑体" w:hAnsi="宋体" w:eastAsia="黑体"/>
          <w:sz w:val="24"/>
        </w:rPr>
        <w:t>43．合同授予标准</w:t>
      </w:r>
      <w:bookmarkEnd w:id="106"/>
      <w:bookmarkEnd w:id="107"/>
      <w:bookmarkEnd w:id="108"/>
      <w:bookmarkEnd w:id="109"/>
      <w:bookmarkEnd w:id="110"/>
    </w:p>
    <w:p w14:paraId="6E68F3F6">
      <w:pPr>
        <w:ind w:firstLine="411" w:firstLineChars="196"/>
        <w:rPr>
          <w:rFonts w:ascii="宋体" w:hAnsi="宋体"/>
          <w:szCs w:val="21"/>
        </w:rPr>
      </w:pPr>
      <w:r>
        <w:rPr>
          <w:rFonts w:hint="eastAsia" w:ascii="宋体" w:hAnsi="宋体"/>
          <w:szCs w:val="21"/>
        </w:rPr>
        <w:t>本项目的合同将授予经本招标文件规定评审确定的中标供应商。</w:t>
      </w:r>
    </w:p>
    <w:p w14:paraId="6205C17C">
      <w:pPr>
        <w:rPr>
          <w:rFonts w:ascii="黑体" w:hAnsi="宋体" w:eastAsia="黑体"/>
          <w:sz w:val="24"/>
        </w:rPr>
      </w:pPr>
      <w:bookmarkStart w:id="112" w:name="_Toc73521587"/>
      <w:bookmarkStart w:id="113" w:name="_Toc73521675"/>
      <w:bookmarkStart w:id="114" w:name="_Toc73517680"/>
      <w:bookmarkStart w:id="115" w:name="_Toc100052409"/>
      <w:bookmarkStart w:id="116" w:name="_Toc73518158"/>
      <w:r>
        <w:rPr>
          <w:rFonts w:hint="eastAsia" w:ascii="黑体" w:hAnsi="宋体" w:eastAsia="黑体"/>
          <w:sz w:val="24"/>
        </w:rPr>
        <w:t>44．</w:t>
      </w:r>
      <w:bookmarkEnd w:id="112"/>
      <w:bookmarkEnd w:id="113"/>
      <w:bookmarkEnd w:id="114"/>
      <w:bookmarkEnd w:id="115"/>
      <w:bookmarkEnd w:id="116"/>
      <w:r>
        <w:rPr>
          <w:rFonts w:hint="eastAsia" w:ascii="黑体" w:hAnsi="宋体" w:eastAsia="黑体"/>
          <w:sz w:val="24"/>
        </w:rPr>
        <w:t>接受和拒绝任何或所有投标的权力</w:t>
      </w:r>
    </w:p>
    <w:p w14:paraId="7538559F">
      <w:pPr>
        <w:ind w:firstLine="411" w:firstLineChars="196"/>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4EB86DB9">
      <w:pPr>
        <w:rPr>
          <w:rFonts w:ascii="黑体" w:hAnsi="宋体" w:eastAsia="黑体"/>
          <w:sz w:val="24"/>
        </w:rPr>
      </w:pPr>
      <w:bookmarkStart w:id="117" w:name="_Toc73521677"/>
      <w:bookmarkStart w:id="118" w:name="_Toc73518160"/>
      <w:bookmarkStart w:id="119" w:name="_Toc73521589"/>
      <w:bookmarkStart w:id="120" w:name="_Toc73517682"/>
      <w:bookmarkStart w:id="121" w:name="_Toc100052410"/>
      <w:r>
        <w:rPr>
          <w:rFonts w:hint="eastAsia" w:ascii="黑体" w:hAnsi="宋体" w:eastAsia="黑体"/>
          <w:sz w:val="24"/>
        </w:rPr>
        <w:t>45．合同的签订</w:t>
      </w:r>
      <w:bookmarkEnd w:id="117"/>
      <w:bookmarkEnd w:id="118"/>
      <w:bookmarkEnd w:id="119"/>
      <w:bookmarkEnd w:id="120"/>
      <w:bookmarkEnd w:id="121"/>
    </w:p>
    <w:p w14:paraId="5DA72F2F">
      <w:pPr>
        <w:ind w:firstLine="411" w:firstLineChars="196"/>
        <w:rPr>
          <w:rFonts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14:paraId="043F97AC">
      <w:pPr>
        <w:ind w:firstLine="411" w:firstLineChars="196"/>
        <w:rPr>
          <w:rFonts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67AC6167">
      <w:pPr>
        <w:ind w:firstLine="411" w:firstLineChars="196"/>
        <w:rPr>
          <w:rFonts w:ascii="宋体" w:hAnsi="宋体"/>
          <w:szCs w:val="21"/>
        </w:rPr>
      </w:pPr>
      <w:r>
        <w:rPr>
          <w:rFonts w:hint="eastAsia" w:ascii="宋体" w:hAnsi="宋体"/>
          <w:szCs w:val="21"/>
        </w:rPr>
        <w:t>45.3中标人应当按照合同约定履行义务，完成中标项目，不得将中标项目转让（转包）给他人。</w:t>
      </w:r>
    </w:p>
    <w:p w14:paraId="130DCF90">
      <w:pPr>
        <w:rPr>
          <w:rFonts w:ascii="黑体" w:hAnsi="宋体" w:eastAsia="黑体"/>
          <w:sz w:val="24"/>
        </w:rPr>
      </w:pPr>
      <w:bookmarkStart w:id="122" w:name="_Toc73521590"/>
      <w:bookmarkStart w:id="123" w:name="_Toc100052411"/>
      <w:bookmarkStart w:id="124" w:name="_Toc73518161"/>
      <w:bookmarkStart w:id="125" w:name="_Toc73517683"/>
      <w:bookmarkStart w:id="126" w:name="_Toc73521678"/>
      <w:r>
        <w:rPr>
          <w:rFonts w:hint="eastAsia" w:ascii="黑体" w:hAnsi="宋体" w:eastAsia="黑体"/>
          <w:sz w:val="24"/>
        </w:rPr>
        <w:t>46．履约担保</w:t>
      </w:r>
      <w:bookmarkEnd w:id="122"/>
      <w:bookmarkEnd w:id="123"/>
      <w:bookmarkEnd w:id="124"/>
      <w:bookmarkEnd w:id="125"/>
      <w:bookmarkEnd w:id="126"/>
    </w:p>
    <w:p w14:paraId="608991ED">
      <w:pPr>
        <w:ind w:firstLine="411" w:firstLineChars="196"/>
        <w:rPr>
          <w:rFonts w:ascii="宋体" w:hAnsi="宋体"/>
          <w:szCs w:val="21"/>
        </w:rPr>
      </w:pPr>
      <w:r>
        <w:rPr>
          <w:rFonts w:hint="eastAsia" w:ascii="宋体" w:hAnsi="宋体"/>
          <w:szCs w:val="21"/>
        </w:rPr>
        <w:t>46.1在签订项目合同的同时，中标人应按“对通用条款的补充内容”中规定的金额向采购人提交履约担保；</w:t>
      </w:r>
    </w:p>
    <w:p w14:paraId="1E062AA1">
      <w:pPr>
        <w:ind w:firstLine="411" w:firstLineChars="196"/>
        <w:rPr>
          <w:rFonts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14:paraId="49908874">
      <w:pPr>
        <w:rPr>
          <w:rFonts w:ascii="黑体" w:hAnsi="宋体" w:eastAsia="黑体"/>
          <w:sz w:val="24"/>
        </w:rPr>
      </w:pPr>
      <w:r>
        <w:rPr>
          <w:rFonts w:hint="eastAsia" w:ascii="黑体" w:hAnsi="宋体" w:eastAsia="黑体"/>
          <w:sz w:val="24"/>
        </w:rPr>
        <w:t>47. 合同备案</w:t>
      </w:r>
    </w:p>
    <w:p w14:paraId="767CCC60">
      <w:pPr>
        <w:ind w:firstLine="420" w:firstLineChars="200"/>
        <w:rPr>
          <w:rFonts w:ascii="宋体" w:hAnsi="宋体"/>
          <w:szCs w:val="21"/>
        </w:rPr>
      </w:pPr>
      <w:r>
        <w:rPr>
          <w:rFonts w:hint="eastAsia" w:ascii="宋体" w:hAnsi="宋体"/>
          <w:szCs w:val="21"/>
        </w:rPr>
        <w:t>按采购单位内控规定备案。</w:t>
      </w:r>
    </w:p>
    <w:p w14:paraId="620EC14C">
      <w:pPr>
        <w:rPr>
          <w:rFonts w:ascii="黑体" w:hAnsi="宋体" w:eastAsia="黑体"/>
          <w:sz w:val="24"/>
        </w:rPr>
      </w:pPr>
      <w:r>
        <w:rPr>
          <w:rFonts w:hint="eastAsia" w:ascii="黑体" w:hAnsi="宋体" w:eastAsia="黑体"/>
          <w:sz w:val="24"/>
        </w:rPr>
        <w:t>48. 合同变更</w:t>
      </w:r>
    </w:p>
    <w:p w14:paraId="0C7A7861">
      <w:pPr>
        <w:ind w:firstLine="420" w:firstLineChars="200"/>
        <w:rPr>
          <w:rFonts w:ascii="宋体" w:hAnsi="宋体"/>
          <w:szCs w:val="21"/>
        </w:rPr>
      </w:pPr>
      <w:r>
        <w:rPr>
          <w:rFonts w:hint="eastAsia" w:ascii="宋体" w:hAnsi="宋体"/>
          <w:szCs w:val="21"/>
        </w:rPr>
        <w:t>合同变更事宜按采购单位内控规定执行。</w:t>
      </w:r>
    </w:p>
    <w:p w14:paraId="7EC5466B">
      <w:pPr>
        <w:rPr>
          <w:rFonts w:ascii="黑体" w:hAnsi="宋体" w:eastAsia="黑体"/>
          <w:sz w:val="24"/>
        </w:rPr>
      </w:pPr>
      <w:r>
        <w:rPr>
          <w:rFonts w:hint="eastAsia" w:ascii="黑体" w:hAnsi="宋体" w:eastAsia="黑体"/>
          <w:sz w:val="24"/>
        </w:rPr>
        <w:t>49. 项目验收</w:t>
      </w:r>
    </w:p>
    <w:p w14:paraId="6CF7454C">
      <w:pPr>
        <w:widowControl/>
        <w:ind w:right="176" w:firstLine="420"/>
        <w:jc w:val="left"/>
        <w:rPr>
          <w:rFonts w:ascii="宋体" w:hAnsi="宋体"/>
        </w:rPr>
      </w:pPr>
      <w:r>
        <w:rPr>
          <w:rFonts w:hint="eastAsia" w:ascii="宋体" w:hAnsi="宋体"/>
        </w:rPr>
        <w:t>49.1采购人应当按照招标文件和合同规定的标准和方法，及时组织验收。</w:t>
      </w:r>
      <w:r>
        <w:rPr>
          <w:rFonts w:ascii="宋体" w:hAnsi="宋体"/>
        </w:rPr>
        <w:t xml:space="preserve"> </w:t>
      </w:r>
    </w:p>
    <w:p w14:paraId="333ED743">
      <w:pPr>
        <w:rPr>
          <w:rFonts w:ascii="黑体" w:hAnsi="宋体" w:eastAsia="黑体"/>
          <w:sz w:val="24"/>
        </w:rPr>
      </w:pPr>
      <w:r>
        <w:rPr>
          <w:rFonts w:hint="eastAsia" w:ascii="黑体" w:hAnsi="宋体" w:eastAsia="黑体"/>
          <w:sz w:val="24"/>
        </w:rPr>
        <w:t>50. 宣传</w:t>
      </w:r>
    </w:p>
    <w:p w14:paraId="2036CD75">
      <w:pPr>
        <w:ind w:left="210" w:leftChars="100" w:firstLine="411" w:firstLineChars="196"/>
        <w:rPr>
          <w:rFonts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14:paraId="59AAE064">
      <w:pPr>
        <w:ind w:left="210" w:leftChars="100" w:firstLine="411" w:firstLineChars="196"/>
        <w:rPr>
          <w:rFonts w:ascii="宋体" w:hAnsi="宋体"/>
        </w:rPr>
      </w:pPr>
      <w:r>
        <w:rPr>
          <w:rFonts w:ascii="宋体" w:hAnsi="宋体"/>
        </w:rPr>
        <w:t>a.名片、宣传册、广告标语等；</w:t>
      </w:r>
    </w:p>
    <w:p w14:paraId="7C2F15FF">
      <w:pPr>
        <w:ind w:left="210" w:leftChars="100" w:firstLine="411" w:firstLineChars="196"/>
        <w:rPr>
          <w:rFonts w:ascii="宋体" w:hAnsi="宋体"/>
        </w:rPr>
      </w:pPr>
      <w:r>
        <w:rPr>
          <w:rFonts w:ascii="宋体" w:hAnsi="宋体"/>
        </w:rPr>
        <w:t>b.案例介绍、推广等；</w:t>
      </w:r>
    </w:p>
    <w:p w14:paraId="6EE110C7">
      <w:pPr>
        <w:ind w:left="210" w:leftChars="100" w:firstLine="411" w:firstLineChars="196"/>
        <w:rPr>
          <w:rFonts w:ascii="宋体" w:hAnsi="宋体"/>
        </w:rPr>
      </w:pPr>
      <w:r>
        <w:rPr>
          <w:rFonts w:hint="eastAsia" w:ascii="宋体" w:hAnsi="宋体"/>
        </w:rPr>
        <w:t>c.工作</w:t>
      </w:r>
      <w:r>
        <w:rPr>
          <w:rFonts w:ascii="宋体" w:hAnsi="宋体"/>
        </w:rPr>
        <w:t>人员向其他消费群体宣传。</w:t>
      </w:r>
    </w:p>
    <w:p w14:paraId="0BFD9C72">
      <w:pPr>
        <w:rPr>
          <w:rFonts w:ascii="黑体" w:hAnsi="宋体" w:eastAsia="黑体"/>
          <w:sz w:val="24"/>
        </w:rPr>
      </w:pPr>
      <w:r>
        <w:rPr>
          <w:rFonts w:hint="eastAsia" w:ascii="黑体" w:hAnsi="宋体" w:eastAsia="黑体"/>
          <w:sz w:val="24"/>
        </w:rPr>
        <w:t>51. 供应商违法责任</w:t>
      </w:r>
    </w:p>
    <w:p w14:paraId="5F087FE0">
      <w:pPr>
        <w:ind w:firstLine="411" w:firstLineChars="196"/>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3945924">
      <w:pPr>
        <w:ind w:firstLine="411" w:firstLineChars="196"/>
        <w:rPr>
          <w:rFonts w:ascii="宋体" w:hAnsi="宋体"/>
          <w:szCs w:val="21"/>
        </w:rPr>
      </w:pPr>
      <w:r>
        <w:rPr>
          <w:rFonts w:hint="eastAsia" w:ascii="宋体" w:hAnsi="宋体"/>
          <w:szCs w:val="21"/>
        </w:rPr>
        <w:t>（1）在采购活动中应当回避而未回避的；</w:t>
      </w:r>
    </w:p>
    <w:p w14:paraId="057B2A7E">
      <w:pPr>
        <w:ind w:firstLine="411" w:firstLineChars="196"/>
        <w:rPr>
          <w:rFonts w:ascii="宋体" w:hAnsi="宋体"/>
          <w:szCs w:val="21"/>
        </w:rPr>
      </w:pPr>
      <w:r>
        <w:rPr>
          <w:rFonts w:hint="eastAsia" w:ascii="宋体" w:hAnsi="宋体"/>
          <w:szCs w:val="21"/>
        </w:rPr>
        <w:t>（2）未按本条例规定签订、履行采购合同，造成严重后果的；</w:t>
      </w:r>
    </w:p>
    <w:p w14:paraId="5638B1A6">
      <w:pPr>
        <w:ind w:firstLine="411" w:firstLineChars="196"/>
        <w:rPr>
          <w:rFonts w:ascii="宋体" w:hAnsi="宋体"/>
          <w:szCs w:val="21"/>
        </w:rPr>
      </w:pPr>
      <w:r>
        <w:rPr>
          <w:rFonts w:hint="eastAsia" w:ascii="宋体" w:hAnsi="宋体"/>
          <w:szCs w:val="21"/>
        </w:rPr>
        <w:t>（3）隐瞒真实情况，提供虚假资料的；</w:t>
      </w:r>
    </w:p>
    <w:p w14:paraId="587874A1">
      <w:pPr>
        <w:ind w:firstLine="411" w:firstLineChars="196"/>
        <w:rPr>
          <w:rFonts w:ascii="宋体" w:hAnsi="宋体"/>
          <w:szCs w:val="21"/>
        </w:rPr>
      </w:pPr>
      <w:r>
        <w:rPr>
          <w:rFonts w:hint="eastAsia" w:ascii="宋体" w:hAnsi="宋体"/>
          <w:szCs w:val="21"/>
        </w:rPr>
        <w:t>（4）以非法手段排斥其他供应商参与竞争的；</w:t>
      </w:r>
    </w:p>
    <w:p w14:paraId="5DB0A09F">
      <w:pPr>
        <w:ind w:firstLine="411" w:firstLineChars="196"/>
        <w:rPr>
          <w:rFonts w:ascii="宋体" w:hAnsi="宋体"/>
          <w:szCs w:val="21"/>
        </w:rPr>
      </w:pPr>
      <w:r>
        <w:rPr>
          <w:rFonts w:hint="eastAsia" w:ascii="宋体" w:hAnsi="宋体"/>
          <w:szCs w:val="21"/>
        </w:rPr>
        <w:t>（5）与其他采购参加人串通投标的；</w:t>
      </w:r>
    </w:p>
    <w:p w14:paraId="374BC1AB">
      <w:pPr>
        <w:ind w:firstLine="411" w:firstLineChars="196"/>
        <w:rPr>
          <w:rFonts w:ascii="宋体" w:hAnsi="宋体"/>
          <w:szCs w:val="21"/>
        </w:rPr>
      </w:pPr>
      <w:r>
        <w:rPr>
          <w:rFonts w:hint="eastAsia" w:ascii="宋体" w:hAnsi="宋体"/>
          <w:szCs w:val="21"/>
        </w:rPr>
        <w:t>（6）恶意投诉的；</w:t>
      </w:r>
    </w:p>
    <w:p w14:paraId="04F21A20">
      <w:pPr>
        <w:ind w:firstLine="411" w:firstLineChars="196"/>
        <w:rPr>
          <w:rFonts w:ascii="宋体" w:hAnsi="宋体"/>
          <w:szCs w:val="21"/>
        </w:rPr>
      </w:pPr>
      <w:r>
        <w:rPr>
          <w:rFonts w:hint="eastAsia" w:ascii="宋体" w:hAnsi="宋体"/>
          <w:szCs w:val="21"/>
        </w:rPr>
        <w:t>（7）向采购项目相关人行贿或者提供其他不当利益的；</w:t>
      </w:r>
    </w:p>
    <w:p w14:paraId="0AC10073">
      <w:pPr>
        <w:ind w:firstLine="411" w:firstLineChars="196"/>
        <w:rPr>
          <w:rFonts w:ascii="宋体" w:hAnsi="宋体"/>
          <w:szCs w:val="21"/>
        </w:rPr>
      </w:pPr>
      <w:r>
        <w:rPr>
          <w:rFonts w:hint="eastAsia" w:ascii="宋体" w:hAnsi="宋体"/>
          <w:szCs w:val="21"/>
        </w:rPr>
        <w:t>（8）阻碍、抗拒主管部门监督检查的；</w:t>
      </w:r>
    </w:p>
    <w:p w14:paraId="79D15792">
      <w:pPr>
        <w:ind w:firstLine="411" w:firstLineChars="196"/>
        <w:rPr>
          <w:rFonts w:ascii="宋体" w:hAnsi="宋体"/>
          <w:szCs w:val="21"/>
        </w:rPr>
      </w:pPr>
      <w:r>
        <w:rPr>
          <w:rFonts w:hint="eastAsia" w:ascii="宋体" w:hAnsi="宋体"/>
          <w:szCs w:val="21"/>
        </w:rPr>
        <w:t>（9）其他违反本条例规定的行为。</w:t>
      </w:r>
    </w:p>
    <w:p w14:paraId="2F99ADEF">
      <w:pPr>
        <w:ind w:firstLine="411" w:firstLineChars="196"/>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27" w:name="_Hlk72440769"/>
      <w:r>
        <w:rPr>
          <w:rFonts w:hint="eastAsia" w:ascii="宋体" w:hAnsi="宋体"/>
          <w:szCs w:val="21"/>
        </w:rPr>
        <w:t>政府集中采购机构或采购人不予退还其交纳的谈判保证金，情节严重的，并由主管部门</w:t>
      </w:r>
      <w:bookmarkEnd w:id="127"/>
      <w:r>
        <w:rPr>
          <w:rFonts w:hint="eastAsia" w:ascii="宋体" w:hAnsi="宋体"/>
          <w:szCs w:val="21"/>
        </w:rPr>
        <w:t>记入供应商诚信档案，予以通报：</w:t>
      </w:r>
    </w:p>
    <w:p w14:paraId="1E6E88C4">
      <w:pPr>
        <w:ind w:firstLine="411" w:firstLineChars="196"/>
        <w:rPr>
          <w:rFonts w:ascii="宋体" w:hAnsi="宋体"/>
          <w:szCs w:val="21"/>
        </w:rPr>
      </w:pPr>
      <w:r>
        <w:rPr>
          <w:rFonts w:hint="eastAsia" w:ascii="宋体" w:hAnsi="宋体"/>
          <w:szCs w:val="21"/>
        </w:rPr>
        <w:t>（1</w:t>
      </w:r>
      <w:r>
        <w:rPr>
          <w:rFonts w:ascii="宋体" w:hAnsi="宋体"/>
          <w:szCs w:val="21"/>
        </w:rPr>
        <w:t>）投标截止后，撤销投标的；</w:t>
      </w:r>
    </w:p>
    <w:p w14:paraId="4540E385">
      <w:pPr>
        <w:ind w:firstLine="411" w:firstLineChars="196"/>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62361FCE">
      <w:pPr>
        <w:ind w:firstLine="411" w:firstLineChars="196"/>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14:paraId="4BB839A2">
      <w:pPr>
        <w:ind w:firstLine="411" w:firstLineChars="196"/>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111"/>
    <w:p w14:paraId="334006B4">
      <w:pPr>
        <w:pStyle w:val="3"/>
        <w:numPr>
          <w:ilvl w:val="0"/>
          <w:numId w:val="10"/>
        </w:numPr>
        <w:spacing w:before="120" w:beforeLines="50" w:after="120" w:afterLines="50"/>
        <w:ind w:left="562" w:hanging="562"/>
        <w:rPr>
          <w:sz w:val="28"/>
          <w:szCs w:val="28"/>
        </w:rPr>
      </w:pPr>
      <w:r>
        <w:rPr>
          <w:rFonts w:hint="eastAsia"/>
          <w:sz w:val="28"/>
          <w:szCs w:val="28"/>
        </w:rPr>
        <w:t>质疑处理</w:t>
      </w:r>
    </w:p>
    <w:p w14:paraId="307305A1">
      <w:pPr>
        <w:rPr>
          <w:rFonts w:ascii="黑体" w:hAnsi="宋体" w:eastAsia="黑体"/>
          <w:sz w:val="24"/>
        </w:rPr>
      </w:pPr>
      <w:bookmarkStart w:id="128" w:name="_Hlk72439706"/>
      <w:r>
        <w:rPr>
          <w:rFonts w:hint="eastAsia" w:ascii="黑体" w:hAnsi="宋体" w:eastAsia="黑体"/>
          <w:sz w:val="24"/>
        </w:rPr>
        <w:t>52.质疑提出与答复</w:t>
      </w:r>
    </w:p>
    <w:p w14:paraId="1E445D3A">
      <w:pPr>
        <w:rPr>
          <w:rFonts w:ascii="宋体" w:hAnsi="宋体"/>
          <w:szCs w:val="21"/>
        </w:rPr>
      </w:pPr>
      <w:r>
        <w:rPr>
          <w:rFonts w:hint="eastAsia" w:ascii="宋体" w:hAnsi="宋体"/>
          <w:szCs w:val="21"/>
        </w:rPr>
        <w:t xml:space="preserve">    52.1提出质疑</w:t>
      </w:r>
    </w:p>
    <w:p w14:paraId="18DA065C">
      <w:pPr>
        <w:rPr>
          <w:rFonts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14:paraId="484299A3">
      <w:pPr>
        <w:rPr>
          <w:rFonts w:ascii="宋体" w:hAnsi="宋体"/>
          <w:szCs w:val="21"/>
        </w:rPr>
      </w:pPr>
      <w:r>
        <w:rPr>
          <w:rFonts w:hint="eastAsia" w:ascii="宋体" w:hAnsi="宋体"/>
          <w:szCs w:val="21"/>
        </w:rPr>
        <w:t xml:space="preserve">    52.2</w:t>
      </w:r>
      <w:r>
        <w:rPr>
          <w:rFonts w:ascii="宋体" w:hAnsi="宋体"/>
          <w:szCs w:val="21"/>
        </w:rPr>
        <w:t>法律依据</w:t>
      </w:r>
    </w:p>
    <w:p w14:paraId="5507480E">
      <w:pPr>
        <w:rPr>
          <w:rFonts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20A33367">
      <w:pPr>
        <w:rPr>
          <w:rFonts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14:paraId="48CCF62A">
      <w:pPr>
        <w:rPr>
          <w:rFonts w:ascii="宋体" w:hAnsi="宋体"/>
          <w:szCs w:val="21"/>
        </w:rPr>
      </w:pPr>
      <w:r>
        <w:rPr>
          <w:rFonts w:hint="eastAsia" w:ascii="宋体" w:hAnsi="宋体"/>
          <w:szCs w:val="21"/>
        </w:rPr>
        <w:t xml:space="preserve">    52.3.1提出质疑的供应商应当是参与所质疑项目采购活动的供应商；</w:t>
      </w:r>
      <w:bookmarkStart w:id="129" w:name="_Hlk75374941"/>
      <w:r>
        <w:rPr>
          <w:rFonts w:hint="eastAsia" w:ascii="宋体" w:hAnsi="宋体"/>
          <w:szCs w:val="21"/>
        </w:rPr>
        <w:t>以联合体形式参与的，质疑应当由组成联合体的所有成员共同提出</w:t>
      </w:r>
      <w:bookmarkEnd w:id="129"/>
      <w:r>
        <w:rPr>
          <w:rFonts w:hint="eastAsia" w:ascii="宋体" w:hAnsi="宋体"/>
          <w:szCs w:val="21"/>
        </w:rPr>
        <w:t>；</w:t>
      </w:r>
    </w:p>
    <w:p w14:paraId="1492AB1E">
      <w:pPr>
        <w:rPr>
          <w:rFonts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54004A73">
      <w:pPr>
        <w:ind w:firstLine="42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0AC4FA4E">
      <w:pPr>
        <w:ind w:firstLine="420"/>
        <w:rPr>
          <w:rFonts w:ascii="宋体" w:hAnsi="宋体"/>
          <w:szCs w:val="21"/>
        </w:rPr>
      </w:pPr>
      <w:r>
        <w:rPr>
          <w:rFonts w:hint="eastAsia" w:ascii="宋体" w:hAnsi="宋体"/>
          <w:szCs w:val="21"/>
        </w:rPr>
        <w:t>（1）供应商的名称（或者姓名）、地址、邮编、邮箱、联系人及联系电话；</w:t>
      </w:r>
    </w:p>
    <w:p w14:paraId="2507A591">
      <w:pPr>
        <w:ind w:firstLine="420" w:firstLineChars="200"/>
        <w:rPr>
          <w:rFonts w:ascii="宋体" w:hAnsi="宋体"/>
          <w:szCs w:val="21"/>
        </w:rPr>
      </w:pPr>
      <w:r>
        <w:rPr>
          <w:rFonts w:hint="eastAsia" w:ascii="宋体" w:hAnsi="宋体"/>
          <w:szCs w:val="21"/>
        </w:rPr>
        <w:t>（2）质疑项目的名称、编号；</w:t>
      </w:r>
    </w:p>
    <w:p w14:paraId="562C89AB">
      <w:pPr>
        <w:ind w:firstLine="420" w:firstLineChars="200"/>
        <w:rPr>
          <w:rFonts w:ascii="宋体" w:hAnsi="宋体"/>
          <w:szCs w:val="21"/>
        </w:rPr>
      </w:pPr>
      <w:r>
        <w:rPr>
          <w:rFonts w:hint="eastAsia" w:ascii="宋体" w:hAnsi="宋体"/>
          <w:szCs w:val="21"/>
        </w:rPr>
        <w:t>（3）具体、明确的质疑对象、质疑事项和质疑请求；</w:t>
      </w:r>
    </w:p>
    <w:p w14:paraId="31D7467F">
      <w:pPr>
        <w:ind w:firstLine="420" w:firstLineChars="200"/>
        <w:rPr>
          <w:rFonts w:ascii="宋体" w:hAnsi="宋体"/>
          <w:szCs w:val="21"/>
        </w:rPr>
      </w:pPr>
      <w:r>
        <w:rPr>
          <w:rFonts w:hint="eastAsia" w:ascii="宋体" w:hAnsi="宋体"/>
          <w:szCs w:val="21"/>
        </w:rPr>
        <w:t>（4）因质疑事项而受损害的权益；</w:t>
      </w:r>
    </w:p>
    <w:p w14:paraId="3261EE41">
      <w:pPr>
        <w:ind w:firstLine="420" w:firstLineChars="200"/>
        <w:rPr>
          <w:rFonts w:ascii="宋体" w:hAnsi="宋体"/>
          <w:szCs w:val="21"/>
        </w:rPr>
      </w:pPr>
      <w:r>
        <w:rPr>
          <w:rFonts w:hint="eastAsia" w:ascii="宋体" w:hAnsi="宋体"/>
          <w:szCs w:val="21"/>
        </w:rPr>
        <w:t>（5）事实依据；</w:t>
      </w:r>
    </w:p>
    <w:p w14:paraId="7889019B">
      <w:pPr>
        <w:ind w:firstLine="420" w:firstLineChars="200"/>
        <w:rPr>
          <w:rFonts w:ascii="宋体" w:hAnsi="宋体"/>
          <w:szCs w:val="21"/>
        </w:rPr>
      </w:pPr>
      <w:r>
        <w:rPr>
          <w:rFonts w:hint="eastAsia" w:ascii="宋体" w:hAnsi="宋体"/>
          <w:szCs w:val="21"/>
        </w:rPr>
        <w:t>（6）必要的法律依据；</w:t>
      </w:r>
    </w:p>
    <w:p w14:paraId="6C88D335">
      <w:pPr>
        <w:ind w:firstLine="420" w:firstLineChars="200"/>
        <w:rPr>
          <w:rFonts w:ascii="宋体" w:hAnsi="宋体"/>
          <w:szCs w:val="21"/>
        </w:rPr>
      </w:pPr>
      <w:r>
        <w:rPr>
          <w:rFonts w:hint="eastAsia" w:ascii="宋体" w:hAnsi="宋体"/>
          <w:szCs w:val="21"/>
        </w:rPr>
        <w:t>（7）提出质疑的日期。</w:t>
      </w:r>
    </w:p>
    <w:p w14:paraId="39CDB2CE">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049234DB">
      <w:pPr>
        <w:ind w:firstLine="420" w:firstLineChars="200"/>
        <w:rPr>
          <w:rFonts w:ascii="宋体" w:hAnsi="宋体"/>
          <w:szCs w:val="21"/>
        </w:rPr>
      </w:pPr>
      <w:r>
        <w:rPr>
          <w:rFonts w:hint="eastAsia" w:ascii="宋体" w:hAnsi="宋体"/>
          <w:szCs w:val="21"/>
        </w:rPr>
        <w:t>52.4提交</w:t>
      </w:r>
      <w:r>
        <w:rPr>
          <w:rFonts w:ascii="宋体" w:hAnsi="宋体"/>
          <w:szCs w:val="21"/>
        </w:rPr>
        <w:t>材料</w:t>
      </w:r>
    </w:p>
    <w:p w14:paraId="725E70A5">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631944D7">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6829B076">
      <w:pPr>
        <w:ind w:firstLine="420" w:firstLineChars="200"/>
        <w:rPr>
          <w:rFonts w:ascii="宋体" w:hAnsi="宋体"/>
          <w:szCs w:val="21"/>
        </w:rPr>
      </w:pPr>
      <w:r>
        <w:rPr>
          <w:rFonts w:hint="eastAsia" w:ascii="宋体" w:hAnsi="宋体"/>
          <w:szCs w:val="21"/>
        </w:rPr>
        <w:t>52.5收文地点</w:t>
      </w:r>
    </w:p>
    <w:p w14:paraId="0CBF787A">
      <w:pPr>
        <w:ind w:firstLine="422" w:firstLineChars="200"/>
        <w:rPr>
          <w:rFonts w:ascii="宋体" w:hAnsi="宋体"/>
          <w:b/>
          <w:bCs/>
          <w:szCs w:val="21"/>
        </w:rPr>
      </w:pPr>
      <w:r>
        <w:rPr>
          <w:rFonts w:hint="eastAsia" w:ascii="宋体" w:hAnsi="宋体"/>
          <w:b/>
          <w:bCs/>
          <w:szCs w:val="21"/>
        </w:rPr>
        <w:t>地址：深圳公共资源交易中心（深圳交易集团有限公司龙岗分公司）。质疑咨询电话：0755-28413245。</w:t>
      </w:r>
    </w:p>
    <w:p w14:paraId="737025EA">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14:paraId="78DE6BCF">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094D3657">
      <w:pPr>
        <w:ind w:firstLine="420" w:firstLineChars="200"/>
        <w:rPr>
          <w:rFonts w:ascii="仿宋" w:hAnsi="仿宋" w:eastAsia="仿宋"/>
          <w:sz w:val="28"/>
          <w:szCs w:val="28"/>
        </w:rPr>
      </w:pPr>
      <w:r>
        <w:rPr>
          <w:rFonts w:hint="eastAsia" w:ascii="宋体" w:hAnsi="宋体"/>
          <w:szCs w:val="21"/>
        </w:rPr>
        <w:t>52.6.2供应商提交的质疑材料不符合质疑条件的，视情况处理：</w:t>
      </w:r>
    </w:p>
    <w:p w14:paraId="104EF180">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642CB50A">
      <w:pPr>
        <w:ind w:firstLine="420" w:firstLineChars="200"/>
        <w:rPr>
          <w:rFonts w:ascii="宋体" w:hAnsi="宋体"/>
          <w:szCs w:val="21"/>
        </w:rPr>
      </w:pPr>
      <w:r>
        <w:rPr>
          <w:rFonts w:hint="eastAsia" w:ascii="宋体" w:hAnsi="宋体"/>
          <w:szCs w:val="21"/>
        </w:rPr>
        <w:t>供应商提交的质疑存在下列情形之一的，不予受理：</w:t>
      </w:r>
    </w:p>
    <w:p w14:paraId="6EB76772">
      <w:pPr>
        <w:ind w:firstLine="420" w:firstLineChars="200"/>
        <w:rPr>
          <w:rFonts w:ascii="宋体" w:hAnsi="宋体"/>
          <w:szCs w:val="21"/>
        </w:rPr>
      </w:pPr>
      <w:r>
        <w:rPr>
          <w:rFonts w:hint="eastAsia" w:ascii="宋体" w:hAnsi="宋体"/>
          <w:szCs w:val="21"/>
        </w:rPr>
        <w:t>（1）质疑主体不满足要求的；</w:t>
      </w:r>
    </w:p>
    <w:p w14:paraId="5A751192">
      <w:pPr>
        <w:ind w:firstLine="420" w:firstLineChars="200"/>
        <w:rPr>
          <w:rFonts w:ascii="宋体" w:hAnsi="宋体"/>
          <w:szCs w:val="21"/>
        </w:rPr>
      </w:pPr>
      <w:r>
        <w:rPr>
          <w:rFonts w:hint="eastAsia" w:ascii="宋体" w:hAnsi="宋体"/>
          <w:szCs w:val="21"/>
        </w:rPr>
        <w:t>（2）供应商自身权益未受到损害的；</w:t>
      </w:r>
    </w:p>
    <w:p w14:paraId="6F20F9BD">
      <w:pPr>
        <w:ind w:firstLine="420" w:firstLineChars="200"/>
        <w:rPr>
          <w:rFonts w:ascii="宋体" w:hAnsi="宋体"/>
          <w:szCs w:val="21"/>
        </w:rPr>
      </w:pPr>
      <w:r>
        <w:rPr>
          <w:rFonts w:hint="eastAsia" w:ascii="宋体" w:hAnsi="宋体"/>
          <w:szCs w:val="21"/>
        </w:rPr>
        <w:t>（3）供应商未在法定质疑期限内提出质疑的；</w:t>
      </w:r>
    </w:p>
    <w:p w14:paraId="72A98F91">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5DAC0F30">
      <w:pPr>
        <w:ind w:firstLine="420" w:firstLineChars="200"/>
        <w:rPr>
          <w:rFonts w:ascii="宋体" w:hAnsi="宋体"/>
          <w:szCs w:val="21"/>
        </w:rPr>
      </w:pPr>
      <w:r>
        <w:rPr>
          <w:rFonts w:hint="eastAsia" w:ascii="宋体" w:hAnsi="宋体"/>
          <w:szCs w:val="21"/>
        </w:rPr>
        <w:t>（5）其他不符合受理条件情形的。</w:t>
      </w:r>
    </w:p>
    <w:p w14:paraId="18C01E94">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14:paraId="7FB14540">
      <w:pPr>
        <w:rPr>
          <w:rFonts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14:paraId="24F8FFDF">
      <w:pPr>
        <w:rPr>
          <w:rFonts w:ascii="宋体" w:hAnsi="宋体"/>
          <w:szCs w:val="21"/>
        </w:rPr>
      </w:pPr>
      <w:r>
        <w:rPr>
          <w:rFonts w:hint="eastAsia" w:ascii="宋体" w:hAnsi="宋体"/>
          <w:szCs w:val="21"/>
        </w:rPr>
        <w:t xml:space="preserve">    自收文之日起七个工作日内。</w:t>
      </w:r>
    </w:p>
    <w:p w14:paraId="70913A83">
      <w:pPr>
        <w:rPr>
          <w:rFonts w:ascii="宋体" w:hAnsi="宋体"/>
          <w:szCs w:val="21"/>
        </w:rPr>
      </w:pPr>
      <w:r>
        <w:rPr>
          <w:rFonts w:hint="eastAsia" w:ascii="宋体" w:hAnsi="宋体"/>
          <w:szCs w:val="21"/>
        </w:rPr>
        <w:t xml:space="preserve">    52.8投诉</w:t>
      </w:r>
    </w:p>
    <w:p w14:paraId="7F6BE48D">
      <w:pPr>
        <w:rPr>
          <w:rFonts w:ascii="宋体" w:hAnsi="宋体"/>
          <w:szCs w:val="21"/>
        </w:rPr>
      </w:pPr>
      <w:r>
        <w:rPr>
          <w:rFonts w:hint="eastAsia" w:ascii="宋体" w:hAnsi="宋体"/>
          <w:szCs w:val="21"/>
        </w:rPr>
        <w:t xml:space="preserve">    对质疑答复不满意或者未在规定时间内答复的，提出质疑的供应商可以在答复期满后15日内向</w:t>
      </w:r>
      <w:r>
        <w:rPr>
          <w:rFonts w:hint="eastAsia" w:ascii="宋体" w:hAnsi="宋体"/>
          <w:szCs w:val="21"/>
          <w:highlight w:val="yellow"/>
        </w:rPr>
        <w:t>采购人</w:t>
      </w:r>
      <w:r>
        <w:rPr>
          <w:rFonts w:hint="eastAsia" w:ascii="宋体" w:hAnsi="宋体"/>
          <w:szCs w:val="21"/>
        </w:rPr>
        <w:t>投诉。</w:t>
      </w:r>
    </w:p>
    <w:p w14:paraId="687F60BD">
      <w:pPr>
        <w:rPr>
          <w:rFonts w:ascii="黑体" w:hAnsi="宋体" w:eastAsia="黑体"/>
          <w:sz w:val="24"/>
        </w:rPr>
      </w:pPr>
      <w:r>
        <w:rPr>
          <w:rFonts w:hint="eastAsia" w:ascii="黑体" w:hAnsi="宋体" w:eastAsia="黑体"/>
          <w:sz w:val="24"/>
        </w:rPr>
        <w:t>53. 质疑后续处理</w:t>
      </w:r>
    </w:p>
    <w:p w14:paraId="0D2A8B9B">
      <w:pPr>
        <w:rPr>
          <w:rFonts w:ascii="宋体" w:hAnsi="宋体"/>
          <w:szCs w:val="21"/>
        </w:rPr>
      </w:pPr>
      <w:r>
        <w:rPr>
          <w:rFonts w:hint="eastAsia" w:ascii="宋体" w:hAnsi="宋体"/>
          <w:szCs w:val="21"/>
        </w:rPr>
        <w:t xml:space="preserve">    53.1供应商质疑不成立，或者成立但未对中标、成交结果构成影响的，继续开展采购活动。</w:t>
      </w:r>
    </w:p>
    <w:p w14:paraId="50F83B35">
      <w:pPr>
        <w:ind w:firstLine="420"/>
        <w:rPr>
          <w:rFonts w:ascii="宋体" w:hAnsi="宋体"/>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6091416B">
      <w:r>
        <w:t>---- END ----</w:t>
      </w:r>
      <w:bookmarkEnd w:id="128"/>
    </w:p>
    <w:p w14:paraId="30DFB6F8">
      <w:pPr>
        <w:ind w:firstLine="420" w:firstLineChars="200"/>
        <w:rPr>
          <w:rFonts w:ascii="宋体" w:hAnsi="宋体"/>
          <w:szCs w:val="21"/>
        </w:rPr>
      </w:pPr>
    </w:p>
    <w:p w14:paraId="7F024896"/>
    <w:sectPr>
      <w:headerReference r:id="rId10" w:type="default"/>
      <w:footerReference r:id="rId11" w:type="default"/>
      <w:pgSz w:w="11907" w:h="16840"/>
      <w:pgMar w:top="1440" w:right="1797" w:bottom="1440" w:left="1797" w:header="851" w:footer="992" w:gutter="0"/>
      <w:pgNumType w:fmt="decimal"/>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986D675-A918-4830-905E-D60598DD9B71}"/>
  </w:font>
  <w:font w:name="Arial">
    <w:panose1 w:val="020B0604020202020204"/>
    <w:charset w:val="01"/>
    <w:family w:val="swiss"/>
    <w:pitch w:val="default"/>
    <w:sig w:usb0="E0002EFF" w:usb1="C000785B" w:usb2="00000009" w:usb3="00000000" w:csb0="400001FF" w:csb1="FFFF0000"/>
    <w:embedRegular r:id="rId2" w:fontKey="{A1C0445A-BF89-40AA-AEE1-91F3935980FB}"/>
  </w:font>
  <w:font w:name="黑体">
    <w:panose1 w:val="02010609060101010101"/>
    <w:charset w:val="86"/>
    <w:family w:val="auto"/>
    <w:pitch w:val="default"/>
    <w:sig w:usb0="800002BF" w:usb1="38CF7CFA" w:usb2="00000016" w:usb3="00000000" w:csb0="00040001" w:csb1="00000000"/>
    <w:embedRegular r:id="rId3" w:fontKey="{6A143916-BC1E-4538-AA7D-BA8ED5BB0740}"/>
  </w:font>
  <w:font w:name="Courier New">
    <w:panose1 w:val="02070309020205020404"/>
    <w:charset w:val="01"/>
    <w:family w:val="modern"/>
    <w:pitch w:val="default"/>
    <w:sig w:usb0="E0002EFF" w:usb1="C0007843" w:usb2="00000009" w:usb3="00000000" w:csb0="400001FF" w:csb1="FFFF0000"/>
    <w:embedRegular r:id="rId4" w:fontKey="{C7178BD0-8E97-4084-9198-4F7C153C9419}"/>
  </w:font>
  <w:font w:name="Symbol">
    <w:panose1 w:val="05050102010706020507"/>
    <w:charset w:val="02"/>
    <w:family w:val="roman"/>
    <w:pitch w:val="default"/>
    <w:sig w:usb0="00000000" w:usb1="00000000" w:usb2="00000000" w:usb3="00000000" w:csb0="80000000" w:csb1="00000000"/>
    <w:embedRegular r:id="rId5" w:fontKey="{3CB46E1B-7357-4C78-A902-800D181C2032}"/>
  </w:font>
  <w:font w:name="Calibri">
    <w:panose1 w:val="020F0502020204030204"/>
    <w:charset w:val="00"/>
    <w:family w:val="swiss"/>
    <w:pitch w:val="default"/>
    <w:sig w:usb0="E4002EFF" w:usb1="C000247B" w:usb2="00000009" w:usb3="00000000" w:csb0="200001FF" w:csb1="00000000"/>
    <w:embedRegular r:id="rId6" w:fontKey="{2EC59ECC-F3C2-4D9F-9C2F-42CEDFC3F633}"/>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embedRegular r:id="rId7" w:fontKey="{ADD89799-3305-4618-84D6-12EFBA5D9209}"/>
  </w:font>
  <w:font w:name="仿宋_GB2312">
    <w:panose1 w:val="02010609030101010101"/>
    <w:charset w:val="86"/>
    <w:family w:val="modern"/>
    <w:pitch w:val="default"/>
    <w:sig w:usb0="00000001" w:usb1="080E0000" w:usb2="00000000" w:usb3="00000000" w:csb0="00040000" w:csb1="00000000"/>
    <w:embedRegular r:id="rId8" w:fontKey="{CFF2A33B-7A1A-4347-8000-25CF3CB9BCE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9" w:fontKey="{D974A75A-9A30-4E7C-9B9D-EF4687518B44}"/>
  </w:font>
  <w:font w:name="Helvetica">
    <w:altName w:val="Arial"/>
    <w:panose1 w:val="020B0604020202020204"/>
    <w:charset w:val="00"/>
    <w:family w:val="swiss"/>
    <w:pitch w:val="default"/>
    <w:sig w:usb0="00000000" w:usb1="00000000" w:usb2="00000009" w:usb3="00000000" w:csb0="000001FF" w:csb1="00000000"/>
    <w:embedRegular r:id="rId10" w:fontKey="{575DF899-BCA8-4947-8BC2-C6D235A7FC95}"/>
  </w:font>
  <w:font w:name="Tahoma">
    <w:panose1 w:val="020B0604030504040204"/>
    <w:charset w:val="00"/>
    <w:family w:val="swiss"/>
    <w:pitch w:val="default"/>
    <w:sig w:usb0="E1002EFF" w:usb1="C000605B" w:usb2="00000029" w:usb3="00000000" w:csb0="200101FF" w:csb1="20280000"/>
    <w:embedRegular r:id="rId11" w:fontKey="{9B335C96-E75E-439E-AF5D-398FAA58C153}"/>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embedRegular r:id="rId12" w:fontKey="{0F06E875-AA26-4DD4-8F77-5E4220B4AB9F}"/>
  </w:font>
  <w:font w:name="Cambria">
    <w:panose1 w:val="02040503050406030204"/>
    <w:charset w:val="00"/>
    <w:family w:val="roman"/>
    <w:pitch w:val="default"/>
    <w:sig w:usb0="E00006FF" w:usb1="420024FF" w:usb2="02000000" w:usb3="00000000" w:csb0="2000019F" w:csb1="00000000"/>
    <w:embedRegular r:id="rId13" w:fontKey="{5C27E94C-ABC9-43B6-BC27-6CF84288D6CC}"/>
  </w:font>
  <w:font w:name="ˎ̥">
    <w:altName w:val="Noto Sans SC"/>
    <w:panose1 w:val="00000000000000000000"/>
    <w:charset w:val="00"/>
    <w:family w:val="auto"/>
    <w:pitch w:val="default"/>
    <w:sig w:usb0="00000000" w:usb1="00000000" w:usb2="00000000" w:usb3="00000000" w:csb0="00040001" w:csb1="00000000"/>
    <w:embedRegular r:id="rId14" w:fontKey="{4A9516F3-0628-4F98-8173-AD335C302302}"/>
  </w:font>
  <w:font w:name="Noto Sans SC">
    <w:panose1 w:val="020B0200000000000000"/>
    <w:charset w:val="86"/>
    <w:family w:val="auto"/>
    <w:pitch w:val="default"/>
    <w:sig w:usb0="20000083" w:usb1="2ADF3C10" w:usb2="00000016" w:usb3="00000000" w:csb0="60060107" w:csb1="00000000"/>
  </w:font>
  <w:font w:name="??">
    <w:altName w:val="Noto Sans SC"/>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宋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embedRegular r:id="rId15" w:fontKey="{33DEE689-59DD-48EC-9A1A-2E6AE9FC025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embedRegular r:id="rId16" w:fontKey="{0A768430-D342-496D-BD75-78D6FE53761F}"/>
  </w:font>
  <w:font w:name="方正小标宋简体">
    <w:panose1 w:val="03000509000000000000"/>
    <w:charset w:val="86"/>
    <w:family w:val="auto"/>
    <w:pitch w:val="default"/>
    <w:sig w:usb0="00000001" w:usb1="080E0000" w:usb2="00000000" w:usb3="00000000" w:csb0="00040000" w:csb1="00000000"/>
    <w:embedRegular r:id="rId17" w:fontKey="{7655EA5F-85AC-4988-8702-FD2414EF74EE}"/>
  </w:font>
  <w:font w:name="楷体_GB2312">
    <w:panose1 w:val="02010609030101010101"/>
    <w:charset w:val="86"/>
    <w:family w:val="modern"/>
    <w:pitch w:val="default"/>
    <w:sig w:usb0="00000001" w:usb1="080E0000" w:usb2="00000000" w:usb3="00000000" w:csb0="00040000" w:csb1="00000000"/>
    <w:embedRegular r:id="rId18" w:fontKey="{5BC26F34-DEDD-44C6-AFD9-11B1552FA1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FFCBE">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A0B12">
                          <w:pPr>
                            <w:pStyle w:val="28"/>
                            <w:rPr>
                              <w:rStyle w:val="49"/>
                            </w:rPr>
                          </w:pPr>
                          <w:r>
                            <w:t xml:space="preserve">- </w:t>
                          </w:r>
                          <w:r>
                            <w:fldChar w:fldCharType="begin"/>
                          </w:r>
                          <w:r>
                            <w:instrText xml:space="preserve"> PAGE </w:instrText>
                          </w:r>
                          <w:r>
                            <w:fldChar w:fldCharType="separate"/>
                          </w:r>
                          <w:r>
                            <w:t>12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8A0B12">
                    <w:pPr>
                      <w:pStyle w:val="28"/>
                      <w:rPr>
                        <w:rStyle w:val="49"/>
                      </w:rPr>
                    </w:pPr>
                    <w:r>
                      <w:t xml:space="preserve">- </w:t>
                    </w:r>
                    <w:r>
                      <w:fldChar w:fldCharType="begin"/>
                    </w:r>
                    <w:r>
                      <w:instrText xml:space="preserve"> PAGE </w:instrText>
                    </w:r>
                    <w:r>
                      <w:fldChar w:fldCharType="separate"/>
                    </w:r>
                    <w:r>
                      <w:t>12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3A601">
    <w:pPr>
      <w:pStyle w:val="28"/>
      <w:framePr w:wrap="around" w:vAnchor="text" w:hAnchor="margin" w:xAlign="center" w:y="1"/>
      <w:rPr>
        <w:rStyle w:val="49"/>
      </w:rPr>
    </w:pPr>
    <w:r>
      <w:rPr>
        <w:rStyle w:val="49"/>
      </w:rPr>
      <w:fldChar w:fldCharType="begin"/>
    </w:r>
    <w:r>
      <w:rPr>
        <w:rStyle w:val="49"/>
      </w:rPr>
      <w:instrText xml:space="preserve">PAGE  </w:instrText>
    </w:r>
    <w:r>
      <w:rPr>
        <w:rStyle w:val="49"/>
      </w:rPr>
      <w:fldChar w:fldCharType="end"/>
    </w:r>
  </w:p>
  <w:p w14:paraId="616F3D59">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5D9D3">
    <w:pPr>
      <w:pStyle w:val="2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0CE12">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A10CE12">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9376A">
    <w:pPr>
      <w:pStyle w:val="28"/>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3310F">
                          <w:pPr>
                            <w:pStyle w:val="28"/>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93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F33310F">
                    <w:pPr>
                      <w:pStyle w:val="28"/>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93</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1721E">
    <w:pPr>
      <w:tabs>
        <w:tab w:val="center" w:pos="4153"/>
        <w:tab w:val="right" w:pos="8306"/>
      </w:tabs>
      <w:snapToGrid w:val="0"/>
      <w:jc w:val="left"/>
      <w:rPr>
        <w:sz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1A817">
                          <w:pPr>
                            <w:pStyle w:val="28"/>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B1A817">
                    <w:pPr>
                      <w:pStyle w:val="2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9FD94">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053BC">
    <w:pPr>
      <w:pStyle w:val="29"/>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9C26F">
    <w:pPr>
      <w:pStyle w:val="491"/>
      <w:wordWrap w:val="0"/>
      <w:jc w:val="right"/>
      <w:rPr>
        <w:i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853F8">
    <w:pPr>
      <w:tabs>
        <w:tab w:val="center" w:pos="4153"/>
        <w:tab w:val="right" w:pos="8306"/>
      </w:tabs>
      <w:snapToGrid w:val="0"/>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E778BAC3"/>
    <w:multiLevelType w:val="singleLevel"/>
    <w:tmpl w:val="E778BAC3"/>
    <w:lvl w:ilvl="0" w:tentative="0">
      <w:start w:val="1"/>
      <w:numFmt w:val="decimal"/>
      <w:lvlText w:val="%1."/>
      <w:lvlJc w:val="left"/>
      <w:pPr>
        <w:tabs>
          <w:tab w:val="left" w:pos="312"/>
        </w:tabs>
      </w:pPr>
    </w:lvl>
  </w:abstractNum>
  <w:abstractNum w:abstractNumId="2">
    <w:nsid w:val="00000002"/>
    <w:multiLevelType w:val="singleLevel"/>
    <w:tmpl w:val="00000002"/>
    <w:lvl w:ilvl="0" w:tentative="0">
      <w:start w:val="2"/>
      <w:numFmt w:val="decimal"/>
      <w:suff w:val="nothing"/>
      <w:lvlText w:val="%1、"/>
      <w:lvlJc w:val="left"/>
    </w:lvl>
  </w:abstractNum>
  <w:abstractNum w:abstractNumId="3">
    <w:nsid w:val="00000004"/>
    <w:multiLevelType w:val="singleLevel"/>
    <w:tmpl w:val="00000004"/>
    <w:lvl w:ilvl="0" w:tentative="0">
      <w:start w:val="1"/>
      <w:numFmt w:val="decimal"/>
      <w:pStyle w:val="63"/>
      <w:lvlText w:val="%1."/>
      <w:lvlJc w:val="left"/>
      <w:pPr>
        <w:tabs>
          <w:tab w:val="left" w:pos="7994"/>
        </w:tabs>
        <w:ind w:left="7994" w:leftChars="800" w:hanging="360" w:hangingChars="200"/>
      </w:pPr>
    </w:lvl>
  </w:abstractNum>
  <w:abstractNum w:abstractNumId="4">
    <w:nsid w:val="00000005"/>
    <w:multiLevelType w:val="singleLevel"/>
    <w:tmpl w:val="00000005"/>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5">
    <w:nsid w:val="00000008"/>
    <w:multiLevelType w:val="multilevel"/>
    <w:tmpl w:val="00000008"/>
    <w:lvl w:ilvl="0" w:tentative="0">
      <w:start w:val="1"/>
      <w:numFmt w:val="bullet"/>
      <w:pStyle w:val="111"/>
      <w:lvlText w:val=""/>
      <w:lvlJc w:val="left"/>
      <w:pPr>
        <w:tabs>
          <w:tab w:val="left" w:pos="420"/>
        </w:tabs>
        <w:ind w:left="420" w:hanging="420"/>
      </w:pPr>
      <w:rPr>
        <w:rFonts w:hint="default" w:ascii="Wingdings" w:hAnsi="Wingdings"/>
      </w:rPr>
    </w:lvl>
    <w:lvl w:ilvl="1" w:tentative="0">
      <w:start w:val="1"/>
      <w:numFmt w:val="bullet"/>
      <w:pStyle w:val="11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0A"/>
    <w:multiLevelType w:val="multilevel"/>
    <w:tmpl w:val="0000000A"/>
    <w:lvl w:ilvl="0" w:tentative="0">
      <w:start w:val="1"/>
      <w:numFmt w:val="bullet"/>
      <w:pStyle w:val="79"/>
      <w:lvlText w:val=""/>
      <w:lvlJc w:val="left"/>
      <w:pPr>
        <w:tabs>
          <w:tab w:val="left" w:pos="840"/>
        </w:tabs>
        <w:ind w:left="840" w:hanging="420"/>
      </w:pPr>
      <w:rPr>
        <w:rFonts w:hint="default" w:ascii="Wingdings" w:hAnsi="Wingdings"/>
      </w:rPr>
    </w:lvl>
    <w:lvl w:ilvl="1" w:tentative="0">
      <w:start w:val="1"/>
      <w:numFmt w:val="bullet"/>
      <w:pStyle w:val="80"/>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0000000C"/>
    <w:multiLevelType w:val="multilevel"/>
    <w:tmpl w:val="0000000C"/>
    <w:lvl w:ilvl="0" w:tentative="0">
      <w:start w:val="1"/>
      <w:numFmt w:val="bullet"/>
      <w:pStyle w:val="171"/>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8">
    <w:nsid w:val="0000000E"/>
    <w:multiLevelType w:val="multilevel"/>
    <w:tmpl w:val="0000000E"/>
    <w:lvl w:ilvl="0" w:tentative="0">
      <w:start w:val="1"/>
      <w:numFmt w:val="chineseCountingThousand"/>
      <w:pStyle w:val="124"/>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6"/>
  </w:num>
  <w:num w:numId="4">
    <w:abstractNumId w:val="5"/>
  </w:num>
  <w:num w:numId="5">
    <w:abstractNumId w:val="8"/>
  </w:num>
  <w:num w:numId="6">
    <w:abstractNumId w:val="7"/>
  </w:num>
  <w:num w:numId="7">
    <w:abstractNumId w:val="1"/>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E3"/>
    <w:rsid w:val="001879D0"/>
    <w:rsid w:val="001E1913"/>
    <w:rsid w:val="002D1D83"/>
    <w:rsid w:val="002E5598"/>
    <w:rsid w:val="005E7915"/>
    <w:rsid w:val="00784E82"/>
    <w:rsid w:val="00903ECD"/>
    <w:rsid w:val="00916EE3"/>
    <w:rsid w:val="009501B4"/>
    <w:rsid w:val="00C56698"/>
    <w:rsid w:val="00CE73FF"/>
    <w:rsid w:val="00FB3FB3"/>
    <w:rsid w:val="03063108"/>
    <w:rsid w:val="03932BA4"/>
    <w:rsid w:val="03A52453"/>
    <w:rsid w:val="03D177E1"/>
    <w:rsid w:val="042F4508"/>
    <w:rsid w:val="055211C9"/>
    <w:rsid w:val="07431356"/>
    <w:rsid w:val="075E75DE"/>
    <w:rsid w:val="08BA6A96"/>
    <w:rsid w:val="0902043D"/>
    <w:rsid w:val="0A6967A2"/>
    <w:rsid w:val="0AA90B70"/>
    <w:rsid w:val="0CCB5C58"/>
    <w:rsid w:val="0F574478"/>
    <w:rsid w:val="0FA316FB"/>
    <w:rsid w:val="10A342B4"/>
    <w:rsid w:val="116D6E8C"/>
    <w:rsid w:val="13072B40"/>
    <w:rsid w:val="14740914"/>
    <w:rsid w:val="149C5646"/>
    <w:rsid w:val="16B7D08A"/>
    <w:rsid w:val="17E674A2"/>
    <w:rsid w:val="18003D99"/>
    <w:rsid w:val="19393A07"/>
    <w:rsid w:val="19EF473F"/>
    <w:rsid w:val="1B1C0EEA"/>
    <w:rsid w:val="1CDC1E21"/>
    <w:rsid w:val="1D5801D4"/>
    <w:rsid w:val="1DA414A5"/>
    <w:rsid w:val="1DA80E46"/>
    <w:rsid w:val="1E346D21"/>
    <w:rsid w:val="1ED26C43"/>
    <w:rsid w:val="1EED15F1"/>
    <w:rsid w:val="1F6D7F66"/>
    <w:rsid w:val="20547378"/>
    <w:rsid w:val="2193325C"/>
    <w:rsid w:val="221B63A0"/>
    <w:rsid w:val="22B10F7F"/>
    <w:rsid w:val="24A3442A"/>
    <w:rsid w:val="24B14D99"/>
    <w:rsid w:val="25001AE5"/>
    <w:rsid w:val="26EC4B79"/>
    <w:rsid w:val="27084A19"/>
    <w:rsid w:val="277865DF"/>
    <w:rsid w:val="28DF17A9"/>
    <w:rsid w:val="29785018"/>
    <w:rsid w:val="2A8D770F"/>
    <w:rsid w:val="2B011EAB"/>
    <w:rsid w:val="2BD269AC"/>
    <w:rsid w:val="2FB25E71"/>
    <w:rsid w:val="2FF41FDE"/>
    <w:rsid w:val="30887C78"/>
    <w:rsid w:val="30E158C6"/>
    <w:rsid w:val="31085D41"/>
    <w:rsid w:val="317A62F8"/>
    <w:rsid w:val="324C4353"/>
    <w:rsid w:val="32A50316"/>
    <w:rsid w:val="33F45020"/>
    <w:rsid w:val="340D76D4"/>
    <w:rsid w:val="34A40E57"/>
    <w:rsid w:val="355C48AD"/>
    <w:rsid w:val="36243C48"/>
    <w:rsid w:val="36E42DAC"/>
    <w:rsid w:val="3833669F"/>
    <w:rsid w:val="38E237D8"/>
    <w:rsid w:val="3938707A"/>
    <w:rsid w:val="3A5B46CB"/>
    <w:rsid w:val="3A864E7E"/>
    <w:rsid w:val="3AFE3C07"/>
    <w:rsid w:val="3CC90328"/>
    <w:rsid w:val="3D567144"/>
    <w:rsid w:val="3DDA0A65"/>
    <w:rsid w:val="3FEC2F6B"/>
    <w:rsid w:val="40D23554"/>
    <w:rsid w:val="415C2EEF"/>
    <w:rsid w:val="41717932"/>
    <w:rsid w:val="417850D0"/>
    <w:rsid w:val="43803E5D"/>
    <w:rsid w:val="43CD72D7"/>
    <w:rsid w:val="45203B47"/>
    <w:rsid w:val="459C16EF"/>
    <w:rsid w:val="469C5730"/>
    <w:rsid w:val="471846B4"/>
    <w:rsid w:val="48933BAB"/>
    <w:rsid w:val="49026BCF"/>
    <w:rsid w:val="49A84AB7"/>
    <w:rsid w:val="49DE5C86"/>
    <w:rsid w:val="4B463ADC"/>
    <w:rsid w:val="4BD74836"/>
    <w:rsid w:val="4DC819B7"/>
    <w:rsid w:val="4E634A1A"/>
    <w:rsid w:val="4F0A1BA9"/>
    <w:rsid w:val="4F823724"/>
    <w:rsid w:val="4F870321"/>
    <w:rsid w:val="51A33A30"/>
    <w:rsid w:val="52AC440B"/>
    <w:rsid w:val="54DE7741"/>
    <w:rsid w:val="562E7C70"/>
    <w:rsid w:val="59C7413C"/>
    <w:rsid w:val="5B031C12"/>
    <w:rsid w:val="5BAD0BA6"/>
    <w:rsid w:val="5F4867F5"/>
    <w:rsid w:val="5FA6324E"/>
    <w:rsid w:val="6059125D"/>
    <w:rsid w:val="610D394D"/>
    <w:rsid w:val="627666FF"/>
    <w:rsid w:val="634E4F86"/>
    <w:rsid w:val="6388493C"/>
    <w:rsid w:val="639C03E7"/>
    <w:rsid w:val="63A96580"/>
    <w:rsid w:val="65035A29"/>
    <w:rsid w:val="65947553"/>
    <w:rsid w:val="65E30BF3"/>
    <w:rsid w:val="669E6DC3"/>
    <w:rsid w:val="673C6346"/>
    <w:rsid w:val="6AB9362D"/>
    <w:rsid w:val="6B162D51"/>
    <w:rsid w:val="6DA5433C"/>
    <w:rsid w:val="6DB70DD5"/>
    <w:rsid w:val="6E085B93"/>
    <w:rsid w:val="6E1F7905"/>
    <w:rsid w:val="6E6E1A43"/>
    <w:rsid w:val="6E992F33"/>
    <w:rsid w:val="6E9C3AE5"/>
    <w:rsid w:val="6ED21161"/>
    <w:rsid w:val="6EE449F0"/>
    <w:rsid w:val="6F4831D1"/>
    <w:rsid w:val="6F650401"/>
    <w:rsid w:val="706E6C67"/>
    <w:rsid w:val="70713A68"/>
    <w:rsid w:val="70F71B3A"/>
    <w:rsid w:val="724834E8"/>
    <w:rsid w:val="741E2C50"/>
    <w:rsid w:val="748A7DE8"/>
    <w:rsid w:val="76AA651F"/>
    <w:rsid w:val="77675185"/>
    <w:rsid w:val="77CC3F35"/>
    <w:rsid w:val="787004A0"/>
    <w:rsid w:val="78D47195"/>
    <w:rsid w:val="7B0B4FDF"/>
    <w:rsid w:val="7B4E1B6F"/>
    <w:rsid w:val="7F7F6FC3"/>
    <w:rsid w:val="7FAF7911"/>
    <w:rsid w:val="BFF7664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0"/>
    <w:pPr>
      <w:spacing w:before="340" w:after="330" w:line="360" w:lineRule="auto"/>
      <w:jc w:val="center"/>
      <w:outlineLvl w:val="0"/>
    </w:pPr>
    <w:rPr>
      <w:rFonts w:eastAsia="黑体"/>
      <w:kern w:val="44"/>
      <w:szCs w:val="44"/>
    </w:rPr>
  </w:style>
  <w:style w:type="paragraph" w:styleId="3">
    <w:name w:val="heading 2"/>
    <w:basedOn w:val="4"/>
    <w:next w:val="5"/>
    <w:link w:val="75"/>
    <w:qFormat/>
    <w:uiPriority w:val="0"/>
    <w:pPr>
      <w:adjustRightInd w:val="0"/>
      <w:jc w:val="center"/>
      <w:textAlignment w:val="baseline"/>
      <w:outlineLvl w:val="1"/>
    </w:pPr>
    <w:rPr>
      <w:kern w:val="0"/>
      <w:sz w:val="24"/>
      <w:szCs w:val="20"/>
    </w:rPr>
  </w:style>
  <w:style w:type="paragraph" w:styleId="4">
    <w:name w:val="heading 3"/>
    <w:basedOn w:val="5"/>
    <w:next w:val="1"/>
    <w:link w:val="59"/>
    <w:qFormat/>
    <w:uiPriority w:val="9"/>
    <w:pPr>
      <w:spacing w:before="260" w:after="260" w:line="240" w:lineRule="auto"/>
      <w:outlineLvl w:val="2"/>
    </w:pPr>
    <w:rPr>
      <w:rFonts w:ascii="宋体" w:hAnsi="宋体" w:eastAsia="宋体"/>
      <w:szCs w:val="32"/>
    </w:rPr>
  </w:style>
  <w:style w:type="paragraph" w:styleId="5">
    <w:name w:val="heading 4"/>
    <w:basedOn w:val="1"/>
    <w:next w:val="1"/>
    <w:link w:val="57"/>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84"/>
    <w:qFormat/>
    <w:uiPriority w:val="0"/>
    <w:pPr>
      <w:keepNext/>
      <w:keepLines/>
      <w:spacing w:before="280" w:after="290" w:line="376" w:lineRule="auto"/>
      <w:outlineLvl w:val="4"/>
    </w:pPr>
    <w:rPr>
      <w:b/>
      <w:sz w:val="28"/>
      <w:szCs w:val="20"/>
    </w:rPr>
  </w:style>
  <w:style w:type="paragraph" w:styleId="8">
    <w:name w:val="heading 6"/>
    <w:basedOn w:val="1"/>
    <w:next w:val="7"/>
    <w:link w:val="87"/>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88"/>
    <w:qFormat/>
    <w:uiPriority w:val="0"/>
    <w:pPr>
      <w:keepNext/>
      <w:keepLines/>
      <w:spacing w:before="240" w:after="64" w:line="320" w:lineRule="auto"/>
      <w:outlineLvl w:val="6"/>
    </w:pPr>
    <w:rPr>
      <w:b/>
      <w:sz w:val="24"/>
      <w:szCs w:val="20"/>
    </w:rPr>
  </w:style>
  <w:style w:type="paragraph" w:styleId="10">
    <w:name w:val="heading 8"/>
    <w:basedOn w:val="1"/>
    <w:next w:val="7"/>
    <w:link w:val="89"/>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90"/>
    <w:qFormat/>
    <w:uiPriority w:val="0"/>
    <w:pPr>
      <w:keepNext/>
      <w:keepLines/>
      <w:spacing w:before="240" w:after="64" w:line="320" w:lineRule="auto"/>
      <w:outlineLvl w:val="8"/>
    </w:pPr>
    <w:rPr>
      <w:rFonts w:ascii="Arial" w:hAnsi="Arial" w:eastAsia="黑体"/>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1"/>
    <w:qFormat/>
    <w:uiPriority w:val="0"/>
    <w:pPr>
      <w:ind w:firstLine="420"/>
    </w:pPr>
    <w:rPr>
      <w:szCs w:val="20"/>
    </w:rPr>
  </w:style>
  <w:style w:type="paragraph" w:styleId="12">
    <w:name w:val="toc 7"/>
    <w:basedOn w:val="1"/>
    <w:next w:val="1"/>
    <w:qFormat/>
    <w:uiPriority w:val="0"/>
    <w:pPr>
      <w:ind w:left="1260"/>
      <w:jc w:val="left"/>
    </w:pPr>
    <w:rPr>
      <w:szCs w:val="21"/>
    </w:rPr>
  </w:style>
  <w:style w:type="paragraph" w:styleId="13">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qFormat/>
    <w:uiPriority w:val="0"/>
    <w:pPr>
      <w:shd w:val="clear" w:color="auto" w:fill="000080"/>
    </w:pPr>
  </w:style>
  <w:style w:type="paragraph" w:styleId="16">
    <w:name w:val="annotation text"/>
    <w:basedOn w:val="1"/>
    <w:link w:val="188"/>
    <w:qFormat/>
    <w:uiPriority w:val="99"/>
    <w:pPr>
      <w:autoSpaceDE w:val="0"/>
      <w:autoSpaceDN w:val="0"/>
      <w:adjustRightInd w:val="0"/>
      <w:jc w:val="left"/>
      <w:textAlignment w:val="baseline"/>
    </w:pPr>
    <w:rPr>
      <w:rFonts w:ascii="宋体"/>
      <w:kern w:val="0"/>
      <w:sz w:val="34"/>
      <w:szCs w:val="20"/>
    </w:rPr>
  </w:style>
  <w:style w:type="paragraph" w:styleId="17">
    <w:name w:val="Body Text 3"/>
    <w:basedOn w:val="1"/>
    <w:link w:val="102"/>
    <w:qFormat/>
    <w:uiPriority w:val="0"/>
    <w:pPr>
      <w:spacing w:after="120"/>
    </w:pPr>
    <w:rPr>
      <w:sz w:val="16"/>
      <w:szCs w:val="16"/>
    </w:rPr>
  </w:style>
  <w:style w:type="paragraph" w:styleId="18">
    <w:name w:val="Body Text"/>
    <w:basedOn w:val="1"/>
    <w:next w:val="19"/>
    <w:link w:val="96"/>
    <w:qFormat/>
    <w:uiPriority w:val="0"/>
    <w:pPr>
      <w:spacing w:line="360" w:lineRule="auto"/>
    </w:pPr>
    <w:rPr>
      <w:b/>
      <w:bCs/>
      <w:sz w:val="24"/>
    </w:rPr>
  </w:style>
  <w:style w:type="paragraph" w:styleId="19">
    <w:name w:val="Body Text 2"/>
    <w:basedOn w:val="1"/>
    <w:link w:val="100"/>
    <w:qFormat/>
    <w:uiPriority w:val="0"/>
    <w:pPr>
      <w:spacing w:line="360" w:lineRule="auto"/>
    </w:pPr>
    <w:rPr>
      <w:sz w:val="24"/>
    </w:rPr>
  </w:style>
  <w:style w:type="paragraph" w:styleId="20">
    <w:name w:val="Body Text Indent"/>
    <w:basedOn w:val="1"/>
    <w:link w:val="83"/>
    <w:qFormat/>
    <w:uiPriority w:val="0"/>
    <w:pPr>
      <w:spacing w:line="360" w:lineRule="auto"/>
      <w:ind w:firstLine="420" w:firstLineChars="200"/>
    </w:pPr>
  </w:style>
  <w:style w:type="paragraph" w:styleId="21">
    <w:name w:val="toc 5"/>
    <w:basedOn w:val="1"/>
    <w:next w:val="1"/>
    <w:qFormat/>
    <w:uiPriority w:val="0"/>
    <w:pPr>
      <w:ind w:left="840"/>
      <w:jc w:val="left"/>
    </w:pPr>
    <w:rPr>
      <w:szCs w:val="21"/>
    </w:rPr>
  </w:style>
  <w:style w:type="paragraph" w:styleId="22">
    <w:name w:val="toc 3"/>
    <w:basedOn w:val="1"/>
    <w:next w:val="1"/>
    <w:qFormat/>
    <w:uiPriority w:val="0"/>
    <w:pPr>
      <w:ind w:left="420"/>
      <w:jc w:val="left"/>
    </w:pPr>
    <w:rPr>
      <w:i/>
      <w:iCs/>
    </w:rPr>
  </w:style>
  <w:style w:type="paragraph" w:styleId="23">
    <w:name w:val="Plain Text"/>
    <w:basedOn w:val="1"/>
    <w:next w:val="1"/>
    <w:link w:val="94"/>
    <w:qFormat/>
    <w:uiPriority w:val="0"/>
    <w:rPr>
      <w:rFonts w:ascii="宋体" w:hAnsi="Courier New"/>
      <w:szCs w:val="20"/>
    </w:rPr>
  </w:style>
  <w:style w:type="paragraph" w:styleId="24">
    <w:name w:val="toc 8"/>
    <w:basedOn w:val="1"/>
    <w:next w:val="1"/>
    <w:qFormat/>
    <w:uiPriority w:val="0"/>
    <w:pPr>
      <w:ind w:left="1470"/>
      <w:jc w:val="left"/>
    </w:pPr>
    <w:rPr>
      <w:szCs w:val="21"/>
    </w:rPr>
  </w:style>
  <w:style w:type="paragraph" w:styleId="25">
    <w:name w:val="Date"/>
    <w:basedOn w:val="1"/>
    <w:next w:val="1"/>
    <w:link w:val="92"/>
    <w:qFormat/>
    <w:uiPriority w:val="0"/>
    <w:rPr>
      <w:rFonts w:ascii="宋体" w:hAnsi="Courier New"/>
      <w:sz w:val="32"/>
      <w:szCs w:val="20"/>
    </w:rPr>
  </w:style>
  <w:style w:type="paragraph" w:styleId="26">
    <w:name w:val="Body Text Indent 2"/>
    <w:basedOn w:val="1"/>
    <w:link w:val="97"/>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103"/>
    <w:qFormat/>
    <w:uiPriority w:val="99"/>
    <w:rPr>
      <w:sz w:val="18"/>
      <w:szCs w:val="18"/>
    </w:rPr>
  </w:style>
  <w:style w:type="paragraph" w:styleId="28">
    <w:name w:val="footer"/>
    <w:basedOn w:val="1"/>
    <w:link w:val="101"/>
    <w:qFormat/>
    <w:uiPriority w:val="0"/>
    <w:pPr>
      <w:tabs>
        <w:tab w:val="center" w:pos="4153"/>
        <w:tab w:val="right" w:pos="8306"/>
      </w:tabs>
      <w:snapToGrid w:val="0"/>
      <w:jc w:val="left"/>
    </w:pPr>
    <w:rPr>
      <w:sz w:val="18"/>
      <w:szCs w:val="18"/>
    </w:rPr>
  </w:style>
  <w:style w:type="paragraph" w:styleId="29">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spacing w:before="120" w:after="120"/>
      <w:jc w:val="left"/>
    </w:pPr>
    <w:rPr>
      <w:b/>
      <w:bCs/>
      <w:caps/>
    </w:rPr>
  </w:style>
  <w:style w:type="paragraph" w:styleId="31">
    <w:name w:val="toc 4"/>
    <w:basedOn w:val="1"/>
    <w:next w:val="1"/>
    <w:qFormat/>
    <w:uiPriority w:val="0"/>
    <w:pPr>
      <w:ind w:left="630"/>
      <w:jc w:val="left"/>
    </w:pPr>
    <w:rPr>
      <w:szCs w:val="21"/>
    </w:rPr>
  </w:style>
  <w:style w:type="paragraph" w:styleId="32">
    <w:name w:val="Subtitle"/>
    <w:next w:val="1"/>
    <w:link w:val="313"/>
    <w:qFormat/>
    <w:uiPriority w:val="0"/>
    <w:pPr>
      <w:wordWrap w:val="0"/>
      <w:spacing w:after="60"/>
      <w:jc w:val="center"/>
    </w:pPr>
    <w:rPr>
      <w:rFonts w:ascii="Calibri" w:hAnsi="Calibri" w:eastAsia="宋体" w:cs="Times New Roman"/>
      <w:sz w:val="24"/>
      <w:lang w:val="en-US" w:eastAsia="zh-CN" w:bidi="ar-SA"/>
    </w:rPr>
  </w:style>
  <w:style w:type="paragraph" w:styleId="33">
    <w:name w:val="toc 6"/>
    <w:basedOn w:val="1"/>
    <w:next w:val="1"/>
    <w:qFormat/>
    <w:uiPriority w:val="0"/>
    <w:pPr>
      <w:ind w:left="1050"/>
      <w:jc w:val="left"/>
    </w:pPr>
    <w:rPr>
      <w:szCs w:val="21"/>
    </w:rPr>
  </w:style>
  <w:style w:type="paragraph" w:styleId="34">
    <w:name w:val="Body Text Indent 3"/>
    <w:basedOn w:val="1"/>
    <w:link w:val="99"/>
    <w:qFormat/>
    <w:uiPriority w:val="0"/>
    <w:pPr>
      <w:spacing w:line="360" w:lineRule="auto"/>
      <w:ind w:firstLine="482" w:firstLineChars="200"/>
    </w:pPr>
    <w:rPr>
      <w:rFonts w:ascii="宋体"/>
      <w:b/>
      <w:bCs/>
      <w:sz w:val="24"/>
    </w:rPr>
  </w:style>
  <w:style w:type="paragraph" w:styleId="35">
    <w:name w:val="toc 2"/>
    <w:basedOn w:val="1"/>
    <w:next w:val="1"/>
    <w:qFormat/>
    <w:uiPriority w:val="0"/>
    <w:pPr>
      <w:tabs>
        <w:tab w:val="right" w:leader="dot" w:pos="8296"/>
      </w:tabs>
      <w:ind w:left="210"/>
      <w:jc w:val="left"/>
    </w:pPr>
    <w:rPr>
      <w:smallCaps/>
    </w:rPr>
  </w:style>
  <w:style w:type="paragraph" w:styleId="36">
    <w:name w:val="toc 9"/>
    <w:basedOn w:val="1"/>
    <w:next w:val="1"/>
    <w:qFormat/>
    <w:uiPriority w:val="0"/>
    <w:pPr>
      <w:ind w:left="1680"/>
      <w:jc w:val="left"/>
    </w:pPr>
    <w:rPr>
      <w:szCs w:val="21"/>
    </w:rPr>
  </w:style>
  <w:style w:type="paragraph" w:styleId="37">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8">
    <w:name w:val="Normal (Web)"/>
    <w:basedOn w:val="1"/>
    <w:qFormat/>
    <w:uiPriority w:val="99"/>
    <w:pPr>
      <w:spacing w:beforeAutospacing="1" w:afterAutospacing="1"/>
      <w:jc w:val="left"/>
    </w:pPr>
    <w:rPr>
      <w:kern w:val="0"/>
      <w:sz w:val="24"/>
    </w:rPr>
  </w:style>
  <w:style w:type="paragraph" w:styleId="39">
    <w:name w:val="index 1"/>
    <w:basedOn w:val="1"/>
    <w:next w:val="1"/>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0">
    <w:name w:val="Title"/>
    <w:basedOn w:val="1"/>
    <w:next w:val="1"/>
    <w:link w:val="91"/>
    <w:qFormat/>
    <w:uiPriority w:val="0"/>
    <w:pPr>
      <w:spacing w:before="240" w:after="60"/>
      <w:jc w:val="center"/>
      <w:outlineLvl w:val="0"/>
    </w:pPr>
    <w:rPr>
      <w:rFonts w:ascii="Arial" w:hAnsi="Arial" w:eastAsia="隶书" w:cs="Arial"/>
      <w:b/>
      <w:bCs/>
      <w:sz w:val="32"/>
      <w:szCs w:val="32"/>
    </w:rPr>
  </w:style>
  <w:style w:type="paragraph" w:styleId="41">
    <w:name w:val="annotation subject"/>
    <w:basedOn w:val="16"/>
    <w:next w:val="16"/>
    <w:link w:val="189"/>
    <w:qFormat/>
    <w:uiPriority w:val="99"/>
    <w:pPr>
      <w:autoSpaceDE/>
      <w:autoSpaceDN/>
      <w:adjustRightInd/>
      <w:textAlignment w:val="auto"/>
    </w:pPr>
    <w:rPr>
      <w:rFonts w:ascii="Times New Roman"/>
      <w:b/>
      <w:bCs/>
      <w:kern w:val="2"/>
      <w:sz w:val="21"/>
      <w:szCs w:val="24"/>
    </w:rPr>
  </w:style>
  <w:style w:type="paragraph" w:styleId="42">
    <w:name w:val="Body Text First Indent"/>
    <w:basedOn w:val="18"/>
    <w:link w:val="134"/>
    <w:qFormat/>
    <w:uiPriority w:val="0"/>
    <w:pPr>
      <w:spacing w:after="120" w:line="240" w:lineRule="auto"/>
      <w:ind w:firstLine="420" w:firstLineChars="100"/>
    </w:pPr>
    <w:rPr>
      <w:sz w:val="21"/>
    </w:rPr>
  </w:style>
  <w:style w:type="paragraph" w:styleId="43">
    <w:name w:val="Body Text First Indent 2"/>
    <w:basedOn w:val="20"/>
    <w:qFormat/>
    <w:uiPriority w:val="0"/>
    <w:pPr>
      <w:spacing w:line="240" w:lineRule="auto"/>
    </w:pPr>
    <w:rPr>
      <w:szCs w:val="22"/>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6">
    <w:name w:val="Table Elegant"/>
    <w:basedOn w:val="44"/>
    <w:qFormat/>
    <w:uiPriority w:val="0"/>
    <w:pPr>
      <w:widowControl w:val="0"/>
      <w:jc w:val="both"/>
    </w:pPr>
    <w:rPr>
      <w:rFonts w:ascii="Calibri" w:hAnsi="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basedOn w:val="47"/>
    <w:qFormat/>
    <w:uiPriority w:val="0"/>
    <w:rPr>
      <w:sz w:val="20"/>
    </w:rPr>
  </w:style>
  <w:style w:type="character" w:styleId="52">
    <w:name w:val="Hyperlink"/>
    <w:basedOn w:val="47"/>
    <w:qFormat/>
    <w:uiPriority w:val="0"/>
    <w:rPr>
      <w:color w:val="0000FF"/>
      <w:u w:val="single"/>
    </w:rPr>
  </w:style>
  <w:style w:type="character" w:styleId="53">
    <w:name w:val="annotation reference"/>
    <w:basedOn w:val="47"/>
    <w:qFormat/>
    <w:uiPriority w:val="99"/>
    <w:rPr>
      <w:sz w:val="21"/>
      <w:szCs w:val="21"/>
    </w:rPr>
  </w:style>
  <w:style w:type="paragraph" w:styleId="54">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6">
    <w:name w:val="引用1"/>
    <w:next w:val="1"/>
    <w:link w:val="442"/>
    <w:qFormat/>
    <w:uiPriority w:val="0"/>
    <w:pPr>
      <w:wordWrap w:val="0"/>
      <w:spacing w:before="200" w:after="160"/>
      <w:ind w:left="864" w:right="864"/>
      <w:jc w:val="center"/>
    </w:pPr>
    <w:rPr>
      <w:rFonts w:ascii="Calibri" w:hAnsi="Calibri" w:eastAsia="宋体" w:cs="Times New Roman"/>
      <w:i/>
      <w:sz w:val="21"/>
      <w:lang w:val="en-US" w:eastAsia="zh-CN" w:bidi="ar-SA"/>
    </w:rPr>
  </w:style>
  <w:style w:type="character" w:customStyle="1" w:styleId="57">
    <w:name w:val="标题 4 Char"/>
    <w:link w:val="5"/>
    <w:qFormat/>
    <w:uiPriority w:val="9"/>
    <w:rPr>
      <w:rFonts w:ascii="Arial" w:hAnsi="Arial" w:eastAsia="黑体"/>
      <w:b/>
      <w:bCs/>
      <w:kern w:val="2"/>
      <w:sz w:val="28"/>
      <w:szCs w:val="28"/>
      <w:lang w:val="en-US" w:eastAsia="zh-CN" w:bidi="ar-SA"/>
    </w:rPr>
  </w:style>
  <w:style w:type="paragraph" w:customStyle="1" w:styleId="58">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9">
    <w:name w:val="标题 3 Char1"/>
    <w:link w:val="4"/>
    <w:qFormat/>
    <w:uiPriority w:val="9"/>
    <w:rPr>
      <w:rFonts w:ascii="宋体" w:hAnsi="宋体" w:eastAsia="宋体"/>
      <w:b/>
      <w:bCs/>
      <w:kern w:val="2"/>
      <w:sz w:val="28"/>
      <w:szCs w:val="32"/>
      <w:lang w:val="en-US" w:eastAsia="zh-CN" w:bidi="ar-SA"/>
    </w:rPr>
  </w:style>
  <w:style w:type="character" w:customStyle="1" w:styleId="60">
    <w:name w:val="标题 1 Char"/>
    <w:link w:val="2"/>
    <w:qFormat/>
    <w:uiPriority w:val="0"/>
    <w:rPr>
      <w:rFonts w:ascii="宋体" w:hAnsi="宋体" w:eastAsia="黑体"/>
      <w:b/>
      <w:bCs/>
      <w:kern w:val="44"/>
      <w:sz w:val="28"/>
      <w:szCs w:val="44"/>
      <w:lang w:val="en-US" w:eastAsia="zh-CN" w:bidi="ar-SA"/>
    </w:rPr>
  </w:style>
  <w:style w:type="character" w:customStyle="1" w:styleId="61">
    <w:name w:val="正文缩进 Char"/>
    <w:link w:val="7"/>
    <w:qFormat/>
    <w:uiPriority w:val="0"/>
    <w:rPr>
      <w:rFonts w:eastAsia="宋体"/>
      <w:kern w:val="2"/>
      <w:sz w:val="21"/>
      <w:lang w:val="en-US" w:eastAsia="zh-CN" w:bidi="ar-SA"/>
    </w:rPr>
  </w:style>
  <w:style w:type="character" w:customStyle="1" w:styleId="62">
    <w:name w:val="标题 3 Char"/>
    <w:qFormat/>
    <w:uiPriority w:val="0"/>
    <w:rPr>
      <w:rFonts w:ascii="黑体" w:eastAsia="黑体"/>
      <w:bCs/>
      <w:sz w:val="30"/>
    </w:rPr>
  </w:style>
  <w:style w:type="paragraph" w:customStyle="1" w:styleId="63">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4">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5">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7">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Char Char Char 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0">
    <w:name w:val="自定义正文"/>
    <w:basedOn w:val="1"/>
    <w:qFormat/>
    <w:uiPriority w:val="0"/>
    <w:pPr>
      <w:spacing w:afterLines="50"/>
      <w:ind w:left="600" w:leftChars="600"/>
    </w:pPr>
  </w:style>
  <w:style w:type="paragraph" w:customStyle="1" w:styleId="71">
    <w:name w:val="Char Char Char Char Char"/>
    <w:basedOn w:val="1"/>
    <w:qFormat/>
    <w:uiPriority w:val="0"/>
    <w:rPr>
      <w:rFonts w:ascii="Tahoma" w:hAnsi="Tahoma"/>
      <w:sz w:val="24"/>
      <w:szCs w:val="20"/>
    </w:rPr>
  </w:style>
  <w:style w:type="paragraph" w:customStyle="1" w:styleId="72">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3">
    <w:name w:val="Char Char"/>
    <w:basedOn w:val="1"/>
    <w:qFormat/>
    <w:uiPriority w:val="0"/>
    <w:rPr>
      <w:rFonts w:ascii="Tahoma" w:hAnsi="Tahoma"/>
      <w:sz w:val="24"/>
      <w:szCs w:val="20"/>
    </w:rPr>
  </w:style>
  <w:style w:type="paragraph" w:customStyle="1" w:styleId="74">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5">
    <w:name w:val="标题 2 Char"/>
    <w:link w:val="3"/>
    <w:qFormat/>
    <w:uiPriority w:val="0"/>
    <w:rPr>
      <w:rFonts w:ascii="宋体" w:hAnsi="宋体" w:eastAsia="宋体"/>
      <w:b/>
      <w:bCs/>
      <w:sz w:val="24"/>
      <w:lang w:val="en-US" w:eastAsia="zh-CN" w:bidi="ar-SA"/>
    </w:rPr>
  </w:style>
  <w:style w:type="paragraph" w:customStyle="1" w:styleId="76">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77">
    <w:name w:val="列表段落1"/>
    <w:basedOn w:val="1"/>
    <w:qFormat/>
    <w:uiPriority w:val="0"/>
    <w:pPr>
      <w:ind w:firstLine="420" w:firstLineChars="200"/>
    </w:pPr>
    <w:rPr>
      <w:rFonts w:ascii="Calibri" w:hAnsi="Calibri"/>
      <w:szCs w:val="22"/>
    </w:rPr>
  </w:style>
  <w:style w:type="paragraph" w:customStyle="1" w:styleId="78">
    <w:name w:val="USE 1"/>
    <w:basedOn w:val="1"/>
    <w:qFormat/>
    <w:uiPriority w:val="0"/>
    <w:pPr>
      <w:spacing w:line="200" w:lineRule="atLeast"/>
      <w:jc w:val="left"/>
    </w:pPr>
    <w:rPr>
      <w:rFonts w:ascii="宋体" w:hAnsi="宋体"/>
      <w:b/>
      <w:sz w:val="24"/>
      <w:szCs w:val="28"/>
    </w:rPr>
  </w:style>
  <w:style w:type="paragraph" w:customStyle="1" w:styleId="79">
    <w:name w:val="RFI text from 3rd Level"/>
    <w:basedOn w:val="1"/>
    <w:qFormat/>
    <w:uiPriority w:val="0"/>
    <w:pPr>
      <w:widowControl/>
      <w:numPr>
        <w:ilvl w:val="0"/>
        <w:numId w:val="3"/>
      </w:numPr>
      <w:tabs>
        <w:tab w:val="clear" w:pos="840"/>
      </w:tabs>
      <w:spacing w:beforeLines="50" w:line="360" w:lineRule="auto"/>
      <w:ind w:left="0" w:firstLine="0"/>
    </w:pPr>
    <w:rPr>
      <w:rFonts w:ascii="Arial (W1)" w:hAnsi="Arial (W1)"/>
      <w:bCs/>
      <w:kern w:val="0"/>
      <w:sz w:val="24"/>
      <w:lang w:val="en-GB"/>
    </w:rPr>
  </w:style>
  <w:style w:type="paragraph" w:customStyle="1" w:styleId="80">
    <w:name w:val="正文文字缩进项目"/>
    <w:basedOn w:val="20"/>
    <w:qFormat/>
    <w:uiPriority w:val="0"/>
    <w:pPr>
      <w:numPr>
        <w:ilvl w:val="1"/>
        <w:numId w:val="3"/>
      </w:numPr>
      <w:tabs>
        <w:tab w:val="clear" w:pos="1260"/>
      </w:tabs>
      <w:spacing w:after="120" w:line="240" w:lineRule="auto"/>
      <w:ind w:left="840" w:firstLine="0" w:firstLineChars="0"/>
    </w:pPr>
    <w:rPr>
      <w:rFonts w:ascii="Tahoma" w:hAnsi="Tahoma"/>
      <w:sz w:val="22"/>
      <w:szCs w:val="20"/>
    </w:rPr>
  </w:style>
  <w:style w:type="paragraph" w:customStyle="1" w:styleId="81">
    <w:name w:val="样式 标题 2 + 段前: 13 磅 段后: 13 磅 行距: 单倍行距"/>
    <w:basedOn w:val="3"/>
    <w:qFormat/>
    <w:uiPriority w:val="0"/>
    <w:pPr>
      <w:adjustRightInd/>
      <w:spacing w:before="0" w:after="0"/>
      <w:jc w:val="both"/>
      <w:textAlignment w:val="auto"/>
    </w:pPr>
    <w:rPr>
      <w:rFonts w:ascii="Cambria" w:hAnsi="Cambria" w:cs="宋体"/>
      <w:kern w:val="2"/>
      <w:sz w:val="32"/>
    </w:rPr>
  </w:style>
  <w:style w:type="character" w:customStyle="1" w:styleId="82">
    <w:name w:val="H4 Char2"/>
    <w:qFormat/>
    <w:uiPriority w:val="0"/>
    <w:rPr>
      <w:rFonts w:ascii="Arial" w:hAnsi="Arial" w:eastAsia="黑体"/>
      <w:b/>
      <w:bCs/>
      <w:kern w:val="2"/>
      <w:sz w:val="28"/>
      <w:szCs w:val="28"/>
      <w:lang w:val="en-US" w:eastAsia="zh-CN" w:bidi="ar-SA"/>
    </w:rPr>
  </w:style>
  <w:style w:type="character" w:customStyle="1" w:styleId="83">
    <w:name w:val="正文文本缩进 Char"/>
    <w:link w:val="20"/>
    <w:qFormat/>
    <w:uiPriority w:val="0"/>
    <w:rPr>
      <w:rFonts w:eastAsia="宋体"/>
      <w:kern w:val="2"/>
      <w:sz w:val="21"/>
      <w:szCs w:val="24"/>
      <w:lang w:val="en-US" w:eastAsia="zh-CN" w:bidi="ar-SA"/>
    </w:rPr>
  </w:style>
  <w:style w:type="character" w:customStyle="1" w:styleId="84">
    <w:name w:val="标题 5 Char"/>
    <w:link w:val="6"/>
    <w:qFormat/>
    <w:uiPriority w:val="0"/>
    <w:rPr>
      <w:rFonts w:eastAsia="宋体"/>
      <w:b/>
      <w:kern w:val="2"/>
      <w:sz w:val="28"/>
      <w:lang w:val="en-US" w:eastAsia="zh-CN" w:bidi="ar-SA"/>
    </w:rPr>
  </w:style>
  <w:style w:type="character" w:customStyle="1" w:styleId="85">
    <w:name w:val="第*章 Char"/>
    <w:qFormat/>
    <w:uiPriority w:val="0"/>
    <w:rPr>
      <w:rFonts w:ascii="Arial" w:hAnsi="Arial" w:eastAsia="黑体"/>
      <w:b/>
      <w:bCs/>
      <w:kern w:val="2"/>
      <w:sz w:val="32"/>
      <w:szCs w:val="32"/>
    </w:rPr>
  </w:style>
  <w:style w:type="character" w:customStyle="1" w:styleId="86">
    <w:name w:val="章标题1 Char"/>
    <w:qFormat/>
    <w:uiPriority w:val="0"/>
    <w:rPr>
      <w:rFonts w:eastAsia="宋体"/>
      <w:b/>
      <w:bCs/>
      <w:kern w:val="2"/>
      <w:sz w:val="32"/>
      <w:szCs w:val="32"/>
      <w:lang w:val="en-US" w:eastAsia="zh-CN" w:bidi="ar-SA"/>
    </w:rPr>
  </w:style>
  <w:style w:type="character" w:customStyle="1" w:styleId="87">
    <w:name w:val="标题 6 Char"/>
    <w:link w:val="8"/>
    <w:qFormat/>
    <w:uiPriority w:val="0"/>
    <w:rPr>
      <w:rFonts w:ascii="Arial" w:hAnsi="Arial" w:eastAsia="黑体"/>
      <w:b/>
      <w:kern w:val="2"/>
      <w:sz w:val="24"/>
      <w:lang w:val="en-US" w:eastAsia="zh-CN" w:bidi="ar-SA"/>
    </w:rPr>
  </w:style>
  <w:style w:type="character" w:customStyle="1" w:styleId="88">
    <w:name w:val="标题 7 Char"/>
    <w:link w:val="9"/>
    <w:qFormat/>
    <w:uiPriority w:val="0"/>
    <w:rPr>
      <w:rFonts w:eastAsia="宋体"/>
      <w:b/>
      <w:kern w:val="2"/>
      <w:sz w:val="24"/>
      <w:lang w:val="en-US" w:eastAsia="zh-CN" w:bidi="ar-SA"/>
    </w:rPr>
  </w:style>
  <w:style w:type="character" w:customStyle="1" w:styleId="89">
    <w:name w:val="标题 8 Char"/>
    <w:link w:val="10"/>
    <w:qFormat/>
    <w:uiPriority w:val="0"/>
    <w:rPr>
      <w:rFonts w:ascii="Arial" w:hAnsi="Arial" w:eastAsia="黑体"/>
      <w:kern w:val="2"/>
      <w:sz w:val="24"/>
      <w:lang w:val="en-US" w:eastAsia="zh-CN" w:bidi="ar-SA"/>
    </w:rPr>
  </w:style>
  <w:style w:type="character" w:customStyle="1" w:styleId="90">
    <w:name w:val="标题 9 Char"/>
    <w:link w:val="11"/>
    <w:qFormat/>
    <w:uiPriority w:val="0"/>
    <w:rPr>
      <w:rFonts w:ascii="Arial" w:hAnsi="Arial" w:eastAsia="黑体"/>
      <w:kern w:val="2"/>
      <w:sz w:val="21"/>
      <w:lang w:val="en-US" w:eastAsia="zh-CN" w:bidi="ar-SA"/>
    </w:rPr>
  </w:style>
  <w:style w:type="character" w:customStyle="1" w:styleId="91">
    <w:name w:val="标题 Char"/>
    <w:link w:val="40"/>
    <w:qFormat/>
    <w:uiPriority w:val="0"/>
    <w:rPr>
      <w:rFonts w:ascii="Arial" w:hAnsi="Arial" w:eastAsia="隶书" w:cs="Arial"/>
      <w:b/>
      <w:bCs/>
      <w:kern w:val="2"/>
      <w:sz w:val="32"/>
      <w:szCs w:val="32"/>
      <w:lang w:val="en-US" w:eastAsia="zh-CN" w:bidi="ar-SA"/>
    </w:rPr>
  </w:style>
  <w:style w:type="character" w:customStyle="1" w:styleId="92">
    <w:name w:val="日期 Char"/>
    <w:link w:val="25"/>
    <w:qFormat/>
    <w:uiPriority w:val="0"/>
    <w:rPr>
      <w:rFonts w:ascii="宋体" w:hAnsi="Courier New" w:eastAsia="宋体"/>
      <w:kern w:val="2"/>
      <w:sz w:val="32"/>
      <w:lang w:val="en-US" w:eastAsia="zh-CN" w:bidi="ar-SA"/>
    </w:rPr>
  </w:style>
  <w:style w:type="character" w:customStyle="1" w:styleId="93">
    <w:name w:val="HTML 预设格式 Char"/>
    <w:link w:val="37"/>
    <w:qFormat/>
    <w:uiPriority w:val="0"/>
    <w:rPr>
      <w:rFonts w:ascii="Arial Unicode MS" w:hAnsi="Arial Unicode MS" w:eastAsia="Arial Unicode MS"/>
      <w:color w:val="000000"/>
      <w:lang w:val="en-US" w:eastAsia="zh-CN" w:bidi="ar-SA"/>
    </w:rPr>
  </w:style>
  <w:style w:type="character" w:customStyle="1" w:styleId="94">
    <w:name w:val="纯文本 Char"/>
    <w:link w:val="23"/>
    <w:qFormat/>
    <w:uiPriority w:val="0"/>
    <w:rPr>
      <w:rFonts w:ascii="宋体" w:hAnsi="Courier New" w:eastAsia="宋体"/>
      <w:kern w:val="2"/>
      <w:sz w:val="21"/>
      <w:lang w:val="en-US" w:eastAsia="zh-CN" w:bidi="ar-SA"/>
    </w:rPr>
  </w:style>
  <w:style w:type="character" w:customStyle="1" w:styleId="95">
    <w:name w:val="正文文字首行缩进 Char"/>
    <w:qFormat/>
    <w:uiPriority w:val="0"/>
    <w:rPr>
      <w:kern w:val="2"/>
      <w:sz w:val="21"/>
      <w:szCs w:val="24"/>
    </w:rPr>
  </w:style>
  <w:style w:type="character" w:customStyle="1" w:styleId="96">
    <w:name w:val="正文文本 Char"/>
    <w:link w:val="18"/>
    <w:qFormat/>
    <w:uiPriority w:val="0"/>
    <w:rPr>
      <w:rFonts w:eastAsia="宋体"/>
      <w:b/>
      <w:bCs/>
      <w:kern w:val="2"/>
      <w:sz w:val="24"/>
      <w:szCs w:val="24"/>
      <w:lang w:val="en-US" w:eastAsia="zh-CN" w:bidi="ar-SA"/>
    </w:rPr>
  </w:style>
  <w:style w:type="character" w:customStyle="1" w:styleId="97">
    <w:name w:val="正文文本缩进 2 Char"/>
    <w:link w:val="26"/>
    <w:qFormat/>
    <w:uiPriority w:val="0"/>
    <w:rPr>
      <w:rFonts w:ascii="宋体" w:hAnsi="宋体" w:eastAsia="宋体"/>
      <w:kern w:val="2"/>
      <w:sz w:val="21"/>
      <w:szCs w:val="24"/>
      <w:lang w:val="en-US" w:eastAsia="zh-CN" w:bidi="ar-SA"/>
    </w:rPr>
  </w:style>
  <w:style w:type="character" w:customStyle="1" w:styleId="98">
    <w:name w:val="页眉 Char"/>
    <w:link w:val="29"/>
    <w:qFormat/>
    <w:uiPriority w:val="99"/>
    <w:rPr>
      <w:rFonts w:eastAsia="宋体"/>
      <w:kern w:val="2"/>
      <w:sz w:val="18"/>
      <w:szCs w:val="18"/>
      <w:lang w:val="en-US" w:eastAsia="zh-CN" w:bidi="ar-SA"/>
    </w:rPr>
  </w:style>
  <w:style w:type="character" w:customStyle="1" w:styleId="99">
    <w:name w:val="正文文本缩进 3 Char"/>
    <w:link w:val="34"/>
    <w:qFormat/>
    <w:uiPriority w:val="0"/>
    <w:rPr>
      <w:rFonts w:ascii="宋体" w:eastAsia="宋体"/>
      <w:b/>
      <w:bCs/>
      <w:kern w:val="2"/>
      <w:sz w:val="24"/>
      <w:szCs w:val="24"/>
      <w:lang w:val="en-US" w:eastAsia="zh-CN" w:bidi="ar-SA"/>
    </w:rPr>
  </w:style>
  <w:style w:type="character" w:customStyle="1" w:styleId="100">
    <w:name w:val="正文文本 2 Char"/>
    <w:link w:val="19"/>
    <w:qFormat/>
    <w:uiPriority w:val="0"/>
    <w:rPr>
      <w:rFonts w:eastAsia="宋体"/>
      <w:kern w:val="2"/>
      <w:sz w:val="24"/>
      <w:szCs w:val="24"/>
      <w:lang w:val="en-US" w:eastAsia="zh-CN" w:bidi="ar-SA"/>
    </w:rPr>
  </w:style>
  <w:style w:type="character" w:customStyle="1" w:styleId="101">
    <w:name w:val="页脚 Char"/>
    <w:link w:val="28"/>
    <w:qFormat/>
    <w:uiPriority w:val="0"/>
    <w:rPr>
      <w:rFonts w:eastAsia="宋体"/>
      <w:kern w:val="2"/>
      <w:sz w:val="18"/>
      <w:szCs w:val="18"/>
      <w:lang w:val="en-US" w:eastAsia="zh-CN" w:bidi="ar-SA"/>
    </w:rPr>
  </w:style>
  <w:style w:type="character" w:customStyle="1" w:styleId="102">
    <w:name w:val="正文文本 3 Char"/>
    <w:link w:val="17"/>
    <w:qFormat/>
    <w:uiPriority w:val="0"/>
    <w:rPr>
      <w:rFonts w:eastAsia="宋体"/>
      <w:kern w:val="2"/>
      <w:sz w:val="16"/>
      <w:szCs w:val="16"/>
      <w:lang w:val="en-US" w:eastAsia="zh-CN" w:bidi="ar-SA"/>
    </w:rPr>
  </w:style>
  <w:style w:type="character" w:customStyle="1" w:styleId="103">
    <w:name w:val="批注框文本 Char"/>
    <w:link w:val="27"/>
    <w:qFormat/>
    <w:uiPriority w:val="99"/>
    <w:rPr>
      <w:rFonts w:eastAsia="宋体"/>
      <w:kern w:val="2"/>
      <w:sz w:val="18"/>
      <w:szCs w:val="18"/>
      <w:lang w:val="en-US" w:eastAsia="zh-CN" w:bidi="ar-SA"/>
    </w:rPr>
  </w:style>
  <w:style w:type="paragraph" w:customStyle="1" w:styleId="104">
    <w:name w:val="样式1"/>
    <w:basedOn w:val="40"/>
    <w:qFormat/>
    <w:uiPriority w:val="0"/>
    <w:pPr>
      <w:spacing w:before="120" w:after="120"/>
    </w:pPr>
    <w:rPr>
      <w:rFonts w:eastAsia="黑体"/>
      <w:b w:val="0"/>
      <w:sz w:val="30"/>
      <w:szCs w:val="21"/>
    </w:rPr>
  </w:style>
  <w:style w:type="paragraph" w:customStyle="1" w:styleId="105">
    <w:name w:val="样式2"/>
    <w:basedOn w:val="40"/>
    <w:next w:val="104"/>
    <w:qFormat/>
    <w:uiPriority w:val="0"/>
    <w:pPr>
      <w:spacing w:before="120" w:after="120"/>
    </w:pPr>
    <w:rPr>
      <w:rFonts w:eastAsia="黑体"/>
      <w:b w:val="0"/>
      <w:sz w:val="30"/>
      <w:szCs w:val="30"/>
    </w:rPr>
  </w:style>
  <w:style w:type="character" w:customStyle="1" w:styleId="106">
    <w:name w:val="标题 3 Char Char"/>
    <w:qFormat/>
    <w:uiPriority w:val="0"/>
    <w:rPr>
      <w:rFonts w:eastAsia="宋体"/>
      <w:b/>
      <w:bCs/>
      <w:kern w:val="2"/>
      <w:sz w:val="32"/>
      <w:szCs w:val="32"/>
      <w:lang w:val="en-US" w:eastAsia="zh-CN" w:bidi="ar-SA"/>
    </w:rPr>
  </w:style>
  <w:style w:type="paragraph" w:customStyle="1" w:styleId="107">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8">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9">
    <w:name w:val="--规划正文"/>
    <w:basedOn w:val="1"/>
    <w:qFormat/>
    <w:uiPriority w:val="0"/>
    <w:pPr>
      <w:spacing w:line="360" w:lineRule="auto"/>
      <w:ind w:firstLine="200" w:firstLineChars="200"/>
    </w:pPr>
    <w:rPr>
      <w:szCs w:val="20"/>
    </w:rPr>
  </w:style>
  <w:style w:type="paragraph" w:customStyle="1" w:styleId="110">
    <w:name w:val="设计依据"/>
    <w:basedOn w:val="18"/>
    <w:qFormat/>
    <w:uiPriority w:val="0"/>
    <w:pPr>
      <w:numPr>
        <w:ilvl w:val="1"/>
        <w:numId w:val="4"/>
      </w:numPr>
      <w:tabs>
        <w:tab w:val="clear" w:pos="840"/>
      </w:tabs>
      <w:adjustRightInd w:val="0"/>
      <w:ind w:left="1440"/>
      <w:textAlignment w:val="baseline"/>
    </w:pPr>
    <w:rPr>
      <w:rFonts w:ascii="宋体" w:hAnsi="宋体"/>
      <w:b w:val="0"/>
      <w:kern w:val="0"/>
      <w:sz w:val="28"/>
      <w:szCs w:val="18"/>
    </w:rPr>
  </w:style>
  <w:style w:type="paragraph" w:customStyle="1" w:styleId="111">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2">
    <w:name w:val="样式4"/>
    <w:basedOn w:val="1"/>
    <w:qFormat/>
    <w:uiPriority w:val="0"/>
    <w:pPr>
      <w:tabs>
        <w:tab w:val="left" w:pos="842"/>
      </w:tabs>
      <w:spacing w:line="360" w:lineRule="auto"/>
      <w:ind w:left="842" w:hanging="420"/>
    </w:pPr>
    <w:rPr>
      <w:sz w:val="24"/>
    </w:rPr>
  </w:style>
  <w:style w:type="paragraph" w:customStyle="1" w:styleId="113">
    <w:name w:val="文字"/>
    <w:basedOn w:val="1"/>
    <w:qFormat/>
    <w:uiPriority w:val="0"/>
    <w:pPr>
      <w:tabs>
        <w:tab w:val="left" w:pos="8520"/>
      </w:tabs>
      <w:spacing w:line="312" w:lineRule="auto"/>
      <w:ind w:right="-210" w:firstLine="556"/>
    </w:pPr>
    <w:rPr>
      <w:rFonts w:ascii="宋体"/>
      <w:sz w:val="28"/>
      <w:szCs w:val="20"/>
    </w:rPr>
  </w:style>
  <w:style w:type="paragraph" w:customStyle="1" w:styleId="114">
    <w:name w:val="--规划-表格-居左"/>
    <w:basedOn w:val="109"/>
    <w:qFormat/>
    <w:uiPriority w:val="0"/>
    <w:pPr>
      <w:spacing w:line="240" w:lineRule="auto"/>
      <w:ind w:firstLine="0" w:firstLineChars="0"/>
    </w:pPr>
    <w:rPr>
      <w:sz w:val="20"/>
    </w:rPr>
  </w:style>
  <w:style w:type="paragraph" w:customStyle="1" w:styleId="115">
    <w:name w:val="--规划-表格-居中"/>
    <w:basedOn w:val="109"/>
    <w:qFormat/>
    <w:uiPriority w:val="0"/>
    <w:pPr>
      <w:spacing w:line="240" w:lineRule="auto"/>
      <w:ind w:firstLine="0" w:firstLineChars="0"/>
      <w:jc w:val="center"/>
    </w:pPr>
    <w:rPr>
      <w:sz w:val="20"/>
    </w:rPr>
  </w:style>
  <w:style w:type="paragraph" w:customStyle="1" w:styleId="116">
    <w:name w:val="--编号内缩进"/>
    <w:basedOn w:val="1"/>
    <w:qFormat/>
    <w:uiPriority w:val="0"/>
    <w:pPr>
      <w:spacing w:line="360" w:lineRule="auto"/>
      <w:ind w:left="420" w:firstLine="200" w:firstLineChars="200"/>
    </w:pPr>
    <w:rPr>
      <w:szCs w:val="21"/>
    </w:rPr>
  </w:style>
  <w:style w:type="paragraph" w:customStyle="1" w:styleId="117">
    <w:name w:val="--规划-题注"/>
    <w:basedOn w:val="1"/>
    <w:next w:val="109"/>
    <w:qFormat/>
    <w:uiPriority w:val="0"/>
    <w:pPr>
      <w:spacing w:line="360" w:lineRule="auto"/>
      <w:jc w:val="center"/>
    </w:pPr>
    <w:rPr>
      <w:rFonts w:eastAsia="黑体"/>
    </w:rPr>
  </w:style>
  <w:style w:type="paragraph" w:customStyle="1" w:styleId="118">
    <w:name w:val="--规划-图和表"/>
    <w:next w:val="109"/>
    <w:qFormat/>
    <w:uiPriority w:val="0"/>
    <w:pPr>
      <w:jc w:val="center"/>
    </w:pPr>
    <w:rPr>
      <w:rFonts w:ascii="Times New Roman" w:hAnsi="Times New Roman" w:eastAsia="宋体" w:cs="Times New Roman"/>
      <w:kern w:val="2"/>
      <w:sz w:val="21"/>
      <w:lang w:val="en-US" w:eastAsia="zh-CN" w:bidi="ar-SA"/>
    </w:rPr>
  </w:style>
  <w:style w:type="paragraph" w:customStyle="1" w:styleId="119">
    <w:name w:val="--规划-小标题"/>
    <w:basedOn w:val="1"/>
    <w:next w:val="109"/>
    <w:qFormat/>
    <w:uiPriority w:val="0"/>
    <w:pPr>
      <w:keepNext/>
      <w:keepLines/>
      <w:spacing w:line="360" w:lineRule="auto"/>
      <w:outlineLvl w:val="4"/>
    </w:pPr>
    <w:rPr>
      <w:rFonts w:eastAsia="黑体"/>
    </w:rPr>
  </w:style>
  <w:style w:type="paragraph" w:customStyle="1" w:styleId="120">
    <w:name w:val="--规划正文 Char"/>
    <w:basedOn w:val="1"/>
    <w:qFormat/>
    <w:uiPriority w:val="0"/>
    <w:pPr>
      <w:spacing w:line="360" w:lineRule="auto"/>
      <w:ind w:firstLine="200" w:firstLineChars="200"/>
    </w:pPr>
    <w:rPr>
      <w:sz w:val="24"/>
    </w:rPr>
  </w:style>
  <w:style w:type="paragraph" w:customStyle="1" w:styleId="121">
    <w:name w:val="缺省文本"/>
    <w:basedOn w:val="1"/>
    <w:qFormat/>
    <w:uiPriority w:val="0"/>
    <w:pPr>
      <w:autoSpaceDE w:val="0"/>
      <w:autoSpaceDN w:val="0"/>
      <w:adjustRightInd w:val="0"/>
      <w:jc w:val="left"/>
    </w:pPr>
    <w:rPr>
      <w:kern w:val="0"/>
    </w:rPr>
  </w:style>
  <w:style w:type="paragraph" w:customStyle="1" w:styleId="122">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3">
    <w:name w:val="--规划正文 Char Char"/>
    <w:qFormat/>
    <w:uiPriority w:val="0"/>
    <w:rPr>
      <w:rFonts w:eastAsia="宋体"/>
      <w:kern w:val="2"/>
      <w:sz w:val="24"/>
      <w:szCs w:val="24"/>
      <w:lang w:val="en-US" w:eastAsia="zh-CN" w:bidi="ar-SA"/>
    </w:rPr>
  </w:style>
  <w:style w:type="paragraph" w:customStyle="1" w:styleId="124">
    <w:name w:val="样式3"/>
    <w:basedOn w:val="2"/>
    <w:qFormat/>
    <w:uiPriority w:val="0"/>
    <w:pPr>
      <w:numPr>
        <w:ilvl w:val="0"/>
        <w:numId w:val="5"/>
      </w:numPr>
      <w:spacing w:before="240" w:after="240" w:line="480" w:lineRule="auto"/>
      <w:ind w:right="210" w:rightChars="100"/>
      <w:jc w:val="left"/>
    </w:pPr>
    <w:rPr>
      <w:sz w:val="32"/>
    </w:rPr>
  </w:style>
  <w:style w:type="character" w:customStyle="1" w:styleId="125">
    <w:name w:val="--规划正文 Char1"/>
    <w:qFormat/>
    <w:uiPriority w:val="0"/>
    <w:rPr>
      <w:rFonts w:eastAsia="宋体"/>
      <w:kern w:val="2"/>
      <w:sz w:val="21"/>
      <w:lang w:val="en-US" w:eastAsia="zh-CN" w:bidi="ar-SA"/>
    </w:rPr>
  </w:style>
  <w:style w:type="paragraph" w:customStyle="1" w:styleId="126">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7">
    <w:name w:val="列表项目"/>
    <w:basedOn w:val="1"/>
    <w:qFormat/>
    <w:uiPriority w:val="0"/>
    <w:pPr>
      <w:tabs>
        <w:tab w:val="left" w:pos="420"/>
        <w:tab w:val="left" w:pos="1080"/>
      </w:tabs>
      <w:spacing w:line="288" w:lineRule="auto"/>
      <w:ind w:left="1080" w:hanging="360"/>
    </w:pPr>
    <w:rPr>
      <w:sz w:val="24"/>
      <w:szCs w:val="20"/>
    </w:rPr>
  </w:style>
  <w:style w:type="character" w:customStyle="1" w:styleId="128">
    <w:name w:val="content1"/>
    <w:qFormat/>
    <w:uiPriority w:val="0"/>
    <w:rPr>
      <w:rFonts w:hint="default" w:ascii="??" w:hAnsi="??"/>
      <w:sz w:val="16"/>
      <w:szCs w:val="16"/>
      <w:u w:val="none"/>
    </w:rPr>
  </w:style>
  <w:style w:type="character" w:customStyle="1" w:styleId="129">
    <w:name w:val="unnamed4"/>
    <w:basedOn w:val="47"/>
    <w:qFormat/>
    <w:uiPriority w:val="0"/>
  </w:style>
  <w:style w:type="character" w:customStyle="1" w:styleId="130">
    <w:name w:val="font2"/>
    <w:basedOn w:val="47"/>
    <w:qFormat/>
    <w:uiPriority w:val="0"/>
  </w:style>
  <w:style w:type="character" w:customStyle="1" w:styleId="131">
    <w:name w:val="font41"/>
    <w:qFormat/>
    <w:uiPriority w:val="0"/>
    <w:rPr>
      <w:color w:val="000000"/>
      <w:spacing w:val="260"/>
      <w:sz w:val="18"/>
      <w:szCs w:val="18"/>
      <w:u w:val="none"/>
    </w:rPr>
  </w:style>
  <w:style w:type="paragraph" w:customStyle="1" w:styleId="132">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3">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4">
    <w:name w:val="正文首行缩进 Char"/>
    <w:link w:val="42"/>
    <w:qFormat/>
    <w:uiPriority w:val="0"/>
    <w:rPr>
      <w:rFonts w:eastAsia="宋体"/>
      <w:b/>
      <w:bCs/>
      <w:kern w:val="2"/>
      <w:sz w:val="21"/>
      <w:szCs w:val="24"/>
      <w:lang w:val="en-US" w:eastAsia="zh-CN" w:bidi="ar-SA"/>
    </w:rPr>
  </w:style>
  <w:style w:type="paragraph" w:customStyle="1" w:styleId="135">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6">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7">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8">
    <w:name w:val="mode"/>
    <w:basedOn w:val="47"/>
    <w:qFormat/>
    <w:uiPriority w:val="0"/>
  </w:style>
  <w:style w:type="paragraph" w:customStyle="1" w:styleId="139">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character" w:customStyle="1" w:styleId="140">
    <w:name w:val="unnamed3"/>
    <w:basedOn w:val="47"/>
    <w:qFormat/>
    <w:uiPriority w:val="0"/>
  </w:style>
  <w:style w:type="paragraph" w:customStyle="1" w:styleId="141">
    <w:name w:val="8"/>
    <w:basedOn w:val="1"/>
    <w:next w:val="20"/>
    <w:qFormat/>
    <w:uiPriority w:val="0"/>
    <w:pPr>
      <w:spacing w:after="120"/>
      <w:ind w:left="420" w:leftChars="200"/>
    </w:pPr>
  </w:style>
  <w:style w:type="paragraph" w:customStyle="1" w:styleId="142">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3">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4">
    <w:name w:val="5"/>
    <w:basedOn w:val="1"/>
    <w:qFormat/>
    <w:uiPriority w:val="0"/>
    <w:pPr>
      <w:autoSpaceDE w:val="0"/>
      <w:autoSpaceDN w:val="0"/>
      <w:adjustRightInd w:val="0"/>
      <w:jc w:val="left"/>
    </w:pPr>
    <w:rPr>
      <w:rFonts w:ascii="宋体"/>
      <w:b/>
      <w:bCs/>
      <w:kern w:val="0"/>
      <w:sz w:val="18"/>
      <w:szCs w:val="18"/>
    </w:rPr>
  </w:style>
  <w:style w:type="paragraph" w:customStyle="1" w:styleId="145">
    <w:name w:val="6"/>
    <w:basedOn w:val="144"/>
    <w:qFormat/>
    <w:uiPriority w:val="0"/>
    <w:pPr>
      <w:spacing w:line="270" w:lineRule="atLeast"/>
      <w:jc w:val="both"/>
    </w:pPr>
    <w:rPr>
      <w:b w:val="0"/>
      <w:bCs w:val="0"/>
    </w:rPr>
  </w:style>
  <w:style w:type="paragraph" w:customStyle="1" w:styleId="146">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7">
    <w:name w:val="姜文清定义的正文"/>
    <w:basedOn w:val="1"/>
    <w:qFormat/>
    <w:uiPriority w:val="0"/>
    <w:pPr>
      <w:spacing w:line="240" w:lineRule="atLeast"/>
      <w:ind w:firstLine="567"/>
    </w:pPr>
    <w:rPr>
      <w:szCs w:val="20"/>
    </w:rPr>
  </w:style>
  <w:style w:type="paragraph" w:customStyle="1" w:styleId="148">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9">
    <w:name w:val="CM2"/>
    <w:basedOn w:val="148"/>
    <w:next w:val="148"/>
    <w:qFormat/>
    <w:uiPriority w:val="0"/>
    <w:pPr>
      <w:spacing w:line="200" w:lineRule="atLeast"/>
    </w:pPr>
    <w:rPr>
      <w:rFonts w:ascii="Arial" w:hAnsi="Arial" w:eastAsia="宋体" w:cs="Times New Roman"/>
      <w:color w:val="auto"/>
    </w:rPr>
  </w:style>
  <w:style w:type="paragraph" w:customStyle="1" w:styleId="150">
    <w:name w:val="Normal Paragraph"/>
    <w:basedOn w:val="1"/>
    <w:qFormat/>
    <w:uiPriority w:val="0"/>
    <w:pPr>
      <w:widowControl/>
      <w:spacing w:before="120" w:line="360" w:lineRule="auto"/>
      <w:ind w:firstLine="425"/>
    </w:pPr>
    <w:rPr>
      <w:kern w:val="0"/>
      <w:sz w:val="24"/>
    </w:rPr>
  </w:style>
  <w:style w:type="character" w:customStyle="1" w:styleId="151">
    <w:name w:val="blue"/>
    <w:basedOn w:val="47"/>
    <w:qFormat/>
    <w:uiPriority w:val="0"/>
  </w:style>
  <w:style w:type="paragraph" w:customStyle="1" w:styleId="152">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3">
    <w:name w:val="font"/>
    <w:basedOn w:val="47"/>
    <w:qFormat/>
    <w:uiPriority w:val="0"/>
  </w:style>
  <w:style w:type="character" w:customStyle="1" w:styleId="154">
    <w:name w:val="font11"/>
    <w:basedOn w:val="47"/>
    <w:qFormat/>
    <w:uiPriority w:val="0"/>
    <w:rPr>
      <w:rFonts w:hint="default" w:ascii="ˎ̥" w:hAnsi="ˎ̥"/>
    </w:rPr>
  </w:style>
  <w:style w:type="paragraph" w:customStyle="1" w:styleId="155">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6">
    <w:name w:val="proddescription"/>
    <w:basedOn w:val="47"/>
    <w:qFormat/>
    <w:uiPriority w:val="0"/>
  </w:style>
  <w:style w:type="character" w:customStyle="1" w:styleId="157">
    <w:name w:val="prodheadlines"/>
    <w:basedOn w:val="47"/>
    <w:qFormat/>
    <w:uiPriority w:val="0"/>
  </w:style>
  <w:style w:type="character" w:customStyle="1" w:styleId="158">
    <w:name w:val="text"/>
    <w:basedOn w:val="47"/>
    <w:qFormat/>
    <w:uiPriority w:val="0"/>
  </w:style>
  <w:style w:type="paragraph" w:customStyle="1" w:styleId="159">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0">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1">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162">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3">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段落正文"/>
    <w:basedOn w:val="23"/>
    <w:qFormat/>
    <w:uiPriority w:val="0"/>
    <w:pPr>
      <w:ind w:firstLine="560" w:firstLineChars="200"/>
    </w:pPr>
    <w:rPr>
      <w:sz w:val="28"/>
    </w:rPr>
  </w:style>
  <w:style w:type="character" w:customStyle="1" w:styleId="165">
    <w:name w:val="gray6"/>
    <w:basedOn w:val="47"/>
    <w:qFormat/>
    <w:uiPriority w:val="0"/>
  </w:style>
  <w:style w:type="character" w:customStyle="1" w:styleId="166">
    <w:name w:val="style9"/>
    <w:basedOn w:val="47"/>
    <w:qFormat/>
    <w:uiPriority w:val="0"/>
  </w:style>
  <w:style w:type="paragraph" w:customStyle="1" w:styleId="167">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8">
    <w:name w:val="grame"/>
    <w:basedOn w:val="47"/>
    <w:qFormat/>
    <w:uiPriority w:val="0"/>
  </w:style>
  <w:style w:type="paragraph" w:customStyle="1" w:styleId="169">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0">
    <w:name w:val="Char1"/>
    <w:basedOn w:val="1"/>
    <w:qFormat/>
    <w:uiPriority w:val="0"/>
    <w:pPr>
      <w:jc w:val="left"/>
    </w:pPr>
    <w:rPr>
      <w:rFonts w:ascii="Tahoma" w:hAnsi="Tahoma"/>
      <w:sz w:val="24"/>
      <w:szCs w:val="20"/>
    </w:rPr>
  </w:style>
  <w:style w:type="paragraph" w:customStyle="1" w:styleId="171">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2">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3">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5">
    <w:name w:val="font6"/>
    <w:basedOn w:val="1"/>
    <w:qFormat/>
    <w:uiPriority w:val="0"/>
    <w:pPr>
      <w:widowControl/>
      <w:spacing w:before="100" w:beforeAutospacing="1" w:after="100" w:afterAutospacing="1"/>
      <w:jc w:val="left"/>
    </w:pPr>
    <w:rPr>
      <w:kern w:val="0"/>
      <w:sz w:val="24"/>
    </w:rPr>
  </w:style>
  <w:style w:type="paragraph" w:customStyle="1" w:styleId="17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8">
    <w:name w:val="表格字"/>
    <w:basedOn w:val="1"/>
    <w:qFormat/>
    <w:uiPriority w:val="0"/>
    <w:pPr>
      <w:adjustRightInd w:val="0"/>
      <w:jc w:val="center"/>
    </w:pPr>
    <w:rPr>
      <w:rFonts w:ascii="宋体"/>
      <w:sz w:val="24"/>
      <w:szCs w:val="20"/>
    </w:rPr>
  </w:style>
  <w:style w:type="character" w:customStyle="1" w:styleId="179">
    <w:name w:val="样式 小三 加粗"/>
    <w:qFormat/>
    <w:uiPriority w:val="0"/>
    <w:rPr>
      <w:rFonts w:eastAsia="宋体"/>
      <w:b/>
      <w:bCs/>
      <w:sz w:val="32"/>
    </w:rPr>
  </w:style>
  <w:style w:type="paragraph" w:customStyle="1" w:styleId="18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1">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2">
    <w:name w:val="Char Char Char"/>
    <w:basedOn w:val="1"/>
    <w:qFormat/>
    <w:uiPriority w:val="0"/>
    <w:rPr>
      <w:rFonts w:ascii="Tahoma" w:hAnsi="Tahoma"/>
      <w:sz w:val="24"/>
      <w:szCs w:val="20"/>
    </w:rPr>
  </w:style>
  <w:style w:type="paragraph" w:customStyle="1" w:styleId="183">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4">
    <w:name w:val="info4"/>
    <w:basedOn w:val="47"/>
    <w:qFormat/>
    <w:uiPriority w:val="0"/>
  </w:style>
  <w:style w:type="paragraph" w:customStyle="1" w:styleId="185">
    <w:name w:val="缩进正文"/>
    <w:basedOn w:val="1"/>
    <w:link w:val="186"/>
    <w:qFormat/>
    <w:uiPriority w:val="0"/>
    <w:pPr>
      <w:ind w:firstLine="560" w:firstLineChars="200"/>
    </w:pPr>
    <w:rPr>
      <w:rFonts w:eastAsia="仿宋_GB2312" w:cs="宋体"/>
      <w:sz w:val="28"/>
      <w:szCs w:val="20"/>
    </w:rPr>
  </w:style>
  <w:style w:type="character" w:customStyle="1" w:styleId="186">
    <w:name w:val="缩进正文 Char"/>
    <w:link w:val="185"/>
    <w:qFormat/>
    <w:uiPriority w:val="0"/>
    <w:rPr>
      <w:rFonts w:eastAsia="仿宋_GB2312" w:cs="宋体"/>
      <w:kern w:val="2"/>
      <w:sz w:val="28"/>
      <w:lang w:val="en-US" w:eastAsia="zh-CN" w:bidi="ar-SA"/>
    </w:rPr>
  </w:style>
  <w:style w:type="paragraph" w:customStyle="1" w:styleId="187">
    <w:name w:val="列出段落1"/>
    <w:basedOn w:val="1"/>
    <w:qFormat/>
    <w:uiPriority w:val="0"/>
    <w:pPr>
      <w:ind w:firstLine="420" w:firstLineChars="200"/>
    </w:pPr>
    <w:rPr>
      <w:rFonts w:ascii="Calibri" w:hAnsi="Calibri" w:cs="Calibri"/>
      <w:szCs w:val="21"/>
    </w:rPr>
  </w:style>
  <w:style w:type="character" w:customStyle="1" w:styleId="188">
    <w:name w:val="批注文字 Char"/>
    <w:basedOn w:val="47"/>
    <w:link w:val="16"/>
    <w:qFormat/>
    <w:uiPriority w:val="99"/>
    <w:rPr>
      <w:rFonts w:ascii="宋体"/>
      <w:sz w:val="34"/>
    </w:rPr>
  </w:style>
  <w:style w:type="character" w:customStyle="1" w:styleId="189">
    <w:name w:val="批注主题 Char"/>
    <w:basedOn w:val="188"/>
    <w:link w:val="41"/>
    <w:qFormat/>
    <w:uiPriority w:val="99"/>
    <w:rPr>
      <w:rFonts w:ascii="宋体"/>
      <w:sz w:val="34"/>
    </w:rPr>
  </w:style>
  <w:style w:type="paragraph" w:customStyle="1" w:styleId="190">
    <w:name w:val="评价"/>
    <w:basedOn w:val="1"/>
    <w:qFormat/>
    <w:uiPriority w:val="0"/>
    <w:pPr>
      <w:spacing w:afterLines="20"/>
      <w:ind w:firstLine="1446" w:firstLineChars="200"/>
    </w:pPr>
    <w:rPr>
      <w:rFonts w:ascii="Calibri" w:hAnsi="Calibri"/>
      <w:sz w:val="24"/>
    </w:rPr>
  </w:style>
  <w:style w:type="paragraph" w:customStyle="1" w:styleId="191">
    <w:name w:val="修订1"/>
    <w:qFormat/>
    <w:uiPriority w:val="99"/>
    <w:rPr>
      <w:rFonts w:ascii="Times New Roman" w:hAnsi="Times New Roman" w:eastAsia="宋体" w:cs="Times New Roman"/>
      <w:kern w:val="2"/>
      <w:sz w:val="21"/>
      <w:szCs w:val="24"/>
      <w:lang w:val="en-US" w:eastAsia="zh-CN" w:bidi="ar-SA"/>
    </w:rPr>
  </w:style>
  <w:style w:type="character" w:customStyle="1" w:styleId="192">
    <w:name w:val="alt-edited1"/>
    <w:qFormat/>
    <w:uiPriority w:val="0"/>
    <w:rPr>
      <w:color w:val="4D90F0"/>
    </w:rPr>
  </w:style>
  <w:style w:type="paragraph" w:customStyle="1" w:styleId="193">
    <w:name w:val="toc 14"/>
    <w:next w:val="1"/>
    <w:qFormat/>
    <w:uiPriority w:val="0"/>
    <w:pPr>
      <w:wordWrap w:val="0"/>
      <w:jc w:val="both"/>
    </w:pPr>
    <w:rPr>
      <w:rFonts w:ascii="Calibri" w:hAnsi="Calibri" w:eastAsia="宋体" w:cs="Times New Roman"/>
      <w:sz w:val="21"/>
      <w:lang w:val="en-US" w:eastAsia="zh-CN" w:bidi="ar-SA"/>
    </w:rPr>
  </w:style>
  <w:style w:type="character" w:customStyle="1" w:styleId="194">
    <w:name w:val="文档结构图 Char1"/>
    <w:qFormat/>
    <w:uiPriority w:val="0"/>
    <w:rPr>
      <w:sz w:val="20"/>
    </w:rPr>
  </w:style>
  <w:style w:type="character" w:customStyle="1" w:styleId="195">
    <w:name w:val="文档结构图 Char"/>
    <w:qFormat/>
    <w:uiPriority w:val="0"/>
    <w:rPr>
      <w:sz w:val="20"/>
    </w:rPr>
  </w:style>
  <w:style w:type="character" w:customStyle="1" w:styleId="196">
    <w:name w:val="short_text"/>
    <w:basedOn w:val="47"/>
    <w:qFormat/>
    <w:uiPriority w:val="0"/>
    <w:rPr>
      <w:sz w:val="20"/>
    </w:rPr>
  </w:style>
  <w:style w:type="character" w:customStyle="1" w:styleId="197">
    <w:name w:val="标题 Char1"/>
    <w:qFormat/>
    <w:uiPriority w:val="0"/>
    <w:rPr>
      <w:b/>
      <w:sz w:val="20"/>
    </w:rPr>
  </w:style>
  <w:style w:type="character" w:customStyle="1" w:styleId="198">
    <w:name w:val="正文文本缩进 3 Char1"/>
    <w:qFormat/>
    <w:uiPriority w:val="0"/>
    <w:rPr>
      <w:sz w:val="20"/>
    </w:rPr>
  </w:style>
  <w:style w:type="character" w:customStyle="1" w:styleId="199">
    <w:name w:val="font21"/>
    <w:basedOn w:val="47"/>
    <w:qFormat/>
    <w:uiPriority w:val="0"/>
    <w:rPr>
      <w:color w:val="FF0000"/>
      <w:sz w:val="20"/>
      <w:u w:val="none"/>
    </w:rPr>
  </w:style>
  <w:style w:type="character" w:customStyle="1" w:styleId="200">
    <w:name w:val="不明显强调1"/>
    <w:qFormat/>
    <w:uiPriority w:val="0"/>
    <w:rPr>
      <w:i/>
      <w:sz w:val="20"/>
    </w:rPr>
  </w:style>
  <w:style w:type="character" w:customStyle="1" w:styleId="201">
    <w:name w:val="font71"/>
    <w:qFormat/>
    <w:uiPriority w:val="0"/>
    <w:rPr>
      <w:sz w:val="20"/>
      <w:u w:val="none"/>
    </w:rPr>
  </w:style>
  <w:style w:type="character" w:customStyle="1" w:styleId="202">
    <w:name w:val="页眉 Char1"/>
    <w:qFormat/>
    <w:uiPriority w:val="0"/>
    <w:rPr>
      <w:sz w:val="20"/>
    </w:rPr>
  </w:style>
  <w:style w:type="character" w:customStyle="1" w:styleId="203">
    <w:name w:val="正文文本缩进 2 Char1"/>
    <w:qFormat/>
    <w:uiPriority w:val="0"/>
    <w:rPr>
      <w:sz w:val="20"/>
    </w:rPr>
  </w:style>
  <w:style w:type="character" w:customStyle="1" w:styleId="204">
    <w:name w:val="font61"/>
    <w:qFormat/>
    <w:uiPriority w:val="0"/>
    <w:rPr>
      <w:sz w:val="20"/>
      <w:u w:val="none"/>
    </w:rPr>
  </w:style>
  <w:style w:type="character" w:customStyle="1" w:styleId="205">
    <w:name w:val="纯文本 Char1"/>
    <w:qFormat/>
    <w:uiPriority w:val="0"/>
    <w:rPr>
      <w:sz w:val="20"/>
    </w:rPr>
  </w:style>
  <w:style w:type="character" w:customStyle="1" w:styleId="206">
    <w:name w:val="正文文本 3 Char1"/>
    <w:qFormat/>
    <w:uiPriority w:val="0"/>
    <w:rPr>
      <w:sz w:val="20"/>
    </w:rPr>
  </w:style>
  <w:style w:type="character" w:customStyle="1" w:styleId="207">
    <w:name w:val="正文文本缩进 Char1"/>
    <w:qFormat/>
    <w:uiPriority w:val="0"/>
    <w:rPr>
      <w:sz w:val="20"/>
    </w:rPr>
  </w:style>
  <w:style w:type="character" w:customStyle="1" w:styleId="208">
    <w:name w:val="明显参考1"/>
    <w:qFormat/>
    <w:uiPriority w:val="0"/>
    <w:rPr>
      <w:b/>
      <w:sz w:val="20"/>
    </w:rPr>
  </w:style>
  <w:style w:type="character" w:customStyle="1" w:styleId="209">
    <w:name w:val="apple-converted-space"/>
    <w:qFormat/>
    <w:uiPriority w:val="0"/>
    <w:rPr>
      <w:sz w:val="20"/>
    </w:rPr>
  </w:style>
  <w:style w:type="character" w:customStyle="1" w:styleId="210">
    <w:name w:val="书籍标题1"/>
    <w:qFormat/>
    <w:uiPriority w:val="0"/>
    <w:rPr>
      <w:b/>
      <w:i/>
      <w:sz w:val="20"/>
    </w:rPr>
  </w:style>
  <w:style w:type="character" w:customStyle="1" w:styleId="211">
    <w:name w:val="long_text"/>
    <w:qFormat/>
    <w:uiPriority w:val="0"/>
    <w:rPr>
      <w:sz w:val="20"/>
    </w:rPr>
  </w:style>
  <w:style w:type="character" w:customStyle="1" w:styleId="212">
    <w:name w:val="日期 Char1"/>
    <w:qFormat/>
    <w:uiPriority w:val="0"/>
    <w:rPr>
      <w:sz w:val="20"/>
    </w:rPr>
  </w:style>
  <w:style w:type="character" w:customStyle="1" w:styleId="213">
    <w:name w:val="批注文字 Char1"/>
    <w:qFormat/>
    <w:uiPriority w:val="0"/>
    <w:rPr>
      <w:sz w:val="20"/>
    </w:rPr>
  </w:style>
  <w:style w:type="character" w:customStyle="1" w:styleId="214">
    <w:name w:val="明显强调1"/>
    <w:qFormat/>
    <w:uiPriority w:val="0"/>
    <w:rPr>
      <w:i/>
      <w:sz w:val="20"/>
    </w:rPr>
  </w:style>
  <w:style w:type="character" w:customStyle="1" w:styleId="215">
    <w:name w:val="16"/>
    <w:qFormat/>
    <w:uiPriority w:val="0"/>
    <w:rPr>
      <w:b/>
      <w:color w:val="FF0356"/>
      <w:sz w:val="20"/>
    </w:rPr>
  </w:style>
  <w:style w:type="character" w:customStyle="1" w:styleId="216">
    <w:name w:val="批注主题 Char1"/>
    <w:qFormat/>
    <w:uiPriority w:val="0"/>
    <w:rPr>
      <w:b/>
      <w:sz w:val="20"/>
    </w:rPr>
  </w:style>
  <w:style w:type="character" w:customStyle="1" w:styleId="217">
    <w:name w:val="正文文本 2 Char1"/>
    <w:qFormat/>
    <w:uiPriority w:val="0"/>
    <w:rPr>
      <w:sz w:val="20"/>
    </w:rPr>
  </w:style>
  <w:style w:type="character" w:customStyle="1" w:styleId="218">
    <w:name w:val="font31"/>
    <w:qFormat/>
    <w:uiPriority w:val="0"/>
    <w:rPr>
      <w:color w:val="FF0000"/>
      <w:sz w:val="20"/>
      <w:u w:val="none"/>
      <w:vertAlign w:val="superscript"/>
    </w:rPr>
  </w:style>
  <w:style w:type="character" w:customStyle="1" w:styleId="219">
    <w:name w:val="不明显参考1"/>
    <w:qFormat/>
    <w:uiPriority w:val="0"/>
    <w:rPr>
      <w:sz w:val="20"/>
    </w:rPr>
  </w:style>
  <w:style w:type="character" w:customStyle="1" w:styleId="220">
    <w:name w:val="HTML 预设格式 Char1"/>
    <w:qFormat/>
    <w:uiPriority w:val="0"/>
    <w:rPr>
      <w:sz w:val="20"/>
    </w:rPr>
  </w:style>
  <w:style w:type="character" w:customStyle="1" w:styleId="221">
    <w:name w:val="font01"/>
    <w:basedOn w:val="47"/>
    <w:qFormat/>
    <w:uiPriority w:val="0"/>
    <w:rPr>
      <w:color w:val="FF0000"/>
      <w:sz w:val="20"/>
      <w:u w:val="none"/>
      <w:vertAlign w:val="superscript"/>
    </w:rPr>
  </w:style>
  <w:style w:type="character" w:customStyle="1" w:styleId="222">
    <w:name w:val="页脚 Char1"/>
    <w:qFormat/>
    <w:uiPriority w:val="0"/>
    <w:rPr>
      <w:sz w:val="20"/>
    </w:rPr>
  </w:style>
  <w:style w:type="character" w:customStyle="1" w:styleId="223">
    <w:name w:val="批注框文本 Char1"/>
    <w:qFormat/>
    <w:uiPriority w:val="0"/>
    <w:rPr>
      <w:sz w:val="20"/>
    </w:rPr>
  </w:style>
  <w:style w:type="paragraph" w:customStyle="1" w:styleId="224">
    <w:name w:val="列出段落2"/>
    <w:basedOn w:val="1"/>
    <w:next w:val="225"/>
    <w:qFormat/>
    <w:uiPriority w:val="0"/>
    <w:pPr>
      <w:ind w:firstLine="420"/>
    </w:pPr>
    <w:rPr>
      <w:rFonts w:hAnsi="Calibri"/>
      <w:kern w:val="0"/>
      <w:szCs w:val="20"/>
    </w:rPr>
  </w:style>
  <w:style w:type="paragraph" w:customStyle="1" w:styleId="225">
    <w:name w:val="toc 814"/>
    <w:next w:val="1"/>
    <w:qFormat/>
    <w:uiPriority w:val="0"/>
    <w:pPr>
      <w:wordWrap w:val="0"/>
      <w:ind w:left="2975"/>
      <w:jc w:val="both"/>
    </w:pPr>
    <w:rPr>
      <w:rFonts w:ascii="Calibri" w:hAnsi="Calibri" w:eastAsia="宋体" w:cs="Times New Roman"/>
      <w:sz w:val="21"/>
      <w:lang w:val="en-US" w:eastAsia="zh-CN" w:bidi="ar-SA"/>
    </w:rPr>
  </w:style>
  <w:style w:type="paragraph" w:customStyle="1" w:styleId="226">
    <w:name w:val="toc 62"/>
    <w:next w:val="1"/>
    <w:qFormat/>
    <w:uiPriority w:val="0"/>
    <w:pPr>
      <w:wordWrap w:val="0"/>
      <w:ind w:left="2125"/>
      <w:jc w:val="both"/>
    </w:pPr>
    <w:rPr>
      <w:rFonts w:ascii="Calibri" w:hAnsi="Calibri" w:eastAsia="宋体" w:cs="Times New Roman"/>
      <w:sz w:val="21"/>
      <w:lang w:val="en-US" w:eastAsia="zh-CN" w:bidi="ar-SA"/>
    </w:rPr>
  </w:style>
  <w:style w:type="paragraph" w:customStyle="1" w:styleId="227">
    <w:name w:val="toc 414"/>
    <w:next w:val="1"/>
    <w:qFormat/>
    <w:uiPriority w:val="0"/>
    <w:pPr>
      <w:wordWrap w:val="0"/>
      <w:ind w:left="1275"/>
      <w:jc w:val="both"/>
    </w:pPr>
    <w:rPr>
      <w:rFonts w:ascii="Calibri" w:hAnsi="Calibri" w:eastAsia="宋体" w:cs="Times New Roman"/>
      <w:sz w:val="21"/>
      <w:lang w:val="en-US" w:eastAsia="zh-CN" w:bidi="ar-SA"/>
    </w:rPr>
  </w:style>
  <w:style w:type="paragraph" w:customStyle="1" w:styleId="228">
    <w:name w:val="toc 411"/>
    <w:next w:val="1"/>
    <w:qFormat/>
    <w:uiPriority w:val="0"/>
    <w:pPr>
      <w:wordWrap w:val="0"/>
      <w:ind w:left="1275"/>
      <w:jc w:val="both"/>
    </w:pPr>
    <w:rPr>
      <w:rFonts w:ascii="Calibri" w:hAnsi="Calibri" w:eastAsia="宋体" w:cs="Times New Roman"/>
      <w:sz w:val="21"/>
      <w:lang w:val="en-US" w:eastAsia="zh-CN" w:bidi="ar-SA"/>
    </w:rPr>
  </w:style>
  <w:style w:type="paragraph" w:customStyle="1" w:styleId="229">
    <w:name w:val="xl86"/>
    <w:basedOn w:val="1"/>
    <w:next w:val="230"/>
    <w:qFormat/>
    <w:uiPriority w:val="0"/>
    <w:pPr>
      <w:widowControl/>
      <w:shd w:val="clear" w:color="000000" w:fill="FFFFFF"/>
      <w:spacing w:before="280" w:after="280"/>
      <w:jc w:val="center"/>
    </w:pPr>
    <w:rPr>
      <w:rFonts w:ascii="宋体" w:hAnsi="Calibri"/>
      <w:kern w:val="0"/>
      <w:sz w:val="20"/>
      <w:szCs w:val="20"/>
    </w:rPr>
  </w:style>
  <w:style w:type="paragraph" w:customStyle="1" w:styleId="230">
    <w:name w:val="toc 515"/>
    <w:next w:val="1"/>
    <w:qFormat/>
    <w:uiPriority w:val="0"/>
    <w:pPr>
      <w:wordWrap w:val="0"/>
      <w:ind w:left="1700"/>
      <w:jc w:val="both"/>
    </w:pPr>
    <w:rPr>
      <w:rFonts w:ascii="Calibri" w:hAnsi="Calibri" w:eastAsia="宋体" w:cs="Times New Roman"/>
      <w:sz w:val="21"/>
      <w:lang w:val="en-US" w:eastAsia="zh-CN" w:bidi="ar-SA"/>
    </w:rPr>
  </w:style>
  <w:style w:type="paragraph" w:customStyle="1" w:styleId="231">
    <w:name w:val="TOC Heading4"/>
    <w:next w:val="1"/>
    <w:qFormat/>
    <w:uiPriority w:val="0"/>
    <w:pPr>
      <w:wordWrap w:val="0"/>
    </w:pPr>
    <w:rPr>
      <w:rFonts w:ascii="Calibri" w:hAnsi="Calibri" w:eastAsia="宋体" w:cs="Times New Roman"/>
      <w:sz w:val="32"/>
      <w:lang w:val="en-US" w:eastAsia="zh-CN" w:bidi="ar-SA"/>
    </w:rPr>
  </w:style>
  <w:style w:type="paragraph" w:customStyle="1" w:styleId="232">
    <w:name w:val="toc 15"/>
    <w:next w:val="1"/>
    <w:qFormat/>
    <w:uiPriority w:val="0"/>
    <w:pPr>
      <w:wordWrap w:val="0"/>
      <w:jc w:val="both"/>
    </w:pPr>
    <w:rPr>
      <w:rFonts w:ascii="Calibri" w:hAnsi="Calibri" w:eastAsia="宋体" w:cs="Times New Roman"/>
      <w:sz w:val="21"/>
      <w:lang w:val="en-US" w:eastAsia="zh-CN" w:bidi="ar-SA"/>
    </w:rPr>
  </w:style>
  <w:style w:type="paragraph" w:customStyle="1" w:styleId="233">
    <w:name w:val="TOC Heading2"/>
    <w:next w:val="1"/>
    <w:qFormat/>
    <w:uiPriority w:val="0"/>
    <w:pPr>
      <w:wordWrap w:val="0"/>
    </w:pPr>
    <w:rPr>
      <w:rFonts w:ascii="Calibri" w:hAnsi="Calibri" w:eastAsia="宋体" w:cs="Times New Roman"/>
      <w:sz w:val="32"/>
      <w:lang w:val="en-US" w:eastAsia="zh-CN" w:bidi="ar-SA"/>
    </w:rPr>
  </w:style>
  <w:style w:type="paragraph" w:customStyle="1" w:styleId="234">
    <w:name w:val="TOC Heading1"/>
    <w:next w:val="1"/>
    <w:qFormat/>
    <w:uiPriority w:val="0"/>
    <w:pPr>
      <w:wordWrap w:val="0"/>
    </w:pPr>
    <w:rPr>
      <w:rFonts w:ascii="Calibri" w:hAnsi="Calibri" w:eastAsia="宋体" w:cs="Times New Roman"/>
      <w:sz w:val="32"/>
      <w:lang w:val="en-US" w:eastAsia="zh-CN" w:bidi="ar-SA"/>
    </w:rPr>
  </w:style>
  <w:style w:type="paragraph" w:customStyle="1" w:styleId="235">
    <w:name w:val="toc 73"/>
    <w:next w:val="1"/>
    <w:qFormat/>
    <w:uiPriority w:val="0"/>
    <w:pPr>
      <w:wordWrap w:val="0"/>
      <w:ind w:left="2550"/>
      <w:jc w:val="both"/>
    </w:pPr>
    <w:rPr>
      <w:rFonts w:ascii="Calibri" w:hAnsi="Calibri" w:eastAsia="宋体" w:cs="Times New Roman"/>
      <w:sz w:val="21"/>
      <w:lang w:val="en-US" w:eastAsia="zh-CN" w:bidi="ar-SA"/>
    </w:rPr>
  </w:style>
  <w:style w:type="paragraph" w:customStyle="1" w:styleId="236">
    <w:name w:val="font7"/>
    <w:basedOn w:val="1"/>
    <w:next w:val="237"/>
    <w:qFormat/>
    <w:uiPriority w:val="0"/>
    <w:pPr>
      <w:widowControl/>
      <w:spacing w:before="280" w:after="280"/>
    </w:pPr>
    <w:rPr>
      <w:rFonts w:ascii="Arial" w:hAnsi="Calibri"/>
      <w:kern w:val="0"/>
      <w:sz w:val="18"/>
      <w:szCs w:val="20"/>
    </w:rPr>
  </w:style>
  <w:style w:type="paragraph" w:customStyle="1" w:styleId="237">
    <w:name w:val="toc 810"/>
    <w:next w:val="1"/>
    <w:qFormat/>
    <w:uiPriority w:val="0"/>
    <w:pPr>
      <w:wordWrap w:val="0"/>
      <w:ind w:left="2975"/>
      <w:jc w:val="both"/>
    </w:pPr>
    <w:rPr>
      <w:rFonts w:ascii="Calibri" w:hAnsi="Calibri" w:eastAsia="宋体" w:cs="Times New Roman"/>
      <w:sz w:val="21"/>
      <w:lang w:val="en-US" w:eastAsia="zh-CN" w:bidi="ar-SA"/>
    </w:rPr>
  </w:style>
  <w:style w:type="paragraph" w:customStyle="1" w:styleId="238">
    <w:name w:val="xl113"/>
    <w:basedOn w:val="1"/>
    <w:next w:val="239"/>
    <w:qFormat/>
    <w:uiPriority w:val="0"/>
    <w:pPr>
      <w:widowControl/>
      <w:shd w:val="clear" w:color="000000" w:fill="FFFFFF"/>
      <w:spacing w:before="280" w:after="280"/>
      <w:jc w:val="center"/>
    </w:pPr>
    <w:rPr>
      <w:rFonts w:ascii="宋体" w:hAnsi="Calibri"/>
      <w:b/>
      <w:kern w:val="0"/>
      <w:sz w:val="20"/>
      <w:szCs w:val="20"/>
    </w:rPr>
  </w:style>
  <w:style w:type="paragraph" w:customStyle="1" w:styleId="239">
    <w:name w:val="TOC Heading10"/>
    <w:next w:val="1"/>
    <w:qFormat/>
    <w:uiPriority w:val="0"/>
    <w:pPr>
      <w:wordWrap w:val="0"/>
    </w:pPr>
    <w:rPr>
      <w:rFonts w:ascii="Calibri" w:hAnsi="Calibri" w:eastAsia="宋体" w:cs="Times New Roman"/>
      <w:sz w:val="32"/>
      <w:lang w:val="en-US" w:eastAsia="zh-CN" w:bidi="ar-SA"/>
    </w:rPr>
  </w:style>
  <w:style w:type="paragraph" w:customStyle="1" w:styleId="240">
    <w:name w:val="toc 89"/>
    <w:next w:val="1"/>
    <w:qFormat/>
    <w:uiPriority w:val="0"/>
    <w:pPr>
      <w:wordWrap w:val="0"/>
      <w:ind w:left="2975"/>
      <w:jc w:val="both"/>
    </w:pPr>
    <w:rPr>
      <w:rFonts w:ascii="Calibri" w:hAnsi="Calibri" w:eastAsia="宋体" w:cs="Times New Roman"/>
      <w:sz w:val="21"/>
      <w:lang w:val="en-US" w:eastAsia="zh-CN" w:bidi="ar-SA"/>
    </w:rPr>
  </w:style>
  <w:style w:type="paragraph" w:customStyle="1" w:styleId="241">
    <w:name w:val="xl73"/>
    <w:basedOn w:val="1"/>
    <w:next w:val="242"/>
    <w:qFormat/>
    <w:uiPriority w:val="0"/>
    <w:pPr>
      <w:widowControl/>
      <w:shd w:val="clear" w:color="000000" w:fill="FFFFFF"/>
      <w:spacing w:before="280" w:after="280"/>
      <w:jc w:val="center"/>
    </w:pPr>
    <w:rPr>
      <w:rFonts w:ascii="宋体" w:hAnsi="Calibri"/>
      <w:kern w:val="0"/>
      <w:sz w:val="20"/>
      <w:szCs w:val="20"/>
    </w:rPr>
  </w:style>
  <w:style w:type="paragraph" w:customStyle="1" w:styleId="242">
    <w:name w:val="toc 613"/>
    <w:next w:val="1"/>
    <w:qFormat/>
    <w:uiPriority w:val="0"/>
    <w:pPr>
      <w:wordWrap w:val="0"/>
      <w:ind w:left="2125"/>
      <w:jc w:val="both"/>
    </w:pPr>
    <w:rPr>
      <w:rFonts w:ascii="Calibri" w:hAnsi="Calibri" w:eastAsia="宋体" w:cs="Times New Roman"/>
      <w:sz w:val="21"/>
      <w:lang w:val="en-US" w:eastAsia="zh-CN" w:bidi="ar-SA"/>
    </w:rPr>
  </w:style>
  <w:style w:type="paragraph" w:customStyle="1" w:styleId="243">
    <w:name w:val="xl79"/>
    <w:basedOn w:val="1"/>
    <w:next w:val="244"/>
    <w:qFormat/>
    <w:uiPriority w:val="0"/>
    <w:pPr>
      <w:widowControl/>
      <w:shd w:val="clear" w:color="000000" w:fill="FFFFFF"/>
      <w:spacing w:before="280" w:after="280"/>
    </w:pPr>
    <w:rPr>
      <w:rFonts w:ascii="宋体" w:hAnsi="Calibri"/>
      <w:b/>
      <w:kern w:val="0"/>
      <w:sz w:val="20"/>
      <w:szCs w:val="20"/>
    </w:rPr>
  </w:style>
  <w:style w:type="paragraph" w:customStyle="1" w:styleId="244">
    <w:name w:val="toc 87"/>
    <w:next w:val="1"/>
    <w:qFormat/>
    <w:uiPriority w:val="0"/>
    <w:pPr>
      <w:wordWrap w:val="0"/>
      <w:ind w:left="2975"/>
      <w:jc w:val="both"/>
    </w:pPr>
    <w:rPr>
      <w:rFonts w:ascii="Calibri" w:hAnsi="Calibri" w:eastAsia="宋体" w:cs="Times New Roman"/>
      <w:sz w:val="21"/>
      <w:lang w:val="en-US" w:eastAsia="zh-CN" w:bidi="ar-SA"/>
    </w:rPr>
  </w:style>
  <w:style w:type="paragraph" w:customStyle="1" w:styleId="245">
    <w:name w:val="toc 11"/>
    <w:next w:val="1"/>
    <w:qFormat/>
    <w:uiPriority w:val="0"/>
    <w:pPr>
      <w:wordWrap w:val="0"/>
      <w:jc w:val="both"/>
    </w:pPr>
    <w:rPr>
      <w:rFonts w:ascii="Calibri" w:hAnsi="Calibri" w:eastAsia="宋体" w:cs="Times New Roman"/>
      <w:sz w:val="21"/>
      <w:lang w:val="en-US" w:eastAsia="zh-CN" w:bidi="ar-SA"/>
    </w:rPr>
  </w:style>
  <w:style w:type="paragraph" w:customStyle="1" w:styleId="246">
    <w:name w:val="toc 410"/>
    <w:next w:val="1"/>
    <w:qFormat/>
    <w:uiPriority w:val="0"/>
    <w:pPr>
      <w:wordWrap w:val="0"/>
      <w:ind w:left="1275"/>
      <w:jc w:val="both"/>
    </w:pPr>
    <w:rPr>
      <w:rFonts w:ascii="Calibri" w:hAnsi="Calibri" w:eastAsia="宋体" w:cs="Times New Roman"/>
      <w:sz w:val="21"/>
      <w:lang w:val="en-US" w:eastAsia="zh-CN" w:bidi="ar-SA"/>
    </w:rPr>
  </w:style>
  <w:style w:type="paragraph" w:customStyle="1" w:styleId="247">
    <w:name w:val="toc 611"/>
    <w:next w:val="1"/>
    <w:qFormat/>
    <w:uiPriority w:val="0"/>
    <w:pPr>
      <w:wordWrap w:val="0"/>
      <w:ind w:left="2125"/>
      <w:jc w:val="both"/>
    </w:pPr>
    <w:rPr>
      <w:rFonts w:ascii="Calibri" w:hAnsi="Calibri" w:eastAsia="宋体" w:cs="Times New Roman"/>
      <w:sz w:val="21"/>
      <w:lang w:val="en-US" w:eastAsia="zh-CN" w:bidi="ar-SA"/>
    </w:rPr>
  </w:style>
  <w:style w:type="paragraph" w:customStyle="1" w:styleId="248">
    <w:name w:val="xl112"/>
    <w:basedOn w:val="1"/>
    <w:next w:val="247"/>
    <w:qFormat/>
    <w:uiPriority w:val="0"/>
    <w:pPr>
      <w:widowControl/>
      <w:shd w:val="clear" w:color="000000" w:fill="FFFFFF"/>
      <w:spacing w:before="280" w:after="280"/>
      <w:jc w:val="center"/>
    </w:pPr>
    <w:rPr>
      <w:rFonts w:ascii="宋体" w:hAnsi="Calibri"/>
      <w:b/>
      <w:kern w:val="0"/>
      <w:sz w:val="20"/>
      <w:szCs w:val="20"/>
    </w:rPr>
  </w:style>
  <w:style w:type="paragraph" w:customStyle="1" w:styleId="249">
    <w:name w:val="toc 514"/>
    <w:next w:val="1"/>
    <w:qFormat/>
    <w:uiPriority w:val="0"/>
    <w:pPr>
      <w:wordWrap w:val="0"/>
      <w:ind w:left="1700"/>
      <w:jc w:val="both"/>
    </w:pPr>
    <w:rPr>
      <w:rFonts w:ascii="Calibri" w:hAnsi="Calibri" w:eastAsia="宋体" w:cs="Times New Roman"/>
      <w:sz w:val="21"/>
      <w:lang w:val="en-US" w:eastAsia="zh-CN" w:bidi="ar-SA"/>
    </w:rPr>
  </w:style>
  <w:style w:type="paragraph" w:customStyle="1" w:styleId="250">
    <w:name w:val="toc 44"/>
    <w:next w:val="1"/>
    <w:qFormat/>
    <w:uiPriority w:val="0"/>
    <w:pPr>
      <w:wordWrap w:val="0"/>
      <w:ind w:left="1275"/>
      <w:jc w:val="both"/>
    </w:pPr>
    <w:rPr>
      <w:rFonts w:ascii="Calibri" w:hAnsi="Calibri" w:eastAsia="宋体" w:cs="Times New Roman"/>
      <w:sz w:val="21"/>
      <w:lang w:val="en-US" w:eastAsia="zh-CN" w:bidi="ar-SA"/>
    </w:rPr>
  </w:style>
  <w:style w:type="paragraph" w:customStyle="1" w:styleId="251">
    <w:name w:val="toc 412"/>
    <w:next w:val="1"/>
    <w:qFormat/>
    <w:uiPriority w:val="0"/>
    <w:pPr>
      <w:wordWrap w:val="0"/>
      <w:ind w:left="1275"/>
      <w:jc w:val="both"/>
    </w:pPr>
    <w:rPr>
      <w:rFonts w:ascii="Calibri" w:hAnsi="Calibri" w:eastAsia="宋体" w:cs="Times New Roman"/>
      <w:sz w:val="21"/>
      <w:lang w:val="en-US" w:eastAsia="zh-CN" w:bidi="ar-SA"/>
    </w:rPr>
  </w:style>
  <w:style w:type="paragraph" w:customStyle="1" w:styleId="252">
    <w:name w:val="xl74"/>
    <w:basedOn w:val="1"/>
    <w:next w:val="253"/>
    <w:qFormat/>
    <w:uiPriority w:val="0"/>
    <w:pPr>
      <w:widowControl/>
      <w:shd w:val="clear" w:color="000000" w:fill="FFFFFF"/>
      <w:spacing w:before="280" w:after="280"/>
    </w:pPr>
    <w:rPr>
      <w:rFonts w:ascii="宋体" w:hAnsi="Calibri"/>
      <w:kern w:val="0"/>
      <w:sz w:val="20"/>
      <w:szCs w:val="20"/>
    </w:rPr>
  </w:style>
  <w:style w:type="paragraph" w:customStyle="1" w:styleId="253">
    <w:name w:val="toc 57"/>
    <w:next w:val="1"/>
    <w:qFormat/>
    <w:uiPriority w:val="0"/>
    <w:pPr>
      <w:wordWrap w:val="0"/>
      <w:ind w:left="1700"/>
      <w:jc w:val="both"/>
    </w:pPr>
    <w:rPr>
      <w:rFonts w:ascii="Calibri" w:hAnsi="Calibri" w:eastAsia="宋体" w:cs="Times New Roman"/>
      <w:sz w:val="21"/>
      <w:lang w:val="en-US" w:eastAsia="zh-CN" w:bidi="ar-SA"/>
    </w:rPr>
  </w:style>
  <w:style w:type="paragraph" w:customStyle="1" w:styleId="254">
    <w:name w:val="toc 912"/>
    <w:next w:val="1"/>
    <w:qFormat/>
    <w:uiPriority w:val="0"/>
    <w:pPr>
      <w:wordWrap w:val="0"/>
      <w:ind w:left="3400"/>
      <w:jc w:val="both"/>
    </w:pPr>
    <w:rPr>
      <w:rFonts w:ascii="Calibri" w:hAnsi="Calibri" w:eastAsia="宋体" w:cs="Times New Roman"/>
      <w:sz w:val="21"/>
      <w:lang w:val="en-US" w:eastAsia="zh-CN" w:bidi="ar-SA"/>
    </w:rPr>
  </w:style>
  <w:style w:type="paragraph" w:customStyle="1" w:styleId="255">
    <w:name w:val="toc 91"/>
    <w:next w:val="1"/>
    <w:qFormat/>
    <w:uiPriority w:val="0"/>
    <w:pPr>
      <w:wordWrap w:val="0"/>
      <w:ind w:left="3400"/>
      <w:jc w:val="both"/>
    </w:pPr>
    <w:rPr>
      <w:rFonts w:ascii="Calibri" w:hAnsi="Calibri" w:eastAsia="宋体" w:cs="Times New Roman"/>
      <w:sz w:val="21"/>
      <w:lang w:val="en-US" w:eastAsia="zh-CN" w:bidi="ar-SA"/>
    </w:rPr>
  </w:style>
  <w:style w:type="paragraph" w:customStyle="1" w:styleId="256">
    <w:name w:val="toc 38"/>
    <w:next w:val="1"/>
    <w:qFormat/>
    <w:uiPriority w:val="0"/>
    <w:pPr>
      <w:wordWrap w:val="0"/>
      <w:ind w:left="850"/>
      <w:jc w:val="both"/>
    </w:pPr>
    <w:rPr>
      <w:rFonts w:ascii="Calibri" w:hAnsi="Calibri" w:eastAsia="宋体" w:cs="Times New Roman"/>
      <w:sz w:val="21"/>
      <w:lang w:val="en-US" w:eastAsia="zh-CN" w:bidi="ar-SA"/>
    </w:rPr>
  </w:style>
  <w:style w:type="paragraph" w:customStyle="1" w:styleId="257">
    <w:name w:val="toc 95"/>
    <w:next w:val="1"/>
    <w:qFormat/>
    <w:uiPriority w:val="0"/>
    <w:pPr>
      <w:wordWrap w:val="0"/>
      <w:ind w:left="3400"/>
      <w:jc w:val="both"/>
    </w:pPr>
    <w:rPr>
      <w:rFonts w:ascii="Calibri" w:hAnsi="Calibri" w:eastAsia="宋体" w:cs="Times New Roman"/>
      <w:sz w:val="21"/>
      <w:lang w:val="en-US" w:eastAsia="zh-CN" w:bidi="ar-SA"/>
    </w:rPr>
  </w:style>
  <w:style w:type="paragraph" w:customStyle="1" w:styleId="258">
    <w:name w:val="列出段落5"/>
    <w:basedOn w:val="1"/>
    <w:next w:val="259"/>
    <w:qFormat/>
    <w:uiPriority w:val="0"/>
    <w:pPr>
      <w:ind w:firstLine="420"/>
    </w:pPr>
    <w:rPr>
      <w:rFonts w:hAnsi="Calibri"/>
      <w:kern w:val="0"/>
      <w:szCs w:val="20"/>
    </w:rPr>
  </w:style>
  <w:style w:type="paragraph" w:customStyle="1" w:styleId="259">
    <w:name w:val="toc 312"/>
    <w:next w:val="1"/>
    <w:qFormat/>
    <w:uiPriority w:val="0"/>
    <w:pPr>
      <w:wordWrap w:val="0"/>
      <w:ind w:left="850"/>
      <w:jc w:val="both"/>
    </w:pPr>
    <w:rPr>
      <w:rFonts w:ascii="Calibri" w:hAnsi="Calibri" w:eastAsia="宋体" w:cs="Times New Roman"/>
      <w:sz w:val="21"/>
      <w:lang w:val="en-US" w:eastAsia="zh-CN" w:bidi="ar-SA"/>
    </w:rPr>
  </w:style>
  <w:style w:type="paragraph" w:customStyle="1" w:styleId="260">
    <w:name w:val="xl66"/>
    <w:basedOn w:val="1"/>
    <w:next w:val="261"/>
    <w:qFormat/>
    <w:uiPriority w:val="0"/>
    <w:pPr>
      <w:widowControl/>
      <w:shd w:val="clear" w:color="000000" w:fill="FFFFFF"/>
      <w:spacing w:before="280" w:after="280"/>
    </w:pPr>
    <w:rPr>
      <w:rFonts w:ascii="宋体" w:hAnsi="Calibri"/>
      <w:kern w:val="0"/>
      <w:sz w:val="20"/>
      <w:szCs w:val="20"/>
    </w:rPr>
  </w:style>
  <w:style w:type="paragraph" w:customStyle="1" w:styleId="261">
    <w:name w:val="toc 56"/>
    <w:next w:val="1"/>
    <w:qFormat/>
    <w:uiPriority w:val="0"/>
    <w:pPr>
      <w:wordWrap w:val="0"/>
      <w:ind w:left="1700"/>
      <w:jc w:val="both"/>
    </w:pPr>
    <w:rPr>
      <w:rFonts w:ascii="Calibri" w:hAnsi="Calibri" w:eastAsia="宋体" w:cs="Times New Roman"/>
      <w:sz w:val="21"/>
      <w:lang w:val="en-US" w:eastAsia="zh-CN" w:bidi="ar-SA"/>
    </w:rPr>
  </w:style>
  <w:style w:type="paragraph" w:customStyle="1" w:styleId="262">
    <w:name w:val="TOC Heading3"/>
    <w:next w:val="1"/>
    <w:qFormat/>
    <w:uiPriority w:val="0"/>
    <w:pPr>
      <w:wordWrap w:val="0"/>
    </w:pPr>
    <w:rPr>
      <w:rFonts w:ascii="Calibri" w:hAnsi="Calibri" w:eastAsia="宋体" w:cs="Times New Roman"/>
      <w:sz w:val="32"/>
      <w:lang w:val="en-US" w:eastAsia="zh-CN" w:bidi="ar-SA"/>
    </w:rPr>
  </w:style>
  <w:style w:type="paragraph" w:customStyle="1" w:styleId="263">
    <w:name w:val="toc 65"/>
    <w:next w:val="1"/>
    <w:qFormat/>
    <w:uiPriority w:val="0"/>
    <w:pPr>
      <w:wordWrap w:val="0"/>
      <w:ind w:left="2125"/>
      <w:jc w:val="both"/>
    </w:pPr>
    <w:rPr>
      <w:rFonts w:ascii="Calibri" w:hAnsi="Calibri" w:eastAsia="宋体" w:cs="Times New Roman"/>
      <w:sz w:val="21"/>
      <w:lang w:val="en-US" w:eastAsia="zh-CN" w:bidi="ar-SA"/>
    </w:rPr>
  </w:style>
  <w:style w:type="paragraph" w:customStyle="1" w:styleId="264">
    <w:name w:val="toc 25"/>
    <w:next w:val="1"/>
    <w:qFormat/>
    <w:uiPriority w:val="0"/>
    <w:pPr>
      <w:wordWrap w:val="0"/>
      <w:ind w:left="425"/>
      <w:jc w:val="both"/>
    </w:pPr>
    <w:rPr>
      <w:rFonts w:ascii="Calibri" w:hAnsi="Calibri" w:eastAsia="宋体" w:cs="Times New Roman"/>
      <w:sz w:val="21"/>
      <w:lang w:val="en-US" w:eastAsia="zh-CN" w:bidi="ar-SA"/>
    </w:rPr>
  </w:style>
  <w:style w:type="paragraph" w:customStyle="1" w:styleId="265">
    <w:name w:val="xl84"/>
    <w:basedOn w:val="1"/>
    <w:next w:val="266"/>
    <w:qFormat/>
    <w:uiPriority w:val="0"/>
    <w:pPr>
      <w:widowControl/>
      <w:shd w:val="clear" w:color="000000" w:fill="FFFFFF"/>
      <w:spacing w:before="280" w:after="280"/>
      <w:jc w:val="center"/>
    </w:pPr>
    <w:rPr>
      <w:rFonts w:ascii="宋体" w:hAnsi="Calibri"/>
      <w:kern w:val="0"/>
      <w:sz w:val="20"/>
      <w:szCs w:val="20"/>
    </w:rPr>
  </w:style>
  <w:style w:type="paragraph" w:customStyle="1" w:styleId="266">
    <w:name w:val="toc 99"/>
    <w:next w:val="1"/>
    <w:qFormat/>
    <w:uiPriority w:val="0"/>
    <w:pPr>
      <w:wordWrap w:val="0"/>
      <w:ind w:left="3400"/>
      <w:jc w:val="both"/>
    </w:pPr>
    <w:rPr>
      <w:rFonts w:ascii="Calibri" w:hAnsi="Calibri" w:eastAsia="宋体" w:cs="Times New Roman"/>
      <w:sz w:val="21"/>
      <w:lang w:val="en-US" w:eastAsia="zh-CN" w:bidi="ar-SA"/>
    </w:rPr>
  </w:style>
  <w:style w:type="paragraph" w:customStyle="1" w:styleId="267">
    <w:name w:val="xl81"/>
    <w:basedOn w:val="1"/>
    <w:next w:val="268"/>
    <w:qFormat/>
    <w:uiPriority w:val="0"/>
    <w:pPr>
      <w:widowControl/>
      <w:shd w:val="clear" w:color="000000" w:fill="FFFFFF"/>
      <w:spacing w:before="280" w:after="280"/>
    </w:pPr>
    <w:rPr>
      <w:rFonts w:ascii="宋体" w:hAnsi="Calibri"/>
      <w:kern w:val="0"/>
      <w:sz w:val="20"/>
      <w:szCs w:val="20"/>
    </w:rPr>
  </w:style>
  <w:style w:type="paragraph" w:customStyle="1" w:styleId="268">
    <w:name w:val="toc 59"/>
    <w:next w:val="1"/>
    <w:qFormat/>
    <w:uiPriority w:val="0"/>
    <w:pPr>
      <w:wordWrap w:val="0"/>
      <w:ind w:left="1700"/>
      <w:jc w:val="both"/>
    </w:pPr>
    <w:rPr>
      <w:rFonts w:ascii="Calibri" w:hAnsi="Calibri" w:eastAsia="宋体" w:cs="Times New Roman"/>
      <w:sz w:val="21"/>
      <w:lang w:val="en-US" w:eastAsia="zh-CN" w:bidi="ar-SA"/>
    </w:rPr>
  </w:style>
  <w:style w:type="paragraph" w:customStyle="1" w:styleId="269">
    <w:name w:val="目录 11"/>
    <w:next w:val="1"/>
    <w:qFormat/>
    <w:uiPriority w:val="0"/>
    <w:pPr>
      <w:wordWrap w:val="0"/>
      <w:jc w:val="both"/>
    </w:pPr>
    <w:rPr>
      <w:rFonts w:ascii="Calibri" w:hAnsi="Calibri" w:eastAsia="宋体" w:cs="Times New Roman"/>
      <w:sz w:val="21"/>
      <w:lang w:val="en-US" w:eastAsia="zh-CN" w:bidi="ar-SA"/>
    </w:rPr>
  </w:style>
  <w:style w:type="paragraph" w:customStyle="1" w:styleId="270">
    <w:name w:val="toc 513"/>
    <w:next w:val="1"/>
    <w:qFormat/>
    <w:uiPriority w:val="0"/>
    <w:pPr>
      <w:wordWrap w:val="0"/>
      <w:ind w:left="1700"/>
      <w:jc w:val="both"/>
    </w:pPr>
    <w:rPr>
      <w:rFonts w:ascii="Calibri" w:hAnsi="Calibri" w:eastAsia="宋体" w:cs="Times New Roman"/>
      <w:sz w:val="21"/>
      <w:lang w:val="en-US" w:eastAsia="zh-CN" w:bidi="ar-SA"/>
    </w:rPr>
  </w:style>
  <w:style w:type="paragraph" w:customStyle="1" w:styleId="271">
    <w:name w:val="TOC Heading12"/>
    <w:next w:val="1"/>
    <w:qFormat/>
    <w:uiPriority w:val="0"/>
    <w:pPr>
      <w:wordWrap w:val="0"/>
    </w:pPr>
    <w:rPr>
      <w:rFonts w:ascii="Calibri" w:hAnsi="Calibri" w:eastAsia="宋体" w:cs="Times New Roman"/>
      <w:sz w:val="32"/>
      <w:lang w:val="en-US" w:eastAsia="zh-CN" w:bidi="ar-SA"/>
    </w:rPr>
  </w:style>
  <w:style w:type="paragraph" w:customStyle="1" w:styleId="272">
    <w:name w:val="TOC Heading8"/>
    <w:next w:val="1"/>
    <w:qFormat/>
    <w:uiPriority w:val="0"/>
    <w:pPr>
      <w:wordWrap w:val="0"/>
    </w:pPr>
    <w:rPr>
      <w:rFonts w:ascii="Calibri" w:hAnsi="Calibri" w:eastAsia="宋体" w:cs="Times New Roman"/>
      <w:sz w:val="32"/>
      <w:lang w:val="en-US" w:eastAsia="zh-CN" w:bidi="ar-SA"/>
    </w:rPr>
  </w:style>
  <w:style w:type="paragraph" w:customStyle="1" w:styleId="273">
    <w:name w:val="toc 711"/>
    <w:next w:val="1"/>
    <w:qFormat/>
    <w:uiPriority w:val="0"/>
    <w:pPr>
      <w:wordWrap w:val="0"/>
      <w:ind w:left="2550"/>
      <w:jc w:val="both"/>
    </w:pPr>
    <w:rPr>
      <w:rFonts w:ascii="Calibri" w:hAnsi="Calibri" w:eastAsia="宋体" w:cs="Times New Roman"/>
      <w:sz w:val="21"/>
      <w:lang w:val="en-US" w:eastAsia="zh-CN" w:bidi="ar-SA"/>
    </w:rPr>
  </w:style>
  <w:style w:type="paragraph" w:customStyle="1" w:styleId="274">
    <w:name w:val="toc 212"/>
    <w:next w:val="1"/>
    <w:qFormat/>
    <w:uiPriority w:val="0"/>
    <w:pPr>
      <w:wordWrap w:val="0"/>
      <w:ind w:left="425"/>
      <w:jc w:val="both"/>
    </w:pPr>
    <w:rPr>
      <w:rFonts w:ascii="Calibri" w:hAnsi="Calibri" w:eastAsia="宋体" w:cs="Times New Roman"/>
      <w:sz w:val="21"/>
      <w:lang w:val="en-US" w:eastAsia="zh-CN" w:bidi="ar-SA"/>
    </w:rPr>
  </w:style>
  <w:style w:type="paragraph" w:customStyle="1" w:styleId="275">
    <w:name w:val="目录 21"/>
    <w:next w:val="1"/>
    <w:qFormat/>
    <w:uiPriority w:val="0"/>
    <w:pPr>
      <w:wordWrap w:val="0"/>
      <w:ind w:left="425"/>
      <w:jc w:val="both"/>
    </w:pPr>
    <w:rPr>
      <w:rFonts w:ascii="Calibri" w:hAnsi="Calibri" w:eastAsia="宋体" w:cs="Times New Roman"/>
      <w:sz w:val="21"/>
      <w:lang w:val="en-US" w:eastAsia="zh-CN" w:bidi="ar-SA"/>
    </w:rPr>
  </w:style>
  <w:style w:type="paragraph" w:customStyle="1" w:styleId="276">
    <w:name w:val="toc 45"/>
    <w:next w:val="1"/>
    <w:qFormat/>
    <w:uiPriority w:val="0"/>
    <w:pPr>
      <w:wordWrap w:val="0"/>
      <w:ind w:left="1275"/>
      <w:jc w:val="both"/>
    </w:pPr>
    <w:rPr>
      <w:rFonts w:ascii="Calibri" w:hAnsi="Calibri" w:eastAsia="宋体" w:cs="Times New Roman"/>
      <w:sz w:val="21"/>
      <w:lang w:val="en-US" w:eastAsia="zh-CN" w:bidi="ar-SA"/>
    </w:rPr>
  </w:style>
  <w:style w:type="paragraph" w:customStyle="1" w:styleId="277">
    <w:name w:val="xl116"/>
    <w:basedOn w:val="1"/>
    <w:next w:val="278"/>
    <w:qFormat/>
    <w:uiPriority w:val="0"/>
    <w:pPr>
      <w:widowControl/>
      <w:shd w:val="clear" w:color="000000" w:fill="FFFFFF"/>
      <w:spacing w:before="280" w:after="280"/>
      <w:jc w:val="center"/>
    </w:pPr>
    <w:rPr>
      <w:rFonts w:ascii="Arial Narrow" w:hAnsi="Calibri"/>
      <w:kern w:val="0"/>
      <w:sz w:val="20"/>
      <w:szCs w:val="20"/>
    </w:rPr>
  </w:style>
  <w:style w:type="paragraph" w:customStyle="1" w:styleId="278">
    <w:name w:val="toc 78"/>
    <w:next w:val="1"/>
    <w:qFormat/>
    <w:uiPriority w:val="0"/>
    <w:pPr>
      <w:wordWrap w:val="0"/>
      <w:ind w:left="2550"/>
      <w:jc w:val="both"/>
    </w:pPr>
    <w:rPr>
      <w:rFonts w:ascii="Calibri" w:hAnsi="Calibri" w:eastAsia="宋体" w:cs="Times New Roman"/>
      <w:sz w:val="21"/>
      <w:lang w:val="en-US" w:eastAsia="zh-CN" w:bidi="ar-SA"/>
    </w:rPr>
  </w:style>
  <w:style w:type="paragraph" w:customStyle="1" w:styleId="279">
    <w:name w:val="font8"/>
    <w:basedOn w:val="1"/>
    <w:next w:val="280"/>
    <w:qFormat/>
    <w:uiPriority w:val="0"/>
    <w:pPr>
      <w:widowControl/>
      <w:spacing w:before="280" w:after="280"/>
    </w:pPr>
    <w:rPr>
      <w:rFonts w:ascii="Arial" w:hAnsi="Calibri"/>
      <w:kern w:val="0"/>
      <w:sz w:val="20"/>
      <w:szCs w:val="20"/>
    </w:rPr>
  </w:style>
  <w:style w:type="paragraph" w:customStyle="1" w:styleId="280">
    <w:name w:val="TOC Heading11"/>
    <w:next w:val="1"/>
    <w:qFormat/>
    <w:uiPriority w:val="0"/>
    <w:pPr>
      <w:wordWrap w:val="0"/>
    </w:pPr>
    <w:rPr>
      <w:rFonts w:ascii="Calibri" w:hAnsi="Calibri" w:eastAsia="宋体" w:cs="Times New Roman"/>
      <w:sz w:val="32"/>
      <w:lang w:val="en-US" w:eastAsia="zh-CN" w:bidi="ar-SA"/>
    </w:rPr>
  </w:style>
  <w:style w:type="paragraph" w:customStyle="1" w:styleId="281">
    <w:name w:val="xl69"/>
    <w:basedOn w:val="1"/>
    <w:next w:val="282"/>
    <w:qFormat/>
    <w:uiPriority w:val="0"/>
    <w:pPr>
      <w:widowControl/>
      <w:shd w:val="clear" w:color="000000" w:fill="FFFFFF"/>
      <w:spacing w:before="280" w:after="280"/>
    </w:pPr>
    <w:rPr>
      <w:rFonts w:ascii="宋体" w:hAnsi="Calibri"/>
      <w:b/>
      <w:kern w:val="0"/>
      <w:sz w:val="20"/>
      <w:szCs w:val="20"/>
    </w:rPr>
  </w:style>
  <w:style w:type="paragraph" w:customStyle="1" w:styleId="282">
    <w:name w:val="toc 48"/>
    <w:next w:val="1"/>
    <w:qFormat/>
    <w:uiPriority w:val="0"/>
    <w:pPr>
      <w:wordWrap w:val="0"/>
      <w:ind w:left="1275"/>
      <w:jc w:val="both"/>
    </w:pPr>
    <w:rPr>
      <w:rFonts w:ascii="Calibri" w:hAnsi="Calibri" w:eastAsia="宋体" w:cs="Times New Roman"/>
      <w:sz w:val="21"/>
      <w:lang w:val="en-US" w:eastAsia="zh-CN" w:bidi="ar-SA"/>
    </w:rPr>
  </w:style>
  <w:style w:type="paragraph" w:customStyle="1" w:styleId="283">
    <w:name w:val="toc 813"/>
    <w:next w:val="1"/>
    <w:qFormat/>
    <w:uiPriority w:val="0"/>
    <w:pPr>
      <w:wordWrap w:val="0"/>
      <w:ind w:left="2975"/>
      <w:jc w:val="both"/>
    </w:pPr>
    <w:rPr>
      <w:rFonts w:ascii="Calibri" w:hAnsi="Calibri" w:eastAsia="宋体" w:cs="Times New Roman"/>
      <w:sz w:val="21"/>
      <w:lang w:val="en-US" w:eastAsia="zh-CN" w:bidi="ar-SA"/>
    </w:rPr>
  </w:style>
  <w:style w:type="paragraph" w:customStyle="1" w:styleId="284">
    <w:name w:val="目录 91"/>
    <w:next w:val="1"/>
    <w:qFormat/>
    <w:uiPriority w:val="0"/>
    <w:pPr>
      <w:wordWrap w:val="0"/>
      <w:ind w:left="3400"/>
      <w:jc w:val="both"/>
    </w:pPr>
    <w:rPr>
      <w:rFonts w:ascii="Calibri" w:hAnsi="Calibri" w:eastAsia="宋体" w:cs="Times New Roman"/>
      <w:sz w:val="21"/>
      <w:lang w:val="en-US" w:eastAsia="zh-CN" w:bidi="ar-SA"/>
    </w:rPr>
  </w:style>
  <w:style w:type="paragraph" w:customStyle="1" w:styleId="285">
    <w:name w:val="列出段落3"/>
    <w:basedOn w:val="1"/>
    <w:next w:val="286"/>
    <w:qFormat/>
    <w:uiPriority w:val="0"/>
    <w:pPr>
      <w:ind w:firstLine="420"/>
    </w:pPr>
    <w:rPr>
      <w:rFonts w:hAnsi="Calibri"/>
      <w:kern w:val="0"/>
      <w:szCs w:val="20"/>
    </w:rPr>
  </w:style>
  <w:style w:type="paragraph" w:customStyle="1" w:styleId="286">
    <w:name w:val="toc 213"/>
    <w:next w:val="1"/>
    <w:qFormat/>
    <w:uiPriority w:val="0"/>
    <w:pPr>
      <w:wordWrap w:val="0"/>
      <w:ind w:left="425"/>
      <w:jc w:val="both"/>
    </w:pPr>
    <w:rPr>
      <w:rFonts w:ascii="Calibri" w:hAnsi="Calibri" w:eastAsia="宋体" w:cs="Times New Roman"/>
      <w:sz w:val="21"/>
      <w:lang w:val="en-US" w:eastAsia="zh-CN" w:bidi="ar-SA"/>
    </w:rPr>
  </w:style>
  <w:style w:type="paragraph" w:customStyle="1" w:styleId="287">
    <w:name w:val="TOC 标题1"/>
    <w:next w:val="1"/>
    <w:qFormat/>
    <w:uiPriority w:val="0"/>
    <w:pPr>
      <w:wordWrap w:val="0"/>
    </w:pPr>
    <w:rPr>
      <w:rFonts w:ascii="Calibri" w:hAnsi="Calibri" w:eastAsia="宋体" w:cs="Times New Roman"/>
      <w:sz w:val="32"/>
      <w:lang w:val="en-US" w:eastAsia="zh-CN" w:bidi="ar-SA"/>
    </w:rPr>
  </w:style>
  <w:style w:type="paragraph" w:customStyle="1" w:styleId="288">
    <w:name w:val="TOC Heading5"/>
    <w:next w:val="1"/>
    <w:qFormat/>
    <w:uiPriority w:val="0"/>
    <w:pPr>
      <w:wordWrap w:val="0"/>
    </w:pPr>
    <w:rPr>
      <w:rFonts w:ascii="Calibri" w:hAnsi="Calibri" w:eastAsia="宋体" w:cs="Times New Roman"/>
      <w:sz w:val="32"/>
      <w:lang w:val="en-US" w:eastAsia="zh-CN" w:bidi="ar-SA"/>
    </w:rPr>
  </w:style>
  <w:style w:type="paragraph" w:customStyle="1" w:styleId="289">
    <w:name w:val="toc 313"/>
    <w:next w:val="1"/>
    <w:qFormat/>
    <w:uiPriority w:val="0"/>
    <w:pPr>
      <w:wordWrap w:val="0"/>
      <w:ind w:left="850"/>
      <w:jc w:val="both"/>
    </w:pPr>
    <w:rPr>
      <w:rFonts w:ascii="Calibri" w:hAnsi="Calibri" w:eastAsia="宋体" w:cs="Times New Roman"/>
      <w:sz w:val="21"/>
      <w:lang w:val="en-US" w:eastAsia="zh-CN" w:bidi="ar-SA"/>
    </w:rPr>
  </w:style>
  <w:style w:type="paragraph" w:customStyle="1" w:styleId="290">
    <w:name w:val="toc 716"/>
    <w:next w:val="1"/>
    <w:qFormat/>
    <w:uiPriority w:val="0"/>
    <w:pPr>
      <w:wordWrap w:val="0"/>
      <w:ind w:left="2550"/>
      <w:jc w:val="both"/>
    </w:pPr>
    <w:rPr>
      <w:rFonts w:ascii="Calibri" w:hAnsi="Calibri" w:eastAsia="宋体" w:cs="Times New Roman"/>
      <w:sz w:val="21"/>
      <w:lang w:val="en-US" w:eastAsia="zh-CN" w:bidi="ar-SA"/>
    </w:rPr>
  </w:style>
  <w:style w:type="paragraph" w:customStyle="1" w:styleId="291">
    <w:name w:val="xl115"/>
    <w:basedOn w:val="1"/>
    <w:next w:val="292"/>
    <w:qFormat/>
    <w:uiPriority w:val="0"/>
    <w:pPr>
      <w:widowControl/>
      <w:shd w:val="clear" w:color="000000" w:fill="FFFFFF"/>
      <w:spacing w:before="280" w:after="280"/>
      <w:jc w:val="center"/>
    </w:pPr>
    <w:rPr>
      <w:rFonts w:ascii="宋体" w:hAnsi="Calibri"/>
      <w:b/>
      <w:kern w:val="0"/>
      <w:sz w:val="20"/>
      <w:szCs w:val="20"/>
    </w:rPr>
  </w:style>
  <w:style w:type="paragraph" w:customStyle="1" w:styleId="292">
    <w:name w:val="toc 712"/>
    <w:next w:val="1"/>
    <w:qFormat/>
    <w:uiPriority w:val="0"/>
    <w:pPr>
      <w:wordWrap w:val="0"/>
      <w:ind w:left="2550"/>
      <w:jc w:val="both"/>
    </w:pPr>
    <w:rPr>
      <w:rFonts w:ascii="Calibri" w:hAnsi="Calibri" w:eastAsia="宋体" w:cs="Times New Roman"/>
      <w:sz w:val="21"/>
      <w:lang w:val="en-US" w:eastAsia="zh-CN" w:bidi="ar-SA"/>
    </w:rPr>
  </w:style>
  <w:style w:type="paragraph" w:customStyle="1" w:styleId="293">
    <w:name w:val="toc 64"/>
    <w:next w:val="1"/>
    <w:qFormat/>
    <w:uiPriority w:val="0"/>
    <w:pPr>
      <w:wordWrap w:val="0"/>
      <w:ind w:left="2125"/>
      <w:jc w:val="both"/>
    </w:pPr>
    <w:rPr>
      <w:rFonts w:ascii="Calibri" w:hAnsi="Calibri" w:eastAsia="宋体" w:cs="Times New Roman"/>
      <w:sz w:val="21"/>
      <w:lang w:val="en-US" w:eastAsia="zh-CN" w:bidi="ar-SA"/>
    </w:rPr>
  </w:style>
  <w:style w:type="paragraph" w:customStyle="1" w:styleId="294">
    <w:name w:val="toc 24"/>
    <w:next w:val="1"/>
    <w:qFormat/>
    <w:uiPriority w:val="0"/>
    <w:pPr>
      <w:wordWrap w:val="0"/>
      <w:ind w:left="425"/>
      <w:jc w:val="both"/>
    </w:pPr>
    <w:rPr>
      <w:rFonts w:ascii="Calibri" w:hAnsi="Calibri" w:eastAsia="宋体" w:cs="Times New Roman"/>
      <w:sz w:val="21"/>
      <w:lang w:val="en-US" w:eastAsia="zh-CN" w:bidi="ar-SA"/>
    </w:rPr>
  </w:style>
  <w:style w:type="paragraph" w:customStyle="1" w:styleId="295">
    <w:name w:val="toc 54"/>
    <w:next w:val="1"/>
    <w:qFormat/>
    <w:uiPriority w:val="0"/>
    <w:pPr>
      <w:wordWrap w:val="0"/>
      <w:ind w:left="1700"/>
      <w:jc w:val="both"/>
    </w:pPr>
    <w:rPr>
      <w:rFonts w:ascii="Calibri" w:hAnsi="Calibri" w:eastAsia="宋体" w:cs="Times New Roman"/>
      <w:sz w:val="21"/>
      <w:lang w:val="en-US" w:eastAsia="zh-CN" w:bidi="ar-SA"/>
    </w:rPr>
  </w:style>
  <w:style w:type="paragraph" w:customStyle="1" w:styleId="296">
    <w:name w:val="xl93"/>
    <w:basedOn w:val="1"/>
    <w:next w:val="297"/>
    <w:qFormat/>
    <w:uiPriority w:val="0"/>
    <w:pPr>
      <w:widowControl/>
      <w:shd w:val="clear" w:color="000000" w:fill="FFFFFF"/>
      <w:spacing w:before="280" w:after="280"/>
      <w:jc w:val="center"/>
    </w:pPr>
    <w:rPr>
      <w:rFonts w:ascii="宋体" w:hAnsi="Calibri"/>
      <w:kern w:val="0"/>
      <w:sz w:val="20"/>
      <w:szCs w:val="20"/>
    </w:rPr>
  </w:style>
  <w:style w:type="paragraph" w:customStyle="1" w:styleId="297">
    <w:name w:val="toc 112"/>
    <w:next w:val="1"/>
    <w:qFormat/>
    <w:uiPriority w:val="0"/>
    <w:pPr>
      <w:wordWrap w:val="0"/>
      <w:jc w:val="both"/>
    </w:pPr>
    <w:rPr>
      <w:rFonts w:ascii="Calibri" w:hAnsi="Calibri" w:eastAsia="宋体" w:cs="Times New Roman"/>
      <w:sz w:val="21"/>
      <w:lang w:val="en-US" w:eastAsia="zh-CN" w:bidi="ar-SA"/>
    </w:rPr>
  </w:style>
  <w:style w:type="paragraph" w:customStyle="1" w:styleId="298">
    <w:name w:val="xl96"/>
    <w:basedOn w:val="1"/>
    <w:next w:val="249"/>
    <w:qFormat/>
    <w:uiPriority w:val="0"/>
    <w:pPr>
      <w:widowControl/>
      <w:shd w:val="clear" w:color="000000" w:fill="FFFFFF"/>
      <w:spacing w:before="280" w:after="280"/>
      <w:jc w:val="center"/>
    </w:pPr>
    <w:rPr>
      <w:rFonts w:ascii="宋体" w:hAnsi="Calibri"/>
      <w:kern w:val="0"/>
      <w:sz w:val="20"/>
      <w:szCs w:val="20"/>
    </w:rPr>
  </w:style>
  <w:style w:type="paragraph" w:customStyle="1" w:styleId="299">
    <w:name w:val="xl106"/>
    <w:basedOn w:val="1"/>
    <w:next w:val="283"/>
    <w:qFormat/>
    <w:uiPriority w:val="0"/>
    <w:pPr>
      <w:widowControl/>
      <w:shd w:val="clear" w:color="000000" w:fill="FFFFFF"/>
      <w:spacing w:before="280" w:after="280"/>
    </w:pPr>
    <w:rPr>
      <w:rFonts w:ascii="宋体" w:hAnsi="Calibri"/>
      <w:kern w:val="0"/>
      <w:sz w:val="20"/>
      <w:szCs w:val="20"/>
    </w:rPr>
  </w:style>
  <w:style w:type="paragraph" w:customStyle="1" w:styleId="300">
    <w:name w:val="toc 35"/>
    <w:next w:val="1"/>
    <w:qFormat/>
    <w:uiPriority w:val="0"/>
    <w:pPr>
      <w:wordWrap w:val="0"/>
      <w:ind w:left="850"/>
      <w:jc w:val="both"/>
    </w:pPr>
    <w:rPr>
      <w:rFonts w:ascii="Calibri" w:hAnsi="Calibri" w:eastAsia="宋体" w:cs="Times New Roman"/>
      <w:sz w:val="21"/>
      <w:lang w:val="en-US" w:eastAsia="zh-CN" w:bidi="ar-SA"/>
    </w:rPr>
  </w:style>
  <w:style w:type="paragraph" w:customStyle="1" w:styleId="301">
    <w:name w:val="TOC Heading14"/>
    <w:next w:val="1"/>
    <w:qFormat/>
    <w:uiPriority w:val="0"/>
    <w:pPr>
      <w:wordWrap w:val="0"/>
    </w:pPr>
    <w:rPr>
      <w:rFonts w:ascii="Calibri" w:hAnsi="Calibri" w:eastAsia="宋体" w:cs="Times New Roman"/>
      <w:sz w:val="32"/>
      <w:lang w:val="en-US" w:eastAsia="zh-CN" w:bidi="ar-SA"/>
    </w:rPr>
  </w:style>
  <w:style w:type="paragraph" w:customStyle="1" w:styleId="302">
    <w:name w:val="Char Char Char Char Char Char Char1"/>
    <w:basedOn w:val="1"/>
    <w:next w:val="303"/>
    <w:qFormat/>
    <w:uiPriority w:val="0"/>
    <w:pPr>
      <w:widowControl/>
      <w:spacing w:after="160" w:line="240" w:lineRule="exact"/>
    </w:pPr>
    <w:rPr>
      <w:rFonts w:hAnsi="Calibri"/>
      <w:kern w:val="0"/>
      <w:szCs w:val="20"/>
    </w:rPr>
  </w:style>
  <w:style w:type="paragraph" w:customStyle="1" w:styleId="303">
    <w:name w:val="toc 67"/>
    <w:next w:val="1"/>
    <w:qFormat/>
    <w:uiPriority w:val="0"/>
    <w:pPr>
      <w:wordWrap w:val="0"/>
      <w:ind w:left="2125"/>
      <w:jc w:val="both"/>
    </w:pPr>
    <w:rPr>
      <w:rFonts w:ascii="Calibri" w:hAnsi="Calibri" w:eastAsia="宋体" w:cs="Times New Roman"/>
      <w:sz w:val="21"/>
      <w:lang w:val="en-US" w:eastAsia="zh-CN" w:bidi="ar-SA"/>
    </w:rPr>
  </w:style>
  <w:style w:type="paragraph" w:customStyle="1" w:styleId="304">
    <w:name w:val="列出段落4"/>
    <w:basedOn w:val="1"/>
    <w:next w:val="305"/>
    <w:qFormat/>
    <w:uiPriority w:val="0"/>
    <w:pPr>
      <w:ind w:firstLine="420"/>
    </w:pPr>
    <w:rPr>
      <w:rFonts w:hAnsi="Calibri"/>
      <w:kern w:val="0"/>
      <w:szCs w:val="20"/>
    </w:rPr>
  </w:style>
  <w:style w:type="paragraph" w:customStyle="1" w:styleId="305">
    <w:name w:val="TOC Heading9"/>
    <w:next w:val="1"/>
    <w:qFormat/>
    <w:uiPriority w:val="0"/>
    <w:pPr>
      <w:wordWrap w:val="0"/>
    </w:pPr>
    <w:rPr>
      <w:rFonts w:ascii="Calibri" w:hAnsi="Calibri" w:eastAsia="宋体" w:cs="Times New Roman"/>
      <w:sz w:val="32"/>
      <w:lang w:val="en-US" w:eastAsia="zh-CN" w:bidi="ar-SA"/>
    </w:rPr>
  </w:style>
  <w:style w:type="paragraph" w:customStyle="1" w:styleId="306">
    <w:name w:val="xl71"/>
    <w:basedOn w:val="1"/>
    <w:next w:val="307"/>
    <w:qFormat/>
    <w:uiPriority w:val="0"/>
    <w:pPr>
      <w:widowControl/>
      <w:shd w:val="clear" w:color="000000" w:fill="FFFFFF"/>
      <w:spacing w:before="280" w:after="280"/>
    </w:pPr>
    <w:rPr>
      <w:rFonts w:ascii="宋体" w:hAnsi="Calibri"/>
      <w:kern w:val="0"/>
      <w:sz w:val="24"/>
      <w:szCs w:val="20"/>
    </w:rPr>
  </w:style>
  <w:style w:type="paragraph" w:customStyle="1" w:styleId="307">
    <w:name w:val="toc 115"/>
    <w:next w:val="1"/>
    <w:qFormat/>
    <w:uiPriority w:val="0"/>
    <w:pPr>
      <w:wordWrap w:val="0"/>
      <w:jc w:val="both"/>
    </w:pPr>
    <w:rPr>
      <w:rFonts w:ascii="Calibri" w:hAnsi="Calibri" w:eastAsia="宋体" w:cs="Times New Roman"/>
      <w:sz w:val="21"/>
      <w:lang w:val="en-US" w:eastAsia="zh-CN" w:bidi="ar-SA"/>
    </w:rPr>
  </w:style>
  <w:style w:type="paragraph" w:customStyle="1" w:styleId="308">
    <w:name w:val="toc 51"/>
    <w:next w:val="1"/>
    <w:qFormat/>
    <w:uiPriority w:val="0"/>
    <w:pPr>
      <w:wordWrap w:val="0"/>
      <w:ind w:left="1700"/>
      <w:jc w:val="both"/>
    </w:pPr>
    <w:rPr>
      <w:rFonts w:ascii="Calibri" w:hAnsi="Calibri" w:eastAsia="宋体" w:cs="Times New Roman"/>
      <w:sz w:val="21"/>
      <w:lang w:val="en-US" w:eastAsia="zh-CN" w:bidi="ar-SA"/>
    </w:rPr>
  </w:style>
  <w:style w:type="paragraph" w:customStyle="1" w:styleId="309">
    <w:name w:val="toc 47"/>
    <w:next w:val="1"/>
    <w:qFormat/>
    <w:uiPriority w:val="0"/>
    <w:pPr>
      <w:wordWrap w:val="0"/>
      <w:ind w:left="1275"/>
      <w:jc w:val="both"/>
    </w:pPr>
    <w:rPr>
      <w:rFonts w:ascii="Calibri" w:hAnsi="Calibri" w:eastAsia="宋体" w:cs="Times New Roman"/>
      <w:sz w:val="21"/>
      <w:lang w:val="en-US" w:eastAsia="zh-CN" w:bidi="ar-SA"/>
    </w:rPr>
  </w:style>
  <w:style w:type="paragraph" w:customStyle="1" w:styleId="310">
    <w:name w:val="xl108"/>
    <w:basedOn w:val="1"/>
    <w:next w:val="311"/>
    <w:qFormat/>
    <w:uiPriority w:val="0"/>
    <w:pPr>
      <w:widowControl/>
      <w:shd w:val="clear" w:color="000000" w:fill="FFFFFF"/>
      <w:spacing w:before="280" w:after="280"/>
    </w:pPr>
    <w:rPr>
      <w:rFonts w:ascii="宋体" w:hAnsi="Calibri"/>
      <w:kern w:val="0"/>
      <w:sz w:val="18"/>
      <w:szCs w:val="20"/>
    </w:rPr>
  </w:style>
  <w:style w:type="paragraph" w:customStyle="1" w:styleId="311">
    <w:name w:val="toc 18"/>
    <w:next w:val="1"/>
    <w:qFormat/>
    <w:uiPriority w:val="0"/>
    <w:pPr>
      <w:wordWrap w:val="0"/>
      <w:jc w:val="both"/>
    </w:pPr>
    <w:rPr>
      <w:rFonts w:ascii="Calibri" w:hAnsi="Calibri" w:eastAsia="宋体" w:cs="Times New Roman"/>
      <w:sz w:val="21"/>
      <w:lang w:val="en-US" w:eastAsia="zh-CN" w:bidi="ar-SA"/>
    </w:rPr>
  </w:style>
  <w:style w:type="paragraph" w:customStyle="1" w:styleId="312">
    <w:name w:val="TOC Heading7"/>
    <w:next w:val="1"/>
    <w:qFormat/>
    <w:uiPriority w:val="0"/>
    <w:pPr>
      <w:wordWrap w:val="0"/>
    </w:pPr>
    <w:rPr>
      <w:rFonts w:ascii="Calibri" w:hAnsi="Calibri" w:eastAsia="宋体" w:cs="Times New Roman"/>
      <w:sz w:val="32"/>
      <w:lang w:val="en-US" w:eastAsia="zh-CN" w:bidi="ar-SA"/>
    </w:rPr>
  </w:style>
  <w:style w:type="character" w:customStyle="1" w:styleId="313">
    <w:name w:val="副标题 Char"/>
    <w:basedOn w:val="47"/>
    <w:link w:val="32"/>
    <w:qFormat/>
    <w:uiPriority w:val="0"/>
    <w:rPr>
      <w:rFonts w:ascii="Calibri" w:hAnsi="Calibri"/>
      <w:sz w:val="24"/>
    </w:rPr>
  </w:style>
  <w:style w:type="paragraph" w:customStyle="1" w:styleId="314">
    <w:name w:val="目录 71"/>
    <w:next w:val="1"/>
    <w:qFormat/>
    <w:uiPriority w:val="0"/>
    <w:pPr>
      <w:wordWrap w:val="0"/>
      <w:ind w:left="2550"/>
      <w:jc w:val="both"/>
    </w:pPr>
    <w:rPr>
      <w:rFonts w:ascii="Calibri" w:hAnsi="Calibri" w:eastAsia="宋体" w:cs="Times New Roman"/>
      <w:sz w:val="21"/>
      <w:lang w:val="en-US" w:eastAsia="zh-CN" w:bidi="ar-SA"/>
    </w:rPr>
  </w:style>
  <w:style w:type="paragraph" w:customStyle="1" w:styleId="315">
    <w:name w:val="toc 413"/>
    <w:next w:val="1"/>
    <w:qFormat/>
    <w:uiPriority w:val="0"/>
    <w:pPr>
      <w:wordWrap w:val="0"/>
      <w:ind w:left="1275"/>
      <w:jc w:val="both"/>
    </w:pPr>
    <w:rPr>
      <w:rFonts w:ascii="Calibri" w:hAnsi="Calibri" w:eastAsia="宋体" w:cs="Times New Roman"/>
      <w:sz w:val="21"/>
      <w:lang w:val="en-US" w:eastAsia="zh-CN" w:bidi="ar-SA"/>
    </w:rPr>
  </w:style>
  <w:style w:type="paragraph" w:customStyle="1" w:styleId="316">
    <w:name w:val="toc 85"/>
    <w:next w:val="1"/>
    <w:qFormat/>
    <w:uiPriority w:val="0"/>
    <w:pPr>
      <w:wordWrap w:val="0"/>
      <w:ind w:left="2975"/>
      <w:jc w:val="both"/>
    </w:pPr>
    <w:rPr>
      <w:rFonts w:ascii="Calibri" w:hAnsi="Calibri" w:eastAsia="宋体" w:cs="Times New Roman"/>
      <w:sz w:val="21"/>
      <w:lang w:val="en-US" w:eastAsia="zh-CN" w:bidi="ar-SA"/>
    </w:rPr>
  </w:style>
  <w:style w:type="paragraph" w:customStyle="1" w:styleId="317">
    <w:name w:val="列出段落6"/>
    <w:basedOn w:val="1"/>
    <w:next w:val="318"/>
    <w:qFormat/>
    <w:uiPriority w:val="0"/>
    <w:pPr>
      <w:ind w:firstLine="420"/>
    </w:pPr>
    <w:rPr>
      <w:rFonts w:hAnsi="Calibri"/>
      <w:kern w:val="0"/>
      <w:szCs w:val="20"/>
    </w:rPr>
  </w:style>
  <w:style w:type="paragraph" w:customStyle="1" w:styleId="318">
    <w:name w:val="toc 86"/>
    <w:next w:val="1"/>
    <w:qFormat/>
    <w:uiPriority w:val="0"/>
    <w:pPr>
      <w:wordWrap w:val="0"/>
      <w:ind w:left="2975"/>
      <w:jc w:val="both"/>
    </w:pPr>
    <w:rPr>
      <w:rFonts w:ascii="Calibri" w:hAnsi="Calibri" w:eastAsia="宋体" w:cs="Times New Roman"/>
      <w:sz w:val="21"/>
      <w:lang w:val="en-US" w:eastAsia="zh-CN" w:bidi="ar-SA"/>
    </w:rPr>
  </w:style>
  <w:style w:type="paragraph" w:customStyle="1" w:styleId="319">
    <w:name w:val="xl80"/>
    <w:basedOn w:val="1"/>
    <w:next w:val="320"/>
    <w:qFormat/>
    <w:uiPriority w:val="0"/>
    <w:pPr>
      <w:widowControl/>
      <w:shd w:val="clear" w:color="000000" w:fill="FFFFFF"/>
      <w:spacing w:before="280" w:after="280"/>
      <w:jc w:val="center"/>
    </w:pPr>
    <w:rPr>
      <w:rFonts w:ascii="宋体" w:hAnsi="Calibri"/>
      <w:b/>
      <w:kern w:val="0"/>
      <w:sz w:val="20"/>
      <w:szCs w:val="20"/>
    </w:rPr>
  </w:style>
  <w:style w:type="paragraph" w:customStyle="1" w:styleId="320">
    <w:name w:val="toc 49"/>
    <w:next w:val="1"/>
    <w:qFormat/>
    <w:uiPriority w:val="0"/>
    <w:pPr>
      <w:wordWrap w:val="0"/>
      <w:ind w:left="1275"/>
      <w:jc w:val="both"/>
    </w:pPr>
    <w:rPr>
      <w:rFonts w:ascii="Calibri" w:hAnsi="Calibri" w:eastAsia="宋体" w:cs="Times New Roman"/>
      <w:sz w:val="21"/>
      <w:lang w:val="en-US" w:eastAsia="zh-CN" w:bidi="ar-SA"/>
    </w:rPr>
  </w:style>
  <w:style w:type="paragraph" w:customStyle="1" w:styleId="321">
    <w:name w:val="Char Char Char Char1"/>
    <w:basedOn w:val="1"/>
    <w:next w:val="322"/>
    <w:qFormat/>
    <w:uiPriority w:val="0"/>
    <w:pPr>
      <w:widowControl/>
      <w:spacing w:after="160" w:line="240" w:lineRule="exact"/>
    </w:pPr>
    <w:rPr>
      <w:rFonts w:ascii="Verdana" w:hAnsi="Calibri" w:eastAsia="仿宋_GB2312"/>
      <w:kern w:val="0"/>
      <w:sz w:val="24"/>
      <w:szCs w:val="20"/>
    </w:rPr>
  </w:style>
  <w:style w:type="paragraph" w:customStyle="1" w:styleId="322">
    <w:name w:val="toc 713"/>
    <w:next w:val="1"/>
    <w:qFormat/>
    <w:uiPriority w:val="0"/>
    <w:pPr>
      <w:wordWrap w:val="0"/>
      <w:ind w:left="2550"/>
      <w:jc w:val="both"/>
    </w:pPr>
    <w:rPr>
      <w:rFonts w:ascii="Calibri" w:hAnsi="Calibri" w:eastAsia="宋体" w:cs="Times New Roman"/>
      <w:sz w:val="21"/>
      <w:lang w:val="en-US" w:eastAsia="zh-CN" w:bidi="ar-SA"/>
    </w:rPr>
  </w:style>
  <w:style w:type="paragraph" w:customStyle="1" w:styleId="323">
    <w:name w:val="xl102"/>
    <w:basedOn w:val="1"/>
    <w:next w:val="324"/>
    <w:qFormat/>
    <w:uiPriority w:val="0"/>
    <w:pPr>
      <w:widowControl/>
      <w:shd w:val="clear" w:color="000000" w:fill="FFFFFF"/>
      <w:spacing w:before="280" w:after="280"/>
      <w:jc w:val="right"/>
    </w:pPr>
    <w:rPr>
      <w:rFonts w:ascii="宋体" w:hAnsi="Calibri"/>
      <w:kern w:val="0"/>
      <w:sz w:val="20"/>
      <w:szCs w:val="20"/>
    </w:rPr>
  </w:style>
  <w:style w:type="paragraph" w:customStyle="1" w:styleId="324">
    <w:name w:val="toc 17"/>
    <w:next w:val="1"/>
    <w:qFormat/>
    <w:uiPriority w:val="0"/>
    <w:pPr>
      <w:wordWrap w:val="0"/>
      <w:jc w:val="both"/>
    </w:pPr>
    <w:rPr>
      <w:rFonts w:ascii="Calibri" w:hAnsi="Calibri" w:eastAsia="宋体" w:cs="Times New Roman"/>
      <w:sz w:val="21"/>
      <w:lang w:val="en-US" w:eastAsia="zh-CN" w:bidi="ar-SA"/>
    </w:rPr>
  </w:style>
  <w:style w:type="paragraph" w:customStyle="1" w:styleId="325">
    <w:name w:val="toc 46"/>
    <w:next w:val="1"/>
    <w:qFormat/>
    <w:uiPriority w:val="0"/>
    <w:pPr>
      <w:wordWrap w:val="0"/>
      <w:ind w:left="1275"/>
      <w:jc w:val="both"/>
    </w:pPr>
    <w:rPr>
      <w:rFonts w:ascii="Calibri" w:hAnsi="Calibri" w:eastAsia="宋体" w:cs="Times New Roman"/>
      <w:sz w:val="21"/>
      <w:lang w:val="en-US" w:eastAsia="zh-CN" w:bidi="ar-SA"/>
    </w:rPr>
  </w:style>
  <w:style w:type="paragraph" w:customStyle="1" w:styleId="326">
    <w:name w:val="toc 311"/>
    <w:next w:val="1"/>
    <w:qFormat/>
    <w:uiPriority w:val="0"/>
    <w:pPr>
      <w:wordWrap w:val="0"/>
      <w:ind w:left="850"/>
      <w:jc w:val="both"/>
    </w:pPr>
    <w:rPr>
      <w:rFonts w:ascii="Calibri" w:hAnsi="Calibri" w:eastAsia="宋体" w:cs="Times New Roman"/>
      <w:sz w:val="21"/>
      <w:lang w:val="en-US" w:eastAsia="zh-CN" w:bidi="ar-SA"/>
    </w:rPr>
  </w:style>
  <w:style w:type="paragraph" w:customStyle="1" w:styleId="327">
    <w:name w:val="xl65"/>
    <w:basedOn w:val="1"/>
    <w:next w:val="228"/>
    <w:qFormat/>
    <w:uiPriority w:val="0"/>
    <w:pPr>
      <w:widowControl/>
      <w:shd w:val="clear" w:color="000000" w:fill="FFFFFF"/>
      <w:spacing w:before="280" w:after="280"/>
      <w:jc w:val="center"/>
    </w:pPr>
    <w:rPr>
      <w:rFonts w:ascii="宋体" w:hAnsi="Calibri"/>
      <w:kern w:val="0"/>
      <w:sz w:val="20"/>
      <w:szCs w:val="20"/>
    </w:rPr>
  </w:style>
  <w:style w:type="paragraph" w:customStyle="1" w:styleId="328">
    <w:name w:val="toc 94"/>
    <w:next w:val="1"/>
    <w:qFormat/>
    <w:uiPriority w:val="0"/>
    <w:pPr>
      <w:wordWrap w:val="0"/>
      <w:ind w:left="3400"/>
      <w:jc w:val="both"/>
    </w:pPr>
    <w:rPr>
      <w:rFonts w:ascii="Calibri" w:hAnsi="Calibri" w:eastAsia="宋体" w:cs="Times New Roman"/>
      <w:sz w:val="21"/>
      <w:lang w:val="en-US" w:eastAsia="zh-CN" w:bidi="ar-SA"/>
    </w:rPr>
  </w:style>
  <w:style w:type="paragraph" w:customStyle="1" w:styleId="329">
    <w:name w:val="toc 55"/>
    <w:next w:val="1"/>
    <w:qFormat/>
    <w:uiPriority w:val="0"/>
    <w:pPr>
      <w:wordWrap w:val="0"/>
      <w:ind w:left="1700"/>
      <w:jc w:val="both"/>
    </w:pPr>
    <w:rPr>
      <w:rFonts w:ascii="Calibri" w:hAnsi="Calibri" w:eastAsia="宋体" w:cs="Times New Roman"/>
      <w:sz w:val="21"/>
      <w:lang w:val="en-US" w:eastAsia="zh-CN" w:bidi="ar-SA"/>
    </w:rPr>
  </w:style>
  <w:style w:type="paragraph" w:customStyle="1" w:styleId="330">
    <w:name w:val="toc 812"/>
    <w:next w:val="1"/>
    <w:qFormat/>
    <w:uiPriority w:val="0"/>
    <w:pPr>
      <w:wordWrap w:val="0"/>
      <w:ind w:left="2975"/>
      <w:jc w:val="both"/>
    </w:pPr>
    <w:rPr>
      <w:rFonts w:ascii="Calibri" w:hAnsi="Calibri" w:eastAsia="宋体" w:cs="Times New Roman"/>
      <w:sz w:val="21"/>
      <w:lang w:val="en-US" w:eastAsia="zh-CN" w:bidi="ar-SA"/>
    </w:rPr>
  </w:style>
  <w:style w:type="paragraph" w:customStyle="1" w:styleId="331">
    <w:name w:val="xl75"/>
    <w:basedOn w:val="1"/>
    <w:next w:val="332"/>
    <w:qFormat/>
    <w:uiPriority w:val="0"/>
    <w:pPr>
      <w:widowControl/>
      <w:shd w:val="clear" w:color="000000" w:fill="FFFFFF"/>
      <w:spacing w:before="280" w:after="280"/>
    </w:pPr>
    <w:rPr>
      <w:rFonts w:ascii="宋体" w:hAnsi="Calibri"/>
      <w:kern w:val="0"/>
      <w:sz w:val="20"/>
      <w:szCs w:val="20"/>
    </w:rPr>
  </w:style>
  <w:style w:type="paragraph" w:customStyle="1" w:styleId="332">
    <w:name w:val="toc 914"/>
    <w:next w:val="1"/>
    <w:qFormat/>
    <w:uiPriority w:val="0"/>
    <w:pPr>
      <w:wordWrap w:val="0"/>
      <w:ind w:left="3400"/>
      <w:jc w:val="both"/>
    </w:pPr>
    <w:rPr>
      <w:rFonts w:ascii="Calibri" w:hAnsi="Calibri" w:eastAsia="宋体" w:cs="Times New Roman"/>
      <w:sz w:val="21"/>
      <w:lang w:val="en-US" w:eastAsia="zh-CN" w:bidi="ar-SA"/>
    </w:rPr>
  </w:style>
  <w:style w:type="paragraph" w:customStyle="1" w:styleId="333">
    <w:name w:val="toc 19"/>
    <w:next w:val="1"/>
    <w:qFormat/>
    <w:uiPriority w:val="0"/>
    <w:pPr>
      <w:wordWrap w:val="0"/>
      <w:jc w:val="both"/>
    </w:pPr>
    <w:rPr>
      <w:rFonts w:ascii="Calibri" w:hAnsi="Calibri" w:eastAsia="宋体" w:cs="Times New Roman"/>
      <w:sz w:val="21"/>
      <w:lang w:val="en-US" w:eastAsia="zh-CN" w:bidi="ar-SA"/>
    </w:rPr>
  </w:style>
  <w:style w:type="paragraph" w:customStyle="1" w:styleId="334">
    <w:name w:val="TOC Heading6"/>
    <w:next w:val="1"/>
    <w:qFormat/>
    <w:uiPriority w:val="0"/>
    <w:pPr>
      <w:wordWrap w:val="0"/>
    </w:pPr>
    <w:rPr>
      <w:rFonts w:ascii="Calibri" w:hAnsi="Calibri" w:eastAsia="宋体" w:cs="Times New Roman"/>
      <w:sz w:val="32"/>
      <w:lang w:val="en-US" w:eastAsia="zh-CN" w:bidi="ar-SA"/>
    </w:rPr>
  </w:style>
  <w:style w:type="paragraph" w:customStyle="1" w:styleId="335">
    <w:name w:val="toc 52"/>
    <w:next w:val="1"/>
    <w:qFormat/>
    <w:uiPriority w:val="0"/>
    <w:pPr>
      <w:wordWrap w:val="0"/>
      <w:ind w:left="1700"/>
      <w:jc w:val="both"/>
    </w:pPr>
    <w:rPr>
      <w:rFonts w:ascii="Calibri" w:hAnsi="Calibri" w:eastAsia="宋体" w:cs="Times New Roman"/>
      <w:sz w:val="21"/>
      <w:lang w:val="en-US" w:eastAsia="zh-CN" w:bidi="ar-SA"/>
    </w:rPr>
  </w:style>
  <w:style w:type="paragraph" w:customStyle="1" w:styleId="336">
    <w:name w:val="toc 36"/>
    <w:next w:val="1"/>
    <w:qFormat/>
    <w:uiPriority w:val="0"/>
    <w:pPr>
      <w:wordWrap w:val="0"/>
      <w:ind w:left="850"/>
      <w:jc w:val="both"/>
    </w:pPr>
    <w:rPr>
      <w:rFonts w:ascii="Calibri" w:hAnsi="Calibri" w:eastAsia="宋体" w:cs="Times New Roman"/>
      <w:sz w:val="21"/>
      <w:lang w:val="en-US" w:eastAsia="zh-CN" w:bidi="ar-SA"/>
    </w:rPr>
  </w:style>
  <w:style w:type="paragraph" w:customStyle="1" w:styleId="337">
    <w:name w:val="toc 82"/>
    <w:next w:val="1"/>
    <w:qFormat/>
    <w:uiPriority w:val="0"/>
    <w:pPr>
      <w:wordWrap w:val="0"/>
      <w:ind w:left="2975"/>
      <w:jc w:val="both"/>
    </w:pPr>
    <w:rPr>
      <w:rFonts w:ascii="Calibri" w:hAnsi="Calibri" w:eastAsia="宋体" w:cs="Times New Roman"/>
      <w:sz w:val="21"/>
      <w:lang w:val="en-US" w:eastAsia="zh-CN" w:bidi="ar-SA"/>
    </w:rPr>
  </w:style>
  <w:style w:type="paragraph" w:customStyle="1" w:styleId="338">
    <w:name w:val="xl104"/>
    <w:basedOn w:val="1"/>
    <w:next w:val="339"/>
    <w:qFormat/>
    <w:uiPriority w:val="0"/>
    <w:pPr>
      <w:widowControl/>
      <w:shd w:val="clear" w:color="000000" w:fill="FFFFFF"/>
      <w:spacing w:before="280" w:after="280"/>
      <w:jc w:val="center"/>
    </w:pPr>
    <w:rPr>
      <w:rFonts w:ascii="宋体" w:hAnsi="Calibri"/>
      <w:kern w:val="0"/>
      <w:sz w:val="20"/>
      <w:szCs w:val="20"/>
    </w:rPr>
  </w:style>
  <w:style w:type="paragraph" w:customStyle="1" w:styleId="339">
    <w:name w:val="toc 210"/>
    <w:next w:val="1"/>
    <w:qFormat/>
    <w:uiPriority w:val="0"/>
    <w:pPr>
      <w:wordWrap w:val="0"/>
      <w:ind w:left="425"/>
      <w:jc w:val="both"/>
    </w:pPr>
    <w:rPr>
      <w:rFonts w:ascii="Calibri" w:hAnsi="Calibri" w:eastAsia="宋体" w:cs="Times New Roman"/>
      <w:sz w:val="21"/>
      <w:lang w:val="en-US" w:eastAsia="zh-CN" w:bidi="ar-SA"/>
    </w:rPr>
  </w:style>
  <w:style w:type="paragraph" w:customStyle="1" w:styleId="340">
    <w:name w:val="toc 110"/>
    <w:next w:val="1"/>
    <w:qFormat/>
    <w:uiPriority w:val="0"/>
    <w:pPr>
      <w:wordWrap w:val="0"/>
      <w:jc w:val="both"/>
    </w:pPr>
    <w:rPr>
      <w:rFonts w:ascii="Calibri" w:hAnsi="Calibri" w:eastAsia="宋体" w:cs="Times New Roman"/>
      <w:sz w:val="21"/>
      <w:lang w:val="en-US" w:eastAsia="zh-CN" w:bidi="ar-SA"/>
    </w:rPr>
  </w:style>
  <w:style w:type="paragraph" w:customStyle="1" w:styleId="341">
    <w:name w:val="toc 66"/>
    <w:next w:val="1"/>
    <w:qFormat/>
    <w:uiPriority w:val="0"/>
    <w:pPr>
      <w:wordWrap w:val="0"/>
      <w:ind w:left="2125"/>
      <w:jc w:val="both"/>
    </w:pPr>
    <w:rPr>
      <w:rFonts w:ascii="Calibri" w:hAnsi="Calibri" w:eastAsia="宋体" w:cs="Times New Roman"/>
      <w:sz w:val="21"/>
      <w:lang w:val="en-US" w:eastAsia="zh-CN" w:bidi="ar-SA"/>
    </w:rPr>
  </w:style>
  <w:style w:type="paragraph" w:customStyle="1" w:styleId="342">
    <w:name w:val="toc 31"/>
    <w:next w:val="1"/>
    <w:qFormat/>
    <w:uiPriority w:val="0"/>
    <w:pPr>
      <w:wordWrap w:val="0"/>
      <w:ind w:left="850"/>
      <w:jc w:val="both"/>
    </w:pPr>
    <w:rPr>
      <w:rFonts w:ascii="Calibri" w:hAnsi="Calibri" w:eastAsia="宋体" w:cs="Times New Roman"/>
      <w:sz w:val="21"/>
      <w:lang w:val="en-US" w:eastAsia="zh-CN" w:bidi="ar-SA"/>
    </w:rPr>
  </w:style>
  <w:style w:type="paragraph" w:customStyle="1" w:styleId="343">
    <w:name w:val="toc 93"/>
    <w:next w:val="1"/>
    <w:qFormat/>
    <w:uiPriority w:val="0"/>
    <w:pPr>
      <w:wordWrap w:val="0"/>
      <w:ind w:left="3400"/>
      <w:jc w:val="both"/>
    </w:pPr>
    <w:rPr>
      <w:rFonts w:ascii="Calibri" w:hAnsi="Calibri" w:eastAsia="宋体" w:cs="Times New Roman"/>
      <w:sz w:val="21"/>
      <w:lang w:val="en-US" w:eastAsia="zh-CN" w:bidi="ar-SA"/>
    </w:rPr>
  </w:style>
  <w:style w:type="paragraph" w:customStyle="1" w:styleId="344">
    <w:name w:val="toc 614"/>
    <w:next w:val="1"/>
    <w:qFormat/>
    <w:uiPriority w:val="0"/>
    <w:pPr>
      <w:wordWrap w:val="0"/>
      <w:ind w:left="2125"/>
      <w:jc w:val="both"/>
    </w:pPr>
    <w:rPr>
      <w:rFonts w:ascii="Calibri" w:hAnsi="Calibri" w:eastAsia="宋体" w:cs="Times New Roman"/>
      <w:sz w:val="21"/>
      <w:lang w:val="en-US" w:eastAsia="zh-CN" w:bidi="ar-SA"/>
    </w:rPr>
  </w:style>
  <w:style w:type="paragraph" w:customStyle="1" w:styleId="345">
    <w:name w:val="无间隔11"/>
    <w:next w:val="340"/>
    <w:qFormat/>
    <w:uiPriority w:val="0"/>
    <w:pPr>
      <w:widowControl w:val="0"/>
      <w:jc w:val="both"/>
    </w:pPr>
    <w:rPr>
      <w:rFonts w:ascii="Calibri" w:hAnsi="Calibri" w:eastAsia="宋体" w:cs="Times New Roman"/>
      <w:sz w:val="22"/>
      <w:lang w:val="en-US" w:eastAsia="zh-CN" w:bidi="ar-SA"/>
    </w:rPr>
  </w:style>
  <w:style w:type="paragraph" w:customStyle="1" w:styleId="346">
    <w:name w:val="目录 41"/>
    <w:next w:val="1"/>
    <w:qFormat/>
    <w:uiPriority w:val="0"/>
    <w:pPr>
      <w:wordWrap w:val="0"/>
      <w:ind w:left="1275"/>
      <w:jc w:val="both"/>
    </w:pPr>
    <w:rPr>
      <w:rFonts w:ascii="Calibri" w:hAnsi="Calibri" w:eastAsia="宋体" w:cs="Times New Roman"/>
      <w:sz w:val="21"/>
      <w:lang w:val="en-US" w:eastAsia="zh-CN" w:bidi="ar-SA"/>
    </w:rPr>
  </w:style>
  <w:style w:type="paragraph" w:customStyle="1" w:styleId="347">
    <w:name w:val="xl105"/>
    <w:basedOn w:val="1"/>
    <w:next w:val="348"/>
    <w:qFormat/>
    <w:uiPriority w:val="0"/>
    <w:pPr>
      <w:widowControl/>
      <w:shd w:val="clear" w:color="000000" w:fill="FFFFFF"/>
      <w:spacing w:before="280" w:after="280"/>
    </w:pPr>
    <w:rPr>
      <w:rFonts w:ascii="宋体" w:hAnsi="Calibri"/>
      <w:kern w:val="0"/>
      <w:sz w:val="18"/>
      <w:szCs w:val="20"/>
    </w:rPr>
  </w:style>
  <w:style w:type="paragraph" w:customStyle="1" w:styleId="348">
    <w:name w:val="toc 615"/>
    <w:next w:val="1"/>
    <w:qFormat/>
    <w:uiPriority w:val="0"/>
    <w:pPr>
      <w:wordWrap w:val="0"/>
      <w:ind w:left="2125"/>
      <w:jc w:val="both"/>
    </w:pPr>
    <w:rPr>
      <w:rFonts w:ascii="Calibri" w:hAnsi="Calibri" w:eastAsia="宋体" w:cs="Times New Roman"/>
      <w:sz w:val="21"/>
      <w:lang w:val="en-US" w:eastAsia="zh-CN" w:bidi="ar-SA"/>
    </w:rPr>
  </w:style>
  <w:style w:type="paragraph" w:customStyle="1" w:styleId="349">
    <w:name w:val="toc 41"/>
    <w:next w:val="1"/>
    <w:qFormat/>
    <w:uiPriority w:val="0"/>
    <w:pPr>
      <w:wordWrap w:val="0"/>
      <w:ind w:left="1275"/>
      <w:jc w:val="both"/>
    </w:pPr>
    <w:rPr>
      <w:rFonts w:ascii="Calibri" w:hAnsi="Calibri" w:eastAsia="宋体" w:cs="Times New Roman"/>
      <w:sz w:val="21"/>
      <w:lang w:val="en-US" w:eastAsia="zh-CN" w:bidi="ar-SA"/>
    </w:rPr>
  </w:style>
  <w:style w:type="paragraph" w:customStyle="1" w:styleId="350">
    <w:name w:val="toc 81"/>
    <w:next w:val="1"/>
    <w:qFormat/>
    <w:uiPriority w:val="0"/>
    <w:pPr>
      <w:wordWrap w:val="0"/>
      <w:ind w:left="2975"/>
      <w:jc w:val="both"/>
    </w:pPr>
    <w:rPr>
      <w:rFonts w:ascii="Calibri" w:hAnsi="Calibri" w:eastAsia="宋体" w:cs="Times New Roman"/>
      <w:sz w:val="21"/>
      <w:lang w:val="en-US" w:eastAsia="zh-CN" w:bidi="ar-SA"/>
    </w:rPr>
  </w:style>
  <w:style w:type="paragraph" w:customStyle="1" w:styleId="351">
    <w:name w:val="xl111"/>
    <w:basedOn w:val="1"/>
    <w:next w:val="352"/>
    <w:qFormat/>
    <w:uiPriority w:val="0"/>
    <w:pPr>
      <w:widowControl/>
      <w:shd w:val="clear" w:color="000000" w:fill="FFFFFF"/>
      <w:spacing w:before="280" w:after="280"/>
      <w:jc w:val="center"/>
    </w:pPr>
    <w:rPr>
      <w:rFonts w:ascii="宋体" w:hAnsi="Calibri"/>
      <w:b/>
      <w:kern w:val="0"/>
      <w:sz w:val="20"/>
      <w:szCs w:val="20"/>
    </w:rPr>
  </w:style>
  <w:style w:type="paragraph" w:customStyle="1" w:styleId="352">
    <w:name w:val="toc 88"/>
    <w:next w:val="1"/>
    <w:qFormat/>
    <w:uiPriority w:val="0"/>
    <w:pPr>
      <w:wordWrap w:val="0"/>
      <w:ind w:left="2975"/>
      <w:jc w:val="both"/>
    </w:pPr>
    <w:rPr>
      <w:rFonts w:ascii="Calibri" w:hAnsi="Calibri" w:eastAsia="宋体" w:cs="Times New Roman"/>
      <w:sz w:val="21"/>
      <w:lang w:val="en-US" w:eastAsia="zh-CN" w:bidi="ar-SA"/>
    </w:rPr>
  </w:style>
  <w:style w:type="paragraph" w:customStyle="1" w:styleId="353">
    <w:name w:val="toc 84"/>
    <w:next w:val="1"/>
    <w:qFormat/>
    <w:uiPriority w:val="0"/>
    <w:pPr>
      <w:wordWrap w:val="0"/>
      <w:ind w:left="2975"/>
      <w:jc w:val="both"/>
    </w:pPr>
    <w:rPr>
      <w:rFonts w:ascii="Calibri" w:hAnsi="Calibri" w:eastAsia="宋体" w:cs="Times New Roman"/>
      <w:sz w:val="21"/>
      <w:lang w:val="en-US" w:eastAsia="zh-CN" w:bidi="ar-SA"/>
    </w:rPr>
  </w:style>
  <w:style w:type="paragraph" w:customStyle="1" w:styleId="354">
    <w:name w:val="p0"/>
    <w:basedOn w:val="1"/>
    <w:qFormat/>
    <w:uiPriority w:val="0"/>
    <w:pPr>
      <w:widowControl/>
      <w:spacing w:before="280" w:after="280"/>
    </w:pPr>
    <w:rPr>
      <w:rFonts w:ascii="宋体" w:hAnsi="Calibri"/>
      <w:kern w:val="0"/>
      <w:sz w:val="24"/>
      <w:szCs w:val="20"/>
    </w:rPr>
  </w:style>
  <w:style w:type="paragraph" w:customStyle="1" w:styleId="355">
    <w:name w:val="toc 69"/>
    <w:next w:val="1"/>
    <w:qFormat/>
    <w:uiPriority w:val="0"/>
    <w:pPr>
      <w:wordWrap w:val="0"/>
      <w:ind w:left="2125"/>
      <w:jc w:val="both"/>
    </w:pPr>
    <w:rPr>
      <w:rFonts w:ascii="Calibri" w:hAnsi="Calibri" w:eastAsia="宋体" w:cs="Times New Roman"/>
      <w:sz w:val="21"/>
      <w:lang w:val="en-US" w:eastAsia="zh-CN" w:bidi="ar-SA"/>
    </w:rPr>
  </w:style>
  <w:style w:type="paragraph" w:customStyle="1" w:styleId="356">
    <w:name w:val="列出段落11"/>
    <w:basedOn w:val="1"/>
    <w:next w:val="357"/>
    <w:qFormat/>
    <w:uiPriority w:val="0"/>
    <w:pPr>
      <w:widowControl/>
      <w:spacing w:line="360" w:lineRule="auto"/>
      <w:ind w:firstLine="420"/>
    </w:pPr>
    <w:rPr>
      <w:rFonts w:hAnsi="Calibri" w:eastAsia="微软雅黑"/>
      <w:kern w:val="0"/>
      <w:sz w:val="24"/>
      <w:szCs w:val="20"/>
    </w:rPr>
  </w:style>
  <w:style w:type="paragraph" w:customStyle="1" w:styleId="357">
    <w:name w:val="toc 214"/>
    <w:next w:val="1"/>
    <w:qFormat/>
    <w:uiPriority w:val="0"/>
    <w:pPr>
      <w:wordWrap w:val="0"/>
      <w:ind w:left="425"/>
      <w:jc w:val="both"/>
    </w:pPr>
    <w:rPr>
      <w:rFonts w:ascii="Calibri" w:hAnsi="Calibri" w:eastAsia="宋体" w:cs="Times New Roman"/>
      <w:sz w:val="21"/>
      <w:lang w:val="en-US" w:eastAsia="zh-CN" w:bidi="ar-SA"/>
    </w:rPr>
  </w:style>
  <w:style w:type="paragraph" w:customStyle="1" w:styleId="358">
    <w:name w:val="toc 63"/>
    <w:next w:val="1"/>
    <w:qFormat/>
    <w:uiPriority w:val="0"/>
    <w:pPr>
      <w:wordWrap w:val="0"/>
      <w:ind w:left="2125"/>
      <w:jc w:val="both"/>
    </w:pPr>
    <w:rPr>
      <w:rFonts w:ascii="Calibri" w:hAnsi="Calibri" w:eastAsia="宋体" w:cs="Times New Roman"/>
      <w:sz w:val="21"/>
      <w:lang w:val="en-US" w:eastAsia="zh-CN" w:bidi="ar-SA"/>
    </w:rPr>
  </w:style>
  <w:style w:type="paragraph" w:customStyle="1" w:styleId="359">
    <w:name w:val="xl91"/>
    <w:basedOn w:val="1"/>
    <w:next w:val="256"/>
    <w:qFormat/>
    <w:uiPriority w:val="0"/>
    <w:pPr>
      <w:widowControl/>
      <w:shd w:val="clear" w:color="000000" w:fill="FFFFFF"/>
      <w:spacing w:before="280" w:after="280"/>
    </w:pPr>
    <w:rPr>
      <w:rFonts w:ascii="宋体" w:hAnsi="Calibri"/>
      <w:kern w:val="0"/>
      <w:sz w:val="20"/>
      <w:szCs w:val="20"/>
    </w:rPr>
  </w:style>
  <w:style w:type="paragraph" w:customStyle="1" w:styleId="360">
    <w:name w:val="toc 316"/>
    <w:next w:val="1"/>
    <w:qFormat/>
    <w:uiPriority w:val="0"/>
    <w:pPr>
      <w:wordWrap w:val="0"/>
      <w:ind w:left="850"/>
      <w:jc w:val="both"/>
    </w:pPr>
    <w:rPr>
      <w:rFonts w:ascii="Calibri" w:hAnsi="Calibri" w:eastAsia="宋体" w:cs="Times New Roman"/>
      <w:sz w:val="21"/>
      <w:lang w:val="en-US" w:eastAsia="zh-CN" w:bidi="ar-SA"/>
    </w:rPr>
  </w:style>
  <w:style w:type="paragraph" w:customStyle="1" w:styleId="361">
    <w:name w:val="_Style 1"/>
    <w:basedOn w:val="1"/>
    <w:next w:val="362"/>
    <w:qFormat/>
    <w:uiPriority w:val="0"/>
    <w:pPr>
      <w:ind w:firstLine="420"/>
    </w:pPr>
    <w:rPr>
      <w:rFonts w:hAnsi="Calibri"/>
      <w:kern w:val="0"/>
      <w:szCs w:val="20"/>
    </w:rPr>
  </w:style>
  <w:style w:type="paragraph" w:customStyle="1" w:styleId="362">
    <w:name w:val="TOC Heading13"/>
    <w:next w:val="1"/>
    <w:qFormat/>
    <w:uiPriority w:val="0"/>
    <w:pPr>
      <w:wordWrap w:val="0"/>
    </w:pPr>
    <w:rPr>
      <w:rFonts w:ascii="Calibri" w:hAnsi="Calibri" w:eastAsia="宋体" w:cs="Times New Roman"/>
      <w:sz w:val="32"/>
      <w:lang w:val="en-US" w:eastAsia="zh-CN" w:bidi="ar-SA"/>
    </w:rPr>
  </w:style>
  <w:style w:type="paragraph" w:customStyle="1" w:styleId="363">
    <w:name w:val="toc 116"/>
    <w:next w:val="1"/>
    <w:qFormat/>
    <w:uiPriority w:val="0"/>
    <w:pPr>
      <w:wordWrap w:val="0"/>
      <w:jc w:val="both"/>
    </w:pPr>
    <w:rPr>
      <w:rFonts w:ascii="Calibri" w:hAnsi="Calibri" w:eastAsia="宋体" w:cs="Times New Roman"/>
      <w:sz w:val="21"/>
      <w:lang w:val="en-US" w:eastAsia="zh-CN" w:bidi="ar-SA"/>
    </w:rPr>
  </w:style>
  <w:style w:type="paragraph" w:customStyle="1" w:styleId="364">
    <w:name w:val="toc 72"/>
    <w:next w:val="1"/>
    <w:qFormat/>
    <w:uiPriority w:val="0"/>
    <w:pPr>
      <w:wordWrap w:val="0"/>
      <w:ind w:left="2550"/>
      <w:jc w:val="both"/>
    </w:pPr>
    <w:rPr>
      <w:rFonts w:ascii="Calibri" w:hAnsi="Calibri" w:eastAsia="宋体" w:cs="Times New Roman"/>
      <w:sz w:val="21"/>
      <w:lang w:val="en-US" w:eastAsia="zh-CN" w:bidi="ar-SA"/>
    </w:rPr>
  </w:style>
  <w:style w:type="paragraph" w:customStyle="1" w:styleId="365">
    <w:name w:val="x_msonormal"/>
    <w:basedOn w:val="1"/>
    <w:next w:val="315"/>
    <w:qFormat/>
    <w:uiPriority w:val="0"/>
    <w:pPr>
      <w:widowControl/>
      <w:spacing w:before="280" w:after="280"/>
    </w:pPr>
    <w:rPr>
      <w:rFonts w:ascii="PMingLiU" w:hAnsi="Calibri" w:eastAsia="PMingLiU"/>
      <w:kern w:val="0"/>
      <w:sz w:val="24"/>
      <w:szCs w:val="20"/>
    </w:rPr>
  </w:style>
  <w:style w:type="paragraph" w:customStyle="1" w:styleId="366">
    <w:name w:val="toc 310"/>
    <w:next w:val="1"/>
    <w:qFormat/>
    <w:uiPriority w:val="0"/>
    <w:pPr>
      <w:wordWrap w:val="0"/>
      <w:ind w:left="850"/>
      <w:jc w:val="both"/>
    </w:pPr>
    <w:rPr>
      <w:rFonts w:ascii="Calibri" w:hAnsi="Calibri" w:eastAsia="宋体" w:cs="Times New Roman"/>
      <w:sz w:val="21"/>
      <w:lang w:val="en-US" w:eastAsia="zh-CN" w:bidi="ar-SA"/>
    </w:rPr>
  </w:style>
  <w:style w:type="paragraph" w:customStyle="1" w:styleId="367">
    <w:name w:val="toc 83"/>
    <w:next w:val="1"/>
    <w:qFormat/>
    <w:uiPriority w:val="0"/>
    <w:pPr>
      <w:wordWrap w:val="0"/>
      <w:ind w:left="2975"/>
      <w:jc w:val="both"/>
    </w:pPr>
    <w:rPr>
      <w:rFonts w:ascii="Calibri" w:hAnsi="Calibri" w:eastAsia="宋体" w:cs="Times New Roman"/>
      <w:sz w:val="21"/>
      <w:lang w:val="en-US" w:eastAsia="zh-CN" w:bidi="ar-SA"/>
    </w:rPr>
  </w:style>
  <w:style w:type="paragraph" w:customStyle="1" w:styleId="368">
    <w:name w:val="TOC Heading17"/>
    <w:next w:val="1"/>
    <w:qFormat/>
    <w:uiPriority w:val="0"/>
    <w:pPr>
      <w:wordWrap w:val="0"/>
    </w:pPr>
    <w:rPr>
      <w:rFonts w:ascii="Calibri" w:hAnsi="Calibri" w:eastAsia="宋体" w:cs="Times New Roman"/>
      <w:sz w:val="32"/>
      <w:lang w:val="en-US" w:eastAsia="zh-CN" w:bidi="ar-SA"/>
    </w:rPr>
  </w:style>
  <w:style w:type="paragraph" w:customStyle="1" w:styleId="369">
    <w:name w:val="toc 911"/>
    <w:next w:val="1"/>
    <w:qFormat/>
    <w:uiPriority w:val="0"/>
    <w:pPr>
      <w:wordWrap w:val="0"/>
      <w:ind w:left="3400"/>
      <w:jc w:val="both"/>
    </w:pPr>
    <w:rPr>
      <w:rFonts w:ascii="Calibri" w:hAnsi="Calibri" w:eastAsia="宋体" w:cs="Times New Roman"/>
      <w:sz w:val="21"/>
      <w:lang w:val="en-US" w:eastAsia="zh-CN" w:bidi="ar-SA"/>
    </w:rPr>
  </w:style>
  <w:style w:type="paragraph" w:customStyle="1" w:styleId="370">
    <w:name w:val="toc 811"/>
    <w:next w:val="1"/>
    <w:qFormat/>
    <w:uiPriority w:val="0"/>
    <w:pPr>
      <w:wordWrap w:val="0"/>
      <w:ind w:left="2975"/>
      <w:jc w:val="both"/>
    </w:pPr>
    <w:rPr>
      <w:rFonts w:ascii="Calibri" w:hAnsi="Calibri" w:eastAsia="宋体" w:cs="Times New Roman"/>
      <w:sz w:val="21"/>
      <w:lang w:val="en-US" w:eastAsia="zh-CN" w:bidi="ar-SA"/>
    </w:rPr>
  </w:style>
  <w:style w:type="paragraph" w:customStyle="1" w:styleId="371">
    <w:name w:val="目录 31"/>
    <w:next w:val="1"/>
    <w:qFormat/>
    <w:uiPriority w:val="0"/>
    <w:pPr>
      <w:wordWrap w:val="0"/>
      <w:ind w:left="850"/>
      <w:jc w:val="both"/>
    </w:pPr>
    <w:rPr>
      <w:rFonts w:ascii="Calibri" w:hAnsi="Calibri" w:eastAsia="宋体" w:cs="Times New Roman"/>
      <w:sz w:val="21"/>
      <w:lang w:val="en-US" w:eastAsia="zh-CN" w:bidi="ar-SA"/>
    </w:rPr>
  </w:style>
  <w:style w:type="paragraph" w:customStyle="1" w:styleId="372">
    <w:name w:val="xl118"/>
    <w:basedOn w:val="1"/>
    <w:next w:val="246"/>
    <w:qFormat/>
    <w:uiPriority w:val="0"/>
    <w:pPr>
      <w:widowControl/>
      <w:shd w:val="clear" w:color="000000" w:fill="FFFFFF"/>
      <w:spacing w:before="280" w:after="280"/>
      <w:jc w:val="center"/>
    </w:pPr>
    <w:rPr>
      <w:rFonts w:ascii="宋体" w:hAnsi="Calibri"/>
      <w:b/>
      <w:kern w:val="0"/>
      <w:sz w:val="20"/>
      <w:szCs w:val="20"/>
    </w:rPr>
  </w:style>
  <w:style w:type="paragraph" w:customStyle="1" w:styleId="373">
    <w:name w:val="xl83"/>
    <w:basedOn w:val="1"/>
    <w:next w:val="301"/>
    <w:qFormat/>
    <w:uiPriority w:val="0"/>
    <w:pPr>
      <w:widowControl/>
      <w:shd w:val="clear" w:color="000000" w:fill="FFFFFF"/>
      <w:spacing w:before="280" w:after="280"/>
    </w:pPr>
    <w:rPr>
      <w:rFonts w:ascii="宋体" w:hAnsi="Calibri"/>
      <w:kern w:val="0"/>
      <w:sz w:val="20"/>
      <w:szCs w:val="20"/>
    </w:rPr>
  </w:style>
  <w:style w:type="paragraph" w:customStyle="1" w:styleId="374">
    <w:name w:val="xl103"/>
    <w:basedOn w:val="1"/>
    <w:next w:val="375"/>
    <w:qFormat/>
    <w:uiPriority w:val="0"/>
    <w:pPr>
      <w:widowControl/>
      <w:shd w:val="clear" w:color="000000" w:fill="FFFFFF"/>
      <w:spacing w:before="280" w:after="280"/>
    </w:pPr>
    <w:rPr>
      <w:rFonts w:ascii="宋体" w:hAnsi="Calibri"/>
      <w:kern w:val="0"/>
      <w:sz w:val="20"/>
      <w:szCs w:val="20"/>
    </w:rPr>
  </w:style>
  <w:style w:type="paragraph" w:customStyle="1" w:styleId="375">
    <w:name w:val="toc 111"/>
    <w:next w:val="1"/>
    <w:qFormat/>
    <w:uiPriority w:val="0"/>
    <w:pPr>
      <w:wordWrap w:val="0"/>
      <w:jc w:val="both"/>
    </w:pPr>
    <w:rPr>
      <w:rFonts w:ascii="Calibri" w:hAnsi="Calibri" w:eastAsia="宋体" w:cs="Times New Roman"/>
      <w:sz w:val="21"/>
      <w:lang w:val="en-US" w:eastAsia="zh-CN" w:bidi="ar-SA"/>
    </w:rPr>
  </w:style>
  <w:style w:type="paragraph" w:customStyle="1" w:styleId="376">
    <w:name w:val="xl68"/>
    <w:basedOn w:val="1"/>
    <w:next w:val="377"/>
    <w:qFormat/>
    <w:uiPriority w:val="0"/>
    <w:pPr>
      <w:widowControl/>
      <w:shd w:val="clear" w:color="000000" w:fill="FFFFFF"/>
      <w:spacing w:before="280" w:after="280"/>
    </w:pPr>
    <w:rPr>
      <w:rFonts w:ascii="宋体" w:hAnsi="Calibri"/>
      <w:b/>
      <w:kern w:val="0"/>
      <w:sz w:val="20"/>
      <w:szCs w:val="20"/>
    </w:rPr>
  </w:style>
  <w:style w:type="paragraph" w:customStyle="1" w:styleId="377">
    <w:name w:val="TOC Heading16"/>
    <w:next w:val="1"/>
    <w:qFormat/>
    <w:uiPriority w:val="0"/>
    <w:pPr>
      <w:wordWrap w:val="0"/>
    </w:pPr>
    <w:rPr>
      <w:rFonts w:ascii="Calibri" w:hAnsi="Calibri" w:eastAsia="宋体" w:cs="Times New Roman"/>
      <w:sz w:val="32"/>
      <w:lang w:val="en-US" w:eastAsia="zh-CN" w:bidi="ar-SA"/>
    </w:rPr>
  </w:style>
  <w:style w:type="paragraph" w:customStyle="1" w:styleId="378">
    <w:name w:val="toc 113"/>
    <w:next w:val="1"/>
    <w:qFormat/>
    <w:uiPriority w:val="0"/>
    <w:pPr>
      <w:wordWrap w:val="0"/>
      <w:jc w:val="both"/>
    </w:pPr>
    <w:rPr>
      <w:rFonts w:ascii="Calibri" w:hAnsi="Calibri" w:eastAsia="宋体" w:cs="Times New Roman"/>
      <w:sz w:val="21"/>
      <w:lang w:val="en-US" w:eastAsia="zh-CN" w:bidi="ar-SA"/>
    </w:rPr>
  </w:style>
  <w:style w:type="paragraph" w:customStyle="1" w:styleId="379">
    <w:name w:val="xl94"/>
    <w:basedOn w:val="1"/>
    <w:next w:val="270"/>
    <w:qFormat/>
    <w:uiPriority w:val="0"/>
    <w:pPr>
      <w:widowControl/>
      <w:shd w:val="clear" w:color="000000" w:fill="FFFFFF"/>
      <w:spacing w:before="280" w:after="280"/>
      <w:jc w:val="center"/>
    </w:pPr>
    <w:rPr>
      <w:rFonts w:ascii="宋体" w:hAnsi="Calibri"/>
      <w:kern w:val="0"/>
      <w:sz w:val="20"/>
      <w:szCs w:val="20"/>
    </w:rPr>
  </w:style>
  <w:style w:type="paragraph" w:customStyle="1" w:styleId="380">
    <w:name w:val="toc 53"/>
    <w:next w:val="1"/>
    <w:qFormat/>
    <w:uiPriority w:val="0"/>
    <w:pPr>
      <w:wordWrap w:val="0"/>
      <w:ind w:left="1700"/>
      <w:jc w:val="both"/>
    </w:pPr>
    <w:rPr>
      <w:rFonts w:ascii="Calibri" w:hAnsi="Calibri" w:eastAsia="宋体" w:cs="Times New Roman"/>
      <w:sz w:val="21"/>
      <w:lang w:val="en-US" w:eastAsia="zh-CN" w:bidi="ar-SA"/>
    </w:rPr>
  </w:style>
  <w:style w:type="paragraph" w:customStyle="1" w:styleId="381">
    <w:name w:val="xl92"/>
    <w:basedOn w:val="1"/>
    <w:next w:val="382"/>
    <w:qFormat/>
    <w:uiPriority w:val="0"/>
    <w:pPr>
      <w:widowControl/>
      <w:shd w:val="clear" w:color="000000" w:fill="FFFFFF"/>
      <w:spacing w:before="280" w:after="280"/>
    </w:pPr>
    <w:rPr>
      <w:rFonts w:ascii="宋体" w:hAnsi="Calibri"/>
      <w:kern w:val="0"/>
      <w:sz w:val="20"/>
      <w:szCs w:val="20"/>
    </w:rPr>
  </w:style>
  <w:style w:type="paragraph" w:customStyle="1" w:styleId="382">
    <w:name w:val="toc 913"/>
    <w:next w:val="1"/>
    <w:qFormat/>
    <w:uiPriority w:val="0"/>
    <w:pPr>
      <w:wordWrap w:val="0"/>
      <w:ind w:left="3400"/>
      <w:jc w:val="both"/>
    </w:pPr>
    <w:rPr>
      <w:rFonts w:ascii="Calibri" w:hAnsi="Calibri" w:eastAsia="宋体" w:cs="Times New Roman"/>
      <w:sz w:val="21"/>
      <w:lang w:val="en-US" w:eastAsia="zh-CN" w:bidi="ar-SA"/>
    </w:rPr>
  </w:style>
  <w:style w:type="paragraph" w:customStyle="1" w:styleId="383">
    <w:name w:val="toc 512"/>
    <w:next w:val="1"/>
    <w:qFormat/>
    <w:uiPriority w:val="0"/>
    <w:pPr>
      <w:wordWrap w:val="0"/>
      <w:ind w:left="1700"/>
      <w:jc w:val="both"/>
    </w:pPr>
    <w:rPr>
      <w:rFonts w:ascii="Calibri" w:hAnsi="Calibri" w:eastAsia="宋体" w:cs="Times New Roman"/>
      <w:sz w:val="21"/>
      <w:lang w:val="en-US" w:eastAsia="zh-CN" w:bidi="ar-SA"/>
    </w:rPr>
  </w:style>
  <w:style w:type="paragraph" w:customStyle="1" w:styleId="384">
    <w:name w:val="目录 81"/>
    <w:next w:val="1"/>
    <w:qFormat/>
    <w:uiPriority w:val="0"/>
    <w:pPr>
      <w:wordWrap w:val="0"/>
      <w:ind w:left="2975"/>
      <w:jc w:val="both"/>
    </w:pPr>
    <w:rPr>
      <w:rFonts w:ascii="Calibri" w:hAnsi="Calibri" w:eastAsia="宋体" w:cs="Times New Roman"/>
      <w:sz w:val="21"/>
      <w:lang w:val="en-US" w:eastAsia="zh-CN" w:bidi="ar-SA"/>
    </w:rPr>
  </w:style>
  <w:style w:type="paragraph" w:customStyle="1" w:styleId="385">
    <w:name w:val="正文表标题"/>
    <w:next w:val="1"/>
    <w:qFormat/>
    <w:uiPriority w:val="0"/>
    <w:pPr>
      <w:ind w:left="630"/>
      <w:jc w:val="center"/>
    </w:pPr>
    <w:rPr>
      <w:rFonts w:ascii="黑体" w:hAnsi="Calibri" w:eastAsia="黑体" w:cs="Times New Roman"/>
      <w:sz w:val="21"/>
      <w:lang w:val="en-US" w:eastAsia="zh-CN" w:bidi="ar-SA"/>
    </w:rPr>
  </w:style>
  <w:style w:type="paragraph" w:customStyle="1" w:styleId="386">
    <w:name w:val="toc 28"/>
    <w:next w:val="1"/>
    <w:qFormat/>
    <w:uiPriority w:val="0"/>
    <w:pPr>
      <w:wordWrap w:val="0"/>
      <w:ind w:left="425"/>
      <w:jc w:val="both"/>
    </w:pPr>
    <w:rPr>
      <w:rFonts w:ascii="Calibri" w:hAnsi="Calibri" w:eastAsia="宋体" w:cs="Times New Roman"/>
      <w:sz w:val="21"/>
      <w:lang w:val="en-US" w:eastAsia="zh-CN" w:bidi="ar-SA"/>
    </w:rPr>
  </w:style>
  <w:style w:type="paragraph" w:customStyle="1" w:styleId="387">
    <w:name w:val="toc 79"/>
    <w:next w:val="1"/>
    <w:qFormat/>
    <w:uiPriority w:val="0"/>
    <w:pPr>
      <w:wordWrap w:val="0"/>
      <w:ind w:left="2550"/>
      <w:jc w:val="both"/>
    </w:pPr>
    <w:rPr>
      <w:rFonts w:ascii="Calibri" w:hAnsi="Calibri" w:eastAsia="宋体" w:cs="Times New Roman"/>
      <w:sz w:val="21"/>
      <w:lang w:val="en-US" w:eastAsia="zh-CN" w:bidi="ar-SA"/>
    </w:rPr>
  </w:style>
  <w:style w:type="paragraph" w:customStyle="1" w:styleId="388">
    <w:name w:val="xl110"/>
    <w:basedOn w:val="1"/>
    <w:next w:val="344"/>
    <w:qFormat/>
    <w:uiPriority w:val="0"/>
    <w:pPr>
      <w:widowControl/>
      <w:shd w:val="clear" w:color="000000" w:fill="FFFFFF"/>
      <w:spacing w:before="280" w:after="280"/>
      <w:jc w:val="center"/>
    </w:pPr>
    <w:rPr>
      <w:rFonts w:ascii="宋体" w:hAnsi="Calibri"/>
      <w:kern w:val="0"/>
      <w:sz w:val="20"/>
      <w:szCs w:val="20"/>
    </w:rPr>
  </w:style>
  <w:style w:type="paragraph" w:customStyle="1" w:styleId="389">
    <w:name w:val="toc 511"/>
    <w:next w:val="1"/>
    <w:qFormat/>
    <w:uiPriority w:val="0"/>
    <w:pPr>
      <w:wordWrap w:val="0"/>
      <w:ind w:left="1700"/>
      <w:jc w:val="both"/>
    </w:pPr>
    <w:rPr>
      <w:rFonts w:ascii="Calibri" w:hAnsi="Calibri" w:eastAsia="宋体" w:cs="Times New Roman"/>
      <w:sz w:val="21"/>
      <w:lang w:val="en-US" w:eastAsia="zh-CN" w:bidi="ar-SA"/>
    </w:rPr>
  </w:style>
  <w:style w:type="paragraph" w:customStyle="1" w:styleId="390">
    <w:name w:val="toc 416"/>
    <w:next w:val="1"/>
    <w:qFormat/>
    <w:uiPriority w:val="0"/>
    <w:pPr>
      <w:wordWrap w:val="0"/>
      <w:ind w:left="1275"/>
      <w:jc w:val="both"/>
    </w:pPr>
    <w:rPr>
      <w:rFonts w:ascii="Calibri" w:hAnsi="Calibri" w:eastAsia="宋体" w:cs="Times New Roman"/>
      <w:sz w:val="21"/>
      <w:lang w:val="en-US" w:eastAsia="zh-CN" w:bidi="ar-SA"/>
    </w:rPr>
  </w:style>
  <w:style w:type="paragraph" w:customStyle="1" w:styleId="391">
    <w:name w:val="xl85"/>
    <w:basedOn w:val="1"/>
    <w:next w:val="392"/>
    <w:qFormat/>
    <w:uiPriority w:val="0"/>
    <w:pPr>
      <w:widowControl/>
      <w:shd w:val="clear" w:color="000000" w:fill="FFFFFF"/>
      <w:spacing w:before="280" w:after="280"/>
      <w:jc w:val="center"/>
    </w:pPr>
    <w:rPr>
      <w:rFonts w:ascii="宋体" w:hAnsi="Calibri"/>
      <w:kern w:val="0"/>
      <w:sz w:val="20"/>
      <w:szCs w:val="20"/>
    </w:rPr>
  </w:style>
  <w:style w:type="paragraph" w:customStyle="1" w:styleId="392">
    <w:name w:val="toc 76"/>
    <w:next w:val="1"/>
    <w:qFormat/>
    <w:uiPriority w:val="0"/>
    <w:pPr>
      <w:wordWrap w:val="0"/>
      <w:ind w:left="2550"/>
      <w:jc w:val="both"/>
    </w:pPr>
    <w:rPr>
      <w:rFonts w:ascii="Calibri" w:hAnsi="Calibri" w:eastAsia="宋体" w:cs="Times New Roman"/>
      <w:sz w:val="21"/>
      <w:lang w:val="en-US" w:eastAsia="zh-CN" w:bidi="ar-SA"/>
    </w:rPr>
  </w:style>
  <w:style w:type="paragraph" w:customStyle="1" w:styleId="393">
    <w:name w:val="toc 27"/>
    <w:next w:val="1"/>
    <w:qFormat/>
    <w:uiPriority w:val="0"/>
    <w:pPr>
      <w:wordWrap w:val="0"/>
      <w:ind w:left="425"/>
      <w:jc w:val="both"/>
    </w:pPr>
    <w:rPr>
      <w:rFonts w:ascii="Calibri" w:hAnsi="Calibri" w:eastAsia="宋体" w:cs="Times New Roman"/>
      <w:sz w:val="21"/>
      <w:lang w:val="en-US" w:eastAsia="zh-CN" w:bidi="ar-SA"/>
    </w:rPr>
  </w:style>
  <w:style w:type="paragraph" w:customStyle="1" w:styleId="394">
    <w:name w:val="toc 916"/>
    <w:next w:val="1"/>
    <w:qFormat/>
    <w:uiPriority w:val="0"/>
    <w:pPr>
      <w:wordWrap w:val="0"/>
      <w:ind w:left="3400"/>
      <w:jc w:val="both"/>
    </w:pPr>
    <w:rPr>
      <w:rFonts w:ascii="Calibri" w:hAnsi="Calibri" w:eastAsia="宋体" w:cs="Times New Roman"/>
      <w:sz w:val="21"/>
      <w:lang w:val="en-US" w:eastAsia="zh-CN" w:bidi="ar-SA"/>
    </w:rPr>
  </w:style>
  <w:style w:type="paragraph" w:customStyle="1" w:styleId="395">
    <w:name w:val="toc 77"/>
    <w:next w:val="1"/>
    <w:qFormat/>
    <w:uiPriority w:val="0"/>
    <w:pPr>
      <w:wordWrap w:val="0"/>
      <w:ind w:left="2550"/>
      <w:jc w:val="both"/>
    </w:pPr>
    <w:rPr>
      <w:rFonts w:ascii="Calibri" w:hAnsi="Calibri" w:eastAsia="宋体" w:cs="Times New Roman"/>
      <w:sz w:val="21"/>
      <w:lang w:val="en-US" w:eastAsia="zh-CN" w:bidi="ar-SA"/>
    </w:rPr>
  </w:style>
  <w:style w:type="paragraph" w:customStyle="1" w:styleId="396">
    <w:name w:val="toc 211"/>
    <w:next w:val="1"/>
    <w:qFormat/>
    <w:uiPriority w:val="0"/>
    <w:pPr>
      <w:wordWrap w:val="0"/>
      <w:ind w:left="425"/>
      <w:jc w:val="both"/>
    </w:pPr>
    <w:rPr>
      <w:rFonts w:ascii="Calibri" w:hAnsi="Calibri" w:eastAsia="宋体" w:cs="Times New Roman"/>
      <w:sz w:val="21"/>
      <w:lang w:val="en-US" w:eastAsia="zh-CN" w:bidi="ar-SA"/>
    </w:rPr>
  </w:style>
  <w:style w:type="paragraph" w:customStyle="1" w:styleId="397">
    <w:name w:val="toc 815"/>
    <w:next w:val="1"/>
    <w:qFormat/>
    <w:uiPriority w:val="0"/>
    <w:pPr>
      <w:wordWrap w:val="0"/>
      <w:ind w:left="2975"/>
      <w:jc w:val="both"/>
    </w:pPr>
    <w:rPr>
      <w:rFonts w:ascii="Calibri" w:hAnsi="Calibri" w:eastAsia="宋体" w:cs="Times New Roman"/>
      <w:sz w:val="21"/>
      <w:lang w:val="en-US" w:eastAsia="zh-CN" w:bidi="ar-SA"/>
    </w:rPr>
  </w:style>
  <w:style w:type="paragraph" w:customStyle="1" w:styleId="398">
    <w:name w:val="xl99"/>
    <w:basedOn w:val="1"/>
    <w:next w:val="383"/>
    <w:qFormat/>
    <w:uiPriority w:val="0"/>
    <w:pPr>
      <w:widowControl/>
      <w:shd w:val="clear" w:color="000000" w:fill="FFFFFF"/>
      <w:spacing w:before="280" w:after="280"/>
    </w:pPr>
    <w:rPr>
      <w:rFonts w:ascii="宋体" w:hAnsi="Calibri"/>
      <w:kern w:val="0"/>
      <w:sz w:val="18"/>
      <w:szCs w:val="20"/>
    </w:rPr>
  </w:style>
  <w:style w:type="paragraph" w:customStyle="1" w:styleId="399">
    <w:name w:val="xl97"/>
    <w:basedOn w:val="1"/>
    <w:next w:val="271"/>
    <w:qFormat/>
    <w:uiPriority w:val="0"/>
    <w:pPr>
      <w:widowControl/>
      <w:shd w:val="clear" w:color="000000" w:fill="FFFFFF"/>
      <w:spacing w:before="280" w:after="280"/>
      <w:jc w:val="center"/>
    </w:pPr>
    <w:rPr>
      <w:rFonts w:ascii="宋体" w:hAnsi="Calibri"/>
      <w:kern w:val="0"/>
      <w:sz w:val="20"/>
      <w:szCs w:val="20"/>
    </w:rPr>
  </w:style>
  <w:style w:type="paragraph" w:customStyle="1" w:styleId="400">
    <w:name w:val="toc 612"/>
    <w:next w:val="1"/>
    <w:qFormat/>
    <w:uiPriority w:val="0"/>
    <w:pPr>
      <w:wordWrap w:val="0"/>
      <w:ind w:left="2125"/>
      <w:jc w:val="both"/>
    </w:pPr>
    <w:rPr>
      <w:rFonts w:ascii="Calibri" w:hAnsi="Calibri" w:eastAsia="宋体" w:cs="Times New Roman"/>
      <w:sz w:val="21"/>
      <w:lang w:val="en-US" w:eastAsia="zh-CN" w:bidi="ar-SA"/>
    </w:rPr>
  </w:style>
  <w:style w:type="paragraph" w:customStyle="1" w:styleId="401">
    <w:name w:val="toc 315"/>
    <w:next w:val="1"/>
    <w:qFormat/>
    <w:uiPriority w:val="0"/>
    <w:pPr>
      <w:wordWrap w:val="0"/>
      <w:ind w:left="850"/>
      <w:jc w:val="both"/>
    </w:pPr>
    <w:rPr>
      <w:rFonts w:ascii="Calibri" w:hAnsi="Calibri" w:eastAsia="宋体" w:cs="Times New Roman"/>
      <w:sz w:val="21"/>
      <w:lang w:val="en-US" w:eastAsia="zh-CN" w:bidi="ar-SA"/>
    </w:rPr>
  </w:style>
  <w:style w:type="paragraph" w:customStyle="1" w:styleId="402">
    <w:name w:val="TOC Heading15"/>
    <w:next w:val="1"/>
    <w:qFormat/>
    <w:uiPriority w:val="0"/>
    <w:pPr>
      <w:wordWrap w:val="0"/>
    </w:pPr>
    <w:rPr>
      <w:rFonts w:ascii="Calibri" w:hAnsi="Calibri" w:eastAsia="宋体" w:cs="Times New Roman"/>
      <w:sz w:val="32"/>
      <w:lang w:val="en-US" w:eastAsia="zh-CN" w:bidi="ar-SA"/>
    </w:rPr>
  </w:style>
  <w:style w:type="paragraph" w:customStyle="1" w:styleId="403">
    <w:name w:val="toc 915"/>
    <w:next w:val="1"/>
    <w:qFormat/>
    <w:uiPriority w:val="0"/>
    <w:pPr>
      <w:wordWrap w:val="0"/>
      <w:ind w:left="3400"/>
      <w:jc w:val="both"/>
    </w:pPr>
    <w:rPr>
      <w:rFonts w:ascii="Calibri" w:hAnsi="Calibri" w:eastAsia="宋体" w:cs="Times New Roman"/>
      <w:sz w:val="21"/>
      <w:lang w:val="en-US" w:eastAsia="zh-CN" w:bidi="ar-SA"/>
    </w:rPr>
  </w:style>
  <w:style w:type="paragraph" w:customStyle="1" w:styleId="404">
    <w:name w:val="toc 39"/>
    <w:next w:val="1"/>
    <w:qFormat/>
    <w:uiPriority w:val="0"/>
    <w:pPr>
      <w:wordWrap w:val="0"/>
      <w:ind w:left="850"/>
      <w:jc w:val="both"/>
    </w:pPr>
    <w:rPr>
      <w:rFonts w:ascii="Calibri" w:hAnsi="Calibri" w:eastAsia="宋体" w:cs="Times New Roman"/>
      <w:sz w:val="21"/>
      <w:lang w:val="en-US" w:eastAsia="zh-CN" w:bidi="ar-SA"/>
    </w:rPr>
  </w:style>
  <w:style w:type="paragraph" w:customStyle="1" w:styleId="405">
    <w:name w:val="toc 710"/>
    <w:next w:val="1"/>
    <w:qFormat/>
    <w:uiPriority w:val="0"/>
    <w:pPr>
      <w:wordWrap w:val="0"/>
      <w:ind w:left="2550"/>
      <w:jc w:val="both"/>
    </w:pPr>
    <w:rPr>
      <w:rFonts w:ascii="Calibri" w:hAnsi="Calibri" w:eastAsia="宋体" w:cs="Times New Roman"/>
      <w:sz w:val="21"/>
      <w:lang w:val="en-US" w:eastAsia="zh-CN" w:bidi="ar-SA"/>
    </w:rPr>
  </w:style>
  <w:style w:type="paragraph" w:customStyle="1" w:styleId="406">
    <w:name w:val="toc 12"/>
    <w:next w:val="1"/>
    <w:qFormat/>
    <w:uiPriority w:val="0"/>
    <w:pPr>
      <w:wordWrap w:val="0"/>
      <w:jc w:val="both"/>
    </w:pPr>
    <w:rPr>
      <w:rFonts w:ascii="Calibri" w:hAnsi="Calibri" w:eastAsia="宋体" w:cs="Times New Roman"/>
      <w:sz w:val="21"/>
      <w:lang w:val="en-US" w:eastAsia="zh-CN" w:bidi="ar-SA"/>
    </w:rPr>
  </w:style>
  <w:style w:type="paragraph" w:customStyle="1" w:styleId="407">
    <w:name w:val="xl95"/>
    <w:basedOn w:val="1"/>
    <w:next w:val="408"/>
    <w:qFormat/>
    <w:uiPriority w:val="0"/>
    <w:pPr>
      <w:widowControl/>
      <w:shd w:val="clear" w:color="000000" w:fill="FFFFFF"/>
      <w:spacing w:before="280" w:after="280"/>
    </w:pPr>
    <w:rPr>
      <w:rFonts w:ascii="宋体" w:hAnsi="Calibri"/>
      <w:kern w:val="0"/>
      <w:sz w:val="20"/>
      <w:szCs w:val="20"/>
    </w:rPr>
  </w:style>
  <w:style w:type="paragraph" w:customStyle="1" w:styleId="408">
    <w:name w:val="toc 415"/>
    <w:next w:val="1"/>
    <w:qFormat/>
    <w:uiPriority w:val="0"/>
    <w:pPr>
      <w:wordWrap w:val="0"/>
      <w:ind w:left="1275"/>
      <w:jc w:val="both"/>
    </w:pPr>
    <w:rPr>
      <w:rFonts w:ascii="Calibri" w:hAnsi="Calibri" w:eastAsia="宋体" w:cs="Times New Roman"/>
      <w:sz w:val="21"/>
      <w:lang w:val="en-US" w:eastAsia="zh-CN" w:bidi="ar-SA"/>
    </w:rPr>
  </w:style>
  <w:style w:type="paragraph" w:customStyle="1" w:styleId="409">
    <w:name w:val="toc 29"/>
    <w:next w:val="1"/>
    <w:qFormat/>
    <w:uiPriority w:val="0"/>
    <w:pPr>
      <w:wordWrap w:val="0"/>
      <w:ind w:left="425"/>
      <w:jc w:val="both"/>
    </w:pPr>
    <w:rPr>
      <w:rFonts w:ascii="Calibri" w:hAnsi="Calibri" w:eastAsia="宋体" w:cs="Times New Roman"/>
      <w:sz w:val="21"/>
      <w:lang w:val="en-US" w:eastAsia="zh-CN" w:bidi="ar-SA"/>
    </w:rPr>
  </w:style>
  <w:style w:type="paragraph" w:customStyle="1" w:styleId="410">
    <w:name w:val="xl67"/>
    <w:basedOn w:val="1"/>
    <w:next w:val="411"/>
    <w:qFormat/>
    <w:uiPriority w:val="0"/>
    <w:pPr>
      <w:widowControl/>
      <w:shd w:val="clear" w:color="000000" w:fill="FFFFFF"/>
      <w:spacing w:before="280" w:after="280"/>
      <w:jc w:val="center"/>
    </w:pPr>
    <w:rPr>
      <w:rFonts w:ascii="宋体" w:hAnsi="Calibri"/>
      <w:b/>
      <w:kern w:val="0"/>
      <w:sz w:val="20"/>
      <w:szCs w:val="20"/>
    </w:rPr>
  </w:style>
  <w:style w:type="paragraph" w:customStyle="1" w:styleId="411">
    <w:name w:val="toc 714"/>
    <w:next w:val="1"/>
    <w:qFormat/>
    <w:uiPriority w:val="0"/>
    <w:pPr>
      <w:wordWrap w:val="0"/>
      <w:ind w:left="2550"/>
      <w:jc w:val="both"/>
    </w:pPr>
    <w:rPr>
      <w:rFonts w:ascii="Calibri" w:hAnsi="Calibri" w:eastAsia="宋体" w:cs="Times New Roman"/>
      <w:sz w:val="21"/>
      <w:lang w:val="en-US" w:eastAsia="zh-CN" w:bidi="ar-SA"/>
    </w:rPr>
  </w:style>
  <w:style w:type="paragraph" w:customStyle="1" w:styleId="412">
    <w:name w:val="toc 21"/>
    <w:next w:val="1"/>
    <w:qFormat/>
    <w:uiPriority w:val="0"/>
    <w:pPr>
      <w:wordWrap w:val="0"/>
      <w:ind w:left="425"/>
      <w:jc w:val="both"/>
    </w:pPr>
    <w:rPr>
      <w:rFonts w:ascii="Calibri" w:hAnsi="Calibri" w:eastAsia="宋体" w:cs="Times New Roman"/>
      <w:sz w:val="21"/>
      <w:lang w:val="en-US" w:eastAsia="zh-CN" w:bidi="ar-SA"/>
    </w:rPr>
  </w:style>
  <w:style w:type="paragraph" w:customStyle="1" w:styleId="413">
    <w:name w:val="正文 A"/>
    <w:next w:val="330"/>
    <w:qFormat/>
    <w:uiPriority w:val="0"/>
    <w:rPr>
      <w:rFonts w:ascii="Arial" w:hAnsi="Calibri" w:eastAsia="Arial Unicode MS" w:cs="Times New Roman"/>
      <w:color w:val="000000"/>
      <w:sz w:val="21"/>
      <w:lang w:val="en-US" w:eastAsia="zh-CN" w:bidi="ar-SA"/>
    </w:rPr>
  </w:style>
  <w:style w:type="paragraph" w:customStyle="1" w:styleId="414">
    <w:name w:val="toc 68"/>
    <w:next w:val="1"/>
    <w:qFormat/>
    <w:uiPriority w:val="0"/>
    <w:pPr>
      <w:wordWrap w:val="0"/>
      <w:ind w:left="2125"/>
      <w:jc w:val="both"/>
    </w:pPr>
    <w:rPr>
      <w:rFonts w:ascii="Calibri" w:hAnsi="Calibri" w:eastAsia="宋体" w:cs="Times New Roman"/>
      <w:sz w:val="21"/>
      <w:lang w:val="en-US" w:eastAsia="zh-CN" w:bidi="ar-SA"/>
    </w:rPr>
  </w:style>
  <w:style w:type="paragraph" w:customStyle="1" w:styleId="415">
    <w:name w:val="toc 58"/>
    <w:next w:val="1"/>
    <w:qFormat/>
    <w:uiPriority w:val="0"/>
    <w:pPr>
      <w:wordWrap w:val="0"/>
      <w:ind w:left="1700"/>
      <w:jc w:val="both"/>
    </w:pPr>
    <w:rPr>
      <w:rFonts w:ascii="Calibri" w:hAnsi="Calibri" w:eastAsia="宋体" w:cs="Times New Roman"/>
      <w:sz w:val="21"/>
      <w:lang w:val="en-US" w:eastAsia="zh-CN" w:bidi="ar-SA"/>
    </w:rPr>
  </w:style>
  <w:style w:type="paragraph" w:customStyle="1" w:styleId="416">
    <w:name w:val="xl88"/>
    <w:basedOn w:val="1"/>
    <w:next w:val="402"/>
    <w:qFormat/>
    <w:uiPriority w:val="0"/>
    <w:pPr>
      <w:widowControl/>
      <w:shd w:val="clear" w:color="000000" w:fill="FFFFFF"/>
      <w:spacing w:before="280" w:after="280"/>
      <w:jc w:val="center"/>
    </w:pPr>
    <w:rPr>
      <w:rFonts w:ascii="宋体" w:hAnsi="Calibri"/>
      <w:kern w:val="0"/>
      <w:sz w:val="20"/>
      <w:szCs w:val="20"/>
    </w:rPr>
  </w:style>
  <w:style w:type="paragraph" w:customStyle="1" w:styleId="417">
    <w:name w:val="toc 71"/>
    <w:next w:val="1"/>
    <w:qFormat/>
    <w:uiPriority w:val="0"/>
    <w:pPr>
      <w:wordWrap w:val="0"/>
      <w:ind w:left="2550"/>
      <w:jc w:val="both"/>
    </w:pPr>
    <w:rPr>
      <w:rFonts w:ascii="Calibri" w:hAnsi="Calibri" w:eastAsia="宋体" w:cs="Times New Roman"/>
      <w:sz w:val="21"/>
      <w:lang w:val="en-US" w:eastAsia="zh-CN" w:bidi="ar-SA"/>
    </w:rPr>
  </w:style>
  <w:style w:type="paragraph" w:customStyle="1" w:styleId="418">
    <w:name w:val="xl100"/>
    <w:basedOn w:val="1"/>
    <w:next w:val="419"/>
    <w:qFormat/>
    <w:uiPriority w:val="0"/>
    <w:pPr>
      <w:widowControl/>
      <w:shd w:val="clear" w:color="000000" w:fill="FFFFFF"/>
      <w:spacing w:before="280" w:after="280"/>
    </w:pPr>
    <w:rPr>
      <w:rFonts w:ascii="宋体" w:hAnsi="Calibri"/>
      <w:kern w:val="0"/>
      <w:sz w:val="20"/>
      <w:szCs w:val="20"/>
    </w:rPr>
  </w:style>
  <w:style w:type="paragraph" w:customStyle="1" w:styleId="419">
    <w:name w:val="toc 510"/>
    <w:next w:val="1"/>
    <w:qFormat/>
    <w:uiPriority w:val="0"/>
    <w:pPr>
      <w:wordWrap w:val="0"/>
      <w:ind w:left="1700"/>
      <w:jc w:val="both"/>
    </w:pPr>
    <w:rPr>
      <w:rFonts w:ascii="Calibri" w:hAnsi="Calibri" w:eastAsia="宋体" w:cs="Times New Roman"/>
      <w:sz w:val="21"/>
      <w:lang w:val="en-US" w:eastAsia="zh-CN" w:bidi="ar-SA"/>
    </w:rPr>
  </w:style>
  <w:style w:type="paragraph" w:customStyle="1" w:styleId="420">
    <w:name w:val="toc 314"/>
    <w:next w:val="1"/>
    <w:qFormat/>
    <w:uiPriority w:val="0"/>
    <w:pPr>
      <w:wordWrap w:val="0"/>
      <w:ind w:left="850"/>
      <w:jc w:val="both"/>
    </w:pPr>
    <w:rPr>
      <w:rFonts w:ascii="Calibri" w:hAnsi="Calibri" w:eastAsia="宋体" w:cs="Times New Roman"/>
      <w:sz w:val="21"/>
      <w:lang w:val="en-US" w:eastAsia="zh-CN" w:bidi="ar-SA"/>
    </w:rPr>
  </w:style>
  <w:style w:type="paragraph" w:customStyle="1" w:styleId="421">
    <w:name w:val="xl114"/>
    <w:basedOn w:val="1"/>
    <w:next w:val="273"/>
    <w:qFormat/>
    <w:uiPriority w:val="0"/>
    <w:pPr>
      <w:widowControl/>
      <w:shd w:val="clear" w:color="000000" w:fill="FFFFFF"/>
      <w:spacing w:before="280" w:after="280"/>
      <w:jc w:val="center"/>
    </w:pPr>
    <w:rPr>
      <w:rFonts w:ascii="宋体" w:hAnsi="Calibri"/>
      <w:b/>
      <w:kern w:val="0"/>
      <w:sz w:val="20"/>
      <w:szCs w:val="20"/>
    </w:rPr>
  </w:style>
  <w:style w:type="paragraph" w:customStyle="1" w:styleId="422">
    <w:name w:val="xl107"/>
    <w:basedOn w:val="1"/>
    <w:next w:val="423"/>
    <w:qFormat/>
    <w:uiPriority w:val="0"/>
    <w:pPr>
      <w:widowControl/>
      <w:shd w:val="clear" w:color="000000" w:fill="FFFFFF"/>
      <w:spacing w:before="280" w:after="280"/>
    </w:pPr>
    <w:rPr>
      <w:rFonts w:ascii="宋体" w:hAnsi="Calibri"/>
      <w:kern w:val="0"/>
      <w:sz w:val="20"/>
      <w:szCs w:val="20"/>
    </w:rPr>
  </w:style>
  <w:style w:type="paragraph" w:customStyle="1" w:styleId="423">
    <w:name w:val="toc 610"/>
    <w:next w:val="1"/>
    <w:qFormat/>
    <w:uiPriority w:val="0"/>
    <w:pPr>
      <w:wordWrap w:val="0"/>
      <w:ind w:left="2125"/>
      <w:jc w:val="both"/>
    </w:pPr>
    <w:rPr>
      <w:rFonts w:ascii="Calibri" w:hAnsi="Calibri" w:eastAsia="宋体" w:cs="Times New Roman"/>
      <w:sz w:val="21"/>
      <w:lang w:val="en-US" w:eastAsia="zh-CN" w:bidi="ar-SA"/>
    </w:rPr>
  </w:style>
  <w:style w:type="paragraph" w:customStyle="1" w:styleId="424">
    <w:name w:val="toc 22"/>
    <w:next w:val="1"/>
    <w:qFormat/>
    <w:uiPriority w:val="0"/>
    <w:pPr>
      <w:wordWrap w:val="0"/>
      <w:ind w:left="425"/>
      <w:jc w:val="both"/>
    </w:pPr>
    <w:rPr>
      <w:rFonts w:ascii="Calibri" w:hAnsi="Calibri" w:eastAsia="宋体" w:cs="Times New Roman"/>
      <w:sz w:val="21"/>
      <w:lang w:val="en-US" w:eastAsia="zh-CN" w:bidi="ar-SA"/>
    </w:rPr>
  </w:style>
  <w:style w:type="paragraph" w:customStyle="1" w:styleId="425">
    <w:name w:val="xl90"/>
    <w:basedOn w:val="1"/>
    <w:next w:val="227"/>
    <w:qFormat/>
    <w:uiPriority w:val="0"/>
    <w:pPr>
      <w:widowControl/>
      <w:shd w:val="clear" w:color="000000" w:fill="FFFFFF"/>
      <w:spacing w:before="280" w:after="280"/>
    </w:pPr>
    <w:rPr>
      <w:rFonts w:ascii="宋体" w:hAnsi="Calibri"/>
      <w:kern w:val="0"/>
      <w:sz w:val="18"/>
      <w:szCs w:val="20"/>
    </w:rPr>
  </w:style>
  <w:style w:type="paragraph" w:customStyle="1" w:styleId="426">
    <w:name w:val="toc 616"/>
    <w:next w:val="1"/>
    <w:qFormat/>
    <w:uiPriority w:val="0"/>
    <w:pPr>
      <w:wordWrap w:val="0"/>
      <w:ind w:left="2125"/>
      <w:jc w:val="both"/>
    </w:pPr>
    <w:rPr>
      <w:rFonts w:ascii="Calibri" w:hAnsi="Calibri" w:eastAsia="宋体" w:cs="Times New Roman"/>
      <w:sz w:val="21"/>
      <w:lang w:val="en-US" w:eastAsia="zh-CN" w:bidi="ar-SA"/>
    </w:rPr>
  </w:style>
  <w:style w:type="paragraph" w:customStyle="1" w:styleId="427">
    <w:name w:val="toc 96"/>
    <w:next w:val="1"/>
    <w:qFormat/>
    <w:uiPriority w:val="0"/>
    <w:pPr>
      <w:wordWrap w:val="0"/>
      <w:ind w:left="3400"/>
      <w:jc w:val="both"/>
    </w:pPr>
    <w:rPr>
      <w:rFonts w:ascii="Calibri" w:hAnsi="Calibri" w:eastAsia="宋体" w:cs="Times New Roman"/>
      <w:sz w:val="21"/>
      <w:lang w:val="en-US" w:eastAsia="zh-CN" w:bidi="ar-SA"/>
    </w:rPr>
  </w:style>
  <w:style w:type="paragraph" w:customStyle="1" w:styleId="428">
    <w:name w:val="toc 42"/>
    <w:next w:val="1"/>
    <w:qFormat/>
    <w:uiPriority w:val="0"/>
    <w:pPr>
      <w:wordWrap w:val="0"/>
      <w:ind w:left="1275"/>
      <w:jc w:val="both"/>
    </w:pPr>
    <w:rPr>
      <w:rFonts w:ascii="Calibri" w:hAnsi="Calibri" w:eastAsia="宋体" w:cs="Times New Roman"/>
      <w:sz w:val="21"/>
      <w:lang w:val="en-US" w:eastAsia="zh-CN" w:bidi="ar-SA"/>
    </w:rPr>
  </w:style>
  <w:style w:type="paragraph" w:customStyle="1" w:styleId="429">
    <w:name w:val="xl117"/>
    <w:basedOn w:val="1"/>
    <w:next w:val="326"/>
    <w:qFormat/>
    <w:uiPriority w:val="0"/>
    <w:pPr>
      <w:widowControl/>
      <w:shd w:val="clear" w:color="000000" w:fill="FFFFFF"/>
      <w:spacing w:before="280" w:after="280"/>
      <w:jc w:val="center"/>
    </w:pPr>
    <w:rPr>
      <w:rFonts w:ascii="Arial Narrow" w:hAnsi="Calibri"/>
      <w:kern w:val="0"/>
      <w:sz w:val="24"/>
      <w:szCs w:val="20"/>
    </w:rPr>
  </w:style>
  <w:style w:type="paragraph" w:customStyle="1" w:styleId="430">
    <w:name w:val="p15"/>
    <w:basedOn w:val="1"/>
    <w:next w:val="251"/>
    <w:qFormat/>
    <w:uiPriority w:val="0"/>
    <w:pPr>
      <w:widowControl/>
      <w:ind w:firstLine="420"/>
    </w:pPr>
    <w:rPr>
      <w:rFonts w:hAnsi="Calibri"/>
      <w:kern w:val="0"/>
      <w:szCs w:val="20"/>
    </w:rPr>
  </w:style>
  <w:style w:type="paragraph" w:customStyle="1" w:styleId="431">
    <w:name w:val="xl87"/>
    <w:basedOn w:val="1"/>
    <w:next w:val="432"/>
    <w:qFormat/>
    <w:uiPriority w:val="0"/>
    <w:pPr>
      <w:widowControl/>
      <w:shd w:val="clear" w:color="000000" w:fill="FFFFFF"/>
      <w:spacing w:before="280" w:after="280"/>
    </w:pPr>
    <w:rPr>
      <w:rFonts w:ascii="Arial" w:hAnsi="Calibri"/>
      <w:kern w:val="0"/>
      <w:sz w:val="18"/>
      <w:szCs w:val="20"/>
    </w:rPr>
  </w:style>
  <w:style w:type="paragraph" w:customStyle="1" w:styleId="432">
    <w:name w:val="toc 98"/>
    <w:next w:val="1"/>
    <w:qFormat/>
    <w:uiPriority w:val="0"/>
    <w:pPr>
      <w:wordWrap w:val="0"/>
      <w:ind w:left="3400"/>
      <w:jc w:val="both"/>
    </w:pPr>
    <w:rPr>
      <w:rFonts w:ascii="Calibri" w:hAnsi="Calibri" w:eastAsia="宋体" w:cs="Times New Roman"/>
      <w:sz w:val="21"/>
      <w:lang w:val="en-US" w:eastAsia="zh-CN" w:bidi="ar-SA"/>
    </w:rPr>
  </w:style>
  <w:style w:type="paragraph" w:customStyle="1" w:styleId="433">
    <w:name w:val="列出段落7"/>
    <w:basedOn w:val="1"/>
    <w:next w:val="415"/>
    <w:qFormat/>
    <w:uiPriority w:val="0"/>
    <w:pPr>
      <w:ind w:firstLine="420"/>
    </w:pPr>
    <w:rPr>
      <w:rFonts w:hAnsi="Calibri"/>
      <w:kern w:val="0"/>
      <w:szCs w:val="20"/>
    </w:rPr>
  </w:style>
  <w:style w:type="paragraph" w:customStyle="1" w:styleId="434">
    <w:name w:val="xl78"/>
    <w:basedOn w:val="1"/>
    <w:next w:val="405"/>
    <w:qFormat/>
    <w:uiPriority w:val="0"/>
    <w:pPr>
      <w:widowControl/>
      <w:shd w:val="clear" w:color="000000" w:fill="FFFFFF"/>
      <w:spacing w:before="280" w:after="280"/>
    </w:pPr>
    <w:rPr>
      <w:rFonts w:ascii="宋体" w:hAnsi="Calibri"/>
      <w:b/>
      <w:kern w:val="0"/>
      <w:sz w:val="20"/>
      <w:szCs w:val="20"/>
    </w:rPr>
  </w:style>
  <w:style w:type="paragraph" w:customStyle="1" w:styleId="435">
    <w:name w:val="toc 516"/>
    <w:next w:val="1"/>
    <w:qFormat/>
    <w:uiPriority w:val="0"/>
    <w:pPr>
      <w:wordWrap w:val="0"/>
      <w:ind w:left="1700"/>
      <w:jc w:val="both"/>
    </w:pPr>
    <w:rPr>
      <w:rFonts w:ascii="Calibri" w:hAnsi="Calibri" w:eastAsia="宋体" w:cs="Times New Roman"/>
      <w:sz w:val="21"/>
      <w:lang w:val="en-US" w:eastAsia="zh-CN" w:bidi="ar-SA"/>
    </w:rPr>
  </w:style>
  <w:style w:type="paragraph" w:customStyle="1" w:styleId="436">
    <w:name w:val="xl89"/>
    <w:basedOn w:val="1"/>
    <w:next w:val="370"/>
    <w:qFormat/>
    <w:uiPriority w:val="0"/>
    <w:pPr>
      <w:widowControl/>
      <w:shd w:val="clear" w:color="000000" w:fill="FFFFFF"/>
      <w:spacing w:before="280" w:after="280"/>
    </w:pPr>
    <w:rPr>
      <w:rFonts w:ascii="宋体" w:hAnsi="Calibri"/>
      <w:kern w:val="0"/>
      <w:sz w:val="20"/>
      <w:szCs w:val="20"/>
    </w:rPr>
  </w:style>
  <w:style w:type="paragraph" w:customStyle="1" w:styleId="437">
    <w:name w:val="toc 910"/>
    <w:next w:val="1"/>
    <w:qFormat/>
    <w:uiPriority w:val="0"/>
    <w:pPr>
      <w:wordWrap w:val="0"/>
      <w:ind w:left="3400"/>
      <w:jc w:val="both"/>
    </w:pPr>
    <w:rPr>
      <w:rFonts w:ascii="Calibri" w:hAnsi="Calibri" w:eastAsia="宋体" w:cs="Times New Roman"/>
      <w:sz w:val="21"/>
      <w:lang w:val="en-US" w:eastAsia="zh-CN" w:bidi="ar-SA"/>
    </w:rPr>
  </w:style>
  <w:style w:type="paragraph" w:customStyle="1" w:styleId="438">
    <w:name w:val="toc 34"/>
    <w:next w:val="1"/>
    <w:qFormat/>
    <w:uiPriority w:val="0"/>
    <w:pPr>
      <w:wordWrap w:val="0"/>
      <w:ind w:left="850"/>
      <w:jc w:val="both"/>
    </w:pPr>
    <w:rPr>
      <w:rFonts w:ascii="Calibri" w:hAnsi="Calibri" w:eastAsia="宋体" w:cs="Times New Roman"/>
      <w:sz w:val="21"/>
      <w:lang w:val="en-US" w:eastAsia="zh-CN" w:bidi="ar-SA"/>
    </w:rPr>
  </w:style>
  <w:style w:type="paragraph" w:customStyle="1" w:styleId="439">
    <w:name w:val="toc 816"/>
    <w:next w:val="1"/>
    <w:qFormat/>
    <w:uiPriority w:val="0"/>
    <w:pPr>
      <w:wordWrap w:val="0"/>
      <w:ind w:left="2975"/>
      <w:jc w:val="both"/>
    </w:pPr>
    <w:rPr>
      <w:rFonts w:ascii="Calibri" w:hAnsi="Calibri" w:eastAsia="宋体" w:cs="Times New Roman"/>
      <w:sz w:val="21"/>
      <w:lang w:val="en-US" w:eastAsia="zh-CN" w:bidi="ar-SA"/>
    </w:rPr>
  </w:style>
  <w:style w:type="paragraph" w:customStyle="1" w:styleId="440">
    <w:name w:val="toc 43"/>
    <w:next w:val="1"/>
    <w:qFormat/>
    <w:uiPriority w:val="0"/>
    <w:pPr>
      <w:wordWrap w:val="0"/>
      <w:ind w:left="1275"/>
      <w:jc w:val="both"/>
    </w:pPr>
    <w:rPr>
      <w:rFonts w:ascii="Calibri" w:hAnsi="Calibri" w:eastAsia="宋体" w:cs="Times New Roman"/>
      <w:sz w:val="21"/>
      <w:lang w:val="en-US" w:eastAsia="zh-CN" w:bidi="ar-SA"/>
    </w:rPr>
  </w:style>
  <w:style w:type="paragraph" w:customStyle="1" w:styleId="441">
    <w:name w:val="toc 16"/>
    <w:next w:val="1"/>
    <w:qFormat/>
    <w:uiPriority w:val="0"/>
    <w:pPr>
      <w:wordWrap w:val="0"/>
      <w:jc w:val="both"/>
    </w:pPr>
    <w:rPr>
      <w:rFonts w:ascii="Calibri" w:hAnsi="Calibri" w:eastAsia="宋体" w:cs="Times New Roman"/>
      <w:sz w:val="21"/>
      <w:lang w:val="en-US" w:eastAsia="zh-CN" w:bidi="ar-SA"/>
    </w:rPr>
  </w:style>
  <w:style w:type="character" w:customStyle="1" w:styleId="442">
    <w:name w:val="引用 Char"/>
    <w:basedOn w:val="47"/>
    <w:link w:val="56"/>
    <w:qFormat/>
    <w:uiPriority w:val="0"/>
    <w:rPr>
      <w:rFonts w:ascii="Calibri" w:hAnsi="Calibri"/>
      <w:i/>
      <w:sz w:val="21"/>
    </w:rPr>
  </w:style>
  <w:style w:type="paragraph" w:customStyle="1" w:styleId="443">
    <w:name w:val="toc 114"/>
    <w:next w:val="1"/>
    <w:qFormat/>
    <w:uiPriority w:val="0"/>
    <w:pPr>
      <w:wordWrap w:val="0"/>
      <w:jc w:val="both"/>
    </w:pPr>
    <w:rPr>
      <w:rFonts w:ascii="Calibri" w:hAnsi="Calibri" w:eastAsia="宋体" w:cs="Times New Roman"/>
      <w:sz w:val="21"/>
      <w:lang w:val="en-US" w:eastAsia="zh-CN" w:bidi="ar-SA"/>
    </w:rPr>
  </w:style>
  <w:style w:type="paragraph" w:customStyle="1" w:styleId="444">
    <w:name w:val="xl119"/>
    <w:basedOn w:val="1"/>
    <w:next w:val="420"/>
    <w:qFormat/>
    <w:uiPriority w:val="0"/>
    <w:pPr>
      <w:widowControl/>
      <w:shd w:val="clear" w:color="000000" w:fill="FFFFFF"/>
      <w:spacing w:before="280" w:after="280"/>
      <w:jc w:val="center"/>
    </w:pPr>
    <w:rPr>
      <w:rFonts w:ascii="宋体" w:hAnsi="Calibri"/>
      <w:b/>
      <w:kern w:val="0"/>
      <w:sz w:val="20"/>
      <w:szCs w:val="20"/>
    </w:rPr>
  </w:style>
  <w:style w:type="paragraph" w:customStyle="1" w:styleId="445">
    <w:name w:val="toc 37"/>
    <w:next w:val="1"/>
    <w:qFormat/>
    <w:uiPriority w:val="0"/>
    <w:pPr>
      <w:wordWrap w:val="0"/>
      <w:ind w:left="850"/>
      <w:jc w:val="both"/>
    </w:pPr>
    <w:rPr>
      <w:rFonts w:ascii="Calibri" w:hAnsi="Calibri" w:eastAsia="宋体" w:cs="Times New Roman"/>
      <w:sz w:val="21"/>
      <w:lang w:val="en-US" w:eastAsia="zh-CN" w:bidi="ar-SA"/>
    </w:rPr>
  </w:style>
  <w:style w:type="paragraph" w:customStyle="1" w:styleId="446">
    <w:name w:val="xl109"/>
    <w:basedOn w:val="1"/>
    <w:next w:val="393"/>
    <w:qFormat/>
    <w:uiPriority w:val="0"/>
    <w:pPr>
      <w:widowControl/>
      <w:shd w:val="clear" w:color="000000" w:fill="FFFFFF"/>
      <w:spacing w:before="280" w:after="280"/>
    </w:pPr>
    <w:rPr>
      <w:rFonts w:ascii="宋体" w:hAnsi="Calibri"/>
      <w:kern w:val="0"/>
      <w:sz w:val="20"/>
      <w:szCs w:val="20"/>
    </w:rPr>
  </w:style>
  <w:style w:type="paragraph" w:customStyle="1" w:styleId="447">
    <w:name w:val="toc 215"/>
    <w:next w:val="1"/>
    <w:qFormat/>
    <w:uiPriority w:val="0"/>
    <w:pPr>
      <w:wordWrap w:val="0"/>
      <w:ind w:left="425"/>
      <w:jc w:val="both"/>
    </w:pPr>
    <w:rPr>
      <w:rFonts w:ascii="Calibri" w:hAnsi="Calibri" w:eastAsia="宋体" w:cs="Times New Roman"/>
      <w:sz w:val="21"/>
      <w:lang w:val="en-US" w:eastAsia="zh-CN" w:bidi="ar-SA"/>
    </w:rPr>
  </w:style>
  <w:style w:type="paragraph" w:customStyle="1" w:styleId="448">
    <w:name w:val="xl76"/>
    <w:basedOn w:val="1"/>
    <w:next w:val="401"/>
    <w:qFormat/>
    <w:uiPriority w:val="0"/>
    <w:pPr>
      <w:widowControl/>
      <w:shd w:val="clear" w:color="000000" w:fill="FFFFFF"/>
      <w:spacing w:before="280" w:after="280"/>
      <w:jc w:val="center"/>
    </w:pPr>
    <w:rPr>
      <w:rFonts w:ascii="宋体" w:hAnsi="Calibri"/>
      <w:b/>
      <w:kern w:val="0"/>
      <w:sz w:val="20"/>
      <w:szCs w:val="20"/>
    </w:rPr>
  </w:style>
  <w:style w:type="paragraph" w:customStyle="1" w:styleId="449">
    <w:name w:val="toc 92"/>
    <w:next w:val="1"/>
    <w:qFormat/>
    <w:uiPriority w:val="0"/>
    <w:pPr>
      <w:wordWrap w:val="0"/>
      <w:ind w:left="3400"/>
      <w:jc w:val="both"/>
    </w:pPr>
    <w:rPr>
      <w:rFonts w:ascii="Calibri" w:hAnsi="Calibri" w:eastAsia="宋体" w:cs="Times New Roman"/>
      <w:sz w:val="21"/>
      <w:lang w:val="en-US" w:eastAsia="zh-CN" w:bidi="ar-SA"/>
    </w:rPr>
  </w:style>
  <w:style w:type="paragraph" w:customStyle="1" w:styleId="450">
    <w:name w:val="toc 216"/>
    <w:next w:val="1"/>
    <w:qFormat/>
    <w:uiPriority w:val="0"/>
    <w:pPr>
      <w:wordWrap w:val="0"/>
      <w:ind w:left="425"/>
      <w:jc w:val="both"/>
    </w:pPr>
    <w:rPr>
      <w:rFonts w:ascii="Calibri" w:hAnsi="Calibri" w:eastAsia="宋体" w:cs="Times New Roman"/>
      <w:sz w:val="21"/>
      <w:lang w:val="en-US" w:eastAsia="zh-CN" w:bidi="ar-SA"/>
    </w:rPr>
  </w:style>
  <w:style w:type="paragraph" w:customStyle="1" w:styleId="451">
    <w:name w:val="xl70"/>
    <w:basedOn w:val="1"/>
    <w:next w:val="378"/>
    <w:qFormat/>
    <w:uiPriority w:val="0"/>
    <w:pPr>
      <w:widowControl/>
      <w:shd w:val="clear" w:color="000000" w:fill="FFFFFF"/>
      <w:spacing w:before="280" w:after="280"/>
    </w:pPr>
    <w:rPr>
      <w:rFonts w:ascii="宋体" w:hAnsi="Calibri"/>
      <w:kern w:val="0"/>
      <w:sz w:val="20"/>
      <w:szCs w:val="20"/>
    </w:rPr>
  </w:style>
  <w:style w:type="paragraph" w:customStyle="1" w:styleId="452">
    <w:name w:val="toc 33"/>
    <w:next w:val="1"/>
    <w:qFormat/>
    <w:uiPriority w:val="0"/>
    <w:pPr>
      <w:wordWrap w:val="0"/>
      <w:ind w:left="850"/>
      <w:jc w:val="both"/>
    </w:pPr>
    <w:rPr>
      <w:rFonts w:ascii="Calibri" w:hAnsi="Calibri" w:eastAsia="宋体" w:cs="Times New Roman"/>
      <w:sz w:val="21"/>
      <w:lang w:val="en-US" w:eastAsia="zh-CN" w:bidi="ar-SA"/>
    </w:rPr>
  </w:style>
  <w:style w:type="paragraph" w:customStyle="1" w:styleId="453">
    <w:name w:val="toc 61"/>
    <w:next w:val="1"/>
    <w:qFormat/>
    <w:uiPriority w:val="0"/>
    <w:pPr>
      <w:wordWrap w:val="0"/>
      <w:ind w:left="2125"/>
      <w:jc w:val="both"/>
    </w:pPr>
    <w:rPr>
      <w:rFonts w:ascii="Calibri" w:hAnsi="Calibri" w:eastAsia="宋体" w:cs="Times New Roman"/>
      <w:sz w:val="21"/>
      <w:lang w:val="en-US" w:eastAsia="zh-CN" w:bidi="ar-SA"/>
    </w:rPr>
  </w:style>
  <w:style w:type="paragraph" w:customStyle="1" w:styleId="454">
    <w:name w:val="xl98"/>
    <w:basedOn w:val="1"/>
    <w:next w:val="396"/>
    <w:qFormat/>
    <w:uiPriority w:val="0"/>
    <w:pPr>
      <w:widowControl/>
      <w:shd w:val="clear" w:color="000000" w:fill="FFFFFF"/>
      <w:spacing w:before="280" w:after="280"/>
      <w:jc w:val="center"/>
    </w:pPr>
    <w:rPr>
      <w:rFonts w:ascii="宋体" w:hAnsi="Calibri"/>
      <w:kern w:val="0"/>
      <w:sz w:val="20"/>
      <w:szCs w:val="20"/>
    </w:rPr>
  </w:style>
  <w:style w:type="paragraph" w:customStyle="1" w:styleId="455">
    <w:name w:val="toc 26"/>
    <w:next w:val="1"/>
    <w:qFormat/>
    <w:uiPriority w:val="0"/>
    <w:pPr>
      <w:wordWrap w:val="0"/>
      <w:ind w:left="425"/>
      <w:jc w:val="both"/>
    </w:pPr>
    <w:rPr>
      <w:rFonts w:ascii="Calibri" w:hAnsi="Calibri" w:eastAsia="宋体" w:cs="Times New Roman"/>
      <w:sz w:val="21"/>
      <w:lang w:val="en-US" w:eastAsia="zh-CN" w:bidi="ar-SA"/>
    </w:rPr>
  </w:style>
  <w:style w:type="paragraph" w:customStyle="1" w:styleId="456">
    <w:name w:val="toc 13"/>
    <w:next w:val="1"/>
    <w:qFormat/>
    <w:uiPriority w:val="0"/>
    <w:pPr>
      <w:wordWrap w:val="0"/>
      <w:jc w:val="both"/>
    </w:pPr>
    <w:rPr>
      <w:rFonts w:ascii="Calibri" w:hAnsi="Calibri" w:eastAsia="宋体" w:cs="Times New Roman"/>
      <w:sz w:val="21"/>
      <w:lang w:val="en-US" w:eastAsia="zh-CN" w:bidi="ar-SA"/>
    </w:rPr>
  </w:style>
  <w:style w:type="paragraph" w:customStyle="1" w:styleId="457">
    <w:name w:val="目录 51"/>
    <w:next w:val="1"/>
    <w:qFormat/>
    <w:uiPriority w:val="0"/>
    <w:pPr>
      <w:wordWrap w:val="0"/>
      <w:ind w:left="1700"/>
      <w:jc w:val="both"/>
    </w:pPr>
    <w:rPr>
      <w:rFonts w:ascii="Calibri" w:hAnsi="Calibri" w:eastAsia="宋体" w:cs="Times New Roman"/>
      <w:sz w:val="21"/>
      <w:lang w:val="en-US" w:eastAsia="zh-CN" w:bidi="ar-SA"/>
    </w:rPr>
  </w:style>
  <w:style w:type="paragraph" w:customStyle="1" w:styleId="458">
    <w:name w:val="xl101"/>
    <w:basedOn w:val="1"/>
    <w:next w:val="427"/>
    <w:qFormat/>
    <w:uiPriority w:val="0"/>
    <w:pPr>
      <w:widowControl/>
      <w:spacing w:before="280" w:after="280"/>
    </w:pPr>
    <w:rPr>
      <w:rFonts w:ascii="宋体" w:hAnsi="Calibri"/>
      <w:kern w:val="0"/>
      <w:sz w:val="20"/>
      <w:szCs w:val="20"/>
    </w:rPr>
  </w:style>
  <w:style w:type="paragraph" w:customStyle="1" w:styleId="459">
    <w:name w:val="toc 75"/>
    <w:next w:val="1"/>
    <w:qFormat/>
    <w:uiPriority w:val="0"/>
    <w:pPr>
      <w:wordWrap w:val="0"/>
      <w:ind w:left="2550"/>
      <w:jc w:val="both"/>
    </w:pPr>
    <w:rPr>
      <w:rFonts w:ascii="Calibri" w:hAnsi="Calibri" w:eastAsia="宋体" w:cs="Times New Roman"/>
      <w:sz w:val="21"/>
      <w:lang w:val="en-US" w:eastAsia="zh-CN" w:bidi="ar-SA"/>
    </w:rPr>
  </w:style>
  <w:style w:type="paragraph" w:customStyle="1" w:styleId="460">
    <w:name w:val="toc 715"/>
    <w:next w:val="1"/>
    <w:qFormat/>
    <w:uiPriority w:val="0"/>
    <w:pPr>
      <w:wordWrap w:val="0"/>
      <w:ind w:left="2550"/>
      <w:jc w:val="both"/>
    </w:pPr>
    <w:rPr>
      <w:rFonts w:ascii="Calibri" w:hAnsi="Calibri" w:eastAsia="宋体" w:cs="Times New Roman"/>
      <w:sz w:val="21"/>
      <w:lang w:val="en-US" w:eastAsia="zh-CN" w:bidi="ar-SA"/>
    </w:rPr>
  </w:style>
  <w:style w:type="paragraph" w:customStyle="1" w:styleId="461">
    <w:name w:val="明显引用1"/>
    <w:next w:val="1"/>
    <w:link w:val="462"/>
    <w:qFormat/>
    <w:uiPriority w:val="0"/>
    <w:pPr>
      <w:wordWrap w:val="0"/>
      <w:spacing w:before="360" w:after="360"/>
      <w:ind w:left="950" w:right="950"/>
      <w:jc w:val="center"/>
    </w:pPr>
    <w:rPr>
      <w:rFonts w:ascii="Calibri" w:hAnsi="Calibri" w:eastAsia="宋体" w:cs="Times New Roman"/>
      <w:i/>
      <w:sz w:val="21"/>
      <w:lang w:val="en-US" w:eastAsia="zh-CN" w:bidi="ar-SA"/>
    </w:rPr>
  </w:style>
  <w:style w:type="character" w:customStyle="1" w:styleId="462">
    <w:name w:val="明显引用 Char"/>
    <w:basedOn w:val="47"/>
    <w:link w:val="461"/>
    <w:qFormat/>
    <w:uiPriority w:val="0"/>
    <w:rPr>
      <w:rFonts w:ascii="Calibri" w:hAnsi="Calibri"/>
      <w:i/>
      <w:sz w:val="21"/>
    </w:rPr>
  </w:style>
  <w:style w:type="paragraph" w:customStyle="1" w:styleId="463">
    <w:name w:val="Char Char Char Char Char Char Char"/>
    <w:basedOn w:val="1"/>
    <w:next w:val="447"/>
    <w:qFormat/>
    <w:uiPriority w:val="0"/>
    <w:pPr>
      <w:widowControl/>
      <w:spacing w:after="160" w:line="240" w:lineRule="exact"/>
    </w:pPr>
    <w:rPr>
      <w:rFonts w:hAnsi="Calibri"/>
      <w:kern w:val="0"/>
      <w:szCs w:val="20"/>
    </w:rPr>
  </w:style>
  <w:style w:type="paragraph" w:customStyle="1" w:styleId="464">
    <w:name w:val="toc 23"/>
    <w:next w:val="1"/>
    <w:qFormat/>
    <w:uiPriority w:val="0"/>
    <w:pPr>
      <w:wordWrap w:val="0"/>
      <w:ind w:left="425"/>
      <w:jc w:val="both"/>
    </w:pPr>
    <w:rPr>
      <w:rFonts w:ascii="Calibri" w:hAnsi="Calibri" w:eastAsia="宋体" w:cs="Times New Roman"/>
      <w:sz w:val="21"/>
      <w:lang w:val="en-US" w:eastAsia="zh-CN" w:bidi="ar-SA"/>
    </w:rPr>
  </w:style>
  <w:style w:type="paragraph" w:customStyle="1" w:styleId="465">
    <w:name w:val="目录 61"/>
    <w:next w:val="1"/>
    <w:qFormat/>
    <w:uiPriority w:val="0"/>
    <w:pPr>
      <w:wordWrap w:val="0"/>
      <w:ind w:left="2125"/>
      <w:jc w:val="both"/>
    </w:pPr>
    <w:rPr>
      <w:rFonts w:ascii="Calibri" w:hAnsi="Calibri" w:eastAsia="宋体" w:cs="Times New Roman"/>
      <w:sz w:val="21"/>
      <w:lang w:val="en-US" w:eastAsia="zh-CN" w:bidi="ar-SA"/>
    </w:rPr>
  </w:style>
  <w:style w:type="paragraph" w:customStyle="1" w:styleId="466">
    <w:name w:val="toc 97"/>
    <w:next w:val="1"/>
    <w:qFormat/>
    <w:uiPriority w:val="0"/>
    <w:pPr>
      <w:wordWrap w:val="0"/>
      <w:ind w:left="3400"/>
      <w:jc w:val="both"/>
    </w:pPr>
    <w:rPr>
      <w:rFonts w:ascii="Calibri" w:hAnsi="Calibri" w:eastAsia="宋体" w:cs="Times New Roman"/>
      <w:sz w:val="21"/>
      <w:lang w:val="en-US" w:eastAsia="zh-CN" w:bidi="ar-SA"/>
    </w:rPr>
  </w:style>
  <w:style w:type="paragraph" w:customStyle="1" w:styleId="467">
    <w:name w:val="toc 74"/>
    <w:next w:val="1"/>
    <w:qFormat/>
    <w:uiPriority w:val="0"/>
    <w:pPr>
      <w:wordWrap w:val="0"/>
      <w:ind w:left="2550"/>
      <w:jc w:val="both"/>
    </w:pPr>
    <w:rPr>
      <w:rFonts w:ascii="Calibri" w:hAnsi="Calibri" w:eastAsia="宋体" w:cs="Times New Roman"/>
      <w:sz w:val="21"/>
      <w:lang w:val="en-US" w:eastAsia="zh-CN" w:bidi="ar-SA"/>
    </w:rPr>
  </w:style>
  <w:style w:type="paragraph" w:customStyle="1" w:styleId="468">
    <w:name w:val="xl64"/>
    <w:basedOn w:val="1"/>
    <w:next w:val="443"/>
    <w:qFormat/>
    <w:uiPriority w:val="0"/>
    <w:pPr>
      <w:widowControl/>
      <w:shd w:val="clear" w:color="000000" w:fill="FFFFFF"/>
      <w:spacing w:before="280" w:after="280"/>
    </w:pPr>
    <w:rPr>
      <w:rFonts w:ascii="宋体" w:hAnsi="Calibri"/>
      <w:kern w:val="0"/>
      <w:sz w:val="20"/>
      <w:szCs w:val="20"/>
    </w:rPr>
  </w:style>
  <w:style w:type="paragraph" w:customStyle="1" w:styleId="469">
    <w:name w:val="xl82"/>
    <w:basedOn w:val="1"/>
    <w:next w:val="289"/>
    <w:qFormat/>
    <w:uiPriority w:val="0"/>
    <w:pPr>
      <w:widowControl/>
      <w:shd w:val="clear" w:color="000000" w:fill="FFFFFF"/>
      <w:spacing w:before="280" w:after="280"/>
    </w:pPr>
    <w:rPr>
      <w:rFonts w:ascii="宋体" w:hAnsi="Calibri"/>
      <w:kern w:val="0"/>
      <w:sz w:val="20"/>
      <w:szCs w:val="20"/>
    </w:rPr>
  </w:style>
  <w:style w:type="paragraph" w:customStyle="1" w:styleId="470">
    <w:name w:val="toc 32"/>
    <w:next w:val="1"/>
    <w:qFormat/>
    <w:uiPriority w:val="0"/>
    <w:pPr>
      <w:wordWrap w:val="0"/>
      <w:ind w:left="850"/>
      <w:jc w:val="both"/>
    </w:pPr>
    <w:rPr>
      <w:rFonts w:ascii="Calibri" w:hAnsi="Calibri" w:eastAsia="宋体" w:cs="Times New Roman"/>
      <w:sz w:val="21"/>
      <w:lang w:val="en-US" w:eastAsia="zh-CN" w:bidi="ar-SA"/>
    </w:rPr>
  </w:style>
  <w:style w:type="paragraph" w:customStyle="1" w:styleId="471">
    <w:name w:val="xl77"/>
    <w:basedOn w:val="1"/>
    <w:next w:val="437"/>
    <w:qFormat/>
    <w:uiPriority w:val="0"/>
    <w:pPr>
      <w:widowControl/>
      <w:shd w:val="clear" w:color="000000" w:fill="FFFFFF"/>
      <w:spacing w:before="280" w:after="280"/>
      <w:jc w:val="center"/>
    </w:pPr>
    <w:rPr>
      <w:rFonts w:ascii="宋体" w:hAnsi="Calibri"/>
      <w:kern w:val="0"/>
      <w:sz w:val="20"/>
      <w:szCs w:val="20"/>
    </w:rPr>
  </w:style>
  <w:style w:type="character" w:customStyle="1" w:styleId="472">
    <w:name w:val="正文缩进 Char1"/>
    <w:qFormat/>
    <w:uiPriority w:val="0"/>
    <w:rPr>
      <w:rFonts w:eastAsia="宋体"/>
      <w:kern w:val="2"/>
      <w:sz w:val="21"/>
      <w:lang w:val="en-US" w:eastAsia="zh-CN" w:bidi="ar-SA"/>
    </w:rPr>
  </w:style>
  <w:style w:type="character" w:customStyle="1" w:styleId="473">
    <w:name w:val="fielderror"/>
    <w:basedOn w:val="47"/>
    <w:qFormat/>
    <w:uiPriority w:val="0"/>
    <w:rPr>
      <w:color w:val="800000"/>
    </w:rPr>
  </w:style>
  <w:style w:type="character" w:customStyle="1" w:styleId="474">
    <w:name w:val="hilite6"/>
    <w:basedOn w:val="47"/>
    <w:qFormat/>
    <w:uiPriority w:val="0"/>
    <w:rPr>
      <w:color w:val="000000"/>
    </w:rPr>
  </w:style>
  <w:style w:type="character" w:customStyle="1" w:styleId="475">
    <w:name w:val="active6"/>
    <w:basedOn w:val="47"/>
    <w:qFormat/>
    <w:uiPriority w:val="0"/>
    <w:rPr>
      <w:color w:val="FFFFFF"/>
    </w:rPr>
  </w:style>
  <w:style w:type="character" w:customStyle="1" w:styleId="476">
    <w:name w:val="inline-help"/>
    <w:basedOn w:val="47"/>
    <w:qFormat/>
    <w:uiPriority w:val="0"/>
  </w:style>
  <w:style w:type="character" w:customStyle="1" w:styleId="477">
    <w:name w:val="active"/>
    <w:basedOn w:val="47"/>
    <w:qFormat/>
    <w:uiPriority w:val="0"/>
    <w:rPr>
      <w:color w:val="FFFFFF"/>
    </w:rPr>
  </w:style>
  <w:style w:type="table" w:customStyle="1" w:styleId="478">
    <w:name w:val="网格型1"/>
    <w:basedOn w:val="4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79">
    <w:name w:val="修订2"/>
    <w:qFormat/>
    <w:uiPriority w:val="99"/>
    <w:rPr>
      <w:rFonts w:ascii="Times New Roman" w:hAnsi="Times New Roman" w:eastAsia="宋体" w:cs="Times New Roman"/>
      <w:kern w:val="2"/>
      <w:sz w:val="21"/>
      <w:szCs w:val="24"/>
      <w:lang w:val="en-US" w:eastAsia="zh-CN" w:bidi="ar-SA"/>
    </w:rPr>
  </w:style>
  <w:style w:type="table" w:customStyle="1" w:styleId="480">
    <w:name w:val="Table Normal_0"/>
    <w:qFormat/>
    <w:uiPriority w:val="0"/>
    <w:tblPr>
      <w:tblCellMar>
        <w:top w:w="0" w:type="dxa"/>
        <w:left w:w="0" w:type="dxa"/>
        <w:bottom w:w="0" w:type="dxa"/>
        <w:right w:w="0" w:type="dxa"/>
      </w:tblCellMar>
    </w:tblPr>
  </w:style>
  <w:style w:type="paragraph" w:customStyle="1" w:styleId="481">
    <w:name w:val="Table Paragraph"/>
    <w:basedOn w:val="1"/>
    <w:qFormat/>
    <w:uiPriority w:val="1"/>
    <w:pPr>
      <w:ind w:left="105"/>
    </w:pPr>
    <w:rPr>
      <w:rFonts w:ascii="宋体" w:hAnsi="宋体" w:cs="宋体"/>
      <w:lang w:val="zh-CN" w:bidi="zh-CN"/>
    </w:rPr>
  </w:style>
  <w:style w:type="paragraph" w:customStyle="1" w:styleId="482">
    <w:name w:val="修订3"/>
    <w:qFormat/>
    <w:uiPriority w:val="99"/>
    <w:rPr>
      <w:rFonts w:ascii="Times New Roman" w:hAnsi="Times New Roman" w:eastAsia="宋体" w:cs="Times New Roman"/>
      <w:kern w:val="2"/>
      <w:sz w:val="21"/>
      <w:szCs w:val="24"/>
      <w:lang w:val="en-US" w:eastAsia="zh-CN" w:bidi="ar-SA"/>
    </w:rPr>
  </w:style>
  <w:style w:type="paragraph" w:styleId="483">
    <w:name w:val="List Paragraph"/>
    <w:basedOn w:val="1"/>
    <w:qFormat/>
    <w:uiPriority w:val="99"/>
    <w:pPr>
      <w:ind w:firstLine="420" w:firstLineChars="200"/>
    </w:pPr>
    <w:rPr>
      <w:rFonts w:ascii="Calibri" w:hAnsi="Calibri"/>
    </w:rPr>
  </w:style>
  <w:style w:type="paragraph" w:customStyle="1" w:styleId="484">
    <w:name w:val="修订4"/>
    <w:qFormat/>
    <w:uiPriority w:val="99"/>
    <w:rPr>
      <w:rFonts w:ascii="Times New Roman" w:hAnsi="Times New Roman" w:eastAsia="宋体" w:cs="Times New Roman"/>
      <w:kern w:val="2"/>
      <w:sz w:val="21"/>
      <w:szCs w:val="24"/>
      <w:lang w:val="en-US" w:eastAsia="zh-CN" w:bidi="ar-SA"/>
    </w:rPr>
  </w:style>
  <w:style w:type="paragraph" w:customStyle="1" w:styleId="485">
    <w:name w:val="修订5"/>
    <w:qFormat/>
    <w:uiPriority w:val="99"/>
    <w:rPr>
      <w:rFonts w:ascii="Times New Roman" w:hAnsi="Times New Roman" w:eastAsia="宋体" w:cs="Times New Roman"/>
      <w:kern w:val="2"/>
      <w:sz w:val="21"/>
      <w:szCs w:val="24"/>
      <w:lang w:val="en-US" w:eastAsia="zh-CN" w:bidi="ar-SA"/>
    </w:rPr>
  </w:style>
  <w:style w:type="paragraph" w:customStyle="1" w:styleId="486">
    <w:name w:val="Revision_998bea57-74c3-418b-b432-6ef82e8b287b"/>
    <w:qFormat/>
    <w:uiPriority w:val="99"/>
    <w:rPr>
      <w:rFonts w:ascii="Times New Roman" w:hAnsi="Times New Roman" w:eastAsia="宋体" w:cs="Times New Roman"/>
      <w:kern w:val="2"/>
      <w:sz w:val="21"/>
      <w:szCs w:val="24"/>
      <w:lang w:val="en-US" w:eastAsia="zh-CN" w:bidi="ar-SA"/>
    </w:rPr>
  </w:style>
  <w:style w:type="paragraph" w:customStyle="1" w:styleId="487">
    <w:name w:val="表格文字"/>
    <w:basedOn w:val="1"/>
    <w:qFormat/>
    <w:uiPriority w:val="0"/>
    <w:pPr>
      <w:spacing w:before="25" w:after="25"/>
    </w:pPr>
    <w:rPr>
      <w:bCs/>
      <w:spacing w:val="10"/>
      <w:kern w:val="0"/>
    </w:rPr>
  </w:style>
  <w:style w:type="paragraph" w:customStyle="1" w:styleId="488">
    <w:name w:val="Table Text"/>
    <w:basedOn w:val="1"/>
    <w:semiHidden/>
    <w:qFormat/>
    <w:uiPriority w:val="0"/>
    <w:rPr>
      <w:rFonts w:ascii="宋体" w:hAnsi="宋体" w:cs="宋体"/>
      <w:sz w:val="20"/>
      <w:szCs w:val="20"/>
      <w:lang w:eastAsia="en-US"/>
    </w:rPr>
  </w:style>
  <w:style w:type="paragraph" w:customStyle="1" w:styleId="48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90">
    <w:name w:val="_Style 3"/>
    <w:basedOn w:val="1"/>
    <w:qFormat/>
    <w:uiPriority w:val="0"/>
    <w:pPr>
      <w:ind w:firstLine="420" w:firstLineChars="200"/>
    </w:pPr>
    <w:rPr>
      <w:sz w:val="20"/>
    </w:rPr>
  </w:style>
  <w:style w:type="paragraph" w:styleId="491">
    <w:name w:val="Quote"/>
    <w:basedOn w:val="1"/>
    <w:next w:val="1"/>
    <w:qFormat/>
    <w:uiPriority w:val="29"/>
    <w:rPr>
      <w:i/>
      <w:iCs/>
      <w:color w:val="000000" w:themeColor="text1"/>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65</Pages>
  <Words>46638</Words>
  <Characters>49035</Characters>
  <Lines>482</Lines>
  <Paragraphs>135</Paragraphs>
  <TotalTime>0</TotalTime>
  <ScaleCrop>false</ScaleCrop>
  <LinksUpToDate>false</LinksUpToDate>
  <CharactersWithSpaces>51366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2021-05-12T21:47:00Z</dcterms:created>
  <dc:creator>thsware</dc:creator>
  <cp:lastModifiedBy>天雨</cp:lastModifiedBy>
  <cp:lastPrinted>2025-08-14T18:48:00Z</cp:lastPrinted>
  <dcterms:modified xsi:type="dcterms:W3CDTF">2025-11-23T11:47:49Z</dcterms:modified>
  <dc:title>招 标　文　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70DE94AD421B420BAA97B173AAB18DC9_13</vt:lpwstr>
  </property>
  <property fmtid="{D5CDD505-2E9C-101B-9397-08002B2CF9AE}" pid="3" name="KSOProductBuildVer">
    <vt:lpwstr>2052-12.1.0.23542</vt:lpwstr>
  </property>
  <property fmtid="{D5CDD505-2E9C-101B-9397-08002B2CF9AE}" pid="4" name="KSOTemplateDocerSaveRecord">
    <vt:lpwstr>eyJoZGlkIjoiOTRiN2VjMDBkNzg1YmNjNjA3ZDQ2NTIwMmE1YzM3ZGEiLCJ1c2VySWQiOiI2OTUwNTY1MTgifQ==</vt:lpwstr>
  </property>
</Properties>
</file>