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F965E">
      <w:pPr>
        <w:jc w:val="center"/>
        <w:outlineLvl w:val="0"/>
        <w:rPr>
          <w:rFonts w:hAnsi="宋体"/>
          <w:b/>
          <w:sz w:val="44"/>
          <w:szCs w:val="44"/>
        </w:rPr>
      </w:pPr>
      <w:bookmarkStart w:id="0" w:name="_Toc22731"/>
      <w:bookmarkStart w:id="1" w:name="_Toc17458"/>
      <w:bookmarkStart w:id="2" w:name="_Toc100130474"/>
      <w:bookmarkStart w:id="3" w:name="_Toc16874"/>
      <w:r>
        <w:rPr>
          <w:rFonts w:hint="eastAsia" w:ascii="宋体" w:hAnsi="宋体" w:cs="宋体"/>
          <w:b/>
          <w:bCs/>
          <w:sz w:val="48"/>
          <w:szCs w:val="48"/>
        </w:rPr>
        <w:t>深圳市龙岗区数据有限公司管道资产数字化项目融资可行性咨询法律服务邀请询价采购公告</w:t>
      </w:r>
      <w:bookmarkEnd w:id="0"/>
      <w:bookmarkEnd w:id="1"/>
      <w:bookmarkEnd w:id="2"/>
      <w:bookmarkEnd w:id="3"/>
    </w:p>
    <w:p w14:paraId="1CD70679">
      <w:pPr>
        <w:pStyle w:val="10"/>
        <w:spacing w:line="360" w:lineRule="auto"/>
        <w:jc w:val="center"/>
        <w:rPr>
          <w:rFonts w:hAnsi="宋体"/>
          <w:b/>
          <w:sz w:val="44"/>
          <w:szCs w:val="44"/>
        </w:rPr>
      </w:pPr>
    </w:p>
    <w:p w14:paraId="6F444141">
      <w:pPr>
        <w:snapToGrid w:val="0"/>
        <w:spacing w:line="360" w:lineRule="auto"/>
        <w:ind w:firstLine="420"/>
        <w:jc w:val="left"/>
        <w:rPr>
          <w:rFonts w:ascii="宋体"/>
          <w:sz w:val="22"/>
        </w:rPr>
      </w:pPr>
      <w:r>
        <w:rPr>
          <w:rFonts w:hint="eastAsia" w:ascii="宋体" w:hAnsi="宋体" w:cs="宋体"/>
          <w:sz w:val="22"/>
        </w:rPr>
        <w:t>深圳市龙岗区数据有限公司对</w:t>
      </w:r>
      <w:r>
        <w:rPr>
          <w:rFonts w:hint="eastAsia" w:ascii="宋体" w:hAnsi="宋体" w:cs="宋体"/>
          <w:b/>
          <w:bCs/>
          <w:sz w:val="22"/>
          <w:u w:val="single"/>
        </w:rPr>
        <w:t>管道资产数字化项目融资可行性咨询法律服务</w:t>
      </w:r>
      <w:r>
        <w:rPr>
          <w:rFonts w:hint="eastAsia" w:ascii="宋体" w:hAnsi="宋体" w:cs="宋体"/>
          <w:sz w:val="22"/>
        </w:rPr>
        <w:t>（以下简称“本项目”）进行询价采购，欢迎符合资质要求的供应商参与报价。有关事项如下：</w:t>
      </w:r>
    </w:p>
    <w:p w14:paraId="48D87BF7">
      <w:pPr>
        <w:spacing w:line="360" w:lineRule="auto"/>
        <w:outlineLvl w:val="1"/>
        <w:rPr>
          <w:rFonts w:cs="宋体"/>
          <w:b/>
          <w:bCs/>
          <w:sz w:val="22"/>
        </w:rPr>
      </w:pPr>
      <w:bookmarkStart w:id="4" w:name="_Toc22657"/>
      <w:bookmarkStart w:id="5" w:name="_Toc208"/>
      <w:bookmarkStart w:id="6" w:name="_Toc100130475"/>
      <w:bookmarkStart w:id="7" w:name="_Toc25094"/>
      <w:bookmarkStart w:id="8" w:name="_Toc444266718"/>
      <w:bookmarkStart w:id="9" w:name="_Toc7700"/>
      <w:bookmarkStart w:id="10" w:name="_Toc4261"/>
      <w:bookmarkStart w:id="11" w:name="_Toc23874"/>
      <w:bookmarkStart w:id="12" w:name="_Toc24966"/>
      <w:bookmarkStart w:id="13" w:name="_Toc14234"/>
      <w:r>
        <w:rPr>
          <w:rFonts w:hint="eastAsia" w:cs="宋体"/>
          <w:b/>
          <w:bCs/>
          <w:sz w:val="22"/>
        </w:rPr>
        <w:t>一、项目概况</w:t>
      </w:r>
      <w:bookmarkEnd w:id="4"/>
      <w:bookmarkEnd w:id="5"/>
      <w:bookmarkEnd w:id="6"/>
      <w:bookmarkEnd w:id="7"/>
      <w:bookmarkEnd w:id="8"/>
      <w:bookmarkEnd w:id="9"/>
      <w:bookmarkEnd w:id="10"/>
      <w:bookmarkEnd w:id="11"/>
      <w:bookmarkEnd w:id="12"/>
      <w:bookmarkEnd w:id="13"/>
      <w:bookmarkStart w:id="14" w:name="OLE_LINK2"/>
    </w:p>
    <w:bookmarkEnd w:id="14"/>
    <w:p w14:paraId="28BB9DF1">
      <w:pPr>
        <w:autoSpaceDE w:val="0"/>
        <w:autoSpaceDN w:val="0"/>
        <w:adjustRightInd w:val="0"/>
        <w:spacing w:line="560" w:lineRule="exact"/>
        <w:ind w:firstLine="422" w:firstLineChars="200"/>
        <w:rPr>
          <w:rFonts w:ascii="仿宋_GB2312" w:hAnsi="仿宋_GB2312" w:cs="仿宋_GB2312"/>
          <w:color w:val="000000"/>
          <w:kern w:val="0"/>
          <w:szCs w:val="32"/>
        </w:rPr>
      </w:pPr>
      <w:bookmarkStart w:id="15" w:name="_Toc27150"/>
      <w:bookmarkStart w:id="16" w:name="_Toc100130476"/>
      <w:bookmarkStart w:id="17" w:name="_Toc7482"/>
      <w:bookmarkStart w:id="18" w:name="_Toc19934"/>
      <w:bookmarkStart w:id="19" w:name="_Toc4473"/>
      <w:bookmarkStart w:id="20" w:name="_Toc10714"/>
      <w:bookmarkStart w:id="21" w:name="_Toc10859"/>
      <w:r>
        <w:rPr>
          <w:rFonts w:hint="eastAsia" w:ascii="仿宋_GB2312" w:hAnsi="仿宋_GB2312" w:cs="仿宋_GB2312"/>
          <w:color w:val="000000"/>
          <w:kern w:val="0"/>
          <w:szCs w:val="32"/>
        </w:rPr>
        <w:t>为推进管道资产数字化项目落地实施，现进行融资可行性咨询法律服务招标采购工作，现将相关事宜请示如下：</w:t>
      </w:r>
    </w:p>
    <w:p w14:paraId="540732AE">
      <w:pPr>
        <w:spacing w:line="360" w:lineRule="auto"/>
        <w:outlineLvl w:val="1"/>
        <w:rPr>
          <w:rFonts w:cs="宋体"/>
          <w:b/>
          <w:bCs/>
          <w:sz w:val="22"/>
        </w:rPr>
      </w:pPr>
      <w:r>
        <w:rPr>
          <w:rFonts w:hint="eastAsia" w:cs="宋体"/>
          <w:b/>
          <w:bCs/>
          <w:sz w:val="22"/>
        </w:rPr>
        <w:t>二、采购内容</w:t>
      </w:r>
      <w:bookmarkEnd w:id="15"/>
      <w:bookmarkEnd w:id="16"/>
      <w:bookmarkEnd w:id="17"/>
      <w:bookmarkEnd w:id="18"/>
      <w:bookmarkEnd w:id="19"/>
      <w:bookmarkEnd w:id="20"/>
      <w:bookmarkEnd w:id="21"/>
      <w:bookmarkStart w:id="22" w:name="_Toc12795"/>
      <w:bookmarkStart w:id="23" w:name="_Toc444266720"/>
      <w:bookmarkStart w:id="24" w:name="_Toc7539"/>
      <w:bookmarkStart w:id="25" w:name="_Toc20068"/>
      <w:bookmarkStart w:id="26" w:name="_Toc5535"/>
      <w:bookmarkStart w:id="27" w:name="_Toc16415"/>
      <w:bookmarkStart w:id="28" w:name="_Toc2122"/>
      <w:bookmarkStart w:id="29" w:name="_Toc3388"/>
    </w:p>
    <w:bookmarkEnd w:id="22"/>
    <w:bookmarkEnd w:id="23"/>
    <w:bookmarkEnd w:id="24"/>
    <w:bookmarkEnd w:id="25"/>
    <w:bookmarkEnd w:id="26"/>
    <w:bookmarkEnd w:id="27"/>
    <w:bookmarkEnd w:id="28"/>
    <w:bookmarkEnd w:id="29"/>
    <w:p w14:paraId="5781435C">
      <w:pPr>
        <w:autoSpaceDE w:val="0"/>
        <w:autoSpaceDN w:val="0"/>
        <w:adjustRightInd w:val="0"/>
        <w:spacing w:line="560" w:lineRule="exact"/>
        <w:ind w:firstLine="633" w:firstLineChars="300"/>
        <w:rPr>
          <w:rFonts w:ascii="仿宋_GB2312" w:hAnsi="仿宋_GB2312" w:cs="仿宋_GB2312"/>
          <w:color w:val="000000"/>
          <w:kern w:val="0"/>
          <w:szCs w:val="32"/>
        </w:rPr>
      </w:pPr>
      <w:bookmarkStart w:id="30" w:name="_Toc12520"/>
      <w:bookmarkStart w:id="31" w:name="_Toc100130478"/>
      <w:bookmarkStart w:id="32" w:name="_Toc25113"/>
      <w:bookmarkStart w:id="33" w:name="_Toc15570"/>
      <w:bookmarkStart w:id="34" w:name="_Toc15017"/>
      <w:bookmarkStart w:id="35" w:name="_Toc4442"/>
      <w:r>
        <w:rPr>
          <w:rFonts w:ascii="仿宋_GB2312" w:hAnsi="仿宋_GB2312" w:cs="仿宋_GB2312"/>
          <w:color w:val="000000"/>
          <w:kern w:val="0"/>
          <w:szCs w:val="32"/>
        </w:rPr>
        <w:t>本次采购为</w:t>
      </w:r>
      <w:r>
        <w:rPr>
          <w:rFonts w:hint="eastAsia" w:ascii="仿宋_GB2312" w:hAnsi="仿宋_GB2312" w:cs="仿宋_GB2312"/>
          <w:color w:val="000000"/>
          <w:kern w:val="0"/>
          <w:szCs w:val="32"/>
        </w:rPr>
        <w:t>管道资产数字化</w:t>
      </w:r>
      <w:r>
        <w:rPr>
          <w:rFonts w:ascii="仿宋_GB2312" w:hAnsi="仿宋_GB2312" w:cs="仿宋_GB2312"/>
          <w:color w:val="000000"/>
          <w:kern w:val="0"/>
          <w:szCs w:val="32"/>
        </w:rPr>
        <w:t>项目的核心配套建设内容，针对</w:t>
      </w:r>
      <w:r>
        <w:rPr>
          <w:rFonts w:hint="eastAsia" w:ascii="仿宋_GB2312" w:hAnsi="仿宋_GB2312" w:cs="仿宋_GB2312"/>
          <w:color w:val="000000"/>
          <w:kern w:val="0"/>
          <w:szCs w:val="32"/>
        </w:rPr>
        <w:t>该项目</w:t>
      </w:r>
      <w:r>
        <w:rPr>
          <w:rFonts w:hint="eastAsia" w:ascii="仿宋_GB2312" w:cs="宋体"/>
          <w:kern w:val="0"/>
        </w:rPr>
        <w:t>境内法律服务，需采购境内专业律师事务所，以满足项目整体建设及落地需求。</w:t>
      </w:r>
      <w:r>
        <w:rPr>
          <w:rFonts w:hint="eastAsia" w:ascii="仿宋_GB2312" w:hAnsi="仿宋_GB2312" w:cs="仿宋_GB2312"/>
          <w:color w:val="000000"/>
          <w:kern w:val="0"/>
          <w:szCs w:val="32"/>
        </w:rPr>
        <w:t>具体</w:t>
      </w:r>
      <w:r>
        <w:rPr>
          <w:rFonts w:ascii="仿宋_GB2312" w:hAnsi="仿宋_GB2312" w:cs="仿宋_GB2312"/>
          <w:color w:val="000000"/>
          <w:kern w:val="0"/>
          <w:szCs w:val="32"/>
        </w:rPr>
        <w:t>需求如下：</w:t>
      </w:r>
    </w:p>
    <w:tbl>
      <w:tblPr>
        <w:tblStyle w:val="48"/>
        <w:tblW w:w="8359" w:type="dxa"/>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988"/>
        <w:gridCol w:w="1607"/>
        <w:gridCol w:w="5764"/>
      </w:tblGrid>
      <w:tr w14:paraId="29DF9025">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666666" w:themeColor="text1" w:themeTint="99" w:sz="12" w:space="0"/>
              <w:insideH w:val="single" w:sz="12" w:space="0"/>
            </w:tcBorders>
            <w:shd w:val="clear" w:color="auto" w:fill="D8D8D8" w:themeFill="background1" w:themeFillShade="D9"/>
            <w:vAlign w:val="center"/>
          </w:tcPr>
          <w:p w14:paraId="34F26B9E">
            <w:pPr>
              <w:rPr>
                <w:rFonts w:asciiTheme="minorHAnsi" w:hAnsiTheme="minorHAnsi" w:eastAsiaTheme="minorEastAsia" w:cstheme="minorBidi"/>
                <w:b/>
                <w:bCs/>
              </w:rPr>
            </w:pPr>
            <w:r>
              <w:rPr>
                <w:rFonts w:asciiTheme="minorHAnsi" w:hAnsiTheme="minorHAnsi" w:eastAsiaTheme="minorEastAsia" w:cstheme="minorBidi"/>
                <w:b/>
                <w:bCs/>
              </w:rPr>
              <w:t>序号</w:t>
            </w:r>
          </w:p>
        </w:tc>
        <w:tc>
          <w:tcPr>
            <w:tcW w:w="1607" w:type="dxa"/>
            <w:tcBorders>
              <w:top w:val="single" w:color="auto" w:sz="4" w:space="0"/>
              <w:bottom w:val="single" w:color="666666" w:themeColor="text1" w:themeTint="99" w:sz="12" w:space="0"/>
              <w:insideH w:val="single" w:sz="12" w:space="0"/>
            </w:tcBorders>
            <w:shd w:val="clear" w:color="auto" w:fill="D8D8D8" w:themeFill="background1" w:themeFillShade="D9"/>
            <w:vAlign w:val="center"/>
          </w:tcPr>
          <w:p w14:paraId="16287AE4">
            <w:pPr>
              <w:rPr>
                <w:rFonts w:asciiTheme="minorHAnsi" w:hAnsiTheme="minorHAnsi" w:eastAsiaTheme="minorEastAsia" w:cstheme="minorBidi"/>
                <w:b/>
                <w:bCs/>
              </w:rPr>
            </w:pPr>
            <w:r>
              <w:rPr>
                <w:rFonts w:asciiTheme="minorHAnsi" w:hAnsiTheme="minorHAnsi" w:eastAsiaTheme="minorEastAsia" w:cstheme="minorBidi"/>
                <w:b/>
                <w:bCs/>
              </w:rPr>
              <w:t>服务事项</w:t>
            </w:r>
          </w:p>
        </w:tc>
        <w:tc>
          <w:tcPr>
            <w:tcW w:w="5764" w:type="dxa"/>
            <w:tcBorders>
              <w:top w:val="single" w:color="auto" w:sz="4" w:space="0"/>
              <w:bottom w:val="single" w:color="666666" w:themeColor="text1" w:themeTint="99" w:sz="12" w:space="0"/>
              <w:insideH w:val="single" w:sz="12" w:space="0"/>
            </w:tcBorders>
            <w:shd w:val="clear" w:color="auto" w:fill="D8D8D8" w:themeFill="background1" w:themeFillShade="D9"/>
            <w:vAlign w:val="center"/>
          </w:tcPr>
          <w:p w14:paraId="58E7CB02">
            <w:pPr>
              <w:rPr>
                <w:rFonts w:asciiTheme="minorHAnsi" w:hAnsiTheme="minorHAnsi" w:eastAsiaTheme="minorEastAsia" w:cstheme="minorBidi"/>
                <w:b/>
                <w:bCs/>
              </w:rPr>
            </w:pPr>
            <w:r>
              <w:rPr>
                <w:rFonts w:asciiTheme="minorHAnsi" w:hAnsiTheme="minorHAnsi" w:eastAsiaTheme="minorEastAsia" w:cstheme="minorBidi"/>
                <w:b/>
                <w:bCs/>
              </w:rPr>
              <w:t>境内律师服务内容</w:t>
            </w:r>
          </w:p>
        </w:tc>
      </w:tr>
      <w:tr w14:paraId="3DA6A686">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Pr>
          <w:p w14:paraId="635B46B9">
            <w:pPr>
              <w:rPr>
                <w:rFonts w:asciiTheme="minorHAnsi" w:hAnsiTheme="minorHAnsi" w:eastAsiaTheme="minorEastAsia" w:cstheme="minorBidi"/>
                <w:b/>
                <w:bCs/>
              </w:rPr>
            </w:pPr>
            <w:r>
              <w:rPr>
                <w:rFonts w:hint="eastAsia" w:asciiTheme="minorHAnsi" w:hAnsiTheme="minorHAnsi" w:eastAsiaTheme="minorEastAsia" w:cstheme="minorBidi"/>
                <w:b/>
                <w:bCs/>
              </w:rPr>
              <w:t>1</w:t>
            </w:r>
          </w:p>
        </w:tc>
        <w:tc>
          <w:tcPr>
            <w:tcW w:w="1607" w:type="dxa"/>
          </w:tcPr>
          <w:p w14:paraId="21448231">
            <w:pPr>
              <w:rPr>
                <w:rFonts w:asciiTheme="minorHAnsi" w:hAnsiTheme="minorHAnsi" w:eastAsiaTheme="minorEastAsia" w:cstheme="minorBidi"/>
              </w:rPr>
            </w:pPr>
            <w:r>
              <w:rPr>
                <w:rFonts w:asciiTheme="minorHAnsi" w:hAnsiTheme="minorHAnsi" w:eastAsiaTheme="minorEastAsia" w:cstheme="minorBidi"/>
              </w:rPr>
              <w:t>发行架构法律及监管合规分析</w:t>
            </w:r>
          </w:p>
        </w:tc>
        <w:tc>
          <w:tcPr>
            <w:tcW w:w="5764" w:type="dxa"/>
          </w:tcPr>
          <w:p w14:paraId="65B09722">
            <w:pPr>
              <w:rPr>
                <w:rFonts w:asciiTheme="minorHAnsi" w:hAnsiTheme="minorHAnsi" w:eastAsiaTheme="minorEastAsia" w:cstheme="minorBidi"/>
              </w:rPr>
            </w:pPr>
            <w:r>
              <w:rPr>
                <w:rFonts w:asciiTheme="minorHAnsi" w:hAnsiTheme="minorHAnsi" w:eastAsiaTheme="minorEastAsia" w:cstheme="minorBidi"/>
              </w:rPr>
              <w:t>1.就</w:t>
            </w:r>
            <w:r>
              <w:rPr>
                <w:rFonts w:hint="eastAsia" w:asciiTheme="minorHAnsi" w:hAnsiTheme="minorHAnsi" w:eastAsiaTheme="minorEastAsia" w:cstheme="minorBidi"/>
              </w:rPr>
              <w:t>管道资产数字化项目</w:t>
            </w:r>
            <w:r>
              <w:rPr>
                <w:rFonts w:asciiTheme="minorHAnsi" w:hAnsiTheme="minorHAnsi" w:eastAsiaTheme="minorEastAsia" w:cstheme="minorBidi"/>
              </w:rPr>
              <w:t>架构开展中国境内法律项下的可行性分析；</w:t>
            </w:r>
            <w:r>
              <w:rPr>
                <w:rFonts w:asciiTheme="minorHAnsi" w:hAnsiTheme="minorHAnsi" w:eastAsiaTheme="minorEastAsia" w:cstheme="minorBidi"/>
              </w:rPr>
              <w:br w:type="textWrapping"/>
            </w:r>
            <w:r>
              <w:rPr>
                <w:rFonts w:asciiTheme="minorHAnsi" w:hAnsiTheme="minorHAnsi" w:eastAsiaTheme="minorEastAsia" w:cstheme="minorBidi"/>
              </w:rPr>
              <w:t>2.就境内主体安排、基础资产出境、收益回流等核心问题提供中国境内法律分析和意见；</w:t>
            </w:r>
            <w:r>
              <w:rPr>
                <w:rFonts w:asciiTheme="minorHAnsi" w:hAnsiTheme="minorHAnsi" w:eastAsiaTheme="minorEastAsia" w:cstheme="minorBidi"/>
              </w:rPr>
              <w:br w:type="textWrapping"/>
            </w:r>
            <w:r>
              <w:rPr>
                <w:rFonts w:asciiTheme="minorHAnsi" w:hAnsiTheme="minorHAnsi" w:eastAsiaTheme="minorEastAsia" w:cstheme="minorBidi"/>
              </w:rPr>
              <w:t>3.就项目涉及的外汇、数据跨境、金融合规及其他相关监管事项提供中国境内法律分析和合规建议。</w:t>
            </w:r>
          </w:p>
        </w:tc>
      </w:tr>
      <w:tr w14:paraId="1547C0BA">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Pr>
          <w:p w14:paraId="17285F6B">
            <w:pPr>
              <w:rPr>
                <w:rFonts w:asciiTheme="minorHAnsi" w:hAnsiTheme="minorHAnsi" w:eastAsiaTheme="minorEastAsia" w:cstheme="minorBidi"/>
                <w:b/>
                <w:bCs/>
              </w:rPr>
            </w:pPr>
            <w:r>
              <w:rPr>
                <w:rFonts w:hint="eastAsia" w:asciiTheme="minorHAnsi" w:hAnsiTheme="minorHAnsi" w:eastAsiaTheme="minorEastAsia" w:cstheme="minorBidi"/>
                <w:b/>
                <w:bCs/>
              </w:rPr>
              <w:t>2</w:t>
            </w:r>
          </w:p>
        </w:tc>
        <w:tc>
          <w:tcPr>
            <w:tcW w:w="1607" w:type="dxa"/>
          </w:tcPr>
          <w:p w14:paraId="053E82B8">
            <w:pPr>
              <w:rPr>
                <w:rFonts w:asciiTheme="minorHAnsi" w:hAnsiTheme="minorHAnsi" w:eastAsiaTheme="minorEastAsia" w:cstheme="minorBidi"/>
              </w:rPr>
            </w:pPr>
            <w:r>
              <w:rPr>
                <w:rFonts w:asciiTheme="minorHAnsi" w:hAnsiTheme="minorHAnsi" w:eastAsiaTheme="minorEastAsia" w:cstheme="minorBidi"/>
              </w:rPr>
              <w:t>审阅Term Sheet法律分析</w:t>
            </w:r>
          </w:p>
        </w:tc>
        <w:tc>
          <w:tcPr>
            <w:tcW w:w="5764" w:type="dxa"/>
          </w:tcPr>
          <w:p w14:paraId="2E256F2D">
            <w:pPr>
              <w:rPr>
                <w:rFonts w:asciiTheme="minorHAnsi" w:hAnsiTheme="minorHAnsi" w:eastAsiaTheme="minorEastAsia" w:cstheme="minorBidi"/>
              </w:rPr>
            </w:pPr>
            <w:r>
              <w:rPr>
                <w:rFonts w:asciiTheme="minorHAnsi" w:hAnsiTheme="minorHAnsi" w:eastAsiaTheme="minorEastAsia" w:cstheme="minorBidi"/>
              </w:rPr>
              <w:t>1. 审阅Term Sheet项下主要交易条款在中国境内法律项下的合法性、有效性及可执行性；</w:t>
            </w:r>
            <w:r>
              <w:rPr>
                <w:rFonts w:asciiTheme="minorHAnsi" w:hAnsiTheme="minorHAnsi" w:eastAsiaTheme="minorEastAsia" w:cstheme="minorBidi"/>
              </w:rPr>
              <w:br w:type="textWrapping"/>
            </w:r>
            <w:r>
              <w:rPr>
                <w:rFonts w:asciiTheme="minorHAnsi" w:hAnsiTheme="minorHAnsi" w:eastAsiaTheme="minorEastAsia" w:cstheme="minorBidi"/>
              </w:rPr>
              <w:t>2. 就跨境代币安排、风险分配、赎回/终止机制等条款提供中国境内法律分析；</w:t>
            </w:r>
            <w:r>
              <w:rPr>
                <w:rFonts w:asciiTheme="minorHAnsi" w:hAnsiTheme="minorHAnsi" w:eastAsiaTheme="minorEastAsia" w:cstheme="minorBidi"/>
              </w:rPr>
              <w:br w:type="textWrapping"/>
            </w:r>
            <w:r>
              <w:rPr>
                <w:rFonts w:asciiTheme="minorHAnsi" w:hAnsiTheme="minorHAnsi" w:eastAsiaTheme="minorEastAsia" w:cstheme="minorBidi"/>
              </w:rPr>
              <w:t>3. 识别Term Sheet项下可能涉及的中国境内法律及监管风险，并提出相应修改建议；</w:t>
            </w:r>
            <w:r>
              <w:rPr>
                <w:rFonts w:asciiTheme="minorHAnsi" w:hAnsiTheme="minorHAnsi" w:eastAsiaTheme="minorEastAsia" w:cstheme="minorBidi"/>
              </w:rPr>
              <w:br w:type="textWrapping"/>
            </w:r>
            <w:r>
              <w:rPr>
                <w:rFonts w:asciiTheme="minorHAnsi" w:hAnsiTheme="minorHAnsi" w:eastAsiaTheme="minorEastAsia" w:cstheme="minorBidi"/>
              </w:rPr>
              <w:t>4. 协助客户与境内外中介机构就相关条款进行沟通。</w:t>
            </w:r>
          </w:p>
        </w:tc>
      </w:tr>
      <w:tr w14:paraId="065F7DAE">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Pr>
          <w:p w14:paraId="4AC9DA8D">
            <w:pPr>
              <w:rPr>
                <w:rFonts w:asciiTheme="minorHAnsi" w:hAnsiTheme="minorHAnsi" w:eastAsiaTheme="minorEastAsia" w:cstheme="minorBidi"/>
                <w:b/>
                <w:bCs/>
              </w:rPr>
            </w:pPr>
            <w:r>
              <w:rPr>
                <w:rFonts w:hint="eastAsia" w:asciiTheme="minorHAnsi" w:hAnsiTheme="minorHAnsi" w:eastAsiaTheme="minorEastAsia" w:cstheme="minorBidi"/>
                <w:b/>
                <w:bCs/>
              </w:rPr>
              <w:t>3</w:t>
            </w:r>
          </w:p>
        </w:tc>
        <w:tc>
          <w:tcPr>
            <w:tcW w:w="1607" w:type="dxa"/>
          </w:tcPr>
          <w:p w14:paraId="291B9101">
            <w:pPr>
              <w:rPr>
                <w:rFonts w:asciiTheme="minorHAnsi" w:hAnsiTheme="minorHAnsi" w:eastAsiaTheme="minorEastAsia" w:cstheme="minorBidi"/>
              </w:rPr>
            </w:pPr>
            <w:r>
              <w:rPr>
                <w:rFonts w:asciiTheme="minorHAnsi" w:hAnsiTheme="minorHAnsi" w:eastAsiaTheme="minorEastAsia" w:cstheme="minorBidi"/>
              </w:rPr>
              <w:t>对接境内监管</w:t>
            </w:r>
            <w:r>
              <w:rPr>
                <w:rFonts w:hint="eastAsia" w:asciiTheme="minorHAnsi" w:hAnsiTheme="minorHAnsi" w:eastAsiaTheme="minorEastAsia" w:cstheme="minorBidi"/>
              </w:rPr>
              <w:t>部门</w:t>
            </w:r>
            <w:r>
              <w:rPr>
                <w:rFonts w:asciiTheme="minorHAnsi" w:hAnsiTheme="minorHAnsi" w:eastAsiaTheme="minorEastAsia" w:cstheme="minorBidi"/>
              </w:rPr>
              <w:t>并</w:t>
            </w:r>
            <w:r>
              <w:rPr>
                <w:rFonts w:hint="eastAsia" w:asciiTheme="minorHAnsi" w:hAnsiTheme="minorHAnsi" w:eastAsiaTheme="minorEastAsia" w:cstheme="minorBidi"/>
              </w:rPr>
              <w:t>进行沟通</w:t>
            </w:r>
          </w:p>
        </w:tc>
        <w:tc>
          <w:tcPr>
            <w:tcW w:w="5764" w:type="dxa"/>
          </w:tcPr>
          <w:p w14:paraId="421E0CB2">
            <w:pPr>
              <w:rPr>
                <w:rFonts w:asciiTheme="minorHAnsi" w:hAnsiTheme="minorHAnsi" w:eastAsiaTheme="minorEastAsia" w:cstheme="minorBidi"/>
              </w:rPr>
            </w:pPr>
            <w:r>
              <w:rPr>
                <w:rFonts w:asciiTheme="minorHAnsi" w:hAnsiTheme="minorHAnsi" w:eastAsiaTheme="minorEastAsia" w:cstheme="minorBidi"/>
              </w:rPr>
              <w:t>1. 统筹梳理项目涉及的境内监管要点，并协助客户就中国证监会、外汇、网信及地方金融监管等相关事项开展沟通；</w:t>
            </w:r>
            <w:r>
              <w:rPr>
                <w:rFonts w:asciiTheme="minorHAnsi" w:hAnsiTheme="minorHAnsi" w:eastAsiaTheme="minorEastAsia" w:cstheme="minorBidi"/>
              </w:rPr>
              <w:br w:type="textWrapping"/>
            </w:r>
            <w:r>
              <w:rPr>
                <w:rFonts w:asciiTheme="minorHAnsi" w:hAnsiTheme="minorHAnsi" w:eastAsiaTheme="minorEastAsia" w:cstheme="minorBidi"/>
              </w:rPr>
              <w:t>2. 协助准备境内监管沟通、汇报及说明材料；</w:t>
            </w:r>
            <w:r>
              <w:rPr>
                <w:rFonts w:asciiTheme="minorHAnsi" w:hAnsiTheme="minorHAnsi" w:eastAsiaTheme="minorEastAsia" w:cstheme="minorBidi"/>
              </w:rPr>
              <w:br w:type="textWrapping"/>
            </w:r>
            <w:r>
              <w:rPr>
                <w:rFonts w:asciiTheme="minorHAnsi" w:hAnsiTheme="minorHAnsi" w:eastAsiaTheme="minorEastAsia" w:cstheme="minorBidi"/>
              </w:rPr>
              <w:t>3. 根据监管反馈意见，协助调整交易架构、完善申报或说明材料。</w:t>
            </w:r>
          </w:p>
        </w:tc>
      </w:tr>
      <w:tr w14:paraId="02CDE912">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Pr>
          <w:p w14:paraId="0E7716D0">
            <w:pPr>
              <w:rPr>
                <w:rFonts w:asciiTheme="minorHAnsi" w:hAnsiTheme="minorHAnsi" w:eastAsiaTheme="minorEastAsia" w:cstheme="minorBidi"/>
                <w:b/>
                <w:bCs/>
              </w:rPr>
            </w:pPr>
            <w:r>
              <w:rPr>
                <w:rFonts w:hint="eastAsia" w:asciiTheme="minorHAnsi" w:hAnsiTheme="minorHAnsi" w:eastAsiaTheme="minorEastAsia" w:cstheme="minorBidi"/>
                <w:b/>
                <w:bCs/>
              </w:rPr>
              <w:t>4</w:t>
            </w:r>
          </w:p>
        </w:tc>
        <w:tc>
          <w:tcPr>
            <w:tcW w:w="1607" w:type="dxa"/>
          </w:tcPr>
          <w:p w14:paraId="49E99DD8">
            <w:pPr>
              <w:rPr>
                <w:rFonts w:asciiTheme="minorHAnsi" w:hAnsiTheme="minorHAnsi" w:eastAsiaTheme="minorEastAsia" w:cstheme="minorBidi"/>
              </w:rPr>
            </w:pPr>
            <w:r>
              <w:rPr>
                <w:rFonts w:asciiTheme="minorHAnsi" w:hAnsiTheme="minorHAnsi" w:eastAsiaTheme="minorEastAsia" w:cstheme="minorBidi"/>
              </w:rPr>
              <w:t>拟备提交境内、外监管机构备案/审核文件</w:t>
            </w:r>
          </w:p>
        </w:tc>
        <w:tc>
          <w:tcPr>
            <w:tcW w:w="5764" w:type="dxa"/>
          </w:tcPr>
          <w:p w14:paraId="29A72542">
            <w:pPr>
              <w:rPr>
                <w:rFonts w:asciiTheme="minorHAnsi" w:hAnsiTheme="minorHAnsi" w:eastAsiaTheme="minorEastAsia" w:cstheme="minorBidi"/>
              </w:rPr>
            </w:pPr>
            <w:r>
              <w:rPr>
                <w:rFonts w:asciiTheme="minorHAnsi" w:hAnsiTheme="minorHAnsi" w:eastAsiaTheme="minorEastAsia" w:cstheme="minorBidi"/>
              </w:rPr>
              <w:t>1. 开展与项目相关的中国境内法律尽职调查；</w:t>
            </w:r>
            <w:r>
              <w:rPr>
                <w:rFonts w:asciiTheme="minorHAnsi" w:hAnsiTheme="minorHAnsi" w:eastAsiaTheme="minorEastAsia" w:cstheme="minorBidi"/>
              </w:rPr>
              <w:br w:type="textWrapping"/>
            </w:r>
            <w:r>
              <w:rPr>
                <w:rFonts w:asciiTheme="minorHAnsi" w:hAnsiTheme="minorHAnsi" w:eastAsiaTheme="minorEastAsia" w:cstheme="minorBidi"/>
              </w:rPr>
              <w:t>2. 根据</w:t>
            </w:r>
            <w:r>
              <w:rPr>
                <w:rFonts w:hint="eastAsia" w:asciiTheme="minorHAnsi" w:hAnsiTheme="minorHAnsi" w:eastAsiaTheme="minorEastAsia" w:cstheme="minorBidi"/>
              </w:rPr>
              <w:t>中国</w:t>
            </w:r>
            <w:r>
              <w:rPr>
                <w:rFonts w:asciiTheme="minorHAnsi" w:hAnsiTheme="minorHAnsi" w:eastAsiaTheme="minorEastAsia" w:cstheme="minorBidi"/>
              </w:rPr>
              <w:t>证监会备案要求，就本项目出具中国法律意见书</w:t>
            </w:r>
            <w:r>
              <w:rPr>
                <w:rFonts w:hint="eastAsia" w:asciiTheme="minorHAnsi" w:hAnsiTheme="minorHAnsi" w:eastAsiaTheme="minorEastAsia" w:cstheme="minorBidi"/>
              </w:rPr>
              <w:t>；</w:t>
            </w:r>
            <w:r>
              <w:rPr>
                <w:rFonts w:asciiTheme="minorHAnsi" w:hAnsiTheme="minorHAnsi" w:eastAsiaTheme="minorEastAsia" w:cstheme="minorBidi"/>
              </w:rPr>
              <w:br w:type="textWrapping"/>
            </w:r>
            <w:r>
              <w:rPr>
                <w:rFonts w:asciiTheme="minorHAnsi" w:hAnsiTheme="minorHAnsi" w:eastAsiaTheme="minorEastAsia" w:cstheme="minorBidi"/>
              </w:rPr>
              <w:t>3. 配合境外监管机构问询或审核，就涉及中国境内法律事项提供回复和说明。</w:t>
            </w:r>
          </w:p>
        </w:tc>
      </w:tr>
      <w:tr w14:paraId="5F54E190">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Pr>
          <w:p w14:paraId="3E9B2B7B">
            <w:pPr>
              <w:rPr>
                <w:rFonts w:asciiTheme="minorHAnsi" w:hAnsiTheme="minorHAnsi" w:eastAsiaTheme="minorEastAsia" w:cstheme="minorBidi"/>
                <w:b/>
                <w:bCs/>
              </w:rPr>
            </w:pPr>
            <w:r>
              <w:rPr>
                <w:rFonts w:hint="eastAsia" w:asciiTheme="minorHAnsi" w:hAnsiTheme="minorHAnsi" w:eastAsiaTheme="minorEastAsia" w:cstheme="minorBidi"/>
                <w:b/>
                <w:bCs/>
              </w:rPr>
              <w:t>5</w:t>
            </w:r>
          </w:p>
        </w:tc>
        <w:tc>
          <w:tcPr>
            <w:tcW w:w="1607" w:type="dxa"/>
          </w:tcPr>
          <w:p w14:paraId="00EDB500">
            <w:pPr>
              <w:rPr>
                <w:rFonts w:asciiTheme="minorHAnsi" w:hAnsiTheme="minorHAnsi" w:eastAsiaTheme="minorEastAsia" w:cstheme="minorBidi"/>
              </w:rPr>
            </w:pPr>
            <w:r>
              <w:rPr>
                <w:rFonts w:asciiTheme="minorHAnsi" w:hAnsiTheme="minorHAnsi" w:eastAsiaTheme="minorEastAsia" w:cstheme="minorBidi"/>
              </w:rPr>
              <w:t>起草/审阅代币化技术服务协议</w:t>
            </w:r>
          </w:p>
        </w:tc>
        <w:tc>
          <w:tcPr>
            <w:tcW w:w="5764" w:type="dxa"/>
          </w:tcPr>
          <w:p w14:paraId="4921D631">
            <w:pPr>
              <w:rPr>
                <w:rFonts w:asciiTheme="minorHAnsi" w:hAnsiTheme="minorHAnsi" w:eastAsiaTheme="minorEastAsia" w:cstheme="minorBidi"/>
              </w:rPr>
            </w:pPr>
            <w:r>
              <w:rPr>
                <w:rFonts w:asciiTheme="minorHAnsi" w:hAnsiTheme="minorHAnsi" w:eastAsiaTheme="minorEastAsia" w:cstheme="minorBidi"/>
              </w:rPr>
              <w:t>1. 从中国境内法律角度审阅代币化技术服务协议；</w:t>
            </w:r>
            <w:r>
              <w:rPr>
                <w:rFonts w:asciiTheme="minorHAnsi" w:hAnsiTheme="minorHAnsi" w:eastAsiaTheme="minorEastAsia" w:cstheme="minorBidi"/>
              </w:rPr>
              <w:br w:type="textWrapping"/>
            </w:r>
            <w:r>
              <w:rPr>
                <w:rFonts w:asciiTheme="minorHAnsi" w:hAnsiTheme="minorHAnsi" w:eastAsiaTheme="minorEastAsia" w:cstheme="minorBidi"/>
              </w:rPr>
              <w:t>2. 就数据安全、数据跨境、个人信息保护、境内知识产权、保密义务及责任划分等条款提供中国境内法律分析和意见；</w:t>
            </w:r>
            <w:r>
              <w:rPr>
                <w:rFonts w:asciiTheme="minorHAnsi" w:hAnsiTheme="minorHAnsi" w:eastAsiaTheme="minorEastAsia" w:cstheme="minorBidi"/>
              </w:rPr>
              <w:br w:type="textWrapping"/>
            </w:r>
            <w:r>
              <w:rPr>
                <w:rFonts w:asciiTheme="minorHAnsi" w:hAnsiTheme="minorHAnsi" w:eastAsiaTheme="minorEastAsia" w:cstheme="minorBidi"/>
              </w:rPr>
              <w:t>3. 协助客户就相关技术合作安排参与谈判或沟通。</w:t>
            </w:r>
          </w:p>
        </w:tc>
      </w:tr>
      <w:tr w14:paraId="737C6B32">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Pr>
          <w:p w14:paraId="04082522">
            <w:pPr>
              <w:rPr>
                <w:rFonts w:asciiTheme="minorHAnsi" w:hAnsiTheme="minorHAnsi" w:eastAsiaTheme="minorEastAsia" w:cstheme="minorBidi"/>
                <w:b/>
                <w:bCs/>
              </w:rPr>
            </w:pPr>
            <w:r>
              <w:rPr>
                <w:rFonts w:hint="eastAsia" w:asciiTheme="minorHAnsi" w:hAnsiTheme="minorHAnsi" w:eastAsiaTheme="minorEastAsia" w:cstheme="minorBidi"/>
                <w:b/>
                <w:bCs/>
              </w:rPr>
              <w:t>6</w:t>
            </w:r>
          </w:p>
        </w:tc>
        <w:tc>
          <w:tcPr>
            <w:tcW w:w="1607" w:type="dxa"/>
          </w:tcPr>
          <w:p w14:paraId="3D1FE985">
            <w:pPr>
              <w:rPr>
                <w:rFonts w:asciiTheme="minorHAnsi" w:hAnsiTheme="minorHAnsi" w:eastAsiaTheme="minorEastAsia" w:cstheme="minorBidi"/>
              </w:rPr>
            </w:pPr>
            <w:r>
              <w:rPr>
                <w:rFonts w:asciiTheme="minorHAnsi" w:hAnsiTheme="minorHAnsi" w:eastAsiaTheme="minorEastAsia" w:cstheme="minorBidi"/>
              </w:rPr>
              <w:t>起草、审阅、谈判发行交易文件</w:t>
            </w:r>
          </w:p>
        </w:tc>
        <w:tc>
          <w:tcPr>
            <w:tcW w:w="5764" w:type="dxa"/>
          </w:tcPr>
          <w:p w14:paraId="6077A452">
            <w:pPr>
              <w:rPr>
                <w:rFonts w:asciiTheme="minorHAnsi" w:hAnsiTheme="minorHAnsi" w:eastAsiaTheme="minorEastAsia" w:cstheme="minorBidi"/>
              </w:rPr>
            </w:pPr>
            <w:r>
              <w:rPr>
                <w:rFonts w:asciiTheme="minorHAnsi" w:hAnsiTheme="minorHAnsi" w:eastAsiaTheme="minorEastAsia" w:cstheme="minorBidi"/>
              </w:rPr>
              <w:t>1. 审阅交易文件中涉及境内主体、境内资产及相关中国境内法律事项的条款；</w:t>
            </w:r>
            <w:r>
              <w:rPr>
                <w:rFonts w:asciiTheme="minorHAnsi" w:hAnsiTheme="minorHAnsi" w:eastAsiaTheme="minorEastAsia" w:cstheme="minorBidi"/>
              </w:rPr>
              <w:br w:type="textWrapping"/>
            </w:r>
            <w:r>
              <w:rPr>
                <w:rFonts w:asciiTheme="minorHAnsi" w:hAnsiTheme="minorHAnsi" w:eastAsiaTheme="minorEastAsia" w:cstheme="minorBidi"/>
              </w:rPr>
              <w:t>2. 起草或审阅境内资产转让、资金监管/托管等相关协议或文件（如涉及）；</w:t>
            </w:r>
            <w:r>
              <w:rPr>
                <w:rFonts w:asciiTheme="minorHAnsi" w:hAnsiTheme="minorHAnsi" w:eastAsiaTheme="minorEastAsia" w:cstheme="minorBidi"/>
              </w:rPr>
              <w:br w:type="textWrapping"/>
            </w:r>
            <w:r>
              <w:rPr>
                <w:rFonts w:asciiTheme="minorHAnsi" w:hAnsiTheme="minorHAnsi" w:eastAsiaTheme="minorEastAsia" w:cstheme="minorBidi"/>
              </w:rPr>
              <w:t>3. 起草、审阅并统筹涉及外汇合规、税务、适用法律及争议解决等中国境内法律条款；</w:t>
            </w:r>
            <w:r>
              <w:rPr>
                <w:rFonts w:asciiTheme="minorHAnsi" w:hAnsiTheme="minorHAnsi" w:eastAsiaTheme="minorEastAsia" w:cstheme="minorBidi"/>
              </w:rPr>
              <w:br w:type="textWrapping"/>
            </w:r>
            <w:r>
              <w:rPr>
                <w:rFonts w:asciiTheme="minorHAnsi" w:hAnsiTheme="minorHAnsi" w:eastAsiaTheme="minorEastAsia" w:cstheme="minorBidi"/>
              </w:rPr>
              <w:t>4. 代表客户就涉及中国境内法律事项的交易文件条款参与沟通和谈判。</w:t>
            </w:r>
          </w:p>
        </w:tc>
      </w:tr>
      <w:tr w14:paraId="11F101BD">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Pr>
          <w:p w14:paraId="732DC980">
            <w:pPr>
              <w:rPr>
                <w:rFonts w:asciiTheme="minorHAnsi" w:hAnsiTheme="minorHAnsi" w:eastAsiaTheme="minorEastAsia" w:cstheme="minorBidi"/>
                <w:b/>
                <w:bCs/>
              </w:rPr>
            </w:pPr>
            <w:r>
              <w:rPr>
                <w:rFonts w:hint="eastAsia" w:asciiTheme="minorHAnsi" w:hAnsiTheme="minorHAnsi" w:eastAsiaTheme="minorEastAsia" w:cstheme="minorBidi"/>
                <w:b/>
                <w:bCs/>
              </w:rPr>
              <w:t>7</w:t>
            </w:r>
          </w:p>
        </w:tc>
        <w:tc>
          <w:tcPr>
            <w:tcW w:w="1607" w:type="dxa"/>
          </w:tcPr>
          <w:p w14:paraId="5EFCFBBB">
            <w:pPr>
              <w:rPr>
                <w:rFonts w:asciiTheme="minorHAnsi" w:hAnsiTheme="minorHAnsi" w:eastAsiaTheme="minorEastAsia" w:cstheme="minorBidi"/>
              </w:rPr>
            </w:pPr>
            <w:r>
              <w:rPr>
                <w:rFonts w:asciiTheme="minorHAnsi" w:hAnsiTheme="minorHAnsi" w:eastAsiaTheme="minorEastAsia" w:cstheme="minorBidi"/>
              </w:rPr>
              <w:t>协助交易交割/结算法律支持</w:t>
            </w:r>
          </w:p>
        </w:tc>
        <w:tc>
          <w:tcPr>
            <w:tcW w:w="5764" w:type="dxa"/>
          </w:tcPr>
          <w:p w14:paraId="3D3CD8C8">
            <w:pPr>
              <w:rPr>
                <w:rFonts w:asciiTheme="minorHAnsi" w:hAnsiTheme="minorHAnsi" w:eastAsiaTheme="minorEastAsia" w:cstheme="minorBidi"/>
              </w:rPr>
            </w:pPr>
            <w:r>
              <w:rPr>
                <w:rFonts w:asciiTheme="minorHAnsi" w:hAnsiTheme="minorHAnsi" w:eastAsiaTheme="minorEastAsia" w:cstheme="minorBidi"/>
              </w:rPr>
              <w:t>1. 审阅境内交割条件及与备案、外汇、资金划转等相关文件；</w:t>
            </w:r>
            <w:r>
              <w:rPr>
                <w:rFonts w:asciiTheme="minorHAnsi" w:hAnsiTheme="minorHAnsi" w:eastAsiaTheme="minorEastAsia" w:cstheme="minorBidi"/>
              </w:rPr>
              <w:br w:type="textWrapping"/>
            </w:r>
            <w:r>
              <w:rPr>
                <w:rFonts w:asciiTheme="minorHAnsi" w:hAnsiTheme="minorHAnsi" w:eastAsiaTheme="minorEastAsia" w:cstheme="minorBidi"/>
              </w:rPr>
              <w:t>2. 协助客户落实跨境交割涉及的境内法律程序；</w:t>
            </w:r>
            <w:r>
              <w:rPr>
                <w:rFonts w:asciiTheme="minorHAnsi" w:hAnsiTheme="minorHAnsi" w:eastAsiaTheme="minorEastAsia" w:cstheme="minorBidi"/>
              </w:rPr>
              <w:br w:type="textWrapping"/>
            </w:r>
            <w:r>
              <w:rPr>
                <w:rFonts w:asciiTheme="minorHAnsi" w:hAnsiTheme="minorHAnsi" w:eastAsiaTheme="minorEastAsia" w:cstheme="minorBidi"/>
              </w:rPr>
              <w:t>3. 就交割及结算过程中涉及的其他中国境内法律事项提供专项法律支持。</w:t>
            </w:r>
          </w:p>
        </w:tc>
      </w:tr>
      <w:tr w14:paraId="6E8E3283">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Pr>
          <w:p w14:paraId="6C5E13F2">
            <w:pPr>
              <w:rPr>
                <w:rFonts w:asciiTheme="minorHAnsi" w:hAnsiTheme="minorHAnsi" w:eastAsiaTheme="minorEastAsia" w:cstheme="minorBidi"/>
                <w:b/>
                <w:bCs/>
              </w:rPr>
            </w:pPr>
            <w:r>
              <w:rPr>
                <w:rFonts w:hint="eastAsia" w:asciiTheme="minorHAnsi" w:hAnsiTheme="minorHAnsi" w:eastAsiaTheme="minorEastAsia" w:cstheme="minorBidi"/>
                <w:b/>
                <w:bCs/>
              </w:rPr>
              <w:t>8</w:t>
            </w:r>
          </w:p>
        </w:tc>
        <w:tc>
          <w:tcPr>
            <w:tcW w:w="1607" w:type="dxa"/>
          </w:tcPr>
          <w:p w14:paraId="6626EDD2">
            <w:pPr>
              <w:rPr>
                <w:rFonts w:asciiTheme="minorHAnsi" w:hAnsiTheme="minorHAnsi" w:eastAsiaTheme="minorEastAsia" w:cstheme="minorBidi"/>
              </w:rPr>
            </w:pPr>
            <w:r>
              <w:rPr>
                <w:rFonts w:asciiTheme="minorHAnsi" w:hAnsiTheme="minorHAnsi" w:eastAsiaTheme="minorEastAsia" w:cstheme="minorBidi"/>
              </w:rPr>
              <w:t>起草/审阅信息披露/发行文件合规章节</w:t>
            </w:r>
          </w:p>
        </w:tc>
        <w:tc>
          <w:tcPr>
            <w:tcW w:w="5764" w:type="dxa"/>
          </w:tcPr>
          <w:p w14:paraId="056CEF7F">
            <w:pPr>
              <w:rPr>
                <w:rFonts w:asciiTheme="minorHAnsi" w:hAnsiTheme="minorHAnsi" w:eastAsiaTheme="minorEastAsia" w:cstheme="minorBidi"/>
              </w:rPr>
            </w:pPr>
            <w:r>
              <w:rPr>
                <w:rFonts w:asciiTheme="minorHAnsi" w:hAnsiTheme="minorHAnsi" w:eastAsiaTheme="minorEastAsia" w:cstheme="minorBidi"/>
              </w:rPr>
              <w:t>1. 起草或审阅发行文件中与中国境内法律及监管事项相关的风险披露章节；</w:t>
            </w:r>
            <w:r>
              <w:rPr>
                <w:rFonts w:asciiTheme="minorHAnsi" w:hAnsiTheme="minorHAnsi" w:eastAsiaTheme="minorEastAsia" w:cstheme="minorBidi"/>
              </w:rPr>
              <w:br w:type="textWrapping"/>
            </w:r>
            <w:r>
              <w:rPr>
                <w:rFonts w:asciiTheme="minorHAnsi" w:hAnsiTheme="minorHAnsi" w:eastAsiaTheme="minorEastAsia" w:cstheme="minorBidi"/>
              </w:rPr>
              <w:t>2. 起草或审阅与中国境内法律相关的免责声明、适用法律及争议解决条款。</w:t>
            </w:r>
          </w:p>
        </w:tc>
      </w:tr>
      <w:bookmarkEnd w:id="30"/>
    </w:tbl>
    <w:p w14:paraId="04B94143">
      <w:pPr>
        <w:spacing w:line="360" w:lineRule="auto"/>
        <w:outlineLvl w:val="1"/>
        <w:rPr>
          <w:rFonts w:cs="宋体"/>
          <w:b/>
          <w:bCs/>
          <w:sz w:val="22"/>
        </w:rPr>
      </w:pPr>
      <w:r>
        <w:rPr>
          <w:rFonts w:hint="eastAsia" w:cs="宋体"/>
          <w:b/>
          <w:bCs/>
          <w:sz w:val="22"/>
        </w:rPr>
        <w:t>三、</w:t>
      </w:r>
      <w:bookmarkEnd w:id="31"/>
      <w:bookmarkEnd w:id="32"/>
      <w:bookmarkStart w:id="36" w:name="_Toc30912"/>
      <w:bookmarkStart w:id="37" w:name="_Toc29855"/>
      <w:bookmarkStart w:id="38" w:name="_Toc12422"/>
      <w:bookmarkStart w:id="39" w:name="_Toc24793"/>
      <w:r>
        <w:rPr>
          <w:rFonts w:hint="eastAsia" w:cs="宋体"/>
          <w:b/>
          <w:bCs/>
          <w:sz w:val="22"/>
        </w:rPr>
        <w:t>公告发布平台</w:t>
      </w:r>
    </w:p>
    <w:p w14:paraId="02CA5691">
      <w:pPr>
        <w:spacing w:line="360" w:lineRule="auto"/>
        <w:outlineLvl w:val="1"/>
        <w:rPr>
          <w:rFonts w:ascii="宋体" w:hAnsi="宋体" w:cs="宋体"/>
          <w:sz w:val="22"/>
        </w:rPr>
      </w:pPr>
      <w:r>
        <w:rPr>
          <w:rFonts w:hint="eastAsia" w:ascii="宋体" w:hAnsi="宋体" w:cs="宋体"/>
          <w:sz w:val="22"/>
        </w:rPr>
        <w:t>阳光采购平台。</w:t>
      </w:r>
    </w:p>
    <w:p w14:paraId="45A71A7B">
      <w:pPr>
        <w:spacing w:line="360" w:lineRule="auto"/>
        <w:outlineLvl w:val="1"/>
        <w:rPr>
          <w:rFonts w:cs="宋体"/>
          <w:b/>
          <w:bCs/>
          <w:sz w:val="22"/>
        </w:rPr>
      </w:pPr>
      <w:bookmarkStart w:id="40" w:name="_Toc1682"/>
      <w:bookmarkStart w:id="41" w:name="_Toc100130479"/>
      <w:r>
        <w:rPr>
          <w:rFonts w:hint="eastAsia" w:cs="宋体"/>
          <w:b/>
          <w:bCs/>
          <w:sz w:val="22"/>
        </w:rPr>
        <w:t>四、</w:t>
      </w:r>
      <w:bookmarkEnd w:id="33"/>
      <w:bookmarkEnd w:id="34"/>
      <w:bookmarkEnd w:id="35"/>
      <w:bookmarkEnd w:id="36"/>
      <w:bookmarkEnd w:id="37"/>
      <w:bookmarkEnd w:id="38"/>
      <w:bookmarkEnd w:id="39"/>
      <w:bookmarkEnd w:id="40"/>
      <w:bookmarkEnd w:id="41"/>
      <w:bookmarkStart w:id="42" w:name="_Toc15105"/>
      <w:bookmarkStart w:id="43" w:name="_Toc26728"/>
      <w:bookmarkStart w:id="44" w:name="_Toc31396"/>
      <w:bookmarkStart w:id="45" w:name="_Toc444266722"/>
      <w:r>
        <w:rPr>
          <w:rFonts w:hint="eastAsia" w:cs="宋体"/>
          <w:b/>
          <w:bCs/>
          <w:sz w:val="22"/>
        </w:rPr>
        <w:t>询价文件的获取地点</w:t>
      </w:r>
    </w:p>
    <w:p w14:paraId="3B8E9704">
      <w:pPr>
        <w:spacing w:line="360" w:lineRule="auto"/>
        <w:outlineLvl w:val="1"/>
        <w:rPr>
          <w:rFonts w:ascii="宋体" w:hAnsi="宋体" w:cs="宋体"/>
          <w:sz w:val="22"/>
        </w:rPr>
      </w:pPr>
      <w:r>
        <w:rPr>
          <w:rFonts w:hint="eastAsia" w:ascii="宋体" w:hAnsi="宋体" w:cs="宋体"/>
          <w:sz w:val="22"/>
        </w:rPr>
        <w:t>请符合资格并被邀请的供应商</w:t>
      </w:r>
      <w:r>
        <w:rPr>
          <w:rFonts w:hint="eastAsia" w:ascii="宋体" w:hAnsi="宋体" w:cs="宋体"/>
          <w:sz w:val="22"/>
          <w:highlight w:val="none"/>
        </w:rPr>
        <w:t>于202</w:t>
      </w:r>
      <w:r>
        <w:rPr>
          <w:rFonts w:ascii="宋体" w:hAnsi="宋体" w:cs="宋体"/>
          <w:sz w:val="22"/>
          <w:highlight w:val="none"/>
        </w:rPr>
        <w:t>6</w:t>
      </w:r>
      <w:r>
        <w:rPr>
          <w:rFonts w:hint="eastAsia" w:ascii="宋体" w:hAnsi="宋体" w:cs="宋体"/>
          <w:sz w:val="22"/>
          <w:highlight w:val="none"/>
        </w:rPr>
        <w:t>年</w:t>
      </w:r>
      <w:r>
        <w:rPr>
          <w:rFonts w:hint="eastAsia" w:ascii="宋体" w:hAnsi="宋体" w:cs="宋体"/>
          <w:sz w:val="22"/>
          <w:highlight w:val="none"/>
          <w:lang w:val="en-US" w:eastAsia="zh-CN"/>
        </w:rPr>
        <w:t>6</w:t>
      </w:r>
      <w:r>
        <w:rPr>
          <w:rFonts w:hint="eastAsia" w:ascii="宋体" w:hAnsi="宋体" w:cs="宋体"/>
          <w:sz w:val="22"/>
          <w:highlight w:val="none"/>
        </w:rPr>
        <w:t>月</w:t>
      </w:r>
      <w:r>
        <w:rPr>
          <w:rFonts w:hint="eastAsia" w:ascii="宋体" w:hAnsi="宋体" w:cs="宋体"/>
          <w:sz w:val="22"/>
          <w:highlight w:val="none"/>
          <w:lang w:val="en-US" w:eastAsia="zh-CN"/>
        </w:rPr>
        <w:t>18</w:t>
      </w:r>
      <w:r>
        <w:rPr>
          <w:rFonts w:hint="eastAsia" w:ascii="宋体" w:hAnsi="宋体" w:cs="宋体"/>
          <w:sz w:val="22"/>
          <w:highlight w:val="none"/>
        </w:rPr>
        <w:t>日下午</w:t>
      </w:r>
      <w:r>
        <w:rPr>
          <w:rFonts w:hint="eastAsia" w:ascii="宋体" w:hAnsi="宋体" w:cs="宋体"/>
          <w:sz w:val="22"/>
          <w:highlight w:val="none"/>
          <w:lang w:val="en-US" w:eastAsia="zh-CN"/>
        </w:rPr>
        <w:t>14</w:t>
      </w:r>
      <w:r>
        <w:rPr>
          <w:rFonts w:hint="eastAsia" w:ascii="宋体" w:hAnsi="宋体" w:cs="宋体"/>
          <w:sz w:val="22"/>
          <w:highlight w:val="none"/>
        </w:rPr>
        <w:t>:</w:t>
      </w:r>
      <w:r>
        <w:rPr>
          <w:rFonts w:hint="eastAsia" w:ascii="宋体" w:hAnsi="宋体" w:cs="宋体"/>
          <w:sz w:val="22"/>
          <w:highlight w:val="none"/>
          <w:lang w:val="en-US" w:eastAsia="zh-CN"/>
        </w:rPr>
        <w:t>30前</w:t>
      </w:r>
      <w:bookmarkStart w:id="104" w:name="_GoBack"/>
      <w:bookmarkEnd w:id="104"/>
      <w:r>
        <w:rPr>
          <w:rFonts w:hint="eastAsia" w:ascii="宋体" w:hAnsi="宋体" w:cs="宋体"/>
          <w:sz w:val="22"/>
          <w:highlight w:val="none"/>
        </w:rPr>
        <w:t>于阳光</w:t>
      </w:r>
      <w:r>
        <w:rPr>
          <w:rFonts w:hint="eastAsia" w:ascii="宋体" w:hAnsi="宋体" w:cs="宋体"/>
          <w:sz w:val="22"/>
        </w:rPr>
        <w:t>采购平台下载。</w:t>
      </w:r>
    </w:p>
    <w:p w14:paraId="1FFF6373">
      <w:pPr>
        <w:spacing w:line="360" w:lineRule="auto"/>
        <w:outlineLvl w:val="1"/>
        <w:rPr>
          <w:rFonts w:ascii="宋体" w:hAnsi="宋体" w:cs="宋体"/>
          <w:sz w:val="22"/>
        </w:rPr>
      </w:pPr>
      <w:r>
        <w:rPr>
          <w:rFonts w:hint="eastAsia" w:ascii="宋体" w:hAnsi="宋体" w:cs="宋体"/>
          <w:sz w:val="22"/>
        </w:rPr>
        <w:t>联系人：</w:t>
      </w:r>
      <w:r>
        <w:rPr>
          <w:rFonts w:hint="eastAsia" w:ascii="宋体" w:hAnsi="宋体" w:cs="宋体"/>
          <w:sz w:val="22"/>
          <w:lang w:val="en-US" w:eastAsia="zh-CN"/>
        </w:rPr>
        <w:t>杜</w:t>
      </w:r>
      <w:r>
        <w:rPr>
          <w:rFonts w:hint="eastAsia" w:ascii="宋体" w:hAnsi="宋体" w:cs="宋体"/>
          <w:sz w:val="22"/>
        </w:rPr>
        <w:t>工，联系方式：0755-28501987。</w:t>
      </w:r>
    </w:p>
    <w:p w14:paraId="69A489A1">
      <w:pPr>
        <w:spacing w:line="360" w:lineRule="auto"/>
        <w:outlineLvl w:val="1"/>
        <w:rPr>
          <w:rFonts w:cs="宋体"/>
          <w:b/>
          <w:bCs/>
          <w:sz w:val="22"/>
        </w:rPr>
      </w:pPr>
      <w:bookmarkStart w:id="46" w:name="_Toc100130480"/>
      <w:bookmarkStart w:id="47" w:name="_Toc5279"/>
      <w:bookmarkStart w:id="48" w:name="_Toc17675"/>
      <w:bookmarkStart w:id="49" w:name="_Toc21799"/>
      <w:bookmarkStart w:id="50" w:name="_Toc5259"/>
      <w:bookmarkStart w:id="51" w:name="_Toc21373"/>
      <w:r>
        <w:rPr>
          <w:rFonts w:hint="eastAsia" w:cs="宋体"/>
          <w:b/>
          <w:bCs/>
          <w:sz w:val="22"/>
        </w:rPr>
        <w:t>五、</w:t>
      </w:r>
      <w:bookmarkEnd w:id="42"/>
      <w:bookmarkEnd w:id="43"/>
      <w:bookmarkEnd w:id="44"/>
      <w:bookmarkEnd w:id="45"/>
      <w:bookmarkEnd w:id="46"/>
      <w:bookmarkEnd w:id="47"/>
      <w:bookmarkEnd w:id="48"/>
      <w:bookmarkEnd w:id="49"/>
      <w:bookmarkEnd w:id="50"/>
      <w:bookmarkEnd w:id="51"/>
      <w:bookmarkStart w:id="52" w:name="_Toc29910"/>
      <w:bookmarkStart w:id="53" w:name="_Toc7643"/>
      <w:bookmarkStart w:id="54" w:name="_Toc4132"/>
      <w:bookmarkStart w:id="55" w:name="_Toc14655"/>
      <w:bookmarkStart w:id="56" w:name="_Toc100130481"/>
      <w:bookmarkStart w:id="57" w:name="_Toc22065"/>
      <w:bookmarkStart w:id="58" w:name="_Toc16194"/>
      <w:r>
        <w:rPr>
          <w:rFonts w:hint="eastAsia" w:cs="宋体"/>
          <w:b/>
          <w:bCs/>
          <w:sz w:val="22"/>
        </w:rPr>
        <w:t>报价截止时间和文件递交地址</w:t>
      </w:r>
    </w:p>
    <w:p w14:paraId="08CE63EB">
      <w:pPr>
        <w:spacing w:line="360" w:lineRule="auto"/>
        <w:outlineLvl w:val="1"/>
        <w:rPr>
          <w:rFonts w:ascii="宋体" w:hAnsi="宋体" w:cs="宋体"/>
          <w:sz w:val="22"/>
        </w:rPr>
      </w:pPr>
      <w:r>
        <w:rPr>
          <w:rFonts w:hint="eastAsia" w:ascii="宋体" w:hAnsi="宋体" w:cs="宋体"/>
          <w:sz w:val="22"/>
        </w:rPr>
        <w:t>请</w:t>
      </w:r>
      <w:r>
        <w:rPr>
          <w:rFonts w:hint="eastAsia" w:ascii="宋体" w:hAnsi="宋体" w:cs="宋体"/>
          <w:sz w:val="22"/>
          <w:highlight w:val="none"/>
        </w:rPr>
        <w:t>于202</w:t>
      </w:r>
      <w:r>
        <w:rPr>
          <w:rFonts w:ascii="宋体" w:hAnsi="宋体" w:cs="宋体"/>
          <w:sz w:val="22"/>
          <w:highlight w:val="none"/>
        </w:rPr>
        <w:t>6</w:t>
      </w:r>
      <w:r>
        <w:rPr>
          <w:rFonts w:hint="eastAsia" w:ascii="宋体" w:hAnsi="宋体" w:cs="宋体"/>
          <w:sz w:val="22"/>
          <w:highlight w:val="none"/>
        </w:rPr>
        <w:t>年</w:t>
      </w:r>
      <w:r>
        <w:rPr>
          <w:rFonts w:hint="eastAsia" w:ascii="宋体" w:hAnsi="宋体" w:cs="宋体"/>
          <w:sz w:val="22"/>
          <w:highlight w:val="none"/>
          <w:lang w:val="en-US" w:eastAsia="zh-CN"/>
        </w:rPr>
        <w:t>6</w:t>
      </w:r>
      <w:r>
        <w:rPr>
          <w:rFonts w:hint="eastAsia" w:ascii="宋体" w:hAnsi="宋体" w:cs="宋体"/>
          <w:sz w:val="22"/>
          <w:highlight w:val="none"/>
        </w:rPr>
        <w:t>月</w:t>
      </w:r>
      <w:r>
        <w:rPr>
          <w:rFonts w:hint="eastAsia" w:ascii="宋体" w:hAnsi="宋体" w:cs="宋体"/>
          <w:sz w:val="22"/>
          <w:highlight w:val="none"/>
          <w:lang w:val="en-US" w:eastAsia="zh-CN"/>
        </w:rPr>
        <w:t>18</w:t>
      </w:r>
      <w:r>
        <w:rPr>
          <w:rFonts w:hint="eastAsia" w:ascii="宋体" w:hAnsi="宋体" w:cs="宋体"/>
          <w:sz w:val="22"/>
          <w:highlight w:val="none"/>
        </w:rPr>
        <w:t>日下午</w:t>
      </w:r>
      <w:r>
        <w:rPr>
          <w:rFonts w:hint="eastAsia" w:ascii="宋体" w:hAnsi="宋体" w:cs="宋体"/>
          <w:sz w:val="22"/>
          <w:highlight w:val="none"/>
          <w:lang w:val="en-US" w:eastAsia="zh-CN"/>
        </w:rPr>
        <w:t>14</w:t>
      </w:r>
      <w:r>
        <w:rPr>
          <w:rFonts w:hint="eastAsia" w:ascii="宋体" w:hAnsi="宋体" w:cs="宋体"/>
          <w:sz w:val="22"/>
          <w:highlight w:val="none"/>
        </w:rPr>
        <w:t>:</w:t>
      </w:r>
      <w:r>
        <w:rPr>
          <w:rFonts w:hint="eastAsia" w:ascii="宋体" w:hAnsi="宋体" w:cs="宋体"/>
          <w:sz w:val="22"/>
          <w:highlight w:val="none"/>
          <w:lang w:val="en-US" w:eastAsia="zh-CN"/>
        </w:rPr>
        <w:t>30</w:t>
      </w:r>
      <w:r>
        <w:rPr>
          <w:rFonts w:hint="eastAsia" w:ascii="宋体" w:hAnsi="宋体" w:cs="宋体"/>
          <w:sz w:val="22"/>
          <w:highlight w:val="none"/>
        </w:rPr>
        <w:t>前</w:t>
      </w:r>
      <w:r>
        <w:rPr>
          <w:rFonts w:hint="eastAsia" w:ascii="宋体" w:hAnsi="宋体" w:cs="宋体"/>
          <w:sz w:val="22"/>
        </w:rPr>
        <w:t>将</w:t>
      </w:r>
      <w:r>
        <w:rPr>
          <w:rFonts w:hint="eastAsia" w:ascii="宋体" w:hAnsi="宋体" w:cs="宋体"/>
          <w:b/>
          <w:bCs/>
          <w:color w:val="FF0000"/>
          <w:sz w:val="22"/>
          <w:u w:val="single"/>
        </w:rPr>
        <w:t>纸质版响应文件</w:t>
      </w:r>
      <w:r>
        <w:rPr>
          <w:rFonts w:hint="eastAsia" w:ascii="宋体" w:hAnsi="宋体" w:cs="宋体"/>
          <w:sz w:val="22"/>
        </w:rPr>
        <w:t>递交至，签收人：</w:t>
      </w:r>
      <w:r>
        <w:rPr>
          <w:rFonts w:hint="eastAsia" w:ascii="宋体" w:hAnsi="宋体" w:cs="宋体"/>
          <w:sz w:val="22"/>
          <w:lang w:val="en-US" w:eastAsia="zh-CN"/>
        </w:rPr>
        <w:t>杜</w:t>
      </w:r>
      <w:r>
        <w:rPr>
          <w:rFonts w:hint="eastAsia" w:ascii="宋体" w:hAnsi="宋体" w:cs="宋体"/>
          <w:sz w:val="22"/>
        </w:rPr>
        <w:t>工，联系方式：0755-28501987。</w:t>
      </w:r>
    </w:p>
    <w:p w14:paraId="6BA4B254">
      <w:pPr>
        <w:adjustRightInd w:val="0"/>
        <w:snapToGrid w:val="0"/>
        <w:spacing w:line="360" w:lineRule="auto"/>
        <w:jc w:val="left"/>
        <w:outlineLvl w:val="1"/>
        <w:rPr>
          <w:rFonts w:cs="宋体"/>
          <w:sz w:val="22"/>
        </w:rPr>
      </w:pPr>
      <w:r>
        <w:rPr>
          <w:rFonts w:hint="eastAsia" w:cs="宋体"/>
          <w:sz w:val="22"/>
        </w:rPr>
        <w:t>供应商在提交报价文件时，应注意:</w:t>
      </w:r>
    </w:p>
    <w:p w14:paraId="2204656F">
      <w:pPr>
        <w:adjustRightInd w:val="0"/>
        <w:snapToGrid w:val="0"/>
        <w:spacing w:line="360" w:lineRule="auto"/>
        <w:jc w:val="left"/>
        <w:outlineLvl w:val="1"/>
        <w:rPr>
          <w:rFonts w:cs="宋体"/>
          <w:sz w:val="22"/>
        </w:rPr>
      </w:pPr>
      <w:r>
        <w:rPr>
          <w:rFonts w:hint="eastAsia" w:cs="宋体"/>
          <w:sz w:val="22"/>
        </w:rPr>
        <w:t>（一）</w:t>
      </w:r>
      <w:r>
        <w:rPr>
          <w:rFonts w:hint="eastAsia" w:ascii="宋体" w:hAnsi="宋体" w:cs="宋体"/>
          <w:sz w:val="22"/>
        </w:rPr>
        <w:t>供应商</w:t>
      </w:r>
      <w:r>
        <w:rPr>
          <w:rFonts w:hint="eastAsia" w:cs="宋体"/>
          <w:sz w:val="22"/>
        </w:rPr>
        <w:t>应严格对纸质响应文件进行密封并在密封条上盖章。</w:t>
      </w:r>
    </w:p>
    <w:p w14:paraId="26F2AAA1">
      <w:pPr>
        <w:adjustRightInd w:val="0"/>
        <w:snapToGrid w:val="0"/>
        <w:spacing w:line="360" w:lineRule="auto"/>
        <w:jc w:val="left"/>
        <w:outlineLvl w:val="1"/>
        <w:rPr>
          <w:rFonts w:cs="宋体"/>
          <w:sz w:val="22"/>
        </w:rPr>
      </w:pPr>
      <w:r>
        <w:rPr>
          <w:rFonts w:hint="eastAsia" w:cs="宋体"/>
          <w:sz w:val="22"/>
        </w:rPr>
        <w:t>（二）</w:t>
      </w:r>
      <w:r>
        <w:rPr>
          <w:rFonts w:hint="eastAsia" w:ascii="宋体" w:hAnsi="宋体" w:cs="宋体"/>
          <w:sz w:val="22"/>
        </w:rPr>
        <w:t>供应商</w:t>
      </w:r>
      <w:r>
        <w:rPr>
          <w:rFonts w:hint="eastAsia" w:cs="宋体"/>
          <w:sz w:val="22"/>
        </w:rPr>
        <w:t>应当在报价截止时间前，将纸质响应文件送达指定地点。</w:t>
      </w:r>
    </w:p>
    <w:p w14:paraId="051D3A2A">
      <w:pPr>
        <w:adjustRightInd w:val="0"/>
        <w:snapToGrid w:val="0"/>
        <w:spacing w:line="360" w:lineRule="auto"/>
        <w:jc w:val="left"/>
        <w:outlineLvl w:val="1"/>
      </w:pPr>
      <w:r>
        <w:rPr>
          <w:rFonts w:hint="eastAsia" w:cs="宋体"/>
          <w:sz w:val="22"/>
        </w:rPr>
        <w:t>拟参与本项目报价的供应商，如报价前有疑问可来电咨询。</w:t>
      </w:r>
    </w:p>
    <w:p w14:paraId="4FD885A2">
      <w:pPr>
        <w:adjustRightInd w:val="0"/>
        <w:snapToGrid w:val="0"/>
        <w:spacing w:line="360" w:lineRule="auto"/>
        <w:jc w:val="left"/>
        <w:outlineLvl w:val="1"/>
        <w:rPr>
          <w:rFonts w:ascii="宋体" w:hAnsi="宋体"/>
          <w:b/>
          <w:sz w:val="22"/>
        </w:rPr>
      </w:pPr>
      <w:r>
        <w:rPr>
          <w:rFonts w:hint="eastAsia" w:cs="宋体"/>
          <w:b/>
          <w:bCs/>
          <w:sz w:val="22"/>
        </w:rPr>
        <w:t>六</w:t>
      </w:r>
      <w:r>
        <w:rPr>
          <w:rFonts w:hint="eastAsia" w:ascii="宋体" w:hAnsi="宋体"/>
          <w:b/>
          <w:sz w:val="22"/>
        </w:rPr>
        <w:t>、响应文件递交内容</w:t>
      </w:r>
    </w:p>
    <w:p w14:paraId="76982DB5">
      <w:pPr>
        <w:spacing w:line="360" w:lineRule="auto"/>
        <w:outlineLvl w:val="1"/>
        <w:rPr>
          <w:rFonts w:cs="宋体"/>
          <w:sz w:val="22"/>
        </w:rPr>
      </w:pPr>
      <w:r>
        <w:rPr>
          <w:rFonts w:hint="eastAsia" w:cs="宋体"/>
          <w:sz w:val="22"/>
        </w:rPr>
        <w:t>（一）</w:t>
      </w:r>
      <w:r>
        <w:rPr>
          <w:rFonts w:hint="eastAsia" w:ascii="宋体" w:hAnsi="宋体"/>
          <w:bCs/>
          <w:sz w:val="22"/>
        </w:rPr>
        <w:t>投标函并加盖</w:t>
      </w:r>
      <w:r>
        <w:rPr>
          <w:rFonts w:hint="eastAsia" w:ascii="宋体" w:hAnsi="宋体" w:cs="宋体"/>
          <w:sz w:val="22"/>
        </w:rPr>
        <w:t>供应商</w:t>
      </w:r>
      <w:r>
        <w:rPr>
          <w:rFonts w:hint="eastAsia" w:ascii="宋体" w:hAnsi="宋体"/>
          <w:bCs/>
          <w:sz w:val="22"/>
        </w:rPr>
        <w:t>公章。</w:t>
      </w:r>
    </w:p>
    <w:p w14:paraId="6281DFDA">
      <w:pPr>
        <w:spacing w:line="360" w:lineRule="auto"/>
        <w:outlineLvl w:val="1"/>
        <w:rPr>
          <w:rFonts w:ascii="宋体" w:hAnsi="宋体"/>
          <w:bCs/>
          <w:sz w:val="22"/>
        </w:rPr>
      </w:pPr>
      <w:r>
        <w:rPr>
          <w:rFonts w:hint="eastAsia" w:cs="宋体"/>
          <w:sz w:val="22"/>
        </w:rPr>
        <w:t>（二）</w:t>
      </w:r>
      <w:r>
        <w:rPr>
          <w:rFonts w:hint="eastAsia" w:ascii="宋体" w:hAnsi="宋体"/>
          <w:bCs/>
          <w:sz w:val="22"/>
        </w:rPr>
        <w:t>营业执照副本复印件并加盖</w:t>
      </w:r>
      <w:r>
        <w:rPr>
          <w:rFonts w:hint="eastAsia" w:ascii="宋体" w:hAnsi="宋体" w:cs="宋体"/>
          <w:sz w:val="22"/>
        </w:rPr>
        <w:t>供应商</w:t>
      </w:r>
      <w:r>
        <w:rPr>
          <w:rFonts w:hint="eastAsia" w:ascii="宋体" w:hAnsi="宋体"/>
          <w:bCs/>
          <w:sz w:val="22"/>
        </w:rPr>
        <w:t>公章。</w:t>
      </w:r>
    </w:p>
    <w:p w14:paraId="553EE5BF">
      <w:pPr>
        <w:spacing w:line="360" w:lineRule="auto"/>
        <w:outlineLvl w:val="1"/>
      </w:pPr>
      <w:r>
        <w:rPr>
          <w:rFonts w:hint="eastAsia" w:cs="宋体"/>
          <w:sz w:val="22"/>
        </w:rPr>
        <w:t>（三）</w:t>
      </w:r>
      <w:r>
        <w:rPr>
          <w:rFonts w:hint="eastAsia" w:ascii="宋体" w:hAnsi="宋体" w:cs="宋体"/>
          <w:kern w:val="0"/>
          <w:sz w:val="22"/>
        </w:rPr>
        <w:t>法人证明书或授权委托书原件加盖</w:t>
      </w:r>
      <w:r>
        <w:rPr>
          <w:rFonts w:hint="eastAsia" w:ascii="宋体" w:hAnsi="宋体" w:cs="宋体"/>
          <w:sz w:val="22"/>
        </w:rPr>
        <w:t>供应商</w:t>
      </w:r>
      <w:r>
        <w:rPr>
          <w:rFonts w:hint="eastAsia" w:ascii="宋体" w:hAnsi="宋体" w:cs="宋体"/>
          <w:kern w:val="0"/>
          <w:sz w:val="22"/>
        </w:rPr>
        <w:t>公章。</w:t>
      </w:r>
    </w:p>
    <w:p w14:paraId="1D35F313">
      <w:pPr>
        <w:spacing w:line="360" w:lineRule="auto"/>
        <w:outlineLvl w:val="1"/>
      </w:pPr>
      <w:r>
        <w:rPr>
          <w:rFonts w:hint="eastAsia" w:cs="宋体"/>
          <w:sz w:val="22"/>
        </w:rPr>
        <w:t>（四）</w:t>
      </w:r>
      <w:r>
        <w:rPr>
          <w:rFonts w:hint="eastAsia" w:ascii="宋体" w:hAnsi="宋体"/>
          <w:bCs/>
          <w:sz w:val="22"/>
        </w:rPr>
        <w:t>本项目报价函及报价单加盖</w:t>
      </w:r>
      <w:r>
        <w:rPr>
          <w:rFonts w:hint="eastAsia" w:ascii="宋体" w:hAnsi="宋体" w:cs="宋体"/>
          <w:sz w:val="22"/>
        </w:rPr>
        <w:t>供应商</w:t>
      </w:r>
      <w:r>
        <w:rPr>
          <w:rFonts w:hint="eastAsia" w:ascii="宋体" w:hAnsi="宋体"/>
          <w:bCs/>
          <w:sz w:val="22"/>
        </w:rPr>
        <w:t>公章。</w:t>
      </w:r>
    </w:p>
    <w:p w14:paraId="16DC94D3">
      <w:pPr>
        <w:spacing w:line="360" w:lineRule="auto"/>
        <w:outlineLvl w:val="1"/>
        <w:rPr>
          <w:rFonts w:ascii="宋体" w:hAnsi="宋体"/>
          <w:bCs/>
          <w:sz w:val="22"/>
        </w:rPr>
      </w:pPr>
      <w:r>
        <w:rPr>
          <w:rFonts w:hint="eastAsia" w:ascii="宋体" w:hAnsi="宋体"/>
          <w:bCs/>
          <w:sz w:val="22"/>
        </w:rPr>
        <w:t>（五）业绩证明文件加盖供应商公章。</w:t>
      </w:r>
    </w:p>
    <w:p w14:paraId="0AB942BC">
      <w:pPr>
        <w:spacing w:line="360" w:lineRule="auto"/>
        <w:outlineLvl w:val="1"/>
        <w:rPr>
          <w:rFonts w:cs="宋体"/>
          <w:b/>
          <w:bCs/>
          <w:sz w:val="22"/>
        </w:rPr>
      </w:pPr>
      <w:r>
        <w:rPr>
          <w:rFonts w:hint="eastAsia" w:ascii="宋体" w:hAnsi="宋体"/>
          <w:b/>
          <w:sz w:val="22"/>
        </w:rPr>
        <w:t>七</w:t>
      </w:r>
      <w:r>
        <w:rPr>
          <w:rFonts w:hint="eastAsia" w:cs="宋体"/>
          <w:b/>
          <w:bCs/>
          <w:sz w:val="22"/>
        </w:rPr>
        <w:t>、</w:t>
      </w:r>
      <w:bookmarkEnd w:id="52"/>
      <w:bookmarkEnd w:id="53"/>
      <w:bookmarkEnd w:id="54"/>
      <w:bookmarkEnd w:id="55"/>
      <w:bookmarkEnd w:id="56"/>
      <w:bookmarkEnd w:id="57"/>
      <w:bookmarkStart w:id="59" w:name="_Toc22015"/>
      <w:bookmarkStart w:id="60" w:name="_Toc100130482"/>
      <w:bookmarkStart w:id="61" w:name="_Toc922"/>
      <w:bookmarkStart w:id="62" w:name="_Toc11546"/>
      <w:bookmarkStart w:id="63" w:name="_Toc32730"/>
      <w:bookmarkStart w:id="64" w:name="_Toc31767"/>
      <w:r>
        <w:rPr>
          <w:rFonts w:hint="eastAsia" w:ascii="宋体" w:hAnsi="宋体" w:cs="宋体"/>
          <w:b/>
          <w:bCs/>
          <w:sz w:val="22"/>
        </w:rPr>
        <w:t>供应商</w:t>
      </w:r>
      <w:r>
        <w:rPr>
          <w:rFonts w:hint="eastAsia" w:cs="宋体"/>
          <w:b/>
          <w:bCs/>
          <w:sz w:val="22"/>
        </w:rPr>
        <w:t>资格要求</w:t>
      </w:r>
    </w:p>
    <w:bookmarkEnd w:id="58"/>
    <w:bookmarkEnd w:id="59"/>
    <w:bookmarkEnd w:id="60"/>
    <w:bookmarkEnd w:id="61"/>
    <w:bookmarkEnd w:id="62"/>
    <w:bookmarkEnd w:id="63"/>
    <w:bookmarkEnd w:id="64"/>
    <w:p w14:paraId="65B54477">
      <w:pPr>
        <w:adjustRightInd w:val="0"/>
        <w:snapToGrid w:val="0"/>
        <w:spacing w:line="360" w:lineRule="auto"/>
        <w:jc w:val="left"/>
        <w:outlineLvl w:val="1"/>
        <w:rPr>
          <w:rFonts w:ascii="仿宋_GB2312" w:hAnsi="仿宋_GB2312" w:cs="仿宋_GB2312"/>
          <w:sz w:val="24"/>
          <w:szCs w:val="24"/>
        </w:rPr>
      </w:pPr>
      <w:bookmarkStart w:id="65" w:name="_Toc7005"/>
      <w:bookmarkStart w:id="66" w:name="_Toc22760"/>
      <w:bookmarkStart w:id="67" w:name="_Toc2009"/>
      <w:bookmarkStart w:id="68" w:name="_Toc100130484"/>
      <w:bookmarkStart w:id="69" w:name="_Toc11601"/>
      <w:bookmarkStart w:id="70" w:name="_Toc5470"/>
      <w:bookmarkStart w:id="71" w:name="_Toc444266724"/>
      <w:bookmarkStart w:id="72" w:name="_Toc18785"/>
      <w:r>
        <w:rPr>
          <w:rFonts w:hint="eastAsia" w:ascii="仿宋_GB2312" w:hAnsi="仿宋_GB2312" w:cs="仿宋_GB2312"/>
          <w:sz w:val="24"/>
          <w:szCs w:val="24"/>
        </w:rPr>
        <w:t>1、投标人必须是经司法行政部门依法批准成立【3】年以上的律师事务所（提供律师事务所执业许可证扫描件）；</w:t>
      </w:r>
    </w:p>
    <w:p w14:paraId="484C901F">
      <w:pPr>
        <w:adjustRightInd w:val="0"/>
        <w:snapToGrid w:val="0"/>
        <w:spacing w:line="360" w:lineRule="auto"/>
        <w:jc w:val="left"/>
        <w:outlineLvl w:val="1"/>
        <w:rPr>
          <w:rFonts w:ascii="仿宋_GB2312" w:hAnsi="仿宋_GB2312" w:cs="仿宋_GB2312"/>
          <w:sz w:val="24"/>
          <w:szCs w:val="24"/>
        </w:rPr>
      </w:pPr>
      <w:r>
        <w:rPr>
          <w:rFonts w:hint="eastAsia" w:ascii="仿宋_GB2312" w:hAnsi="仿宋_GB2312" w:cs="仿宋_GB2312"/>
          <w:sz w:val="24"/>
          <w:szCs w:val="24"/>
        </w:rPr>
        <w:t>2、投标人近三年</w:t>
      </w: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2023年1月1日至公告挂网之日起</w:t>
      </w:r>
      <w:r>
        <w:rPr>
          <w:rFonts w:hint="eastAsia" w:ascii="仿宋_GB2312" w:hAnsi="仿宋_GB2312" w:cs="仿宋_GB2312"/>
          <w:sz w:val="24"/>
          <w:szCs w:val="24"/>
          <w:lang w:eastAsia="zh-CN"/>
        </w:rPr>
        <w:t>）</w:t>
      </w:r>
      <w:r>
        <w:rPr>
          <w:rFonts w:hint="eastAsia" w:ascii="仿宋_GB2312" w:hAnsi="仿宋_GB2312" w:cs="仿宋_GB2312"/>
          <w:sz w:val="24"/>
          <w:szCs w:val="24"/>
        </w:rPr>
        <w:t>具有至少【</w:t>
      </w:r>
      <w:r>
        <w:rPr>
          <w:rFonts w:ascii="仿宋_GB2312" w:hAnsi="仿宋_GB2312" w:cs="仿宋_GB2312"/>
          <w:sz w:val="24"/>
          <w:szCs w:val="24"/>
        </w:rPr>
        <w:t>1</w:t>
      </w:r>
      <w:r>
        <w:rPr>
          <w:rFonts w:hint="eastAsia" w:ascii="仿宋_GB2312" w:hAnsi="仿宋_GB2312" w:cs="仿宋_GB2312"/>
          <w:sz w:val="24"/>
          <w:szCs w:val="24"/>
        </w:rPr>
        <w:t>】个资产证券化、资产数字化、RWA、RDA等同类项目的服务案例（需提供近3年内有效的业绩证明材料，包括但不限于合同的首页、服务内容页、甲乙双方盖章页等关键页复印件）；</w:t>
      </w:r>
    </w:p>
    <w:p w14:paraId="2503541D">
      <w:pPr>
        <w:adjustRightInd w:val="0"/>
        <w:snapToGrid w:val="0"/>
        <w:spacing w:line="360" w:lineRule="auto"/>
        <w:jc w:val="left"/>
        <w:outlineLvl w:val="1"/>
        <w:rPr>
          <w:rFonts w:ascii="仿宋_GB2312" w:hAnsi="仿宋_GB2312" w:cs="仿宋_GB2312"/>
          <w:sz w:val="24"/>
          <w:szCs w:val="24"/>
        </w:rPr>
      </w:pPr>
      <w:r>
        <w:rPr>
          <w:rFonts w:hint="eastAsia" w:ascii="仿宋_GB2312" w:hAnsi="仿宋_GB2312" w:cs="仿宋_GB2312"/>
          <w:sz w:val="24"/>
          <w:szCs w:val="24"/>
        </w:rPr>
        <w:t>3、投标人承诺中标后项目不转包。</w:t>
      </w:r>
    </w:p>
    <w:p w14:paraId="6EDD8E79">
      <w:pPr>
        <w:adjustRightInd w:val="0"/>
        <w:snapToGrid w:val="0"/>
        <w:spacing w:line="360" w:lineRule="auto"/>
        <w:jc w:val="left"/>
        <w:outlineLvl w:val="1"/>
        <w:rPr>
          <w:rFonts w:ascii="宋体" w:hAnsi="宋体"/>
          <w:b/>
          <w:sz w:val="22"/>
        </w:rPr>
      </w:pPr>
      <w:r>
        <w:rPr>
          <w:rFonts w:hint="eastAsia" w:cs="宋体"/>
          <w:b/>
          <w:bCs/>
          <w:sz w:val="22"/>
        </w:rPr>
        <w:t>八</w:t>
      </w:r>
      <w:r>
        <w:rPr>
          <w:rFonts w:hint="eastAsia" w:ascii="宋体" w:hAnsi="宋体"/>
          <w:b/>
          <w:sz w:val="22"/>
        </w:rPr>
        <w:t>、最高报价上限</w:t>
      </w:r>
    </w:p>
    <w:p w14:paraId="576FB791">
      <w:pPr>
        <w:adjustRightInd w:val="0"/>
        <w:snapToGrid w:val="0"/>
        <w:spacing w:line="360" w:lineRule="auto"/>
        <w:jc w:val="left"/>
        <w:outlineLvl w:val="1"/>
        <w:rPr>
          <w:rFonts w:hint="eastAsia" w:ascii="宋体" w:hAnsi="宋体"/>
          <w:bCs/>
          <w:sz w:val="22"/>
        </w:rPr>
      </w:pPr>
      <w:r>
        <w:rPr>
          <w:rFonts w:hint="eastAsia" w:ascii="宋体" w:hAnsi="宋体"/>
          <w:bCs/>
          <w:sz w:val="22"/>
        </w:rPr>
        <w:t>本项目报价上限为人民币</w:t>
      </w:r>
      <w:r>
        <w:rPr>
          <w:rFonts w:ascii="宋体" w:hAnsi="宋体"/>
          <w:bCs/>
          <w:sz w:val="22"/>
        </w:rPr>
        <w:t>80</w:t>
      </w:r>
      <w:r>
        <w:rPr>
          <w:rFonts w:hint="eastAsia" w:ascii="宋体" w:hAnsi="宋体"/>
          <w:bCs/>
          <w:sz w:val="22"/>
        </w:rPr>
        <w:t>万元。供应商报价不得超出报价上限，否则将导致废标</w:t>
      </w:r>
    </w:p>
    <w:p w14:paraId="6DFDA467">
      <w:pPr>
        <w:adjustRightInd w:val="0"/>
        <w:snapToGrid w:val="0"/>
        <w:spacing w:line="360" w:lineRule="auto"/>
        <w:jc w:val="left"/>
        <w:outlineLvl w:val="1"/>
        <w:rPr>
          <w:rFonts w:hint="eastAsia" w:ascii="宋体" w:hAnsi="宋体" w:eastAsia="宋体" w:cs="Times New Roman"/>
          <w:b/>
          <w:sz w:val="22"/>
          <w:lang w:val="en-US" w:eastAsia="zh-CN"/>
        </w:rPr>
      </w:pPr>
      <w:r>
        <w:rPr>
          <w:rFonts w:hint="eastAsia" w:ascii="宋体" w:hAnsi="宋体" w:eastAsia="宋体" w:cs="Times New Roman"/>
          <w:b/>
          <w:sz w:val="22"/>
          <w:lang w:val="en-US" w:eastAsia="zh-CN"/>
        </w:rPr>
        <w:t>九、服务期</w:t>
      </w:r>
    </w:p>
    <w:p w14:paraId="7C93B9F3">
      <w:pPr>
        <w:numPr>
          <w:ilvl w:val="0"/>
          <w:numId w:val="0"/>
        </w:numPr>
        <w:adjustRightInd w:val="0"/>
        <w:snapToGrid w:val="0"/>
        <w:spacing w:line="360" w:lineRule="auto"/>
        <w:jc w:val="left"/>
        <w:outlineLvl w:val="1"/>
        <w:rPr>
          <w:rFonts w:hint="default" w:ascii="宋体" w:hAnsi="宋体"/>
          <w:bCs/>
          <w:sz w:val="22"/>
          <w:lang w:val="en-US" w:eastAsia="zh-CN"/>
        </w:rPr>
      </w:pPr>
      <w:r>
        <w:rPr>
          <w:rFonts w:hint="eastAsia" w:ascii="仿宋_GB2312" w:hAnsi="黑体" w:cs="Times New Roman"/>
          <w:szCs w:val="32"/>
          <w:highlight w:val="none"/>
        </w:rPr>
        <w:t>自合同签订后</w:t>
      </w:r>
      <w:r>
        <w:rPr>
          <w:rFonts w:ascii="Times New Roman" w:hAnsi="Times New Roman" w:cs="Times New Roman"/>
          <w:szCs w:val="32"/>
          <w:highlight w:val="none"/>
        </w:rPr>
        <w:t>6</w:t>
      </w:r>
      <w:r>
        <w:rPr>
          <w:rFonts w:hint="eastAsia" w:ascii="仿宋_GB2312" w:hAnsi="黑体" w:cs="Times New Roman"/>
          <w:szCs w:val="32"/>
          <w:highlight w:val="none"/>
        </w:rPr>
        <w:t>个月</w:t>
      </w:r>
      <w:r>
        <w:rPr>
          <w:rFonts w:hint="eastAsia" w:ascii="仿宋_GB2312" w:hAnsi="黑体" w:cs="Times New Roman"/>
          <w:szCs w:val="32"/>
          <w:highlight w:val="none"/>
          <w:lang w:val="en-US" w:eastAsia="zh-CN"/>
        </w:rPr>
        <w:t>内完成相关服务</w:t>
      </w:r>
      <w:r>
        <w:rPr>
          <w:rFonts w:hint="eastAsia" w:ascii="仿宋_GB2312" w:hAnsi="黑体" w:cs="Times New Roman"/>
          <w:szCs w:val="32"/>
          <w:highlight w:val="none"/>
          <w:lang w:eastAsia="zh-CN"/>
        </w:rPr>
        <w:t>。</w:t>
      </w:r>
    </w:p>
    <w:p w14:paraId="0CC3B177">
      <w:pPr>
        <w:adjustRightInd w:val="0"/>
        <w:snapToGrid w:val="0"/>
        <w:spacing w:line="360" w:lineRule="auto"/>
        <w:jc w:val="left"/>
        <w:outlineLvl w:val="1"/>
        <w:rPr>
          <w:rFonts w:ascii="宋体" w:hAnsi="宋体"/>
          <w:b/>
          <w:sz w:val="22"/>
        </w:rPr>
      </w:pPr>
      <w:r>
        <w:rPr>
          <w:rFonts w:hint="eastAsia" w:ascii="宋体" w:hAnsi="宋体"/>
          <w:b/>
          <w:sz w:val="22"/>
          <w:lang w:val="en-US" w:eastAsia="zh-CN"/>
        </w:rPr>
        <w:t>十</w:t>
      </w:r>
      <w:r>
        <w:rPr>
          <w:rFonts w:hint="eastAsia" w:ascii="宋体" w:hAnsi="宋体"/>
          <w:b/>
          <w:sz w:val="22"/>
        </w:rPr>
        <w:t>、报价方式</w:t>
      </w:r>
    </w:p>
    <w:p w14:paraId="69F8D35A">
      <w:pPr>
        <w:adjustRightInd w:val="0"/>
        <w:snapToGrid w:val="0"/>
        <w:spacing w:line="360" w:lineRule="auto"/>
        <w:jc w:val="left"/>
        <w:outlineLvl w:val="1"/>
        <w:rPr>
          <w:rFonts w:ascii="宋体" w:hAnsi="宋体"/>
          <w:bCs/>
          <w:sz w:val="22"/>
        </w:rPr>
      </w:pPr>
      <w:r>
        <w:rPr>
          <w:rFonts w:hint="eastAsia" w:ascii="宋体" w:hAnsi="宋体"/>
          <w:bCs/>
          <w:sz w:val="22"/>
        </w:rPr>
        <w:t>按清单规定要求报价。</w:t>
      </w:r>
    </w:p>
    <w:p w14:paraId="712B96C8">
      <w:pPr>
        <w:adjustRightInd w:val="0"/>
        <w:snapToGrid w:val="0"/>
        <w:spacing w:line="360" w:lineRule="auto"/>
        <w:jc w:val="left"/>
        <w:outlineLvl w:val="1"/>
        <w:rPr>
          <w:rFonts w:ascii="宋体" w:hAnsi="宋体"/>
          <w:b/>
          <w:sz w:val="22"/>
        </w:rPr>
      </w:pPr>
      <w:r>
        <w:rPr>
          <w:rFonts w:hint="eastAsia" w:ascii="宋体" w:hAnsi="宋体"/>
          <w:b/>
          <w:sz w:val="22"/>
        </w:rPr>
        <w:t>十</w:t>
      </w:r>
      <w:r>
        <w:rPr>
          <w:rFonts w:hint="eastAsia" w:ascii="宋体" w:hAnsi="宋体"/>
          <w:b/>
          <w:sz w:val="22"/>
          <w:lang w:val="en-US" w:eastAsia="zh-CN"/>
        </w:rPr>
        <w:t>一</w:t>
      </w:r>
      <w:r>
        <w:rPr>
          <w:rFonts w:hint="eastAsia" w:ascii="宋体" w:hAnsi="宋体"/>
          <w:b/>
          <w:sz w:val="22"/>
        </w:rPr>
        <w:t>、评审办法</w:t>
      </w:r>
    </w:p>
    <w:bookmarkEnd w:id="65"/>
    <w:bookmarkEnd w:id="66"/>
    <w:bookmarkEnd w:id="67"/>
    <w:bookmarkEnd w:id="68"/>
    <w:bookmarkEnd w:id="69"/>
    <w:bookmarkEnd w:id="70"/>
    <w:bookmarkEnd w:id="71"/>
    <w:bookmarkEnd w:id="72"/>
    <w:p w14:paraId="4B5CE2D5">
      <w:pPr>
        <w:adjustRightInd w:val="0"/>
        <w:snapToGrid w:val="0"/>
        <w:spacing w:line="360" w:lineRule="auto"/>
        <w:jc w:val="left"/>
        <w:outlineLvl w:val="1"/>
        <w:rPr>
          <w:rFonts w:ascii="宋体" w:hAnsi="宋体"/>
          <w:bCs/>
          <w:sz w:val="22"/>
        </w:rPr>
      </w:pPr>
      <w:bookmarkStart w:id="73" w:name="_Toc3590"/>
      <w:bookmarkStart w:id="74" w:name="_Toc21306"/>
      <w:bookmarkStart w:id="75" w:name="_Toc444266730"/>
      <w:bookmarkStart w:id="76" w:name="_Toc4626"/>
      <w:bookmarkStart w:id="77" w:name="_Toc30780"/>
      <w:bookmarkStart w:id="78" w:name="_Toc7464"/>
      <w:bookmarkStart w:id="79" w:name="_Toc26826"/>
      <w:bookmarkStart w:id="80" w:name="_Toc17203"/>
      <w:bookmarkStart w:id="81" w:name="_Toc100130485"/>
      <w:bookmarkStart w:id="82" w:name="_Toc12925"/>
      <w:r>
        <w:rPr>
          <w:rFonts w:hint="eastAsia" w:ascii="宋体" w:hAnsi="宋体"/>
          <w:bCs/>
          <w:sz w:val="22"/>
        </w:rPr>
        <w:t>经评审的最低投标价法。</w:t>
      </w:r>
    </w:p>
    <w:p w14:paraId="28A942F4">
      <w:pPr>
        <w:adjustRightInd w:val="0"/>
        <w:snapToGrid w:val="0"/>
        <w:spacing w:line="360" w:lineRule="auto"/>
        <w:jc w:val="left"/>
        <w:outlineLvl w:val="1"/>
        <w:rPr>
          <w:rFonts w:ascii="宋体" w:hAnsi="宋体"/>
          <w:b/>
          <w:sz w:val="22"/>
        </w:rPr>
      </w:pPr>
      <w:r>
        <w:rPr>
          <w:rFonts w:hint="eastAsia" w:ascii="宋体" w:hAnsi="宋体"/>
          <w:b/>
          <w:sz w:val="22"/>
        </w:rPr>
        <w:t>十</w:t>
      </w:r>
      <w:r>
        <w:rPr>
          <w:rFonts w:hint="eastAsia" w:ascii="宋体" w:hAnsi="宋体"/>
          <w:b/>
          <w:sz w:val="22"/>
          <w:lang w:val="en-US" w:eastAsia="zh-CN"/>
        </w:rPr>
        <w:t>二</w:t>
      </w:r>
      <w:r>
        <w:rPr>
          <w:rFonts w:hint="eastAsia" w:ascii="宋体" w:hAnsi="宋体"/>
          <w:b/>
          <w:sz w:val="22"/>
        </w:rPr>
        <w:t>、联系方式</w:t>
      </w:r>
      <w:bookmarkEnd w:id="73"/>
      <w:bookmarkEnd w:id="74"/>
      <w:bookmarkEnd w:id="75"/>
      <w:bookmarkEnd w:id="76"/>
      <w:bookmarkEnd w:id="77"/>
      <w:bookmarkEnd w:id="78"/>
      <w:bookmarkEnd w:id="79"/>
      <w:bookmarkEnd w:id="80"/>
      <w:bookmarkEnd w:id="81"/>
      <w:r>
        <w:rPr>
          <w:rFonts w:hint="eastAsia" w:ascii="宋体" w:hAnsi="宋体"/>
          <w:b/>
          <w:sz w:val="22"/>
        </w:rPr>
        <w:t xml:space="preserve"> </w:t>
      </w:r>
      <w:bookmarkEnd w:id="82"/>
    </w:p>
    <w:p w14:paraId="07D41BF1">
      <w:pPr>
        <w:snapToGrid w:val="0"/>
        <w:spacing w:line="360" w:lineRule="auto"/>
        <w:rPr>
          <w:rFonts w:hAnsi="宋体" w:cs="宋体"/>
          <w:sz w:val="22"/>
        </w:rPr>
      </w:pPr>
      <w:r>
        <w:rPr>
          <w:rFonts w:hint="eastAsia" w:hAnsi="宋体" w:cs="宋体"/>
          <w:sz w:val="22"/>
        </w:rPr>
        <w:t>采购人：深圳市龙岗区数据有限公司</w:t>
      </w:r>
    </w:p>
    <w:p w14:paraId="2AE8A96E">
      <w:pPr>
        <w:snapToGrid w:val="0"/>
        <w:spacing w:line="360" w:lineRule="auto"/>
        <w:rPr>
          <w:rFonts w:hAnsi="宋体" w:cs="宋体"/>
          <w:sz w:val="22"/>
        </w:rPr>
      </w:pPr>
      <w:r>
        <w:rPr>
          <w:rFonts w:hint="eastAsia" w:hAnsi="宋体" w:cs="宋体"/>
          <w:sz w:val="22"/>
        </w:rPr>
        <w:t>地址：深圳市龙岗区龙城街道黄阁坑社区腾飞路9号龙岗创投大厦1号楼A</w:t>
      </w:r>
      <w:r>
        <w:rPr>
          <w:rFonts w:hAnsi="宋体" w:cs="宋体"/>
          <w:sz w:val="22"/>
        </w:rPr>
        <w:t>4001</w:t>
      </w:r>
    </w:p>
    <w:p w14:paraId="5F60AE3B">
      <w:pPr>
        <w:snapToGrid w:val="0"/>
        <w:spacing w:line="360" w:lineRule="auto"/>
        <w:rPr>
          <w:rFonts w:hAnsi="宋体" w:cs="宋体"/>
          <w:sz w:val="22"/>
        </w:rPr>
      </w:pPr>
      <w:r>
        <w:rPr>
          <w:rFonts w:hint="eastAsia" w:hAnsi="宋体" w:cs="宋体"/>
          <w:sz w:val="22"/>
        </w:rPr>
        <w:t>联系人：</w:t>
      </w:r>
      <w:r>
        <w:rPr>
          <w:rFonts w:hint="eastAsia" w:hAnsi="宋体" w:cs="宋体"/>
          <w:sz w:val="22"/>
          <w:lang w:val="en-US" w:eastAsia="zh-CN"/>
        </w:rPr>
        <w:t>杜</w:t>
      </w:r>
      <w:r>
        <w:rPr>
          <w:rFonts w:hint="eastAsia" w:hAnsi="宋体" w:cs="宋体"/>
          <w:sz w:val="22"/>
        </w:rPr>
        <w:t>工 电话：0755-28501987</w:t>
      </w:r>
    </w:p>
    <w:p w14:paraId="6FF0DB10">
      <w:pPr>
        <w:autoSpaceDE w:val="0"/>
        <w:autoSpaceDN w:val="0"/>
        <w:adjustRightInd w:val="0"/>
        <w:snapToGrid w:val="0"/>
        <w:rPr>
          <w:rFonts w:ascii="宋体" w:hAnsi="宋体"/>
          <w:b/>
          <w:bCs/>
          <w:sz w:val="52"/>
          <w:szCs w:val="52"/>
        </w:rPr>
        <w:sectPr>
          <w:headerReference r:id="rId3" w:type="default"/>
          <w:footerReference r:id="rId4" w:type="default"/>
          <w:pgSz w:w="11905" w:h="16838"/>
          <w:pgMar w:top="1928" w:right="1474" w:bottom="1984" w:left="1587" w:header="850" w:footer="992" w:gutter="0"/>
          <w:cols w:space="0" w:num="1"/>
          <w:docGrid w:type="linesAndChars" w:linePitch="312" w:charSpace="409"/>
        </w:sectPr>
      </w:pPr>
    </w:p>
    <w:p w14:paraId="4FAF2967">
      <w:pPr>
        <w:spacing w:before="120"/>
        <w:jc w:val="center"/>
        <w:rPr>
          <w:rFonts w:ascii="仿宋" w:hAnsi="仿宋" w:eastAsia="仿宋" w:cs="仿宋"/>
          <w:color w:val="000000"/>
          <w:sz w:val="44"/>
          <w:szCs w:val="44"/>
        </w:rPr>
      </w:pPr>
      <w:r>
        <w:rPr>
          <w:rFonts w:hint="eastAsia" w:ascii="仿宋" w:hAnsi="仿宋" w:eastAsia="仿宋" w:cs="仿宋"/>
          <w:color w:val="000000"/>
          <w:sz w:val="44"/>
          <w:szCs w:val="44"/>
        </w:rPr>
        <w:t>管道资产数字化法律服务采购合同</w:t>
      </w:r>
      <w:r>
        <w:rPr>
          <w:rFonts w:hint="eastAsia" w:ascii="仿宋" w:hAnsi="仿宋" w:eastAsia="仿宋" w:cs="仿宋"/>
          <w:color w:val="000000"/>
          <w:sz w:val="44"/>
          <w:szCs w:val="44"/>
        </w:rPr>
        <w:br w:type="textWrapping"/>
      </w:r>
      <w:r>
        <w:rPr>
          <w:rFonts w:hint="eastAsia" w:ascii="仿宋" w:hAnsi="仿宋" w:eastAsia="仿宋" w:cs="仿宋"/>
          <w:color w:val="000000"/>
          <w:sz w:val="28"/>
          <w:szCs w:val="28"/>
        </w:rPr>
        <w:t>（合同模板，仅供参考）</w:t>
      </w:r>
    </w:p>
    <w:p w14:paraId="49BFE6E1">
      <w:pPr>
        <w:autoSpaceDE w:val="0"/>
        <w:autoSpaceDN w:val="0"/>
        <w:adjustRightInd w:val="0"/>
        <w:snapToGrid w:val="0"/>
        <w:jc w:val="left"/>
        <w:rPr>
          <w:rFonts w:ascii="仿宋" w:hAnsi="仿宋" w:eastAsia="仿宋" w:cs="仿宋"/>
          <w:sz w:val="24"/>
          <w:szCs w:val="24"/>
          <w:shd w:val="clear" w:color="auto" w:fill="FCFCFC"/>
        </w:rPr>
      </w:pPr>
    </w:p>
    <w:p w14:paraId="59CD7140">
      <w:pPr>
        <w:rPr>
          <w:rFonts w:ascii="仿宋" w:hAnsi="仿宋" w:eastAsia="仿宋" w:cs="仿宋"/>
        </w:rPr>
      </w:pPr>
      <w:r>
        <w:rPr>
          <w:rFonts w:hint="eastAsia" w:ascii="仿宋" w:hAnsi="仿宋" w:eastAsia="仿宋" w:cs="仿宋"/>
        </w:rPr>
        <w:t>甲方：</w:t>
      </w:r>
    </w:p>
    <w:p w14:paraId="0C67E04E">
      <w:pPr>
        <w:rPr>
          <w:rFonts w:ascii="仿宋" w:hAnsi="仿宋" w:eastAsia="仿宋" w:cs="仿宋"/>
        </w:rPr>
      </w:pPr>
      <w:r>
        <w:rPr>
          <w:rFonts w:hint="eastAsia" w:ascii="仿宋" w:hAnsi="仿宋" w:eastAsia="仿宋" w:cs="仿宋"/>
        </w:rPr>
        <w:t>地址：</w:t>
      </w:r>
    </w:p>
    <w:p w14:paraId="57D1DB04">
      <w:pPr>
        <w:rPr>
          <w:rFonts w:ascii="仿宋" w:hAnsi="仿宋" w:eastAsia="仿宋" w:cs="仿宋"/>
        </w:rPr>
      </w:pPr>
      <w:r>
        <w:rPr>
          <w:rFonts w:hint="eastAsia" w:ascii="仿宋" w:hAnsi="仿宋" w:eastAsia="仿宋" w:cs="仿宋"/>
        </w:rPr>
        <w:t xml:space="preserve">联系人：                          </w:t>
      </w:r>
    </w:p>
    <w:p w14:paraId="0587E3CA">
      <w:pPr>
        <w:rPr>
          <w:rFonts w:ascii="仿宋" w:hAnsi="仿宋" w:eastAsia="仿宋" w:cs="仿宋"/>
        </w:rPr>
      </w:pPr>
      <w:r>
        <w:rPr>
          <w:rFonts w:hint="eastAsia" w:ascii="仿宋" w:hAnsi="仿宋" w:eastAsia="仿宋" w:cs="仿宋"/>
        </w:rPr>
        <w:t>联系电话：</w:t>
      </w:r>
    </w:p>
    <w:p w14:paraId="70A5A5EE">
      <w:pPr>
        <w:rPr>
          <w:rFonts w:ascii="仿宋" w:hAnsi="仿宋" w:eastAsia="仿宋" w:cs="仿宋"/>
        </w:rPr>
      </w:pPr>
      <w:r>
        <w:rPr>
          <w:rFonts w:hint="eastAsia" w:ascii="仿宋" w:hAnsi="仿宋" w:eastAsia="仿宋" w:cs="仿宋"/>
        </w:rPr>
        <w:t xml:space="preserve">   </w:t>
      </w:r>
    </w:p>
    <w:p w14:paraId="6FA705E2">
      <w:pPr>
        <w:rPr>
          <w:rFonts w:ascii="仿宋" w:hAnsi="仿宋" w:eastAsia="仿宋" w:cs="仿宋"/>
        </w:rPr>
      </w:pPr>
      <w:r>
        <w:rPr>
          <w:rFonts w:hint="eastAsia" w:ascii="仿宋" w:hAnsi="仿宋" w:eastAsia="仿宋" w:cs="仿宋"/>
        </w:rPr>
        <w:t>乙方：</w:t>
      </w:r>
    </w:p>
    <w:p w14:paraId="28A17DEE">
      <w:pPr>
        <w:rPr>
          <w:rFonts w:ascii="仿宋" w:hAnsi="仿宋" w:eastAsia="仿宋" w:cs="仿宋"/>
        </w:rPr>
      </w:pPr>
      <w:r>
        <w:rPr>
          <w:rFonts w:hint="eastAsia" w:ascii="仿宋" w:hAnsi="仿宋" w:eastAsia="仿宋" w:cs="仿宋"/>
        </w:rPr>
        <w:t>地址：</w:t>
      </w:r>
    </w:p>
    <w:p w14:paraId="4C7E5150">
      <w:pPr>
        <w:rPr>
          <w:rFonts w:ascii="仿宋" w:hAnsi="仿宋" w:eastAsia="仿宋" w:cs="仿宋"/>
        </w:rPr>
      </w:pPr>
      <w:r>
        <w:rPr>
          <w:rFonts w:hint="eastAsia" w:ascii="仿宋" w:hAnsi="仿宋" w:eastAsia="仿宋" w:cs="仿宋"/>
        </w:rPr>
        <w:t xml:space="preserve">联系人：                          </w:t>
      </w:r>
    </w:p>
    <w:p w14:paraId="4B114B70">
      <w:pPr>
        <w:rPr>
          <w:rFonts w:ascii="仿宋" w:hAnsi="仿宋" w:eastAsia="仿宋" w:cs="仿宋"/>
        </w:rPr>
      </w:pPr>
      <w:r>
        <w:rPr>
          <w:rFonts w:hint="eastAsia" w:ascii="仿宋" w:hAnsi="仿宋" w:eastAsia="仿宋" w:cs="仿宋"/>
        </w:rPr>
        <w:t>联系电话：</w:t>
      </w:r>
    </w:p>
    <w:p w14:paraId="0BA63A05">
      <w:pPr>
        <w:rPr>
          <w:rFonts w:ascii="仿宋" w:hAnsi="仿宋" w:eastAsia="仿宋" w:cs="仿宋"/>
        </w:rPr>
      </w:pPr>
      <w:r>
        <w:rPr>
          <w:rFonts w:hint="eastAsia" w:ascii="仿宋" w:hAnsi="仿宋" w:eastAsia="仿宋" w:cs="仿宋"/>
        </w:rPr>
        <w:t xml:space="preserve">                      </w:t>
      </w:r>
    </w:p>
    <w:p w14:paraId="7DFD2D14">
      <w:pPr>
        <w:rPr>
          <w:rFonts w:ascii="仿宋" w:hAnsi="仿宋" w:eastAsia="仿宋" w:cs="仿宋"/>
        </w:rPr>
      </w:pPr>
    </w:p>
    <w:p w14:paraId="6C9FB504">
      <w:pPr>
        <w:spacing w:before="20" w:after="20"/>
        <w:rPr>
          <w:rFonts w:ascii="仿宋" w:hAnsi="仿宋" w:eastAsia="仿宋" w:cs="仿宋"/>
        </w:rPr>
      </w:pPr>
      <w:r>
        <w:rPr>
          <w:rFonts w:hint="eastAsia" w:ascii="仿宋" w:hAnsi="仿宋" w:eastAsia="仿宋" w:cs="仿宋"/>
        </w:rPr>
        <w:t>根据深圳交易集团有限</w:t>
      </w:r>
      <w:r>
        <w:rPr>
          <w:rFonts w:hint="eastAsia" w:ascii="仿宋" w:hAnsi="仿宋" w:eastAsia="仿宋" w:cs="仿宋"/>
          <w:bCs/>
          <w:sz w:val="22"/>
        </w:rPr>
        <w:t>公司龙岗分公司***号项目结果，***单位为中标人。按照《中华人民共和国民法典》（第三编</w:t>
      </w:r>
      <w:r>
        <w:rPr>
          <w:rFonts w:hint="eastAsia" w:ascii="仿宋" w:hAnsi="仿宋" w:eastAsia="仿宋" w:cs="仿宋"/>
        </w:rPr>
        <w:t xml:space="preserve"> 合同）》，经</w:t>
      </w:r>
      <w:r>
        <w:rPr>
          <w:rFonts w:hint="eastAsia" w:ascii="仿宋" w:hAnsi="仿宋" w:eastAsia="仿宋" w:cs="仿宋"/>
          <w:bCs/>
          <w:sz w:val="22"/>
        </w:rPr>
        <w:t>***</w:t>
      </w:r>
      <w:r>
        <w:rPr>
          <w:rFonts w:hint="eastAsia" w:ascii="仿宋" w:hAnsi="仿宋" w:eastAsia="仿宋" w:cs="仿宋"/>
        </w:rPr>
        <w:t>（以下简称甲方）和</w:t>
      </w:r>
      <w:r>
        <w:rPr>
          <w:rFonts w:hint="eastAsia" w:ascii="仿宋" w:hAnsi="仿宋" w:eastAsia="仿宋" w:cs="仿宋"/>
          <w:bCs/>
          <w:sz w:val="22"/>
        </w:rPr>
        <w:t>***</w:t>
      </w:r>
      <w:r>
        <w:rPr>
          <w:rFonts w:hint="eastAsia" w:ascii="仿宋" w:hAnsi="仿宋" w:eastAsia="仿宋" w:cs="仿宋"/>
        </w:rPr>
        <w:t>（以下简称乙方）协商，就甲方委托乙方承担</w:t>
      </w:r>
      <w:r>
        <w:rPr>
          <w:rFonts w:hint="eastAsia" w:ascii="仿宋" w:hAnsi="仿宋" w:eastAsia="仿宋" w:cs="仿宋"/>
          <w:snapToGrid w:val="0"/>
          <w:kern w:val="0"/>
          <w:u w:val="single"/>
          <w:lang w:val="zh-CN"/>
        </w:rPr>
        <w:t xml:space="preserve"> </w:t>
      </w:r>
      <w:r>
        <w:rPr>
          <w:rFonts w:hint="eastAsia" w:ascii="仿宋" w:hAnsi="仿宋" w:eastAsia="仿宋" w:cs="仿宋"/>
          <w:u w:val="single"/>
        </w:rPr>
        <w:t>管道资产数字化融资可行性咨询法律服务</w:t>
      </w:r>
      <w:r>
        <w:rPr>
          <w:rFonts w:hint="eastAsia" w:ascii="仿宋" w:hAnsi="仿宋" w:eastAsia="仿宋" w:cs="仿宋"/>
          <w:snapToGrid w:val="0"/>
          <w:kern w:val="0"/>
          <w:u w:val="single"/>
          <w:lang w:val="zh-CN"/>
        </w:rPr>
        <w:t>项目</w:t>
      </w:r>
      <w:r>
        <w:rPr>
          <w:rFonts w:hint="eastAsia" w:ascii="仿宋" w:hAnsi="仿宋" w:eastAsia="仿宋" w:cs="仿宋"/>
        </w:rPr>
        <w:t>，达成以下合同条款：</w:t>
      </w:r>
    </w:p>
    <w:p w14:paraId="1DE0B968">
      <w:pPr>
        <w:ind w:firstLine="422" w:firstLineChars="200"/>
        <w:rPr>
          <w:rFonts w:ascii="仿宋" w:hAnsi="仿宋" w:eastAsia="仿宋" w:cs="仿宋"/>
          <w:b/>
          <w:bCs/>
          <w:szCs w:val="21"/>
        </w:rPr>
      </w:pPr>
      <w:r>
        <w:rPr>
          <w:rFonts w:hint="eastAsia" w:ascii="仿宋" w:hAnsi="仿宋" w:eastAsia="仿宋" w:cs="仿宋"/>
          <w:b/>
          <w:bCs/>
          <w:szCs w:val="21"/>
        </w:rPr>
        <w:t>第一条　项目概况</w:t>
      </w:r>
    </w:p>
    <w:p w14:paraId="2B432260">
      <w:pPr>
        <w:ind w:firstLine="422" w:firstLineChars="200"/>
        <w:rPr>
          <w:rFonts w:ascii="仿宋" w:hAnsi="仿宋" w:eastAsia="仿宋" w:cs="仿宋"/>
          <w:szCs w:val="21"/>
        </w:rPr>
      </w:pPr>
      <w:r>
        <w:rPr>
          <w:rFonts w:hint="eastAsia" w:ascii="仿宋" w:hAnsi="仿宋" w:eastAsia="仿宋" w:cs="仿宋"/>
          <w:szCs w:val="21"/>
        </w:rPr>
        <w:t>项目名称：管道资产数字化融资可行性咨询法务服务</w:t>
      </w:r>
    </w:p>
    <w:p w14:paraId="17545338">
      <w:pPr>
        <w:ind w:firstLine="422" w:firstLineChars="200"/>
        <w:rPr>
          <w:rFonts w:ascii="仿宋" w:hAnsi="仿宋" w:eastAsia="仿宋" w:cs="仿宋"/>
          <w:szCs w:val="21"/>
        </w:rPr>
      </w:pPr>
      <w:r>
        <w:rPr>
          <w:rFonts w:hint="eastAsia" w:ascii="仿宋" w:hAnsi="仿宋" w:eastAsia="仿宋" w:cs="仿宋"/>
          <w:szCs w:val="21"/>
        </w:rPr>
        <w:t>项目内容：</w:t>
      </w:r>
      <w:r>
        <w:rPr>
          <w:rFonts w:hint="eastAsia" w:ascii="仿宋" w:hAnsi="仿宋" w:eastAsia="仿宋" w:cs="仿宋"/>
        </w:rPr>
        <w:t>通过引入第三方专业机构，系统性地开展资产尽职调查、合规论证与价值评估工作，形成完整的资产数字化基础成果和融资可行性分析，为后续是否推进以及如何推进实际融资提供决策依据。</w:t>
      </w:r>
    </w:p>
    <w:p w14:paraId="396DE4C6">
      <w:pPr>
        <w:ind w:firstLine="422" w:firstLineChars="200"/>
        <w:rPr>
          <w:rFonts w:ascii="仿宋" w:hAnsi="仿宋" w:eastAsia="仿宋" w:cs="仿宋"/>
          <w:szCs w:val="21"/>
        </w:rPr>
      </w:pPr>
      <w:r>
        <w:rPr>
          <w:rFonts w:hint="eastAsia" w:ascii="仿宋" w:hAnsi="仿宋" w:eastAsia="仿宋" w:cs="仿宋"/>
          <w:szCs w:val="21"/>
        </w:rPr>
        <w:t>服务时间： 6个月</w:t>
      </w:r>
    </w:p>
    <w:p w14:paraId="503384B8">
      <w:pPr>
        <w:ind w:firstLine="422" w:firstLineChars="200"/>
        <w:rPr>
          <w:rFonts w:ascii="仿宋" w:hAnsi="仿宋" w:eastAsia="仿宋" w:cs="仿宋"/>
          <w:szCs w:val="21"/>
        </w:rPr>
      </w:pPr>
      <w:r>
        <w:rPr>
          <w:rFonts w:hint="eastAsia" w:ascii="仿宋" w:hAnsi="仿宋" w:eastAsia="仿宋" w:cs="仿宋"/>
          <w:szCs w:val="21"/>
        </w:rPr>
        <w:t>法律服务费：合同总价为</w:t>
      </w:r>
      <w:r>
        <w:rPr>
          <w:rFonts w:hint="eastAsia" w:ascii="仿宋" w:hAnsi="仿宋" w:eastAsia="仿宋" w:cs="仿宋"/>
          <w:bCs/>
          <w:sz w:val="22"/>
        </w:rPr>
        <w:t>***</w:t>
      </w:r>
      <w:r>
        <w:rPr>
          <w:rFonts w:hint="eastAsia" w:ascii="仿宋" w:hAnsi="仿宋" w:eastAsia="仿宋" w:cs="仿宋"/>
          <w:szCs w:val="21"/>
        </w:rPr>
        <w:t>元，含一切税、费。法律服务费包含乙方团队全部劳务成本，除本协议明确约定的第三方费用外，乙方不得要求额外支付其他费用。乙方应在收款前向甲方开具等额、有效、符合国家规定的增值税专用发票（税率6%）</w:t>
      </w:r>
      <w:r>
        <w:rPr>
          <w:rFonts w:hint="eastAsia" w:ascii="仿宋" w:hAnsi="仿宋" w:eastAsia="仿宋" w:cs="仿宋"/>
        </w:rPr>
        <w:t>。</w:t>
      </w:r>
    </w:p>
    <w:p w14:paraId="17A42E09">
      <w:pPr>
        <w:ind w:firstLine="422" w:firstLineChars="200"/>
        <w:rPr>
          <w:rFonts w:ascii="仿宋" w:hAnsi="仿宋" w:eastAsia="仿宋" w:cs="仿宋"/>
          <w:b/>
          <w:bCs/>
          <w:szCs w:val="21"/>
        </w:rPr>
      </w:pPr>
      <w:r>
        <w:rPr>
          <w:rFonts w:hint="eastAsia" w:ascii="仿宋" w:hAnsi="仿宋" w:eastAsia="仿宋" w:cs="仿宋"/>
          <w:b/>
          <w:bCs/>
          <w:szCs w:val="21"/>
        </w:rPr>
        <w:t>第二条  服务范围</w:t>
      </w:r>
    </w:p>
    <w:tbl>
      <w:tblPr>
        <w:tblStyle w:val="50"/>
        <w:tblW w:w="8359" w:type="dxa"/>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988"/>
        <w:gridCol w:w="1607"/>
        <w:gridCol w:w="5764"/>
      </w:tblGrid>
      <w:tr w14:paraId="2B1A413D">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666666" w:themeColor="text1" w:themeTint="99" w:sz="12" w:space="0"/>
              <w:insideH w:val="single" w:sz="12" w:space="0"/>
            </w:tcBorders>
            <w:shd w:val="clear" w:color="auto" w:fill="D8D8D8" w:themeFill="background1" w:themeFillShade="D9"/>
            <w:vAlign w:val="center"/>
          </w:tcPr>
          <w:p w14:paraId="3A8EF5CA">
            <w:pPr>
              <w:rPr>
                <w:rFonts w:ascii="仿宋" w:hAnsi="仿宋" w:eastAsia="仿宋" w:cs="仿宋"/>
                <w:b w:val="0"/>
                <w:bCs w:val="0"/>
              </w:rPr>
            </w:pPr>
            <w:r>
              <w:rPr>
                <w:rFonts w:hint="eastAsia" w:ascii="仿宋" w:hAnsi="仿宋" w:eastAsia="仿宋" w:cs="仿宋"/>
                <w:b/>
                <w:bCs/>
              </w:rPr>
              <w:t>序号</w:t>
            </w:r>
          </w:p>
        </w:tc>
        <w:tc>
          <w:tcPr>
            <w:tcW w:w="1607" w:type="dxa"/>
            <w:tcBorders>
              <w:top w:val="single" w:color="auto" w:sz="4" w:space="0"/>
              <w:bottom w:val="single" w:color="666666" w:themeColor="text1" w:themeTint="99" w:sz="12" w:space="0"/>
              <w:insideH w:val="single" w:sz="12" w:space="0"/>
            </w:tcBorders>
            <w:shd w:val="clear" w:color="auto" w:fill="D8D8D8" w:themeFill="background1" w:themeFillShade="D9"/>
            <w:vAlign w:val="center"/>
          </w:tcPr>
          <w:p w14:paraId="76B1C9FF">
            <w:pPr>
              <w:rPr>
                <w:rFonts w:ascii="仿宋" w:hAnsi="仿宋" w:eastAsia="仿宋" w:cs="仿宋"/>
                <w:b w:val="0"/>
                <w:bCs w:val="0"/>
              </w:rPr>
            </w:pPr>
            <w:r>
              <w:rPr>
                <w:rFonts w:hint="eastAsia" w:ascii="仿宋" w:hAnsi="仿宋" w:eastAsia="仿宋" w:cs="仿宋"/>
                <w:b/>
                <w:bCs/>
              </w:rPr>
              <w:t>服务事项</w:t>
            </w:r>
          </w:p>
        </w:tc>
        <w:tc>
          <w:tcPr>
            <w:tcW w:w="5764" w:type="dxa"/>
            <w:tcBorders>
              <w:top w:val="single" w:color="auto" w:sz="4" w:space="0"/>
              <w:bottom w:val="single" w:color="666666" w:themeColor="text1" w:themeTint="99" w:sz="12" w:space="0"/>
              <w:insideH w:val="single" w:sz="12" w:space="0"/>
            </w:tcBorders>
            <w:shd w:val="clear" w:color="auto" w:fill="D8D8D8" w:themeFill="background1" w:themeFillShade="D9"/>
            <w:vAlign w:val="center"/>
          </w:tcPr>
          <w:p w14:paraId="3E021E00">
            <w:pPr>
              <w:rPr>
                <w:rFonts w:ascii="仿宋" w:hAnsi="仿宋" w:eastAsia="仿宋" w:cs="仿宋"/>
                <w:b w:val="0"/>
                <w:bCs w:val="0"/>
              </w:rPr>
            </w:pPr>
            <w:r>
              <w:rPr>
                <w:rFonts w:hint="eastAsia" w:ascii="仿宋" w:hAnsi="仿宋" w:eastAsia="仿宋" w:cs="仿宋"/>
                <w:b/>
                <w:bCs/>
              </w:rPr>
              <w:t>境内律师服务内容</w:t>
            </w:r>
          </w:p>
        </w:tc>
      </w:tr>
      <w:tr w14:paraId="01FE7828">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Pr>
          <w:p w14:paraId="7D043353">
            <w:pPr>
              <w:rPr>
                <w:rFonts w:ascii="仿宋" w:hAnsi="仿宋" w:eastAsia="仿宋" w:cs="仿宋"/>
                <w:b w:val="0"/>
                <w:bCs w:val="0"/>
              </w:rPr>
            </w:pPr>
            <w:r>
              <w:rPr>
                <w:rFonts w:hint="eastAsia" w:ascii="仿宋" w:hAnsi="仿宋" w:eastAsia="仿宋" w:cs="仿宋"/>
                <w:b/>
                <w:bCs/>
              </w:rPr>
              <w:t>1</w:t>
            </w:r>
          </w:p>
        </w:tc>
        <w:tc>
          <w:tcPr>
            <w:tcW w:w="1607" w:type="dxa"/>
          </w:tcPr>
          <w:p w14:paraId="51DC955F">
            <w:pPr>
              <w:rPr>
                <w:rFonts w:ascii="仿宋" w:hAnsi="仿宋" w:eastAsia="仿宋" w:cs="仿宋"/>
              </w:rPr>
            </w:pPr>
            <w:r>
              <w:rPr>
                <w:rFonts w:hint="eastAsia" w:ascii="仿宋" w:hAnsi="仿宋" w:eastAsia="仿宋" w:cs="仿宋"/>
              </w:rPr>
              <w:t>发行架构法律及监管合规分析</w:t>
            </w:r>
          </w:p>
        </w:tc>
        <w:tc>
          <w:tcPr>
            <w:tcW w:w="5764" w:type="dxa"/>
          </w:tcPr>
          <w:p w14:paraId="3858CB74">
            <w:pPr>
              <w:rPr>
                <w:rFonts w:ascii="仿宋" w:hAnsi="仿宋" w:eastAsia="仿宋" w:cs="仿宋"/>
              </w:rPr>
            </w:pPr>
            <w:r>
              <w:rPr>
                <w:rFonts w:hint="eastAsia" w:ascii="仿宋" w:hAnsi="仿宋" w:eastAsia="仿宋" w:cs="仿宋"/>
              </w:rPr>
              <w:t>1.就管道资产数字化项目架构开展中国境内法律项下的可行性分析；</w:t>
            </w:r>
            <w:r>
              <w:rPr>
                <w:rFonts w:hint="eastAsia" w:ascii="仿宋" w:hAnsi="仿宋" w:eastAsia="仿宋" w:cs="仿宋"/>
              </w:rPr>
              <w:br w:type="textWrapping"/>
            </w:r>
            <w:r>
              <w:rPr>
                <w:rFonts w:hint="eastAsia" w:ascii="仿宋" w:hAnsi="仿宋" w:eastAsia="仿宋" w:cs="仿宋"/>
              </w:rPr>
              <w:t>2.就境内主体安排、基础资产出境、收益回流等核心问题提供中国境内法律分析和意见；</w:t>
            </w:r>
            <w:r>
              <w:rPr>
                <w:rFonts w:hint="eastAsia" w:ascii="仿宋" w:hAnsi="仿宋" w:eastAsia="仿宋" w:cs="仿宋"/>
              </w:rPr>
              <w:br w:type="textWrapping"/>
            </w:r>
            <w:r>
              <w:rPr>
                <w:rFonts w:hint="eastAsia" w:ascii="仿宋" w:hAnsi="仿宋" w:eastAsia="仿宋" w:cs="仿宋"/>
              </w:rPr>
              <w:t>3.就项目涉及的外汇、数据跨境、金融合规及其他相关监管事项提供中国境内法律分析和合规建议。</w:t>
            </w:r>
          </w:p>
        </w:tc>
      </w:tr>
      <w:tr w14:paraId="7EF9FAF1">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Pr>
          <w:p w14:paraId="4267F5C8">
            <w:pPr>
              <w:rPr>
                <w:rFonts w:ascii="仿宋" w:hAnsi="仿宋" w:eastAsia="仿宋" w:cs="仿宋"/>
                <w:b w:val="0"/>
                <w:bCs w:val="0"/>
              </w:rPr>
            </w:pPr>
            <w:r>
              <w:rPr>
                <w:rFonts w:hint="eastAsia" w:ascii="仿宋" w:hAnsi="仿宋" w:eastAsia="仿宋" w:cs="仿宋"/>
                <w:b/>
                <w:bCs/>
              </w:rPr>
              <w:t>2</w:t>
            </w:r>
          </w:p>
        </w:tc>
        <w:tc>
          <w:tcPr>
            <w:tcW w:w="1607" w:type="dxa"/>
          </w:tcPr>
          <w:p w14:paraId="4BDB2A72">
            <w:pPr>
              <w:rPr>
                <w:rFonts w:ascii="仿宋" w:hAnsi="仿宋" w:eastAsia="仿宋" w:cs="仿宋"/>
              </w:rPr>
            </w:pPr>
            <w:r>
              <w:rPr>
                <w:rFonts w:hint="eastAsia" w:ascii="仿宋" w:hAnsi="仿宋" w:eastAsia="仿宋" w:cs="仿宋"/>
              </w:rPr>
              <w:t>审阅Term Sheet法律分析</w:t>
            </w:r>
          </w:p>
        </w:tc>
        <w:tc>
          <w:tcPr>
            <w:tcW w:w="5764" w:type="dxa"/>
          </w:tcPr>
          <w:p w14:paraId="4256E26D">
            <w:pPr>
              <w:rPr>
                <w:rFonts w:ascii="仿宋" w:hAnsi="仿宋" w:eastAsia="仿宋" w:cs="仿宋"/>
              </w:rPr>
            </w:pPr>
            <w:r>
              <w:rPr>
                <w:rFonts w:hint="eastAsia" w:ascii="仿宋" w:hAnsi="仿宋" w:eastAsia="仿宋" w:cs="仿宋"/>
              </w:rPr>
              <w:t>1. 审阅Term Sheet项下主要交易条款在中国境内法律项下的合法性、有效性及可执行性；</w:t>
            </w:r>
            <w:r>
              <w:rPr>
                <w:rFonts w:hint="eastAsia" w:ascii="仿宋" w:hAnsi="仿宋" w:eastAsia="仿宋" w:cs="仿宋"/>
              </w:rPr>
              <w:br w:type="textWrapping"/>
            </w:r>
            <w:r>
              <w:rPr>
                <w:rFonts w:hint="eastAsia" w:ascii="仿宋" w:hAnsi="仿宋" w:eastAsia="仿宋" w:cs="仿宋"/>
              </w:rPr>
              <w:t>2. 就跨境代币安排、风险分配、赎回/终止机制等条款提供中国境内法律分析；</w:t>
            </w:r>
            <w:r>
              <w:rPr>
                <w:rFonts w:hint="eastAsia" w:ascii="仿宋" w:hAnsi="仿宋" w:eastAsia="仿宋" w:cs="仿宋"/>
              </w:rPr>
              <w:br w:type="textWrapping"/>
            </w:r>
            <w:r>
              <w:rPr>
                <w:rFonts w:hint="eastAsia" w:ascii="仿宋" w:hAnsi="仿宋" w:eastAsia="仿宋" w:cs="仿宋"/>
              </w:rPr>
              <w:t>3. 识别Term Sheet项下可能涉及的中国境内法律及监管风险，并提出相应修改建议；</w:t>
            </w:r>
            <w:r>
              <w:rPr>
                <w:rFonts w:hint="eastAsia" w:ascii="仿宋" w:hAnsi="仿宋" w:eastAsia="仿宋" w:cs="仿宋"/>
              </w:rPr>
              <w:br w:type="textWrapping"/>
            </w:r>
            <w:r>
              <w:rPr>
                <w:rFonts w:hint="eastAsia" w:ascii="仿宋" w:hAnsi="仿宋" w:eastAsia="仿宋" w:cs="仿宋"/>
              </w:rPr>
              <w:t>4. 协助客户与境内外中介机构就相关条款进行沟通。</w:t>
            </w:r>
          </w:p>
        </w:tc>
      </w:tr>
      <w:tr w14:paraId="793A77B3">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Pr>
          <w:p w14:paraId="44392C2E">
            <w:pPr>
              <w:rPr>
                <w:rFonts w:ascii="仿宋" w:hAnsi="仿宋" w:eastAsia="仿宋" w:cs="仿宋"/>
                <w:b w:val="0"/>
                <w:bCs w:val="0"/>
              </w:rPr>
            </w:pPr>
            <w:r>
              <w:rPr>
                <w:rFonts w:hint="eastAsia" w:ascii="仿宋" w:hAnsi="仿宋" w:eastAsia="仿宋" w:cs="仿宋"/>
                <w:b/>
                <w:bCs/>
              </w:rPr>
              <w:t>3</w:t>
            </w:r>
          </w:p>
        </w:tc>
        <w:tc>
          <w:tcPr>
            <w:tcW w:w="1607" w:type="dxa"/>
          </w:tcPr>
          <w:p w14:paraId="6647CCD4">
            <w:pPr>
              <w:rPr>
                <w:rFonts w:ascii="仿宋" w:hAnsi="仿宋" w:eastAsia="仿宋" w:cs="仿宋"/>
              </w:rPr>
            </w:pPr>
            <w:r>
              <w:rPr>
                <w:rFonts w:hint="eastAsia" w:ascii="仿宋" w:hAnsi="仿宋" w:eastAsia="仿宋" w:cs="仿宋"/>
              </w:rPr>
              <w:t>对接境内监管部门并进行沟通</w:t>
            </w:r>
          </w:p>
        </w:tc>
        <w:tc>
          <w:tcPr>
            <w:tcW w:w="5764" w:type="dxa"/>
          </w:tcPr>
          <w:p w14:paraId="271DC5C1">
            <w:pPr>
              <w:rPr>
                <w:rFonts w:ascii="仿宋" w:hAnsi="仿宋" w:eastAsia="仿宋" w:cs="仿宋"/>
              </w:rPr>
            </w:pPr>
            <w:r>
              <w:rPr>
                <w:rFonts w:hint="eastAsia" w:ascii="仿宋" w:hAnsi="仿宋" w:eastAsia="仿宋" w:cs="仿宋"/>
              </w:rPr>
              <w:t>1. 统筹梳理项目涉及的境内监管要点，并协助客户就中国证监会、外汇、网信及地方金融监管等相关事项开展沟通；</w:t>
            </w:r>
            <w:r>
              <w:rPr>
                <w:rFonts w:hint="eastAsia" w:ascii="仿宋" w:hAnsi="仿宋" w:eastAsia="仿宋" w:cs="仿宋"/>
              </w:rPr>
              <w:br w:type="textWrapping"/>
            </w:r>
            <w:r>
              <w:rPr>
                <w:rFonts w:hint="eastAsia" w:ascii="仿宋" w:hAnsi="仿宋" w:eastAsia="仿宋" w:cs="仿宋"/>
              </w:rPr>
              <w:t>2. 协助准备境内监管沟通、汇报及说明材料；</w:t>
            </w:r>
            <w:r>
              <w:rPr>
                <w:rFonts w:hint="eastAsia" w:ascii="仿宋" w:hAnsi="仿宋" w:eastAsia="仿宋" w:cs="仿宋"/>
              </w:rPr>
              <w:br w:type="textWrapping"/>
            </w:r>
            <w:r>
              <w:rPr>
                <w:rFonts w:hint="eastAsia" w:ascii="仿宋" w:hAnsi="仿宋" w:eastAsia="仿宋" w:cs="仿宋"/>
              </w:rPr>
              <w:t>3. 根据监管反馈意见，协助调整交易架构、完善申报或说明材料。</w:t>
            </w:r>
          </w:p>
        </w:tc>
      </w:tr>
      <w:tr w14:paraId="3230F39D">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Pr>
          <w:p w14:paraId="727A2F56">
            <w:pPr>
              <w:rPr>
                <w:rFonts w:ascii="仿宋" w:hAnsi="仿宋" w:eastAsia="仿宋" w:cs="仿宋"/>
                <w:b w:val="0"/>
                <w:bCs w:val="0"/>
              </w:rPr>
            </w:pPr>
            <w:r>
              <w:rPr>
                <w:rFonts w:hint="eastAsia" w:ascii="仿宋" w:hAnsi="仿宋" w:eastAsia="仿宋" w:cs="仿宋"/>
                <w:b/>
                <w:bCs/>
              </w:rPr>
              <w:t>4</w:t>
            </w:r>
          </w:p>
        </w:tc>
        <w:tc>
          <w:tcPr>
            <w:tcW w:w="1607" w:type="dxa"/>
          </w:tcPr>
          <w:p w14:paraId="48E83839">
            <w:pPr>
              <w:rPr>
                <w:rFonts w:ascii="仿宋" w:hAnsi="仿宋" w:eastAsia="仿宋" w:cs="仿宋"/>
              </w:rPr>
            </w:pPr>
            <w:r>
              <w:rPr>
                <w:rFonts w:hint="eastAsia" w:ascii="仿宋" w:hAnsi="仿宋" w:eastAsia="仿宋" w:cs="仿宋"/>
              </w:rPr>
              <w:t>拟备提交境内、外监管机构备案/审核文件</w:t>
            </w:r>
          </w:p>
        </w:tc>
        <w:tc>
          <w:tcPr>
            <w:tcW w:w="5764" w:type="dxa"/>
          </w:tcPr>
          <w:p w14:paraId="4FB04C77">
            <w:pPr>
              <w:rPr>
                <w:rFonts w:ascii="仿宋" w:hAnsi="仿宋" w:eastAsia="仿宋" w:cs="仿宋"/>
              </w:rPr>
            </w:pPr>
            <w:r>
              <w:rPr>
                <w:rFonts w:hint="eastAsia" w:ascii="仿宋" w:hAnsi="仿宋" w:eastAsia="仿宋" w:cs="仿宋"/>
              </w:rPr>
              <w:t>1. 开展与项目相关的中国境内法律尽职调查；</w:t>
            </w:r>
            <w:r>
              <w:rPr>
                <w:rFonts w:hint="eastAsia" w:ascii="仿宋" w:hAnsi="仿宋" w:eastAsia="仿宋" w:cs="仿宋"/>
              </w:rPr>
              <w:br w:type="textWrapping"/>
            </w:r>
            <w:r>
              <w:rPr>
                <w:rFonts w:hint="eastAsia" w:ascii="仿宋" w:hAnsi="仿宋" w:eastAsia="仿宋" w:cs="仿宋"/>
              </w:rPr>
              <w:t>2. 根据中国证监会备案要求，就本项目出具中国法律意见书；</w:t>
            </w:r>
            <w:r>
              <w:rPr>
                <w:rFonts w:hint="eastAsia" w:ascii="仿宋" w:hAnsi="仿宋" w:eastAsia="仿宋" w:cs="仿宋"/>
              </w:rPr>
              <w:br w:type="textWrapping"/>
            </w:r>
            <w:r>
              <w:rPr>
                <w:rFonts w:hint="eastAsia" w:ascii="仿宋" w:hAnsi="仿宋" w:eastAsia="仿宋" w:cs="仿宋"/>
              </w:rPr>
              <w:t>3. 配合境外监管机构问询或审核，就涉及中国境内法律事项提供回复和说明。</w:t>
            </w:r>
          </w:p>
        </w:tc>
      </w:tr>
      <w:tr w14:paraId="3B5F72F1">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Pr>
          <w:p w14:paraId="166AFC08">
            <w:pPr>
              <w:rPr>
                <w:rFonts w:ascii="仿宋" w:hAnsi="仿宋" w:eastAsia="仿宋" w:cs="仿宋"/>
                <w:b w:val="0"/>
                <w:bCs w:val="0"/>
              </w:rPr>
            </w:pPr>
            <w:r>
              <w:rPr>
                <w:rFonts w:hint="eastAsia" w:ascii="仿宋" w:hAnsi="仿宋" w:eastAsia="仿宋" w:cs="仿宋"/>
                <w:b/>
                <w:bCs/>
              </w:rPr>
              <w:t>5</w:t>
            </w:r>
          </w:p>
        </w:tc>
        <w:tc>
          <w:tcPr>
            <w:tcW w:w="1607" w:type="dxa"/>
          </w:tcPr>
          <w:p w14:paraId="38AA79C0">
            <w:pPr>
              <w:rPr>
                <w:rFonts w:ascii="仿宋" w:hAnsi="仿宋" w:eastAsia="仿宋" w:cs="仿宋"/>
              </w:rPr>
            </w:pPr>
            <w:r>
              <w:rPr>
                <w:rFonts w:hint="eastAsia" w:ascii="仿宋" w:hAnsi="仿宋" w:eastAsia="仿宋" w:cs="仿宋"/>
              </w:rPr>
              <w:t>起草/审阅代币化技术服务协议</w:t>
            </w:r>
          </w:p>
        </w:tc>
        <w:tc>
          <w:tcPr>
            <w:tcW w:w="5764" w:type="dxa"/>
          </w:tcPr>
          <w:p w14:paraId="79B606B0">
            <w:pPr>
              <w:rPr>
                <w:rFonts w:ascii="仿宋" w:hAnsi="仿宋" w:eastAsia="仿宋" w:cs="仿宋"/>
              </w:rPr>
            </w:pPr>
            <w:r>
              <w:rPr>
                <w:rFonts w:hint="eastAsia" w:ascii="仿宋" w:hAnsi="仿宋" w:eastAsia="仿宋" w:cs="仿宋"/>
              </w:rPr>
              <w:t>1. 从中国境内法律角度审阅代币化技术服务协议；</w:t>
            </w:r>
            <w:r>
              <w:rPr>
                <w:rFonts w:hint="eastAsia" w:ascii="仿宋" w:hAnsi="仿宋" w:eastAsia="仿宋" w:cs="仿宋"/>
              </w:rPr>
              <w:br w:type="textWrapping"/>
            </w:r>
            <w:r>
              <w:rPr>
                <w:rFonts w:hint="eastAsia" w:ascii="仿宋" w:hAnsi="仿宋" w:eastAsia="仿宋" w:cs="仿宋"/>
              </w:rPr>
              <w:t>2. 就数据安全、数据跨境、个人信息保护、境内知识产权、保密义务及责任划分等条款提供中国境内法律分析和意见；</w:t>
            </w:r>
            <w:r>
              <w:rPr>
                <w:rFonts w:hint="eastAsia" w:ascii="仿宋" w:hAnsi="仿宋" w:eastAsia="仿宋" w:cs="仿宋"/>
              </w:rPr>
              <w:br w:type="textWrapping"/>
            </w:r>
            <w:r>
              <w:rPr>
                <w:rFonts w:hint="eastAsia" w:ascii="仿宋" w:hAnsi="仿宋" w:eastAsia="仿宋" w:cs="仿宋"/>
              </w:rPr>
              <w:t>3. 协助客户就相关技术合作安排参与谈判或沟通。</w:t>
            </w:r>
          </w:p>
        </w:tc>
      </w:tr>
      <w:tr w14:paraId="6774D15D">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Pr>
          <w:p w14:paraId="4293D18B">
            <w:pPr>
              <w:rPr>
                <w:rFonts w:ascii="仿宋" w:hAnsi="仿宋" w:eastAsia="仿宋" w:cs="仿宋"/>
                <w:b w:val="0"/>
                <w:bCs w:val="0"/>
              </w:rPr>
            </w:pPr>
            <w:r>
              <w:rPr>
                <w:rFonts w:hint="eastAsia" w:ascii="仿宋" w:hAnsi="仿宋" w:eastAsia="仿宋" w:cs="仿宋"/>
                <w:b/>
                <w:bCs/>
              </w:rPr>
              <w:t>6</w:t>
            </w:r>
          </w:p>
        </w:tc>
        <w:tc>
          <w:tcPr>
            <w:tcW w:w="1607" w:type="dxa"/>
          </w:tcPr>
          <w:p w14:paraId="180EAA49">
            <w:pPr>
              <w:rPr>
                <w:rFonts w:ascii="仿宋" w:hAnsi="仿宋" w:eastAsia="仿宋" w:cs="仿宋"/>
              </w:rPr>
            </w:pPr>
            <w:r>
              <w:rPr>
                <w:rFonts w:hint="eastAsia" w:ascii="仿宋" w:hAnsi="仿宋" w:eastAsia="仿宋" w:cs="仿宋"/>
              </w:rPr>
              <w:t>起草、审阅、谈判发行交易文件</w:t>
            </w:r>
          </w:p>
        </w:tc>
        <w:tc>
          <w:tcPr>
            <w:tcW w:w="5764" w:type="dxa"/>
          </w:tcPr>
          <w:p w14:paraId="37D2AE39">
            <w:pPr>
              <w:rPr>
                <w:rFonts w:ascii="仿宋" w:hAnsi="仿宋" w:eastAsia="仿宋" w:cs="仿宋"/>
              </w:rPr>
            </w:pPr>
            <w:r>
              <w:rPr>
                <w:rFonts w:hint="eastAsia" w:ascii="仿宋" w:hAnsi="仿宋" w:eastAsia="仿宋" w:cs="仿宋"/>
              </w:rPr>
              <w:t>1. 审阅交易文件中涉及境内主体、境内资产及相关中国境内法律事项的条款；</w:t>
            </w:r>
            <w:r>
              <w:rPr>
                <w:rFonts w:hint="eastAsia" w:ascii="仿宋" w:hAnsi="仿宋" w:eastAsia="仿宋" w:cs="仿宋"/>
              </w:rPr>
              <w:br w:type="textWrapping"/>
            </w:r>
            <w:r>
              <w:rPr>
                <w:rFonts w:hint="eastAsia" w:ascii="仿宋" w:hAnsi="仿宋" w:eastAsia="仿宋" w:cs="仿宋"/>
              </w:rPr>
              <w:t>2. 起草或审阅境内资产转让、资金监管/托管等相关协议或文件（如涉及）；</w:t>
            </w:r>
            <w:r>
              <w:rPr>
                <w:rFonts w:hint="eastAsia" w:ascii="仿宋" w:hAnsi="仿宋" w:eastAsia="仿宋" w:cs="仿宋"/>
              </w:rPr>
              <w:br w:type="textWrapping"/>
            </w:r>
            <w:r>
              <w:rPr>
                <w:rFonts w:hint="eastAsia" w:ascii="仿宋" w:hAnsi="仿宋" w:eastAsia="仿宋" w:cs="仿宋"/>
              </w:rPr>
              <w:t>3. 起草、审阅并统筹涉及外汇合规、税务、适用法律及争议解决等中国境内法律条款；</w:t>
            </w:r>
            <w:r>
              <w:rPr>
                <w:rFonts w:hint="eastAsia" w:ascii="仿宋" w:hAnsi="仿宋" w:eastAsia="仿宋" w:cs="仿宋"/>
              </w:rPr>
              <w:br w:type="textWrapping"/>
            </w:r>
            <w:r>
              <w:rPr>
                <w:rFonts w:hint="eastAsia" w:ascii="仿宋" w:hAnsi="仿宋" w:eastAsia="仿宋" w:cs="仿宋"/>
              </w:rPr>
              <w:t>4. 代表客户就涉及中国境内法律事项的交易文件条款参与沟通和谈判。</w:t>
            </w:r>
          </w:p>
        </w:tc>
      </w:tr>
      <w:tr w14:paraId="04E6A79D">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Pr>
          <w:p w14:paraId="7C997499">
            <w:pPr>
              <w:rPr>
                <w:rFonts w:ascii="仿宋" w:hAnsi="仿宋" w:eastAsia="仿宋" w:cs="仿宋"/>
                <w:b w:val="0"/>
                <w:bCs w:val="0"/>
              </w:rPr>
            </w:pPr>
            <w:r>
              <w:rPr>
                <w:rFonts w:hint="eastAsia" w:ascii="仿宋" w:hAnsi="仿宋" w:eastAsia="仿宋" w:cs="仿宋"/>
                <w:b/>
                <w:bCs/>
              </w:rPr>
              <w:t>7</w:t>
            </w:r>
          </w:p>
        </w:tc>
        <w:tc>
          <w:tcPr>
            <w:tcW w:w="1607" w:type="dxa"/>
          </w:tcPr>
          <w:p w14:paraId="1B884733">
            <w:pPr>
              <w:rPr>
                <w:rFonts w:ascii="仿宋" w:hAnsi="仿宋" w:eastAsia="仿宋" w:cs="仿宋"/>
              </w:rPr>
            </w:pPr>
            <w:r>
              <w:rPr>
                <w:rFonts w:hint="eastAsia" w:ascii="仿宋" w:hAnsi="仿宋" w:eastAsia="仿宋" w:cs="仿宋"/>
              </w:rPr>
              <w:t>协助交易交割/结算法律支持</w:t>
            </w:r>
          </w:p>
        </w:tc>
        <w:tc>
          <w:tcPr>
            <w:tcW w:w="5764" w:type="dxa"/>
          </w:tcPr>
          <w:p w14:paraId="0D1FEBD5">
            <w:pPr>
              <w:rPr>
                <w:rFonts w:ascii="仿宋" w:hAnsi="仿宋" w:eastAsia="仿宋" w:cs="仿宋"/>
              </w:rPr>
            </w:pPr>
            <w:r>
              <w:rPr>
                <w:rFonts w:hint="eastAsia" w:ascii="仿宋" w:hAnsi="仿宋" w:eastAsia="仿宋" w:cs="仿宋"/>
              </w:rPr>
              <w:t>1. 审阅境内交割条件及与备案、外汇、资金划转等相关文件；</w:t>
            </w:r>
            <w:r>
              <w:rPr>
                <w:rFonts w:hint="eastAsia" w:ascii="仿宋" w:hAnsi="仿宋" w:eastAsia="仿宋" w:cs="仿宋"/>
              </w:rPr>
              <w:br w:type="textWrapping"/>
            </w:r>
            <w:r>
              <w:rPr>
                <w:rFonts w:hint="eastAsia" w:ascii="仿宋" w:hAnsi="仿宋" w:eastAsia="仿宋" w:cs="仿宋"/>
              </w:rPr>
              <w:t>2. 协助客户落实跨境交割涉及的境内法律程序；</w:t>
            </w:r>
            <w:r>
              <w:rPr>
                <w:rFonts w:hint="eastAsia" w:ascii="仿宋" w:hAnsi="仿宋" w:eastAsia="仿宋" w:cs="仿宋"/>
              </w:rPr>
              <w:br w:type="textWrapping"/>
            </w:r>
            <w:r>
              <w:rPr>
                <w:rFonts w:hint="eastAsia" w:ascii="仿宋" w:hAnsi="仿宋" w:eastAsia="仿宋" w:cs="仿宋"/>
              </w:rPr>
              <w:t>3. 就交割及结算过程中涉及的其他中国境内法律事项提供专项法律支持。</w:t>
            </w:r>
          </w:p>
        </w:tc>
      </w:tr>
      <w:tr w14:paraId="4B9CF0DA">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Pr>
          <w:p w14:paraId="4DC17D76">
            <w:pPr>
              <w:rPr>
                <w:rFonts w:ascii="仿宋" w:hAnsi="仿宋" w:eastAsia="仿宋" w:cs="仿宋"/>
                <w:b w:val="0"/>
                <w:bCs w:val="0"/>
              </w:rPr>
            </w:pPr>
            <w:r>
              <w:rPr>
                <w:rFonts w:hint="eastAsia" w:ascii="仿宋" w:hAnsi="仿宋" w:eastAsia="仿宋" w:cs="仿宋"/>
                <w:b/>
                <w:bCs/>
              </w:rPr>
              <w:t>8</w:t>
            </w:r>
          </w:p>
        </w:tc>
        <w:tc>
          <w:tcPr>
            <w:tcW w:w="1607" w:type="dxa"/>
          </w:tcPr>
          <w:p w14:paraId="1EEFE511">
            <w:pPr>
              <w:rPr>
                <w:rFonts w:ascii="仿宋" w:hAnsi="仿宋" w:eastAsia="仿宋" w:cs="仿宋"/>
              </w:rPr>
            </w:pPr>
            <w:r>
              <w:rPr>
                <w:rFonts w:hint="eastAsia" w:ascii="仿宋" w:hAnsi="仿宋" w:eastAsia="仿宋" w:cs="仿宋"/>
              </w:rPr>
              <w:t>起草/审阅信息披露/发行文件合规章节</w:t>
            </w:r>
          </w:p>
        </w:tc>
        <w:tc>
          <w:tcPr>
            <w:tcW w:w="5764" w:type="dxa"/>
          </w:tcPr>
          <w:p w14:paraId="2B77C228">
            <w:pPr>
              <w:rPr>
                <w:rFonts w:ascii="仿宋" w:hAnsi="仿宋" w:eastAsia="仿宋" w:cs="仿宋"/>
              </w:rPr>
            </w:pPr>
            <w:r>
              <w:rPr>
                <w:rFonts w:hint="eastAsia" w:ascii="仿宋" w:hAnsi="仿宋" w:eastAsia="仿宋" w:cs="仿宋"/>
              </w:rPr>
              <w:t>1. 起草或审阅发行文件中与中国境内法律及监管事项相关的风险披露章节；</w:t>
            </w:r>
            <w:r>
              <w:rPr>
                <w:rFonts w:hint="eastAsia" w:ascii="仿宋" w:hAnsi="仿宋" w:eastAsia="仿宋" w:cs="仿宋"/>
              </w:rPr>
              <w:br w:type="textWrapping"/>
            </w:r>
            <w:r>
              <w:rPr>
                <w:rFonts w:hint="eastAsia" w:ascii="仿宋" w:hAnsi="仿宋" w:eastAsia="仿宋" w:cs="仿宋"/>
              </w:rPr>
              <w:t>2. 起草或审阅与中国境内法律相关的免责声明、适用法律及争议解决条款。</w:t>
            </w:r>
          </w:p>
        </w:tc>
      </w:tr>
    </w:tbl>
    <w:p w14:paraId="4D714996">
      <w:pPr>
        <w:ind w:firstLine="422" w:firstLineChars="200"/>
        <w:rPr>
          <w:rFonts w:ascii="仿宋" w:hAnsi="仿宋" w:eastAsia="仿宋" w:cs="仿宋"/>
          <w:szCs w:val="21"/>
        </w:rPr>
      </w:pPr>
    </w:p>
    <w:p w14:paraId="41355D2C">
      <w:pPr>
        <w:ind w:firstLine="422" w:firstLineChars="200"/>
        <w:rPr>
          <w:rFonts w:ascii="仿宋" w:hAnsi="仿宋" w:eastAsia="仿宋" w:cs="仿宋"/>
          <w:b/>
          <w:bCs/>
          <w:szCs w:val="21"/>
        </w:rPr>
      </w:pPr>
      <w:r>
        <w:rPr>
          <w:rFonts w:hint="eastAsia" w:ascii="仿宋" w:hAnsi="仿宋" w:eastAsia="仿宋" w:cs="仿宋"/>
          <w:b/>
          <w:bCs/>
          <w:szCs w:val="21"/>
        </w:rPr>
        <w:t>第三条  时间要求及阶段成果</w:t>
      </w:r>
    </w:p>
    <w:p w14:paraId="0EDBD517">
      <w:pPr>
        <w:pStyle w:val="49"/>
        <w:spacing w:after="0" w:line="240" w:lineRule="auto"/>
        <w:ind w:firstLine="422" w:firstLineChars="200"/>
        <w:rPr>
          <w:rFonts w:ascii="仿宋" w:hAnsi="仿宋" w:eastAsia="仿宋" w:cs="仿宋"/>
          <w:sz w:val="21"/>
          <w:szCs w:val="22"/>
        </w:rPr>
      </w:pPr>
      <w:r>
        <w:rPr>
          <w:rFonts w:hint="eastAsia" w:ascii="仿宋" w:hAnsi="仿宋" w:eastAsia="仿宋" w:cs="仿宋"/>
          <w:sz w:val="21"/>
          <w:szCs w:val="22"/>
        </w:rPr>
        <w:t>1、1-2周，启动及资料收集阶段，了解项目交易结构、申报路径及主要法律需求，并提出资料清单及补充资料要求。输出资料清单及工作安排</w:t>
      </w:r>
    </w:p>
    <w:p w14:paraId="6DD1A9B0">
      <w:pPr>
        <w:ind w:firstLine="422" w:firstLineChars="200"/>
        <w:rPr>
          <w:rFonts w:ascii="仿宋" w:hAnsi="仿宋" w:eastAsia="仿宋" w:cs="仿宋"/>
          <w:szCs w:val="21"/>
        </w:rPr>
      </w:pPr>
      <w:r>
        <w:rPr>
          <w:rFonts w:hint="eastAsia" w:ascii="仿宋" w:hAnsi="仿宋" w:eastAsia="仿宋" w:cs="仿宋"/>
          <w:szCs w:val="21"/>
        </w:rPr>
        <w:t>2、3-6周，法律尽调与申报分析，</w:t>
      </w:r>
      <w:r>
        <w:rPr>
          <w:rFonts w:hint="eastAsia" w:ascii="仿宋" w:hAnsi="仿宋" w:eastAsia="仿宋" w:cs="仿宋"/>
        </w:rPr>
        <w:t>开展法律尽职调查及专项法律分析，就项目交易结构、基础资产安排、境内证监会备案等问题进行研究并给出合规建议。输出尽职调查问题清单，专项法律分析意见及申报要点梳理。</w:t>
      </w:r>
    </w:p>
    <w:p w14:paraId="2CA78E0A">
      <w:pPr>
        <w:pStyle w:val="49"/>
        <w:spacing w:after="0" w:line="240" w:lineRule="auto"/>
        <w:ind w:firstLine="422" w:firstLineChars="200"/>
        <w:rPr>
          <w:rFonts w:ascii="仿宋" w:hAnsi="仿宋" w:eastAsia="仿宋" w:cs="仿宋"/>
          <w:sz w:val="21"/>
        </w:rPr>
      </w:pPr>
      <w:r>
        <w:rPr>
          <w:rFonts w:hint="eastAsia" w:ascii="仿宋" w:hAnsi="仿宋" w:eastAsia="仿宋" w:cs="仿宋"/>
          <w:sz w:val="21"/>
        </w:rPr>
        <w:t>3、7-16周法律顾问根据项目进展，起草、审阅及修改与境内证监会备案相关的法律文件、申报材料及配套说明文件。</w:t>
      </w:r>
    </w:p>
    <w:p w14:paraId="526F7449">
      <w:pPr>
        <w:ind w:firstLine="422" w:firstLineChars="200"/>
        <w:rPr>
          <w:rFonts w:ascii="仿宋" w:hAnsi="仿宋" w:eastAsia="仿宋" w:cs="仿宋"/>
          <w:b/>
          <w:bCs/>
          <w:szCs w:val="21"/>
        </w:rPr>
      </w:pPr>
      <w:r>
        <w:rPr>
          <w:rFonts w:hint="eastAsia" w:ascii="仿宋" w:hAnsi="仿宋" w:eastAsia="仿宋" w:cs="仿宋"/>
          <w:b/>
          <w:bCs/>
          <w:szCs w:val="21"/>
        </w:rPr>
        <w:t>第四条  项目团队</w:t>
      </w:r>
    </w:p>
    <w:p w14:paraId="6CF93CBD">
      <w:pPr>
        <w:ind w:firstLine="422" w:firstLineChars="200"/>
        <w:rPr>
          <w:rFonts w:ascii="仿宋" w:hAnsi="仿宋" w:eastAsia="仿宋" w:cs="仿宋"/>
        </w:rPr>
      </w:pPr>
      <w:r>
        <w:rPr>
          <w:rFonts w:hint="eastAsia" w:ascii="仿宋" w:hAnsi="仿宋" w:eastAsia="仿宋" w:cs="仿宋"/>
        </w:rPr>
        <w:t>1、乙方应组建专项法律服务团队，团队负责人为乙方指派的主办合伙人律师，负责统筹协调本项目全部法律工作。</w:t>
      </w:r>
    </w:p>
    <w:p w14:paraId="27FDD96E">
      <w:pPr>
        <w:ind w:firstLine="422" w:firstLineChars="200"/>
        <w:rPr>
          <w:rFonts w:ascii="仿宋" w:hAnsi="仿宋" w:eastAsia="仿宋" w:cs="仿宋"/>
        </w:rPr>
      </w:pPr>
      <w:r>
        <w:rPr>
          <w:rFonts w:hint="eastAsia" w:ascii="仿宋" w:hAnsi="仿宋" w:eastAsia="仿宋" w:cs="仿宋"/>
        </w:rPr>
        <w:t>2、乙方项目团队主要成员应与乙方响应文件中承诺的人员配置保持一致。</w:t>
      </w:r>
    </w:p>
    <w:p w14:paraId="56853C2E">
      <w:pPr>
        <w:ind w:firstLine="422" w:firstLineChars="200"/>
        <w:rPr>
          <w:rFonts w:ascii="仿宋" w:hAnsi="仿宋" w:eastAsia="仿宋" w:cs="仿宋"/>
        </w:rPr>
      </w:pPr>
      <w:r>
        <w:rPr>
          <w:rFonts w:hint="eastAsia" w:ascii="仿宋" w:hAnsi="仿宋" w:eastAsia="仿宋" w:cs="仿宋"/>
        </w:rPr>
        <w:t>3、乙方承诺以直属团队成员参与本项目服务，不得使用挂靠队伍。</w:t>
      </w:r>
    </w:p>
    <w:p w14:paraId="4B9D8376">
      <w:pPr>
        <w:ind w:firstLine="422" w:firstLineChars="200"/>
        <w:rPr>
          <w:rFonts w:ascii="仿宋" w:hAnsi="仿宋" w:eastAsia="仿宋" w:cs="仿宋"/>
        </w:rPr>
      </w:pPr>
      <w:r>
        <w:rPr>
          <w:rFonts w:hint="eastAsia" w:ascii="仿宋" w:hAnsi="仿宋" w:eastAsia="仿宋" w:cs="仿宋"/>
        </w:rPr>
        <w:t>4、未经甲方书面同意，乙方不得擅自更换项目团队负责人及核心成员。确需更换的，乙方需提前7个工作日书面通知甲方，并经甲方书面同意，继任人员的资历与经验不得低于原人员。</w:t>
      </w:r>
    </w:p>
    <w:p w14:paraId="03DC8131">
      <w:pPr>
        <w:ind w:firstLine="422" w:firstLineChars="200"/>
        <w:rPr>
          <w:rFonts w:ascii="仿宋" w:hAnsi="仿宋" w:eastAsia="仿宋" w:cs="仿宋"/>
        </w:rPr>
      </w:pPr>
      <w:r>
        <w:rPr>
          <w:rFonts w:hint="eastAsia" w:ascii="仿宋" w:hAnsi="仿宋" w:eastAsia="仿宋" w:cs="仿宋"/>
        </w:rPr>
        <w:t>5、乙方应确保项目团队具备资产数字化/RWA/RDA等相关领域的法律服务经验，熟悉证券法、外汇管理、数据安全及跨境交易相关法律法规。</w:t>
      </w:r>
    </w:p>
    <w:p w14:paraId="59965BED">
      <w:pPr>
        <w:ind w:firstLine="422" w:firstLineChars="200"/>
        <w:rPr>
          <w:rFonts w:ascii="仿宋" w:hAnsi="仿宋" w:eastAsia="仿宋" w:cs="仿宋"/>
          <w:b/>
          <w:bCs/>
          <w:szCs w:val="21"/>
        </w:rPr>
      </w:pPr>
      <w:r>
        <w:rPr>
          <w:rFonts w:hint="eastAsia" w:ascii="仿宋" w:hAnsi="仿宋" w:eastAsia="仿宋" w:cs="仿宋"/>
          <w:b/>
          <w:bCs/>
          <w:szCs w:val="21"/>
        </w:rPr>
        <w:t>第五条  甲方的义务</w:t>
      </w:r>
    </w:p>
    <w:p w14:paraId="3DD0EDFC">
      <w:pPr>
        <w:ind w:firstLine="422" w:firstLineChars="200"/>
        <w:rPr>
          <w:rFonts w:ascii="仿宋" w:hAnsi="仿宋" w:eastAsia="仿宋" w:cs="仿宋"/>
        </w:rPr>
      </w:pPr>
      <w:r>
        <w:rPr>
          <w:rFonts w:hint="eastAsia" w:ascii="仿宋" w:hAnsi="仿宋" w:eastAsia="仿宋" w:cs="仿宋"/>
        </w:rPr>
        <w:t>1、负责与本项目有关的第三方（包括但不限于境外中介机构、技术合作方、监管机构等）的协调，为乙方开展法律服务提供必要的外部条件。</w:t>
      </w:r>
    </w:p>
    <w:p w14:paraId="44A380AC">
      <w:pPr>
        <w:ind w:firstLine="422" w:firstLineChars="200"/>
        <w:rPr>
          <w:rFonts w:ascii="仿宋" w:hAnsi="仿宋" w:eastAsia="仿宋" w:cs="仿宋"/>
        </w:rPr>
      </w:pPr>
      <w:r>
        <w:rPr>
          <w:rFonts w:hint="eastAsia" w:ascii="仿宋" w:hAnsi="仿宋" w:eastAsia="仿宋" w:cs="仿宋"/>
        </w:rPr>
        <w:t>2、向乙方提供与本项目相关的资料和信息，包括但不限于项目背景资料、资产权属证明、交易架构方案、Term Sheet、技术合作协议等，并确保所提供资料的真实性、完整性和及时性。</w:t>
      </w:r>
    </w:p>
    <w:p w14:paraId="36F18556">
      <w:pPr>
        <w:ind w:firstLine="422" w:firstLineChars="200"/>
        <w:rPr>
          <w:rFonts w:ascii="仿宋" w:hAnsi="仿宋" w:eastAsia="仿宋" w:cs="仿宋"/>
        </w:rPr>
      </w:pPr>
      <w:r>
        <w:rPr>
          <w:rFonts w:hint="eastAsia" w:ascii="仿宋" w:hAnsi="仿宋" w:eastAsia="仿宋" w:cs="仿宋"/>
        </w:rPr>
        <w:t>3、及时对乙方提交的工作成果进行审阅并反馈意见。</w:t>
      </w:r>
    </w:p>
    <w:p w14:paraId="1589657E">
      <w:pPr>
        <w:ind w:firstLine="422" w:firstLineChars="200"/>
        <w:rPr>
          <w:rFonts w:ascii="仿宋" w:hAnsi="仿宋" w:eastAsia="仿宋" w:cs="仿宋"/>
        </w:rPr>
      </w:pPr>
      <w:r>
        <w:rPr>
          <w:rFonts w:hint="eastAsia" w:ascii="仿宋" w:hAnsi="仿宋" w:eastAsia="仿宋" w:cs="仿宋"/>
        </w:rPr>
        <w:t>4、按本合同约定的付款条件和时间向乙方支付服务费用。</w:t>
      </w:r>
    </w:p>
    <w:p w14:paraId="1C037282">
      <w:pPr>
        <w:ind w:firstLine="422" w:firstLineChars="200"/>
        <w:rPr>
          <w:rFonts w:ascii="仿宋" w:hAnsi="仿宋" w:eastAsia="仿宋" w:cs="仿宋"/>
          <w:b/>
          <w:bCs/>
          <w:szCs w:val="21"/>
        </w:rPr>
      </w:pPr>
      <w:r>
        <w:rPr>
          <w:rFonts w:hint="eastAsia" w:ascii="仿宋" w:hAnsi="仿宋" w:eastAsia="仿宋" w:cs="仿宋"/>
          <w:b/>
          <w:bCs/>
          <w:szCs w:val="21"/>
        </w:rPr>
        <w:t>第六条　乙方的义务</w:t>
      </w:r>
    </w:p>
    <w:p w14:paraId="79AE681F">
      <w:pPr>
        <w:ind w:firstLine="422" w:firstLineChars="200"/>
        <w:rPr>
          <w:rFonts w:ascii="仿宋" w:hAnsi="仿宋" w:eastAsia="仿宋" w:cs="仿宋"/>
        </w:rPr>
      </w:pPr>
      <w:r>
        <w:rPr>
          <w:rFonts w:hint="eastAsia" w:ascii="仿宋" w:hAnsi="仿宋" w:eastAsia="仿宋" w:cs="仿宋"/>
        </w:rPr>
        <w:t>1、按照本合同第二条、第三条约定的服务范围和时间要求，按期高质量完成全部法律服务工作。</w:t>
      </w:r>
    </w:p>
    <w:p w14:paraId="20DFCF7B">
      <w:pPr>
        <w:ind w:firstLine="422" w:firstLineChars="200"/>
        <w:rPr>
          <w:rFonts w:ascii="仿宋" w:hAnsi="仿宋" w:eastAsia="仿宋" w:cs="仿宋"/>
        </w:rPr>
      </w:pPr>
      <w:r>
        <w:rPr>
          <w:rFonts w:hint="eastAsia" w:ascii="仿宋" w:hAnsi="仿宋" w:eastAsia="仿宋" w:cs="仿宋"/>
        </w:rPr>
        <w:t>2、乙方提供的法律分析意见、法律意见书及其他工作成果应符合中国现行法律法规及行业执业规范要求。</w:t>
      </w:r>
    </w:p>
    <w:p w14:paraId="558A9C84">
      <w:pPr>
        <w:ind w:firstLine="422" w:firstLineChars="200"/>
        <w:rPr>
          <w:rFonts w:ascii="仿宋" w:hAnsi="仿宋" w:eastAsia="仿宋" w:cs="仿宋"/>
        </w:rPr>
      </w:pPr>
      <w:r>
        <w:rPr>
          <w:rFonts w:hint="eastAsia" w:ascii="仿宋" w:hAnsi="仿宋" w:eastAsia="仿宋" w:cs="仿宋"/>
        </w:rPr>
        <w:t>3、乙方应指定一名项目负责人作为与甲方的日常联络人，及时向甲方通报工作进展情况。</w:t>
      </w:r>
    </w:p>
    <w:p w14:paraId="66535201">
      <w:pPr>
        <w:ind w:firstLine="422" w:firstLineChars="200"/>
        <w:rPr>
          <w:rFonts w:ascii="仿宋" w:hAnsi="仿宋" w:eastAsia="仿宋" w:cs="仿宋"/>
        </w:rPr>
      </w:pPr>
      <w:r>
        <w:rPr>
          <w:rFonts w:hint="eastAsia" w:ascii="仿宋" w:hAnsi="仿宋" w:eastAsia="仿宋" w:cs="仿宋"/>
        </w:rPr>
        <w:t>4、在履行合同期间，乙方不得泄露与本合同有关的任何保密资料。</w:t>
      </w:r>
    </w:p>
    <w:p w14:paraId="31187EE0">
      <w:pPr>
        <w:ind w:firstLine="422" w:firstLineChars="200"/>
        <w:rPr>
          <w:rFonts w:ascii="仿宋" w:hAnsi="仿宋" w:eastAsia="仿宋" w:cs="仿宋"/>
        </w:rPr>
      </w:pPr>
      <w:r>
        <w:rPr>
          <w:rFonts w:hint="eastAsia" w:ascii="仿宋" w:hAnsi="仿宋" w:eastAsia="仿宋" w:cs="仿宋"/>
        </w:rPr>
        <w:t>5、乙方应妥善保管在履行合同过程中所获得或接触到的甲方内部数据资料，合同履行完毕后未经甲方书面同意不得保存。</w:t>
      </w:r>
    </w:p>
    <w:p w14:paraId="19EE8966">
      <w:pPr>
        <w:ind w:firstLine="422" w:firstLineChars="200"/>
        <w:rPr>
          <w:rFonts w:ascii="仿宋" w:hAnsi="仿宋" w:eastAsia="仿宋" w:cs="仿宋"/>
        </w:rPr>
      </w:pPr>
      <w:r>
        <w:rPr>
          <w:rFonts w:hint="eastAsia" w:ascii="仿宋" w:hAnsi="仿宋" w:eastAsia="仿宋" w:cs="仿宋"/>
        </w:rPr>
        <w:t>6、乙方应确保其出具的法律意见书符合中国证监会等监管机构的要求和格式规范。</w:t>
      </w:r>
    </w:p>
    <w:p w14:paraId="061BFF4E">
      <w:pPr>
        <w:ind w:firstLine="422" w:firstLineChars="200"/>
        <w:rPr>
          <w:rFonts w:ascii="仿宋" w:hAnsi="仿宋" w:eastAsia="仿宋" w:cs="仿宋"/>
          <w:b/>
          <w:bCs/>
          <w:szCs w:val="21"/>
        </w:rPr>
      </w:pPr>
      <w:r>
        <w:rPr>
          <w:rFonts w:hint="eastAsia" w:ascii="仿宋" w:hAnsi="仿宋" w:eastAsia="仿宋" w:cs="仿宋"/>
          <w:b/>
          <w:bCs/>
          <w:szCs w:val="21"/>
        </w:rPr>
        <w:t>第七条  甲方的权利</w:t>
      </w:r>
    </w:p>
    <w:p w14:paraId="5913632C">
      <w:pPr>
        <w:ind w:firstLine="422" w:firstLineChars="200"/>
        <w:rPr>
          <w:rFonts w:ascii="仿宋" w:hAnsi="仿宋" w:eastAsia="仿宋" w:cs="仿宋"/>
        </w:rPr>
      </w:pPr>
      <w:r>
        <w:rPr>
          <w:rFonts w:hint="eastAsia" w:ascii="仿宋" w:hAnsi="仿宋" w:eastAsia="仿宋" w:cs="仿宋"/>
        </w:rPr>
        <w:t>1、享有要求乙方按本协议提供法律服务及获悉服务事项进展情况的权利；若因乙方未主动要求甲方补充必要资料，导致法律服务存在重大遗漏或错误，乙方应免费修正并承担由此产生的直接损失。</w:t>
      </w:r>
    </w:p>
    <w:p w14:paraId="626772E9">
      <w:pPr>
        <w:ind w:firstLine="422" w:firstLineChars="200"/>
        <w:rPr>
          <w:rFonts w:ascii="仿宋" w:hAnsi="仿宋" w:eastAsia="仿宋" w:cs="仿宋"/>
        </w:rPr>
      </w:pPr>
      <w:r>
        <w:rPr>
          <w:rFonts w:hint="eastAsia" w:ascii="仿宋" w:hAnsi="仿宋" w:eastAsia="仿宋" w:cs="仿宋"/>
        </w:rPr>
        <w:t>2、当甲方认定乙方人员不按合同履行其职责，或与第三人串通给甲方造成经济损失的，甲方有权要求更换人员，直至终止合同并要求乙方承担相应的赔偿责任。</w:t>
      </w:r>
    </w:p>
    <w:p w14:paraId="0DFF8AF5">
      <w:pPr>
        <w:ind w:firstLine="422" w:firstLineChars="200"/>
        <w:rPr>
          <w:rFonts w:ascii="仿宋" w:hAnsi="仿宋" w:eastAsia="仿宋" w:cs="仿宋"/>
        </w:rPr>
      </w:pPr>
      <w:r>
        <w:rPr>
          <w:rFonts w:hint="eastAsia" w:ascii="仿宋" w:hAnsi="仿宋" w:eastAsia="仿宋" w:cs="仿宋"/>
        </w:rPr>
        <w:t>3、有权要求乙方按照甲方指定的时间和格式提交工作成果。</w:t>
      </w:r>
    </w:p>
    <w:p w14:paraId="76EECF47">
      <w:pPr>
        <w:ind w:firstLine="422" w:firstLineChars="200"/>
        <w:rPr>
          <w:rFonts w:ascii="仿宋" w:hAnsi="仿宋" w:eastAsia="仿宋" w:cs="仿宋"/>
        </w:rPr>
      </w:pPr>
      <w:r>
        <w:rPr>
          <w:rFonts w:hint="eastAsia" w:ascii="仿宋" w:hAnsi="仿宋" w:eastAsia="仿宋" w:cs="仿宋"/>
        </w:rPr>
        <w:t>4、在乙方为甲方提供服务时，应当就已经存在或可能存在的，代理与甲方有利益冲突方的情况如实告知甲方。在发生利益冲突的情形下，乙方有权作出回避安排或解除本协议。若因利益冲突乙方选择解除协议后，乙方退还甲方已支付的法律服务费及其他费用。乙方须在发现利益冲突后24小时内书面通知甲方，并立即停止相关服务；若未及时披露导致甲方损失，乙方需全额退还服务费并赔偿。</w:t>
      </w:r>
    </w:p>
    <w:p w14:paraId="510CBD70">
      <w:pPr>
        <w:ind w:firstLine="422" w:firstLineChars="200"/>
        <w:rPr>
          <w:rFonts w:ascii="仿宋" w:hAnsi="仿宋" w:eastAsia="仿宋" w:cs="仿宋"/>
        </w:rPr>
      </w:pPr>
    </w:p>
    <w:p w14:paraId="31D667EA">
      <w:pPr>
        <w:ind w:firstLine="422" w:firstLineChars="200"/>
        <w:rPr>
          <w:rFonts w:ascii="仿宋" w:hAnsi="仿宋" w:eastAsia="仿宋" w:cs="仿宋"/>
          <w:b/>
          <w:bCs/>
          <w:szCs w:val="21"/>
        </w:rPr>
      </w:pPr>
      <w:r>
        <w:rPr>
          <w:rFonts w:hint="eastAsia" w:ascii="仿宋" w:hAnsi="仿宋" w:eastAsia="仿宋" w:cs="仿宋"/>
          <w:b/>
          <w:bCs/>
          <w:szCs w:val="21"/>
        </w:rPr>
        <w:t>第八条  乙方的权利</w:t>
      </w:r>
    </w:p>
    <w:p w14:paraId="4BE52A51">
      <w:pPr>
        <w:ind w:firstLine="422" w:firstLineChars="200"/>
        <w:rPr>
          <w:rFonts w:ascii="仿宋" w:hAnsi="仿宋" w:eastAsia="仿宋" w:cs="仿宋"/>
        </w:rPr>
      </w:pPr>
      <w:r>
        <w:rPr>
          <w:rFonts w:hint="eastAsia" w:ascii="仿宋" w:hAnsi="仿宋" w:eastAsia="仿宋" w:cs="仿宋"/>
        </w:rPr>
        <w:t>1、在服务过程中，如甲方提供的资料不明确或存在疑问时，有权向甲方提出书面报告并要求澄清。</w:t>
      </w:r>
    </w:p>
    <w:p w14:paraId="1E7D3BF9">
      <w:pPr>
        <w:ind w:firstLine="422" w:firstLineChars="200"/>
        <w:rPr>
          <w:rFonts w:ascii="仿宋" w:hAnsi="仿宋" w:eastAsia="仿宋" w:cs="仿宋"/>
        </w:rPr>
      </w:pPr>
      <w:r>
        <w:rPr>
          <w:rFonts w:hint="eastAsia" w:ascii="仿宋" w:hAnsi="仿宋" w:eastAsia="仿宋" w:cs="仿宋"/>
        </w:rPr>
        <w:t>2、有权对第三方提出与本法律服务业务有关的问题进行核对或查问。</w:t>
      </w:r>
    </w:p>
    <w:p w14:paraId="654ED60A">
      <w:pPr>
        <w:ind w:firstLine="422" w:firstLineChars="200"/>
        <w:rPr>
          <w:rFonts w:ascii="仿宋" w:hAnsi="仿宋" w:eastAsia="仿宋" w:cs="仿宋"/>
        </w:rPr>
      </w:pPr>
      <w:r>
        <w:rPr>
          <w:rFonts w:hint="eastAsia" w:ascii="仿宋" w:hAnsi="仿宋" w:eastAsia="仿宋" w:cs="仿宋"/>
        </w:rPr>
        <w:t>3、有权在履行本合同义务所需的范围内查阅甲方与本项目相关的文件和资料。</w:t>
      </w:r>
    </w:p>
    <w:p w14:paraId="0D9AFD7B">
      <w:pPr>
        <w:ind w:firstLine="422" w:firstLineChars="200"/>
        <w:rPr>
          <w:rFonts w:ascii="仿宋" w:hAnsi="仿宋" w:eastAsia="仿宋" w:cs="仿宋"/>
          <w:b/>
          <w:bCs/>
          <w:szCs w:val="21"/>
        </w:rPr>
      </w:pPr>
      <w:r>
        <w:rPr>
          <w:rFonts w:hint="eastAsia" w:ascii="仿宋" w:hAnsi="仿宋" w:eastAsia="仿宋" w:cs="仿宋"/>
          <w:b/>
          <w:bCs/>
          <w:szCs w:val="21"/>
        </w:rPr>
        <w:t>第九条  工作成果归属</w:t>
      </w:r>
    </w:p>
    <w:p w14:paraId="74BAB225">
      <w:pPr>
        <w:ind w:firstLine="422" w:firstLineChars="200"/>
        <w:rPr>
          <w:rFonts w:ascii="仿宋" w:hAnsi="仿宋" w:eastAsia="仿宋" w:cs="仿宋"/>
        </w:rPr>
      </w:pPr>
      <w:r>
        <w:rPr>
          <w:rFonts w:hint="eastAsia" w:ascii="仿宋" w:hAnsi="仿宋" w:eastAsia="仿宋" w:cs="仿宋"/>
        </w:rPr>
        <w:t>1、乙方提交给甲方的全部工作成果（包括但不限于法律分析备忘录、法律意见书、交易文件审阅意见、监管沟通材料等）的所有权归甲方所有。</w:t>
      </w:r>
    </w:p>
    <w:p w14:paraId="6CCA46A0">
      <w:pPr>
        <w:ind w:firstLine="422" w:firstLineChars="200"/>
        <w:rPr>
          <w:rFonts w:ascii="仿宋" w:hAnsi="仿宋" w:eastAsia="仿宋" w:cs="仿宋"/>
        </w:rPr>
      </w:pPr>
      <w:r>
        <w:rPr>
          <w:rFonts w:hint="eastAsia" w:ascii="仿宋" w:hAnsi="仿宋" w:eastAsia="仿宋" w:cs="仿宋"/>
        </w:rPr>
        <w:t>2、未经甲方书面同意，乙方不得将上述工作成果用于与本项目之外的任何其他项目或用途。</w:t>
      </w:r>
    </w:p>
    <w:p w14:paraId="7DC550E7">
      <w:pPr>
        <w:ind w:firstLine="422" w:firstLineChars="200"/>
        <w:rPr>
          <w:rFonts w:ascii="仿宋" w:hAnsi="仿宋" w:eastAsia="仿宋" w:cs="仿宋"/>
        </w:rPr>
      </w:pPr>
      <w:r>
        <w:rPr>
          <w:rFonts w:hint="eastAsia" w:ascii="仿宋" w:hAnsi="仿宋" w:eastAsia="仿宋" w:cs="仿宋"/>
        </w:rPr>
        <w:t>3、合同履行完毕或终止后，乙方应按甲方要求归还或销毁全部与本项目相关的资料和工作文件。</w:t>
      </w:r>
    </w:p>
    <w:p w14:paraId="09FE7A47">
      <w:pPr>
        <w:ind w:firstLine="422" w:firstLineChars="200"/>
        <w:rPr>
          <w:rFonts w:ascii="仿宋" w:hAnsi="仿宋" w:eastAsia="仿宋" w:cs="仿宋"/>
          <w:b/>
          <w:bCs/>
          <w:szCs w:val="21"/>
        </w:rPr>
      </w:pPr>
      <w:r>
        <w:rPr>
          <w:rFonts w:hint="eastAsia" w:ascii="仿宋" w:hAnsi="仿宋" w:eastAsia="仿宋" w:cs="仿宋"/>
          <w:b/>
          <w:bCs/>
          <w:szCs w:val="21"/>
        </w:rPr>
        <w:t>第十条  保密条款</w:t>
      </w:r>
    </w:p>
    <w:p w14:paraId="2C944BE7">
      <w:pPr>
        <w:ind w:firstLine="422" w:firstLineChars="200"/>
        <w:rPr>
          <w:rFonts w:ascii="仿宋" w:hAnsi="仿宋" w:eastAsia="仿宋" w:cs="仿宋"/>
        </w:rPr>
      </w:pPr>
      <w:r>
        <w:rPr>
          <w:rFonts w:hint="eastAsia" w:ascii="仿宋" w:hAnsi="仿宋" w:eastAsia="仿宋" w:cs="仿宋"/>
        </w:rPr>
        <w:t>1、由甲方收集、整理、复制、研究和准备的与本合同项下工作有关的所有资料在提供给乙方时，均被视为保密资料，乙方不得泄露给除甲方或其指定代表之外的任何人、企业或公司。不管本合同因何种原因终止，本条款一直约束乙方。</w:t>
      </w:r>
    </w:p>
    <w:p w14:paraId="3FC61258">
      <w:pPr>
        <w:ind w:firstLine="422" w:firstLineChars="200"/>
        <w:rPr>
          <w:rFonts w:ascii="仿宋" w:hAnsi="仿宋" w:eastAsia="仿宋" w:cs="仿宋"/>
        </w:rPr>
      </w:pPr>
      <w:r>
        <w:rPr>
          <w:rFonts w:hint="eastAsia" w:ascii="仿宋" w:hAnsi="仿宋" w:eastAsia="仿宋" w:cs="仿宋"/>
        </w:rPr>
        <w:t>2、乙方在履行合同过程中所获得或接触到的任何甲方内部数据资料，未经甲方书面同意，不得向第三方透露。</w:t>
      </w:r>
    </w:p>
    <w:p w14:paraId="5140FDEF">
      <w:pPr>
        <w:ind w:firstLine="422" w:firstLineChars="200"/>
        <w:rPr>
          <w:rFonts w:ascii="仿宋" w:hAnsi="仿宋" w:eastAsia="仿宋" w:cs="仿宋"/>
        </w:rPr>
      </w:pPr>
      <w:r>
        <w:rPr>
          <w:rFonts w:hint="eastAsia" w:ascii="仿宋" w:hAnsi="仿宋" w:eastAsia="仿宋" w:cs="仿宋"/>
        </w:rPr>
        <w:t>3、乙方实施项目的一切程序都应符合国家安全和保密的有关规定和标准。</w:t>
      </w:r>
    </w:p>
    <w:p w14:paraId="0268A381">
      <w:pPr>
        <w:ind w:firstLine="422" w:firstLineChars="200"/>
        <w:rPr>
          <w:rFonts w:ascii="仿宋" w:hAnsi="仿宋" w:eastAsia="仿宋" w:cs="仿宋"/>
        </w:rPr>
      </w:pPr>
      <w:r>
        <w:rPr>
          <w:rFonts w:hint="eastAsia" w:ascii="仿宋" w:hAnsi="仿宋" w:eastAsia="仿宋" w:cs="仿宋"/>
        </w:rPr>
        <w:t>4、乙方参加本项目的有关人员均需同甲方签订保密协议。</w:t>
      </w:r>
    </w:p>
    <w:p w14:paraId="1086D2D6">
      <w:pPr>
        <w:ind w:firstLine="422" w:firstLineChars="200"/>
        <w:rPr>
          <w:rFonts w:ascii="仿宋" w:hAnsi="仿宋" w:eastAsia="仿宋" w:cs="仿宋"/>
        </w:rPr>
      </w:pPr>
      <w:r>
        <w:rPr>
          <w:rFonts w:hint="eastAsia" w:ascii="仿宋" w:hAnsi="仿宋" w:eastAsia="仿宋" w:cs="仿宋"/>
        </w:rPr>
        <w:t>5、本保密条款不因本合同的终止、解除或无效而失效，持续有效。</w:t>
      </w:r>
    </w:p>
    <w:p w14:paraId="040C3CFE">
      <w:pPr>
        <w:ind w:firstLine="422" w:firstLineChars="200"/>
        <w:rPr>
          <w:rFonts w:ascii="仿宋" w:hAnsi="仿宋" w:eastAsia="仿宋" w:cs="仿宋"/>
          <w:b/>
          <w:bCs/>
          <w:szCs w:val="21"/>
        </w:rPr>
      </w:pPr>
      <w:r>
        <w:rPr>
          <w:rFonts w:hint="eastAsia" w:ascii="仿宋" w:hAnsi="仿宋" w:eastAsia="仿宋" w:cs="仿宋"/>
          <w:b/>
          <w:bCs/>
          <w:szCs w:val="21"/>
        </w:rPr>
        <w:t>第十一条  付款方式</w:t>
      </w:r>
    </w:p>
    <w:p w14:paraId="2A86C149">
      <w:pPr>
        <w:ind w:firstLine="422" w:firstLineChars="200"/>
        <w:rPr>
          <w:rFonts w:ascii="仿宋" w:hAnsi="仿宋" w:eastAsia="仿宋" w:cs="仿宋"/>
          <w:szCs w:val="21"/>
        </w:rPr>
      </w:pPr>
      <w:r>
        <w:rPr>
          <w:rFonts w:hint="eastAsia" w:ascii="仿宋" w:hAnsi="仿宋" w:eastAsia="仿宋" w:cs="仿宋"/>
          <w:szCs w:val="21"/>
        </w:rPr>
        <w:t>1.首期款。完成北京证监会备案，获得备案号，在乙方开具对应款项发票的10个工作日内，甲方支付乙方合同金额的70%。</w:t>
      </w:r>
    </w:p>
    <w:p w14:paraId="36919340">
      <w:pPr>
        <w:ind w:firstLine="422" w:firstLineChars="200"/>
        <w:rPr>
          <w:rFonts w:ascii="仿宋" w:hAnsi="仿宋" w:eastAsia="仿宋" w:cs="仿宋"/>
          <w:szCs w:val="21"/>
        </w:rPr>
      </w:pPr>
      <w:r>
        <w:rPr>
          <w:rFonts w:hint="eastAsia" w:ascii="仿宋" w:hAnsi="仿宋" w:eastAsia="仿宋" w:cs="仿宋"/>
          <w:szCs w:val="21"/>
        </w:rPr>
        <w:t>2.结算款。项目服务完成，验收合格，在乙方开具对应款项发票的10个工作日内，甲方支付乙方合同金额的30%。</w:t>
      </w:r>
    </w:p>
    <w:p w14:paraId="67A03353">
      <w:pPr>
        <w:ind w:firstLine="422" w:firstLineChars="200"/>
        <w:rPr>
          <w:rFonts w:ascii="仿宋" w:hAnsi="仿宋" w:eastAsia="仿宋" w:cs="仿宋"/>
          <w:b/>
          <w:bCs/>
          <w:szCs w:val="21"/>
        </w:rPr>
      </w:pPr>
      <w:r>
        <w:rPr>
          <w:rFonts w:hint="eastAsia" w:ascii="仿宋" w:hAnsi="仿宋" w:eastAsia="仿宋" w:cs="仿宋"/>
          <w:b/>
          <w:bCs/>
          <w:szCs w:val="21"/>
        </w:rPr>
        <w:t>第十二条  争议解决办法</w:t>
      </w:r>
    </w:p>
    <w:p w14:paraId="0DB821F1">
      <w:pPr>
        <w:ind w:firstLine="422" w:firstLineChars="200"/>
        <w:rPr>
          <w:rFonts w:ascii="仿宋" w:hAnsi="仿宋" w:eastAsia="仿宋" w:cs="仿宋"/>
          <w:szCs w:val="21"/>
        </w:rPr>
      </w:pPr>
      <w:r>
        <w:rPr>
          <w:rFonts w:hint="eastAsia" w:ascii="仿宋" w:hAnsi="仿宋" w:eastAsia="仿宋" w:cs="仿宋"/>
          <w:szCs w:val="21"/>
        </w:rPr>
        <w:t>执行本合同发生的争议，由甲乙双方协商解决，如协商不成的，应提交甲方所在地人民法院诉讼解决。</w:t>
      </w:r>
    </w:p>
    <w:p w14:paraId="5DECCB04">
      <w:pPr>
        <w:ind w:firstLine="422" w:firstLineChars="200"/>
        <w:rPr>
          <w:rFonts w:ascii="仿宋" w:hAnsi="仿宋" w:eastAsia="仿宋" w:cs="仿宋"/>
          <w:b/>
          <w:bCs/>
          <w:szCs w:val="21"/>
        </w:rPr>
      </w:pPr>
      <w:r>
        <w:rPr>
          <w:rFonts w:hint="eastAsia" w:ascii="仿宋" w:hAnsi="仿宋" w:eastAsia="仿宋" w:cs="仿宋"/>
          <w:b/>
          <w:bCs/>
          <w:szCs w:val="21"/>
        </w:rPr>
        <w:t>第十三条  违约责任</w:t>
      </w:r>
    </w:p>
    <w:p w14:paraId="77EF30F9">
      <w:pPr>
        <w:ind w:firstLine="422" w:firstLineChars="200"/>
        <w:rPr>
          <w:rFonts w:ascii="仿宋" w:hAnsi="仿宋" w:eastAsia="仿宋" w:cs="仿宋"/>
          <w:szCs w:val="21"/>
        </w:rPr>
      </w:pPr>
      <w:r>
        <w:rPr>
          <w:rFonts w:hint="eastAsia" w:ascii="仿宋" w:hAnsi="仿宋" w:eastAsia="仿宋" w:cs="仿宋"/>
          <w:szCs w:val="21"/>
        </w:rPr>
        <w:t>１、因乙方原因，未能按规定时间完成有关工作的，每延误一天，甲方可在支付合同余款中扣除合同价款千分之一。</w:t>
      </w:r>
    </w:p>
    <w:p w14:paraId="15AB7259">
      <w:pPr>
        <w:ind w:firstLine="422" w:firstLineChars="200"/>
        <w:rPr>
          <w:rFonts w:ascii="仿宋" w:hAnsi="仿宋" w:eastAsia="仿宋" w:cs="仿宋"/>
          <w:szCs w:val="21"/>
        </w:rPr>
      </w:pPr>
      <w:r>
        <w:rPr>
          <w:rFonts w:hint="eastAsia" w:ascii="仿宋" w:hAnsi="仿宋" w:eastAsia="仿宋" w:cs="仿宋"/>
          <w:szCs w:val="21"/>
        </w:rPr>
        <w:t>2、乙方无正当理由不提供本合同约定的法律服务或者违反合同约定义务，甲方有权要求乙方退还部分或者全部已付的合同价款。乙方律师因工作延误、失职、失误导致甲方遭受损失，乙方应当向甲方承担赔偿责任。</w:t>
      </w:r>
    </w:p>
    <w:p w14:paraId="72294545">
      <w:pPr>
        <w:ind w:firstLine="422" w:firstLineChars="200"/>
        <w:rPr>
          <w:rFonts w:ascii="仿宋" w:hAnsi="仿宋" w:eastAsia="仿宋" w:cs="仿宋"/>
          <w:szCs w:val="21"/>
        </w:rPr>
      </w:pPr>
      <w:r>
        <w:rPr>
          <w:rFonts w:hint="eastAsia" w:ascii="仿宋" w:hAnsi="仿宋" w:eastAsia="仿宋" w:cs="仿宋"/>
          <w:szCs w:val="21"/>
        </w:rPr>
        <w:t>3、乙方或其工作人员违反本合同约定的保密义务，甲方有权要求乙方按合同总额 *  %支付违约金；造成不良影响或对甲方造成损失的，甲方有权要求乙方消除影响，承担赔偿责任，并有权解除合同。</w:t>
      </w:r>
    </w:p>
    <w:p w14:paraId="583C97DE">
      <w:pPr>
        <w:ind w:firstLine="422" w:firstLineChars="200"/>
        <w:rPr>
          <w:rFonts w:ascii="仿宋" w:hAnsi="仿宋" w:eastAsia="仿宋" w:cs="仿宋"/>
          <w:szCs w:val="21"/>
        </w:rPr>
      </w:pPr>
      <w:r>
        <w:rPr>
          <w:rFonts w:hint="eastAsia" w:ascii="仿宋" w:hAnsi="仿宋" w:eastAsia="仿宋" w:cs="仿宋"/>
          <w:szCs w:val="21"/>
        </w:rPr>
        <w:t>4、因乙方提供的服务成果受到侵权指控或者引发法律纠纷，影响甲方使用服务成果或者导致合同目的不能实现的，甲方有权要求乙方按合同总额 *  %支付违约金，并有权解除合同。</w:t>
      </w:r>
    </w:p>
    <w:p w14:paraId="6AFFD618">
      <w:pPr>
        <w:ind w:firstLine="422" w:firstLineChars="200"/>
        <w:rPr>
          <w:rFonts w:ascii="仿宋" w:hAnsi="仿宋" w:eastAsia="仿宋" w:cs="仿宋"/>
          <w:b/>
          <w:bCs/>
          <w:szCs w:val="21"/>
        </w:rPr>
      </w:pPr>
      <w:r>
        <w:rPr>
          <w:rFonts w:hint="eastAsia" w:ascii="仿宋" w:hAnsi="仿宋" w:eastAsia="仿宋" w:cs="仿宋"/>
          <w:b/>
          <w:bCs/>
          <w:szCs w:val="21"/>
        </w:rPr>
        <w:t>第十四条  其他</w:t>
      </w:r>
    </w:p>
    <w:p w14:paraId="195D2468">
      <w:pPr>
        <w:ind w:firstLine="422" w:firstLineChars="200"/>
        <w:rPr>
          <w:rFonts w:ascii="仿宋" w:hAnsi="仿宋" w:eastAsia="仿宋" w:cs="仿宋"/>
          <w:szCs w:val="21"/>
        </w:rPr>
      </w:pPr>
      <w:r>
        <w:rPr>
          <w:rFonts w:hint="eastAsia" w:ascii="仿宋" w:hAnsi="仿宋" w:eastAsia="仿宋" w:cs="仿宋"/>
          <w:szCs w:val="21"/>
        </w:rPr>
        <w:t>1、本合同与招标文件、乙方投标文件如有抵触之处，以本合同条款为准。</w:t>
      </w:r>
    </w:p>
    <w:p w14:paraId="0DD610FC">
      <w:pPr>
        <w:ind w:firstLine="422" w:firstLineChars="200"/>
        <w:rPr>
          <w:rFonts w:ascii="仿宋" w:hAnsi="仿宋" w:eastAsia="仿宋" w:cs="仿宋"/>
          <w:szCs w:val="21"/>
        </w:rPr>
      </w:pPr>
      <w:r>
        <w:rPr>
          <w:rFonts w:hint="eastAsia" w:ascii="仿宋" w:hAnsi="仿宋" w:eastAsia="仿宋" w:cs="仿宋"/>
          <w:szCs w:val="21"/>
        </w:rPr>
        <w:t>2、下列文件均为本合同的组成部分：</w:t>
      </w:r>
    </w:p>
    <w:p w14:paraId="0723FCEC">
      <w:pPr>
        <w:ind w:firstLine="422" w:firstLineChars="200"/>
        <w:rPr>
          <w:rFonts w:ascii="仿宋" w:hAnsi="仿宋" w:eastAsia="仿宋" w:cs="仿宋"/>
          <w:szCs w:val="21"/>
        </w:rPr>
      </w:pPr>
      <w:r>
        <w:rPr>
          <w:rFonts w:hint="eastAsia" w:ascii="仿宋" w:hAnsi="仿宋" w:eastAsia="仿宋" w:cs="仿宋"/>
          <w:szCs w:val="21"/>
        </w:rPr>
        <w:t>（1）号招标文件、答疑及补充通知；</w:t>
      </w:r>
    </w:p>
    <w:p w14:paraId="478BDD4C">
      <w:pPr>
        <w:ind w:firstLine="422" w:firstLineChars="200"/>
        <w:rPr>
          <w:rFonts w:ascii="仿宋" w:hAnsi="仿宋" w:eastAsia="仿宋" w:cs="仿宋"/>
          <w:szCs w:val="21"/>
        </w:rPr>
      </w:pPr>
      <w:r>
        <w:rPr>
          <w:rFonts w:hint="eastAsia" w:ascii="仿宋" w:hAnsi="仿宋" w:eastAsia="仿宋" w:cs="仿宋"/>
          <w:szCs w:val="21"/>
        </w:rPr>
        <w:t>（2）投标文件；</w:t>
      </w:r>
    </w:p>
    <w:p w14:paraId="7BB22507">
      <w:pPr>
        <w:ind w:firstLine="422" w:firstLineChars="200"/>
        <w:rPr>
          <w:rFonts w:ascii="仿宋" w:hAnsi="仿宋" w:eastAsia="仿宋" w:cs="仿宋"/>
          <w:szCs w:val="21"/>
        </w:rPr>
      </w:pPr>
      <w:r>
        <w:rPr>
          <w:rFonts w:hint="eastAsia" w:ascii="仿宋" w:hAnsi="仿宋" w:eastAsia="仿宋" w:cs="仿宋"/>
          <w:szCs w:val="21"/>
        </w:rPr>
        <w:t>（3）本合同执行中共同签署的补充与修正文件。</w:t>
      </w:r>
    </w:p>
    <w:p w14:paraId="40B91B0A">
      <w:pPr>
        <w:ind w:firstLine="422" w:firstLineChars="200"/>
        <w:rPr>
          <w:rFonts w:ascii="仿宋" w:hAnsi="仿宋" w:eastAsia="仿宋" w:cs="仿宋"/>
          <w:szCs w:val="21"/>
        </w:rPr>
      </w:pPr>
      <w:r>
        <w:rPr>
          <w:rFonts w:hint="eastAsia" w:ascii="仿宋" w:hAnsi="仿宋" w:eastAsia="仿宋" w:cs="仿宋"/>
          <w:szCs w:val="21"/>
        </w:rPr>
        <w:t>本合同一式份，甲、乙方双方各执份，具有同等法律效力。本合同自双方法人代表签字（盖章）认可之日起生效。</w:t>
      </w:r>
    </w:p>
    <w:p w14:paraId="6B1D47C5">
      <w:pPr>
        <w:ind w:firstLine="422" w:firstLineChars="200"/>
        <w:rPr>
          <w:rFonts w:ascii="仿宋" w:hAnsi="仿宋" w:eastAsia="仿宋" w:cs="仿宋"/>
          <w:szCs w:val="21"/>
        </w:rPr>
      </w:pPr>
      <w:r>
        <w:rPr>
          <w:rFonts w:hint="eastAsia" w:ascii="仿宋" w:hAnsi="仿宋" w:eastAsia="仿宋" w:cs="仿宋"/>
          <w:szCs w:val="21"/>
        </w:rPr>
        <w:t>本合同未尽事宜，双方友好协商，达成解决方案，经双方签字后，可作为本合同的有效附件。</w:t>
      </w:r>
    </w:p>
    <w:p w14:paraId="313BD90F">
      <w:pPr>
        <w:spacing w:line="360" w:lineRule="auto"/>
        <w:ind w:firstLine="560"/>
        <w:jc w:val="left"/>
        <w:rPr>
          <w:rFonts w:ascii="仿宋" w:hAnsi="仿宋" w:eastAsia="仿宋" w:cs="仿宋"/>
          <w:szCs w:val="21"/>
        </w:rPr>
      </w:pPr>
      <w:r>
        <w:rPr>
          <w:rFonts w:hint="eastAsia" w:ascii="仿宋" w:hAnsi="仿宋" w:eastAsia="仿宋" w:cs="仿宋"/>
          <w:szCs w:val="21"/>
        </w:rPr>
        <w:t>甲方（采购人）：   （盖章）       乙方（供应商）：    （盖章）</w:t>
      </w:r>
    </w:p>
    <w:p w14:paraId="7A70A136">
      <w:pPr>
        <w:spacing w:line="360" w:lineRule="auto"/>
        <w:ind w:firstLine="560"/>
        <w:jc w:val="left"/>
        <w:rPr>
          <w:rFonts w:ascii="仿宋" w:hAnsi="仿宋" w:eastAsia="仿宋" w:cs="仿宋"/>
          <w:szCs w:val="21"/>
        </w:rPr>
      </w:pPr>
      <w:r>
        <w:rPr>
          <w:rFonts w:hint="eastAsia" w:ascii="仿宋" w:hAnsi="仿宋" w:eastAsia="仿宋" w:cs="仿宋"/>
          <w:szCs w:val="21"/>
        </w:rPr>
        <w:t xml:space="preserve">法定代表人：                     法定代表人： </w:t>
      </w:r>
    </w:p>
    <w:p w14:paraId="37FFA143">
      <w:pPr>
        <w:spacing w:line="360" w:lineRule="auto"/>
        <w:ind w:firstLine="560"/>
        <w:jc w:val="left"/>
        <w:rPr>
          <w:rFonts w:ascii="仿宋" w:hAnsi="仿宋" w:eastAsia="仿宋" w:cs="仿宋"/>
          <w:szCs w:val="21"/>
        </w:rPr>
      </w:pPr>
      <w:r>
        <w:rPr>
          <w:rFonts w:hint="eastAsia" w:ascii="仿宋" w:hAnsi="仿宋" w:eastAsia="仿宋" w:cs="仿宋"/>
          <w:szCs w:val="21"/>
        </w:rPr>
        <w:t>委托代理人：                     委托代理人：</w:t>
      </w:r>
    </w:p>
    <w:p w14:paraId="1B6A93BD">
      <w:pPr>
        <w:ind w:firstLine="422" w:firstLineChars="200"/>
        <w:rPr>
          <w:rFonts w:ascii="仿宋" w:hAnsi="仿宋" w:eastAsia="仿宋" w:cs="仿宋"/>
          <w:szCs w:val="21"/>
        </w:rPr>
      </w:pPr>
      <w:r>
        <w:rPr>
          <w:rFonts w:hint="eastAsia" w:ascii="仿宋" w:hAnsi="仿宋" w:eastAsia="仿宋" w:cs="仿宋"/>
          <w:szCs w:val="21"/>
        </w:rPr>
        <w:t>日期：   年     月    日         日期：   年     月    日</w:t>
      </w:r>
    </w:p>
    <w:p w14:paraId="31F07692">
      <w:pPr>
        <w:pStyle w:val="17"/>
        <w:rPr>
          <w:rFonts w:ascii="宋体" w:hAnsi="宋体" w:cs="宋体"/>
          <w:sz w:val="48"/>
          <w:szCs w:val="48"/>
        </w:rPr>
      </w:pPr>
      <w:r>
        <w:rPr>
          <w:rFonts w:hint="eastAsia" w:ascii="宋体" w:hAnsi="宋体" w:cs="宋体"/>
          <w:sz w:val="48"/>
          <w:szCs w:val="48"/>
        </w:rPr>
        <w:t>报价文件格式</w:t>
      </w:r>
    </w:p>
    <w:p w14:paraId="55C4D5AE">
      <w:pPr>
        <w:pStyle w:val="17"/>
      </w:pPr>
      <w:r>
        <w:rPr>
          <w:rFonts w:hint="eastAsia" w:ascii="宋体" w:hAnsi="宋体" w:cs="宋体"/>
          <w:sz w:val="48"/>
          <w:szCs w:val="48"/>
        </w:rPr>
        <w:t>（提供正副本各一份）</w:t>
      </w:r>
    </w:p>
    <w:p w14:paraId="4105FAA0">
      <w:pPr>
        <w:topLinePunct/>
        <w:adjustRightInd w:val="0"/>
        <w:snapToGrid w:val="0"/>
        <w:spacing w:line="360" w:lineRule="auto"/>
        <w:jc w:val="center"/>
        <w:rPr>
          <w:rFonts w:ascii="宋体" w:hAnsi="宋体" w:cs="宋体"/>
          <w:kern w:val="0"/>
          <w:sz w:val="48"/>
          <w:szCs w:val="48"/>
        </w:rPr>
      </w:pPr>
    </w:p>
    <w:p w14:paraId="5CA6F10E">
      <w:pPr>
        <w:topLinePunct/>
        <w:adjustRightInd w:val="0"/>
        <w:snapToGrid w:val="0"/>
        <w:spacing w:line="360" w:lineRule="auto"/>
        <w:jc w:val="left"/>
        <w:rPr>
          <w:rFonts w:ascii="宋体" w:hAnsi="宋体" w:cs="宋体"/>
          <w:sz w:val="22"/>
        </w:rPr>
      </w:pPr>
    </w:p>
    <w:p w14:paraId="6D9C4C26">
      <w:pPr>
        <w:pStyle w:val="40"/>
        <w:numPr>
          <w:ilvl w:val="0"/>
          <w:numId w:val="0"/>
        </w:numPr>
        <w:jc w:val="center"/>
        <w:rPr>
          <w:b/>
          <w:bCs/>
          <w:sz w:val="22"/>
          <w:szCs w:val="22"/>
        </w:rPr>
      </w:pPr>
      <w:bookmarkStart w:id="83" w:name="_Toc30357"/>
      <w:bookmarkStart w:id="84" w:name="_Toc336539454"/>
      <w:bookmarkStart w:id="85" w:name="_Toc485905366"/>
      <w:r>
        <w:rPr>
          <w:rFonts w:hint="eastAsia"/>
          <w:b/>
          <w:bCs/>
          <w:sz w:val="22"/>
          <w:szCs w:val="22"/>
        </w:rPr>
        <w:t>为方便查找相关资料，请各供应商自行编制目录。</w:t>
      </w:r>
      <w:bookmarkEnd w:id="83"/>
    </w:p>
    <w:p w14:paraId="0FEC26E2">
      <w:pPr>
        <w:pStyle w:val="3"/>
        <w:ind w:firstLine="0" w:firstLineChars="0"/>
        <w:rPr>
          <w:rFonts w:ascii="宋体" w:hAnsi="宋体" w:cs="宋体"/>
          <w:sz w:val="22"/>
        </w:rPr>
      </w:pPr>
      <w:bookmarkStart w:id="86" w:name="_Toc20139"/>
      <w:r>
        <w:rPr>
          <w:rFonts w:hint="eastAsia" w:ascii="宋体" w:hAnsi="宋体" w:cs="宋体"/>
          <w:sz w:val="22"/>
        </w:rPr>
        <w:t>1.</w:t>
      </w:r>
      <w:bookmarkEnd w:id="84"/>
      <w:bookmarkEnd w:id="85"/>
      <w:bookmarkEnd w:id="86"/>
      <w:bookmarkStart w:id="87" w:name="_Toc29210"/>
      <w:bookmarkStart w:id="88" w:name="_Toc27975"/>
      <w:r>
        <w:rPr>
          <w:rFonts w:hint="eastAsia" w:ascii="宋体" w:hAnsi="宋体" w:cs="宋体"/>
          <w:sz w:val="22"/>
        </w:rPr>
        <w:t>投 标 函</w:t>
      </w:r>
      <w:bookmarkEnd w:id="87"/>
      <w:bookmarkEnd w:id="88"/>
    </w:p>
    <w:p w14:paraId="5A052611">
      <w:pPr>
        <w:topLinePunct/>
        <w:adjustRightInd w:val="0"/>
        <w:snapToGrid w:val="0"/>
        <w:spacing w:line="360" w:lineRule="auto"/>
        <w:jc w:val="left"/>
        <w:rPr>
          <w:rFonts w:ascii="宋体" w:hAnsi="宋体"/>
          <w:kern w:val="0"/>
        </w:rPr>
      </w:pPr>
      <w:r>
        <w:rPr>
          <w:rFonts w:hint="eastAsia" w:ascii="宋体" w:hAnsi="宋体"/>
          <w:kern w:val="0"/>
        </w:rPr>
        <w:t>致：</w:t>
      </w:r>
      <w:r>
        <w:rPr>
          <w:rFonts w:hint="eastAsia" w:ascii="宋体" w:hAnsi="宋体"/>
          <w:kern w:val="0"/>
          <w:u w:val="single"/>
        </w:rPr>
        <w:t xml:space="preserve"> </w:t>
      </w:r>
    </w:p>
    <w:p w14:paraId="1DBAE393">
      <w:pPr>
        <w:topLinePunct/>
        <w:adjustRightInd w:val="0"/>
        <w:snapToGrid w:val="0"/>
        <w:spacing w:line="360" w:lineRule="auto"/>
        <w:ind w:firstLine="422" w:firstLineChars="200"/>
        <w:jc w:val="left"/>
        <w:rPr>
          <w:rFonts w:ascii="宋体" w:hAnsi="宋体"/>
          <w:kern w:val="0"/>
        </w:rPr>
      </w:pPr>
      <w:r>
        <w:rPr>
          <w:rFonts w:hint="eastAsia" w:ascii="宋体" w:hAnsi="宋体"/>
          <w:kern w:val="0"/>
        </w:rPr>
        <w:t>根据贵方提供的</w:t>
      </w:r>
      <w:r>
        <w:rPr>
          <w:rFonts w:hint="eastAsia" w:ascii="宋体" w:hAnsi="宋体"/>
          <w:kern w:val="0"/>
          <w:u w:val="single"/>
        </w:rPr>
        <w:t>管道资产数字化融资可行性咨询法律服务项目</w:t>
      </w:r>
      <w:r>
        <w:rPr>
          <w:rFonts w:hint="eastAsia" w:ascii="宋体" w:hAnsi="宋体"/>
          <w:kern w:val="0"/>
        </w:rPr>
        <w:t>的采购文件，我方已详细审核了全部采购文件及有关附件。我方完全理解并同意放弃对这方面有不明及误解的权力。</w:t>
      </w:r>
    </w:p>
    <w:p w14:paraId="4FBB8415">
      <w:pPr>
        <w:topLinePunct/>
        <w:adjustRightInd w:val="0"/>
        <w:snapToGrid w:val="0"/>
        <w:spacing w:line="360" w:lineRule="auto"/>
        <w:ind w:firstLine="422" w:firstLineChars="200"/>
        <w:jc w:val="left"/>
        <w:rPr>
          <w:rFonts w:ascii="宋体" w:hAnsi="宋体"/>
          <w:kern w:val="0"/>
        </w:rPr>
      </w:pPr>
      <w:r>
        <w:rPr>
          <w:rFonts w:hint="eastAsia" w:ascii="宋体" w:hAnsi="宋体"/>
          <w:kern w:val="0"/>
        </w:rPr>
        <w:t>1.我方保证遵守中华人民共和国、深圳市有关招标投标的法律、法规和与招标投标有关的规定；保证服从采购有关议程事项安排，服从招标有关会议现场纪律。若有违反，同意被废除投标报价资料并接受处罚。</w:t>
      </w:r>
    </w:p>
    <w:p w14:paraId="491AA725">
      <w:pPr>
        <w:topLinePunct/>
        <w:adjustRightInd w:val="0"/>
        <w:snapToGrid w:val="0"/>
        <w:spacing w:line="360" w:lineRule="auto"/>
        <w:ind w:firstLine="422" w:firstLineChars="200"/>
        <w:jc w:val="left"/>
        <w:rPr>
          <w:rFonts w:ascii="宋体" w:hAnsi="宋体"/>
          <w:kern w:val="0"/>
        </w:rPr>
      </w:pPr>
      <w:r>
        <w:rPr>
          <w:rFonts w:hint="eastAsia" w:ascii="宋体" w:hAnsi="宋体"/>
          <w:kern w:val="0"/>
        </w:rPr>
        <w:t>2.我方同意所递交的报价文件在采购文件规定的投标有效期内有效，在此期间内我方有可能确认为成交供应商，我方将受此约束。</w:t>
      </w:r>
    </w:p>
    <w:p w14:paraId="6BA4D8EB">
      <w:pPr>
        <w:topLinePunct/>
        <w:adjustRightInd w:val="0"/>
        <w:snapToGrid w:val="0"/>
        <w:spacing w:line="360" w:lineRule="auto"/>
        <w:ind w:firstLine="422" w:firstLineChars="200"/>
        <w:jc w:val="left"/>
        <w:rPr>
          <w:rFonts w:ascii="宋体" w:hAnsi="宋体"/>
          <w:kern w:val="0"/>
        </w:rPr>
      </w:pPr>
      <w:r>
        <w:rPr>
          <w:rFonts w:hint="eastAsia" w:ascii="宋体" w:hAnsi="宋体"/>
          <w:kern w:val="0"/>
        </w:rPr>
        <w:t>3.我方同意提供按照贵方可能要求的与其投标报价有关的一切数据或资料，完全理解贵方不一定接受最低价的报价或收到的任何报价。</w:t>
      </w:r>
    </w:p>
    <w:p w14:paraId="6D851145">
      <w:pPr>
        <w:topLinePunct/>
        <w:adjustRightInd w:val="0"/>
        <w:snapToGrid w:val="0"/>
        <w:spacing w:line="360" w:lineRule="auto"/>
        <w:ind w:firstLine="422" w:firstLineChars="200"/>
        <w:jc w:val="left"/>
        <w:rPr>
          <w:rFonts w:ascii="宋体" w:hAnsi="宋体"/>
          <w:kern w:val="0"/>
        </w:rPr>
      </w:pPr>
      <w:r>
        <w:rPr>
          <w:rFonts w:hint="eastAsia" w:ascii="宋体" w:hAnsi="宋体"/>
          <w:kern w:val="0"/>
        </w:rPr>
        <w:t>4.我方保证报价文件内容无任何虚假。若评审过程中查有虚假，同意作无效或废标处理。</w:t>
      </w:r>
    </w:p>
    <w:p w14:paraId="7DB41808">
      <w:pPr>
        <w:topLinePunct/>
        <w:adjustRightInd w:val="0"/>
        <w:snapToGrid w:val="0"/>
        <w:spacing w:line="360" w:lineRule="auto"/>
        <w:ind w:firstLine="422" w:firstLineChars="200"/>
        <w:jc w:val="left"/>
        <w:rPr>
          <w:rFonts w:ascii="宋体" w:hAnsi="宋体"/>
          <w:kern w:val="0"/>
        </w:rPr>
      </w:pPr>
      <w:r>
        <w:rPr>
          <w:rFonts w:hint="eastAsia" w:ascii="宋体" w:hAnsi="宋体"/>
          <w:kern w:val="0"/>
        </w:rPr>
        <w:t>5.我方承诺投标报价资料有效期为</w:t>
      </w:r>
      <w:r>
        <w:rPr>
          <w:rFonts w:hint="eastAsia" w:ascii="宋体" w:hAnsi="宋体"/>
          <w:b/>
          <w:bCs/>
          <w:kern w:val="0"/>
          <w:u w:val="single"/>
        </w:rPr>
        <w:t>90</w:t>
      </w:r>
      <w:r>
        <w:rPr>
          <w:rFonts w:hint="eastAsia" w:ascii="宋体" w:hAnsi="宋体"/>
          <w:kern w:val="0"/>
        </w:rPr>
        <w:t>天（日历日）。</w:t>
      </w:r>
    </w:p>
    <w:p w14:paraId="5361EB76">
      <w:pPr>
        <w:topLinePunct/>
        <w:adjustRightInd w:val="0"/>
        <w:snapToGrid w:val="0"/>
        <w:spacing w:line="360" w:lineRule="auto"/>
        <w:ind w:firstLine="422" w:firstLineChars="200"/>
        <w:jc w:val="left"/>
        <w:rPr>
          <w:rFonts w:ascii="宋体" w:hAnsi="宋体"/>
          <w:kern w:val="0"/>
        </w:rPr>
      </w:pPr>
    </w:p>
    <w:p w14:paraId="0E4DEB51">
      <w:pPr>
        <w:topLinePunct/>
        <w:adjustRightInd w:val="0"/>
        <w:snapToGrid w:val="0"/>
        <w:spacing w:line="360" w:lineRule="auto"/>
        <w:ind w:firstLine="422" w:firstLineChars="200"/>
        <w:jc w:val="left"/>
        <w:rPr>
          <w:rFonts w:ascii="宋体" w:hAnsi="宋体"/>
          <w:kern w:val="0"/>
          <w:szCs w:val="21"/>
        </w:rPr>
      </w:pPr>
      <w:r>
        <w:rPr>
          <w:rFonts w:hint="eastAsia" w:ascii="宋体" w:hAnsi="宋体"/>
          <w:kern w:val="0"/>
          <w:szCs w:val="21"/>
        </w:rPr>
        <w:t>报价人名称：_____________________________________________（公章）</w:t>
      </w:r>
    </w:p>
    <w:p w14:paraId="113CDE01">
      <w:pPr>
        <w:topLinePunct/>
        <w:adjustRightInd w:val="0"/>
        <w:snapToGrid w:val="0"/>
        <w:spacing w:line="360" w:lineRule="auto"/>
        <w:ind w:firstLine="422" w:firstLineChars="200"/>
        <w:jc w:val="left"/>
        <w:rPr>
          <w:rFonts w:ascii="宋体" w:hAnsi="宋体"/>
          <w:kern w:val="0"/>
          <w:szCs w:val="21"/>
        </w:rPr>
      </w:pPr>
      <w:r>
        <w:rPr>
          <w:rFonts w:hint="eastAsia" w:ascii="宋体" w:hAnsi="宋体"/>
          <w:kern w:val="0"/>
          <w:szCs w:val="21"/>
        </w:rPr>
        <w:t>报价人代表：______________________________________________（签字）</w:t>
      </w:r>
    </w:p>
    <w:p w14:paraId="57EF278F">
      <w:pPr>
        <w:topLinePunct/>
        <w:adjustRightInd w:val="0"/>
        <w:snapToGrid w:val="0"/>
        <w:spacing w:line="360" w:lineRule="auto"/>
        <w:ind w:firstLine="422" w:firstLineChars="200"/>
        <w:jc w:val="left"/>
        <w:rPr>
          <w:rFonts w:ascii="宋体" w:hAnsi="宋体"/>
          <w:kern w:val="0"/>
          <w:szCs w:val="21"/>
        </w:rPr>
      </w:pPr>
      <w:r>
        <w:rPr>
          <w:rFonts w:hint="eastAsia" w:ascii="宋体" w:hAnsi="宋体"/>
          <w:kern w:val="0"/>
          <w:szCs w:val="21"/>
        </w:rPr>
        <w:t>联系电话：________________________________________________</w:t>
      </w:r>
    </w:p>
    <w:p w14:paraId="096E890C">
      <w:pPr>
        <w:tabs>
          <w:tab w:val="left" w:pos="5580"/>
        </w:tabs>
        <w:topLinePunct/>
        <w:adjustRightInd w:val="0"/>
        <w:snapToGrid w:val="0"/>
        <w:spacing w:line="360" w:lineRule="auto"/>
        <w:ind w:firstLine="422" w:firstLineChars="200"/>
        <w:rPr>
          <w:rFonts w:ascii="仿宋_GB2312" w:hAnsi="宋体" w:eastAsia="仿宋_GB2312"/>
          <w:kern w:val="0"/>
          <w:sz w:val="24"/>
        </w:rPr>
      </w:pPr>
      <w:r>
        <w:rPr>
          <w:rFonts w:hint="eastAsia" w:ascii="宋体" w:hAnsi="宋体"/>
          <w:kern w:val="0"/>
          <w:szCs w:val="21"/>
        </w:rPr>
        <w:t>日期：</w:t>
      </w:r>
      <w:r>
        <w:rPr>
          <w:rFonts w:ascii="宋体" w:hAnsi="宋体"/>
          <w:kern w:val="0"/>
          <w:szCs w:val="21"/>
        </w:rPr>
        <w:t>________________________________________________</w:t>
      </w:r>
    </w:p>
    <w:p w14:paraId="5503F62F">
      <w:pPr>
        <w:spacing w:before="156" w:beforeLines="50" w:after="156" w:afterLines="50" w:line="400" w:lineRule="exact"/>
        <w:rPr>
          <w:rFonts w:ascii="宋体" w:hAnsi="宋体" w:cs="宋体"/>
          <w:b/>
          <w:bCs/>
          <w:sz w:val="22"/>
        </w:rPr>
      </w:pPr>
    </w:p>
    <w:p w14:paraId="009ADAC6">
      <w:pPr>
        <w:pStyle w:val="40"/>
        <w:numPr>
          <w:ilvl w:val="0"/>
          <w:numId w:val="0"/>
        </w:numPr>
        <w:outlineLvl w:val="2"/>
        <w:rPr>
          <w:b/>
          <w:bCs/>
          <w:sz w:val="22"/>
          <w:szCs w:val="22"/>
        </w:rPr>
      </w:pPr>
      <w:r>
        <w:rPr>
          <w:rFonts w:hint="eastAsia"/>
          <w:sz w:val="28"/>
          <w:szCs w:val="28"/>
          <w:u w:val="single"/>
        </w:rPr>
        <w:br w:type="page"/>
      </w:r>
      <w:bookmarkStart w:id="89" w:name="_Toc18600"/>
      <w:bookmarkStart w:id="90" w:name="_Toc280341016"/>
      <w:bookmarkStart w:id="91" w:name="_Toc291178277"/>
      <w:bookmarkStart w:id="92" w:name="_Toc485905367"/>
      <w:bookmarkStart w:id="93" w:name="_Toc336539455"/>
      <w:bookmarkStart w:id="94" w:name="_Toc278892899"/>
      <w:r>
        <w:rPr>
          <w:rFonts w:hint="eastAsia"/>
          <w:b/>
          <w:bCs/>
          <w:sz w:val="22"/>
          <w:szCs w:val="22"/>
        </w:rPr>
        <w:t>2.法定代表人资格证明书与法人授权委托书</w:t>
      </w:r>
      <w:bookmarkEnd w:id="89"/>
      <w:bookmarkEnd w:id="90"/>
      <w:bookmarkEnd w:id="91"/>
      <w:bookmarkEnd w:id="92"/>
      <w:bookmarkEnd w:id="93"/>
      <w:bookmarkEnd w:id="94"/>
    </w:p>
    <w:p w14:paraId="439350FE">
      <w:pPr>
        <w:rPr>
          <w:rFonts w:ascii="宋体" w:hAnsi="宋体" w:cs="宋体"/>
          <w:sz w:val="22"/>
        </w:rPr>
      </w:pPr>
    </w:p>
    <w:p w14:paraId="5A7F0543">
      <w:pPr>
        <w:pStyle w:val="10"/>
        <w:spacing w:line="440" w:lineRule="exact"/>
        <w:ind w:left="211" w:leftChars="100" w:right="211" w:rightChars="100"/>
        <w:jc w:val="center"/>
        <w:rPr>
          <w:rFonts w:hAnsi="宋体"/>
          <w:b/>
          <w:bCs/>
          <w:sz w:val="32"/>
          <w:szCs w:val="32"/>
        </w:rPr>
      </w:pPr>
      <w:r>
        <w:rPr>
          <w:rFonts w:hint="eastAsia" w:hAnsi="宋体"/>
          <w:b/>
          <w:bCs/>
          <w:sz w:val="32"/>
          <w:szCs w:val="32"/>
        </w:rPr>
        <w:t>法定代表人证明书</w:t>
      </w:r>
    </w:p>
    <w:p w14:paraId="64F0E695">
      <w:pPr>
        <w:pStyle w:val="10"/>
        <w:spacing w:line="440" w:lineRule="exact"/>
        <w:ind w:left="211" w:leftChars="100" w:right="211" w:rightChars="100" w:firstLine="556" w:firstLineChars="252"/>
        <w:jc w:val="right"/>
        <w:rPr>
          <w:rFonts w:hAnsi="宋体"/>
          <w:sz w:val="22"/>
          <w:szCs w:val="22"/>
        </w:rPr>
      </w:pPr>
      <w:r>
        <w:rPr>
          <w:rFonts w:hint="eastAsia" w:hAnsi="宋体"/>
          <w:sz w:val="22"/>
          <w:szCs w:val="22"/>
        </w:rPr>
        <w:t>字第</w:t>
      </w:r>
      <w:r>
        <w:rPr>
          <w:rFonts w:hAnsi="宋体"/>
          <w:b/>
          <w:bCs/>
          <w:sz w:val="22"/>
          <w:szCs w:val="22"/>
        </w:rPr>
        <w:t xml:space="preserve">       </w:t>
      </w:r>
      <w:r>
        <w:rPr>
          <w:rFonts w:hint="eastAsia" w:hAnsi="宋体"/>
          <w:sz w:val="22"/>
          <w:szCs w:val="22"/>
        </w:rPr>
        <w:t>号</w:t>
      </w:r>
    </w:p>
    <w:p w14:paraId="1D1ABBF8">
      <w:pPr>
        <w:pStyle w:val="10"/>
        <w:spacing w:line="200" w:lineRule="exact"/>
        <w:ind w:left="211" w:leftChars="100" w:right="211" w:rightChars="100" w:firstLine="556" w:firstLineChars="252"/>
        <w:jc w:val="right"/>
        <w:rPr>
          <w:rFonts w:hAnsi="宋体"/>
          <w:sz w:val="22"/>
          <w:szCs w:val="22"/>
        </w:rPr>
      </w:pPr>
    </w:p>
    <w:p w14:paraId="09AAFEE6">
      <w:pPr>
        <w:pStyle w:val="10"/>
        <w:spacing w:line="360" w:lineRule="auto"/>
        <w:ind w:left="211" w:leftChars="100" w:right="-248" w:rightChars="-118" w:firstLine="556" w:firstLineChars="252"/>
        <w:rPr>
          <w:rFonts w:hAnsi="宋体"/>
          <w:sz w:val="22"/>
          <w:szCs w:val="22"/>
        </w:rPr>
      </w:pPr>
      <w:r>
        <w:rPr>
          <w:rFonts w:hAnsi="宋体"/>
          <w:sz w:val="22"/>
          <w:szCs w:val="22"/>
          <w:u w:val="single"/>
        </w:rPr>
        <w:t xml:space="preserve">             </w:t>
      </w:r>
      <w:r>
        <w:rPr>
          <w:rFonts w:hint="eastAsia" w:hAnsi="宋体"/>
          <w:sz w:val="22"/>
          <w:szCs w:val="22"/>
        </w:rPr>
        <w:t>同志，现任我单位</w:t>
      </w:r>
      <w:r>
        <w:rPr>
          <w:rFonts w:hAnsi="宋体"/>
          <w:b/>
          <w:bCs/>
          <w:sz w:val="22"/>
          <w:szCs w:val="22"/>
          <w:u w:val="single"/>
        </w:rPr>
        <w:t xml:space="preserve">                 </w:t>
      </w:r>
      <w:r>
        <w:rPr>
          <w:rFonts w:hint="eastAsia" w:hAnsi="宋体"/>
          <w:sz w:val="22"/>
          <w:szCs w:val="22"/>
        </w:rPr>
        <w:t>职务，为法定代表人，特此证明。</w:t>
      </w:r>
    </w:p>
    <w:p w14:paraId="16775BAD">
      <w:pPr>
        <w:pStyle w:val="10"/>
        <w:spacing w:line="360" w:lineRule="auto"/>
        <w:ind w:left="211" w:leftChars="100" w:right="211" w:rightChars="100" w:firstLine="110" w:firstLineChars="50"/>
        <w:rPr>
          <w:rFonts w:hAnsi="宋体"/>
          <w:w w:val="80"/>
          <w:sz w:val="22"/>
          <w:szCs w:val="22"/>
        </w:rPr>
      </w:pPr>
      <w:r>
        <w:rPr>
          <w:rFonts w:hint="eastAsia" w:hAnsi="宋体"/>
          <w:sz w:val="22"/>
          <w:szCs w:val="22"/>
        </w:rPr>
        <w:t>有效日期：</w:t>
      </w:r>
      <w:r>
        <w:rPr>
          <w:rFonts w:hAnsi="宋体"/>
          <w:b/>
          <w:bCs/>
          <w:w w:val="80"/>
          <w:sz w:val="22"/>
          <w:szCs w:val="22"/>
          <w:u w:val="single"/>
        </w:rPr>
        <w:t xml:space="preserve">                   </w:t>
      </w:r>
      <w:r>
        <w:rPr>
          <w:rFonts w:hint="eastAsia" w:hAnsi="宋体"/>
          <w:sz w:val="22"/>
          <w:szCs w:val="22"/>
        </w:rPr>
        <w:t>签发日期：</w:t>
      </w:r>
      <w:r>
        <w:rPr>
          <w:rFonts w:hAnsi="宋体"/>
          <w:b/>
          <w:bCs/>
          <w:w w:val="80"/>
          <w:sz w:val="22"/>
          <w:szCs w:val="22"/>
          <w:u w:val="single"/>
        </w:rPr>
        <w:t xml:space="preserve"> </w:t>
      </w:r>
      <w:r>
        <w:rPr>
          <w:rFonts w:hAnsi="宋体"/>
          <w:sz w:val="22"/>
          <w:szCs w:val="22"/>
          <w:u w:val="single"/>
        </w:rPr>
        <w:t xml:space="preserve">              </w:t>
      </w:r>
      <w:r>
        <w:rPr>
          <w:rFonts w:hint="eastAsia" w:hAnsi="宋体"/>
          <w:sz w:val="22"/>
          <w:szCs w:val="22"/>
        </w:rPr>
        <w:t>单位：</w:t>
      </w:r>
      <w:r>
        <w:rPr>
          <w:rFonts w:hAnsi="宋体"/>
          <w:sz w:val="22"/>
          <w:szCs w:val="22"/>
          <w:u w:val="single"/>
        </w:rPr>
        <w:t xml:space="preserve">                      </w:t>
      </w:r>
    </w:p>
    <w:p w14:paraId="77ACEEF2">
      <w:pPr>
        <w:pStyle w:val="10"/>
        <w:spacing w:line="360" w:lineRule="auto"/>
        <w:ind w:left="100" w:right="211" w:rightChars="100" w:firstLine="221" w:firstLineChars="100"/>
        <w:rPr>
          <w:rFonts w:hAnsi="宋体"/>
          <w:sz w:val="22"/>
          <w:szCs w:val="22"/>
        </w:rPr>
      </w:pPr>
      <w:r>
        <w:rPr>
          <w:rFonts w:hint="eastAsia" w:hAnsi="宋体"/>
          <w:sz w:val="22"/>
          <w:szCs w:val="22"/>
        </w:rPr>
        <w:t>附：代表人性别：</w:t>
      </w:r>
      <w:r>
        <w:rPr>
          <w:rFonts w:hAnsi="宋体"/>
          <w:sz w:val="22"/>
          <w:szCs w:val="22"/>
          <w:u w:val="single"/>
        </w:rPr>
        <w:t xml:space="preserve">  </w:t>
      </w:r>
      <w:r>
        <w:rPr>
          <w:rFonts w:hAnsi="宋体"/>
          <w:b/>
          <w:bCs/>
          <w:sz w:val="22"/>
          <w:szCs w:val="22"/>
          <w:u w:val="single"/>
        </w:rPr>
        <w:t xml:space="preserve"> </w:t>
      </w:r>
      <w:r>
        <w:rPr>
          <w:rFonts w:hAnsi="宋体"/>
          <w:sz w:val="22"/>
          <w:szCs w:val="22"/>
          <w:u w:val="single"/>
        </w:rPr>
        <w:t xml:space="preserve"> </w:t>
      </w:r>
      <w:r>
        <w:rPr>
          <w:rFonts w:hint="eastAsia" w:hAnsi="宋体"/>
          <w:sz w:val="22"/>
          <w:szCs w:val="22"/>
        </w:rPr>
        <w:t>年龄：</w:t>
      </w:r>
      <w:r>
        <w:rPr>
          <w:rFonts w:hAnsi="宋体"/>
          <w:sz w:val="22"/>
          <w:szCs w:val="22"/>
          <w:u w:val="single"/>
        </w:rPr>
        <w:t xml:space="preserve">     </w:t>
      </w:r>
      <w:r>
        <w:rPr>
          <w:rFonts w:hAnsi="宋体"/>
          <w:b/>
          <w:bCs/>
          <w:sz w:val="22"/>
          <w:szCs w:val="22"/>
          <w:u w:val="single"/>
        </w:rPr>
        <w:t xml:space="preserve"> </w:t>
      </w:r>
      <w:r>
        <w:rPr>
          <w:rFonts w:hint="eastAsia" w:hAnsi="宋体"/>
          <w:sz w:val="22"/>
          <w:szCs w:val="22"/>
        </w:rPr>
        <w:t>工作证号码：</w:t>
      </w:r>
      <w:r>
        <w:rPr>
          <w:rFonts w:hAnsi="宋体"/>
          <w:sz w:val="22"/>
          <w:szCs w:val="22"/>
          <w:u w:val="single"/>
        </w:rPr>
        <w:t xml:space="preserve">                                  </w:t>
      </w:r>
    </w:p>
    <w:p w14:paraId="2BA5971B">
      <w:pPr>
        <w:pStyle w:val="10"/>
        <w:spacing w:line="360" w:lineRule="auto"/>
        <w:ind w:left="100" w:right="211" w:rightChars="100" w:firstLine="663" w:firstLineChars="300"/>
        <w:rPr>
          <w:rFonts w:hAnsi="宋体"/>
          <w:sz w:val="22"/>
          <w:szCs w:val="22"/>
        </w:rPr>
      </w:pPr>
      <w:r>
        <w:rPr>
          <w:rFonts w:hint="eastAsia" w:hAnsi="宋体"/>
          <w:sz w:val="22"/>
          <w:szCs w:val="22"/>
        </w:rPr>
        <w:t>营业执照号码：</w:t>
      </w:r>
      <w:r>
        <w:rPr>
          <w:rFonts w:hAnsi="宋体"/>
          <w:b/>
          <w:bCs/>
          <w:sz w:val="22"/>
          <w:szCs w:val="22"/>
          <w:u w:val="single"/>
        </w:rPr>
        <w:t xml:space="preserve"> </w:t>
      </w:r>
      <w:r>
        <w:rPr>
          <w:rFonts w:hAnsi="宋体"/>
          <w:sz w:val="22"/>
          <w:szCs w:val="22"/>
          <w:u w:val="single"/>
        </w:rPr>
        <w:t xml:space="preserve">               </w:t>
      </w:r>
      <w:r>
        <w:rPr>
          <w:rFonts w:hint="eastAsia" w:hAnsi="宋体"/>
          <w:sz w:val="22"/>
          <w:szCs w:val="22"/>
        </w:rPr>
        <w:t>经济性质：</w:t>
      </w:r>
      <w:r>
        <w:rPr>
          <w:rFonts w:hAnsi="宋体"/>
          <w:sz w:val="22"/>
          <w:szCs w:val="22"/>
          <w:u w:val="single"/>
        </w:rPr>
        <w:t xml:space="preserve">                                  </w:t>
      </w:r>
    </w:p>
    <w:p w14:paraId="0DFB0C7F">
      <w:pPr>
        <w:pStyle w:val="10"/>
        <w:spacing w:line="360" w:lineRule="auto"/>
        <w:ind w:left="100" w:right="211" w:rightChars="100" w:firstLine="663" w:firstLineChars="300"/>
        <w:rPr>
          <w:rFonts w:hAnsi="宋体"/>
          <w:b/>
          <w:bCs/>
          <w:sz w:val="22"/>
          <w:szCs w:val="22"/>
        </w:rPr>
      </w:pPr>
      <w:r>
        <w:rPr>
          <w:rFonts w:hint="eastAsia" w:hAnsi="宋体"/>
          <w:sz w:val="22"/>
          <w:szCs w:val="22"/>
        </w:rPr>
        <w:t>主营：</w:t>
      </w:r>
      <w:r>
        <w:rPr>
          <w:rFonts w:hAnsi="宋体"/>
          <w:sz w:val="22"/>
          <w:szCs w:val="22"/>
          <w:u w:val="single"/>
        </w:rPr>
        <w:t xml:space="preserve">                                                                    </w:t>
      </w:r>
    </w:p>
    <w:p w14:paraId="5D9527E6">
      <w:pPr>
        <w:pStyle w:val="10"/>
        <w:spacing w:line="360" w:lineRule="auto"/>
        <w:ind w:left="100" w:right="211" w:rightChars="100" w:firstLine="663" w:firstLineChars="300"/>
        <w:rPr>
          <w:rFonts w:hAnsi="宋体"/>
          <w:sz w:val="22"/>
          <w:szCs w:val="22"/>
        </w:rPr>
      </w:pPr>
      <w:r>
        <w:rPr>
          <w:rFonts w:hint="eastAsia" w:hAnsi="宋体"/>
          <w:sz w:val="22"/>
          <w:szCs w:val="22"/>
        </w:rPr>
        <w:t>兼营：</w:t>
      </w:r>
      <w:r>
        <w:rPr>
          <w:rFonts w:hAnsi="宋体"/>
          <w:sz w:val="22"/>
          <w:szCs w:val="22"/>
          <w:u w:val="single"/>
        </w:rPr>
        <w:t xml:space="preserve">                                                                    </w:t>
      </w:r>
    </w:p>
    <w:p w14:paraId="6771DA3F">
      <w:pPr>
        <w:spacing w:line="360" w:lineRule="auto"/>
        <w:rPr>
          <w:rFonts w:ascii="宋体"/>
          <w:sz w:val="22"/>
        </w:rPr>
      </w:pPr>
    </w:p>
    <w:p w14:paraId="1324C36F">
      <w:pPr>
        <w:spacing w:line="360" w:lineRule="auto"/>
        <w:rPr>
          <w:rFonts w:ascii="宋体"/>
          <w:sz w:val="22"/>
        </w:rPr>
      </w:pPr>
    </w:p>
    <w:tbl>
      <w:tblPr>
        <w:tblStyle w:val="20"/>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257A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528108C6">
            <w:pPr>
              <w:spacing w:before="312" w:beforeLines="100" w:after="312" w:afterLines="100"/>
              <w:ind w:firstLine="983" w:firstLineChars="350"/>
              <w:rPr>
                <w:rFonts w:ascii="宋体"/>
                <w:sz w:val="28"/>
                <w:szCs w:val="28"/>
              </w:rPr>
            </w:pPr>
          </w:p>
          <w:p w14:paraId="72078688">
            <w:pPr>
              <w:spacing w:before="312" w:beforeLines="100" w:after="312" w:afterLines="100"/>
              <w:ind w:firstLine="983" w:firstLineChars="350"/>
              <w:rPr>
                <w:rFonts w:ascii="宋体"/>
                <w:sz w:val="28"/>
                <w:szCs w:val="28"/>
              </w:rPr>
            </w:pPr>
            <w:r>
              <w:rPr>
                <w:rFonts w:hint="eastAsia" w:ascii="宋体" w:hAnsi="宋体" w:cs="宋体"/>
                <w:sz w:val="28"/>
                <w:szCs w:val="28"/>
              </w:rPr>
              <w:t>法人身份证复印件</w:t>
            </w:r>
          </w:p>
        </w:tc>
      </w:tr>
    </w:tbl>
    <w:p w14:paraId="57BD5E9D">
      <w:pPr>
        <w:spacing w:line="360" w:lineRule="auto"/>
        <w:rPr>
          <w:rFonts w:ascii="宋体"/>
          <w:sz w:val="22"/>
        </w:rPr>
      </w:pPr>
    </w:p>
    <w:p w14:paraId="616C076E">
      <w:pPr>
        <w:spacing w:line="360" w:lineRule="auto"/>
        <w:rPr>
          <w:rFonts w:ascii="宋体"/>
          <w:sz w:val="22"/>
        </w:rPr>
      </w:pPr>
    </w:p>
    <w:p w14:paraId="47A6159D">
      <w:pPr>
        <w:spacing w:line="360" w:lineRule="auto"/>
        <w:ind w:firstLine="3878"/>
        <w:jc w:val="left"/>
        <w:rPr>
          <w:rFonts w:ascii="宋体"/>
          <w:sz w:val="22"/>
        </w:rPr>
      </w:pPr>
    </w:p>
    <w:p w14:paraId="7642850A">
      <w:pPr>
        <w:spacing w:line="360" w:lineRule="auto"/>
        <w:ind w:firstLine="3878"/>
        <w:jc w:val="left"/>
        <w:rPr>
          <w:rFonts w:ascii="宋体"/>
          <w:sz w:val="22"/>
        </w:rPr>
      </w:pPr>
    </w:p>
    <w:p w14:paraId="39FC4DDB">
      <w:pPr>
        <w:spacing w:line="360" w:lineRule="auto"/>
        <w:ind w:firstLine="3878"/>
        <w:jc w:val="left"/>
        <w:rPr>
          <w:rFonts w:ascii="宋体"/>
          <w:sz w:val="22"/>
        </w:rPr>
      </w:pPr>
    </w:p>
    <w:p w14:paraId="5C131B33">
      <w:pPr>
        <w:spacing w:line="360" w:lineRule="auto"/>
        <w:ind w:firstLine="3878"/>
        <w:jc w:val="left"/>
        <w:rPr>
          <w:rFonts w:ascii="宋体"/>
          <w:sz w:val="22"/>
        </w:rPr>
      </w:pPr>
    </w:p>
    <w:p w14:paraId="61E1D8BF">
      <w:pPr>
        <w:spacing w:line="360" w:lineRule="auto"/>
        <w:ind w:firstLine="3878"/>
        <w:jc w:val="left"/>
        <w:rPr>
          <w:rFonts w:ascii="宋体"/>
          <w:sz w:val="22"/>
        </w:rPr>
      </w:pPr>
      <w:r>
        <w:rPr>
          <w:rFonts w:hint="eastAsia" w:ascii="宋体" w:hAnsi="宋体" w:cs="宋体"/>
          <w:sz w:val="22"/>
        </w:rPr>
        <w:t>投标人：</w:t>
      </w:r>
      <w:r>
        <w:rPr>
          <w:rFonts w:ascii="宋体" w:hAnsi="宋体" w:cs="宋体"/>
          <w:sz w:val="22"/>
          <w:u w:val="single"/>
        </w:rPr>
        <w:t xml:space="preserve">                     (</w:t>
      </w:r>
      <w:r>
        <w:rPr>
          <w:rFonts w:hint="eastAsia" w:ascii="宋体" w:hAnsi="宋体" w:cs="宋体"/>
          <w:sz w:val="22"/>
          <w:u w:val="single"/>
        </w:rPr>
        <w:t>盖章</w:t>
      </w:r>
      <w:r>
        <w:rPr>
          <w:rFonts w:ascii="宋体" w:hAnsi="宋体" w:cs="宋体"/>
          <w:sz w:val="22"/>
          <w:u w:val="single"/>
        </w:rPr>
        <w:t>)</w:t>
      </w:r>
    </w:p>
    <w:p w14:paraId="24AE8139">
      <w:pPr>
        <w:spacing w:line="360" w:lineRule="auto"/>
        <w:jc w:val="left"/>
        <w:rPr>
          <w:rFonts w:ascii="宋体"/>
          <w:sz w:val="22"/>
        </w:rPr>
      </w:pPr>
    </w:p>
    <w:p w14:paraId="4F182F12">
      <w:pPr>
        <w:spacing w:line="360" w:lineRule="auto"/>
        <w:ind w:firstLine="3878"/>
        <w:jc w:val="left"/>
        <w:rPr>
          <w:rFonts w:ascii="宋体"/>
          <w:sz w:val="22"/>
        </w:rPr>
      </w:pPr>
      <w:r>
        <w:rPr>
          <w:rFonts w:ascii="宋体" w:hAnsi="宋体" w:cs="宋体"/>
          <w:sz w:val="22"/>
        </w:rPr>
        <w:t xml:space="preserve">  </w:t>
      </w:r>
      <w:r>
        <w:rPr>
          <w:rFonts w:hint="eastAsia" w:ascii="宋体" w:hAnsi="宋体" w:cs="宋体"/>
          <w:sz w:val="22"/>
        </w:rPr>
        <w:t>日期</w:t>
      </w:r>
      <w:r>
        <w:rPr>
          <w:rFonts w:ascii="宋体" w:hAnsi="宋体" w:cs="宋体"/>
          <w:sz w:val="22"/>
        </w:rPr>
        <w:t>:</w:t>
      </w:r>
      <w:r>
        <w:rPr>
          <w:rFonts w:ascii="宋体" w:hAnsi="宋体" w:cs="宋体"/>
          <w:sz w:val="22"/>
          <w:u w:val="single"/>
        </w:rPr>
        <w:t xml:space="preserve">  </w:t>
      </w:r>
      <w:r>
        <w:rPr>
          <w:rFonts w:hint="eastAsia" w:ascii="宋体" w:hAnsi="宋体" w:cs="宋体"/>
          <w:sz w:val="22"/>
          <w:u w:val="single"/>
        </w:rPr>
        <w:t>　　　</w:t>
      </w:r>
      <w:r>
        <w:rPr>
          <w:rFonts w:ascii="宋体" w:hAnsi="宋体" w:cs="宋体"/>
          <w:sz w:val="22"/>
          <w:u w:val="single"/>
        </w:rPr>
        <w:t xml:space="preserve"> </w:t>
      </w:r>
      <w:r>
        <w:rPr>
          <w:rFonts w:hint="eastAsia" w:ascii="宋体" w:hAnsi="宋体" w:cs="宋体"/>
          <w:sz w:val="22"/>
        </w:rPr>
        <w:t>年</w:t>
      </w:r>
      <w:r>
        <w:rPr>
          <w:rFonts w:ascii="宋体" w:hAnsi="宋体" w:cs="宋体"/>
          <w:sz w:val="22"/>
          <w:u w:val="single"/>
        </w:rPr>
        <w:t xml:space="preserve"> </w:t>
      </w:r>
      <w:r>
        <w:rPr>
          <w:rFonts w:hint="eastAsia" w:ascii="宋体" w:hAnsi="宋体" w:cs="宋体"/>
          <w:sz w:val="22"/>
          <w:u w:val="single"/>
        </w:rPr>
        <w:t>　　</w:t>
      </w:r>
      <w:r>
        <w:rPr>
          <w:rFonts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w:t>
      </w:r>
      <w:r>
        <w:rPr>
          <w:rFonts w:hint="eastAsia" w:ascii="宋体" w:hAnsi="宋体" w:cs="宋体"/>
          <w:sz w:val="22"/>
        </w:rPr>
        <w:t>日</w:t>
      </w:r>
    </w:p>
    <w:p w14:paraId="528B472C">
      <w:pPr>
        <w:spacing w:line="360" w:lineRule="auto"/>
        <w:rPr>
          <w:rFonts w:ascii="宋体" w:hAnsi="宋体" w:cs="宋体"/>
          <w:b/>
          <w:bCs/>
          <w:sz w:val="32"/>
          <w:szCs w:val="32"/>
        </w:rPr>
      </w:pPr>
    </w:p>
    <w:p w14:paraId="2FFF2D37">
      <w:pPr>
        <w:spacing w:line="360" w:lineRule="auto"/>
        <w:rPr>
          <w:rFonts w:ascii="宋体" w:hAnsi="宋体" w:cs="宋体"/>
          <w:b/>
          <w:bCs/>
          <w:sz w:val="32"/>
          <w:szCs w:val="32"/>
        </w:rPr>
      </w:pPr>
    </w:p>
    <w:p w14:paraId="083DC43C">
      <w:pPr>
        <w:rPr>
          <w:rFonts w:hint="eastAsia" w:ascii="宋体" w:hAnsi="宋体" w:cs="宋体"/>
          <w:b/>
          <w:bCs/>
          <w:sz w:val="32"/>
          <w:szCs w:val="32"/>
        </w:rPr>
      </w:pPr>
      <w:r>
        <w:rPr>
          <w:rFonts w:hint="eastAsia" w:ascii="宋体" w:hAnsi="宋体" w:cs="宋体"/>
          <w:b/>
          <w:bCs/>
          <w:sz w:val="32"/>
          <w:szCs w:val="32"/>
        </w:rPr>
        <w:br w:type="page"/>
      </w:r>
    </w:p>
    <w:p w14:paraId="4A728BFD">
      <w:pPr>
        <w:spacing w:line="360" w:lineRule="auto"/>
        <w:jc w:val="center"/>
        <w:rPr>
          <w:rFonts w:ascii="宋体" w:hAnsi="宋体" w:cs="宋体"/>
          <w:b/>
          <w:bCs/>
          <w:sz w:val="32"/>
          <w:szCs w:val="32"/>
        </w:rPr>
      </w:pPr>
      <w:r>
        <w:rPr>
          <w:rFonts w:hint="eastAsia" w:ascii="宋体" w:hAnsi="宋体" w:cs="宋体"/>
          <w:b/>
          <w:bCs/>
          <w:sz w:val="32"/>
          <w:szCs w:val="32"/>
        </w:rPr>
        <w:t>法人授权委托书</w:t>
      </w:r>
    </w:p>
    <w:p w14:paraId="63FAC000">
      <w:pPr>
        <w:ind w:firstLine="480"/>
        <w:rPr>
          <w:rFonts w:ascii="宋体" w:hAnsi="宋体" w:cs="宋体"/>
          <w:sz w:val="28"/>
          <w:szCs w:val="28"/>
        </w:rPr>
      </w:pPr>
    </w:p>
    <w:p w14:paraId="6BE25916">
      <w:pPr>
        <w:spacing w:line="360" w:lineRule="auto"/>
        <w:rPr>
          <w:rFonts w:ascii="宋体" w:hAnsi="宋体" w:cs="宋体"/>
          <w:sz w:val="22"/>
        </w:rPr>
      </w:pPr>
      <w:r>
        <w:rPr>
          <w:rFonts w:hint="eastAsia" w:ascii="宋体" w:hAnsi="宋体" w:cs="宋体"/>
          <w:sz w:val="22"/>
        </w:rPr>
        <w:t>致：</w:t>
      </w:r>
      <w:r>
        <w:rPr>
          <w:rFonts w:hint="eastAsia" w:ascii="宋体" w:hAnsi="宋体" w:cs="宋体"/>
          <w:sz w:val="22"/>
          <w:u w:val="single"/>
        </w:rPr>
        <w:t xml:space="preserve">   　</w:t>
      </w:r>
      <w:r>
        <w:rPr>
          <w:rFonts w:hint="eastAsia" w:ascii="宋体" w:hAnsi="宋体" w:cs="宋体"/>
          <w:sz w:val="22"/>
        </w:rPr>
        <w:t xml:space="preserve"> </w:t>
      </w:r>
    </w:p>
    <w:p w14:paraId="47A58EAC">
      <w:pPr>
        <w:spacing w:line="360" w:lineRule="auto"/>
        <w:ind w:firstLine="480"/>
        <w:rPr>
          <w:rFonts w:ascii="宋体" w:hAnsi="宋体" w:cs="宋体"/>
          <w:sz w:val="22"/>
        </w:rPr>
      </w:pPr>
    </w:p>
    <w:p w14:paraId="0DF2346A">
      <w:pPr>
        <w:spacing w:line="360" w:lineRule="auto"/>
        <w:ind w:firstLine="525"/>
        <w:jc w:val="left"/>
        <w:rPr>
          <w:rFonts w:ascii="宋体" w:hAnsi="宋体" w:cs="宋体"/>
          <w:sz w:val="22"/>
        </w:rPr>
      </w:pPr>
      <w:r>
        <w:rPr>
          <w:rFonts w:hint="eastAsia" w:ascii="宋体" w:hAnsi="宋体" w:cs="宋体"/>
          <w:sz w:val="22"/>
        </w:rPr>
        <w:t xml:space="preserve">本授权书宣告： </w:t>
      </w:r>
      <w:r>
        <w:rPr>
          <w:rFonts w:hint="eastAsia" w:ascii="宋体" w:hAnsi="宋体" w:cs="宋体"/>
          <w:sz w:val="22"/>
          <w:u w:val="single"/>
        </w:rPr>
        <w:t xml:space="preserve">   (报价人全称)    </w:t>
      </w:r>
      <w:r>
        <w:rPr>
          <w:rFonts w:hint="eastAsia" w:ascii="宋体" w:hAnsi="宋体" w:cs="宋体"/>
          <w:sz w:val="22"/>
        </w:rPr>
        <w:t>法定代表人，</w:t>
      </w:r>
      <w:r>
        <w:rPr>
          <w:rFonts w:hint="eastAsia" w:ascii="宋体" w:hAnsi="宋体" w:cs="宋体"/>
          <w:sz w:val="22"/>
          <w:u w:val="single"/>
        </w:rPr>
        <w:t xml:space="preserve">  （姓名）  (职务)  </w:t>
      </w:r>
      <w:r>
        <w:rPr>
          <w:rFonts w:hint="eastAsia" w:ascii="宋体" w:hAnsi="宋体" w:cs="宋体"/>
          <w:sz w:val="22"/>
        </w:rPr>
        <w:t>合法地代表本单位，授权</w:t>
      </w:r>
      <w:r>
        <w:rPr>
          <w:rFonts w:hint="eastAsia" w:ascii="宋体" w:hAnsi="宋体" w:cs="宋体"/>
          <w:sz w:val="22"/>
          <w:u w:val="single"/>
        </w:rPr>
        <w:t xml:space="preserve">    (报价人全称)      </w:t>
      </w:r>
      <w:r>
        <w:rPr>
          <w:rFonts w:hint="eastAsia" w:ascii="宋体" w:hAnsi="宋体" w:cs="宋体"/>
          <w:sz w:val="22"/>
        </w:rPr>
        <w:t>的</w:t>
      </w:r>
      <w:r>
        <w:rPr>
          <w:rFonts w:hint="eastAsia" w:ascii="宋体" w:hAnsi="宋体" w:cs="宋体"/>
          <w:sz w:val="22"/>
          <w:u w:val="single"/>
        </w:rPr>
        <w:t xml:space="preserve">   (职务) (姓名)     </w:t>
      </w:r>
      <w:r>
        <w:rPr>
          <w:rFonts w:hint="eastAsia" w:ascii="宋体" w:hAnsi="宋体" w:cs="宋体"/>
          <w:sz w:val="22"/>
        </w:rPr>
        <w:t>身份证号</w:t>
      </w:r>
      <w:r>
        <w:rPr>
          <w:rFonts w:hint="eastAsia" w:ascii="宋体" w:hAnsi="宋体" w:cs="宋体"/>
          <w:sz w:val="22"/>
          <w:u w:val="single"/>
        </w:rPr>
        <w:t xml:space="preserve">              </w:t>
      </w:r>
      <w:r>
        <w:rPr>
          <w:rFonts w:hint="eastAsia" w:ascii="宋体" w:hAnsi="宋体" w:cs="宋体"/>
          <w:sz w:val="22"/>
        </w:rPr>
        <w:t>，系我单位代理人。该代理人有权在</w:t>
      </w:r>
      <w:r>
        <w:rPr>
          <w:rFonts w:hint="eastAsia" w:ascii="宋体" w:hAnsi="宋体" w:cs="宋体"/>
          <w:sz w:val="22"/>
          <w:u w:val="single"/>
        </w:rPr>
        <w:t xml:space="preserve">             合同段 </w:t>
      </w:r>
      <w:r>
        <w:rPr>
          <w:rFonts w:hint="eastAsia" w:ascii="宋体" w:hAnsi="宋体" w:cs="宋体"/>
          <w:sz w:val="22"/>
        </w:rPr>
        <w:t>的投标报价活动中，以我单位的名义签署投标函和报价文件、与采购人协商、谈判、签订合同协议书以及执行一切与此有关的事项。</w:t>
      </w:r>
    </w:p>
    <w:p w14:paraId="43DCF7F5">
      <w:pPr>
        <w:spacing w:line="360" w:lineRule="auto"/>
        <w:ind w:firstLine="525"/>
        <w:jc w:val="left"/>
        <w:rPr>
          <w:rFonts w:ascii="宋体" w:hAnsi="宋体" w:cs="宋体"/>
          <w:sz w:val="22"/>
        </w:rPr>
      </w:pPr>
      <w:r>
        <w:rPr>
          <w:rFonts w:hint="eastAsia" w:ascii="宋体" w:hAnsi="宋体" w:cs="宋体"/>
          <w:sz w:val="22"/>
        </w:rPr>
        <w:t>委托期限：</w:t>
      </w:r>
      <w:r>
        <w:rPr>
          <w:rFonts w:hint="eastAsia" w:ascii="宋体" w:hAnsi="宋体" w:cs="宋体"/>
          <w:sz w:val="22"/>
          <w:u w:val="single"/>
        </w:rPr>
        <w:t xml:space="preserve">                                      </w:t>
      </w:r>
      <w:r>
        <w:rPr>
          <w:rFonts w:hint="eastAsia" w:ascii="宋体" w:hAnsi="宋体" w:cs="宋体"/>
          <w:sz w:val="22"/>
        </w:rPr>
        <w:t>。</w:t>
      </w:r>
    </w:p>
    <w:p w14:paraId="50E8E925">
      <w:pPr>
        <w:spacing w:line="360" w:lineRule="auto"/>
        <w:ind w:firstLine="525"/>
        <w:jc w:val="left"/>
        <w:rPr>
          <w:rFonts w:ascii="宋体" w:hAnsi="宋体" w:cs="宋体"/>
          <w:sz w:val="22"/>
        </w:rPr>
      </w:pPr>
      <w:r>
        <w:rPr>
          <w:rFonts w:hint="eastAsia" w:ascii="宋体" w:hAnsi="宋体" w:cs="宋体"/>
          <w:sz w:val="22"/>
        </w:rPr>
        <w:t>代理人无转委托权。</w:t>
      </w:r>
    </w:p>
    <w:p w14:paraId="620693DC">
      <w:pPr>
        <w:spacing w:line="360" w:lineRule="auto"/>
        <w:jc w:val="left"/>
        <w:rPr>
          <w:rFonts w:ascii="宋体" w:hAnsi="宋体" w:cs="宋体"/>
          <w:sz w:val="22"/>
        </w:rPr>
      </w:pPr>
    </w:p>
    <w:tbl>
      <w:tblPr>
        <w:tblStyle w:val="20"/>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2A5A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039C992C">
            <w:pPr>
              <w:spacing w:before="312" w:beforeLines="100" w:after="312" w:afterLines="100"/>
              <w:ind w:firstLine="983" w:firstLineChars="350"/>
              <w:rPr>
                <w:rFonts w:ascii="宋体" w:hAnsi="宋体" w:cs="宋体"/>
                <w:sz w:val="28"/>
                <w:szCs w:val="28"/>
              </w:rPr>
            </w:pPr>
          </w:p>
          <w:p w14:paraId="517EBEEA">
            <w:pPr>
              <w:spacing w:before="312" w:beforeLines="100" w:after="312" w:afterLines="100"/>
              <w:ind w:firstLine="983" w:firstLineChars="350"/>
              <w:rPr>
                <w:rFonts w:ascii="宋体" w:hAnsi="宋体" w:cs="宋体"/>
                <w:sz w:val="28"/>
                <w:szCs w:val="28"/>
              </w:rPr>
            </w:pPr>
            <w:r>
              <w:rPr>
                <w:rFonts w:hint="eastAsia" w:ascii="宋体" w:hAnsi="宋体" w:cs="宋体"/>
                <w:sz w:val="28"/>
                <w:szCs w:val="28"/>
              </w:rPr>
              <w:t>被委托人身份证复印件</w:t>
            </w:r>
          </w:p>
        </w:tc>
      </w:tr>
    </w:tbl>
    <w:p w14:paraId="48CB0CF1">
      <w:pPr>
        <w:spacing w:line="360" w:lineRule="auto"/>
        <w:jc w:val="left"/>
        <w:rPr>
          <w:rFonts w:ascii="宋体" w:hAnsi="宋体" w:cs="宋体"/>
          <w:sz w:val="22"/>
        </w:rPr>
      </w:pPr>
    </w:p>
    <w:p w14:paraId="4234A290">
      <w:pPr>
        <w:spacing w:line="360" w:lineRule="auto"/>
        <w:jc w:val="left"/>
        <w:rPr>
          <w:rFonts w:ascii="宋体" w:hAnsi="宋体" w:cs="宋体"/>
          <w:sz w:val="22"/>
        </w:rPr>
      </w:pPr>
    </w:p>
    <w:p w14:paraId="1986D58C">
      <w:pPr>
        <w:spacing w:line="360" w:lineRule="auto"/>
        <w:ind w:firstLine="3878"/>
        <w:jc w:val="left"/>
        <w:rPr>
          <w:rFonts w:ascii="宋体" w:hAnsi="宋体" w:cs="宋体"/>
          <w:sz w:val="22"/>
        </w:rPr>
      </w:pPr>
    </w:p>
    <w:p w14:paraId="330868E3">
      <w:pPr>
        <w:spacing w:line="360" w:lineRule="auto"/>
        <w:ind w:firstLine="3878"/>
        <w:jc w:val="left"/>
        <w:rPr>
          <w:rFonts w:ascii="宋体" w:hAnsi="宋体" w:cs="宋体"/>
          <w:sz w:val="22"/>
        </w:rPr>
      </w:pPr>
      <w:r>
        <w:rPr>
          <w:rFonts w:hint="eastAsia" w:ascii="宋体" w:hAnsi="宋体" w:cs="宋体"/>
          <w:sz w:val="22"/>
        </w:rPr>
        <w:t>报价人：</w:t>
      </w:r>
      <w:r>
        <w:rPr>
          <w:rFonts w:hint="eastAsia" w:ascii="宋体" w:hAnsi="宋体" w:cs="宋体"/>
          <w:sz w:val="22"/>
          <w:u w:val="single"/>
        </w:rPr>
        <w:t xml:space="preserve">                     (盖章)      </w:t>
      </w:r>
    </w:p>
    <w:p w14:paraId="5FE6818E">
      <w:pPr>
        <w:spacing w:line="360" w:lineRule="auto"/>
        <w:ind w:firstLine="3878"/>
        <w:jc w:val="left"/>
        <w:rPr>
          <w:rFonts w:ascii="宋体" w:hAnsi="宋体" w:cs="宋体"/>
          <w:sz w:val="22"/>
        </w:rPr>
      </w:pPr>
    </w:p>
    <w:p w14:paraId="1C49B78D">
      <w:pPr>
        <w:spacing w:line="360" w:lineRule="auto"/>
        <w:ind w:firstLine="3878"/>
        <w:jc w:val="left"/>
        <w:rPr>
          <w:rFonts w:ascii="宋体" w:hAnsi="宋体" w:cs="宋体"/>
          <w:sz w:val="22"/>
        </w:rPr>
      </w:pPr>
      <w:r>
        <w:rPr>
          <w:rFonts w:hint="eastAsia" w:ascii="宋体" w:hAnsi="宋体" w:cs="宋体"/>
          <w:sz w:val="22"/>
        </w:rPr>
        <w:t>法定代表人：</w:t>
      </w:r>
      <w:r>
        <w:rPr>
          <w:rFonts w:hint="eastAsia" w:ascii="宋体" w:hAnsi="宋体" w:cs="宋体"/>
          <w:sz w:val="22"/>
          <w:u w:val="single"/>
        </w:rPr>
        <w:t xml:space="preserve">                (签字或盖章)</w:t>
      </w:r>
    </w:p>
    <w:p w14:paraId="1FC25349">
      <w:pPr>
        <w:spacing w:line="360" w:lineRule="auto"/>
        <w:ind w:firstLine="3878"/>
        <w:jc w:val="left"/>
        <w:rPr>
          <w:rFonts w:ascii="宋体" w:hAnsi="宋体" w:cs="宋体"/>
          <w:sz w:val="22"/>
        </w:rPr>
      </w:pPr>
    </w:p>
    <w:p w14:paraId="3529958E">
      <w:pPr>
        <w:spacing w:line="360" w:lineRule="auto"/>
        <w:ind w:firstLine="3878"/>
        <w:jc w:val="left"/>
        <w:rPr>
          <w:rFonts w:ascii="宋体" w:hAnsi="宋体" w:cs="宋体"/>
          <w:sz w:val="22"/>
          <w:u w:val="single"/>
        </w:rPr>
      </w:pPr>
      <w:r>
        <w:rPr>
          <w:rFonts w:hint="eastAsia" w:ascii="宋体" w:hAnsi="宋体" w:cs="宋体"/>
          <w:sz w:val="22"/>
        </w:rPr>
        <w:t>授权代理人：</w:t>
      </w:r>
      <w:r>
        <w:rPr>
          <w:rFonts w:hint="eastAsia" w:ascii="宋体" w:hAnsi="宋体" w:cs="宋体"/>
          <w:sz w:val="22"/>
          <w:u w:val="single"/>
        </w:rPr>
        <w:t xml:space="preserve">                (签字或盖章)</w:t>
      </w:r>
    </w:p>
    <w:p w14:paraId="4E9CDB3E">
      <w:pPr>
        <w:spacing w:line="360" w:lineRule="auto"/>
        <w:ind w:firstLine="3878"/>
        <w:jc w:val="left"/>
        <w:rPr>
          <w:rFonts w:ascii="宋体" w:hAnsi="宋体" w:cs="宋体"/>
          <w:sz w:val="22"/>
        </w:rPr>
      </w:pPr>
    </w:p>
    <w:p w14:paraId="73B464D5">
      <w:pPr>
        <w:spacing w:line="360" w:lineRule="auto"/>
        <w:ind w:firstLine="3878"/>
        <w:jc w:val="left"/>
        <w:rPr>
          <w:b/>
          <w:bCs/>
          <w:sz w:val="22"/>
        </w:rPr>
      </w:pPr>
      <w:r>
        <w:rPr>
          <w:rFonts w:hint="eastAsia" w:ascii="宋体" w:hAnsi="宋体" w:cs="宋体"/>
          <w:sz w:val="22"/>
        </w:rPr>
        <w:t>日　期：</w:t>
      </w:r>
      <w:r>
        <w:rPr>
          <w:rFonts w:hint="eastAsia" w:ascii="宋体" w:hAnsi="宋体" w:cs="宋体"/>
          <w:sz w:val="22"/>
          <w:u w:val="single"/>
        </w:rPr>
        <w:t xml:space="preserve">         </w:t>
      </w:r>
      <w:r>
        <w:rPr>
          <w:rFonts w:hint="eastAsia" w:ascii="宋体" w:hAnsi="宋体" w:cs="宋体"/>
          <w:sz w:val="22"/>
        </w:rPr>
        <w:t xml:space="preserve">年 </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bookmarkStart w:id="95" w:name="_Toc2728"/>
      <w:bookmarkStart w:id="96" w:name="_Toc485905368"/>
    </w:p>
    <w:p w14:paraId="05BE5B54">
      <w:pPr>
        <w:rPr>
          <w:b/>
          <w:bCs/>
          <w:sz w:val="22"/>
        </w:rPr>
      </w:pPr>
      <w:r>
        <w:rPr>
          <w:rFonts w:hint="eastAsia"/>
          <w:b/>
          <w:bCs/>
          <w:sz w:val="22"/>
        </w:rPr>
        <w:br w:type="page"/>
      </w:r>
    </w:p>
    <w:p w14:paraId="6F6865FF">
      <w:pPr>
        <w:spacing w:line="360" w:lineRule="auto"/>
        <w:outlineLvl w:val="2"/>
        <w:rPr>
          <w:b/>
          <w:bCs/>
          <w:sz w:val="22"/>
        </w:rPr>
      </w:pPr>
      <w:r>
        <w:rPr>
          <w:rFonts w:hint="eastAsia"/>
          <w:b/>
          <w:bCs/>
          <w:sz w:val="22"/>
        </w:rPr>
        <w:t>3.</w:t>
      </w:r>
      <w:bookmarkEnd w:id="95"/>
      <w:bookmarkEnd w:id="96"/>
      <w:r>
        <w:rPr>
          <w:rFonts w:hint="eastAsia"/>
          <w:b/>
          <w:bCs/>
          <w:sz w:val="22"/>
        </w:rPr>
        <w:t>投标人资格要求相关材料</w:t>
      </w:r>
    </w:p>
    <w:p w14:paraId="6AB8C505">
      <w:pPr>
        <w:snapToGrid w:val="0"/>
        <w:spacing w:line="360" w:lineRule="auto"/>
        <w:ind w:firstLine="422" w:firstLineChars="200"/>
        <w:jc w:val="left"/>
        <w:rPr>
          <w:rFonts w:ascii="仿宋_GB2312" w:hAnsi="仿宋_GB2312" w:cs="仿宋_GB2312"/>
          <w:szCs w:val="32"/>
        </w:rPr>
      </w:pPr>
      <w:bookmarkStart w:id="97" w:name="_Toc307410676"/>
      <w:bookmarkStart w:id="98" w:name="_Toc282529568"/>
      <w:bookmarkStart w:id="99" w:name="_Toc282529962"/>
      <w:bookmarkStart w:id="100" w:name="_Toc19509"/>
      <w:bookmarkStart w:id="101" w:name="_Toc282529445"/>
      <w:bookmarkStart w:id="102" w:name="_Toc282529409"/>
      <w:bookmarkStart w:id="103" w:name="_Toc25199"/>
      <w:r>
        <w:rPr>
          <w:rFonts w:hint="eastAsia" w:ascii="仿宋_GB2312" w:hAnsi="仿宋_GB2312" w:cs="仿宋_GB2312"/>
          <w:szCs w:val="32"/>
        </w:rPr>
        <w:t>1、投标人必须是经司法行政部门依法批准成立【3】年以上的律师事务所（提供律师事务所执业许可证扫描件）；</w:t>
      </w:r>
    </w:p>
    <w:p w14:paraId="7DF58563">
      <w:pPr>
        <w:snapToGrid w:val="0"/>
        <w:spacing w:line="360" w:lineRule="auto"/>
        <w:ind w:firstLine="422" w:firstLineChars="200"/>
        <w:jc w:val="left"/>
        <w:rPr>
          <w:rFonts w:hint="eastAsia" w:ascii="仿宋_GB2312" w:hAnsi="仿宋_GB2312" w:eastAsia="宋体" w:cs="仿宋_GB2312"/>
          <w:szCs w:val="32"/>
        </w:rPr>
      </w:pPr>
      <w:r>
        <w:rPr>
          <w:rFonts w:hint="eastAsia" w:ascii="仿宋_GB2312" w:hAnsi="仿宋_GB2312" w:eastAsia="宋体" w:cs="仿宋_GB2312"/>
          <w:szCs w:val="32"/>
        </w:rPr>
        <w:t>2、投标人近三年</w:t>
      </w:r>
      <w:r>
        <w:rPr>
          <w:rFonts w:hint="eastAsia" w:ascii="仿宋_GB2312" w:hAnsi="仿宋_GB2312" w:eastAsia="宋体" w:cs="仿宋_GB2312"/>
          <w:szCs w:val="32"/>
          <w:lang w:eastAsia="zh-CN"/>
        </w:rPr>
        <w:t>（</w:t>
      </w:r>
      <w:r>
        <w:rPr>
          <w:rFonts w:hint="eastAsia" w:ascii="仿宋_GB2312" w:hAnsi="仿宋_GB2312" w:eastAsia="宋体" w:cs="仿宋_GB2312"/>
          <w:szCs w:val="32"/>
          <w:lang w:val="en-US" w:eastAsia="zh-CN"/>
        </w:rPr>
        <w:t>2023年1月1日至</w:t>
      </w:r>
      <w:r>
        <w:rPr>
          <w:rFonts w:hint="eastAsia" w:ascii="仿宋_GB2312" w:hAnsi="仿宋_GB2312" w:cs="仿宋_GB2312"/>
          <w:szCs w:val="32"/>
          <w:lang w:val="en-US" w:eastAsia="zh-CN"/>
        </w:rPr>
        <w:t>公告挂网之日起</w:t>
      </w:r>
      <w:r>
        <w:rPr>
          <w:rFonts w:hint="eastAsia" w:ascii="仿宋_GB2312" w:hAnsi="仿宋_GB2312" w:eastAsia="宋体" w:cs="仿宋_GB2312"/>
          <w:szCs w:val="32"/>
          <w:lang w:eastAsia="zh-CN"/>
        </w:rPr>
        <w:t>）</w:t>
      </w:r>
      <w:r>
        <w:rPr>
          <w:rFonts w:hint="eastAsia" w:ascii="仿宋_GB2312" w:hAnsi="仿宋_GB2312" w:eastAsia="宋体" w:cs="仿宋_GB2312"/>
          <w:szCs w:val="32"/>
        </w:rPr>
        <w:t>具有至少【1】个资产证券化、资产数字化、RWA、RDA等同类项目的服务案例（需提供近3年内有效的业绩证明材料，包括但不限于合同的首页、服务内容页、甲乙双方盖章页等关键页复印件）；</w:t>
      </w:r>
    </w:p>
    <w:p w14:paraId="6A8DB439">
      <w:pPr>
        <w:snapToGrid w:val="0"/>
        <w:spacing w:line="360" w:lineRule="auto"/>
        <w:ind w:firstLine="422" w:firstLineChars="200"/>
        <w:jc w:val="left"/>
        <w:rPr>
          <w:rFonts w:hint="eastAsia" w:ascii="仿宋_GB2312" w:hAnsi="仿宋_GB2312" w:eastAsia="宋体" w:cs="仿宋_GB2312"/>
          <w:szCs w:val="32"/>
        </w:rPr>
      </w:pPr>
      <w:r>
        <w:rPr>
          <w:rFonts w:hint="eastAsia" w:ascii="仿宋_GB2312" w:hAnsi="仿宋_GB2312" w:eastAsia="宋体" w:cs="仿宋_GB2312"/>
          <w:szCs w:val="32"/>
        </w:rPr>
        <w:t>3、投标人承诺中标后项目不转包。</w:t>
      </w:r>
    </w:p>
    <w:p w14:paraId="7D50D23E">
      <w:pPr>
        <w:rPr>
          <w:rFonts w:hint="eastAsia"/>
          <w:b/>
          <w:bCs/>
          <w:sz w:val="22"/>
        </w:rPr>
      </w:pPr>
      <w:r>
        <w:rPr>
          <w:rFonts w:hint="eastAsia"/>
          <w:b/>
          <w:bCs/>
          <w:sz w:val="22"/>
        </w:rPr>
        <w:br w:type="page"/>
      </w:r>
    </w:p>
    <w:p w14:paraId="592B8120">
      <w:pPr>
        <w:adjustRightInd w:val="0"/>
        <w:snapToGrid w:val="0"/>
        <w:spacing w:line="360" w:lineRule="auto"/>
        <w:jc w:val="left"/>
        <w:outlineLvl w:val="1"/>
        <w:rPr>
          <w:b/>
          <w:bCs/>
          <w:sz w:val="22"/>
        </w:rPr>
      </w:pPr>
      <w:r>
        <w:rPr>
          <w:rFonts w:hint="eastAsia"/>
          <w:b/>
          <w:bCs/>
          <w:sz w:val="22"/>
        </w:rPr>
        <w:t>4.业绩材料</w:t>
      </w:r>
      <w:bookmarkEnd w:id="97"/>
      <w:bookmarkEnd w:id="98"/>
      <w:bookmarkEnd w:id="99"/>
      <w:bookmarkEnd w:id="100"/>
      <w:bookmarkEnd w:id="101"/>
      <w:bookmarkEnd w:id="102"/>
      <w:bookmarkEnd w:id="103"/>
    </w:p>
    <w:p w14:paraId="5669F50A">
      <w:pPr>
        <w:jc w:val="center"/>
        <w:rPr>
          <w:rFonts w:ascii="宋体" w:hAnsi="宋体"/>
          <w:b/>
          <w:color w:val="000000"/>
          <w:sz w:val="28"/>
          <w:szCs w:val="28"/>
        </w:rPr>
      </w:pPr>
      <w:r>
        <w:rPr>
          <w:rFonts w:hint="eastAsia" w:ascii="宋体" w:hAnsi="宋体"/>
          <w:b/>
          <w:color w:val="000000"/>
          <w:sz w:val="28"/>
          <w:szCs w:val="28"/>
        </w:rPr>
        <w:t>投标人类似项目业绩表</w:t>
      </w:r>
    </w:p>
    <w:p w14:paraId="6B805933">
      <w:pPr>
        <w:rPr>
          <w:color w:val="000000"/>
          <w:sz w:val="24"/>
        </w:rPr>
      </w:pPr>
    </w:p>
    <w:tbl>
      <w:tblPr>
        <w:tblStyle w:val="20"/>
        <w:tblW w:w="4606" w:type="pct"/>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901"/>
        <w:gridCol w:w="1500"/>
        <w:gridCol w:w="1724"/>
        <w:gridCol w:w="1534"/>
      </w:tblGrid>
      <w:tr w14:paraId="2834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806" w:type="pct"/>
            <w:tcBorders>
              <w:top w:val="single" w:color="auto" w:sz="4" w:space="0"/>
              <w:left w:val="single" w:color="auto" w:sz="4" w:space="0"/>
              <w:bottom w:val="single" w:color="auto" w:sz="4" w:space="0"/>
              <w:right w:val="single" w:color="auto" w:sz="4" w:space="0"/>
            </w:tcBorders>
            <w:vAlign w:val="center"/>
          </w:tcPr>
          <w:p w14:paraId="756400AD">
            <w:pPr>
              <w:rPr>
                <w:color w:val="000000"/>
                <w:szCs w:val="21"/>
              </w:rPr>
            </w:pPr>
            <w:r>
              <w:rPr>
                <w:rFonts w:hint="eastAsia"/>
                <w:color w:val="000000"/>
                <w:szCs w:val="21"/>
              </w:rPr>
              <w:t>合同名称</w:t>
            </w:r>
          </w:p>
        </w:tc>
        <w:tc>
          <w:tcPr>
            <w:tcW w:w="1197" w:type="pct"/>
            <w:tcBorders>
              <w:top w:val="single" w:color="auto" w:sz="4" w:space="0"/>
              <w:left w:val="single" w:color="auto" w:sz="4" w:space="0"/>
              <w:bottom w:val="single" w:color="auto" w:sz="4" w:space="0"/>
            </w:tcBorders>
            <w:vAlign w:val="center"/>
          </w:tcPr>
          <w:p w14:paraId="0B0271AC">
            <w:pPr>
              <w:rPr>
                <w:color w:val="000000"/>
                <w:szCs w:val="21"/>
              </w:rPr>
            </w:pPr>
            <w:r>
              <w:rPr>
                <w:rFonts w:hint="eastAsia"/>
                <w:color w:val="000000"/>
                <w:szCs w:val="21"/>
              </w:rPr>
              <w:t>实施地点</w:t>
            </w:r>
          </w:p>
        </w:tc>
        <w:tc>
          <w:tcPr>
            <w:tcW w:w="945" w:type="pct"/>
            <w:vAlign w:val="center"/>
          </w:tcPr>
          <w:p w14:paraId="7DB8887A">
            <w:pPr>
              <w:rPr>
                <w:color w:val="000000"/>
                <w:szCs w:val="21"/>
              </w:rPr>
            </w:pPr>
            <w:r>
              <w:rPr>
                <w:rFonts w:hint="eastAsia"/>
                <w:color w:val="000000"/>
                <w:szCs w:val="21"/>
              </w:rPr>
              <w:t>签订日期</w:t>
            </w:r>
          </w:p>
        </w:tc>
        <w:tc>
          <w:tcPr>
            <w:tcW w:w="1086" w:type="pct"/>
            <w:vAlign w:val="center"/>
          </w:tcPr>
          <w:p w14:paraId="2992A0B7">
            <w:pPr>
              <w:rPr>
                <w:color w:val="000000"/>
                <w:szCs w:val="21"/>
              </w:rPr>
            </w:pPr>
            <w:r>
              <w:rPr>
                <w:rFonts w:hint="eastAsia"/>
                <w:color w:val="000000"/>
                <w:szCs w:val="21"/>
              </w:rPr>
              <w:t>合同金额（万元）</w:t>
            </w:r>
          </w:p>
        </w:tc>
        <w:tc>
          <w:tcPr>
            <w:tcW w:w="966" w:type="pct"/>
            <w:vAlign w:val="center"/>
          </w:tcPr>
          <w:p w14:paraId="32FFBCEC">
            <w:pPr>
              <w:jc w:val="center"/>
              <w:rPr>
                <w:color w:val="000000"/>
                <w:szCs w:val="21"/>
              </w:rPr>
            </w:pPr>
            <w:r>
              <w:rPr>
                <w:rFonts w:hint="eastAsia"/>
                <w:color w:val="000000"/>
                <w:szCs w:val="21"/>
              </w:rPr>
              <w:t>备注</w:t>
            </w:r>
          </w:p>
        </w:tc>
      </w:tr>
      <w:tr w14:paraId="3485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06" w:type="pct"/>
            <w:tcBorders>
              <w:top w:val="single" w:color="auto" w:sz="4" w:space="0"/>
              <w:left w:val="single" w:color="auto" w:sz="4" w:space="0"/>
              <w:bottom w:val="single" w:color="auto" w:sz="4" w:space="0"/>
              <w:right w:val="single" w:color="auto" w:sz="4" w:space="0"/>
            </w:tcBorders>
            <w:vAlign w:val="center"/>
          </w:tcPr>
          <w:p w14:paraId="5FA8847B">
            <w:pPr>
              <w:rPr>
                <w:color w:val="000000"/>
              </w:rPr>
            </w:pPr>
          </w:p>
        </w:tc>
        <w:tc>
          <w:tcPr>
            <w:tcW w:w="1197" w:type="pct"/>
            <w:tcBorders>
              <w:top w:val="single" w:color="auto" w:sz="4" w:space="0"/>
              <w:left w:val="single" w:color="auto" w:sz="4" w:space="0"/>
              <w:bottom w:val="single" w:color="auto" w:sz="4" w:space="0"/>
            </w:tcBorders>
            <w:vAlign w:val="center"/>
          </w:tcPr>
          <w:p w14:paraId="60811BF6">
            <w:pPr>
              <w:rPr>
                <w:color w:val="000000"/>
              </w:rPr>
            </w:pPr>
          </w:p>
        </w:tc>
        <w:tc>
          <w:tcPr>
            <w:tcW w:w="945" w:type="pct"/>
            <w:vAlign w:val="center"/>
          </w:tcPr>
          <w:p w14:paraId="63BEE824">
            <w:pPr>
              <w:rPr>
                <w:color w:val="000000"/>
              </w:rPr>
            </w:pPr>
          </w:p>
        </w:tc>
        <w:tc>
          <w:tcPr>
            <w:tcW w:w="1086" w:type="pct"/>
            <w:vAlign w:val="center"/>
          </w:tcPr>
          <w:p w14:paraId="55E97952">
            <w:pPr>
              <w:rPr>
                <w:color w:val="000000"/>
              </w:rPr>
            </w:pPr>
          </w:p>
        </w:tc>
        <w:tc>
          <w:tcPr>
            <w:tcW w:w="966" w:type="pct"/>
            <w:vAlign w:val="center"/>
          </w:tcPr>
          <w:p w14:paraId="09B87D5F">
            <w:pPr>
              <w:rPr>
                <w:color w:val="000000"/>
              </w:rPr>
            </w:pPr>
          </w:p>
        </w:tc>
      </w:tr>
      <w:tr w14:paraId="376D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06" w:type="pct"/>
            <w:tcBorders>
              <w:top w:val="single" w:color="auto" w:sz="4" w:space="0"/>
              <w:left w:val="single" w:color="auto" w:sz="4" w:space="0"/>
              <w:bottom w:val="single" w:color="auto" w:sz="4" w:space="0"/>
              <w:right w:val="single" w:color="auto" w:sz="4" w:space="0"/>
            </w:tcBorders>
            <w:vAlign w:val="center"/>
          </w:tcPr>
          <w:p w14:paraId="71978DB2">
            <w:pPr>
              <w:rPr>
                <w:color w:val="000000"/>
              </w:rPr>
            </w:pPr>
          </w:p>
        </w:tc>
        <w:tc>
          <w:tcPr>
            <w:tcW w:w="1197" w:type="pct"/>
            <w:tcBorders>
              <w:top w:val="single" w:color="auto" w:sz="4" w:space="0"/>
              <w:left w:val="single" w:color="auto" w:sz="4" w:space="0"/>
              <w:bottom w:val="single" w:color="auto" w:sz="4" w:space="0"/>
            </w:tcBorders>
            <w:vAlign w:val="center"/>
          </w:tcPr>
          <w:p w14:paraId="0ED612B3">
            <w:pPr>
              <w:rPr>
                <w:color w:val="000000"/>
              </w:rPr>
            </w:pPr>
          </w:p>
        </w:tc>
        <w:tc>
          <w:tcPr>
            <w:tcW w:w="945" w:type="pct"/>
            <w:vAlign w:val="center"/>
          </w:tcPr>
          <w:p w14:paraId="5C0A4EF0">
            <w:pPr>
              <w:rPr>
                <w:color w:val="000000"/>
              </w:rPr>
            </w:pPr>
          </w:p>
        </w:tc>
        <w:tc>
          <w:tcPr>
            <w:tcW w:w="1086" w:type="pct"/>
            <w:vAlign w:val="center"/>
          </w:tcPr>
          <w:p w14:paraId="426E01B0">
            <w:pPr>
              <w:rPr>
                <w:color w:val="000000"/>
              </w:rPr>
            </w:pPr>
          </w:p>
        </w:tc>
        <w:tc>
          <w:tcPr>
            <w:tcW w:w="966" w:type="pct"/>
            <w:vAlign w:val="center"/>
          </w:tcPr>
          <w:p w14:paraId="244E26EE">
            <w:pPr>
              <w:rPr>
                <w:color w:val="000000"/>
              </w:rPr>
            </w:pPr>
          </w:p>
        </w:tc>
      </w:tr>
    </w:tbl>
    <w:p w14:paraId="6D3B3A8F">
      <w:pPr>
        <w:rPr>
          <w:color w:val="000000"/>
        </w:rPr>
      </w:pPr>
    </w:p>
    <w:p w14:paraId="6E2B1CB1">
      <w:pPr>
        <w:ind w:firstLine="724" w:firstLineChars="400"/>
        <w:jc w:val="left"/>
        <w:rPr>
          <w:color w:val="000000"/>
          <w:sz w:val="18"/>
          <w:szCs w:val="18"/>
        </w:rPr>
      </w:pPr>
      <w:r>
        <w:rPr>
          <w:rFonts w:hint="eastAsia"/>
          <w:color w:val="000000"/>
          <w:sz w:val="18"/>
          <w:szCs w:val="18"/>
        </w:rPr>
        <w:t>提供相应合同首页及盖章页复印</w:t>
      </w:r>
    </w:p>
    <w:p w14:paraId="1319AB53"/>
    <w:p w14:paraId="0DDEACD7"/>
    <w:p w14:paraId="6B4FFE56"/>
    <w:p w14:paraId="794F2519"/>
    <w:p w14:paraId="0C7AAA07"/>
    <w:p w14:paraId="4D94E981">
      <w:r>
        <w:br w:type="page"/>
      </w:r>
    </w:p>
    <w:p w14:paraId="1FBCB739"/>
    <w:p w14:paraId="6827F721">
      <w:pPr>
        <w:numPr>
          <w:ilvl w:val="0"/>
          <w:numId w:val="3"/>
        </w:numPr>
        <w:adjustRightInd w:val="0"/>
        <w:snapToGrid w:val="0"/>
        <w:spacing w:line="360" w:lineRule="auto"/>
        <w:jc w:val="left"/>
        <w:outlineLvl w:val="1"/>
        <w:rPr>
          <w:b/>
          <w:bCs/>
          <w:sz w:val="22"/>
        </w:rPr>
      </w:pPr>
      <w:r>
        <w:rPr>
          <w:rFonts w:hint="eastAsia"/>
          <w:b/>
          <w:bCs/>
          <w:sz w:val="22"/>
        </w:rPr>
        <w:t>其他材料。</w:t>
      </w:r>
    </w:p>
    <w:p w14:paraId="77B4E7F1"/>
    <w:p w14:paraId="1ED1C887"/>
    <w:p w14:paraId="0C6CDA99"/>
    <w:p w14:paraId="74846481"/>
    <w:p w14:paraId="74BB2A9C"/>
    <w:p w14:paraId="73B35591">
      <w:pPr>
        <w:pStyle w:val="27"/>
      </w:pPr>
    </w:p>
    <w:p w14:paraId="001C5356">
      <w:pPr>
        <w:pStyle w:val="27"/>
      </w:pPr>
    </w:p>
    <w:p w14:paraId="0B929A43"/>
    <w:p w14:paraId="25DDB4BF">
      <w:pPr>
        <w:rPr>
          <w:b/>
          <w:bCs/>
          <w:sz w:val="22"/>
        </w:rPr>
      </w:pPr>
      <w:r>
        <w:rPr>
          <w:rFonts w:hint="eastAsia"/>
          <w:b/>
          <w:bCs/>
          <w:sz w:val="22"/>
        </w:rPr>
        <w:br w:type="page"/>
      </w:r>
    </w:p>
    <w:p w14:paraId="2E1E93DD">
      <w:pPr>
        <w:numPr>
          <w:ilvl w:val="0"/>
          <w:numId w:val="3"/>
        </w:numPr>
        <w:adjustRightInd w:val="0"/>
        <w:snapToGrid w:val="0"/>
        <w:spacing w:line="360" w:lineRule="auto"/>
        <w:jc w:val="left"/>
        <w:outlineLvl w:val="1"/>
        <w:rPr>
          <w:b/>
          <w:bCs/>
          <w:sz w:val="22"/>
        </w:rPr>
      </w:pPr>
      <w:r>
        <w:rPr>
          <w:rFonts w:hint="eastAsia"/>
          <w:b/>
          <w:bCs/>
          <w:sz w:val="22"/>
        </w:rPr>
        <w:t>投标报价清单。</w:t>
      </w:r>
    </w:p>
    <w:p w14:paraId="2BDD750B">
      <w:pPr>
        <w:adjustRightInd w:val="0"/>
        <w:snapToGrid w:val="0"/>
        <w:spacing w:line="360" w:lineRule="auto"/>
        <w:jc w:val="center"/>
        <w:outlineLvl w:val="1"/>
        <w:rPr>
          <w:color w:val="FF0000"/>
          <w:sz w:val="22"/>
        </w:rPr>
      </w:pPr>
      <w:r>
        <w:rPr>
          <w:rFonts w:hint="eastAsia"/>
          <w:b/>
          <w:bCs/>
          <w:sz w:val="22"/>
        </w:rPr>
        <w:t>投标报价一览表</w:t>
      </w:r>
    </w:p>
    <w:tbl>
      <w:tblPr>
        <w:tblStyle w:val="20"/>
        <w:tblW w:w="866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034"/>
        <w:gridCol w:w="3833"/>
        <w:gridCol w:w="1718"/>
        <w:gridCol w:w="2084"/>
      </w:tblGrid>
      <w:tr w14:paraId="3889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46" w:hRule="atLeast"/>
          <w:tblHeader/>
        </w:trPr>
        <w:tc>
          <w:tcPr>
            <w:tcW w:w="1034" w:type="dxa"/>
            <w:tcBorders>
              <w:tl2br w:val="nil"/>
              <w:tr2bl w:val="nil"/>
            </w:tcBorders>
            <w:shd w:val="clear" w:color="auto" w:fill="F2F2F2"/>
            <w:vAlign w:val="center"/>
          </w:tcPr>
          <w:p w14:paraId="25C0EC9F">
            <w:pPr>
              <w:widowControl/>
              <w:spacing w:line="336" w:lineRule="atLeast"/>
              <w:jc w:val="center"/>
              <w:rPr>
                <w:rFonts w:ascii="华文仿宋" w:hAnsi="华文仿宋" w:eastAsia="华文仿宋" w:cs="华文仿宋"/>
                <w:b/>
                <w:bCs/>
                <w:color w:val="000000"/>
                <w:sz w:val="19"/>
                <w:szCs w:val="19"/>
              </w:rPr>
            </w:pPr>
            <w:r>
              <w:rPr>
                <w:rFonts w:hint="eastAsia" w:ascii="华文仿宋" w:hAnsi="华文仿宋" w:eastAsia="华文仿宋" w:cs="华文仿宋"/>
                <w:b/>
                <w:bCs/>
                <w:color w:val="000000"/>
                <w:kern w:val="0"/>
                <w:sz w:val="19"/>
                <w:szCs w:val="19"/>
                <w:lang w:bidi="ar"/>
              </w:rPr>
              <w:t>序号</w:t>
            </w:r>
          </w:p>
        </w:tc>
        <w:tc>
          <w:tcPr>
            <w:tcW w:w="3833" w:type="dxa"/>
            <w:tcBorders>
              <w:tl2br w:val="nil"/>
              <w:tr2bl w:val="nil"/>
            </w:tcBorders>
            <w:shd w:val="clear" w:color="auto" w:fill="F2F2F2"/>
            <w:vAlign w:val="center"/>
          </w:tcPr>
          <w:p w14:paraId="57D2DDCB">
            <w:pPr>
              <w:widowControl/>
              <w:spacing w:line="336" w:lineRule="atLeast"/>
              <w:jc w:val="center"/>
              <w:rPr>
                <w:rFonts w:ascii="华文仿宋" w:hAnsi="华文仿宋" w:eastAsia="华文仿宋" w:cs="华文仿宋"/>
                <w:b/>
                <w:bCs/>
                <w:color w:val="000000"/>
                <w:sz w:val="19"/>
                <w:szCs w:val="19"/>
              </w:rPr>
            </w:pPr>
            <w:r>
              <w:rPr>
                <w:rFonts w:hint="eastAsia" w:ascii="华文仿宋" w:hAnsi="华文仿宋" w:eastAsia="华文仿宋" w:cs="华文仿宋"/>
                <w:b/>
                <w:bCs/>
                <w:color w:val="000000"/>
                <w:kern w:val="0"/>
                <w:sz w:val="19"/>
                <w:szCs w:val="19"/>
                <w:lang w:bidi="ar"/>
              </w:rPr>
              <w:t>服务项目</w:t>
            </w:r>
          </w:p>
        </w:tc>
        <w:tc>
          <w:tcPr>
            <w:tcW w:w="1718" w:type="dxa"/>
            <w:tcBorders>
              <w:tl2br w:val="nil"/>
              <w:tr2bl w:val="nil"/>
            </w:tcBorders>
            <w:shd w:val="clear" w:color="auto" w:fill="F2F2F2"/>
            <w:vAlign w:val="center"/>
          </w:tcPr>
          <w:p w14:paraId="7B05E2D2">
            <w:pPr>
              <w:widowControl/>
              <w:spacing w:line="336" w:lineRule="atLeast"/>
              <w:jc w:val="center"/>
              <w:rPr>
                <w:rFonts w:ascii="华文仿宋" w:hAnsi="华文仿宋" w:eastAsia="华文仿宋" w:cs="华文仿宋"/>
                <w:b/>
                <w:bCs/>
                <w:color w:val="000000"/>
                <w:kern w:val="0"/>
                <w:sz w:val="19"/>
                <w:szCs w:val="19"/>
                <w:lang w:bidi="ar"/>
              </w:rPr>
            </w:pPr>
            <w:r>
              <w:rPr>
                <w:rFonts w:hint="eastAsia" w:ascii="华文仿宋" w:hAnsi="华文仿宋" w:eastAsia="华文仿宋" w:cs="华文仿宋"/>
                <w:b/>
                <w:bCs/>
                <w:color w:val="000000"/>
                <w:kern w:val="0"/>
                <w:sz w:val="19"/>
                <w:szCs w:val="19"/>
                <w:lang w:bidi="ar"/>
              </w:rPr>
              <w:t>报价</w:t>
            </w:r>
          </w:p>
          <w:p w14:paraId="2CE09785">
            <w:pPr>
              <w:widowControl/>
              <w:spacing w:line="336" w:lineRule="atLeast"/>
              <w:jc w:val="center"/>
              <w:rPr>
                <w:rFonts w:ascii="华文仿宋" w:hAnsi="华文仿宋" w:eastAsia="华文仿宋" w:cs="华文仿宋"/>
                <w:b/>
                <w:bCs/>
                <w:color w:val="000000"/>
                <w:sz w:val="19"/>
                <w:szCs w:val="19"/>
              </w:rPr>
            </w:pPr>
            <w:r>
              <w:rPr>
                <w:rFonts w:hint="eastAsia" w:ascii="华文仿宋" w:hAnsi="华文仿宋" w:eastAsia="华文仿宋" w:cs="华文仿宋"/>
                <w:b/>
                <w:bCs/>
                <w:color w:val="000000"/>
                <w:kern w:val="0"/>
                <w:sz w:val="19"/>
                <w:szCs w:val="19"/>
                <w:lang w:bidi="ar"/>
              </w:rPr>
              <w:t>总价上限(元)</w:t>
            </w:r>
          </w:p>
        </w:tc>
        <w:tc>
          <w:tcPr>
            <w:tcW w:w="2084" w:type="dxa"/>
            <w:tcBorders>
              <w:tl2br w:val="nil"/>
              <w:tr2bl w:val="nil"/>
            </w:tcBorders>
            <w:shd w:val="clear" w:color="auto" w:fill="F2F2F2"/>
            <w:vAlign w:val="center"/>
          </w:tcPr>
          <w:p w14:paraId="31DD263A">
            <w:pPr>
              <w:widowControl/>
              <w:spacing w:line="336" w:lineRule="atLeast"/>
              <w:jc w:val="center"/>
              <w:rPr>
                <w:rFonts w:ascii="华文仿宋" w:hAnsi="华文仿宋" w:eastAsia="华文仿宋" w:cs="华文仿宋"/>
                <w:b/>
                <w:bCs/>
                <w:color w:val="000000"/>
                <w:kern w:val="0"/>
                <w:sz w:val="19"/>
                <w:szCs w:val="19"/>
                <w:lang w:bidi="ar"/>
              </w:rPr>
            </w:pPr>
            <w:r>
              <w:rPr>
                <w:rFonts w:hint="eastAsia" w:ascii="华文仿宋" w:hAnsi="华文仿宋" w:eastAsia="华文仿宋" w:cs="华文仿宋"/>
                <w:b/>
                <w:bCs/>
                <w:color w:val="000000"/>
                <w:kern w:val="0"/>
                <w:sz w:val="19"/>
                <w:szCs w:val="19"/>
                <w:lang w:bidi="ar"/>
              </w:rPr>
              <w:t>响应报价</w:t>
            </w:r>
          </w:p>
          <w:p w14:paraId="46519DDF">
            <w:pPr>
              <w:widowControl/>
              <w:spacing w:line="336" w:lineRule="atLeast"/>
              <w:jc w:val="center"/>
              <w:rPr>
                <w:rFonts w:ascii="华文仿宋" w:hAnsi="华文仿宋" w:eastAsia="华文仿宋" w:cs="华文仿宋"/>
                <w:b/>
                <w:bCs/>
                <w:color w:val="000000"/>
                <w:kern w:val="0"/>
                <w:sz w:val="19"/>
                <w:szCs w:val="19"/>
                <w:lang w:bidi="ar"/>
              </w:rPr>
            </w:pPr>
            <w:r>
              <w:rPr>
                <w:rFonts w:hint="eastAsia" w:ascii="华文仿宋" w:hAnsi="华文仿宋" w:eastAsia="华文仿宋" w:cs="华文仿宋"/>
                <w:b/>
                <w:bCs/>
                <w:color w:val="000000"/>
                <w:kern w:val="0"/>
                <w:sz w:val="19"/>
                <w:szCs w:val="19"/>
                <w:lang w:bidi="ar"/>
              </w:rPr>
              <w:t>总价（元）</w:t>
            </w:r>
          </w:p>
        </w:tc>
      </w:tr>
      <w:tr w14:paraId="3332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27" w:hRule="atLeast"/>
        </w:trPr>
        <w:tc>
          <w:tcPr>
            <w:tcW w:w="1034" w:type="dxa"/>
            <w:tcBorders>
              <w:tl2br w:val="nil"/>
              <w:tr2bl w:val="nil"/>
            </w:tcBorders>
            <w:shd w:val="clear" w:color="auto" w:fill="FFFFFF"/>
          </w:tcPr>
          <w:p w14:paraId="41E7B6F9">
            <w:pPr>
              <w:jc w:val="center"/>
            </w:pPr>
            <w:r>
              <w:rPr>
                <w:rFonts w:hint="eastAsia"/>
              </w:rPr>
              <w:t>1</w:t>
            </w:r>
          </w:p>
        </w:tc>
        <w:tc>
          <w:tcPr>
            <w:tcW w:w="3833" w:type="dxa"/>
            <w:tcBorders>
              <w:tl2br w:val="nil"/>
              <w:tr2bl w:val="nil"/>
            </w:tcBorders>
            <w:shd w:val="clear" w:color="auto" w:fill="FFFFFF"/>
          </w:tcPr>
          <w:p w14:paraId="4FBBA932">
            <w:r>
              <w:t>发行架构法律及监管合规分析</w:t>
            </w:r>
          </w:p>
        </w:tc>
        <w:tc>
          <w:tcPr>
            <w:tcW w:w="1718" w:type="dxa"/>
            <w:vMerge w:val="restart"/>
            <w:tcBorders>
              <w:tl2br w:val="nil"/>
              <w:tr2bl w:val="nil"/>
            </w:tcBorders>
            <w:shd w:val="clear" w:color="auto" w:fill="FFFFFF"/>
            <w:vAlign w:val="center"/>
          </w:tcPr>
          <w:p w14:paraId="0EA1580D">
            <w:pPr>
              <w:widowControl/>
              <w:spacing w:line="336" w:lineRule="atLeast"/>
              <w:jc w:val="center"/>
              <w:rPr>
                <w:rFonts w:ascii="华文仿宋" w:hAnsi="华文仿宋" w:eastAsia="华文仿宋" w:cs="华文仿宋"/>
                <w:color w:val="000000"/>
                <w:sz w:val="19"/>
                <w:szCs w:val="19"/>
              </w:rPr>
            </w:pPr>
            <w:r>
              <w:rPr>
                <w:rFonts w:hint="eastAsia" w:ascii="华文仿宋" w:hAnsi="华文仿宋" w:eastAsia="华文仿宋" w:cs="华文仿宋"/>
                <w:color w:val="000000"/>
                <w:sz w:val="19"/>
                <w:szCs w:val="19"/>
              </w:rPr>
              <w:t>8</w:t>
            </w:r>
            <w:r>
              <w:rPr>
                <w:rFonts w:ascii="华文仿宋" w:hAnsi="华文仿宋" w:eastAsia="华文仿宋" w:cs="华文仿宋"/>
                <w:color w:val="000000"/>
                <w:sz w:val="19"/>
                <w:szCs w:val="19"/>
              </w:rPr>
              <w:t>00,000.00</w:t>
            </w:r>
          </w:p>
        </w:tc>
        <w:tc>
          <w:tcPr>
            <w:tcW w:w="2084" w:type="dxa"/>
            <w:vMerge w:val="restart"/>
            <w:tcBorders>
              <w:tl2br w:val="nil"/>
              <w:tr2bl w:val="nil"/>
            </w:tcBorders>
            <w:shd w:val="clear" w:color="auto" w:fill="FFFFFF"/>
            <w:vAlign w:val="center"/>
          </w:tcPr>
          <w:p w14:paraId="318A89B9">
            <w:pPr>
              <w:widowControl/>
              <w:spacing w:line="336" w:lineRule="atLeast"/>
              <w:jc w:val="center"/>
              <w:rPr>
                <w:rFonts w:ascii="华文仿宋" w:hAnsi="华文仿宋" w:eastAsia="华文仿宋" w:cs="华文仿宋"/>
                <w:color w:val="000000"/>
                <w:kern w:val="0"/>
                <w:sz w:val="19"/>
                <w:szCs w:val="19"/>
                <w:lang w:bidi="ar"/>
              </w:rPr>
            </w:pPr>
          </w:p>
        </w:tc>
      </w:tr>
      <w:tr w14:paraId="1367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27" w:hRule="atLeast"/>
        </w:trPr>
        <w:tc>
          <w:tcPr>
            <w:tcW w:w="1034" w:type="dxa"/>
            <w:tcBorders>
              <w:tl2br w:val="nil"/>
              <w:tr2bl w:val="nil"/>
            </w:tcBorders>
            <w:shd w:val="clear" w:color="auto" w:fill="FFFFFF"/>
          </w:tcPr>
          <w:p w14:paraId="159482C9">
            <w:pPr>
              <w:jc w:val="center"/>
            </w:pPr>
            <w:r>
              <w:rPr>
                <w:rFonts w:hint="eastAsia"/>
              </w:rPr>
              <w:t>2</w:t>
            </w:r>
          </w:p>
        </w:tc>
        <w:tc>
          <w:tcPr>
            <w:tcW w:w="3833" w:type="dxa"/>
            <w:tcBorders>
              <w:tl2br w:val="nil"/>
              <w:tr2bl w:val="nil"/>
            </w:tcBorders>
            <w:shd w:val="clear" w:color="auto" w:fill="FFFFFF"/>
          </w:tcPr>
          <w:p w14:paraId="58EFAE9B">
            <w:r>
              <w:t>审阅Term Sheet法律分析</w:t>
            </w:r>
          </w:p>
        </w:tc>
        <w:tc>
          <w:tcPr>
            <w:tcW w:w="1718" w:type="dxa"/>
            <w:vMerge w:val="continue"/>
            <w:tcBorders>
              <w:tl2br w:val="nil"/>
              <w:tr2bl w:val="nil"/>
            </w:tcBorders>
            <w:shd w:val="clear" w:color="auto" w:fill="FFFFFF"/>
            <w:vAlign w:val="center"/>
          </w:tcPr>
          <w:p w14:paraId="5B80D60C">
            <w:pPr>
              <w:widowControl/>
              <w:spacing w:line="336" w:lineRule="atLeast"/>
              <w:jc w:val="center"/>
              <w:rPr>
                <w:rFonts w:ascii="华文仿宋" w:hAnsi="华文仿宋" w:eastAsia="华文仿宋" w:cs="华文仿宋"/>
                <w:color w:val="000000"/>
                <w:sz w:val="19"/>
                <w:szCs w:val="19"/>
              </w:rPr>
            </w:pPr>
          </w:p>
        </w:tc>
        <w:tc>
          <w:tcPr>
            <w:tcW w:w="2084" w:type="dxa"/>
            <w:vMerge w:val="continue"/>
            <w:tcBorders>
              <w:tl2br w:val="nil"/>
              <w:tr2bl w:val="nil"/>
            </w:tcBorders>
            <w:shd w:val="clear" w:color="auto" w:fill="FFFFFF"/>
            <w:vAlign w:val="center"/>
          </w:tcPr>
          <w:p w14:paraId="1AD6B07C">
            <w:pPr>
              <w:widowControl/>
              <w:spacing w:line="336" w:lineRule="atLeast"/>
              <w:jc w:val="center"/>
              <w:rPr>
                <w:rFonts w:ascii="华文仿宋" w:hAnsi="华文仿宋" w:eastAsia="华文仿宋" w:cs="华文仿宋"/>
                <w:color w:val="000000"/>
                <w:kern w:val="0"/>
                <w:sz w:val="19"/>
                <w:szCs w:val="19"/>
                <w:lang w:bidi="ar"/>
              </w:rPr>
            </w:pPr>
          </w:p>
        </w:tc>
      </w:tr>
      <w:tr w14:paraId="005E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27" w:hRule="atLeast"/>
        </w:trPr>
        <w:tc>
          <w:tcPr>
            <w:tcW w:w="1034" w:type="dxa"/>
            <w:tcBorders>
              <w:tl2br w:val="nil"/>
              <w:tr2bl w:val="nil"/>
            </w:tcBorders>
            <w:shd w:val="clear" w:color="auto" w:fill="FFFFFF"/>
          </w:tcPr>
          <w:p w14:paraId="299422F8">
            <w:pPr>
              <w:jc w:val="center"/>
            </w:pPr>
            <w:r>
              <w:rPr>
                <w:rFonts w:hint="eastAsia"/>
              </w:rPr>
              <w:t>3</w:t>
            </w:r>
          </w:p>
        </w:tc>
        <w:tc>
          <w:tcPr>
            <w:tcW w:w="3833" w:type="dxa"/>
            <w:tcBorders>
              <w:tl2br w:val="nil"/>
              <w:tr2bl w:val="nil"/>
            </w:tcBorders>
            <w:shd w:val="clear" w:color="auto" w:fill="FFFFFF"/>
          </w:tcPr>
          <w:p w14:paraId="6077F9BF">
            <w:r>
              <w:t>对接境内监管</w:t>
            </w:r>
            <w:r>
              <w:rPr>
                <w:rFonts w:hint="eastAsia"/>
              </w:rPr>
              <w:t>部门</w:t>
            </w:r>
            <w:r>
              <w:t>并</w:t>
            </w:r>
            <w:r>
              <w:rPr>
                <w:rFonts w:hint="eastAsia"/>
              </w:rPr>
              <w:t>进行沟通</w:t>
            </w:r>
          </w:p>
        </w:tc>
        <w:tc>
          <w:tcPr>
            <w:tcW w:w="1718" w:type="dxa"/>
            <w:vMerge w:val="continue"/>
            <w:tcBorders>
              <w:tl2br w:val="nil"/>
              <w:tr2bl w:val="nil"/>
            </w:tcBorders>
            <w:shd w:val="clear" w:color="auto" w:fill="FFFFFF"/>
            <w:vAlign w:val="center"/>
          </w:tcPr>
          <w:p w14:paraId="48A22F79">
            <w:pPr>
              <w:widowControl/>
              <w:spacing w:line="336" w:lineRule="atLeast"/>
              <w:jc w:val="center"/>
              <w:rPr>
                <w:rFonts w:ascii="华文仿宋" w:hAnsi="华文仿宋" w:eastAsia="华文仿宋" w:cs="华文仿宋"/>
                <w:color w:val="000000"/>
                <w:sz w:val="19"/>
                <w:szCs w:val="19"/>
              </w:rPr>
            </w:pPr>
          </w:p>
        </w:tc>
        <w:tc>
          <w:tcPr>
            <w:tcW w:w="2084" w:type="dxa"/>
            <w:vMerge w:val="continue"/>
            <w:tcBorders>
              <w:tl2br w:val="nil"/>
              <w:tr2bl w:val="nil"/>
            </w:tcBorders>
            <w:shd w:val="clear" w:color="auto" w:fill="FFFFFF"/>
            <w:vAlign w:val="center"/>
          </w:tcPr>
          <w:p w14:paraId="486E5D96">
            <w:pPr>
              <w:widowControl/>
              <w:spacing w:line="336" w:lineRule="atLeast"/>
              <w:jc w:val="center"/>
              <w:rPr>
                <w:rFonts w:ascii="华文仿宋" w:hAnsi="华文仿宋" w:eastAsia="华文仿宋" w:cs="华文仿宋"/>
                <w:color w:val="000000"/>
                <w:kern w:val="0"/>
                <w:sz w:val="19"/>
                <w:szCs w:val="19"/>
                <w:lang w:bidi="ar"/>
              </w:rPr>
            </w:pPr>
          </w:p>
        </w:tc>
      </w:tr>
      <w:tr w14:paraId="63D0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6" w:hRule="atLeast"/>
        </w:trPr>
        <w:tc>
          <w:tcPr>
            <w:tcW w:w="1034" w:type="dxa"/>
            <w:tcBorders>
              <w:tl2br w:val="nil"/>
              <w:tr2bl w:val="nil"/>
            </w:tcBorders>
            <w:shd w:val="clear" w:color="auto" w:fill="FFFFFF"/>
          </w:tcPr>
          <w:p w14:paraId="5399173A">
            <w:pPr>
              <w:jc w:val="center"/>
            </w:pPr>
            <w:r>
              <w:rPr>
                <w:rFonts w:hint="eastAsia"/>
              </w:rPr>
              <w:t>4</w:t>
            </w:r>
          </w:p>
        </w:tc>
        <w:tc>
          <w:tcPr>
            <w:tcW w:w="3833" w:type="dxa"/>
            <w:tcBorders>
              <w:tl2br w:val="nil"/>
              <w:tr2bl w:val="nil"/>
            </w:tcBorders>
            <w:shd w:val="clear" w:color="auto" w:fill="FFFFFF"/>
          </w:tcPr>
          <w:p w14:paraId="38B5643F">
            <w:r>
              <w:t>拟备提交境内、外监管机构备案/审核文件</w:t>
            </w:r>
          </w:p>
        </w:tc>
        <w:tc>
          <w:tcPr>
            <w:tcW w:w="1718" w:type="dxa"/>
            <w:vMerge w:val="continue"/>
            <w:tcBorders>
              <w:tl2br w:val="nil"/>
              <w:tr2bl w:val="nil"/>
            </w:tcBorders>
            <w:shd w:val="clear" w:color="auto" w:fill="FFFFFF"/>
            <w:vAlign w:val="center"/>
          </w:tcPr>
          <w:p w14:paraId="7F11A79F">
            <w:pPr>
              <w:widowControl/>
              <w:spacing w:line="336" w:lineRule="atLeast"/>
              <w:jc w:val="center"/>
              <w:rPr>
                <w:rFonts w:ascii="华文仿宋" w:hAnsi="华文仿宋" w:eastAsia="华文仿宋" w:cs="华文仿宋"/>
                <w:color w:val="000000"/>
                <w:sz w:val="19"/>
                <w:szCs w:val="19"/>
              </w:rPr>
            </w:pPr>
          </w:p>
        </w:tc>
        <w:tc>
          <w:tcPr>
            <w:tcW w:w="2084" w:type="dxa"/>
            <w:vMerge w:val="continue"/>
            <w:tcBorders>
              <w:tl2br w:val="nil"/>
              <w:tr2bl w:val="nil"/>
            </w:tcBorders>
            <w:shd w:val="clear" w:color="auto" w:fill="FFFFFF"/>
            <w:vAlign w:val="center"/>
          </w:tcPr>
          <w:p w14:paraId="0F69548E">
            <w:pPr>
              <w:widowControl/>
              <w:spacing w:line="336" w:lineRule="atLeast"/>
              <w:jc w:val="center"/>
              <w:rPr>
                <w:rFonts w:ascii="华文仿宋" w:hAnsi="华文仿宋" w:eastAsia="华文仿宋" w:cs="华文仿宋"/>
                <w:color w:val="000000"/>
                <w:kern w:val="0"/>
                <w:sz w:val="19"/>
                <w:szCs w:val="19"/>
                <w:lang w:bidi="ar"/>
              </w:rPr>
            </w:pPr>
          </w:p>
        </w:tc>
      </w:tr>
      <w:tr w14:paraId="2D76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27" w:hRule="atLeast"/>
        </w:trPr>
        <w:tc>
          <w:tcPr>
            <w:tcW w:w="1034" w:type="dxa"/>
            <w:tcBorders>
              <w:tl2br w:val="nil"/>
              <w:tr2bl w:val="nil"/>
            </w:tcBorders>
            <w:shd w:val="clear" w:color="auto" w:fill="FFFFFF"/>
          </w:tcPr>
          <w:p w14:paraId="09ECB52B">
            <w:pPr>
              <w:jc w:val="center"/>
            </w:pPr>
            <w:r>
              <w:rPr>
                <w:rFonts w:hint="eastAsia"/>
              </w:rPr>
              <w:t>5</w:t>
            </w:r>
          </w:p>
        </w:tc>
        <w:tc>
          <w:tcPr>
            <w:tcW w:w="3833" w:type="dxa"/>
            <w:tcBorders>
              <w:tl2br w:val="nil"/>
              <w:tr2bl w:val="nil"/>
            </w:tcBorders>
            <w:shd w:val="clear" w:color="auto" w:fill="FFFFFF"/>
          </w:tcPr>
          <w:p w14:paraId="619F94AF">
            <w:r>
              <w:t>起草/审阅代币化技术服务协议</w:t>
            </w:r>
          </w:p>
        </w:tc>
        <w:tc>
          <w:tcPr>
            <w:tcW w:w="1718" w:type="dxa"/>
            <w:vMerge w:val="continue"/>
            <w:tcBorders>
              <w:tl2br w:val="nil"/>
              <w:tr2bl w:val="nil"/>
            </w:tcBorders>
            <w:shd w:val="clear" w:color="auto" w:fill="FFFFFF"/>
            <w:vAlign w:val="center"/>
          </w:tcPr>
          <w:p w14:paraId="5DC073F2">
            <w:pPr>
              <w:widowControl/>
              <w:spacing w:line="336" w:lineRule="atLeast"/>
              <w:jc w:val="center"/>
              <w:rPr>
                <w:rFonts w:ascii="华文仿宋" w:hAnsi="华文仿宋" w:eastAsia="华文仿宋" w:cs="华文仿宋"/>
                <w:color w:val="000000"/>
                <w:sz w:val="19"/>
                <w:szCs w:val="19"/>
              </w:rPr>
            </w:pPr>
          </w:p>
        </w:tc>
        <w:tc>
          <w:tcPr>
            <w:tcW w:w="2084" w:type="dxa"/>
            <w:vMerge w:val="continue"/>
            <w:tcBorders>
              <w:tl2br w:val="nil"/>
              <w:tr2bl w:val="nil"/>
            </w:tcBorders>
            <w:shd w:val="clear" w:color="auto" w:fill="FFFFFF"/>
            <w:vAlign w:val="center"/>
          </w:tcPr>
          <w:p w14:paraId="44FE7865">
            <w:pPr>
              <w:widowControl/>
              <w:spacing w:line="336" w:lineRule="atLeast"/>
              <w:jc w:val="center"/>
              <w:rPr>
                <w:rFonts w:ascii="华文仿宋" w:hAnsi="华文仿宋" w:eastAsia="华文仿宋" w:cs="华文仿宋"/>
                <w:color w:val="000000"/>
                <w:kern w:val="0"/>
                <w:sz w:val="19"/>
                <w:szCs w:val="19"/>
                <w:lang w:bidi="ar"/>
              </w:rPr>
            </w:pPr>
          </w:p>
        </w:tc>
      </w:tr>
      <w:tr w14:paraId="25D6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27" w:hRule="atLeast"/>
        </w:trPr>
        <w:tc>
          <w:tcPr>
            <w:tcW w:w="1034" w:type="dxa"/>
            <w:tcBorders>
              <w:tl2br w:val="nil"/>
              <w:tr2bl w:val="nil"/>
            </w:tcBorders>
            <w:shd w:val="clear" w:color="auto" w:fill="FFFFFF"/>
          </w:tcPr>
          <w:p w14:paraId="416CC7D1">
            <w:pPr>
              <w:jc w:val="center"/>
            </w:pPr>
            <w:r>
              <w:rPr>
                <w:rFonts w:hint="eastAsia"/>
              </w:rPr>
              <w:t>6</w:t>
            </w:r>
          </w:p>
        </w:tc>
        <w:tc>
          <w:tcPr>
            <w:tcW w:w="3833" w:type="dxa"/>
            <w:tcBorders>
              <w:tl2br w:val="nil"/>
              <w:tr2bl w:val="nil"/>
            </w:tcBorders>
            <w:shd w:val="clear" w:color="auto" w:fill="FFFFFF"/>
          </w:tcPr>
          <w:p w14:paraId="335EED8A">
            <w:r>
              <w:t>起草、审阅、谈判发行交易文件</w:t>
            </w:r>
          </w:p>
        </w:tc>
        <w:tc>
          <w:tcPr>
            <w:tcW w:w="1718" w:type="dxa"/>
            <w:vMerge w:val="continue"/>
            <w:tcBorders>
              <w:tl2br w:val="nil"/>
              <w:tr2bl w:val="nil"/>
            </w:tcBorders>
            <w:shd w:val="clear" w:color="auto" w:fill="FFFFFF"/>
            <w:vAlign w:val="center"/>
          </w:tcPr>
          <w:p w14:paraId="6CB0D72C">
            <w:pPr>
              <w:widowControl/>
              <w:spacing w:line="336" w:lineRule="atLeast"/>
              <w:jc w:val="center"/>
              <w:rPr>
                <w:rFonts w:ascii="华文仿宋" w:hAnsi="华文仿宋" w:eastAsia="华文仿宋" w:cs="华文仿宋"/>
                <w:color w:val="000000"/>
                <w:sz w:val="19"/>
                <w:szCs w:val="19"/>
              </w:rPr>
            </w:pPr>
          </w:p>
        </w:tc>
        <w:tc>
          <w:tcPr>
            <w:tcW w:w="2084" w:type="dxa"/>
            <w:vMerge w:val="continue"/>
            <w:tcBorders>
              <w:tl2br w:val="nil"/>
              <w:tr2bl w:val="nil"/>
            </w:tcBorders>
            <w:shd w:val="clear" w:color="auto" w:fill="FFFFFF"/>
            <w:vAlign w:val="center"/>
          </w:tcPr>
          <w:p w14:paraId="1F45F49F">
            <w:pPr>
              <w:widowControl/>
              <w:spacing w:line="336" w:lineRule="atLeast"/>
              <w:jc w:val="center"/>
              <w:rPr>
                <w:rFonts w:ascii="华文仿宋" w:hAnsi="华文仿宋" w:eastAsia="华文仿宋" w:cs="华文仿宋"/>
                <w:color w:val="000000"/>
                <w:kern w:val="0"/>
                <w:sz w:val="19"/>
                <w:szCs w:val="19"/>
                <w:lang w:bidi="ar"/>
              </w:rPr>
            </w:pPr>
          </w:p>
        </w:tc>
      </w:tr>
      <w:tr w14:paraId="2B30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41" w:hRule="atLeast"/>
        </w:trPr>
        <w:tc>
          <w:tcPr>
            <w:tcW w:w="1034" w:type="dxa"/>
            <w:tcBorders>
              <w:tl2br w:val="nil"/>
              <w:tr2bl w:val="nil"/>
            </w:tcBorders>
            <w:shd w:val="clear" w:color="auto" w:fill="FFFFFF"/>
          </w:tcPr>
          <w:p w14:paraId="3EC0206D">
            <w:pPr>
              <w:jc w:val="center"/>
            </w:pPr>
            <w:r>
              <w:rPr>
                <w:rFonts w:hint="eastAsia"/>
              </w:rPr>
              <w:t>7</w:t>
            </w:r>
          </w:p>
        </w:tc>
        <w:tc>
          <w:tcPr>
            <w:tcW w:w="3833" w:type="dxa"/>
            <w:tcBorders>
              <w:tl2br w:val="nil"/>
              <w:tr2bl w:val="nil"/>
            </w:tcBorders>
            <w:shd w:val="clear" w:color="auto" w:fill="FFFFFF"/>
          </w:tcPr>
          <w:p w14:paraId="2ED8CF3C">
            <w:r>
              <w:t>协助交易交割/结算法律支持</w:t>
            </w:r>
          </w:p>
        </w:tc>
        <w:tc>
          <w:tcPr>
            <w:tcW w:w="1718" w:type="dxa"/>
            <w:vMerge w:val="continue"/>
            <w:tcBorders>
              <w:tl2br w:val="nil"/>
              <w:tr2bl w:val="nil"/>
            </w:tcBorders>
            <w:shd w:val="clear" w:color="auto" w:fill="FFFFFF"/>
            <w:vAlign w:val="center"/>
          </w:tcPr>
          <w:p w14:paraId="79467463">
            <w:pPr>
              <w:widowControl/>
              <w:spacing w:line="336" w:lineRule="atLeast"/>
              <w:jc w:val="center"/>
              <w:rPr>
                <w:rFonts w:ascii="华文仿宋" w:hAnsi="华文仿宋" w:eastAsia="华文仿宋" w:cs="华文仿宋"/>
                <w:color w:val="000000"/>
                <w:sz w:val="19"/>
                <w:szCs w:val="19"/>
              </w:rPr>
            </w:pPr>
          </w:p>
        </w:tc>
        <w:tc>
          <w:tcPr>
            <w:tcW w:w="2084" w:type="dxa"/>
            <w:vMerge w:val="continue"/>
            <w:tcBorders>
              <w:tl2br w:val="nil"/>
              <w:tr2bl w:val="nil"/>
            </w:tcBorders>
            <w:shd w:val="clear" w:color="auto" w:fill="FFFFFF"/>
            <w:vAlign w:val="center"/>
          </w:tcPr>
          <w:p w14:paraId="258B0B96">
            <w:pPr>
              <w:widowControl/>
              <w:spacing w:line="336" w:lineRule="atLeast"/>
              <w:jc w:val="center"/>
              <w:rPr>
                <w:rFonts w:ascii="华文仿宋" w:hAnsi="华文仿宋" w:eastAsia="华文仿宋" w:cs="华文仿宋"/>
                <w:color w:val="000000"/>
                <w:kern w:val="0"/>
                <w:sz w:val="19"/>
                <w:szCs w:val="19"/>
                <w:lang w:bidi="ar"/>
              </w:rPr>
            </w:pPr>
          </w:p>
        </w:tc>
      </w:tr>
      <w:tr w14:paraId="51CF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48" w:hRule="atLeast"/>
        </w:trPr>
        <w:tc>
          <w:tcPr>
            <w:tcW w:w="1034" w:type="dxa"/>
            <w:tcBorders>
              <w:tl2br w:val="nil"/>
              <w:tr2bl w:val="nil"/>
            </w:tcBorders>
            <w:shd w:val="clear" w:color="auto" w:fill="FFFFFF"/>
          </w:tcPr>
          <w:p w14:paraId="2E458B18">
            <w:pPr>
              <w:jc w:val="center"/>
            </w:pPr>
            <w:r>
              <w:rPr>
                <w:rFonts w:hint="eastAsia"/>
              </w:rPr>
              <w:t>8</w:t>
            </w:r>
          </w:p>
        </w:tc>
        <w:tc>
          <w:tcPr>
            <w:tcW w:w="3833" w:type="dxa"/>
            <w:tcBorders>
              <w:tl2br w:val="nil"/>
              <w:tr2bl w:val="nil"/>
            </w:tcBorders>
            <w:shd w:val="clear" w:color="auto" w:fill="FFFFFF"/>
          </w:tcPr>
          <w:p w14:paraId="5DCE16C1">
            <w:r>
              <w:t>起草/审阅信息披露/发行文件合规章节</w:t>
            </w:r>
          </w:p>
        </w:tc>
        <w:tc>
          <w:tcPr>
            <w:tcW w:w="1718" w:type="dxa"/>
            <w:vMerge w:val="continue"/>
            <w:tcBorders>
              <w:tl2br w:val="nil"/>
              <w:tr2bl w:val="nil"/>
            </w:tcBorders>
            <w:shd w:val="clear" w:color="auto" w:fill="FFFFFF"/>
            <w:vAlign w:val="center"/>
          </w:tcPr>
          <w:p w14:paraId="3B88AFFB">
            <w:pPr>
              <w:widowControl/>
              <w:spacing w:line="336" w:lineRule="atLeast"/>
              <w:jc w:val="center"/>
              <w:rPr>
                <w:rFonts w:ascii="华文仿宋" w:hAnsi="华文仿宋" w:eastAsia="华文仿宋" w:cs="华文仿宋"/>
                <w:color w:val="000000"/>
                <w:sz w:val="19"/>
                <w:szCs w:val="19"/>
              </w:rPr>
            </w:pPr>
          </w:p>
        </w:tc>
        <w:tc>
          <w:tcPr>
            <w:tcW w:w="2084" w:type="dxa"/>
            <w:vMerge w:val="continue"/>
            <w:tcBorders>
              <w:tl2br w:val="nil"/>
              <w:tr2bl w:val="nil"/>
            </w:tcBorders>
            <w:shd w:val="clear" w:color="auto" w:fill="FFFFFF"/>
            <w:vAlign w:val="center"/>
          </w:tcPr>
          <w:p w14:paraId="5947E802">
            <w:pPr>
              <w:widowControl/>
              <w:spacing w:line="336" w:lineRule="atLeast"/>
              <w:jc w:val="center"/>
              <w:rPr>
                <w:rFonts w:ascii="华文仿宋" w:hAnsi="华文仿宋" w:eastAsia="华文仿宋" w:cs="华文仿宋"/>
                <w:color w:val="000000"/>
                <w:kern w:val="0"/>
                <w:sz w:val="19"/>
                <w:szCs w:val="19"/>
                <w:lang w:bidi="ar"/>
              </w:rPr>
            </w:pPr>
          </w:p>
        </w:tc>
      </w:tr>
      <w:tr w14:paraId="1EAF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48" w:hRule="atLeast"/>
        </w:trPr>
        <w:tc>
          <w:tcPr>
            <w:tcW w:w="8669" w:type="dxa"/>
            <w:gridSpan w:val="4"/>
            <w:tcBorders>
              <w:tl2br w:val="nil"/>
              <w:tr2bl w:val="nil"/>
            </w:tcBorders>
            <w:shd w:val="clear" w:color="auto" w:fill="FFFFFF"/>
          </w:tcPr>
          <w:p w14:paraId="59DD1213">
            <w:pPr>
              <w:rPr>
                <w:rFonts w:hint="default" w:ascii="华文仿宋" w:hAnsi="华文仿宋" w:eastAsia="华文仿宋" w:cs="华文仿宋"/>
                <w:color w:val="000000"/>
                <w:kern w:val="0"/>
                <w:sz w:val="19"/>
                <w:szCs w:val="19"/>
                <w:lang w:val="en-US" w:eastAsia="zh-CN" w:bidi="ar"/>
              </w:rPr>
            </w:pPr>
            <w:r>
              <w:rPr>
                <w:rFonts w:hint="eastAsia" w:ascii="华文仿宋" w:hAnsi="华文仿宋" w:eastAsia="华文仿宋" w:cs="华文仿宋"/>
                <w:color w:val="000000"/>
                <w:kern w:val="0"/>
                <w:sz w:val="19"/>
                <w:szCs w:val="19"/>
                <w:lang w:val="en-US" w:eastAsia="zh-CN" w:bidi="ar"/>
              </w:rPr>
              <w:t>备注：本报价包含相关税费</w:t>
            </w:r>
            <w:r>
              <w:rPr>
                <w:rFonts w:hint="eastAsia" w:ascii="华文仿宋" w:hAnsi="华文仿宋" w:eastAsia="华文仿宋" w:cs="华文仿宋"/>
                <w:color w:val="000000"/>
                <w:kern w:val="0"/>
                <w:sz w:val="19"/>
                <w:szCs w:val="19"/>
                <w:lang w:val="en-US" w:eastAsia="zh-CN" w:bidi="ar"/>
              </w:rPr>
              <w:br w:type="textWrapping"/>
            </w:r>
            <w:r>
              <w:rPr>
                <w:rFonts w:hint="eastAsia" w:ascii="华文仿宋" w:hAnsi="华文仿宋" w:eastAsia="华文仿宋" w:cs="华文仿宋"/>
                <w:color w:val="000000"/>
                <w:kern w:val="0"/>
                <w:sz w:val="19"/>
                <w:szCs w:val="19"/>
                <w:lang w:bidi="ar"/>
              </w:rPr>
              <w:t>服务期：自合同签订后6个月</w:t>
            </w:r>
            <w:r>
              <w:rPr>
                <w:rFonts w:hint="eastAsia" w:ascii="华文仿宋" w:hAnsi="华文仿宋" w:eastAsia="华文仿宋" w:cs="华文仿宋"/>
                <w:color w:val="000000"/>
                <w:kern w:val="0"/>
                <w:sz w:val="19"/>
                <w:szCs w:val="19"/>
                <w:lang w:val="en-US" w:eastAsia="zh-CN" w:bidi="ar"/>
              </w:rPr>
              <w:t>内完成相关服务</w:t>
            </w:r>
            <w:r>
              <w:rPr>
                <w:rFonts w:hint="eastAsia" w:ascii="华文仿宋" w:hAnsi="华文仿宋" w:eastAsia="华文仿宋" w:cs="华文仿宋"/>
                <w:color w:val="000000"/>
                <w:kern w:val="0"/>
                <w:sz w:val="19"/>
                <w:szCs w:val="19"/>
                <w:lang w:eastAsia="zh-CN" w:bidi="ar"/>
              </w:rPr>
              <w:t>。</w:t>
            </w:r>
          </w:p>
        </w:tc>
      </w:tr>
    </w:tbl>
    <w:p w14:paraId="3AB373E0">
      <w:pPr>
        <w:rPr>
          <w:rFonts w:hint="eastAsia" w:ascii="华文仿宋" w:hAnsi="华文仿宋" w:eastAsia="华文仿宋" w:cs="华文仿宋"/>
          <w:color w:val="000000"/>
          <w:kern w:val="0"/>
          <w:sz w:val="19"/>
          <w:szCs w:val="19"/>
          <w:lang w:bidi="ar"/>
        </w:rPr>
      </w:pPr>
    </w:p>
    <w:sectPr>
      <w:footerReference r:id="rId5" w:type="default"/>
      <w:pgSz w:w="11905" w:h="16838"/>
      <w:pgMar w:top="1440" w:right="1474" w:bottom="1440" w:left="1803" w:header="850" w:footer="992" w:gutter="0"/>
      <w:cols w:space="0" w:num="1"/>
      <w:docGrid w:type="linesAndChars" w:linePitch="312"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0000000000000000000"/>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0B79BE30">
    <w:panose1 w:val="02010609060101010101"/>
    <w:charset w:val="86"/>
    <w:family w:val="auto"/>
    <w:pitch w:val="default"/>
    <w:sig w:usb0="00000001" w:usb1="00000000" w:usb2="00000000" w:usb3="00000000" w:csb0="00040001" w:csb1="0000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96C">
    <w:pPr>
      <w:pStyle w:val="14"/>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A0E013">
                          <w:pPr>
                            <w:pStyle w:val="14"/>
                            <w:ind w:firstLine="360"/>
                            <w:jc w:val="center"/>
                          </w:pPr>
                        </w:p>
                        <w:p w14:paraId="19D27B3E">
                          <w:pPr>
                            <w:ind w:firstLine="42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9A0E013">
                    <w:pPr>
                      <w:pStyle w:val="14"/>
                      <w:ind w:firstLine="360"/>
                      <w:jc w:val="center"/>
                    </w:pPr>
                  </w:p>
                  <w:p w14:paraId="19D27B3E">
                    <w:pPr>
                      <w:ind w:firstLine="420"/>
                    </w:pPr>
                  </w:p>
                </w:txbxContent>
              </v:textbox>
            </v:shape>
          </w:pict>
        </mc:Fallback>
      </mc:AlternateContent>
    </w:r>
  </w:p>
  <w:p w14:paraId="04FA6ED7">
    <w:pPr>
      <w:pStyle w:val="1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2563D">
    <w:pPr>
      <w:pStyle w:val="1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p w14:paraId="2A9A981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74F6">
    <w:pPr>
      <w:pStyle w:val="15"/>
      <w:pBdr>
        <w:bottom w:val="none" w:color="auto" w:sz="0" w:space="0"/>
      </w:pBdr>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suff w:val="nothing"/>
      <w:lvlText w:val="%1."/>
      <w:lvlJc w:val="left"/>
      <w:pPr>
        <w:ind w:left="180"/>
      </w:pPr>
      <w:rPr>
        <w:rFonts w:hint="eastAsia" w:ascii="宋体" w:hAnsi="宋体" w:eastAsia="宋体"/>
        <w:b w:val="0"/>
        <w:bCs w:val="0"/>
        <w:i w:val="0"/>
        <w:iCs w:val="0"/>
        <w:caps w:val="0"/>
        <w:strike w:val="0"/>
        <w:dstrike w:val="0"/>
        <w:vanish w:val="0"/>
        <w:spacing w:val="0"/>
        <w:position w:val="0"/>
        <w:sz w:val="24"/>
        <w:szCs w:val="24"/>
        <w:vertAlign w:val="baseline"/>
      </w:rPr>
    </w:lvl>
    <w:lvl w:ilvl="1" w:tentative="0">
      <w:start w:val="1"/>
      <w:numFmt w:val="decimal"/>
      <w:pStyle w:val="40"/>
      <w:suff w:val="nothing"/>
      <w:lvlText w:val="%1.%2"/>
      <w:lvlJc w:val="left"/>
      <w:pPr>
        <w:ind w:left="4736" w:hanging="3836"/>
      </w:pPr>
      <w:rPr>
        <w:rFonts w:hint="eastAsia"/>
        <w:b w:val="0"/>
        <w:bCs w:val="0"/>
        <w:i w:val="0"/>
        <w:iCs w:val="0"/>
        <w:caps w:val="0"/>
        <w:smallCaps w:val="0"/>
        <w:strike w:val="0"/>
        <w:dstrike w:val="0"/>
        <w:vanish w:val="0"/>
        <w:spacing w:val="0"/>
        <w:position w:val="0"/>
        <w:sz w:val="24"/>
        <w:szCs w:val="24"/>
        <w:u w:val="none"/>
        <w:vertAlign w:val="baseline"/>
      </w:rPr>
    </w:lvl>
    <w:lvl w:ilvl="2" w:tentative="0">
      <w:start w:val="1"/>
      <w:numFmt w:val="decimal"/>
      <w:suff w:val="nothing"/>
      <w:lvlText w:val="%3）"/>
      <w:lvlJc w:val="left"/>
      <w:pPr>
        <w:ind w:left="890" w:hanging="170"/>
      </w:pPr>
      <w:rPr>
        <w:b w:val="0"/>
        <w:bCs w:val="0"/>
        <w:i w:val="0"/>
        <w:iCs w:val="0"/>
        <w:strike w:val="0"/>
        <w:color w:val="000000"/>
      </w:rPr>
    </w:lvl>
    <w:lvl w:ilvl="3" w:tentative="0">
      <w:start w:val="1"/>
      <w:numFmt w:val="decimal"/>
      <w:suff w:val="nothing"/>
      <w:lvlText w:val="%1.%2.%3.%4"/>
      <w:lvlJc w:val="left"/>
      <w:pPr>
        <w:ind w:left="284" w:hanging="227"/>
      </w:pPr>
      <w:rPr>
        <w:rFonts w:hint="eastAsia"/>
        <w:b w:val="0"/>
        <w:bCs w:val="0"/>
        <w:i w:val="0"/>
        <w:iCs w:val="0"/>
      </w:rPr>
    </w:lvl>
    <w:lvl w:ilvl="4" w:tentative="0">
      <w:start w:val="1"/>
      <w:numFmt w:val="decimal"/>
      <w:suff w:val="nothing"/>
      <w:lvlText w:val="%1.%2.%3.%4.%5"/>
      <w:lvlJc w:val="left"/>
      <w:pPr>
        <w:ind w:left="397" w:hanging="340"/>
      </w:pPr>
      <w:rPr>
        <w:rFonts w:hint="eastAsia" w:ascii="宋体" w:eastAsia="宋体"/>
        <w:b w:val="0"/>
        <w:bCs w:val="0"/>
        <w:i w:val="0"/>
        <w:iCs w:val="0"/>
        <w: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abstractNum w:abstractNumId="1">
    <w:nsid w:val="4753CAA0"/>
    <w:multiLevelType w:val="singleLevel"/>
    <w:tmpl w:val="4753CAA0"/>
    <w:lvl w:ilvl="0" w:tentative="0">
      <w:start w:val="5"/>
      <w:numFmt w:val="decimal"/>
      <w:lvlText w:val="%1."/>
      <w:lvlJc w:val="left"/>
      <w:pPr>
        <w:tabs>
          <w:tab w:val="left" w:pos="312"/>
        </w:tabs>
      </w:pPr>
    </w:lvl>
  </w:abstractNum>
  <w:abstractNum w:abstractNumId="2">
    <w:nsid w:val="6C34DF4A"/>
    <w:multiLevelType w:val="singleLevel"/>
    <w:tmpl w:val="6C34DF4A"/>
    <w:lvl w:ilvl="0" w:tentative="0">
      <w:start w:val="1"/>
      <w:numFmt w:val="decimal"/>
      <w:pStyle w:val="2"/>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1"/>
  <w:bordersDoNotSurroundFooter w:val="1"/>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6"/>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hNjcxMzA5Mzc3ZDYxNmFjMmMxOGI4OGQwNzQxZDcifQ=="/>
  </w:docVars>
  <w:rsids>
    <w:rsidRoot w:val="00172A27"/>
    <w:rsid w:val="00000BAC"/>
    <w:rsid w:val="00005A76"/>
    <w:rsid w:val="0001090C"/>
    <w:rsid w:val="000173E1"/>
    <w:rsid w:val="000246FC"/>
    <w:rsid w:val="000251B8"/>
    <w:rsid w:val="00026476"/>
    <w:rsid w:val="00026A62"/>
    <w:rsid w:val="00027C6B"/>
    <w:rsid w:val="00035E3F"/>
    <w:rsid w:val="000413DB"/>
    <w:rsid w:val="00042F35"/>
    <w:rsid w:val="000448EE"/>
    <w:rsid w:val="00051A6F"/>
    <w:rsid w:val="000535F5"/>
    <w:rsid w:val="000628EA"/>
    <w:rsid w:val="00063B82"/>
    <w:rsid w:val="00066931"/>
    <w:rsid w:val="000726D0"/>
    <w:rsid w:val="00073375"/>
    <w:rsid w:val="00073EA5"/>
    <w:rsid w:val="00076F85"/>
    <w:rsid w:val="00077256"/>
    <w:rsid w:val="000811D2"/>
    <w:rsid w:val="00081764"/>
    <w:rsid w:val="0008376C"/>
    <w:rsid w:val="00090F65"/>
    <w:rsid w:val="00092085"/>
    <w:rsid w:val="000927E9"/>
    <w:rsid w:val="00095863"/>
    <w:rsid w:val="000A149F"/>
    <w:rsid w:val="000A1CA8"/>
    <w:rsid w:val="000A63FA"/>
    <w:rsid w:val="000A7A83"/>
    <w:rsid w:val="000B16FE"/>
    <w:rsid w:val="000C5B58"/>
    <w:rsid w:val="000D0A9F"/>
    <w:rsid w:val="000D14E8"/>
    <w:rsid w:val="000E33C3"/>
    <w:rsid w:val="000E5DD5"/>
    <w:rsid w:val="000E7ED7"/>
    <w:rsid w:val="001002A8"/>
    <w:rsid w:val="00116081"/>
    <w:rsid w:val="00121E8F"/>
    <w:rsid w:val="00121EF6"/>
    <w:rsid w:val="00122A38"/>
    <w:rsid w:val="001319C7"/>
    <w:rsid w:val="0013286D"/>
    <w:rsid w:val="001527B1"/>
    <w:rsid w:val="00155BA9"/>
    <w:rsid w:val="001565E2"/>
    <w:rsid w:val="0016189F"/>
    <w:rsid w:val="001703B5"/>
    <w:rsid w:val="001717C6"/>
    <w:rsid w:val="00172A27"/>
    <w:rsid w:val="00176CB6"/>
    <w:rsid w:val="0018501D"/>
    <w:rsid w:val="00190B0B"/>
    <w:rsid w:val="00195BC5"/>
    <w:rsid w:val="001A3969"/>
    <w:rsid w:val="001B0494"/>
    <w:rsid w:val="001C02C0"/>
    <w:rsid w:val="001C519A"/>
    <w:rsid w:val="001E2926"/>
    <w:rsid w:val="001E6EF8"/>
    <w:rsid w:val="001E7D8F"/>
    <w:rsid w:val="001F2273"/>
    <w:rsid w:val="001F35B4"/>
    <w:rsid w:val="00202E1E"/>
    <w:rsid w:val="00203658"/>
    <w:rsid w:val="00204FD9"/>
    <w:rsid w:val="00207CBA"/>
    <w:rsid w:val="00212ABE"/>
    <w:rsid w:val="00215498"/>
    <w:rsid w:val="00216B76"/>
    <w:rsid w:val="00225A45"/>
    <w:rsid w:val="0022638D"/>
    <w:rsid w:val="0022706F"/>
    <w:rsid w:val="00231747"/>
    <w:rsid w:val="00234E6E"/>
    <w:rsid w:val="0024170B"/>
    <w:rsid w:val="00261603"/>
    <w:rsid w:val="002622EE"/>
    <w:rsid w:val="002644C1"/>
    <w:rsid w:val="002664E7"/>
    <w:rsid w:val="00273F2D"/>
    <w:rsid w:val="0029679A"/>
    <w:rsid w:val="002A3788"/>
    <w:rsid w:val="002A51B1"/>
    <w:rsid w:val="002B58FB"/>
    <w:rsid w:val="002C787D"/>
    <w:rsid w:val="002D3757"/>
    <w:rsid w:val="002E3598"/>
    <w:rsid w:val="002E73AB"/>
    <w:rsid w:val="002F33AE"/>
    <w:rsid w:val="002F402A"/>
    <w:rsid w:val="002F667F"/>
    <w:rsid w:val="002F7A68"/>
    <w:rsid w:val="00301871"/>
    <w:rsid w:val="00310DEA"/>
    <w:rsid w:val="003208C9"/>
    <w:rsid w:val="00322637"/>
    <w:rsid w:val="00325DBC"/>
    <w:rsid w:val="00326796"/>
    <w:rsid w:val="0033560F"/>
    <w:rsid w:val="00336A40"/>
    <w:rsid w:val="003627B4"/>
    <w:rsid w:val="00365069"/>
    <w:rsid w:val="0036645E"/>
    <w:rsid w:val="00370D1E"/>
    <w:rsid w:val="00374445"/>
    <w:rsid w:val="00376061"/>
    <w:rsid w:val="003770C6"/>
    <w:rsid w:val="00380E2B"/>
    <w:rsid w:val="00381D0E"/>
    <w:rsid w:val="00385D49"/>
    <w:rsid w:val="00393842"/>
    <w:rsid w:val="0039689B"/>
    <w:rsid w:val="003A1198"/>
    <w:rsid w:val="003A5885"/>
    <w:rsid w:val="003B229B"/>
    <w:rsid w:val="003B3F5C"/>
    <w:rsid w:val="003B5DE7"/>
    <w:rsid w:val="003D1359"/>
    <w:rsid w:val="003D44A2"/>
    <w:rsid w:val="003D4F35"/>
    <w:rsid w:val="003D764E"/>
    <w:rsid w:val="003E14A9"/>
    <w:rsid w:val="003E54AE"/>
    <w:rsid w:val="003E761A"/>
    <w:rsid w:val="003E7F14"/>
    <w:rsid w:val="003F0277"/>
    <w:rsid w:val="003F1635"/>
    <w:rsid w:val="004051B6"/>
    <w:rsid w:val="00412291"/>
    <w:rsid w:val="004136CB"/>
    <w:rsid w:val="00414DFB"/>
    <w:rsid w:val="004172C2"/>
    <w:rsid w:val="00434CB6"/>
    <w:rsid w:val="0043696A"/>
    <w:rsid w:val="00443CD8"/>
    <w:rsid w:val="00450351"/>
    <w:rsid w:val="00460DC4"/>
    <w:rsid w:val="004729DB"/>
    <w:rsid w:val="004854A3"/>
    <w:rsid w:val="00485A88"/>
    <w:rsid w:val="004920DE"/>
    <w:rsid w:val="0049340C"/>
    <w:rsid w:val="00493C72"/>
    <w:rsid w:val="00495960"/>
    <w:rsid w:val="004B1188"/>
    <w:rsid w:val="004B3F99"/>
    <w:rsid w:val="004B7562"/>
    <w:rsid w:val="004C4702"/>
    <w:rsid w:val="004C6C81"/>
    <w:rsid w:val="004D2F62"/>
    <w:rsid w:val="004D4B51"/>
    <w:rsid w:val="004D5B60"/>
    <w:rsid w:val="004D650D"/>
    <w:rsid w:val="004D6F19"/>
    <w:rsid w:val="004E141A"/>
    <w:rsid w:val="004E616D"/>
    <w:rsid w:val="004F199B"/>
    <w:rsid w:val="004F1EF8"/>
    <w:rsid w:val="004F40B4"/>
    <w:rsid w:val="00500E85"/>
    <w:rsid w:val="00505389"/>
    <w:rsid w:val="00507162"/>
    <w:rsid w:val="00511051"/>
    <w:rsid w:val="00521137"/>
    <w:rsid w:val="0052346C"/>
    <w:rsid w:val="00523E51"/>
    <w:rsid w:val="00524CD8"/>
    <w:rsid w:val="00531E6E"/>
    <w:rsid w:val="00533686"/>
    <w:rsid w:val="00542320"/>
    <w:rsid w:val="005435D7"/>
    <w:rsid w:val="005458AB"/>
    <w:rsid w:val="0055276B"/>
    <w:rsid w:val="0055326B"/>
    <w:rsid w:val="00557E8E"/>
    <w:rsid w:val="00566F19"/>
    <w:rsid w:val="00580338"/>
    <w:rsid w:val="005811DD"/>
    <w:rsid w:val="00581DC7"/>
    <w:rsid w:val="00582818"/>
    <w:rsid w:val="0059198E"/>
    <w:rsid w:val="0059354B"/>
    <w:rsid w:val="005959BE"/>
    <w:rsid w:val="005A49CA"/>
    <w:rsid w:val="005A5333"/>
    <w:rsid w:val="005A5ECE"/>
    <w:rsid w:val="005C2DB0"/>
    <w:rsid w:val="005C33DD"/>
    <w:rsid w:val="005D33B9"/>
    <w:rsid w:val="005E1DB8"/>
    <w:rsid w:val="005E4BD4"/>
    <w:rsid w:val="005E6ED2"/>
    <w:rsid w:val="005F1093"/>
    <w:rsid w:val="005F6FEB"/>
    <w:rsid w:val="00612C00"/>
    <w:rsid w:val="00614C89"/>
    <w:rsid w:val="0062120B"/>
    <w:rsid w:val="00627EDC"/>
    <w:rsid w:val="0063228D"/>
    <w:rsid w:val="00633381"/>
    <w:rsid w:val="006413C4"/>
    <w:rsid w:val="006476DC"/>
    <w:rsid w:val="0065311E"/>
    <w:rsid w:val="00653762"/>
    <w:rsid w:val="0066040B"/>
    <w:rsid w:val="006676AC"/>
    <w:rsid w:val="006711BE"/>
    <w:rsid w:val="006753ED"/>
    <w:rsid w:val="00675A6C"/>
    <w:rsid w:val="006805F7"/>
    <w:rsid w:val="00681EF0"/>
    <w:rsid w:val="00683245"/>
    <w:rsid w:val="00686F8A"/>
    <w:rsid w:val="00691A6D"/>
    <w:rsid w:val="006C0E88"/>
    <w:rsid w:val="006C339A"/>
    <w:rsid w:val="006C5257"/>
    <w:rsid w:val="006C5511"/>
    <w:rsid w:val="006C57E9"/>
    <w:rsid w:val="006D09A8"/>
    <w:rsid w:val="006D2A98"/>
    <w:rsid w:val="006D5040"/>
    <w:rsid w:val="006D7384"/>
    <w:rsid w:val="006E0AFD"/>
    <w:rsid w:val="006E772B"/>
    <w:rsid w:val="006F3FA6"/>
    <w:rsid w:val="0071306B"/>
    <w:rsid w:val="00716835"/>
    <w:rsid w:val="007345BA"/>
    <w:rsid w:val="007351F0"/>
    <w:rsid w:val="007512BA"/>
    <w:rsid w:val="00755945"/>
    <w:rsid w:val="00755CFE"/>
    <w:rsid w:val="00755D21"/>
    <w:rsid w:val="00760FAB"/>
    <w:rsid w:val="00762410"/>
    <w:rsid w:val="0077038F"/>
    <w:rsid w:val="0077472A"/>
    <w:rsid w:val="00775A8D"/>
    <w:rsid w:val="00786564"/>
    <w:rsid w:val="00791A33"/>
    <w:rsid w:val="007959D2"/>
    <w:rsid w:val="007971B6"/>
    <w:rsid w:val="007A016E"/>
    <w:rsid w:val="007B37D3"/>
    <w:rsid w:val="007B74EF"/>
    <w:rsid w:val="007C268F"/>
    <w:rsid w:val="007C53AF"/>
    <w:rsid w:val="007D1813"/>
    <w:rsid w:val="007D7DBC"/>
    <w:rsid w:val="007E1375"/>
    <w:rsid w:val="007F7FD1"/>
    <w:rsid w:val="00803E42"/>
    <w:rsid w:val="00803EAC"/>
    <w:rsid w:val="00810624"/>
    <w:rsid w:val="00810C3F"/>
    <w:rsid w:val="00812350"/>
    <w:rsid w:val="00815860"/>
    <w:rsid w:val="00821418"/>
    <w:rsid w:val="0083038F"/>
    <w:rsid w:val="00830CE8"/>
    <w:rsid w:val="00835B28"/>
    <w:rsid w:val="00837685"/>
    <w:rsid w:val="00840B0B"/>
    <w:rsid w:val="00843FBD"/>
    <w:rsid w:val="008457A4"/>
    <w:rsid w:val="008473ED"/>
    <w:rsid w:val="00850ACD"/>
    <w:rsid w:val="00850DDA"/>
    <w:rsid w:val="00853B9E"/>
    <w:rsid w:val="00854369"/>
    <w:rsid w:val="00856EE3"/>
    <w:rsid w:val="0086095A"/>
    <w:rsid w:val="00864F7F"/>
    <w:rsid w:val="0087523E"/>
    <w:rsid w:val="00877258"/>
    <w:rsid w:val="00881661"/>
    <w:rsid w:val="008939D2"/>
    <w:rsid w:val="0089534F"/>
    <w:rsid w:val="00896AEE"/>
    <w:rsid w:val="008A3775"/>
    <w:rsid w:val="008A5F9E"/>
    <w:rsid w:val="008C6DC5"/>
    <w:rsid w:val="008D2B58"/>
    <w:rsid w:val="008D72BE"/>
    <w:rsid w:val="008F141E"/>
    <w:rsid w:val="00902188"/>
    <w:rsid w:val="009051BA"/>
    <w:rsid w:val="009104EF"/>
    <w:rsid w:val="009308EB"/>
    <w:rsid w:val="009310D3"/>
    <w:rsid w:val="00941F2D"/>
    <w:rsid w:val="009431FC"/>
    <w:rsid w:val="00950657"/>
    <w:rsid w:val="00950D63"/>
    <w:rsid w:val="00955478"/>
    <w:rsid w:val="00956024"/>
    <w:rsid w:val="00972B49"/>
    <w:rsid w:val="009773AE"/>
    <w:rsid w:val="00977C7C"/>
    <w:rsid w:val="00983742"/>
    <w:rsid w:val="0098511D"/>
    <w:rsid w:val="00994414"/>
    <w:rsid w:val="00995B58"/>
    <w:rsid w:val="009A3893"/>
    <w:rsid w:val="009A39AC"/>
    <w:rsid w:val="009A6D84"/>
    <w:rsid w:val="009A76A8"/>
    <w:rsid w:val="009C0BB3"/>
    <w:rsid w:val="009C182C"/>
    <w:rsid w:val="009C286E"/>
    <w:rsid w:val="009C32F4"/>
    <w:rsid w:val="009C69E9"/>
    <w:rsid w:val="009D6D19"/>
    <w:rsid w:val="009E2CA4"/>
    <w:rsid w:val="009E5415"/>
    <w:rsid w:val="00A0111E"/>
    <w:rsid w:val="00A02CFC"/>
    <w:rsid w:val="00A05B2E"/>
    <w:rsid w:val="00A14B49"/>
    <w:rsid w:val="00A150AB"/>
    <w:rsid w:val="00A27B49"/>
    <w:rsid w:val="00A37B23"/>
    <w:rsid w:val="00A40C99"/>
    <w:rsid w:val="00A452A2"/>
    <w:rsid w:val="00A45626"/>
    <w:rsid w:val="00A46A07"/>
    <w:rsid w:val="00A5125F"/>
    <w:rsid w:val="00A5727B"/>
    <w:rsid w:val="00A807CE"/>
    <w:rsid w:val="00A838E0"/>
    <w:rsid w:val="00A96938"/>
    <w:rsid w:val="00AA682B"/>
    <w:rsid w:val="00AB45D5"/>
    <w:rsid w:val="00AD73B4"/>
    <w:rsid w:val="00AE1A9F"/>
    <w:rsid w:val="00AE3A83"/>
    <w:rsid w:val="00AE3F3D"/>
    <w:rsid w:val="00AF1490"/>
    <w:rsid w:val="00AF36EF"/>
    <w:rsid w:val="00AF6957"/>
    <w:rsid w:val="00AF7C02"/>
    <w:rsid w:val="00B060F0"/>
    <w:rsid w:val="00B11329"/>
    <w:rsid w:val="00B15B1B"/>
    <w:rsid w:val="00B2403F"/>
    <w:rsid w:val="00B25FFE"/>
    <w:rsid w:val="00B263CD"/>
    <w:rsid w:val="00B33183"/>
    <w:rsid w:val="00B34246"/>
    <w:rsid w:val="00B35A98"/>
    <w:rsid w:val="00B453DC"/>
    <w:rsid w:val="00B632B7"/>
    <w:rsid w:val="00B64A2D"/>
    <w:rsid w:val="00B74C6B"/>
    <w:rsid w:val="00B81DB1"/>
    <w:rsid w:val="00B94060"/>
    <w:rsid w:val="00B965FB"/>
    <w:rsid w:val="00B97BFF"/>
    <w:rsid w:val="00BA6C39"/>
    <w:rsid w:val="00BB535F"/>
    <w:rsid w:val="00BC00FB"/>
    <w:rsid w:val="00BC4DA1"/>
    <w:rsid w:val="00BE5F65"/>
    <w:rsid w:val="00C019F7"/>
    <w:rsid w:val="00C0264C"/>
    <w:rsid w:val="00C03161"/>
    <w:rsid w:val="00C22135"/>
    <w:rsid w:val="00C3066B"/>
    <w:rsid w:val="00C3369D"/>
    <w:rsid w:val="00C33DA3"/>
    <w:rsid w:val="00C34499"/>
    <w:rsid w:val="00C35582"/>
    <w:rsid w:val="00C36EC4"/>
    <w:rsid w:val="00C478F0"/>
    <w:rsid w:val="00C6152F"/>
    <w:rsid w:val="00C62EE5"/>
    <w:rsid w:val="00C64D56"/>
    <w:rsid w:val="00C650E4"/>
    <w:rsid w:val="00C65F59"/>
    <w:rsid w:val="00C709AA"/>
    <w:rsid w:val="00C74DE6"/>
    <w:rsid w:val="00C8016B"/>
    <w:rsid w:val="00C8494B"/>
    <w:rsid w:val="00C85654"/>
    <w:rsid w:val="00C926EE"/>
    <w:rsid w:val="00CA4A4D"/>
    <w:rsid w:val="00CA7C67"/>
    <w:rsid w:val="00CB49D2"/>
    <w:rsid w:val="00CB4B9E"/>
    <w:rsid w:val="00CC10A8"/>
    <w:rsid w:val="00CC38BE"/>
    <w:rsid w:val="00CC4502"/>
    <w:rsid w:val="00CD1E99"/>
    <w:rsid w:val="00CD3FE8"/>
    <w:rsid w:val="00CE2B06"/>
    <w:rsid w:val="00CE3532"/>
    <w:rsid w:val="00CE6393"/>
    <w:rsid w:val="00CE6461"/>
    <w:rsid w:val="00CF2F90"/>
    <w:rsid w:val="00CF7EAF"/>
    <w:rsid w:val="00D071FA"/>
    <w:rsid w:val="00D10D99"/>
    <w:rsid w:val="00D1408D"/>
    <w:rsid w:val="00D1445E"/>
    <w:rsid w:val="00D1635F"/>
    <w:rsid w:val="00D23537"/>
    <w:rsid w:val="00D25411"/>
    <w:rsid w:val="00D2677E"/>
    <w:rsid w:val="00D372A2"/>
    <w:rsid w:val="00D41556"/>
    <w:rsid w:val="00D475DB"/>
    <w:rsid w:val="00D520CF"/>
    <w:rsid w:val="00D56CB4"/>
    <w:rsid w:val="00D60E9F"/>
    <w:rsid w:val="00D63325"/>
    <w:rsid w:val="00D650C7"/>
    <w:rsid w:val="00D665BE"/>
    <w:rsid w:val="00D80F81"/>
    <w:rsid w:val="00D83BB7"/>
    <w:rsid w:val="00D90D92"/>
    <w:rsid w:val="00D91282"/>
    <w:rsid w:val="00D93AFA"/>
    <w:rsid w:val="00D93CC0"/>
    <w:rsid w:val="00DA353A"/>
    <w:rsid w:val="00DA6EE2"/>
    <w:rsid w:val="00DB5808"/>
    <w:rsid w:val="00DC52D8"/>
    <w:rsid w:val="00DC5841"/>
    <w:rsid w:val="00DD1222"/>
    <w:rsid w:val="00DF7E64"/>
    <w:rsid w:val="00E007E8"/>
    <w:rsid w:val="00E02575"/>
    <w:rsid w:val="00E03981"/>
    <w:rsid w:val="00E06B05"/>
    <w:rsid w:val="00E11AB7"/>
    <w:rsid w:val="00E11ECE"/>
    <w:rsid w:val="00E22C7C"/>
    <w:rsid w:val="00E231FE"/>
    <w:rsid w:val="00E27AE6"/>
    <w:rsid w:val="00E3047F"/>
    <w:rsid w:val="00E4672B"/>
    <w:rsid w:val="00E4795E"/>
    <w:rsid w:val="00E60146"/>
    <w:rsid w:val="00E65C90"/>
    <w:rsid w:val="00E86211"/>
    <w:rsid w:val="00EA3FED"/>
    <w:rsid w:val="00EA7D36"/>
    <w:rsid w:val="00EB4D88"/>
    <w:rsid w:val="00EC2FAA"/>
    <w:rsid w:val="00ED1305"/>
    <w:rsid w:val="00ED2E3D"/>
    <w:rsid w:val="00EE3298"/>
    <w:rsid w:val="00EF00B0"/>
    <w:rsid w:val="00F00187"/>
    <w:rsid w:val="00F07292"/>
    <w:rsid w:val="00F158D9"/>
    <w:rsid w:val="00F238FF"/>
    <w:rsid w:val="00F24211"/>
    <w:rsid w:val="00F24469"/>
    <w:rsid w:val="00F45BE1"/>
    <w:rsid w:val="00F56F29"/>
    <w:rsid w:val="00F6434D"/>
    <w:rsid w:val="00F65425"/>
    <w:rsid w:val="00F70827"/>
    <w:rsid w:val="00F80CC7"/>
    <w:rsid w:val="00F824CC"/>
    <w:rsid w:val="00F854E8"/>
    <w:rsid w:val="00F86E9D"/>
    <w:rsid w:val="00F87F9E"/>
    <w:rsid w:val="00F95649"/>
    <w:rsid w:val="00FA0B0D"/>
    <w:rsid w:val="00FA6EDB"/>
    <w:rsid w:val="00FB5B61"/>
    <w:rsid w:val="00FB6A39"/>
    <w:rsid w:val="00FD0AF1"/>
    <w:rsid w:val="00FD2FA6"/>
    <w:rsid w:val="00FD3A48"/>
    <w:rsid w:val="00FD6BE9"/>
    <w:rsid w:val="00FE068C"/>
    <w:rsid w:val="00FE5E08"/>
    <w:rsid w:val="00FE66E4"/>
    <w:rsid w:val="00FF0291"/>
    <w:rsid w:val="00FF4309"/>
    <w:rsid w:val="0112363F"/>
    <w:rsid w:val="012B5576"/>
    <w:rsid w:val="012F4A98"/>
    <w:rsid w:val="012F51EC"/>
    <w:rsid w:val="015D3F94"/>
    <w:rsid w:val="01C75BB3"/>
    <w:rsid w:val="022875C5"/>
    <w:rsid w:val="023470AD"/>
    <w:rsid w:val="026D3223"/>
    <w:rsid w:val="027A5940"/>
    <w:rsid w:val="02E800E5"/>
    <w:rsid w:val="02FE031F"/>
    <w:rsid w:val="03082F4B"/>
    <w:rsid w:val="03FB4C8E"/>
    <w:rsid w:val="042E69E2"/>
    <w:rsid w:val="0475016D"/>
    <w:rsid w:val="049A7675"/>
    <w:rsid w:val="054B7C58"/>
    <w:rsid w:val="05524952"/>
    <w:rsid w:val="05663C28"/>
    <w:rsid w:val="06B854EF"/>
    <w:rsid w:val="0774295E"/>
    <w:rsid w:val="07AD4B12"/>
    <w:rsid w:val="07D956F0"/>
    <w:rsid w:val="07E35D35"/>
    <w:rsid w:val="07F01E7F"/>
    <w:rsid w:val="08413E1A"/>
    <w:rsid w:val="089601FE"/>
    <w:rsid w:val="08D84396"/>
    <w:rsid w:val="08DA2C94"/>
    <w:rsid w:val="08E43B13"/>
    <w:rsid w:val="098B0AA1"/>
    <w:rsid w:val="09C35E1E"/>
    <w:rsid w:val="0A4C2D93"/>
    <w:rsid w:val="0A4D56E8"/>
    <w:rsid w:val="0ABB4D47"/>
    <w:rsid w:val="0AFA761E"/>
    <w:rsid w:val="0B00275A"/>
    <w:rsid w:val="0B1F52D6"/>
    <w:rsid w:val="0B3F5A01"/>
    <w:rsid w:val="0C2103EE"/>
    <w:rsid w:val="0CAC2B9A"/>
    <w:rsid w:val="0CE57E5A"/>
    <w:rsid w:val="0D38267F"/>
    <w:rsid w:val="0E267A0C"/>
    <w:rsid w:val="0E3869E3"/>
    <w:rsid w:val="0E9C7669"/>
    <w:rsid w:val="0EAD0785"/>
    <w:rsid w:val="0F22324C"/>
    <w:rsid w:val="0F871690"/>
    <w:rsid w:val="0FA07748"/>
    <w:rsid w:val="0FAC2EB1"/>
    <w:rsid w:val="0FADCD01"/>
    <w:rsid w:val="0FFFD07A"/>
    <w:rsid w:val="10B4201D"/>
    <w:rsid w:val="10C36880"/>
    <w:rsid w:val="10ED6ECE"/>
    <w:rsid w:val="11B43EFD"/>
    <w:rsid w:val="11D0705D"/>
    <w:rsid w:val="122D6E1B"/>
    <w:rsid w:val="1273645A"/>
    <w:rsid w:val="130804C5"/>
    <w:rsid w:val="130D010A"/>
    <w:rsid w:val="13166FBF"/>
    <w:rsid w:val="131C5F02"/>
    <w:rsid w:val="132D4308"/>
    <w:rsid w:val="13405391"/>
    <w:rsid w:val="136A67D5"/>
    <w:rsid w:val="13701911"/>
    <w:rsid w:val="13AC347F"/>
    <w:rsid w:val="13CE4CEB"/>
    <w:rsid w:val="14C842E9"/>
    <w:rsid w:val="14F72E20"/>
    <w:rsid w:val="14FF2B7F"/>
    <w:rsid w:val="154506CC"/>
    <w:rsid w:val="157B57FF"/>
    <w:rsid w:val="15A85596"/>
    <w:rsid w:val="16452E6A"/>
    <w:rsid w:val="16907088"/>
    <w:rsid w:val="16A24754"/>
    <w:rsid w:val="16EE46E9"/>
    <w:rsid w:val="16EF0460"/>
    <w:rsid w:val="17033CFE"/>
    <w:rsid w:val="178423A3"/>
    <w:rsid w:val="179E543A"/>
    <w:rsid w:val="17C84600"/>
    <w:rsid w:val="18157B52"/>
    <w:rsid w:val="183124A5"/>
    <w:rsid w:val="18552443"/>
    <w:rsid w:val="188B3505"/>
    <w:rsid w:val="189B4225"/>
    <w:rsid w:val="18E5190D"/>
    <w:rsid w:val="19BF39A9"/>
    <w:rsid w:val="19F910D8"/>
    <w:rsid w:val="19FE0A33"/>
    <w:rsid w:val="1AC75042"/>
    <w:rsid w:val="1ADE4866"/>
    <w:rsid w:val="1AF70C4B"/>
    <w:rsid w:val="1AFF47DC"/>
    <w:rsid w:val="1B09565B"/>
    <w:rsid w:val="1B526D5D"/>
    <w:rsid w:val="1B7D37FE"/>
    <w:rsid w:val="1C3276CE"/>
    <w:rsid w:val="1C69015F"/>
    <w:rsid w:val="1C8054A9"/>
    <w:rsid w:val="1CD4275A"/>
    <w:rsid w:val="1D100F23"/>
    <w:rsid w:val="1D352737"/>
    <w:rsid w:val="1D84721B"/>
    <w:rsid w:val="1D90796E"/>
    <w:rsid w:val="1E1315D2"/>
    <w:rsid w:val="1E7249AF"/>
    <w:rsid w:val="1E7EB028"/>
    <w:rsid w:val="1EEB60E3"/>
    <w:rsid w:val="1F9D6372"/>
    <w:rsid w:val="1FA354BF"/>
    <w:rsid w:val="1FFF6B11"/>
    <w:rsid w:val="20733341"/>
    <w:rsid w:val="21C54541"/>
    <w:rsid w:val="21F20922"/>
    <w:rsid w:val="21F76E47"/>
    <w:rsid w:val="22B10AB2"/>
    <w:rsid w:val="23256DAA"/>
    <w:rsid w:val="233E5662"/>
    <w:rsid w:val="237C10C0"/>
    <w:rsid w:val="23CA0048"/>
    <w:rsid w:val="23CA35C4"/>
    <w:rsid w:val="24125580"/>
    <w:rsid w:val="241A61E3"/>
    <w:rsid w:val="24741D97"/>
    <w:rsid w:val="24C26FA6"/>
    <w:rsid w:val="24E16169"/>
    <w:rsid w:val="250836DD"/>
    <w:rsid w:val="251B38EF"/>
    <w:rsid w:val="251B66B7"/>
    <w:rsid w:val="254856B7"/>
    <w:rsid w:val="25712958"/>
    <w:rsid w:val="25A37ED1"/>
    <w:rsid w:val="25DD49AD"/>
    <w:rsid w:val="25E9677D"/>
    <w:rsid w:val="26153968"/>
    <w:rsid w:val="263537A8"/>
    <w:rsid w:val="264D793A"/>
    <w:rsid w:val="26681488"/>
    <w:rsid w:val="26BE379D"/>
    <w:rsid w:val="26ED7BDF"/>
    <w:rsid w:val="26F57EE7"/>
    <w:rsid w:val="272C6959"/>
    <w:rsid w:val="27391076"/>
    <w:rsid w:val="27E82BD1"/>
    <w:rsid w:val="286D0C3E"/>
    <w:rsid w:val="28E84ED5"/>
    <w:rsid w:val="294A57BC"/>
    <w:rsid w:val="29DB6414"/>
    <w:rsid w:val="29E01D64"/>
    <w:rsid w:val="29F23E8A"/>
    <w:rsid w:val="2A190F95"/>
    <w:rsid w:val="2A61691A"/>
    <w:rsid w:val="2AE27102"/>
    <w:rsid w:val="2B1700A7"/>
    <w:rsid w:val="2B367280"/>
    <w:rsid w:val="2B42775D"/>
    <w:rsid w:val="2B724B56"/>
    <w:rsid w:val="2B794137"/>
    <w:rsid w:val="2BD355F5"/>
    <w:rsid w:val="2BFC0FF0"/>
    <w:rsid w:val="2C803B57"/>
    <w:rsid w:val="2C994801"/>
    <w:rsid w:val="2DA57465"/>
    <w:rsid w:val="2DAB5CB9"/>
    <w:rsid w:val="2DC048A1"/>
    <w:rsid w:val="2DF61A6F"/>
    <w:rsid w:val="2E708175"/>
    <w:rsid w:val="2F266384"/>
    <w:rsid w:val="2F6376CB"/>
    <w:rsid w:val="2FCA4F61"/>
    <w:rsid w:val="30124581"/>
    <w:rsid w:val="30240B15"/>
    <w:rsid w:val="30246313"/>
    <w:rsid w:val="30634FB8"/>
    <w:rsid w:val="30C260A8"/>
    <w:rsid w:val="30FF3996"/>
    <w:rsid w:val="313528AE"/>
    <w:rsid w:val="31807FCD"/>
    <w:rsid w:val="31A90554"/>
    <w:rsid w:val="31E542D4"/>
    <w:rsid w:val="322E1E8E"/>
    <w:rsid w:val="32851613"/>
    <w:rsid w:val="32860CB3"/>
    <w:rsid w:val="32904666"/>
    <w:rsid w:val="32BD3211"/>
    <w:rsid w:val="32C76D19"/>
    <w:rsid w:val="336978E6"/>
    <w:rsid w:val="34384B8F"/>
    <w:rsid w:val="344F1ED9"/>
    <w:rsid w:val="345C21A1"/>
    <w:rsid w:val="3464387D"/>
    <w:rsid w:val="348F0527"/>
    <w:rsid w:val="35431A3E"/>
    <w:rsid w:val="35491FB2"/>
    <w:rsid w:val="35B124CB"/>
    <w:rsid w:val="35B8118E"/>
    <w:rsid w:val="35C364C2"/>
    <w:rsid w:val="35E6061B"/>
    <w:rsid w:val="36120344"/>
    <w:rsid w:val="36716136"/>
    <w:rsid w:val="377711E7"/>
    <w:rsid w:val="378F4FC5"/>
    <w:rsid w:val="37AC0676"/>
    <w:rsid w:val="38613F89"/>
    <w:rsid w:val="38B03902"/>
    <w:rsid w:val="38D73850"/>
    <w:rsid w:val="38DC6794"/>
    <w:rsid w:val="39513FFD"/>
    <w:rsid w:val="395413D0"/>
    <w:rsid w:val="39DB1AF8"/>
    <w:rsid w:val="3A791A5E"/>
    <w:rsid w:val="3ADF7F13"/>
    <w:rsid w:val="3B4756B8"/>
    <w:rsid w:val="3BDC04F6"/>
    <w:rsid w:val="3C025A83"/>
    <w:rsid w:val="3C8A1D00"/>
    <w:rsid w:val="3CD76F0F"/>
    <w:rsid w:val="3CE55188"/>
    <w:rsid w:val="3D347EBE"/>
    <w:rsid w:val="3D4C3459"/>
    <w:rsid w:val="3D937DE0"/>
    <w:rsid w:val="3F2B2CB3"/>
    <w:rsid w:val="3F56236D"/>
    <w:rsid w:val="3F58299F"/>
    <w:rsid w:val="3F79043C"/>
    <w:rsid w:val="3FADB56D"/>
    <w:rsid w:val="3FDD65EB"/>
    <w:rsid w:val="3FE67B95"/>
    <w:rsid w:val="3FF50AD8"/>
    <w:rsid w:val="3FFD37DF"/>
    <w:rsid w:val="3FFF4931"/>
    <w:rsid w:val="4012098A"/>
    <w:rsid w:val="403326AF"/>
    <w:rsid w:val="405F7146"/>
    <w:rsid w:val="40F47241"/>
    <w:rsid w:val="4112526A"/>
    <w:rsid w:val="41B8730F"/>
    <w:rsid w:val="41D81D49"/>
    <w:rsid w:val="420809F9"/>
    <w:rsid w:val="423F533B"/>
    <w:rsid w:val="42A96EAF"/>
    <w:rsid w:val="42D57A4D"/>
    <w:rsid w:val="43456981"/>
    <w:rsid w:val="438751EB"/>
    <w:rsid w:val="44006D4C"/>
    <w:rsid w:val="443B107F"/>
    <w:rsid w:val="45384C4A"/>
    <w:rsid w:val="45591CBD"/>
    <w:rsid w:val="456B1A5D"/>
    <w:rsid w:val="458B6AE9"/>
    <w:rsid w:val="46B46290"/>
    <w:rsid w:val="47321912"/>
    <w:rsid w:val="47BC4CE0"/>
    <w:rsid w:val="485B3227"/>
    <w:rsid w:val="485E4D1B"/>
    <w:rsid w:val="48AF3319"/>
    <w:rsid w:val="48D6720F"/>
    <w:rsid w:val="48EF2337"/>
    <w:rsid w:val="499872CD"/>
    <w:rsid w:val="49DA34D9"/>
    <w:rsid w:val="49EE1DBC"/>
    <w:rsid w:val="4A6F0787"/>
    <w:rsid w:val="4A7965BA"/>
    <w:rsid w:val="4AB50890"/>
    <w:rsid w:val="4B6E4EE3"/>
    <w:rsid w:val="4B73193A"/>
    <w:rsid w:val="4BBB7051"/>
    <w:rsid w:val="4BCD03D2"/>
    <w:rsid w:val="4CC441C3"/>
    <w:rsid w:val="4CD82614"/>
    <w:rsid w:val="4D0933F1"/>
    <w:rsid w:val="4D221AE1"/>
    <w:rsid w:val="4D9549A9"/>
    <w:rsid w:val="4DA42E3E"/>
    <w:rsid w:val="4DCF7EBB"/>
    <w:rsid w:val="4E3F1540"/>
    <w:rsid w:val="4E8E0E66"/>
    <w:rsid w:val="4EAD2D15"/>
    <w:rsid w:val="4EC42E22"/>
    <w:rsid w:val="4F18763F"/>
    <w:rsid w:val="4F680A44"/>
    <w:rsid w:val="4F9F1421"/>
    <w:rsid w:val="4FD733A3"/>
    <w:rsid w:val="4FDE2637"/>
    <w:rsid w:val="507E34D2"/>
    <w:rsid w:val="50970A38"/>
    <w:rsid w:val="509937A3"/>
    <w:rsid w:val="50C34104"/>
    <w:rsid w:val="50D17F23"/>
    <w:rsid w:val="50F43794"/>
    <w:rsid w:val="51145515"/>
    <w:rsid w:val="51200A2D"/>
    <w:rsid w:val="514167A8"/>
    <w:rsid w:val="51962A9D"/>
    <w:rsid w:val="51BF0246"/>
    <w:rsid w:val="52214363"/>
    <w:rsid w:val="522B7B4F"/>
    <w:rsid w:val="52505342"/>
    <w:rsid w:val="52E8557B"/>
    <w:rsid w:val="532F2EC1"/>
    <w:rsid w:val="53385DB4"/>
    <w:rsid w:val="53F864E8"/>
    <w:rsid w:val="54055868"/>
    <w:rsid w:val="54301EC0"/>
    <w:rsid w:val="54E35FFA"/>
    <w:rsid w:val="551408A9"/>
    <w:rsid w:val="55284354"/>
    <w:rsid w:val="552865AE"/>
    <w:rsid w:val="559417F6"/>
    <w:rsid w:val="56464A6F"/>
    <w:rsid w:val="56B45E9F"/>
    <w:rsid w:val="56D54068"/>
    <w:rsid w:val="56DF0A43"/>
    <w:rsid w:val="56FA4920"/>
    <w:rsid w:val="5737087F"/>
    <w:rsid w:val="57407733"/>
    <w:rsid w:val="57541431"/>
    <w:rsid w:val="57557721"/>
    <w:rsid w:val="577E64AD"/>
    <w:rsid w:val="57FFF1AE"/>
    <w:rsid w:val="582901C7"/>
    <w:rsid w:val="582C0627"/>
    <w:rsid w:val="58346B6C"/>
    <w:rsid w:val="58422566"/>
    <w:rsid w:val="590D1897"/>
    <w:rsid w:val="59611BE3"/>
    <w:rsid w:val="59F14D15"/>
    <w:rsid w:val="5A3F54C6"/>
    <w:rsid w:val="5AAE70AA"/>
    <w:rsid w:val="5ACB37B8"/>
    <w:rsid w:val="5AEF2981"/>
    <w:rsid w:val="5AEF673F"/>
    <w:rsid w:val="5B0867BA"/>
    <w:rsid w:val="5B3255E5"/>
    <w:rsid w:val="5B3752F1"/>
    <w:rsid w:val="5B5F6C44"/>
    <w:rsid w:val="5B7C6858"/>
    <w:rsid w:val="5BF136F2"/>
    <w:rsid w:val="5C4C367A"/>
    <w:rsid w:val="5C757E7F"/>
    <w:rsid w:val="5CC60636"/>
    <w:rsid w:val="5CF4010E"/>
    <w:rsid w:val="5D35760E"/>
    <w:rsid w:val="5D812854"/>
    <w:rsid w:val="5DBF377E"/>
    <w:rsid w:val="5DCC7F73"/>
    <w:rsid w:val="5E3F1F2B"/>
    <w:rsid w:val="5EE11EB8"/>
    <w:rsid w:val="5EEC63F2"/>
    <w:rsid w:val="5EF97435"/>
    <w:rsid w:val="5F2D4A41"/>
    <w:rsid w:val="5F473629"/>
    <w:rsid w:val="5F4D064C"/>
    <w:rsid w:val="5F4E53CB"/>
    <w:rsid w:val="5F5375D0"/>
    <w:rsid w:val="5F8F7FE3"/>
    <w:rsid w:val="5FBB637B"/>
    <w:rsid w:val="6005151A"/>
    <w:rsid w:val="602A5424"/>
    <w:rsid w:val="60720D76"/>
    <w:rsid w:val="60A6173C"/>
    <w:rsid w:val="60BD26C3"/>
    <w:rsid w:val="60C018E5"/>
    <w:rsid w:val="60FF41BB"/>
    <w:rsid w:val="614C4F26"/>
    <w:rsid w:val="61695AD8"/>
    <w:rsid w:val="62712E97"/>
    <w:rsid w:val="62764951"/>
    <w:rsid w:val="62A815CF"/>
    <w:rsid w:val="62B66AFB"/>
    <w:rsid w:val="62C258A1"/>
    <w:rsid w:val="62F53AC8"/>
    <w:rsid w:val="63181F42"/>
    <w:rsid w:val="631B2AFC"/>
    <w:rsid w:val="64132EC3"/>
    <w:rsid w:val="646D34E5"/>
    <w:rsid w:val="64944682"/>
    <w:rsid w:val="650F3A46"/>
    <w:rsid w:val="655F347A"/>
    <w:rsid w:val="65666B10"/>
    <w:rsid w:val="656942F9"/>
    <w:rsid w:val="65995513"/>
    <w:rsid w:val="66236B9E"/>
    <w:rsid w:val="66975207"/>
    <w:rsid w:val="669FF185"/>
    <w:rsid w:val="66BF77E1"/>
    <w:rsid w:val="66C83F2C"/>
    <w:rsid w:val="67230DC3"/>
    <w:rsid w:val="676F196F"/>
    <w:rsid w:val="677221C7"/>
    <w:rsid w:val="67AA3C86"/>
    <w:rsid w:val="67FA56DC"/>
    <w:rsid w:val="68065D8E"/>
    <w:rsid w:val="680B78E9"/>
    <w:rsid w:val="68416493"/>
    <w:rsid w:val="68661205"/>
    <w:rsid w:val="68F71C1C"/>
    <w:rsid w:val="69516038"/>
    <w:rsid w:val="69654222"/>
    <w:rsid w:val="69D56401"/>
    <w:rsid w:val="69FB1602"/>
    <w:rsid w:val="6A065686"/>
    <w:rsid w:val="6AC04E32"/>
    <w:rsid w:val="6AD85760"/>
    <w:rsid w:val="6B042C51"/>
    <w:rsid w:val="6B4D2364"/>
    <w:rsid w:val="6B5B434C"/>
    <w:rsid w:val="6BEC17E0"/>
    <w:rsid w:val="6C537AB1"/>
    <w:rsid w:val="6C737CFB"/>
    <w:rsid w:val="6CE07597"/>
    <w:rsid w:val="6D4A0EB4"/>
    <w:rsid w:val="6DBF634D"/>
    <w:rsid w:val="6E5813AF"/>
    <w:rsid w:val="6E940B17"/>
    <w:rsid w:val="6EFC72F4"/>
    <w:rsid w:val="6F0357BE"/>
    <w:rsid w:val="6F1C23DC"/>
    <w:rsid w:val="6F280D81"/>
    <w:rsid w:val="6F6618A9"/>
    <w:rsid w:val="6FEB4759"/>
    <w:rsid w:val="6FEC122C"/>
    <w:rsid w:val="6FED6641"/>
    <w:rsid w:val="70171055"/>
    <w:rsid w:val="702459EC"/>
    <w:rsid w:val="707A0612"/>
    <w:rsid w:val="7080699B"/>
    <w:rsid w:val="70904E30"/>
    <w:rsid w:val="70A64653"/>
    <w:rsid w:val="710C022E"/>
    <w:rsid w:val="71536FE9"/>
    <w:rsid w:val="71964031"/>
    <w:rsid w:val="71A9045F"/>
    <w:rsid w:val="722D66AE"/>
    <w:rsid w:val="725D7403"/>
    <w:rsid w:val="727900C9"/>
    <w:rsid w:val="72850298"/>
    <w:rsid w:val="734A61C7"/>
    <w:rsid w:val="73966C01"/>
    <w:rsid w:val="73DE2426"/>
    <w:rsid w:val="74517642"/>
    <w:rsid w:val="747405C4"/>
    <w:rsid w:val="74B24BB1"/>
    <w:rsid w:val="75061B64"/>
    <w:rsid w:val="75363ACC"/>
    <w:rsid w:val="753C2362"/>
    <w:rsid w:val="75EF43A6"/>
    <w:rsid w:val="76191423"/>
    <w:rsid w:val="76BE5591"/>
    <w:rsid w:val="76D214FF"/>
    <w:rsid w:val="76D659C3"/>
    <w:rsid w:val="76E50438"/>
    <w:rsid w:val="76F809EF"/>
    <w:rsid w:val="77476F3F"/>
    <w:rsid w:val="77682CF7"/>
    <w:rsid w:val="777BAF85"/>
    <w:rsid w:val="77846DA4"/>
    <w:rsid w:val="77AB0AAA"/>
    <w:rsid w:val="77C90C27"/>
    <w:rsid w:val="77CF26E1"/>
    <w:rsid w:val="77D25D2E"/>
    <w:rsid w:val="77D73080"/>
    <w:rsid w:val="783C0103"/>
    <w:rsid w:val="78C209AA"/>
    <w:rsid w:val="797A042B"/>
    <w:rsid w:val="79A70DC4"/>
    <w:rsid w:val="79B002F1"/>
    <w:rsid w:val="79C85CD9"/>
    <w:rsid w:val="79C913B2"/>
    <w:rsid w:val="79D10B6F"/>
    <w:rsid w:val="7A2434F9"/>
    <w:rsid w:val="7A6F5AB6"/>
    <w:rsid w:val="7AA86A41"/>
    <w:rsid w:val="7AD324E9"/>
    <w:rsid w:val="7AF71DE0"/>
    <w:rsid w:val="7B876E2F"/>
    <w:rsid w:val="7BC167E5"/>
    <w:rsid w:val="7BFCAA9C"/>
    <w:rsid w:val="7C3C40BE"/>
    <w:rsid w:val="7C7620C0"/>
    <w:rsid w:val="7C954AD2"/>
    <w:rsid w:val="7CCF01D0"/>
    <w:rsid w:val="7CF75676"/>
    <w:rsid w:val="7CF75F75"/>
    <w:rsid w:val="7CFE3932"/>
    <w:rsid w:val="7D112885"/>
    <w:rsid w:val="7D6D6DD4"/>
    <w:rsid w:val="7D6FA4BB"/>
    <w:rsid w:val="7E3FE618"/>
    <w:rsid w:val="7E7BBA2F"/>
    <w:rsid w:val="7E924469"/>
    <w:rsid w:val="7E9343C6"/>
    <w:rsid w:val="7E9D7229"/>
    <w:rsid w:val="7EBB54AE"/>
    <w:rsid w:val="7ECFF77E"/>
    <w:rsid w:val="7EEB524D"/>
    <w:rsid w:val="7EEF5486"/>
    <w:rsid w:val="7EF618DD"/>
    <w:rsid w:val="7F5F6DED"/>
    <w:rsid w:val="7F6DF0B3"/>
    <w:rsid w:val="7F9A5A8A"/>
    <w:rsid w:val="7FBB3E65"/>
    <w:rsid w:val="7FBF19C2"/>
    <w:rsid w:val="7FCA19E0"/>
    <w:rsid w:val="7FDC09FE"/>
    <w:rsid w:val="7FE57AB3"/>
    <w:rsid w:val="7FF058EB"/>
    <w:rsid w:val="7FF31219"/>
    <w:rsid w:val="7FF906D3"/>
    <w:rsid w:val="96F43BCF"/>
    <w:rsid w:val="AC6B5D3E"/>
    <w:rsid w:val="B57505D4"/>
    <w:rsid w:val="B7EF21DF"/>
    <w:rsid w:val="BBBF5ECC"/>
    <w:rsid w:val="BD7B0A8D"/>
    <w:rsid w:val="BEBCD9CB"/>
    <w:rsid w:val="BEFDF91C"/>
    <w:rsid w:val="BF7FA0A5"/>
    <w:rsid w:val="D3E7D410"/>
    <w:rsid w:val="D77F3A3A"/>
    <w:rsid w:val="DBFFA7BE"/>
    <w:rsid w:val="DDBE030F"/>
    <w:rsid w:val="DDCABD14"/>
    <w:rsid w:val="DDFF2D9D"/>
    <w:rsid w:val="DEC375E8"/>
    <w:rsid w:val="DF310F46"/>
    <w:rsid w:val="DFB612BA"/>
    <w:rsid w:val="ED3F713D"/>
    <w:rsid w:val="ED575992"/>
    <w:rsid w:val="EEFE27AD"/>
    <w:rsid w:val="EFDFA85E"/>
    <w:rsid w:val="F2FD8C28"/>
    <w:rsid w:val="F3D909FD"/>
    <w:rsid w:val="F5BF61B1"/>
    <w:rsid w:val="F77D99DE"/>
    <w:rsid w:val="F77F5FCE"/>
    <w:rsid w:val="F7BFC132"/>
    <w:rsid w:val="F7DB3299"/>
    <w:rsid w:val="F7FE6888"/>
    <w:rsid w:val="FAFF010F"/>
    <w:rsid w:val="FBF60BC5"/>
    <w:rsid w:val="FD3E4962"/>
    <w:rsid w:val="FE4936B6"/>
    <w:rsid w:val="FE7D4066"/>
    <w:rsid w:val="FFBC5CB2"/>
    <w:rsid w:val="FFBE55CF"/>
    <w:rsid w:val="FFFDDD78"/>
    <w:rsid w:val="FFFF3D16"/>
    <w:rsid w:val="FFFF5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iPriority="99"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numPr>
        <w:ilvl w:val="0"/>
        <w:numId w:val="1"/>
      </w:numPr>
      <w:tabs>
        <w:tab w:val="left" w:pos="3840"/>
      </w:tabs>
      <w:adjustRightInd w:val="0"/>
      <w:spacing w:line="300" w:lineRule="auto"/>
      <w:textAlignment w:val="baseline"/>
      <w:outlineLvl w:val="0"/>
    </w:pPr>
    <w:rPr>
      <w:rFonts w:ascii="黑体" w:eastAsia="黑体"/>
      <w:b/>
      <w:bCs/>
      <w:kern w:val="0"/>
      <w:sz w:val="30"/>
      <w:szCs w:val="30"/>
    </w:rPr>
  </w:style>
  <w:style w:type="paragraph" w:styleId="3">
    <w:name w:val="heading 3"/>
    <w:basedOn w:val="1"/>
    <w:next w:val="1"/>
    <w:qFormat/>
    <w:uiPriority w:val="0"/>
    <w:pPr>
      <w:keepNext/>
      <w:keepLines/>
      <w:widowControl/>
      <w:spacing w:line="413" w:lineRule="auto"/>
      <w:ind w:firstLine="200" w:firstLineChars="200"/>
      <w:jc w:val="left"/>
      <w:outlineLvl w:val="2"/>
    </w:pPr>
    <w:rPr>
      <w:b/>
      <w:bCs/>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1400" w:leftChars="1400"/>
    </w:pPr>
  </w:style>
  <w:style w:type="paragraph" w:styleId="5">
    <w:name w:val="Normal Indent"/>
    <w:basedOn w:val="1"/>
    <w:qFormat/>
    <w:uiPriority w:val="99"/>
    <w:pPr>
      <w:adjustRightInd w:val="0"/>
      <w:spacing w:line="312" w:lineRule="atLeast"/>
      <w:ind w:firstLine="420"/>
      <w:textAlignment w:val="baseline"/>
    </w:pPr>
    <w:rPr>
      <w:kern w:val="0"/>
      <w:sz w:val="32"/>
      <w:szCs w:val="32"/>
    </w:rPr>
  </w:style>
  <w:style w:type="paragraph" w:styleId="6">
    <w:name w:val="toa heading"/>
    <w:basedOn w:val="1"/>
    <w:next w:val="1"/>
    <w:unhideWhenUsed/>
    <w:qFormat/>
    <w:uiPriority w:val="99"/>
    <w:pPr>
      <w:spacing w:before="120"/>
    </w:pPr>
    <w:rPr>
      <w:rFonts w:ascii="Arial" w:hAnsi="Arial" w:cs="Arial"/>
      <w:szCs w:val="21"/>
    </w:rPr>
  </w:style>
  <w:style w:type="paragraph" w:styleId="7">
    <w:name w:val="annotation text"/>
    <w:basedOn w:val="1"/>
    <w:link w:val="28"/>
    <w:qFormat/>
    <w:uiPriority w:val="0"/>
    <w:pPr>
      <w:jc w:val="left"/>
    </w:pPr>
  </w:style>
  <w:style w:type="paragraph" w:styleId="8">
    <w:name w:val="Body Text"/>
    <w:basedOn w:val="1"/>
    <w:qFormat/>
    <w:uiPriority w:val="0"/>
    <w:pPr>
      <w:spacing w:after="120"/>
    </w:pPr>
  </w:style>
  <w:style w:type="paragraph" w:styleId="9">
    <w:name w:val="Body Text Indent"/>
    <w:basedOn w:val="1"/>
    <w:qFormat/>
    <w:uiPriority w:val="0"/>
    <w:pPr>
      <w:spacing w:after="120"/>
      <w:ind w:left="420" w:leftChars="200"/>
    </w:pPr>
  </w:style>
  <w:style w:type="paragraph" w:styleId="10">
    <w:name w:val="Plain Text"/>
    <w:basedOn w:val="1"/>
    <w:next w:val="4"/>
    <w:qFormat/>
    <w:uiPriority w:val="0"/>
    <w:rPr>
      <w:rFonts w:ascii="宋体" w:hAnsi="Courier New"/>
      <w:kern w:val="10"/>
      <w:szCs w:val="20"/>
    </w:rPr>
  </w:style>
  <w:style w:type="paragraph" w:styleId="11">
    <w:name w:val="Date"/>
    <w:basedOn w:val="1"/>
    <w:next w:val="1"/>
    <w:link w:val="29"/>
    <w:qFormat/>
    <w:uiPriority w:val="0"/>
    <w:pPr>
      <w:ind w:left="100" w:leftChars="2500"/>
    </w:p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30"/>
    <w:qFormat/>
    <w:uiPriority w:val="0"/>
    <w:rPr>
      <w:sz w:val="18"/>
      <w:szCs w:val="18"/>
    </w:rPr>
  </w:style>
  <w:style w:type="paragraph" w:styleId="14">
    <w:name w:val="footer"/>
    <w:basedOn w:val="1"/>
    <w:link w:val="31"/>
    <w:qFormat/>
    <w:uiPriority w:val="99"/>
    <w:pPr>
      <w:tabs>
        <w:tab w:val="center" w:pos="4153"/>
        <w:tab w:val="right" w:pos="8306"/>
      </w:tabs>
      <w:snapToGrid w:val="0"/>
      <w:jc w:val="left"/>
    </w:pPr>
    <w:rPr>
      <w:sz w:val="18"/>
      <w:szCs w:val="18"/>
    </w:rPr>
  </w:style>
  <w:style w:type="paragraph" w:styleId="15">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qFormat/>
    <w:uiPriority w:val="99"/>
    <w:pPr>
      <w:spacing w:before="240" w:after="60"/>
      <w:jc w:val="center"/>
      <w:outlineLvl w:val="0"/>
    </w:pPr>
    <w:rPr>
      <w:rFonts w:ascii="Calibri Light" w:hAnsi="Calibri Light" w:cs="Calibri Light"/>
      <w:b/>
      <w:bCs/>
      <w:sz w:val="32"/>
      <w:szCs w:val="32"/>
    </w:rPr>
  </w:style>
  <w:style w:type="paragraph" w:styleId="18">
    <w:name w:val="annotation subject"/>
    <w:basedOn w:val="7"/>
    <w:next w:val="7"/>
    <w:link w:val="33"/>
    <w:qFormat/>
    <w:uiPriority w:val="0"/>
    <w:rPr>
      <w:b/>
      <w:bCs/>
    </w:rPr>
  </w:style>
  <w:style w:type="paragraph" w:styleId="19">
    <w:name w:val="Body Text First Indent 2"/>
    <w:unhideWhenUsed/>
    <w:qFormat/>
    <w:uiPriority w:val="0"/>
    <w:pPr>
      <w:widowControl w:val="0"/>
      <w:spacing w:after="120" w:line="300" w:lineRule="auto"/>
      <w:ind w:firstLine="200" w:firstLineChars="200"/>
      <w:jc w:val="both"/>
    </w:pPr>
    <w:rPr>
      <w:rFonts w:ascii="Times New Roman" w:hAnsi="Times New Roman" w:eastAsia="宋体" w:cs="Times New Roman"/>
      <w:kern w:val="2"/>
      <w:sz w:val="24"/>
      <w:szCs w:val="24"/>
      <w:lang w:val="en-US" w:eastAsia="zh-CN" w:bidi="ar-SA"/>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customStyle="1" w:styleId="2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批注文字 字符"/>
    <w:link w:val="7"/>
    <w:qFormat/>
    <w:uiPriority w:val="0"/>
    <w:rPr>
      <w:kern w:val="2"/>
      <w:sz w:val="21"/>
      <w:szCs w:val="22"/>
    </w:rPr>
  </w:style>
  <w:style w:type="character" w:customStyle="1" w:styleId="29">
    <w:name w:val="日期 字符"/>
    <w:link w:val="11"/>
    <w:qFormat/>
    <w:uiPriority w:val="0"/>
    <w:rPr>
      <w:kern w:val="2"/>
      <w:sz w:val="21"/>
      <w:szCs w:val="22"/>
    </w:rPr>
  </w:style>
  <w:style w:type="character" w:customStyle="1" w:styleId="30">
    <w:name w:val="批注框文本 字符"/>
    <w:link w:val="13"/>
    <w:qFormat/>
    <w:uiPriority w:val="0"/>
    <w:rPr>
      <w:kern w:val="2"/>
      <w:sz w:val="18"/>
      <w:szCs w:val="18"/>
    </w:rPr>
  </w:style>
  <w:style w:type="character" w:customStyle="1" w:styleId="31">
    <w:name w:val="页脚 字符"/>
    <w:link w:val="14"/>
    <w:qFormat/>
    <w:uiPriority w:val="99"/>
    <w:rPr>
      <w:kern w:val="2"/>
      <w:sz w:val="18"/>
      <w:szCs w:val="18"/>
    </w:rPr>
  </w:style>
  <w:style w:type="character" w:customStyle="1" w:styleId="32">
    <w:name w:val="页眉 字符"/>
    <w:link w:val="15"/>
    <w:qFormat/>
    <w:uiPriority w:val="0"/>
    <w:rPr>
      <w:kern w:val="2"/>
      <w:sz w:val="18"/>
      <w:szCs w:val="18"/>
    </w:rPr>
  </w:style>
  <w:style w:type="character" w:customStyle="1" w:styleId="33">
    <w:name w:val="批注主题 字符"/>
    <w:link w:val="18"/>
    <w:qFormat/>
    <w:uiPriority w:val="0"/>
    <w:rPr>
      <w:b/>
      <w:bCs/>
      <w:kern w:val="2"/>
      <w:sz w:val="21"/>
      <w:szCs w:val="22"/>
    </w:rPr>
  </w:style>
  <w:style w:type="character" w:customStyle="1" w:styleId="34">
    <w:name w:val="未处理的提及1"/>
    <w:unhideWhenUsed/>
    <w:qFormat/>
    <w:uiPriority w:val="99"/>
    <w:rPr>
      <w:color w:val="605E5C"/>
      <w:shd w:val="clear" w:color="auto" w:fill="E1DFDD"/>
    </w:rPr>
  </w:style>
  <w:style w:type="paragraph" w:customStyle="1" w:styleId="35">
    <w:name w:val="列出段落11"/>
    <w:basedOn w:val="1"/>
    <w:qFormat/>
    <w:uiPriority w:val="99"/>
    <w:pPr>
      <w:ind w:firstLine="420" w:firstLineChars="200"/>
    </w:pPr>
    <w:rPr>
      <w:rFonts w:ascii="Calibri" w:hAnsi="Calibri"/>
    </w:rPr>
  </w:style>
  <w:style w:type="paragraph" w:customStyle="1" w:styleId="36">
    <w:name w:val="修订1"/>
    <w:unhideWhenUsed/>
    <w:qFormat/>
    <w:uiPriority w:val="99"/>
    <w:rPr>
      <w:rFonts w:ascii="Times New Roman" w:hAnsi="Times New Roman" w:eastAsia="宋体" w:cs="Times New Roman"/>
      <w:kern w:val="2"/>
      <w:sz w:val="21"/>
      <w:szCs w:val="22"/>
      <w:lang w:val="en-US" w:eastAsia="zh-CN" w:bidi="ar-SA"/>
    </w:rPr>
  </w:style>
  <w:style w:type="paragraph" w:styleId="37">
    <w:name w:val="List Paragraph"/>
    <w:basedOn w:val="1"/>
    <w:qFormat/>
    <w:uiPriority w:val="34"/>
    <w:pPr>
      <w:ind w:firstLine="420" w:firstLineChars="200"/>
    </w:pPr>
  </w:style>
  <w:style w:type="paragraph" w:customStyle="1" w:styleId="38">
    <w:name w:val="列出段落1"/>
    <w:basedOn w:val="1"/>
    <w:qFormat/>
    <w:uiPriority w:val="0"/>
    <w:pPr>
      <w:ind w:firstLine="420" w:firstLineChars="200"/>
    </w:pPr>
    <w:rPr>
      <w:szCs w:val="21"/>
    </w:rPr>
  </w:style>
  <w:style w:type="paragraph" w:customStyle="1" w:styleId="39">
    <w:name w:val="custom_unionsty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USE 2"/>
    <w:basedOn w:val="1"/>
    <w:qFormat/>
    <w:uiPriority w:val="99"/>
    <w:pPr>
      <w:numPr>
        <w:ilvl w:val="1"/>
        <w:numId w:val="2"/>
      </w:numPr>
      <w:spacing w:line="360" w:lineRule="auto"/>
      <w:jc w:val="left"/>
    </w:pPr>
    <w:rPr>
      <w:rFonts w:ascii="宋体" w:hAnsi="宋体" w:cs="宋体"/>
      <w:sz w:val="24"/>
      <w:szCs w:val="24"/>
    </w:rPr>
  </w:style>
  <w:style w:type="paragraph" w:customStyle="1" w:styleId="41">
    <w:name w:val="USE 1"/>
    <w:basedOn w:val="1"/>
    <w:qFormat/>
    <w:uiPriority w:val="0"/>
    <w:pPr>
      <w:spacing w:line="200" w:lineRule="atLeast"/>
      <w:jc w:val="left"/>
    </w:pPr>
    <w:rPr>
      <w:rFonts w:ascii="宋体" w:hAnsi="宋体"/>
      <w:b/>
      <w:sz w:val="24"/>
      <w:szCs w:val="28"/>
    </w:rPr>
  </w:style>
  <w:style w:type="paragraph" w:customStyle="1" w:styleId="42">
    <w:name w:val="Body text|1"/>
    <w:basedOn w:val="1"/>
    <w:qFormat/>
    <w:uiPriority w:val="0"/>
    <w:pPr>
      <w:spacing w:line="350" w:lineRule="auto"/>
      <w:ind w:firstLine="400"/>
    </w:pPr>
    <w:rPr>
      <w:rFonts w:ascii="宋体" w:hAnsi="宋体" w:cs="宋体"/>
      <w:sz w:val="26"/>
      <w:szCs w:val="26"/>
      <w:lang w:val="zh-TW" w:eastAsia="zh-TW" w:bidi="zh-TW"/>
    </w:rPr>
  </w:style>
  <w:style w:type="character" w:customStyle="1" w:styleId="43">
    <w:name w:val="font21"/>
    <w:basedOn w:val="22"/>
    <w:qFormat/>
    <w:uiPriority w:val="0"/>
    <w:rPr>
      <w:rFonts w:hint="default" w:ascii="Times New Roman" w:hAnsi="Times New Roman" w:cs="Times New Roman"/>
      <w:b/>
      <w:bCs/>
      <w:color w:val="000000"/>
      <w:sz w:val="13"/>
      <w:szCs w:val="13"/>
      <w:u w:val="none"/>
    </w:rPr>
  </w:style>
  <w:style w:type="character" w:customStyle="1" w:styleId="44">
    <w:name w:val="font11"/>
    <w:basedOn w:val="22"/>
    <w:qFormat/>
    <w:uiPriority w:val="0"/>
    <w:rPr>
      <w:rFonts w:hint="eastAsia" w:ascii="宋体" w:hAnsi="宋体" w:eastAsia="宋体" w:cs="宋体"/>
      <w:b/>
      <w:bCs/>
      <w:color w:val="000000"/>
      <w:sz w:val="13"/>
      <w:szCs w:val="13"/>
      <w:u w:val="none"/>
    </w:rPr>
  </w:style>
  <w:style w:type="character" w:customStyle="1" w:styleId="45">
    <w:name w:val="font41"/>
    <w:basedOn w:val="22"/>
    <w:qFormat/>
    <w:uiPriority w:val="0"/>
    <w:rPr>
      <w:rFonts w:hint="default" w:ascii="Times New Roman" w:hAnsi="Times New Roman" w:cs="Times New Roman"/>
      <w:b/>
      <w:bCs/>
      <w:color w:val="000000"/>
      <w:sz w:val="13"/>
      <w:szCs w:val="13"/>
      <w:u w:val="none"/>
    </w:rPr>
  </w:style>
  <w:style w:type="character" w:customStyle="1" w:styleId="46">
    <w:name w:val="font31"/>
    <w:basedOn w:val="22"/>
    <w:qFormat/>
    <w:uiPriority w:val="0"/>
    <w:rPr>
      <w:rFonts w:hint="eastAsia" w:ascii="微软雅黑" w:hAnsi="微软雅黑" w:eastAsia="微软雅黑" w:cs="微软雅黑"/>
      <w:b/>
      <w:bCs/>
      <w:color w:val="000000"/>
      <w:sz w:val="13"/>
      <w:szCs w:val="13"/>
      <w:u w:val="none"/>
    </w:rPr>
  </w:style>
  <w:style w:type="paragraph" w:customStyle="1" w:styleId="47">
    <w:name w:val="列表段落2"/>
    <w:basedOn w:val="1"/>
    <w:qFormat/>
    <w:uiPriority w:val="99"/>
    <w:pPr>
      <w:ind w:firstLine="420" w:firstLineChars="200"/>
    </w:pPr>
    <w:rPr>
      <w:rFonts w:ascii="等线" w:hAnsi="等线" w:eastAsia="等线" w:cs="宋体"/>
    </w:rPr>
  </w:style>
  <w:style w:type="table" w:customStyle="1" w:styleId="48">
    <w:name w:val="Grid Table 1 Light"/>
    <w:basedOn w:val="20"/>
    <w:qFormat/>
    <w:uiPriority w:val="46"/>
    <w:rPr>
      <w:rFonts w:asciiTheme="minorHAnsi" w:hAnsiTheme="minorHAnsi" w:eastAsiaTheme="minorEastAsia" w:cstheme="minorBidi"/>
      <w:kern w:val="2"/>
      <w:sz w:val="21"/>
      <w:szCs w:val="21"/>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49">
    <w:name w:val="KWMCN-标准"/>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table" w:customStyle="1" w:styleId="50">
    <w:name w:val="网格表 1 浅色1"/>
    <w:basedOn w:val="20"/>
    <w:qFormat/>
    <w:uiPriority w:val="46"/>
    <w:rPr>
      <w:rFonts w:asciiTheme="minorHAnsi" w:hAnsiTheme="minorHAnsi" w:eastAsiaTheme="minorEastAsia" w:cstheme="minorBidi"/>
      <w:kern w:val="2"/>
      <w:sz w:val="21"/>
      <w:szCs w:val="21"/>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2425</Words>
  <Characters>2549</Characters>
  <Lines>60</Lines>
  <Paragraphs>17</Paragraphs>
  <TotalTime>7</TotalTime>
  <ScaleCrop>false</ScaleCrop>
  <LinksUpToDate>false</LinksUpToDate>
  <CharactersWithSpaces>2659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2022-11-09T10:26:00Z</dcterms:created>
  <dc:creator>wl</dc:creator>
  <cp:lastModifiedBy>DGY</cp:lastModifiedBy>
  <cp:lastPrinted>2025-12-24T02:12:00Z</cp:lastPrinted>
  <dcterms:modified xsi:type="dcterms:W3CDTF">2026-06-12T08:35:37Z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994DC5CBC36841B9B9D7187FFADB7FFD_13</vt:lpwstr>
  </property>
  <property fmtid="{D5CDD505-2E9C-101B-9397-08002B2CF9AE}" pid="4" name="KSOTemplateDocerSaveRecord">
    <vt:lpwstr>eyJoZGlkIjoiNjdhMzFiMDY4MGQyOTNiZmE4OWZhMzlhZGE5M2MxYzkiLCJ1c2VySWQiOiIyNzg4MTAzMDUifQ==</vt:lpwstr>
  </property>
</Properties>
</file>