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10EF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小标宋_GBK" w:hAnsi="方正小标宋_GBK" w:eastAsia="方正小标宋_GBK" w:cs="方正小标宋_GBK"/>
          <w:b w:val="0"/>
          <w:bCs w:val="0"/>
          <w:spacing w:val="0"/>
          <w:sz w:val="44"/>
          <w:szCs w:val="44"/>
          <w:lang w:val="en-US" w:eastAsia="zh-CN"/>
        </w:rPr>
      </w:pPr>
      <w:r>
        <w:rPr>
          <w:rFonts w:hint="eastAsia" w:ascii="方正小标宋_GBK" w:hAnsi="方正小标宋_GBK" w:eastAsia="方正小标宋_GBK" w:cs="方正小标宋_GBK"/>
          <w:b w:val="0"/>
          <w:bCs w:val="0"/>
          <w:spacing w:val="0"/>
          <w:sz w:val="44"/>
          <w:szCs w:val="44"/>
          <w:lang w:val="en-US" w:eastAsia="zh-CN"/>
        </w:rPr>
        <w:t>深圳市深深宝投资有限公司聘请律师事务所代理诉讼案件及相关事项竞争性谈判公告书</w:t>
      </w:r>
    </w:p>
    <w:p w14:paraId="0C8DBBF4">
      <w:pPr>
        <w:keepNext w:val="0"/>
        <w:keepLines w:val="0"/>
        <w:pageBreakBefore w:val="0"/>
        <w:widowControl/>
        <w:numPr>
          <w:ilvl w:val="-1"/>
          <w:numId w:val="0"/>
        </w:numPr>
        <w:kinsoku/>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
        </w:rPr>
      </w:pPr>
    </w:p>
    <w:p w14:paraId="22A39AFD">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深圳市深深宝投资有限公司（简称“深宝投资”）拟聘请律师事务所提供专项法律服务，现将有关服务采购事项公告如下：</w:t>
      </w:r>
    </w:p>
    <w:p w14:paraId="6471E79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kern w:val="2"/>
          <w:sz w:val="32"/>
          <w:szCs w:val="32"/>
          <w:lang w:val="en-US" w:eastAsia="zh-CN" w:bidi="ar-SA"/>
        </w:rPr>
        <w:t>一、</w:t>
      </w:r>
      <w:r>
        <w:rPr>
          <w:rFonts w:hint="eastAsia" w:ascii="黑体" w:hAnsi="黑体" w:eastAsia="黑体" w:cs="黑体"/>
          <w:b w:val="0"/>
          <w:bCs w:val="0"/>
          <w:sz w:val="32"/>
          <w:szCs w:val="32"/>
          <w:highlight w:val="none"/>
          <w:lang w:val="en-US" w:eastAsia="zh-CN"/>
        </w:rPr>
        <w:t>项目需求</w:t>
      </w:r>
    </w:p>
    <w:p w14:paraId="7183C1E4">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本次拟聘请的律师事务所主要负责推进深宝投资诉讼案件的应诉工作，同时统筹代理下属全资子公司后续破产清算程序跟进，潜在关联风险分析或诉讼代理工作，深宝投资拟聘请律师事务所提供专项包干法律服务，主要如下：</w:t>
      </w:r>
    </w:p>
    <w:p w14:paraId="2D9C0CA6">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b w:val="0"/>
          <w:bCs w:val="0"/>
          <w:color w:val="000000"/>
          <w:kern w:val="0"/>
          <w:sz w:val="32"/>
          <w:szCs w:val="32"/>
          <w:highlight w:val="none"/>
          <w:lang w:bidi="ar"/>
        </w:rPr>
      </w:pPr>
      <w:r>
        <w:rPr>
          <w:rFonts w:hint="eastAsia" w:ascii="楷体_GB2312" w:hAnsi="楷体_GB2312" w:eastAsia="楷体_GB2312" w:cs="楷体_GB2312"/>
          <w:b w:val="0"/>
          <w:bCs w:val="0"/>
          <w:kern w:val="2"/>
          <w:sz w:val="32"/>
          <w:szCs w:val="32"/>
          <w:lang w:val="en-US" w:eastAsia="zh-CN" w:bidi="ar"/>
        </w:rPr>
        <w:t>（一）诉讼案件代理。</w:t>
      </w:r>
      <w:r>
        <w:rPr>
          <w:rFonts w:hint="eastAsia" w:ascii="仿宋_GB2312" w:hAnsi="仿宋_GB2312" w:eastAsia="仿宋_GB2312" w:cs="仿宋_GB2312"/>
          <w:b w:val="0"/>
          <w:bCs w:val="0"/>
          <w:color w:val="000000"/>
          <w:kern w:val="0"/>
          <w:sz w:val="32"/>
          <w:szCs w:val="32"/>
          <w:highlight w:val="none"/>
          <w:lang w:val="en-US" w:eastAsia="zh-CN" w:bidi="ar"/>
        </w:rPr>
        <w:t>负责诉讼程序各项工作，包括庭审应诉、证据梳理、法律辩论、文书撰写、案件跟进等。</w:t>
      </w:r>
    </w:p>
    <w:p w14:paraId="5B46EBFE">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b w:val="0"/>
          <w:bCs w:val="0"/>
          <w:color w:val="000000"/>
          <w:kern w:val="0"/>
          <w:sz w:val="32"/>
          <w:szCs w:val="32"/>
          <w:highlight w:val="none"/>
          <w:lang w:bidi="ar"/>
        </w:rPr>
      </w:pPr>
      <w:r>
        <w:rPr>
          <w:rFonts w:hint="eastAsia" w:ascii="楷体_GB2312" w:hAnsi="楷体_GB2312" w:eastAsia="楷体_GB2312" w:cs="楷体_GB2312"/>
          <w:b w:val="0"/>
          <w:bCs w:val="0"/>
          <w:kern w:val="2"/>
          <w:sz w:val="32"/>
          <w:szCs w:val="32"/>
          <w:lang w:val="en-US" w:eastAsia="zh-CN" w:bidi="ar"/>
        </w:rPr>
        <w:t>（二）破产清算专项服务。</w:t>
      </w:r>
      <w:r>
        <w:rPr>
          <w:rFonts w:hint="eastAsia" w:ascii="仿宋_GB2312" w:hAnsi="仿宋_GB2312" w:eastAsia="仿宋_GB2312" w:cs="仿宋_GB2312"/>
          <w:b w:val="0"/>
          <w:bCs w:val="0"/>
          <w:color w:val="000000"/>
          <w:kern w:val="0"/>
          <w:sz w:val="32"/>
          <w:szCs w:val="32"/>
          <w:highlight w:val="none"/>
          <w:lang w:val="en-US" w:eastAsia="zh-CN" w:bidi="ar"/>
        </w:rPr>
        <w:t>代为深宝投资及关联公司向全资子公司破产清算管理人申报债权、提交佐证材料、参与债权人会议、跟进清算流程，必要时出具法律意见书，直至全资子公司完成破产裁决及工商注销登记。</w:t>
      </w:r>
    </w:p>
    <w:p w14:paraId="4FDAC673">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b w:val="0"/>
          <w:bCs w:val="0"/>
          <w:color w:val="000000"/>
          <w:kern w:val="0"/>
          <w:sz w:val="32"/>
          <w:szCs w:val="32"/>
          <w:highlight w:val="none"/>
          <w:lang w:val="en-US" w:eastAsia="zh-CN" w:bidi="ar"/>
        </w:rPr>
      </w:pPr>
      <w:r>
        <w:rPr>
          <w:rFonts w:hint="eastAsia" w:ascii="楷体_GB2312" w:hAnsi="楷体_GB2312" w:eastAsia="楷体_GB2312" w:cs="楷体_GB2312"/>
          <w:b w:val="0"/>
          <w:bCs w:val="0"/>
          <w:kern w:val="2"/>
          <w:sz w:val="32"/>
          <w:szCs w:val="32"/>
          <w:lang w:val="en-US" w:eastAsia="zh-CN" w:bidi="ar"/>
        </w:rPr>
        <w:t>（三）潜在风险分析及应对。</w:t>
      </w:r>
      <w:r>
        <w:rPr>
          <w:rFonts w:hint="eastAsia" w:ascii="仿宋_GB2312" w:hAnsi="仿宋_GB2312" w:eastAsia="仿宋_GB2312" w:cs="仿宋_GB2312"/>
          <w:b w:val="0"/>
          <w:bCs w:val="0"/>
          <w:color w:val="000000"/>
          <w:kern w:val="0"/>
          <w:sz w:val="32"/>
          <w:szCs w:val="32"/>
          <w:highlight w:val="none"/>
          <w:lang w:val="en-US" w:eastAsia="zh-CN" w:bidi="ar"/>
        </w:rPr>
        <w:t>基于深宝投资全资子公司破产清算的情况，充分分析潜在法律风险，并制定适当的应对措施，形成法律意见书。</w:t>
      </w:r>
    </w:p>
    <w:p w14:paraId="58B08430">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楷体_GB2312" w:hAnsi="楷体_GB2312" w:eastAsia="楷体_GB2312" w:cs="楷体_GB2312"/>
          <w:b w:val="0"/>
          <w:bCs w:val="0"/>
          <w:kern w:val="2"/>
          <w:sz w:val="32"/>
          <w:szCs w:val="32"/>
          <w:lang w:val="en-US" w:eastAsia="zh-CN" w:bidi="ar"/>
        </w:rPr>
        <w:t>（四）潜在诉讼代理。</w:t>
      </w:r>
      <w:r>
        <w:rPr>
          <w:rFonts w:hint="eastAsia" w:ascii="仿宋_GB2312" w:hAnsi="仿宋_GB2312" w:eastAsia="仿宋_GB2312" w:cs="仿宋_GB2312"/>
          <w:b w:val="0"/>
          <w:bCs w:val="0"/>
          <w:color w:val="000000"/>
          <w:kern w:val="0"/>
          <w:sz w:val="32"/>
          <w:szCs w:val="32"/>
          <w:highlight w:val="none"/>
          <w:lang w:val="en-US" w:eastAsia="zh-CN" w:bidi="ar"/>
        </w:rPr>
        <w:t>若后续深宝投资因全资子公司破产清算出现关联纠纷</w:t>
      </w:r>
      <w:r>
        <w:rPr>
          <w:rFonts w:hint="eastAsia" w:ascii="仿宋_GB2312" w:hAnsi="仿宋_GB2312" w:eastAsia="仿宋_GB2312" w:cs="仿宋_GB2312"/>
          <w:b w:val="0"/>
          <w:bCs w:val="0"/>
          <w:color w:val="000000"/>
          <w:kern w:val="0"/>
          <w:sz w:val="32"/>
          <w:szCs w:val="32"/>
          <w:highlight w:val="none"/>
          <w:lang w:bidi="ar"/>
        </w:rPr>
        <w:t>，</w:t>
      </w:r>
      <w:r>
        <w:rPr>
          <w:rFonts w:hint="eastAsia" w:ascii="仿宋_GB2312" w:hAnsi="仿宋_GB2312" w:eastAsia="仿宋_GB2312" w:cs="仿宋_GB2312"/>
          <w:b w:val="0"/>
          <w:bCs w:val="0"/>
          <w:color w:val="000000"/>
          <w:kern w:val="0"/>
          <w:sz w:val="32"/>
          <w:szCs w:val="32"/>
          <w:highlight w:val="none"/>
          <w:lang w:val="en-US" w:eastAsia="zh-CN" w:bidi="ar"/>
        </w:rPr>
        <w:t>由中标律</w:t>
      </w:r>
      <w:r>
        <w:rPr>
          <w:rFonts w:hint="eastAsia" w:ascii="仿宋_GB2312" w:hAnsi="仿宋_GB2312" w:eastAsia="仿宋_GB2312" w:cs="仿宋_GB2312"/>
          <w:color w:val="000000"/>
          <w:kern w:val="0"/>
          <w:sz w:val="32"/>
          <w:szCs w:val="32"/>
          <w:highlight w:val="none"/>
          <w:lang w:val="en-US" w:eastAsia="zh-CN" w:bidi="ar"/>
        </w:rPr>
        <w:t>师事务所</w:t>
      </w:r>
      <w:r>
        <w:rPr>
          <w:rFonts w:hint="eastAsia" w:ascii="仿宋_GB2312" w:hAnsi="仿宋_GB2312" w:eastAsia="仿宋_GB2312" w:cs="仿宋_GB2312"/>
          <w:color w:val="000000"/>
          <w:kern w:val="0"/>
          <w:sz w:val="32"/>
          <w:szCs w:val="32"/>
          <w:highlight w:val="none"/>
          <w:lang w:bidi="ar"/>
        </w:rPr>
        <w:t>代为开展包括诉前调解、一审、二审（如有）、再审（如有）、执行（如有）在内的全流程诉讼代理工作</w:t>
      </w:r>
      <w:r>
        <w:rPr>
          <w:rFonts w:hint="eastAsia" w:ascii="仿宋_GB2312" w:hAnsi="仿宋_GB2312" w:eastAsia="仿宋_GB2312" w:cs="仿宋_GB2312"/>
          <w:color w:val="000000"/>
          <w:kern w:val="0"/>
          <w:sz w:val="32"/>
          <w:szCs w:val="32"/>
          <w:highlight w:val="none"/>
          <w:lang w:val="en-US" w:eastAsia="zh-CN" w:bidi="ar"/>
        </w:rPr>
        <w:t>。</w:t>
      </w:r>
    </w:p>
    <w:p w14:paraId="4EC33C14">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b w:val="0"/>
          <w:bCs w:val="0"/>
          <w:sz w:val="32"/>
          <w:szCs w:val="32"/>
          <w:highlight w:val="none"/>
          <w:lang w:val="en-US" w:eastAsia="zh-CN" w:bidi="ar"/>
        </w:rPr>
      </w:pPr>
      <w:r>
        <w:rPr>
          <w:rFonts w:hint="eastAsia" w:ascii="黑体" w:hAnsi="黑体" w:eastAsia="黑体" w:cs="黑体"/>
          <w:b w:val="0"/>
          <w:bCs w:val="0"/>
          <w:kern w:val="2"/>
          <w:sz w:val="32"/>
          <w:szCs w:val="32"/>
          <w:lang w:val="en-US" w:eastAsia="zh-CN" w:bidi="ar"/>
        </w:rPr>
        <w:t>二、</w:t>
      </w:r>
      <w:r>
        <w:rPr>
          <w:rFonts w:hint="default" w:ascii="黑体" w:hAnsi="黑体" w:eastAsia="黑体" w:cs="黑体"/>
          <w:b w:val="0"/>
          <w:bCs w:val="0"/>
          <w:sz w:val="32"/>
          <w:szCs w:val="32"/>
          <w:highlight w:val="none"/>
          <w:lang w:val="en-US" w:eastAsia="zh-CN" w:bidi="ar"/>
        </w:rPr>
        <w:t>采购控制价</w:t>
      </w:r>
      <w:r>
        <w:rPr>
          <w:rFonts w:hint="eastAsia" w:ascii="黑体" w:hAnsi="黑体" w:eastAsia="黑体" w:cs="黑体"/>
          <w:b w:val="0"/>
          <w:bCs w:val="0"/>
          <w:sz w:val="32"/>
          <w:szCs w:val="32"/>
          <w:highlight w:val="none"/>
          <w:lang w:val="en-US" w:eastAsia="zh-CN" w:bidi="ar"/>
        </w:rPr>
        <w:t>及费用支付模式</w:t>
      </w:r>
    </w:p>
    <w:p w14:paraId="334E05AC">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宋体" w:eastAsia="仿宋_GB2312" w:cs="仿宋_GB2312"/>
          <w:color w:val="000000"/>
          <w:kern w:val="0"/>
          <w:sz w:val="32"/>
          <w:szCs w:val="32"/>
          <w:highlight w:val="none"/>
          <w:lang w:bidi="ar"/>
        </w:rPr>
      </w:pPr>
      <w:r>
        <w:rPr>
          <w:rFonts w:ascii="仿宋_GB2312" w:hAnsi="宋体" w:eastAsia="仿宋_GB2312" w:cs="仿宋_GB2312"/>
          <w:color w:val="000000"/>
          <w:kern w:val="0"/>
          <w:sz w:val="32"/>
          <w:szCs w:val="32"/>
          <w:highlight w:val="none"/>
          <w:lang w:bidi="ar"/>
        </w:rPr>
        <w:t>本</w:t>
      </w:r>
      <w:r>
        <w:rPr>
          <w:rFonts w:hint="eastAsia" w:ascii="仿宋_GB2312" w:hAnsi="宋体" w:eastAsia="仿宋_GB2312" w:cs="仿宋_GB2312"/>
          <w:color w:val="000000"/>
          <w:kern w:val="0"/>
          <w:sz w:val="32"/>
          <w:szCs w:val="32"/>
          <w:highlight w:val="none"/>
          <w:lang w:bidi="ar"/>
        </w:rPr>
        <w:t>项目采购控制价为</w:t>
      </w:r>
      <w:r>
        <w:rPr>
          <w:rFonts w:hint="eastAsia" w:ascii="仿宋_GB2312" w:hAnsi="宋体" w:eastAsia="仿宋_GB2312" w:cs="仿宋_GB2312"/>
          <w:color w:val="000000"/>
          <w:kern w:val="0"/>
          <w:sz w:val="32"/>
          <w:szCs w:val="32"/>
          <w:highlight w:val="none"/>
          <w:lang w:val="en-US" w:eastAsia="zh-CN" w:bidi="ar"/>
        </w:rPr>
        <w:t>含税价人民币14</w:t>
      </w:r>
      <w:r>
        <w:rPr>
          <w:rFonts w:hint="eastAsia" w:ascii="仿宋_GB2312" w:hAnsi="宋体" w:eastAsia="仿宋_GB2312" w:cs="仿宋_GB2312"/>
          <w:color w:val="000000"/>
          <w:kern w:val="0"/>
          <w:sz w:val="32"/>
          <w:szCs w:val="32"/>
          <w:highlight w:val="none"/>
          <w:lang w:bidi="ar"/>
        </w:rPr>
        <w:t>万元，采用分阶段服务、分阶段付费模式，其中</w:t>
      </w:r>
      <w:r>
        <w:rPr>
          <w:rFonts w:hint="eastAsia" w:ascii="仿宋_GB2312" w:hAnsi="仿宋_GB2312" w:eastAsia="仿宋_GB2312" w:cs="仿宋_GB2312"/>
          <w:kern w:val="0"/>
          <w:sz w:val="32"/>
          <w:szCs w:val="32"/>
          <w:lang w:val="en-US" w:eastAsia="zh-CN" w:bidi="ar"/>
        </w:rPr>
        <w:t>第4部分潜在诉讼代理的报价不得低于总报价的40%。</w:t>
      </w:r>
    </w:p>
    <w:p w14:paraId="0271986E">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ascii="黑体" w:hAnsi="宋体" w:eastAsia="黑体" w:cs="黑体"/>
          <w:color w:val="000000"/>
          <w:kern w:val="0"/>
          <w:sz w:val="32"/>
          <w:szCs w:val="32"/>
          <w:highlight w:val="none"/>
          <w:lang w:bidi="ar"/>
        </w:rPr>
      </w:pPr>
      <w:r>
        <w:rPr>
          <w:rFonts w:hint="eastAsia" w:ascii="黑体" w:hAnsi="宋体" w:eastAsia="黑体" w:cs="黑体"/>
          <w:color w:val="000000"/>
          <w:kern w:val="0"/>
          <w:sz w:val="32"/>
          <w:szCs w:val="32"/>
          <w:lang w:val="en-US" w:eastAsia="zh-CN" w:bidi="ar"/>
        </w:rPr>
        <w:t>三、</w:t>
      </w:r>
      <w:r>
        <w:rPr>
          <w:rFonts w:hint="eastAsia" w:ascii="黑体" w:hAnsi="宋体" w:eastAsia="黑体" w:cs="黑体"/>
          <w:color w:val="000000"/>
          <w:kern w:val="0"/>
          <w:sz w:val="32"/>
          <w:szCs w:val="32"/>
          <w:highlight w:val="none"/>
          <w:lang w:bidi="ar"/>
        </w:rPr>
        <w:t>服务机构</w:t>
      </w:r>
      <w:r>
        <w:rPr>
          <w:rFonts w:ascii="黑体" w:hAnsi="宋体" w:eastAsia="黑体" w:cs="黑体"/>
          <w:color w:val="000000"/>
          <w:kern w:val="0"/>
          <w:sz w:val="32"/>
          <w:szCs w:val="32"/>
          <w:highlight w:val="none"/>
          <w:lang w:bidi="ar"/>
        </w:rPr>
        <w:t xml:space="preserve">资格条件 </w:t>
      </w:r>
    </w:p>
    <w:p w14:paraId="620D2E90">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（一）依法经省级司法行政机关批准设立，年度考核合格，具备独立承担民事责任能力;</w:t>
      </w:r>
    </w:p>
    <w:p w14:paraId="4B297EE0">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（二）近3年内，律所及负责人、主办律师无失信被执行人、违法失信等不良信用记录;</w:t>
      </w:r>
    </w:p>
    <w:p w14:paraId="36434AA5">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黑体" w:hAnsi="宋体" w:eastAsia="黑体" w:cs="黑体"/>
          <w:color w:val="000000"/>
          <w:kern w:val="0"/>
          <w:sz w:val="32"/>
          <w:szCs w:val="32"/>
          <w:highlight w:val="none"/>
          <w:lang w:val="en-US" w:eastAsia="zh-CN" w:bidi="ar"/>
        </w:rPr>
      </w:pPr>
      <w:r>
        <w:rPr>
          <w:rFonts w:hint="eastAsia" w:ascii="仿宋_GB2312" w:hAnsi="仿宋_GB2312" w:eastAsia="仿宋_GB2312" w:cs="仿宋_GB2312"/>
          <w:kern w:val="0"/>
          <w:sz w:val="32"/>
          <w:szCs w:val="32"/>
          <w:lang w:val="en-US" w:eastAsia="zh-CN" w:bidi="ar"/>
        </w:rPr>
        <w:t>（三）主办律师持有有效律师执业证，具备3年及以上执业经验，熟悉企业/单位合规、合同、纠纷处理等相关业务;</w:t>
      </w:r>
    </w:p>
    <w:p w14:paraId="45FD81F5">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（四）本项目不接受联合体投标。</w:t>
      </w:r>
    </w:p>
    <w:p w14:paraId="073DB67F">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sz w:val="32"/>
          <w:szCs w:val="32"/>
          <w:highlight w:val="none"/>
        </w:rPr>
      </w:pPr>
      <w:r>
        <w:rPr>
          <w:rFonts w:hint="eastAsia" w:ascii="黑体" w:hAnsi="宋体" w:eastAsia="黑体" w:cs="黑体"/>
          <w:color w:val="000000"/>
          <w:kern w:val="0"/>
          <w:sz w:val="32"/>
          <w:szCs w:val="32"/>
          <w:highlight w:val="none"/>
          <w:lang w:val="en-US" w:eastAsia="zh-CN" w:bidi="ar"/>
        </w:rPr>
        <w:t>四</w:t>
      </w:r>
      <w:r>
        <w:rPr>
          <w:rFonts w:hint="eastAsia" w:ascii="黑体" w:hAnsi="宋体" w:eastAsia="黑体" w:cs="黑体"/>
          <w:color w:val="000000"/>
          <w:kern w:val="0"/>
          <w:sz w:val="32"/>
          <w:szCs w:val="32"/>
          <w:highlight w:val="none"/>
          <w:lang w:bidi="ar"/>
        </w:rPr>
        <w:t xml:space="preserve">、响应文件提交 </w:t>
      </w:r>
    </w:p>
    <w:p w14:paraId="28A674FE">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firstLine="640" w:firstLineChars="200"/>
        <w:jc w:val="left"/>
        <w:textAlignment w:val="auto"/>
        <w:rPr>
          <w:rFonts w:hint="default" w:ascii="仿宋_GB2312" w:hAnsi="仿宋_GB2312" w:eastAsia="仿宋_GB2312" w:cs="仿宋_GB2312"/>
          <w:color w:val="000000"/>
          <w:kern w:val="0"/>
          <w:sz w:val="32"/>
          <w:szCs w:val="32"/>
          <w:highlight w:val="none"/>
          <w:lang w:val="en-US" w:bidi="ar"/>
        </w:rPr>
      </w:pPr>
      <w:r>
        <w:rPr>
          <w:rFonts w:hint="eastAsia" w:ascii="仿宋_GB2312" w:hAnsi="仿宋_GB2312" w:eastAsia="仿宋_GB2312" w:cs="仿宋_GB2312"/>
          <w:color w:val="000000"/>
          <w:kern w:val="0"/>
          <w:sz w:val="32"/>
          <w:szCs w:val="32"/>
          <w:highlight w:val="none"/>
          <w:lang w:bidi="ar"/>
        </w:rPr>
        <w:t>（一）</w:t>
      </w:r>
      <w:r>
        <w:rPr>
          <w:rFonts w:hint="eastAsia" w:ascii="仿宋_GB2312" w:hAnsi="仿宋_GB2312" w:eastAsia="仿宋_GB2312" w:cs="仿宋_GB2312"/>
          <w:color w:val="000000"/>
          <w:kern w:val="0"/>
          <w:sz w:val="32"/>
          <w:szCs w:val="32"/>
          <w:highlight w:val="none"/>
          <w:lang w:val="en-US" w:eastAsia="zh-CN" w:bidi="ar"/>
        </w:rPr>
        <w:t>资质文件（律师事务所执业许可证、主办律师执业证书复印件）;</w:t>
      </w:r>
    </w:p>
    <w:p w14:paraId="3EBD2015">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color w:val="auto"/>
          <w:sz w:val="32"/>
          <w:szCs w:val="32"/>
          <w:highlight w:val="none"/>
          <w:lang w:val="en-US"/>
        </w:rPr>
      </w:pPr>
      <w:r>
        <w:rPr>
          <w:rFonts w:hint="eastAsia" w:ascii="仿宋_GB2312" w:hAnsi="宋体" w:eastAsia="仿宋_GB2312" w:cs="仿宋_GB2312"/>
          <w:color w:val="auto"/>
          <w:kern w:val="0"/>
          <w:sz w:val="32"/>
          <w:szCs w:val="32"/>
          <w:highlight w:val="none"/>
          <w:lang w:bidi="ar"/>
        </w:rPr>
        <w:t>（二）</w:t>
      </w:r>
      <w:r>
        <w:rPr>
          <w:rFonts w:hint="eastAsia" w:ascii="仿宋_GB2312" w:hAnsi="宋体" w:eastAsia="仿宋_GB2312" w:cs="仿宋_GB2312"/>
          <w:color w:val="auto"/>
          <w:kern w:val="0"/>
          <w:sz w:val="32"/>
          <w:szCs w:val="32"/>
          <w:highlight w:val="none"/>
          <w:lang w:val="en-US" w:eastAsia="zh-CN" w:bidi="ar"/>
        </w:rPr>
        <w:t>负责</w:t>
      </w:r>
      <w:r>
        <w:rPr>
          <w:rFonts w:hint="eastAsia" w:ascii="仿宋_GB2312" w:hAnsi="宋体" w:eastAsia="仿宋_GB2312" w:cs="仿宋_GB2312"/>
          <w:color w:val="auto"/>
          <w:kern w:val="0"/>
          <w:sz w:val="32"/>
          <w:szCs w:val="32"/>
          <w:highlight w:val="none"/>
          <w:lang w:bidi="ar"/>
        </w:rPr>
        <w:t>人</w:t>
      </w:r>
      <w:r>
        <w:rPr>
          <w:rFonts w:hint="eastAsia" w:ascii="仿宋_GB2312" w:hAnsi="宋体" w:eastAsia="仿宋_GB2312" w:cs="仿宋_GB2312"/>
          <w:color w:val="auto"/>
          <w:kern w:val="0"/>
          <w:sz w:val="32"/>
          <w:szCs w:val="32"/>
          <w:highlight w:val="none"/>
          <w:lang w:val="en-US" w:eastAsia="zh-CN" w:bidi="ar"/>
        </w:rPr>
        <w:t>身份</w:t>
      </w:r>
      <w:r>
        <w:rPr>
          <w:rFonts w:hint="eastAsia" w:ascii="仿宋_GB2312" w:hAnsi="宋体" w:eastAsia="仿宋_GB2312" w:cs="仿宋_GB2312"/>
          <w:color w:val="auto"/>
          <w:kern w:val="0"/>
          <w:sz w:val="32"/>
          <w:szCs w:val="32"/>
          <w:highlight w:val="none"/>
          <w:lang w:bidi="ar"/>
        </w:rPr>
        <w:t>证明书</w:t>
      </w:r>
      <w:r>
        <w:rPr>
          <w:rFonts w:hint="eastAsia" w:ascii="仿宋_GB2312" w:hAnsi="宋体" w:eastAsia="仿宋_GB2312" w:cs="仿宋_GB2312"/>
          <w:color w:val="auto"/>
          <w:kern w:val="0"/>
          <w:sz w:val="32"/>
          <w:szCs w:val="32"/>
          <w:highlight w:val="none"/>
          <w:lang w:eastAsia="zh-CN" w:bidi="ar"/>
        </w:rPr>
        <w:t>，</w:t>
      </w:r>
      <w:r>
        <w:rPr>
          <w:rFonts w:hint="eastAsia" w:ascii="仿宋_GB2312" w:hAnsi="宋体" w:eastAsia="仿宋_GB2312" w:cs="仿宋_GB2312"/>
          <w:color w:val="auto"/>
          <w:kern w:val="0"/>
          <w:sz w:val="32"/>
          <w:szCs w:val="32"/>
          <w:highlight w:val="none"/>
          <w:lang w:val="en-US" w:eastAsia="zh-CN" w:bidi="ar"/>
        </w:rPr>
        <w:t>主办律师</w:t>
      </w:r>
      <w:r>
        <w:rPr>
          <w:rFonts w:hint="eastAsia" w:ascii="仿宋_GB2312" w:hAnsi="仿宋_GB2312" w:eastAsia="仿宋_GB2312" w:cs="仿宋_GB2312"/>
          <w:kern w:val="0"/>
          <w:sz w:val="32"/>
          <w:szCs w:val="32"/>
          <w:lang w:val="en-US" w:eastAsia="zh-CN" w:bidi="ar"/>
        </w:rPr>
        <w:t>有效律师执业证;</w:t>
      </w:r>
    </w:p>
    <w:p w14:paraId="06890960">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宋体" w:eastAsia="仿宋_GB2312" w:cs="仿宋_GB2312"/>
          <w:color w:val="auto"/>
          <w:kern w:val="0"/>
          <w:sz w:val="32"/>
          <w:szCs w:val="32"/>
          <w:highlight w:val="none"/>
          <w:lang w:bidi="ar"/>
        </w:rPr>
        <w:t>（三）</w:t>
      </w:r>
      <w:r>
        <w:rPr>
          <w:rFonts w:hint="eastAsia" w:ascii="仿宋_GB2312" w:hAnsi="仿宋_GB2312" w:eastAsia="仿宋_GB2312" w:cs="仿宋_GB2312"/>
          <w:kern w:val="0"/>
          <w:sz w:val="32"/>
          <w:szCs w:val="32"/>
          <w:lang w:val="en-US" w:eastAsia="zh-CN" w:bidi="ar"/>
        </w:rPr>
        <w:t>律所及负责人、主办律师近三年无失信被执行人、违法失信等不良信用记录证明;</w:t>
      </w:r>
    </w:p>
    <w:p w14:paraId="2BC6B0B0">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仿宋_GB2312" w:hAnsi="仿宋_GB2312" w:eastAsia="仿宋_GB2312" w:cs="仿宋_GB2312"/>
          <w:kern w:val="0"/>
          <w:sz w:val="32"/>
          <w:szCs w:val="32"/>
          <w:lang w:val="en-US" w:eastAsia="zh-CN" w:bidi="ar"/>
        </w:rPr>
      </w:pPr>
      <w:r>
        <w:rPr>
          <w:rFonts w:hint="eastAsia" w:ascii="仿宋_GB2312" w:hAnsi="宋体" w:eastAsia="仿宋_GB2312" w:cs="仿宋_GB2312"/>
          <w:color w:val="auto"/>
          <w:kern w:val="0"/>
          <w:sz w:val="32"/>
          <w:szCs w:val="32"/>
          <w:highlight w:val="none"/>
          <w:lang w:bidi="ar"/>
        </w:rPr>
        <w:t>（</w:t>
      </w:r>
      <w:r>
        <w:rPr>
          <w:rFonts w:hint="eastAsia" w:ascii="仿宋_GB2312" w:hAnsi="宋体" w:eastAsia="仿宋_GB2312" w:cs="仿宋_GB2312"/>
          <w:color w:val="auto"/>
          <w:kern w:val="0"/>
          <w:sz w:val="32"/>
          <w:szCs w:val="32"/>
          <w:highlight w:val="none"/>
          <w:lang w:val="en-US" w:eastAsia="zh-CN" w:bidi="ar"/>
        </w:rPr>
        <w:t>四</w:t>
      </w:r>
      <w:r>
        <w:rPr>
          <w:rFonts w:hint="eastAsia" w:ascii="仿宋_GB2312" w:hAnsi="宋体" w:eastAsia="仿宋_GB2312" w:cs="仿宋_GB2312"/>
          <w:color w:val="auto"/>
          <w:kern w:val="0"/>
          <w:sz w:val="32"/>
          <w:szCs w:val="32"/>
          <w:highlight w:val="none"/>
          <w:lang w:bidi="ar"/>
        </w:rPr>
        <w:t>）</w:t>
      </w:r>
      <w:r>
        <w:rPr>
          <w:rFonts w:hint="eastAsia" w:ascii="仿宋_GB2312" w:hAnsi="宋体" w:eastAsia="仿宋_GB2312" w:cs="仿宋_GB2312"/>
          <w:color w:val="auto"/>
          <w:kern w:val="0"/>
          <w:sz w:val="32"/>
          <w:szCs w:val="32"/>
          <w:highlight w:val="none"/>
          <w:lang w:val="en-US" w:eastAsia="zh-CN" w:bidi="ar"/>
        </w:rPr>
        <w:t>参与项目的主要人员及其简历；</w:t>
      </w:r>
    </w:p>
    <w:p w14:paraId="33D9530E">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eastAsia" w:eastAsia="仿宋_GB2312"/>
          <w:color w:val="auto"/>
          <w:sz w:val="32"/>
          <w:szCs w:val="32"/>
          <w:highlight w:val="none"/>
          <w:lang w:val="en-US" w:eastAsia="zh-CN"/>
        </w:rPr>
      </w:pPr>
      <w:r>
        <w:rPr>
          <w:rFonts w:hint="eastAsia" w:ascii="仿宋_GB2312" w:hAnsi="宋体" w:eastAsia="仿宋_GB2312" w:cs="仿宋_GB2312"/>
          <w:color w:val="auto"/>
          <w:kern w:val="0"/>
          <w:sz w:val="32"/>
          <w:szCs w:val="32"/>
          <w:highlight w:val="none"/>
          <w:lang w:bidi="ar"/>
        </w:rPr>
        <w:t>（</w:t>
      </w:r>
      <w:r>
        <w:rPr>
          <w:rFonts w:hint="eastAsia" w:ascii="仿宋_GB2312" w:hAnsi="宋体" w:eastAsia="仿宋_GB2312" w:cs="仿宋_GB2312"/>
          <w:color w:val="auto"/>
          <w:kern w:val="0"/>
          <w:sz w:val="32"/>
          <w:szCs w:val="32"/>
          <w:highlight w:val="none"/>
          <w:lang w:val="en-US" w:eastAsia="zh-CN" w:bidi="ar"/>
        </w:rPr>
        <w:t>五</w:t>
      </w:r>
      <w:r>
        <w:rPr>
          <w:rFonts w:hint="eastAsia" w:ascii="仿宋_GB2312" w:hAnsi="宋体" w:eastAsia="仿宋_GB2312" w:cs="仿宋_GB2312"/>
          <w:color w:val="auto"/>
          <w:kern w:val="0"/>
          <w:sz w:val="32"/>
          <w:szCs w:val="32"/>
          <w:highlight w:val="none"/>
          <w:lang w:bidi="ar"/>
        </w:rPr>
        <w:t>）报价单</w:t>
      </w:r>
      <w:r>
        <w:rPr>
          <w:rFonts w:hint="eastAsia" w:ascii="仿宋_GB2312" w:hAnsi="宋体" w:eastAsia="仿宋_GB2312" w:cs="仿宋_GB2312"/>
          <w:color w:val="auto"/>
          <w:kern w:val="0"/>
          <w:sz w:val="32"/>
          <w:szCs w:val="32"/>
          <w:highlight w:val="none"/>
          <w:lang w:eastAsia="zh-CN" w:bidi="ar"/>
        </w:rPr>
        <w:t>，</w:t>
      </w:r>
      <w:r>
        <w:rPr>
          <w:rFonts w:hint="eastAsia" w:ascii="仿宋_GB2312" w:hAnsi="宋体" w:eastAsia="仿宋_GB2312" w:cs="仿宋_GB2312"/>
          <w:color w:val="auto"/>
          <w:kern w:val="0"/>
          <w:sz w:val="32"/>
          <w:szCs w:val="32"/>
          <w:highlight w:val="none"/>
          <w:lang w:bidi="ar"/>
        </w:rPr>
        <w:t>对本次服务进行</w:t>
      </w:r>
      <w:r>
        <w:rPr>
          <w:rFonts w:hint="eastAsia" w:ascii="仿宋_GB2312" w:hAnsi="宋体" w:eastAsia="仿宋_GB2312" w:cs="仿宋_GB2312"/>
          <w:color w:val="auto"/>
          <w:kern w:val="0"/>
          <w:sz w:val="32"/>
          <w:szCs w:val="32"/>
          <w:highlight w:val="none"/>
          <w:lang w:val="en-US" w:eastAsia="zh-CN" w:bidi="ar"/>
        </w:rPr>
        <w:t>分阶段</w:t>
      </w:r>
      <w:r>
        <w:rPr>
          <w:rFonts w:hint="eastAsia" w:ascii="仿宋_GB2312" w:hAnsi="宋体" w:eastAsia="仿宋_GB2312" w:cs="仿宋_GB2312"/>
          <w:color w:val="auto"/>
          <w:kern w:val="0"/>
          <w:sz w:val="32"/>
          <w:szCs w:val="32"/>
          <w:highlight w:val="none"/>
          <w:lang w:bidi="ar"/>
        </w:rPr>
        <w:t>打包报价，报价应包含提供服务中</w:t>
      </w:r>
      <w:r>
        <w:rPr>
          <w:rFonts w:hint="eastAsia" w:ascii="仿宋_GB2312" w:hAnsi="仿宋_GB2312" w:eastAsia="仿宋_GB2312" w:cs="仿宋_GB2312"/>
          <w:kern w:val="0"/>
          <w:sz w:val="32"/>
          <w:szCs w:val="32"/>
          <w:lang w:val="en-US" w:eastAsia="zh-CN" w:bidi="ar"/>
        </w:rPr>
        <w:t>异地差旅、文书、取证等全部相关费用</w:t>
      </w:r>
      <w:r>
        <w:rPr>
          <w:rFonts w:hint="eastAsia" w:ascii="仿宋_GB2312" w:hAnsi="宋体" w:eastAsia="仿宋_GB2312" w:cs="仿宋_GB2312"/>
          <w:color w:val="auto"/>
          <w:kern w:val="0"/>
          <w:sz w:val="32"/>
          <w:szCs w:val="32"/>
          <w:highlight w:val="none"/>
          <w:lang w:eastAsia="zh-CN" w:bidi="ar"/>
        </w:rPr>
        <w:t>。</w:t>
      </w:r>
    </w:p>
    <w:p w14:paraId="3C40DF37">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宋体" w:eastAsia="仿宋_GB2312" w:cs="仿宋_GB2312"/>
          <w:color w:val="auto"/>
          <w:kern w:val="0"/>
          <w:sz w:val="32"/>
          <w:szCs w:val="32"/>
          <w:highlight w:val="none"/>
          <w:lang w:bidi="ar"/>
        </w:rPr>
      </w:pPr>
      <w:r>
        <w:rPr>
          <w:rFonts w:hint="eastAsia" w:ascii="仿宋_GB2312" w:hAnsi="宋体" w:eastAsia="仿宋_GB2312" w:cs="仿宋_GB2312"/>
          <w:color w:val="auto"/>
          <w:kern w:val="0"/>
          <w:sz w:val="32"/>
          <w:szCs w:val="32"/>
          <w:highlight w:val="none"/>
          <w:lang w:val="en-US" w:eastAsia="zh-CN" w:bidi="ar"/>
        </w:rPr>
        <w:t>（六）</w:t>
      </w:r>
      <w:r>
        <w:rPr>
          <w:rFonts w:hint="eastAsia" w:ascii="仿宋_GB2312" w:hAnsi="宋体" w:eastAsia="仿宋_GB2312" w:cs="仿宋_GB2312"/>
          <w:color w:val="auto"/>
          <w:kern w:val="0"/>
          <w:sz w:val="32"/>
          <w:szCs w:val="32"/>
          <w:highlight w:val="none"/>
          <w:lang w:bidi="ar"/>
        </w:rPr>
        <w:t xml:space="preserve">项目方案： </w:t>
      </w:r>
    </w:p>
    <w:p w14:paraId="45C152D2">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highlight w:val="none"/>
          <w:lang w:bidi="ar"/>
        </w:rPr>
      </w:pPr>
      <w:r>
        <w:rPr>
          <w:rFonts w:hint="default" w:ascii="仿宋_GB2312" w:hAnsi="仿宋_GB2312" w:eastAsia="仿宋_GB2312" w:cs="仿宋_GB2312"/>
          <w:color w:val="000000"/>
          <w:kern w:val="0"/>
          <w:sz w:val="32"/>
          <w:szCs w:val="32"/>
          <w:lang w:val="en-US" w:eastAsia="zh-CN" w:bidi="ar"/>
        </w:rPr>
        <w:t>1.</w:t>
      </w:r>
      <w:r>
        <w:rPr>
          <w:rFonts w:hint="eastAsia" w:ascii="仿宋_GB2312" w:hAnsi="仿宋_GB2312" w:eastAsia="仿宋_GB2312" w:cs="仿宋_GB2312"/>
          <w:color w:val="000000"/>
          <w:kern w:val="0"/>
          <w:sz w:val="32"/>
          <w:szCs w:val="32"/>
          <w:highlight w:val="none"/>
          <w:lang w:bidi="ar"/>
        </w:rPr>
        <w:t xml:space="preserve">服务机构基本情况介绍； </w:t>
      </w:r>
    </w:p>
    <w:p w14:paraId="38C08B65">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
        </w:rPr>
      </w:pPr>
      <w:r>
        <w:rPr>
          <w:rFonts w:hint="default" w:ascii="仿宋_GB2312" w:hAnsi="仿宋_GB2312" w:eastAsia="仿宋_GB2312" w:cs="仿宋_GB2312"/>
          <w:color w:val="000000"/>
          <w:kern w:val="0"/>
          <w:sz w:val="32"/>
          <w:szCs w:val="32"/>
          <w:lang w:val="en-US" w:eastAsia="zh-CN" w:bidi="ar"/>
        </w:rPr>
        <w:t>2.</w:t>
      </w:r>
      <w:r>
        <w:rPr>
          <w:rFonts w:hint="eastAsia" w:ascii="仿宋_GB2312" w:hAnsi="仿宋_GB2312" w:eastAsia="仿宋_GB2312" w:cs="仿宋_GB2312"/>
          <w:color w:val="000000"/>
          <w:kern w:val="0"/>
          <w:sz w:val="32"/>
          <w:szCs w:val="32"/>
          <w:highlight w:val="none"/>
          <w:lang w:val="en-US" w:eastAsia="zh-CN" w:bidi="ar"/>
        </w:rPr>
        <w:t>项目理解、团队配置、分阶段工作计划；</w:t>
      </w:r>
    </w:p>
    <w:p w14:paraId="3B58D5BC">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000000"/>
          <w:kern w:val="0"/>
          <w:sz w:val="32"/>
          <w:szCs w:val="32"/>
          <w:highlight w:val="none"/>
          <w:lang w:bidi="ar"/>
        </w:rPr>
      </w:pPr>
      <w:r>
        <w:rPr>
          <w:rFonts w:hint="default" w:ascii="仿宋_GB2312" w:hAnsi="仿宋_GB2312" w:eastAsia="仿宋_GB2312" w:cs="仿宋_GB2312"/>
          <w:color w:val="000000"/>
          <w:kern w:val="0"/>
          <w:sz w:val="32"/>
          <w:szCs w:val="32"/>
          <w:lang w:val="en-US" w:eastAsia="zh-CN" w:bidi="ar"/>
        </w:rPr>
        <w:t>3.</w:t>
      </w:r>
      <w:r>
        <w:rPr>
          <w:rFonts w:hint="eastAsia" w:ascii="仿宋_GB2312" w:hAnsi="仿宋_GB2312" w:eastAsia="仿宋_GB2312" w:cs="仿宋_GB2312"/>
          <w:color w:val="000000"/>
          <w:kern w:val="0"/>
          <w:sz w:val="32"/>
          <w:szCs w:val="32"/>
          <w:highlight w:val="none"/>
          <w:lang w:bidi="ar"/>
        </w:rPr>
        <w:t xml:space="preserve">同类项目相关业绩及重点案例简介（应附上重点项目合同证明页复印件）； </w:t>
      </w:r>
    </w:p>
    <w:p w14:paraId="3CEB7E33">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宋体" w:cs="Times New Roman"/>
          <w:color w:val="000000"/>
          <w:kern w:val="0"/>
          <w:sz w:val="32"/>
          <w:szCs w:val="32"/>
          <w:highlight w:val="none"/>
          <w:lang w:bidi="ar"/>
        </w:rPr>
      </w:pPr>
      <w:r>
        <w:rPr>
          <w:rFonts w:hint="default" w:ascii="仿宋_GB2312" w:hAnsi="仿宋_GB2312" w:eastAsia="仿宋_GB2312" w:cs="仿宋_GB2312"/>
          <w:color w:val="000000"/>
          <w:kern w:val="0"/>
          <w:sz w:val="32"/>
          <w:szCs w:val="32"/>
          <w:lang w:val="en-US" w:eastAsia="zh-CN" w:bidi="ar"/>
        </w:rPr>
        <w:t>4.</w:t>
      </w:r>
      <w:r>
        <w:rPr>
          <w:rFonts w:hint="eastAsia" w:ascii="仿宋_GB2312" w:hAnsi="仿宋_GB2312" w:eastAsia="仿宋_GB2312" w:cs="仿宋_GB2312"/>
          <w:color w:val="000000"/>
          <w:kern w:val="0"/>
          <w:sz w:val="32"/>
          <w:szCs w:val="32"/>
          <w:highlight w:val="none"/>
          <w:lang w:bidi="ar"/>
        </w:rPr>
        <w:t>服务机构认为有必要增补的内容</w:t>
      </w:r>
      <w:r>
        <w:rPr>
          <w:rFonts w:hint="default" w:ascii="Times New Roman" w:hAnsi="Times New Roman" w:eastAsia="宋体" w:cs="Times New Roman"/>
          <w:color w:val="000000"/>
          <w:kern w:val="0"/>
          <w:sz w:val="32"/>
          <w:szCs w:val="32"/>
          <w:highlight w:val="none"/>
          <w:lang w:bidi="ar"/>
        </w:rPr>
        <w:t xml:space="preserve">。 </w:t>
      </w:r>
    </w:p>
    <w:p w14:paraId="19C2410B">
      <w:pPr>
        <w:keepNext w:val="0"/>
        <w:keepLines w:val="0"/>
        <w:pageBreakBefore w:val="0"/>
        <w:widowControl/>
        <w:kinsoku/>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宋体" w:eastAsia="仿宋_GB2312" w:cs="仿宋_GB2312"/>
          <w:color w:val="000000"/>
          <w:kern w:val="0"/>
          <w:sz w:val="32"/>
          <w:szCs w:val="32"/>
          <w:highlight w:val="none"/>
          <w:lang w:bidi="ar"/>
        </w:rPr>
        <w:t>响应文件要求简明扼要，按上述顺序装订成一册，一式</w:t>
      </w:r>
      <w:r>
        <w:rPr>
          <w:rFonts w:hint="eastAsia" w:ascii="仿宋_GB2312" w:hAnsi="宋体" w:eastAsia="仿宋_GB2312" w:cs="仿宋_GB2312"/>
          <w:color w:val="000000"/>
          <w:kern w:val="0"/>
          <w:sz w:val="32"/>
          <w:szCs w:val="32"/>
          <w:highlight w:val="none"/>
          <w:lang w:val="en-US" w:eastAsia="zh-CN" w:bidi="ar"/>
        </w:rPr>
        <w:t>五</w:t>
      </w:r>
      <w:r>
        <w:rPr>
          <w:rFonts w:hint="eastAsia" w:ascii="仿宋_GB2312" w:hAnsi="宋体" w:eastAsia="仿宋_GB2312" w:cs="仿宋_GB2312"/>
          <w:color w:val="000000"/>
          <w:kern w:val="0"/>
          <w:sz w:val="32"/>
          <w:szCs w:val="32"/>
          <w:highlight w:val="none"/>
          <w:lang w:bidi="ar"/>
        </w:rPr>
        <w:t xml:space="preserve">份，密封于不透光的文件袋中，并加盖骑缝章。文件经谈判小组认定为严重不符合要求的，将取消竞争性谈判资格。 </w:t>
      </w:r>
    </w:p>
    <w:p w14:paraId="500FF053">
      <w:pPr>
        <w:keepNext w:val="0"/>
        <w:keepLines w:val="0"/>
        <w:pageBreakBefore w:val="0"/>
        <w:widowControl/>
        <w:kinsoku/>
        <w:topLinePunct w:val="0"/>
        <w:autoSpaceDE/>
        <w:autoSpaceDN/>
        <w:bidi w:val="0"/>
        <w:adjustRightInd/>
        <w:snapToGrid/>
        <w:spacing w:line="560" w:lineRule="exact"/>
        <w:ind w:left="0" w:firstLine="640" w:firstLineChars="200"/>
        <w:jc w:val="left"/>
        <w:textAlignment w:val="auto"/>
        <w:rPr>
          <w:sz w:val="32"/>
          <w:szCs w:val="32"/>
          <w:highlight w:val="none"/>
        </w:rPr>
      </w:pPr>
      <w:r>
        <w:rPr>
          <w:rFonts w:hint="eastAsia" w:ascii="黑体" w:hAnsi="宋体" w:eastAsia="黑体" w:cs="黑体"/>
          <w:color w:val="000000"/>
          <w:kern w:val="0"/>
          <w:sz w:val="32"/>
          <w:szCs w:val="32"/>
          <w:highlight w:val="none"/>
          <w:lang w:val="en-US" w:eastAsia="zh-CN" w:bidi="ar"/>
        </w:rPr>
        <w:t>五</w:t>
      </w:r>
      <w:r>
        <w:rPr>
          <w:rFonts w:hint="eastAsia" w:ascii="黑体" w:hAnsi="宋体" w:eastAsia="黑体" w:cs="黑体"/>
          <w:color w:val="000000"/>
          <w:kern w:val="0"/>
          <w:sz w:val="32"/>
          <w:szCs w:val="32"/>
          <w:highlight w:val="none"/>
          <w:lang w:bidi="ar"/>
        </w:rPr>
        <w:t xml:space="preserve">、谈判安排 </w:t>
      </w:r>
    </w:p>
    <w:p w14:paraId="0076D99F">
      <w:pPr>
        <w:keepNext w:val="0"/>
        <w:keepLines w:val="0"/>
        <w:pageBreakBefore w:val="0"/>
        <w:kinsoku/>
        <w:topLinePunct w:val="0"/>
        <w:autoSpaceDE/>
        <w:autoSpaceDN/>
        <w:bidi w:val="0"/>
        <w:adjustRightInd/>
        <w:snapToGrid/>
        <w:spacing w:line="560" w:lineRule="exact"/>
        <w:ind w:left="0"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（一）文件递交</w:t>
      </w:r>
    </w:p>
    <w:p w14:paraId="7905AE77">
      <w:pPr>
        <w:keepNext w:val="0"/>
        <w:keepLines w:val="0"/>
        <w:pageBreakBefore w:val="0"/>
        <w:kinsoku/>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1.投标确认书</w:t>
      </w:r>
    </w:p>
    <w:p w14:paraId="5D3E4027">
      <w:pPr>
        <w:keepNext w:val="0"/>
        <w:keepLines w:val="0"/>
        <w:pageBreakBefore w:val="0"/>
        <w:widowControl/>
        <w:kinsoku/>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color w:val="000000"/>
          <w:kern w:val="0"/>
          <w:sz w:val="32"/>
          <w:szCs w:val="32"/>
          <w:highlight w:val="none"/>
          <w:lang w:bidi="ar"/>
        </w:rPr>
      </w:pPr>
      <w:r>
        <w:rPr>
          <w:rFonts w:ascii="仿宋_GB2312" w:hAnsi="宋体" w:eastAsia="仿宋_GB2312" w:cs="仿宋_GB2312"/>
          <w:color w:val="000000"/>
          <w:kern w:val="0"/>
          <w:sz w:val="32"/>
          <w:szCs w:val="32"/>
          <w:highlight w:val="none"/>
          <w:lang w:bidi="ar"/>
        </w:rPr>
        <w:t>请</w:t>
      </w:r>
      <w:r>
        <w:rPr>
          <w:rFonts w:hint="eastAsia" w:ascii="仿宋_GB2312" w:hAnsi="宋体" w:eastAsia="仿宋_GB2312" w:cs="仿宋_GB2312"/>
          <w:color w:val="000000"/>
          <w:kern w:val="0"/>
          <w:sz w:val="32"/>
          <w:szCs w:val="32"/>
          <w:highlight w:val="none"/>
          <w:lang w:bidi="ar"/>
        </w:rPr>
        <w:t>服务机构</w:t>
      </w:r>
      <w:r>
        <w:rPr>
          <w:rFonts w:ascii="仿宋_GB2312" w:hAnsi="宋体" w:eastAsia="仿宋_GB2312" w:cs="仿宋_GB2312"/>
          <w:color w:val="000000"/>
          <w:kern w:val="0"/>
          <w:sz w:val="32"/>
          <w:szCs w:val="32"/>
          <w:highlight w:val="none"/>
          <w:lang w:bidi="ar"/>
        </w:rPr>
        <w:t>认真研究本公告的内容，将确认参加竞争性谈判的</w:t>
      </w:r>
      <w:r>
        <w:rPr>
          <w:rFonts w:hint="eastAsia" w:ascii="仿宋_GB2312" w:hAnsi="宋体" w:eastAsia="仿宋_GB2312" w:cs="仿宋_GB2312"/>
          <w:color w:val="000000"/>
          <w:kern w:val="0"/>
          <w:sz w:val="32"/>
          <w:szCs w:val="32"/>
          <w:highlight w:val="none"/>
          <w:lang w:eastAsia="zh-CN" w:bidi="ar"/>
        </w:rPr>
        <w:t>《投标确认书》（</w:t>
      </w:r>
      <w:r>
        <w:rPr>
          <w:rFonts w:hint="eastAsia" w:ascii="仿宋_GB2312" w:hAnsi="宋体" w:eastAsia="仿宋_GB2312" w:cs="仿宋_GB2312"/>
          <w:color w:val="000000"/>
          <w:kern w:val="0"/>
          <w:sz w:val="32"/>
          <w:szCs w:val="32"/>
          <w:highlight w:val="none"/>
          <w:lang w:val="en-US" w:eastAsia="zh-CN" w:bidi="ar"/>
        </w:rPr>
        <w:t>见附件1）</w:t>
      </w:r>
      <w:r>
        <w:rPr>
          <w:rFonts w:hint="eastAsia" w:ascii="仿宋_GB2312" w:hAnsi="宋体" w:eastAsia="仿宋_GB2312" w:cs="仿宋_GB2312"/>
          <w:color w:val="000000"/>
          <w:kern w:val="0"/>
          <w:sz w:val="32"/>
          <w:szCs w:val="32"/>
          <w:highlight w:val="none"/>
          <w:lang w:bidi="ar"/>
        </w:rPr>
        <w:t>发送到</w:t>
      </w:r>
      <w:r>
        <w:rPr>
          <w:rFonts w:hint="eastAsia" w:ascii="仿宋_GB2312" w:hAnsi="宋体" w:eastAsia="仿宋_GB2312" w:cs="仿宋_GB2312"/>
          <w:color w:val="000000"/>
          <w:kern w:val="0"/>
          <w:sz w:val="32"/>
          <w:szCs w:val="32"/>
          <w:highlight w:val="none"/>
          <w:lang w:val="en-US" w:eastAsia="zh-CN" w:bidi="ar"/>
        </w:rPr>
        <w:t>46414020</w:t>
      </w:r>
      <w:r>
        <w:rPr>
          <w:rFonts w:ascii="Times New Roman" w:hAnsi="Times New Roman" w:eastAsia="仿宋_GB2312" w:cs="Times New Roman"/>
          <w:color w:val="000000"/>
          <w:kern w:val="0"/>
          <w:sz w:val="32"/>
          <w:szCs w:val="32"/>
          <w:highlight w:val="none"/>
          <w:lang w:bidi="ar"/>
        </w:rPr>
        <w:t>@</w:t>
      </w:r>
      <w:r>
        <w:rPr>
          <w:rFonts w:hint="eastAsia" w:ascii="Times New Roman" w:hAnsi="Times New Roman" w:eastAsia="仿宋_GB2312" w:cs="Times New Roman"/>
          <w:color w:val="000000"/>
          <w:kern w:val="0"/>
          <w:sz w:val="32"/>
          <w:szCs w:val="32"/>
          <w:highlight w:val="none"/>
          <w:lang w:val="en-US" w:eastAsia="zh-CN" w:bidi="ar"/>
        </w:rPr>
        <w:t>qq</w:t>
      </w:r>
      <w:r>
        <w:rPr>
          <w:rFonts w:hint="eastAsia" w:ascii="Times New Roman" w:hAnsi="Times New Roman" w:eastAsia="仿宋_GB2312" w:cs="Times New Roman"/>
          <w:color w:val="000000"/>
          <w:kern w:val="0"/>
          <w:sz w:val="32"/>
          <w:szCs w:val="32"/>
          <w:highlight w:val="none"/>
          <w:lang w:bidi="ar"/>
        </w:rPr>
        <w:t>.com。</w:t>
      </w:r>
    </w:p>
    <w:p w14:paraId="6A20992C">
      <w:pPr>
        <w:keepNext w:val="0"/>
        <w:keepLines w:val="0"/>
        <w:pageBreakBefore w:val="0"/>
        <w:kinsoku/>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2.报价文件</w:t>
      </w:r>
    </w:p>
    <w:p w14:paraId="677CF864">
      <w:pPr>
        <w:keepNext w:val="0"/>
        <w:keepLines w:val="0"/>
        <w:pageBreakBefore w:val="0"/>
        <w:kinsoku/>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投标人根据第三项要求，按顺序整理全套报价文件纸质版（</w:t>
      </w:r>
      <w:r>
        <w:rPr>
          <w:rFonts w:hint="eastAsia" w:ascii="仿宋_GB2312" w:hAnsi="仿宋_GB2312" w:eastAsia="仿宋_GB2312" w:cs="仿宋_GB2312"/>
          <w:b/>
          <w:bCs/>
          <w:sz w:val="32"/>
          <w:szCs w:val="32"/>
          <w:highlight w:val="none"/>
          <w:lang w:val="en-US" w:eastAsia="zh-CN"/>
        </w:rPr>
        <w:t>一正五副</w:t>
      </w:r>
      <w:r>
        <w:rPr>
          <w:rFonts w:hint="eastAsia" w:ascii="仿宋_GB2312" w:hAnsi="仿宋_GB2312" w:eastAsia="仿宋_GB2312" w:cs="仿宋_GB2312"/>
          <w:sz w:val="32"/>
          <w:szCs w:val="32"/>
          <w:highlight w:val="none"/>
          <w:lang w:val="en-US" w:eastAsia="zh-CN"/>
        </w:rPr>
        <w:t>，密封并加盖公章），于</w:t>
      </w:r>
      <w:r>
        <w:rPr>
          <w:rFonts w:hint="eastAsia" w:ascii="仿宋_GB2312" w:hAnsi="仿宋_GB2312" w:eastAsia="仿宋_GB2312" w:cs="仿宋_GB2312"/>
          <w:b/>
          <w:bCs/>
          <w:sz w:val="32"/>
          <w:szCs w:val="32"/>
          <w:highlight w:val="none"/>
          <w:lang w:val="en-US" w:eastAsia="zh-CN"/>
        </w:rPr>
        <w:t>谈判日</w:t>
      </w:r>
      <w:r>
        <w:rPr>
          <w:rFonts w:hint="eastAsia" w:ascii="仿宋_GB2312" w:hAnsi="仿宋_GB2312" w:eastAsia="仿宋_GB2312" w:cs="仿宋_GB2312"/>
          <w:sz w:val="32"/>
          <w:szCs w:val="32"/>
          <w:highlight w:val="none"/>
          <w:lang w:val="en-US" w:eastAsia="zh-CN"/>
        </w:rPr>
        <w:t>携带至现场，未按要求提供者视为无效投标。</w:t>
      </w:r>
    </w:p>
    <w:p w14:paraId="7B6522F9">
      <w:pPr>
        <w:keepNext w:val="0"/>
        <w:keepLines w:val="0"/>
        <w:pageBreakBefore w:val="0"/>
        <w:kinsoku/>
        <w:topLinePunct w:val="0"/>
        <w:autoSpaceDE/>
        <w:autoSpaceDN/>
        <w:bidi w:val="0"/>
        <w:adjustRightInd/>
        <w:snapToGrid/>
        <w:spacing w:line="560" w:lineRule="exact"/>
        <w:ind w:left="0"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（二）时间地点</w:t>
      </w:r>
    </w:p>
    <w:p w14:paraId="7B42F685">
      <w:pPr>
        <w:keepNext w:val="0"/>
        <w:keepLines w:val="0"/>
        <w:pageBreakBefore w:val="0"/>
        <w:kinsoku/>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谈判时间：待定，具体时间以通知为准；</w:t>
      </w:r>
    </w:p>
    <w:p w14:paraId="09520A7A">
      <w:pPr>
        <w:keepNext w:val="0"/>
        <w:keepLines w:val="0"/>
        <w:pageBreakBefore w:val="0"/>
        <w:kinsoku/>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谈判地点：深圳市福田区福虹路世贸广场C座13楼（具体地点以通知为准）；</w:t>
      </w:r>
    </w:p>
    <w:p w14:paraId="277EE281">
      <w:pPr>
        <w:keepNext w:val="0"/>
        <w:keepLines w:val="0"/>
        <w:pageBreakBefore w:val="0"/>
        <w:kinsoku/>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谈判方式：</w:t>
      </w:r>
      <w:r>
        <w:rPr>
          <w:rFonts w:hint="eastAsia" w:ascii="仿宋_GB2312" w:hAnsi="仿宋_GB2312" w:eastAsia="仿宋_GB2312" w:cs="仿宋_GB2312"/>
          <w:sz w:val="32"/>
          <w:szCs w:val="32"/>
          <w:highlight w:val="none"/>
        </w:rPr>
        <w:t>现场谈判</w:t>
      </w:r>
      <w:r>
        <w:rPr>
          <w:rFonts w:hint="eastAsia" w:ascii="仿宋_GB2312" w:hAnsi="仿宋_GB2312" w:eastAsia="仿宋_GB2312" w:cs="仿宋_GB2312"/>
          <w:sz w:val="32"/>
          <w:szCs w:val="32"/>
          <w:highlight w:val="none"/>
          <w:lang w:eastAsia="zh-CN"/>
        </w:rPr>
        <w:t>。参加现场谈判的</w:t>
      </w:r>
      <w:r>
        <w:rPr>
          <w:rFonts w:hint="eastAsia" w:ascii="仿宋_GB2312" w:hAnsi="仿宋_GB2312" w:eastAsia="仿宋_GB2312" w:cs="仿宋_GB2312"/>
          <w:sz w:val="32"/>
          <w:szCs w:val="32"/>
          <w:highlight w:val="none"/>
          <w:lang w:val="en-US" w:eastAsia="zh-CN"/>
        </w:rPr>
        <w:t>负责</w:t>
      </w:r>
      <w:r>
        <w:rPr>
          <w:rFonts w:hint="eastAsia" w:ascii="仿宋_GB2312" w:hAnsi="仿宋_GB2312" w:eastAsia="仿宋_GB2312" w:cs="仿宋_GB2312"/>
          <w:sz w:val="32"/>
          <w:szCs w:val="32"/>
          <w:highlight w:val="none"/>
          <w:lang w:eastAsia="zh-CN"/>
        </w:rPr>
        <w:t>人或被授权代表须持本人有效身份证按时到达指定地点等候谈判通知</w:t>
      </w:r>
      <w:r>
        <w:rPr>
          <w:rFonts w:hint="eastAsia" w:ascii="仿宋_GB2312" w:hAnsi="仿宋_GB2312" w:eastAsia="仿宋_GB2312" w:cs="仿宋_GB2312"/>
          <w:sz w:val="32"/>
          <w:szCs w:val="32"/>
          <w:highlight w:val="none"/>
          <w:lang w:val="en-US" w:eastAsia="zh-CN"/>
        </w:rPr>
        <w:t>。</w:t>
      </w:r>
    </w:p>
    <w:p w14:paraId="4EA26878">
      <w:pPr>
        <w:keepNext w:val="0"/>
        <w:keepLines w:val="0"/>
        <w:pageBreakBefore w:val="0"/>
        <w:kinsoku/>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highlight w:val="none"/>
          <w:lang w:val="en-US" w:eastAsia="zh-CN"/>
        </w:rPr>
      </w:pPr>
    </w:p>
    <w:p w14:paraId="66A91C7F">
      <w:pPr>
        <w:keepNext w:val="0"/>
        <w:keepLines w:val="0"/>
        <w:pageBreakBefore w:val="0"/>
        <w:kinsoku/>
        <w:topLinePunct w:val="0"/>
        <w:autoSpaceDE/>
        <w:autoSpaceDN/>
        <w:bidi w:val="0"/>
        <w:adjustRightInd/>
        <w:snapToGrid/>
        <w:spacing w:line="560" w:lineRule="exact"/>
        <w:ind w:left="0"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（三）谈判流程</w:t>
      </w:r>
    </w:p>
    <w:p w14:paraId="57C22FC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1.供应商资格审查；</w:t>
      </w:r>
    </w:p>
    <w:p w14:paraId="374A55C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2.供应商述标（提前准备述标材料，控制在10分钟以内）；</w:t>
      </w:r>
    </w:p>
    <w:p w14:paraId="426BA0D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3.评委提问及供应商答疑；</w:t>
      </w:r>
    </w:p>
    <w:p w14:paraId="3BBE3A0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4.第二轮报价。</w:t>
      </w:r>
      <w:r>
        <w:rPr>
          <w:rFonts w:hint="eastAsia" w:ascii="仿宋_GB2312" w:hAnsi="仿宋_GB2312" w:eastAsia="仿宋_GB2312" w:cs="仿宋_GB2312"/>
          <w:b w:val="0"/>
          <w:bCs w:val="0"/>
          <w:sz w:val="32"/>
          <w:szCs w:val="32"/>
          <w:highlight w:val="none"/>
        </w:rPr>
        <w:t>质询环节结束后，供应商须提交二次报价</w:t>
      </w:r>
      <w:r>
        <w:rPr>
          <w:rFonts w:hint="eastAsia" w:ascii="仿宋_GB2312" w:hAnsi="仿宋_GB2312" w:eastAsia="仿宋_GB2312" w:cs="仿宋_GB2312"/>
          <w:b w:val="0"/>
          <w:bCs w:val="0"/>
          <w:sz w:val="32"/>
          <w:szCs w:val="32"/>
          <w:highlight w:val="none"/>
          <w:lang w:val="en-US" w:eastAsia="zh-CN"/>
        </w:rPr>
        <w:t>单并由谈判代表签名</w:t>
      </w:r>
      <w:r>
        <w:rPr>
          <w:rFonts w:hint="eastAsia" w:ascii="仿宋_GB2312" w:hAnsi="仿宋_GB2312" w:eastAsia="仿宋_GB2312" w:cs="仿宋_GB2312"/>
          <w:b w:val="0"/>
          <w:bCs w:val="0"/>
          <w:sz w:val="32"/>
          <w:szCs w:val="32"/>
          <w:highlight w:val="none"/>
        </w:rPr>
        <w:t>，未提交者视为维持原报价</w:t>
      </w:r>
      <w:r>
        <w:rPr>
          <w:rFonts w:hint="eastAsia" w:ascii="仿宋_GB2312" w:hAnsi="仿宋_GB2312" w:eastAsia="仿宋_GB2312" w:cs="仿宋_GB2312"/>
          <w:b w:val="0"/>
          <w:bCs w:val="0"/>
          <w:sz w:val="32"/>
          <w:szCs w:val="32"/>
          <w:highlight w:val="none"/>
          <w:lang w:val="en-US" w:eastAsia="zh-CN"/>
        </w:rPr>
        <w:t>；</w:t>
      </w:r>
    </w:p>
    <w:p w14:paraId="65D96E5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5.评委投票，选定中标人。</w:t>
      </w:r>
    </w:p>
    <w:p w14:paraId="6476B267">
      <w:pPr>
        <w:keepNext w:val="0"/>
        <w:keepLines w:val="0"/>
        <w:pageBreakBefore w:val="0"/>
        <w:kinsoku/>
        <w:topLinePunct w:val="0"/>
        <w:autoSpaceDE/>
        <w:autoSpaceDN/>
        <w:bidi w:val="0"/>
        <w:adjustRightInd/>
        <w:snapToGrid/>
        <w:spacing w:line="560" w:lineRule="exact"/>
        <w:ind w:left="0"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（四）定标方法</w:t>
      </w:r>
    </w:p>
    <w:p w14:paraId="1A3ED42A">
      <w:pPr>
        <w:keepNext w:val="0"/>
        <w:keepLines w:val="0"/>
        <w:pageBreakBefore w:val="0"/>
        <w:kinsoku/>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直接票决定标。评委在进入投票范围的供应商中，以每人投票支持一个供应商的方式，得票最多且过半数的供应商为成交供应商。当没有供应商得票超过半数时，选择得票较多的2个供应商（按上一轮得票多少的顺序选择，在选择第2个供应商时出现同票的，所有同票供应商一并纳入下一轮的投票范围）作为二次投票的范围，直至出现得票过半数的供应商为止。</w:t>
      </w:r>
    </w:p>
    <w:p w14:paraId="6FFB43B3">
      <w:pPr>
        <w:keepNext w:val="0"/>
        <w:keepLines w:val="0"/>
        <w:pageBreakBefore w:val="0"/>
        <w:kinsoku/>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highlight w:val="none"/>
          <w:lang w:val="en-US" w:eastAsia="zh-CN"/>
        </w:rPr>
      </w:pPr>
    </w:p>
    <w:p w14:paraId="4B327BEF">
      <w:pPr>
        <w:keepNext w:val="0"/>
        <w:keepLines w:val="0"/>
        <w:pageBreakBefore w:val="0"/>
        <w:widowControl w:val="0"/>
        <w:kinsoku/>
        <w:overflowPunct/>
        <w:topLinePunct w:val="0"/>
        <w:autoSpaceDE w:val="0"/>
        <w:autoSpaceDN w:val="0"/>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附件：1.谈判确认书</w:t>
      </w:r>
    </w:p>
    <w:p w14:paraId="2DE58AF1">
      <w:pPr>
        <w:keepNext w:val="0"/>
        <w:keepLines w:val="0"/>
        <w:pageBreakBefore w:val="0"/>
        <w:widowControl w:val="0"/>
        <w:kinsoku/>
        <w:overflowPunct/>
        <w:topLinePunct w:val="0"/>
        <w:autoSpaceDE w:val="0"/>
        <w:autoSpaceDN w:val="0"/>
        <w:bidi w:val="0"/>
        <w:adjustRightInd/>
        <w:snapToGrid/>
        <w:spacing w:line="560" w:lineRule="exact"/>
        <w:ind w:firstLine="640" w:firstLineChars="200"/>
        <w:jc w:val="left"/>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2.</w:t>
      </w:r>
      <w:r>
        <w:rPr>
          <w:rFonts w:hint="eastAsia" w:ascii="仿宋_GB2312" w:hAnsi="仿宋_GB2312" w:eastAsia="仿宋_GB2312" w:cs="仿宋_GB2312"/>
          <w:kern w:val="0"/>
          <w:sz w:val="32"/>
          <w:szCs w:val="32"/>
        </w:rPr>
        <w:t>供应商基本情况表</w:t>
      </w:r>
    </w:p>
    <w:p w14:paraId="101EDC9C">
      <w:pPr>
        <w:keepNext w:val="0"/>
        <w:keepLines w:val="0"/>
        <w:pageBreakBefore w:val="0"/>
        <w:kinsoku/>
        <w:topLinePunct w:val="0"/>
        <w:autoSpaceDE/>
        <w:autoSpaceDN/>
        <w:bidi w:val="0"/>
        <w:adjustRightInd/>
        <w:snapToGrid/>
        <w:spacing w:line="560" w:lineRule="exact"/>
        <w:ind w:left="0"/>
        <w:textAlignment w:val="auto"/>
        <w:rPr>
          <w:rFonts w:hint="eastAsia" w:ascii="仿宋_GB2312" w:hAnsi="仿宋_GB2312" w:eastAsia="仿宋_GB2312" w:cs="仿宋_GB2312"/>
          <w:sz w:val="32"/>
          <w:szCs w:val="32"/>
          <w:highlight w:val="none"/>
          <w:lang w:val="en-US" w:eastAsia="zh-CN"/>
        </w:rPr>
      </w:pPr>
    </w:p>
    <w:p w14:paraId="4689F817">
      <w:pPr>
        <w:keepNext w:val="0"/>
        <w:keepLines w:val="0"/>
        <w:pageBreakBefore w:val="0"/>
        <w:kinsoku/>
        <w:topLinePunct w:val="0"/>
        <w:autoSpaceDE/>
        <w:autoSpaceDN/>
        <w:bidi w:val="0"/>
        <w:adjustRightInd/>
        <w:snapToGrid/>
        <w:spacing w:line="560" w:lineRule="exact"/>
        <w:ind w:left="0"/>
        <w:textAlignment w:val="auto"/>
        <w:rPr>
          <w:rFonts w:hint="eastAsia" w:ascii="仿宋_GB2312" w:hAnsi="仿宋_GB2312" w:eastAsia="仿宋_GB2312" w:cs="仿宋_GB2312"/>
          <w:sz w:val="32"/>
          <w:szCs w:val="32"/>
          <w:highlight w:val="none"/>
          <w:lang w:val="en-US" w:eastAsia="zh-CN"/>
        </w:rPr>
      </w:pPr>
    </w:p>
    <w:p w14:paraId="2D71A059">
      <w:pPr>
        <w:keepNext w:val="0"/>
        <w:keepLines w:val="0"/>
        <w:pageBreakBefore w:val="0"/>
        <w:kinsoku/>
        <w:wordWrap w:val="0"/>
        <w:topLinePunct w:val="0"/>
        <w:autoSpaceDE/>
        <w:autoSpaceDN/>
        <w:bidi w:val="0"/>
        <w:adjustRightInd/>
        <w:snapToGrid/>
        <w:spacing w:line="560" w:lineRule="exact"/>
        <w:ind w:left="0"/>
        <w:jc w:val="righ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深圳市深深宝投资有限公司  </w:t>
      </w:r>
    </w:p>
    <w:p w14:paraId="4768DE35">
      <w:pPr>
        <w:keepNext w:val="0"/>
        <w:keepLines w:val="0"/>
        <w:pageBreakBefore w:val="0"/>
        <w:kinsoku/>
        <w:wordWrap w:val="0"/>
        <w:topLinePunct w:val="0"/>
        <w:autoSpaceDE/>
        <w:autoSpaceDN/>
        <w:bidi w:val="0"/>
        <w:adjustRightInd/>
        <w:snapToGrid/>
        <w:spacing w:line="560" w:lineRule="exact"/>
        <w:ind w:left="0"/>
        <w:jc w:val="right"/>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2026年  月  日      </w:t>
      </w:r>
    </w:p>
    <w:p w14:paraId="25DCC2A7">
      <w:pPr>
        <w:keepNext w:val="0"/>
        <w:keepLines w:val="0"/>
        <w:pageBreakBefore w:val="0"/>
        <w:kinsoku/>
        <w:topLinePunct w:val="0"/>
        <w:autoSpaceDE/>
        <w:autoSpaceDN/>
        <w:bidi w:val="0"/>
        <w:adjustRightInd/>
        <w:snapToGrid/>
        <w:spacing w:line="560" w:lineRule="exact"/>
        <w:ind w:left="0" w:firstLine="0" w:firstLineChars="0"/>
        <w:textAlignment w:val="auto"/>
        <w:rPr>
          <w:rFonts w:hint="eastAsia" w:ascii="仿宋_GB2312" w:hAnsi="仿宋_GB2312" w:eastAsia="仿宋_GB2312" w:cs="仿宋_GB2312"/>
          <w:b/>
          <w:bCs/>
          <w:sz w:val="32"/>
          <w:szCs w:val="32"/>
          <w:highlight w:val="none"/>
          <w:lang w:val="en-US" w:eastAsia="zh-CN"/>
        </w:rPr>
      </w:pPr>
    </w:p>
    <w:p w14:paraId="026F16F9">
      <w:pPr>
        <w:keepNext w:val="0"/>
        <w:keepLines w:val="0"/>
        <w:pageBreakBefore w:val="0"/>
        <w:kinsoku/>
        <w:topLinePunct w:val="0"/>
        <w:autoSpaceDE/>
        <w:autoSpaceDN/>
        <w:bidi w:val="0"/>
        <w:adjustRightInd/>
        <w:snapToGrid/>
        <w:spacing w:line="560" w:lineRule="exact"/>
        <w:ind w:left="0" w:firstLine="0" w:firstLineChars="0"/>
        <w:textAlignment w:val="auto"/>
        <w:rPr>
          <w:rFonts w:hint="eastAsia" w:ascii="仿宋_GB2312" w:hAnsi="仿宋_GB2312" w:eastAsia="仿宋_GB2312" w:cs="仿宋_GB2312"/>
          <w:b/>
          <w:bCs/>
          <w:sz w:val="32"/>
          <w:szCs w:val="32"/>
          <w:highlight w:val="none"/>
          <w:lang w:val="en-US" w:eastAsia="zh-CN"/>
        </w:rPr>
      </w:pPr>
      <w:bookmarkStart w:id="0" w:name="_GoBack"/>
      <w:bookmarkEnd w:id="0"/>
    </w:p>
    <w:p w14:paraId="4EE8B6F7">
      <w:pPr>
        <w:keepNext w:val="0"/>
        <w:keepLines w:val="0"/>
        <w:pageBreakBefore w:val="0"/>
        <w:kinsoku/>
        <w:topLinePunct w:val="0"/>
        <w:autoSpaceDE/>
        <w:autoSpaceDN/>
        <w:bidi w:val="0"/>
        <w:adjustRightInd/>
        <w:snapToGrid/>
        <w:spacing w:line="560" w:lineRule="exact"/>
        <w:ind w:left="0" w:firstLine="0" w:firstLineChars="0"/>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附件1</w:t>
      </w:r>
    </w:p>
    <w:p w14:paraId="043D7B4F">
      <w:pPr>
        <w:keepNext w:val="0"/>
        <w:keepLines w:val="0"/>
        <w:pageBreakBefore w:val="0"/>
        <w:kinsoku/>
        <w:topLinePunct w:val="0"/>
        <w:autoSpaceDE/>
        <w:autoSpaceDN/>
        <w:bidi w:val="0"/>
        <w:adjustRightInd/>
        <w:snapToGrid/>
        <w:spacing w:line="560" w:lineRule="exact"/>
        <w:ind w:left="0" w:firstLine="0" w:firstLineChars="0"/>
        <w:jc w:val="center"/>
        <w:textAlignment w:val="auto"/>
        <w:rPr>
          <w:rFonts w:ascii="宋体" w:hAnsi="宋体" w:eastAsia="宋体"/>
          <w:b/>
          <w:color w:val="000000"/>
          <w:sz w:val="44"/>
          <w:szCs w:val="44"/>
          <w:highlight w:val="none"/>
          <w:lang w:eastAsia="zh-CN"/>
        </w:rPr>
      </w:pPr>
      <w:r>
        <w:rPr>
          <w:rFonts w:hint="eastAsia" w:ascii="宋体" w:hAnsi="宋体" w:eastAsia="宋体"/>
          <w:b/>
          <w:color w:val="000000"/>
          <w:sz w:val="44"/>
          <w:szCs w:val="44"/>
          <w:highlight w:val="none"/>
          <w:lang w:eastAsia="zh-CN"/>
        </w:rPr>
        <w:t>投标确认书</w:t>
      </w:r>
    </w:p>
    <w:p w14:paraId="61B10878">
      <w:pPr>
        <w:keepNext w:val="0"/>
        <w:keepLines w:val="0"/>
        <w:pageBreakBefore w:val="0"/>
        <w:kinsoku/>
        <w:topLinePunct w:val="0"/>
        <w:autoSpaceDE/>
        <w:autoSpaceDN/>
        <w:bidi w:val="0"/>
        <w:adjustRightInd/>
        <w:snapToGrid/>
        <w:spacing w:line="560" w:lineRule="exact"/>
        <w:ind w:left="0" w:firstLine="0" w:firstLineChars="0"/>
        <w:textAlignment w:val="auto"/>
        <w:rPr>
          <w:rFonts w:ascii="仿宋" w:hAnsi="仿宋" w:eastAsia="仿宋"/>
          <w:sz w:val="21"/>
          <w:szCs w:val="24"/>
          <w:highlight w:val="none"/>
          <w:lang w:eastAsia="zh-CN"/>
        </w:rPr>
      </w:pPr>
    </w:p>
    <w:p w14:paraId="19FAF3E4">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textAlignment w:val="auto"/>
        <w:outlineLvl w:val="0"/>
        <w:rPr>
          <w:rFonts w:hint="eastAsia" w:ascii="仿宋_GB2312" w:hAnsi="Calibri" w:eastAsia="仿宋_GB2312" w:cs="Times New Roman"/>
          <w:kern w:val="2"/>
          <w:sz w:val="32"/>
          <w:szCs w:val="24"/>
          <w:highlight w:val="none"/>
          <w:lang w:eastAsia="zh-CN" w:bidi="ar"/>
        </w:rPr>
      </w:pPr>
      <w:r>
        <w:rPr>
          <w:rFonts w:hint="eastAsia" w:ascii="仿宋_GB2312" w:hAnsi="Calibri" w:eastAsia="仿宋_GB2312" w:cs="Times New Roman"/>
          <w:kern w:val="2"/>
          <w:sz w:val="32"/>
          <w:szCs w:val="24"/>
          <w:highlight w:val="none"/>
          <w:lang w:eastAsia="zh-CN" w:bidi="ar"/>
        </w:rPr>
        <w:t>致：深圳市深</w:t>
      </w:r>
      <w:r>
        <w:rPr>
          <w:rFonts w:hint="eastAsia" w:ascii="仿宋_GB2312" w:hAnsi="Calibri" w:eastAsia="仿宋_GB2312" w:cs="Times New Roman"/>
          <w:kern w:val="2"/>
          <w:sz w:val="32"/>
          <w:szCs w:val="24"/>
          <w:highlight w:val="none"/>
          <w:lang w:val="en-US" w:eastAsia="zh-CN" w:bidi="ar"/>
        </w:rPr>
        <w:t>深宝投资</w:t>
      </w:r>
      <w:r>
        <w:rPr>
          <w:rFonts w:hint="eastAsia" w:ascii="仿宋_GB2312" w:hAnsi="Calibri" w:eastAsia="仿宋_GB2312" w:cs="Times New Roman"/>
          <w:kern w:val="2"/>
          <w:sz w:val="32"/>
          <w:szCs w:val="24"/>
          <w:highlight w:val="none"/>
          <w:lang w:eastAsia="zh-CN" w:bidi="ar"/>
        </w:rPr>
        <w:t>有限公司</w:t>
      </w:r>
    </w:p>
    <w:p w14:paraId="432249CB">
      <w:pPr>
        <w:keepNext w:val="0"/>
        <w:keepLines w:val="0"/>
        <w:pageBreakBefore w:val="0"/>
        <w:kinsoku/>
        <w:topLinePunct w:val="0"/>
        <w:autoSpaceDE/>
        <w:autoSpaceDN/>
        <w:bidi w:val="0"/>
        <w:adjustRightInd/>
        <w:snapToGrid/>
        <w:spacing w:line="560" w:lineRule="exact"/>
        <w:ind w:left="0" w:firstLine="640" w:firstLineChars="200"/>
        <w:jc w:val="left"/>
        <w:textAlignment w:val="auto"/>
        <w:rPr>
          <w:rFonts w:hint="eastAsia" w:ascii="仿宋_GB2312" w:hAnsi="Calibri" w:eastAsia="仿宋_GB2312" w:cs="Times New Roman"/>
          <w:kern w:val="2"/>
          <w:sz w:val="32"/>
          <w:szCs w:val="24"/>
          <w:highlight w:val="none"/>
          <w:lang w:eastAsia="zh-CN" w:bidi="ar"/>
        </w:rPr>
      </w:pPr>
      <w:r>
        <w:rPr>
          <w:rFonts w:hint="eastAsia" w:ascii="仿宋_GB2312" w:hAnsi="Calibri" w:eastAsia="仿宋_GB2312" w:cs="Times New Roman"/>
          <w:kern w:val="2"/>
          <w:sz w:val="32"/>
          <w:szCs w:val="24"/>
          <w:highlight w:val="none"/>
          <w:lang w:eastAsia="zh-CN" w:bidi="ar"/>
        </w:rPr>
        <w:t>贵司《</w:t>
      </w:r>
      <w:r>
        <w:rPr>
          <w:rFonts w:hint="eastAsia" w:ascii="仿宋_GB2312" w:hAnsi="Calibri" w:eastAsia="仿宋_GB2312" w:cs="Times New Roman"/>
          <w:kern w:val="2"/>
          <w:sz w:val="32"/>
          <w:szCs w:val="24"/>
          <w:highlight w:val="none"/>
          <w:lang w:val="en-US" w:eastAsia="zh-CN" w:bidi="ar"/>
        </w:rPr>
        <w:t>深圳市深深宝投资有限公司聘请律师事务所代理诉讼案件及相关事项竞争性谈判</w:t>
      </w:r>
      <w:r>
        <w:rPr>
          <w:rFonts w:hint="eastAsia" w:ascii="仿宋_GB2312" w:hAnsi="Calibri" w:eastAsia="仿宋_GB2312" w:cs="Times New Roman"/>
          <w:kern w:val="2"/>
          <w:sz w:val="32"/>
          <w:szCs w:val="24"/>
          <w:highlight w:val="none"/>
          <w:lang w:eastAsia="zh-CN" w:bidi="ar"/>
        </w:rPr>
        <w:t>公告书》收悉，我</w:t>
      </w:r>
      <w:r>
        <w:rPr>
          <w:rFonts w:hint="eastAsia" w:ascii="仿宋_GB2312" w:hAnsi="Calibri" w:eastAsia="仿宋_GB2312" w:cs="Times New Roman"/>
          <w:kern w:val="2"/>
          <w:sz w:val="32"/>
          <w:szCs w:val="24"/>
          <w:highlight w:val="none"/>
          <w:lang w:val="en-US" w:eastAsia="zh-CN" w:bidi="ar"/>
        </w:rPr>
        <w:t>所</w:t>
      </w:r>
      <w:r>
        <w:rPr>
          <w:rFonts w:hint="eastAsia" w:ascii="仿宋_GB2312" w:hAnsi="Calibri" w:eastAsia="仿宋_GB2312" w:cs="Times New Roman"/>
          <w:kern w:val="2"/>
          <w:sz w:val="32"/>
          <w:szCs w:val="24"/>
          <w:highlight w:val="none"/>
          <w:lang w:eastAsia="zh-CN" w:bidi="ar"/>
        </w:rPr>
        <w:t>经认真研阅，决定参与</w:t>
      </w:r>
      <w:r>
        <w:rPr>
          <w:rFonts w:hint="eastAsia" w:ascii="仿宋_GB2312" w:hAnsi="Calibri" w:eastAsia="仿宋_GB2312" w:cs="Times New Roman"/>
          <w:kern w:val="2"/>
          <w:sz w:val="32"/>
          <w:szCs w:val="24"/>
          <w:highlight w:val="none"/>
          <w:lang w:val="en-US" w:eastAsia="zh-CN" w:bidi="ar"/>
        </w:rPr>
        <w:t>贵司聘请律师事务所代理诉讼案件及相关事项竞争性谈判</w:t>
      </w:r>
      <w:r>
        <w:rPr>
          <w:rFonts w:hint="eastAsia" w:ascii="仿宋_GB2312" w:hAnsi="Calibri" w:eastAsia="仿宋_GB2312" w:cs="Times New Roman"/>
          <w:kern w:val="2"/>
          <w:sz w:val="32"/>
          <w:szCs w:val="24"/>
          <w:highlight w:val="none"/>
          <w:lang w:eastAsia="zh-CN" w:bidi="ar"/>
        </w:rPr>
        <w:t>，现予书面确认。</w:t>
      </w:r>
    </w:p>
    <w:p w14:paraId="090E0120">
      <w:pPr>
        <w:keepNext w:val="0"/>
        <w:keepLines w:val="0"/>
        <w:pageBreakBefore w:val="0"/>
        <w:kinsoku/>
        <w:topLinePunct w:val="0"/>
        <w:autoSpaceDE/>
        <w:autoSpaceDN/>
        <w:bidi w:val="0"/>
        <w:adjustRightInd/>
        <w:snapToGrid/>
        <w:spacing w:line="560" w:lineRule="exact"/>
        <w:ind w:left="0" w:firstLine="420" w:firstLineChars="200"/>
        <w:textAlignment w:val="auto"/>
        <w:rPr>
          <w:rFonts w:ascii="仿宋" w:hAnsi="仿宋" w:eastAsia="仿宋"/>
          <w:sz w:val="21"/>
          <w:szCs w:val="24"/>
          <w:highlight w:val="none"/>
          <w:lang w:eastAsia="zh-CN"/>
        </w:rPr>
      </w:pPr>
    </w:p>
    <w:p w14:paraId="59A6F9EF">
      <w:pPr>
        <w:keepNext w:val="0"/>
        <w:keepLines w:val="0"/>
        <w:pageBreakBefore w:val="0"/>
        <w:kinsoku/>
        <w:topLinePunct w:val="0"/>
        <w:autoSpaceDE/>
        <w:autoSpaceDN/>
        <w:bidi w:val="0"/>
        <w:adjustRightInd/>
        <w:snapToGrid/>
        <w:spacing w:line="560" w:lineRule="exact"/>
        <w:ind w:left="0" w:firstLine="420" w:firstLineChars="200"/>
        <w:textAlignment w:val="auto"/>
        <w:rPr>
          <w:rFonts w:ascii="仿宋" w:hAnsi="仿宋" w:eastAsia="仿宋"/>
          <w:sz w:val="21"/>
          <w:szCs w:val="24"/>
          <w:highlight w:val="none"/>
          <w:lang w:eastAsia="zh-CN"/>
        </w:rPr>
      </w:pPr>
    </w:p>
    <w:p w14:paraId="5C8A9480">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jc w:val="right"/>
        <w:textAlignment w:val="auto"/>
        <w:outlineLvl w:val="0"/>
        <w:rPr>
          <w:rFonts w:hint="eastAsia" w:ascii="仿宋_GB2312" w:hAnsi="Calibri" w:eastAsia="仿宋_GB2312" w:cs="Times New Roman"/>
          <w:kern w:val="2"/>
          <w:sz w:val="32"/>
          <w:szCs w:val="24"/>
          <w:highlight w:val="none"/>
          <w:lang w:val="en-US" w:eastAsia="zh-CN" w:bidi="ar"/>
        </w:rPr>
      </w:pPr>
      <w:r>
        <w:rPr>
          <w:rFonts w:hint="eastAsia" w:ascii="仿宋_GB2312" w:hAnsi="Calibri" w:eastAsia="仿宋_GB2312" w:cs="Times New Roman"/>
          <w:kern w:val="2"/>
          <w:sz w:val="32"/>
          <w:szCs w:val="24"/>
          <w:highlight w:val="none"/>
          <w:lang w:eastAsia="zh-CN" w:bidi="ar"/>
        </w:rPr>
        <w:t>xxx</w:t>
      </w:r>
      <w:r>
        <w:rPr>
          <w:rFonts w:hint="eastAsia" w:ascii="仿宋_GB2312" w:hAnsi="Calibri" w:eastAsia="仿宋_GB2312" w:cs="Times New Roman"/>
          <w:kern w:val="2"/>
          <w:sz w:val="32"/>
          <w:szCs w:val="24"/>
          <w:highlight w:val="none"/>
          <w:lang w:val="en-US" w:eastAsia="zh-CN" w:bidi="ar"/>
        </w:rPr>
        <w:t>律师事务所</w:t>
      </w:r>
      <w:r>
        <w:rPr>
          <w:rFonts w:hint="eastAsia" w:ascii="仿宋_GB2312" w:hAnsi="Calibri" w:eastAsia="仿宋_GB2312" w:cs="Times New Roman"/>
          <w:kern w:val="2"/>
          <w:sz w:val="32"/>
          <w:szCs w:val="24"/>
          <w:highlight w:val="none"/>
          <w:lang w:eastAsia="zh-CN" w:bidi="ar"/>
        </w:rPr>
        <w:t>（</w:t>
      </w:r>
      <w:r>
        <w:rPr>
          <w:rFonts w:hint="eastAsia" w:ascii="仿宋_GB2312" w:hAnsi="Calibri" w:eastAsia="仿宋_GB2312" w:cs="Times New Roman"/>
          <w:kern w:val="2"/>
          <w:sz w:val="32"/>
          <w:szCs w:val="24"/>
          <w:highlight w:val="none"/>
          <w:lang w:val="en-US" w:eastAsia="zh-CN" w:bidi="ar"/>
        </w:rPr>
        <w:t xml:space="preserve">公章） </w:t>
      </w:r>
    </w:p>
    <w:p w14:paraId="15D0C948">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jc w:val="right"/>
        <w:textAlignment w:val="auto"/>
        <w:outlineLvl w:val="0"/>
        <w:rPr>
          <w:rFonts w:hint="eastAsia" w:ascii="仿宋_GB2312" w:hAnsi="Calibri" w:eastAsia="仿宋_GB2312" w:cs="Times New Roman"/>
          <w:kern w:val="2"/>
          <w:sz w:val="32"/>
          <w:szCs w:val="24"/>
          <w:highlight w:val="none"/>
          <w:lang w:val="en-US" w:eastAsia="zh-CN" w:bidi="ar"/>
        </w:rPr>
      </w:pPr>
      <w:r>
        <w:rPr>
          <w:rFonts w:hint="eastAsia" w:ascii="仿宋_GB2312" w:hAnsi="Calibri" w:eastAsia="仿宋_GB2312" w:cs="Times New Roman"/>
          <w:kern w:val="2"/>
          <w:sz w:val="32"/>
          <w:szCs w:val="24"/>
          <w:highlight w:val="none"/>
          <w:lang w:eastAsia="zh-CN" w:bidi="ar"/>
        </w:rPr>
        <w:t>20</w:t>
      </w:r>
      <w:r>
        <w:rPr>
          <w:rFonts w:hint="eastAsia" w:ascii="仿宋_GB2312" w:hAnsi="Calibri" w:eastAsia="仿宋_GB2312" w:cs="Times New Roman"/>
          <w:kern w:val="2"/>
          <w:sz w:val="32"/>
          <w:szCs w:val="24"/>
          <w:highlight w:val="none"/>
          <w:lang w:val="en-US" w:eastAsia="zh-CN" w:bidi="ar"/>
        </w:rPr>
        <w:t>26</w:t>
      </w:r>
      <w:r>
        <w:rPr>
          <w:rFonts w:hint="eastAsia" w:ascii="仿宋_GB2312" w:hAnsi="Calibri" w:eastAsia="仿宋_GB2312" w:cs="Times New Roman"/>
          <w:kern w:val="2"/>
          <w:sz w:val="32"/>
          <w:szCs w:val="24"/>
          <w:highlight w:val="none"/>
          <w:lang w:eastAsia="zh-CN" w:bidi="ar"/>
        </w:rPr>
        <w:t>年x月x日</w:t>
      </w:r>
      <w:r>
        <w:rPr>
          <w:rFonts w:hint="eastAsia" w:ascii="仿宋_GB2312" w:hAnsi="Calibri" w:eastAsia="仿宋_GB2312" w:cs="Times New Roman"/>
          <w:kern w:val="2"/>
          <w:sz w:val="32"/>
          <w:szCs w:val="24"/>
          <w:highlight w:val="none"/>
          <w:lang w:val="en-US" w:eastAsia="zh-CN" w:bidi="ar"/>
        </w:rPr>
        <w:t xml:space="preserve">  </w:t>
      </w:r>
    </w:p>
    <w:p w14:paraId="50F53405">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jc w:val="right"/>
        <w:textAlignment w:val="auto"/>
        <w:outlineLvl w:val="0"/>
        <w:rPr>
          <w:rFonts w:hint="eastAsia" w:ascii="仿宋_GB2312" w:hAnsi="Calibri" w:eastAsia="仿宋_GB2312" w:cs="Times New Roman"/>
          <w:kern w:val="2"/>
          <w:sz w:val="32"/>
          <w:szCs w:val="24"/>
          <w:highlight w:val="none"/>
          <w:lang w:eastAsia="zh-CN" w:bidi="ar"/>
        </w:rPr>
      </w:pPr>
      <w:r>
        <w:rPr>
          <w:rFonts w:hint="eastAsia" w:ascii="仿宋_GB2312" w:hAnsi="Calibri" w:eastAsia="仿宋_GB2312" w:cs="Times New Roman"/>
          <w:kern w:val="2"/>
          <w:sz w:val="32"/>
          <w:szCs w:val="24"/>
          <w:highlight w:val="none"/>
          <w:lang w:eastAsia="zh-CN" w:bidi="ar"/>
        </w:rPr>
        <w:t>（联系人：xxx，联系</w:t>
      </w:r>
      <w:r>
        <w:rPr>
          <w:rFonts w:hint="eastAsia" w:ascii="仿宋_GB2312" w:hAnsi="Calibri" w:eastAsia="仿宋_GB2312" w:cs="Times New Roman"/>
          <w:kern w:val="2"/>
          <w:sz w:val="32"/>
          <w:szCs w:val="24"/>
          <w:highlight w:val="none"/>
          <w:lang w:val="en-US" w:eastAsia="zh-CN" w:bidi="ar"/>
        </w:rPr>
        <w:t>电话</w:t>
      </w:r>
      <w:r>
        <w:rPr>
          <w:rFonts w:hint="eastAsia" w:ascii="仿宋_GB2312" w:hAnsi="Calibri" w:eastAsia="仿宋_GB2312" w:cs="Times New Roman"/>
          <w:kern w:val="2"/>
          <w:sz w:val="32"/>
          <w:szCs w:val="24"/>
          <w:highlight w:val="none"/>
          <w:lang w:eastAsia="zh-CN" w:bidi="ar"/>
        </w:rPr>
        <w:t>：</w:t>
      </w:r>
      <w:r>
        <w:rPr>
          <w:rFonts w:hint="eastAsia" w:ascii="仿宋_GB2312" w:hAnsi="Calibri" w:eastAsia="仿宋_GB2312" w:cs="Times New Roman"/>
          <w:kern w:val="2"/>
          <w:sz w:val="32"/>
          <w:szCs w:val="24"/>
          <w:highlight w:val="none"/>
          <w:lang w:val="en-US" w:eastAsia="zh-CN" w:bidi="ar"/>
        </w:rPr>
        <w:t>xxx</w:t>
      </w:r>
      <w:r>
        <w:rPr>
          <w:rFonts w:hint="eastAsia" w:ascii="仿宋_GB2312" w:hAnsi="Calibri" w:eastAsia="仿宋_GB2312" w:cs="Times New Roman"/>
          <w:kern w:val="2"/>
          <w:sz w:val="32"/>
          <w:szCs w:val="24"/>
          <w:highlight w:val="none"/>
          <w:lang w:eastAsia="zh-CN" w:bidi="ar"/>
        </w:rPr>
        <w:t>）</w:t>
      </w:r>
    </w:p>
    <w:p w14:paraId="176883C1">
      <w:pPr>
        <w:keepNext w:val="0"/>
        <w:keepLines w:val="0"/>
        <w:pageBreakBefore w:val="0"/>
        <w:kinsoku/>
        <w:topLinePunct w:val="0"/>
        <w:autoSpaceDE/>
        <w:autoSpaceDN/>
        <w:bidi w:val="0"/>
        <w:adjustRightInd/>
        <w:snapToGrid/>
        <w:spacing w:line="560" w:lineRule="exact"/>
        <w:ind w:left="0"/>
        <w:textAlignment w:val="auto"/>
        <w:rPr>
          <w:rFonts w:hint="eastAsia" w:ascii="仿宋_GB2312" w:hAnsi="仿宋_GB2312" w:eastAsia="仿宋_GB2312" w:cs="仿宋_GB2312"/>
          <w:sz w:val="32"/>
          <w:szCs w:val="32"/>
          <w:highlight w:val="none"/>
          <w:lang w:val="en-US" w:eastAsia="zh-CN"/>
        </w:rPr>
      </w:pPr>
    </w:p>
    <w:p w14:paraId="7430E4E1">
      <w:pPr>
        <w:keepNext w:val="0"/>
        <w:keepLines w:val="0"/>
        <w:pageBreakBefore w:val="0"/>
        <w:widowControl/>
        <w:kinsoku/>
        <w:topLinePunct w:val="0"/>
        <w:autoSpaceDE/>
        <w:autoSpaceDN/>
        <w:bidi w:val="0"/>
        <w:adjustRightInd/>
        <w:snapToGrid/>
        <w:spacing w:line="560" w:lineRule="exact"/>
        <w:ind w:left="0" w:firstLine="0" w:firstLineChars="0"/>
        <w:jc w:val="left"/>
        <w:textAlignment w:val="auto"/>
        <w:rPr>
          <w:rFonts w:hint="default" w:ascii="仿宋_GB2312" w:hAnsi="仿宋_GB2312" w:eastAsia="仿宋_GB2312" w:cs="仿宋_GB2312"/>
          <w:sz w:val="32"/>
          <w:szCs w:val="32"/>
          <w:highlight w:val="none"/>
          <w:lang w:val="en-US" w:eastAsia="zh-CN"/>
        </w:rPr>
      </w:pPr>
    </w:p>
    <w:p w14:paraId="6B040F34">
      <w:pPr>
        <w:keepNext w:val="0"/>
        <w:keepLines w:val="0"/>
        <w:pageBreakBefore w:val="0"/>
        <w:widowControl/>
        <w:kinsoku/>
        <w:topLinePunct w:val="0"/>
        <w:autoSpaceDE/>
        <w:autoSpaceDN/>
        <w:bidi w:val="0"/>
        <w:adjustRightInd/>
        <w:snapToGrid/>
        <w:spacing w:line="560" w:lineRule="exact"/>
        <w:ind w:left="0" w:firstLine="0" w:firstLineChars="0"/>
        <w:jc w:val="left"/>
        <w:textAlignment w:val="auto"/>
        <w:rPr>
          <w:rFonts w:hint="default" w:ascii="仿宋_GB2312" w:hAnsi="仿宋_GB2312" w:eastAsia="仿宋_GB2312" w:cs="仿宋_GB2312"/>
          <w:sz w:val="32"/>
          <w:szCs w:val="32"/>
          <w:highlight w:val="none"/>
          <w:lang w:val="en-US" w:eastAsia="zh-CN"/>
        </w:rPr>
      </w:pPr>
    </w:p>
    <w:p w14:paraId="0C8508D8">
      <w:pPr>
        <w:keepNext w:val="0"/>
        <w:keepLines w:val="0"/>
        <w:pageBreakBefore w:val="0"/>
        <w:widowControl/>
        <w:kinsoku/>
        <w:topLinePunct w:val="0"/>
        <w:autoSpaceDE/>
        <w:autoSpaceDN/>
        <w:bidi w:val="0"/>
        <w:adjustRightInd/>
        <w:snapToGrid/>
        <w:spacing w:line="560" w:lineRule="exact"/>
        <w:ind w:left="0" w:firstLine="0" w:firstLineChars="0"/>
        <w:jc w:val="left"/>
        <w:textAlignment w:val="auto"/>
        <w:rPr>
          <w:rFonts w:hint="default" w:ascii="仿宋_GB2312" w:hAnsi="仿宋_GB2312" w:eastAsia="仿宋_GB2312" w:cs="仿宋_GB2312"/>
          <w:sz w:val="32"/>
          <w:szCs w:val="32"/>
          <w:highlight w:val="none"/>
          <w:lang w:val="en-US" w:eastAsia="zh-CN"/>
        </w:rPr>
      </w:pPr>
    </w:p>
    <w:p w14:paraId="58CAFD15">
      <w:pPr>
        <w:keepNext w:val="0"/>
        <w:keepLines w:val="0"/>
        <w:pageBreakBefore w:val="0"/>
        <w:widowControl/>
        <w:kinsoku/>
        <w:topLinePunct w:val="0"/>
        <w:autoSpaceDE/>
        <w:autoSpaceDN/>
        <w:bidi w:val="0"/>
        <w:adjustRightInd/>
        <w:snapToGrid/>
        <w:spacing w:line="560" w:lineRule="exact"/>
        <w:ind w:left="0" w:firstLine="0" w:firstLineChars="0"/>
        <w:jc w:val="left"/>
        <w:textAlignment w:val="auto"/>
        <w:rPr>
          <w:rFonts w:hint="default" w:ascii="仿宋_GB2312" w:hAnsi="仿宋_GB2312" w:eastAsia="仿宋_GB2312" w:cs="仿宋_GB2312"/>
          <w:sz w:val="32"/>
          <w:szCs w:val="32"/>
          <w:highlight w:val="none"/>
          <w:lang w:val="en-US" w:eastAsia="zh-CN"/>
        </w:rPr>
      </w:pPr>
    </w:p>
    <w:p w14:paraId="4F0D3359">
      <w:pPr>
        <w:keepNext w:val="0"/>
        <w:keepLines w:val="0"/>
        <w:pageBreakBefore w:val="0"/>
        <w:widowControl/>
        <w:kinsoku/>
        <w:topLinePunct w:val="0"/>
        <w:autoSpaceDE/>
        <w:autoSpaceDN/>
        <w:bidi w:val="0"/>
        <w:adjustRightInd/>
        <w:snapToGrid/>
        <w:spacing w:line="560" w:lineRule="exact"/>
        <w:ind w:left="0" w:firstLine="0" w:firstLineChars="0"/>
        <w:jc w:val="left"/>
        <w:textAlignment w:val="auto"/>
        <w:rPr>
          <w:rFonts w:hint="default" w:ascii="仿宋_GB2312" w:hAnsi="仿宋_GB2312" w:eastAsia="仿宋_GB2312" w:cs="仿宋_GB2312"/>
          <w:sz w:val="32"/>
          <w:szCs w:val="32"/>
          <w:highlight w:val="none"/>
          <w:lang w:val="en-US" w:eastAsia="zh-CN"/>
        </w:rPr>
      </w:pPr>
    </w:p>
    <w:p w14:paraId="4B11E158">
      <w:pPr>
        <w:keepNext w:val="0"/>
        <w:keepLines w:val="0"/>
        <w:pageBreakBefore w:val="0"/>
        <w:widowControl/>
        <w:kinsoku/>
        <w:topLinePunct w:val="0"/>
        <w:autoSpaceDE/>
        <w:autoSpaceDN/>
        <w:bidi w:val="0"/>
        <w:adjustRightInd/>
        <w:snapToGrid/>
        <w:spacing w:line="560" w:lineRule="exact"/>
        <w:ind w:left="0" w:firstLine="0" w:firstLineChars="0"/>
        <w:jc w:val="left"/>
        <w:textAlignment w:val="auto"/>
        <w:rPr>
          <w:rFonts w:hint="default" w:ascii="仿宋_GB2312" w:hAnsi="仿宋_GB2312" w:eastAsia="仿宋_GB2312" w:cs="仿宋_GB2312"/>
          <w:sz w:val="32"/>
          <w:szCs w:val="32"/>
          <w:highlight w:val="none"/>
          <w:lang w:val="en-US" w:eastAsia="zh-CN"/>
        </w:rPr>
      </w:pPr>
    </w:p>
    <w:p w14:paraId="79745013">
      <w:pPr>
        <w:keepNext w:val="0"/>
        <w:keepLines w:val="0"/>
        <w:pageBreakBefore w:val="0"/>
        <w:widowControl/>
        <w:kinsoku/>
        <w:topLinePunct w:val="0"/>
        <w:autoSpaceDE/>
        <w:autoSpaceDN/>
        <w:bidi w:val="0"/>
        <w:adjustRightInd/>
        <w:snapToGrid/>
        <w:spacing w:line="560" w:lineRule="exact"/>
        <w:ind w:left="0" w:firstLine="0" w:firstLineChars="0"/>
        <w:jc w:val="left"/>
        <w:textAlignment w:val="auto"/>
        <w:rPr>
          <w:rFonts w:hint="default" w:ascii="仿宋_GB2312" w:hAnsi="仿宋_GB2312" w:eastAsia="仿宋_GB2312" w:cs="仿宋_GB2312"/>
          <w:sz w:val="32"/>
          <w:szCs w:val="32"/>
          <w:highlight w:val="none"/>
          <w:lang w:val="en-US" w:eastAsia="zh-CN"/>
        </w:rPr>
      </w:pPr>
    </w:p>
    <w:p w14:paraId="28AB7CF5">
      <w:pPr>
        <w:keepNext w:val="0"/>
        <w:keepLines w:val="0"/>
        <w:pageBreakBefore w:val="0"/>
        <w:widowControl/>
        <w:kinsoku/>
        <w:topLinePunct w:val="0"/>
        <w:autoSpaceDE/>
        <w:autoSpaceDN/>
        <w:bidi w:val="0"/>
        <w:adjustRightInd/>
        <w:snapToGrid/>
        <w:spacing w:line="560" w:lineRule="exact"/>
        <w:ind w:left="0" w:firstLine="0" w:firstLineChars="0"/>
        <w:jc w:val="left"/>
        <w:textAlignment w:val="auto"/>
        <w:rPr>
          <w:rFonts w:hint="default" w:ascii="仿宋_GB2312" w:hAnsi="仿宋_GB2312" w:eastAsia="仿宋_GB2312" w:cs="仿宋_GB2312"/>
          <w:sz w:val="32"/>
          <w:szCs w:val="32"/>
          <w:highlight w:val="none"/>
          <w:lang w:val="en-US" w:eastAsia="zh-CN"/>
        </w:rPr>
      </w:pPr>
    </w:p>
    <w:p w14:paraId="39E8018A">
      <w:pPr>
        <w:keepNext w:val="0"/>
        <w:keepLines w:val="0"/>
        <w:pageBreakBefore w:val="0"/>
        <w:kinsoku/>
        <w:topLinePunct w:val="0"/>
        <w:autoSpaceDE/>
        <w:autoSpaceDN/>
        <w:bidi w:val="0"/>
        <w:adjustRightInd/>
        <w:snapToGrid/>
        <w:spacing w:line="560" w:lineRule="exact"/>
        <w:ind w:left="0" w:firstLine="0" w:firstLineChars="0"/>
        <w:textAlignment w:val="auto"/>
        <w:rPr>
          <w:rFonts w:hint="eastAsia" w:ascii="仿宋_GB2312" w:hAnsi="仿宋_GB2312" w:eastAsia="仿宋_GB2312" w:cs="仿宋_GB2312"/>
          <w:b/>
          <w:bCs/>
          <w:sz w:val="32"/>
          <w:szCs w:val="32"/>
          <w:highlight w:val="none"/>
          <w:lang w:val="en-US" w:eastAsia="zh-CN"/>
        </w:rPr>
      </w:pPr>
    </w:p>
    <w:p w14:paraId="64FB0306">
      <w:pPr>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br w:type="page"/>
      </w:r>
      <w:r>
        <w:rPr>
          <w:rFonts w:hint="eastAsia" w:ascii="仿宋_GB2312" w:hAnsi="仿宋_GB2312" w:eastAsia="仿宋_GB2312" w:cs="仿宋_GB2312"/>
          <w:b/>
          <w:bCs/>
          <w:sz w:val="32"/>
          <w:szCs w:val="32"/>
          <w:highlight w:val="none"/>
          <w:lang w:val="en-US" w:eastAsia="zh-CN"/>
        </w:rPr>
        <w:t>附件2</w:t>
      </w:r>
    </w:p>
    <w:p w14:paraId="3B162365">
      <w:pPr>
        <w:keepNext w:val="0"/>
        <w:keepLines w:val="0"/>
        <w:pageBreakBefore w:val="0"/>
        <w:kinsoku/>
        <w:topLinePunct w:val="0"/>
        <w:autoSpaceDE/>
        <w:autoSpaceDN/>
        <w:bidi w:val="0"/>
        <w:adjustRightInd/>
        <w:snapToGrid/>
        <w:spacing w:line="560" w:lineRule="exact"/>
        <w:ind w:left="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946"/>
        <w:gridCol w:w="686"/>
        <w:gridCol w:w="264"/>
        <w:gridCol w:w="1200"/>
        <w:gridCol w:w="1581"/>
      </w:tblGrid>
      <w:tr w14:paraId="6DD2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0955085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7089" w:type="dxa"/>
            <w:gridSpan w:val="9"/>
            <w:vAlign w:val="center"/>
          </w:tcPr>
          <w:p w14:paraId="02CB82B6">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r>
      <w:tr w14:paraId="1E34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2692B49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0B81CBB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0235F79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781" w:type="dxa"/>
            <w:gridSpan w:val="2"/>
            <w:vAlign w:val="center"/>
          </w:tcPr>
          <w:p w14:paraId="1CA0E04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r>
      <w:tr w14:paraId="42AB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2" w:type="dxa"/>
            <w:gridSpan w:val="12"/>
            <w:vAlign w:val="center"/>
          </w:tcPr>
          <w:p w14:paraId="674C17C8">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71DB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D6EE51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54B3F2E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508CEA5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6C25154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5885C42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581" w:type="dxa"/>
            <w:vAlign w:val="center"/>
          </w:tcPr>
          <w:p w14:paraId="10D4F26B">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1353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71FE17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43F527F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14:paraId="5FA33C7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34D97D1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681018F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581" w:type="dxa"/>
            <w:vAlign w:val="center"/>
          </w:tcPr>
          <w:p w14:paraId="208750C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r>
      <w:tr w14:paraId="4839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668B4330">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0E9A8900">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14:paraId="422EE47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1A637096">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15FABE3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581" w:type="dxa"/>
            <w:vAlign w:val="center"/>
          </w:tcPr>
          <w:p w14:paraId="23695AFB">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r>
      <w:tr w14:paraId="60C76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8350F4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7383C81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1CE039D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E43A2B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447899C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581" w:type="dxa"/>
            <w:vAlign w:val="center"/>
          </w:tcPr>
          <w:p w14:paraId="016C73A6">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r>
      <w:tr w14:paraId="42EC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F7741EB">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3C7ACB0A">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14:paraId="5AA8C5C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7899A42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39A1DAE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581" w:type="dxa"/>
            <w:vAlign w:val="center"/>
          </w:tcPr>
          <w:p w14:paraId="4AA6E15E">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r>
      <w:tr w14:paraId="6AC7F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BCDB3A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33AAF2B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14:paraId="4482B70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646BE30E">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20B83E4A">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1581" w:type="dxa"/>
            <w:vAlign w:val="center"/>
          </w:tcPr>
          <w:p w14:paraId="73C22FD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r>
      <w:tr w14:paraId="0E73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2" w:type="dxa"/>
            <w:gridSpan w:val="12"/>
          </w:tcPr>
          <w:p w14:paraId="7C5B0B3E">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14:paraId="0EF7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2" w:type="dxa"/>
            <w:gridSpan w:val="12"/>
            <w:vAlign w:val="center"/>
          </w:tcPr>
          <w:p w14:paraId="7F71B4A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0404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56F074F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65921DF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181" w:type="dxa"/>
            <w:gridSpan w:val="4"/>
            <w:vAlign w:val="center"/>
          </w:tcPr>
          <w:p w14:paraId="774A958A">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731" w:type="dxa"/>
            <w:gridSpan w:val="4"/>
            <w:vAlign w:val="center"/>
          </w:tcPr>
          <w:p w14:paraId="160B7996">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51D5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1837FF0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75FC5336">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181" w:type="dxa"/>
            <w:gridSpan w:val="4"/>
            <w:vAlign w:val="center"/>
          </w:tcPr>
          <w:p w14:paraId="2E30D8D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3731" w:type="dxa"/>
            <w:gridSpan w:val="4"/>
            <w:vAlign w:val="center"/>
          </w:tcPr>
          <w:p w14:paraId="5F451F90">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975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20F6FB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4019012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181" w:type="dxa"/>
            <w:gridSpan w:val="4"/>
            <w:vAlign w:val="center"/>
          </w:tcPr>
          <w:p w14:paraId="09036EA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p>
        </w:tc>
        <w:tc>
          <w:tcPr>
            <w:tcW w:w="3731" w:type="dxa"/>
            <w:gridSpan w:val="4"/>
            <w:vAlign w:val="center"/>
          </w:tcPr>
          <w:p w14:paraId="4855631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38FE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2" w:type="dxa"/>
            <w:gridSpan w:val="12"/>
          </w:tcPr>
          <w:p w14:paraId="2AACB5F2">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14:paraId="684702FC">
      <w:pPr>
        <w:keepNext w:val="0"/>
        <w:keepLines w:val="0"/>
        <w:pageBreakBefore w:val="0"/>
        <w:kinsoku/>
        <w:topLinePunct w:val="0"/>
        <w:autoSpaceDE/>
        <w:autoSpaceDN/>
        <w:bidi w:val="0"/>
        <w:adjustRightInd/>
        <w:snapToGrid/>
        <w:spacing w:line="560" w:lineRule="exact"/>
        <w:ind w:left="0"/>
        <w:textAlignment w:val="auto"/>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60409089">
      <w:pPr>
        <w:keepNext w:val="0"/>
        <w:keepLines w:val="0"/>
        <w:pageBreakBefore w:val="0"/>
        <w:kinsoku/>
        <w:topLinePunct w:val="0"/>
        <w:autoSpaceDE/>
        <w:autoSpaceDN/>
        <w:bidi w:val="0"/>
        <w:adjustRightInd/>
        <w:snapToGrid/>
        <w:spacing w:line="560" w:lineRule="exact"/>
        <w:ind w:left="0"/>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14:paraId="1DC1DE36">
      <w:pPr>
        <w:keepNext w:val="0"/>
        <w:keepLines w:val="0"/>
        <w:pageBreakBefore w:val="0"/>
        <w:numPr>
          <w:ilvl w:val="0"/>
          <w:numId w:val="0"/>
        </w:numPr>
        <w:kinsoku/>
        <w:topLinePunct w:val="0"/>
        <w:autoSpaceDE/>
        <w:autoSpaceDN/>
        <w:bidi w:val="0"/>
        <w:adjustRightInd/>
        <w:snapToGrid/>
        <w:spacing w:line="560" w:lineRule="exact"/>
        <w:ind w:left="0"/>
        <w:textAlignment w:val="auto"/>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14:paraId="7E108566">
      <w:pPr>
        <w:keepNext w:val="0"/>
        <w:keepLines w:val="0"/>
        <w:pageBreakBefore w:val="0"/>
        <w:numPr>
          <w:ilvl w:val="0"/>
          <w:numId w:val="0"/>
        </w:numPr>
        <w:kinsoku/>
        <w:topLinePunct w:val="0"/>
        <w:autoSpaceDE/>
        <w:autoSpaceDN/>
        <w:bidi w:val="0"/>
        <w:adjustRightInd/>
        <w:snapToGrid/>
        <w:spacing w:line="560" w:lineRule="exact"/>
        <w:ind w:left="0"/>
        <w:textAlignment w:val="auto"/>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14:paraId="4BE406C5">
      <w:pPr>
        <w:keepNext w:val="0"/>
        <w:keepLines w:val="0"/>
        <w:pageBreakBefore w:val="0"/>
        <w:numPr>
          <w:ilvl w:val="0"/>
          <w:numId w:val="0"/>
        </w:numPr>
        <w:kinsoku/>
        <w:topLinePunct w:val="0"/>
        <w:autoSpaceDE/>
        <w:autoSpaceDN/>
        <w:bidi w:val="0"/>
        <w:adjustRightInd/>
        <w:snapToGrid/>
        <w:spacing w:line="560" w:lineRule="exact"/>
        <w:ind w:left="0"/>
        <w:textAlignment w:val="auto"/>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14:paraId="6B42DFF1">
      <w:pPr>
        <w:keepNext w:val="0"/>
        <w:keepLines w:val="0"/>
        <w:pageBreakBefore w:val="0"/>
        <w:numPr>
          <w:ilvl w:val="0"/>
          <w:numId w:val="0"/>
        </w:numPr>
        <w:kinsoku/>
        <w:topLinePunct w:val="0"/>
        <w:autoSpaceDE/>
        <w:autoSpaceDN/>
        <w:bidi w:val="0"/>
        <w:adjustRightInd/>
        <w:snapToGrid/>
        <w:spacing w:line="560" w:lineRule="exact"/>
        <w:ind w:left="0"/>
        <w:textAlignment w:val="auto"/>
        <w:rPr>
          <w:rFonts w:hint="eastAsia" w:ascii="仿宋_GB2312" w:hAnsi="仿宋_GB2312" w:eastAsia="仿宋_GB2312" w:cs="仿宋_GB2312"/>
          <w:i w:val="0"/>
          <w:iCs w:val="0"/>
          <w:caps w:val="0"/>
          <w:color w:val="404040"/>
          <w:spacing w:val="0"/>
          <w:sz w:val="32"/>
          <w:szCs w:val="32"/>
          <w:shd w:val="clear" w:fill="FFFFFF"/>
          <w:lang w:val="en-US" w:eastAsia="zh-CN"/>
        </w:rPr>
      </w:pPr>
    </w:p>
    <w:p w14:paraId="6D5DBB49">
      <w:pPr>
        <w:keepNext w:val="0"/>
        <w:keepLines w:val="0"/>
        <w:pageBreakBefore w:val="0"/>
        <w:kinsoku/>
        <w:topLinePunct w:val="0"/>
        <w:autoSpaceDE/>
        <w:autoSpaceDN/>
        <w:bidi w:val="0"/>
        <w:adjustRightInd/>
        <w:snapToGrid/>
        <w:spacing w:line="560" w:lineRule="exact"/>
        <w:ind w:left="0" w:hanging="5120" w:hangingChars="16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0C3C71D0">
      <w:pPr>
        <w:keepNext w:val="0"/>
        <w:keepLines w:val="0"/>
        <w:pageBreakBefore w:val="0"/>
        <w:widowControl/>
        <w:kinsoku/>
        <w:topLinePunct w:val="0"/>
        <w:autoSpaceDE/>
        <w:autoSpaceDN/>
        <w:bidi w:val="0"/>
        <w:adjustRightInd/>
        <w:snapToGrid/>
        <w:spacing w:line="560" w:lineRule="exact"/>
        <w:ind w:left="0" w:firstLine="0" w:firstLineChars="0"/>
        <w:jc w:val="left"/>
        <w:textAlignment w:val="auto"/>
        <w:rPr>
          <w:rFonts w:hint="default" w:ascii="仿宋_GB2312" w:hAnsi="仿宋_GB2312" w:eastAsia="仿宋_GB2312" w:cs="仿宋_GB2312"/>
          <w:sz w:val="32"/>
          <w:szCs w:val="32"/>
          <w:highlight w:val="none"/>
          <w:lang w:val="en-US" w:eastAsia="zh-CN"/>
        </w:rPr>
      </w:pPr>
    </w:p>
    <w:sectPr>
      <w:footerReference r:id="rId3" w:type="default"/>
      <w:pgSz w:w="11906" w:h="16838"/>
      <w:pgMar w:top="2098" w:right="1474" w:bottom="181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80751A-DB8D-4B28-A7BF-39E25DD0E0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720D638-8929-4DDC-B0BA-9A24654712B3}"/>
  </w:font>
  <w:font w:name="方正小标宋_GBK">
    <w:panose1 w:val="03000509000000000000"/>
    <w:charset w:val="86"/>
    <w:family w:val="auto"/>
    <w:pitch w:val="default"/>
    <w:sig w:usb0="00000001" w:usb1="080E0000" w:usb2="00000000" w:usb3="00000000" w:csb0="00040000" w:csb1="00000000"/>
    <w:embedRegular r:id="rId3" w:fontKey="{1F5C7F50-3D14-4DC8-82F1-819A4608755D}"/>
  </w:font>
  <w:font w:name="仿宋_GB2312">
    <w:panose1 w:val="02010609030101010101"/>
    <w:charset w:val="86"/>
    <w:family w:val="auto"/>
    <w:pitch w:val="default"/>
    <w:sig w:usb0="00000001" w:usb1="080E0000" w:usb2="00000000" w:usb3="00000000" w:csb0="00040000" w:csb1="00000000"/>
    <w:embedRegular r:id="rId4" w:fontKey="{0A0D6043-EE8A-4F82-9B3E-E6A67B09DFB1}"/>
  </w:font>
  <w:font w:name="楷体_GB2312">
    <w:panose1 w:val="02010609030101010101"/>
    <w:charset w:val="86"/>
    <w:family w:val="auto"/>
    <w:pitch w:val="default"/>
    <w:sig w:usb0="00000001" w:usb1="080E0000" w:usb2="00000000" w:usb3="00000000" w:csb0="00040000" w:csb1="00000000"/>
    <w:embedRegular r:id="rId5" w:fontKey="{94C480BA-27F2-425A-8C06-E3277A049B60}"/>
  </w:font>
  <w:font w:name="楷体">
    <w:panose1 w:val="02010609060101010101"/>
    <w:charset w:val="86"/>
    <w:family w:val="auto"/>
    <w:pitch w:val="default"/>
    <w:sig w:usb0="800002BF" w:usb1="38CF7CFA" w:usb2="00000016" w:usb3="00000000" w:csb0="00040001" w:csb1="00000000"/>
    <w:embedRegular r:id="rId6" w:fontKey="{72D28EA6-6356-494D-9EA8-50EE1DE9D1AA}"/>
  </w:font>
  <w:font w:name="仿宋">
    <w:panose1 w:val="02010609060101010101"/>
    <w:charset w:val="86"/>
    <w:family w:val="auto"/>
    <w:pitch w:val="default"/>
    <w:sig w:usb0="800002BF" w:usb1="38CF7CFA" w:usb2="00000016" w:usb3="00000000" w:csb0="00040001" w:csb1="00000000"/>
    <w:embedRegular r:id="rId7" w:fontKey="{1AEDCC7D-D7B0-41D3-9552-108EA933C0F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420B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2C2E7">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C2C2E7">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855107"/>
    <w:rsid w:val="00A80220"/>
    <w:rsid w:val="01755AB3"/>
    <w:rsid w:val="01F36FCC"/>
    <w:rsid w:val="02376783"/>
    <w:rsid w:val="0238663F"/>
    <w:rsid w:val="038A7E04"/>
    <w:rsid w:val="053B7608"/>
    <w:rsid w:val="062927B9"/>
    <w:rsid w:val="065546FA"/>
    <w:rsid w:val="06565D7C"/>
    <w:rsid w:val="076508A9"/>
    <w:rsid w:val="07EA7A81"/>
    <w:rsid w:val="08AF7E95"/>
    <w:rsid w:val="0B224DC6"/>
    <w:rsid w:val="0DAD0977"/>
    <w:rsid w:val="0E2F5830"/>
    <w:rsid w:val="0E855A95"/>
    <w:rsid w:val="109D6F15"/>
    <w:rsid w:val="10B37690"/>
    <w:rsid w:val="119A56B6"/>
    <w:rsid w:val="11B33522"/>
    <w:rsid w:val="12090F45"/>
    <w:rsid w:val="14CF38C9"/>
    <w:rsid w:val="16F413C5"/>
    <w:rsid w:val="170E6599"/>
    <w:rsid w:val="179D5560"/>
    <w:rsid w:val="1888270D"/>
    <w:rsid w:val="19212219"/>
    <w:rsid w:val="1945415A"/>
    <w:rsid w:val="19D021C2"/>
    <w:rsid w:val="1C7004FD"/>
    <w:rsid w:val="1C8E62B7"/>
    <w:rsid w:val="1CAA58E3"/>
    <w:rsid w:val="1E5E0CC3"/>
    <w:rsid w:val="1EAE7F57"/>
    <w:rsid w:val="1FCA1E84"/>
    <w:rsid w:val="201856F9"/>
    <w:rsid w:val="20440768"/>
    <w:rsid w:val="204968A7"/>
    <w:rsid w:val="204A474C"/>
    <w:rsid w:val="206C46C2"/>
    <w:rsid w:val="20C66F34"/>
    <w:rsid w:val="20FD5EC1"/>
    <w:rsid w:val="21096F89"/>
    <w:rsid w:val="22284619"/>
    <w:rsid w:val="22855107"/>
    <w:rsid w:val="22F551F7"/>
    <w:rsid w:val="23610DF6"/>
    <w:rsid w:val="248D6697"/>
    <w:rsid w:val="26600C16"/>
    <w:rsid w:val="267E2EB8"/>
    <w:rsid w:val="27982240"/>
    <w:rsid w:val="288D4A47"/>
    <w:rsid w:val="296E04D1"/>
    <w:rsid w:val="2A6F1145"/>
    <w:rsid w:val="2AD07709"/>
    <w:rsid w:val="2C620C30"/>
    <w:rsid w:val="2F22105F"/>
    <w:rsid w:val="302D0B85"/>
    <w:rsid w:val="32057F05"/>
    <w:rsid w:val="333D5A4A"/>
    <w:rsid w:val="345E6F30"/>
    <w:rsid w:val="35D32512"/>
    <w:rsid w:val="36606F37"/>
    <w:rsid w:val="37F75A08"/>
    <w:rsid w:val="39941512"/>
    <w:rsid w:val="3A057625"/>
    <w:rsid w:val="3AC961CB"/>
    <w:rsid w:val="3B765F9D"/>
    <w:rsid w:val="3D1C4922"/>
    <w:rsid w:val="3DF02037"/>
    <w:rsid w:val="3ED16309"/>
    <w:rsid w:val="3F88629F"/>
    <w:rsid w:val="3FE21E53"/>
    <w:rsid w:val="405652C7"/>
    <w:rsid w:val="40F0201B"/>
    <w:rsid w:val="40F63E08"/>
    <w:rsid w:val="41F63994"/>
    <w:rsid w:val="42C10E92"/>
    <w:rsid w:val="44141C79"/>
    <w:rsid w:val="449A1930"/>
    <w:rsid w:val="470C60EE"/>
    <w:rsid w:val="4765637B"/>
    <w:rsid w:val="486C49B0"/>
    <w:rsid w:val="49132BA2"/>
    <w:rsid w:val="49AF0FF8"/>
    <w:rsid w:val="4A0E1F9D"/>
    <w:rsid w:val="4A861667"/>
    <w:rsid w:val="4AC450F5"/>
    <w:rsid w:val="4ADD1B95"/>
    <w:rsid w:val="4C8928A6"/>
    <w:rsid w:val="4CB330CB"/>
    <w:rsid w:val="4DAF17C2"/>
    <w:rsid w:val="4F851AA7"/>
    <w:rsid w:val="50FE13F3"/>
    <w:rsid w:val="54537939"/>
    <w:rsid w:val="55D7347E"/>
    <w:rsid w:val="56EA6F67"/>
    <w:rsid w:val="5827444F"/>
    <w:rsid w:val="5BF13E09"/>
    <w:rsid w:val="5CB73431"/>
    <w:rsid w:val="5ED75BF1"/>
    <w:rsid w:val="6012796B"/>
    <w:rsid w:val="604069F6"/>
    <w:rsid w:val="611B4D6D"/>
    <w:rsid w:val="623F6839"/>
    <w:rsid w:val="637B50AC"/>
    <w:rsid w:val="66707909"/>
    <w:rsid w:val="68333F93"/>
    <w:rsid w:val="687F4D27"/>
    <w:rsid w:val="688C49A6"/>
    <w:rsid w:val="689B622D"/>
    <w:rsid w:val="698060B5"/>
    <w:rsid w:val="6A103420"/>
    <w:rsid w:val="6B0D5240"/>
    <w:rsid w:val="6C97799E"/>
    <w:rsid w:val="6CED3A62"/>
    <w:rsid w:val="706A360E"/>
    <w:rsid w:val="72671BC0"/>
    <w:rsid w:val="73385580"/>
    <w:rsid w:val="73B1517B"/>
    <w:rsid w:val="73CD639B"/>
    <w:rsid w:val="74201820"/>
    <w:rsid w:val="74C32049"/>
    <w:rsid w:val="75C612F4"/>
    <w:rsid w:val="76F56875"/>
    <w:rsid w:val="77983F3C"/>
    <w:rsid w:val="77ED6D40"/>
    <w:rsid w:val="79A73AE7"/>
    <w:rsid w:val="7AF0130C"/>
    <w:rsid w:val="7C6929D9"/>
    <w:rsid w:val="7C95557C"/>
    <w:rsid w:val="7D6159C3"/>
    <w:rsid w:val="7EA1645A"/>
    <w:rsid w:val="7FCA3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outlineLvl w:val="0"/>
    </w:pPr>
    <w:rPr>
      <w:rFonts w:ascii="黑体" w:hAnsi="黑体" w:eastAsia="黑体" w:cs="黑体"/>
      <w:b/>
      <w:kern w:val="44"/>
      <w:sz w:val="32"/>
    </w:rPr>
  </w:style>
  <w:style w:type="paragraph" w:styleId="3">
    <w:name w:val="heading 4"/>
    <w:basedOn w:val="1"/>
    <w:next w:val="1"/>
    <w:semiHidden/>
    <w:unhideWhenUsed/>
    <w:qFormat/>
    <w:uiPriority w:val="0"/>
    <w:pPr>
      <w:keepNext/>
      <w:keepLines/>
      <w:spacing w:before="0" w:beforeLines="0" w:beforeAutospacing="0" w:after="0" w:afterLines="0" w:afterAutospacing="0" w:line="579" w:lineRule="exact"/>
      <w:outlineLvl w:val="3"/>
    </w:pPr>
    <w:rPr>
      <w:rFonts w:ascii="Arial" w:hAnsi="Arial"/>
      <w:b/>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2431</Words>
  <Characters>2485</Characters>
  <Lines>0</Lines>
  <Paragraphs>0</Paragraphs>
  <TotalTime>18</TotalTime>
  <ScaleCrop>false</ScaleCrop>
  <LinksUpToDate>false</LinksUpToDate>
  <CharactersWithSpaces>2548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2026-05-07T01:30:00Z</dcterms:created>
  <dc:creator>Vanny</dc:creator>
  <cp:lastModifiedBy>李敏强</cp:lastModifiedBy>
  <cp:lastPrinted>2026-07-08T00:47:00Z</cp:lastPrinted>
  <dcterms:modified xsi:type="dcterms:W3CDTF">2026-07-22T09:40:50Z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38820B4D3BE84DFFAE7AD3E977AA713C_13</vt:lpwstr>
  </property>
  <property fmtid="{D5CDD505-2E9C-101B-9397-08002B2CF9AE}" pid="4" name="KSOTemplateDocerSaveRecord">
    <vt:lpwstr>eyJoZGlkIjoiZjNlZjFiZWI5NDdjMDYzMTNjYTc0ZDUzNTdhYWJkM2MiLCJ1c2VySWQiOiI1MjU3NTAwMTQifQ==</vt:lpwstr>
  </property>
</Properties>
</file>