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pPr>
    </w:p>
    <w:p>
      <w:pPr>
        <w:jc w:val="center"/>
        <w:rPr>
          <w:rFonts w:hint="eastAsia" w:ascii="宋体" w:hAnsi="宋体" w:cs="宋体"/>
        </w:rPr>
      </w:pPr>
      <w:r>
        <w:rPr>
          <w:rFonts w:hint="eastAsia" w:ascii="宋体" w:hAnsi="宋体" w:cs="宋体"/>
          <w:b/>
          <w:bCs/>
          <w:sz w:val="96"/>
          <w:szCs w:val="96"/>
        </w:rPr>
        <w:t>深汕公安分局社会面“一键报警”四期建设项目</w:t>
      </w: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pPr>
        <w:rPr>
          <w:rFonts w:hint="eastAsia" w:ascii="宋体" w:hAnsi="宋体" w:cs="宋体"/>
          <w:b/>
          <w:bCs/>
          <w:sz w:val="36"/>
          <w:szCs w:val="36"/>
        </w:rPr>
      </w:pPr>
    </w:p>
    <w:p>
      <w:pPr>
        <w:ind w:firstLine="1084" w:firstLineChars="300"/>
        <w:rPr>
          <w:rFonts w:hint="eastAsia" w:ascii="宋体" w:hAnsi="宋体" w:cs="宋体"/>
          <w:b/>
          <w:bCs/>
          <w:sz w:val="36"/>
          <w:szCs w:val="36"/>
        </w:rPr>
      </w:pPr>
    </w:p>
    <w:p>
      <w:pPr>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项目编号：</w:t>
      </w:r>
      <w:r>
        <w:rPr>
          <w:rFonts w:hint="eastAsia" w:ascii="宋体" w:hAnsi="宋体" w:cs="宋体"/>
          <w:b/>
          <w:bCs/>
          <w:sz w:val="36"/>
          <w:szCs w:val="36"/>
          <w:lang w:val="en-US" w:eastAsia="zh-CN"/>
        </w:rPr>
        <w:t>XXX</w:t>
      </w:r>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lang w:eastAsia="zh-CN"/>
        </w:rPr>
        <w:t>建设</w:t>
      </w:r>
      <w:r>
        <w:rPr>
          <w:rFonts w:hint="eastAsia" w:ascii="宋体" w:hAnsi="宋体" w:cs="宋体"/>
          <w:b/>
          <w:bCs/>
          <w:sz w:val="36"/>
          <w:szCs w:val="36"/>
        </w:rPr>
        <w:t>类</w:t>
      </w:r>
    </w:p>
    <w:p>
      <w:pPr>
        <w:pStyle w:val="11"/>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pPr>
        <w:pStyle w:val="11"/>
        <w:rPr>
          <w:rFonts w:hint="eastAsia" w:ascii="宋体" w:hAnsi="宋体" w:cs="宋体"/>
          <w:sz w:val="48"/>
        </w:rPr>
      </w:pP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1"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5"/>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5"/>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5"/>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5"/>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5"/>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1"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pPr>
        <w:widowControl/>
        <w:adjustRightInd w:val="0"/>
        <w:ind w:firstLine="421" w:firstLineChars="200"/>
        <w:rPr>
          <w:rFonts w:hint="eastAsia"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pPr>
      <w:r>
        <w:rPr>
          <w:rFonts w:hint="eastAsia" w:ascii="宋体" w:hAnsi="宋体" w:cs="宋体"/>
          <w:b/>
          <w:kern w:val="0"/>
          <w:sz w:val="36"/>
          <w:szCs w:val="36"/>
        </w:rPr>
        <w:br w:type="page"/>
      </w:r>
    </w:p>
    <w:p>
      <w:pPr>
        <w:widowControl/>
        <w:adjustRightInd w:val="0"/>
        <w:ind w:firstLine="722"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1"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60" w:lineRule="auto"/>
        <w:ind w:firstLine="480" w:firstLineChars="200"/>
        <w:rPr>
          <w:rFonts w:hint="eastAsia" w:ascii="宋体" w:hAnsi="宋体" w:eastAsia="宋体" w:cs="宋体"/>
          <w:b/>
          <w:kern w:val="0"/>
          <w:sz w:val="24"/>
          <w:szCs w:val="24"/>
        </w:rPr>
      </w:pPr>
      <w:r>
        <w:rPr>
          <w:rFonts w:hint="eastAsia" w:ascii="宋体" w:hAnsi="宋体" w:eastAsia="宋体" w:cs="宋体"/>
          <w:i w:val="0"/>
          <w:iCs w:val="0"/>
          <w:caps w:val="0"/>
          <w:color w:val="000000"/>
          <w:spacing w:val="0"/>
          <w:sz w:val="24"/>
          <w:szCs w:val="24"/>
          <w:shd w:val="clear" w:fill="FFFFFF"/>
          <w:lang w:val="en-US" w:eastAsia="zh-CN"/>
        </w:rPr>
        <w:t>本次项目计划在</w:t>
      </w:r>
      <w:r>
        <w:rPr>
          <w:rFonts w:hint="eastAsia" w:ascii="宋体" w:hAnsi="宋体" w:eastAsia="宋体" w:cs="宋体"/>
          <w:i w:val="0"/>
          <w:iCs w:val="0"/>
          <w:caps w:val="0"/>
          <w:color w:val="000000"/>
          <w:spacing w:val="0"/>
          <w:sz w:val="24"/>
          <w:szCs w:val="24"/>
          <w:shd w:val="clear" w:fill="FFFFFF"/>
        </w:rPr>
        <w:t>全区11个基础防范设施薄弱空白点</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lang w:val="en-US" w:eastAsia="zh-CN"/>
        </w:rPr>
        <w:t>包括</w:t>
      </w:r>
      <w:r>
        <w:rPr>
          <w:rFonts w:hint="eastAsia" w:ascii="宋体" w:hAnsi="宋体" w:eastAsia="宋体" w:cs="宋体"/>
          <w:i w:val="0"/>
          <w:iCs w:val="0"/>
          <w:caps w:val="0"/>
          <w:color w:val="000000"/>
          <w:spacing w:val="0"/>
          <w:sz w:val="24"/>
          <w:szCs w:val="24"/>
          <w:shd w:val="clear" w:fill="FFFFFF"/>
        </w:rPr>
        <w:t>森林、湖边、海边、山上等偏远区域</w:t>
      </w:r>
      <w:r>
        <w:rPr>
          <w:rFonts w:hint="eastAsia" w:ascii="宋体" w:hAnsi="宋体" w:eastAsia="宋体" w:cs="宋体"/>
          <w:i w:val="0"/>
          <w:iCs w:val="0"/>
          <w:caps w:val="0"/>
          <w:color w:val="000000"/>
          <w:spacing w:val="0"/>
          <w:sz w:val="24"/>
          <w:szCs w:val="24"/>
          <w:shd w:val="clear" w:fill="FFFFFF"/>
          <w:lang w:eastAsia="zh-CN"/>
        </w:rPr>
        <w:t>）</w:t>
      </w:r>
      <w:r>
        <w:rPr>
          <w:rFonts w:hint="eastAsia" w:ascii="宋体" w:hAnsi="宋体" w:eastAsia="宋体" w:cs="宋体"/>
          <w:i w:val="0"/>
          <w:iCs w:val="0"/>
          <w:caps w:val="0"/>
          <w:color w:val="000000"/>
          <w:spacing w:val="0"/>
          <w:sz w:val="24"/>
          <w:szCs w:val="24"/>
          <w:shd w:val="clear" w:fill="FFFFFF"/>
          <w:lang w:val="en-US" w:eastAsia="zh-CN"/>
        </w:rPr>
        <w:t>进行</w:t>
      </w:r>
      <w:r>
        <w:rPr>
          <w:rFonts w:hint="eastAsia" w:ascii="宋体" w:hAnsi="宋体" w:eastAsia="宋体" w:cs="宋体"/>
          <w:i w:val="0"/>
          <w:iCs w:val="0"/>
          <w:caps w:val="0"/>
          <w:color w:val="000000"/>
          <w:spacing w:val="0"/>
          <w:sz w:val="24"/>
          <w:szCs w:val="24"/>
          <w:shd w:val="clear" w:fill="FFFFFF"/>
        </w:rPr>
        <w:t>“一键报警”设备建设，最大限度方便群众报警求助。</w:t>
      </w:r>
    </w:p>
    <w:p>
      <w:pPr>
        <w:spacing w:line="300" w:lineRule="auto"/>
        <w:jc w:val="center"/>
        <w:rPr>
          <w:rFonts w:hint="default" w:ascii="宋体" w:hAnsi="宋体"/>
          <w:b/>
          <w:bCs/>
          <w:snapToGrid w:val="0"/>
          <w:color w:val="000000"/>
          <w:kern w:val="0"/>
          <w:sz w:val="28"/>
          <w:szCs w:val="28"/>
          <w:lang w:val="en-US"/>
        </w:rPr>
      </w:pPr>
      <w:r>
        <w:rPr>
          <w:rFonts w:hint="eastAsia" w:ascii="宋体" w:hAnsi="宋体"/>
          <w:b/>
          <w:bCs/>
          <w:snapToGrid w:val="0"/>
          <w:color w:val="000000"/>
          <w:kern w:val="0"/>
          <w:sz w:val="28"/>
          <w:szCs w:val="28"/>
          <w:lang w:val="en-US" w:eastAsia="zh-CN"/>
        </w:rPr>
        <w:t>货物清单</w:t>
      </w:r>
    </w:p>
    <w:p>
      <w:pPr>
        <w:outlineLvl w:val="3"/>
        <w:rPr>
          <w:rFonts w:hint="eastAsia" w:ascii="宋体" w:hAnsi="宋体"/>
          <w:b/>
          <w:bCs/>
          <w:snapToGrid w:val="0"/>
          <w:color w:val="000000"/>
          <w:kern w:val="0"/>
          <w:sz w:val="28"/>
          <w:szCs w:val="28"/>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货物总清单</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402"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项目</w:t>
            </w:r>
            <w:r>
              <w:rPr>
                <w:rFonts w:hint="eastAsia" w:ascii="宋体" w:hAnsi="宋体" w:eastAsia="宋体" w:cs="宋体"/>
                <w:b/>
                <w:sz w:val="24"/>
                <w:szCs w:val="24"/>
              </w:rPr>
              <w:t>名称</w:t>
            </w:r>
          </w:p>
        </w:tc>
        <w:tc>
          <w:tcPr>
            <w:tcW w:w="732"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855" w:type="dxa"/>
            <w:shd w:val="clear" w:color="auto" w:fill="C6D9F1"/>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1839"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预算金额（元）</w:t>
            </w:r>
          </w:p>
        </w:tc>
        <w:tc>
          <w:tcPr>
            <w:tcW w:w="850" w:type="dxa"/>
            <w:shd w:val="clear" w:color="auto" w:fill="C6D9F1"/>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402"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fill="FFFFFF"/>
              </w:rPr>
              <w:t>深汕公安分局社会面“一键报警”四期建设</w:t>
            </w:r>
            <w:r>
              <w:rPr>
                <w:rFonts w:hint="eastAsia" w:ascii="宋体" w:hAnsi="宋体" w:cs="宋体"/>
                <w:i w:val="0"/>
                <w:iCs w:val="0"/>
                <w:caps w:val="0"/>
                <w:color w:val="000000"/>
                <w:spacing w:val="0"/>
                <w:sz w:val="24"/>
                <w:szCs w:val="24"/>
                <w:shd w:val="clear" w:fill="FFFFFF"/>
                <w:lang w:val="en-US" w:eastAsia="zh-CN"/>
              </w:rPr>
              <w:t>项目</w:t>
            </w:r>
          </w:p>
        </w:tc>
        <w:tc>
          <w:tcPr>
            <w:tcW w:w="732"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839" w:type="dxa"/>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150000</w:t>
            </w:r>
          </w:p>
        </w:tc>
        <w:tc>
          <w:tcPr>
            <w:tcW w:w="850" w:type="dxa"/>
            <w:vAlign w:val="center"/>
          </w:tcPr>
          <w:p>
            <w:pPr>
              <w:spacing w:line="360" w:lineRule="auto"/>
              <w:jc w:val="center"/>
              <w:rPr>
                <w:rFonts w:hint="eastAsia" w:ascii="宋体" w:hAnsi="宋体" w:eastAsia="宋体" w:cs="宋体"/>
                <w:sz w:val="24"/>
                <w:szCs w:val="24"/>
              </w:rPr>
            </w:pPr>
          </w:p>
        </w:tc>
      </w:tr>
    </w:tbl>
    <w:p>
      <w:pPr>
        <w:rPr>
          <w:rFonts w:hint="eastAsia" w:ascii="宋体" w:hAnsi="宋体"/>
          <w:b/>
          <w:bCs/>
          <w:snapToGrid w:val="0"/>
          <w:color w:val="000000"/>
          <w:kern w:val="0"/>
          <w:szCs w:val="21"/>
        </w:rPr>
      </w:pPr>
    </w:p>
    <w:p>
      <w:pPr>
        <w:outlineLvl w:val="3"/>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货物</w:t>
      </w:r>
      <w:r>
        <w:rPr>
          <w:rFonts w:hint="eastAsia" w:ascii="宋体" w:hAnsi="宋体" w:cs="宋体"/>
          <w:b/>
          <w:color w:val="auto"/>
          <w:szCs w:val="21"/>
          <w:highlight w:val="none"/>
          <w:lang w:val="en-US" w:eastAsia="zh-CN"/>
        </w:rPr>
        <w:t>明细</w:t>
      </w:r>
      <w:r>
        <w:rPr>
          <w:rFonts w:hint="eastAsia" w:ascii="宋体" w:hAnsi="宋体" w:cs="宋体"/>
          <w:b/>
          <w:color w:val="auto"/>
          <w:szCs w:val="21"/>
          <w:highlight w:val="none"/>
        </w:rPr>
        <w:t>清单</w:t>
      </w:r>
    </w:p>
    <w:tbl>
      <w:tblPr>
        <w:tblStyle w:val="18"/>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5"/>
        <w:gridCol w:w="2766"/>
        <w:gridCol w:w="1334"/>
        <w:gridCol w:w="2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货物名称</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单晶双面光伏组件</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个</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2</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单板光伏支架</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个</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3</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PWM控制器</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个</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4</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普通室外箱（</w:t>
            </w:r>
            <w:r>
              <w:rPr>
                <w:rFonts w:hint="eastAsia" w:ascii="等线" w:hAnsi="等线" w:eastAsia="等线" w:cs="等线"/>
                <w:i w:val="0"/>
                <w:iCs w:val="0"/>
                <w:color w:val="000000"/>
                <w:sz w:val="21"/>
                <w:szCs w:val="21"/>
                <w:highlight w:val="none"/>
                <w:u w:val="none"/>
                <w:lang w:val="en-US" w:eastAsia="zh-CN"/>
              </w:rPr>
              <w:t>含空气开关、磷酸铁锂电池</w:t>
            </w:r>
            <w:r>
              <w:rPr>
                <w:rFonts w:hint="eastAsia" w:ascii="等线" w:hAnsi="等线" w:eastAsia="等线" w:cs="等线"/>
                <w:i w:val="0"/>
                <w:iCs w:val="0"/>
                <w:color w:val="000000"/>
                <w:kern w:val="0"/>
                <w:sz w:val="21"/>
                <w:szCs w:val="21"/>
                <w:highlight w:val="none"/>
                <w:u w:val="none"/>
                <w:lang w:val="en-US" w:eastAsia="zh-CN" w:bidi="ar"/>
              </w:rPr>
              <w:t>）</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个</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5</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立杆</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个</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6</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报警面板</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台</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7</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4G卡</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等线" w:hAnsi="等线" w:eastAsia="等线" w:cs="等线"/>
                <w:i w:val="0"/>
                <w:iCs w:val="0"/>
                <w:color w:val="000000"/>
                <w:kern w:val="0"/>
                <w:sz w:val="21"/>
                <w:szCs w:val="21"/>
                <w:highlight w:val="none"/>
                <w:u w:val="none"/>
                <w:lang w:val="en-US" w:eastAsia="zh-CN" w:bidi="ar"/>
              </w:rPr>
              <w:t>张</w:t>
            </w:r>
          </w:p>
        </w:tc>
        <w:tc>
          <w:tcPr>
            <w:tcW w:w="1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等线" w:hAnsi="等线" w:eastAsia="等线" w:cs="等线"/>
                <w:i w:val="0"/>
                <w:iCs w:val="0"/>
                <w:color w:val="000000"/>
                <w:kern w:val="0"/>
                <w:sz w:val="21"/>
                <w:szCs w:val="21"/>
                <w:highlight w:val="none"/>
                <w:u w:val="none"/>
                <w:lang w:val="en-US" w:eastAsia="zh-CN" w:bidi="ar"/>
              </w:rPr>
              <w:t>11</w:t>
            </w:r>
          </w:p>
        </w:tc>
      </w:tr>
    </w:tbl>
    <w:p>
      <w:pPr>
        <w:ind w:firstLine="421"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bidi w:val="0"/>
        <w:rPr>
          <w:b/>
          <w:bCs/>
        </w:rPr>
      </w:pPr>
      <w:r>
        <w:rPr>
          <w:rFonts w:hint="eastAsia"/>
          <w:b/>
          <w:bCs/>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842"/>
        <w:gridCol w:w="6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货物名称</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单晶双面光伏组件</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1、A级单晶双面电池片，组件尺寸:≥ 1055*700*30，组件功率150W，线性功率质保20年，优异的产品材料和工艺质保20年，首年功率衰减不超过2%，后续每年功率衰减不超过0.45%；</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2、额定电压：18V；</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3、开路电压 24V 额定电流：8.3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单板光伏支架</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1、材质：镀锌钢材烤漆工艺 白色；</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2、安装方式：抱杆安装；</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3、支架水平倾斜角度：45°；</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4、抗风等级：≥10级。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0"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PWM控制器</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1、系统电压 ：12V/24V；</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2、蓄电池工作电压范围 ：8-32V；</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3、额定电流：充电20A 负载 20A；</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4、光伏最高输入电压 50V保护,停止充电，低于45V恢复；</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5、充电方式： 默认为PWM充电，b04/b07可以设置为开断式充电。过充保护、过放保护、过流保护、温度保护；</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6、静态功耗： ≤10mA；</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7、工作温度：-35~+60℃；</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8、海拔高度：≤3000m；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9、防护等级：≥IP32。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普通室外箱（含空气开关、磷酸铁锂电池）</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1、箱体尺寸：≥485*420*260； </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2、采用Q235钢材和优质镀锌冷轧钢板制作，表面防静电喷塑处理，耐腐蚀性能强，使用寿命久；</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3、内置控制器、断路器、接地铜排等；</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4、含3个空气开关；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5、含1个磷酸铁锂电池（标称容量：150AH；充电电压：14.6V；最小容量：148AH（保护预留容量）；充电温带：-0°C～ 55°C 放电温度 -20°C～ 55°C；电池循环寿命 &gt;6000次(0.5C@25℃)能量保持率≥80% 9能量：1920Wh；标称电压：12.8V；出货电压：13.2-14V。）。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立杆</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1、3米杆含地笼。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报警面板</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1、采用不低于400万像素低照度CMOS摄像头、星光级图像传感器；</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2、设备整机防护能力不低于IP65；</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3、支持4G 全网通网络连接，可通过4G拨打电话，轻便布网，无需拉PSTN电话线；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4、支持SIP协议；</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5、支持双网口，支持双网隔离；</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6、支持喧哗报警功能，检测到大声喧哗时自动向主机报警。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4G卡</w:t>
            </w:r>
          </w:p>
        </w:tc>
        <w:tc>
          <w:tcPr>
            <w:tcW w:w="4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含一年流量，</w:t>
            </w:r>
            <w:bookmarkStart w:id="10" w:name="_GoBack"/>
            <w:bookmarkEnd w:id="10"/>
            <w:r>
              <w:rPr>
                <w:rFonts w:hint="eastAsia" w:ascii="宋体" w:hAnsi="宋体" w:eastAsia="宋体" w:cs="宋体"/>
                <w:color w:val="000000"/>
                <w:kern w:val="0"/>
                <w:sz w:val="21"/>
                <w:szCs w:val="21"/>
                <w:lang w:val="en-US" w:eastAsia="zh-CN" w:bidi="ar"/>
              </w:rPr>
              <w:t>≥10G/月/卡。</w:t>
            </w:r>
          </w:p>
        </w:tc>
      </w:tr>
    </w:tbl>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pPr>
        <w:spacing w:line="360" w:lineRule="auto"/>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keepNext w:val="0"/>
        <w:keepLines w:val="0"/>
        <w:widowControl/>
        <w:numPr>
          <w:ilvl w:val="0"/>
          <w:numId w:val="1"/>
        </w:numPr>
        <w:suppressLineNumbers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免费保修期内售后服务要求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维修响应及故障解决时间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在保修期内，一旦发生质量问题，</w:t>
      </w:r>
      <w:r>
        <w:rPr>
          <w:rFonts w:hint="eastAsia" w:ascii="宋体" w:hAnsi="宋体" w:eastAsia="宋体" w:cs="宋体"/>
          <w:b w:val="0"/>
          <w:bCs/>
          <w:color w:val="auto"/>
          <w:sz w:val="21"/>
          <w:szCs w:val="21"/>
          <w:highlight w:val="none"/>
          <w:lang w:val="en-US" w:eastAsia="zh-CN"/>
        </w:rPr>
        <w:t>中标供应商</w:t>
      </w:r>
      <w:r>
        <w:rPr>
          <w:rFonts w:hint="eastAsia" w:ascii="宋体" w:hAnsi="宋体" w:eastAsia="宋体" w:cs="宋体"/>
          <w:b w:val="0"/>
          <w:bCs/>
          <w:color w:val="auto"/>
          <w:sz w:val="21"/>
          <w:szCs w:val="21"/>
          <w:highlight w:val="none"/>
        </w:rPr>
        <w:t>保证在接到通知24小时内赶到现场进行修理或更换。</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left="0" w:leftChars="0"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关于免费保修期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lef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货物免费保修期</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年，时间自最终验收合格并交付使用之日起计算。</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160" w:line="360" w:lineRule="auto"/>
        <w:ind w:left="0" w:leftChars="0"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其他售后服务要求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在质保期内，中标供应商应无偿并迅速更换由于元件缺陷及制造工艺等问题而发生故障的产品。质保期满以后，中标供应商应按其在深圳地区同类产品的优惠价格提供保修服务。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4</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其他</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4.1要求中标方在交货完成后一周内，免费向用户方进行技术培训工作。</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4.2投标人应按其投标文件中的承诺，进行其他售后服务工作。</w:t>
      </w:r>
    </w:p>
    <w:p>
      <w:pPr>
        <w:keepNext w:val="0"/>
        <w:keepLines w:val="0"/>
        <w:widowControl/>
        <w:numPr>
          <w:ilvl w:val="0"/>
          <w:numId w:val="0"/>
        </w:numPr>
        <w:suppressLineNumbers w:val="0"/>
        <w:spacing w:after="160"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（二）其他商务要求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运输及包装方式</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保证货物的包装符合产品运输的要求，足以保护货物在运输过程中不受锈蚀、损坏或灭失。凡由于包装不良造成的损失和由此产生的费用均由中标人承担。</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关于交货</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2.1交货地点：采购人指定地点。</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2.2投标人必须承担的设备运输、安装调试、验收检测和提供设备操作说明书、图纸等其他类似的义务。</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2.3签订合同后25天（日历日）内交货。</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关于验收</w:t>
      </w:r>
      <w:r>
        <w:rPr>
          <w:rFonts w:hint="eastAsia" w:ascii="宋体" w:hAnsi="宋体" w:eastAsia="宋体" w:cs="宋体"/>
          <w:b/>
          <w:bCs w:val="0"/>
          <w:color w:val="auto"/>
          <w:sz w:val="21"/>
          <w:szCs w:val="21"/>
          <w:highlight w:val="none"/>
        </w:rPr>
        <w:tab/>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3.1投标人货物经过双方检验认可后，签署验收报告，产品保修期自验收合格之日起算，由投标人提供产品保修文件。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3.2当满足以下条件时，采购人才向中标人签发货物验收报告：</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a、中标人已按照合同规定提供了全部产品及完整的技术资料。</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b、货物符合招标文件技术规格书的要求，性能满足要求。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c、成交供应商在收到成交通知书后签订合同前，到使用单位搭建测试环境，对技术参数功能进行逐条演示，不满足则按照相关法律法规作出处理。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付款方式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4.1按深圳市深汕特别合作区发展改革和财政局的相关规定办理。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4.2项目具体支付方式在合同签订时详细约定。</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 xml:space="preserve">违约责任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5.1中标人不能交货的，需偿付不能交货部分货款的100%的违约金并按主管部门相关规定处理。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5.2中标人所交付产品、工程或服务不符合其投标承诺的，或在投标阶段为了中标而盲目虚假承诺、低价恶性竞争，在履约阶段则通过偷工减料、以次充好而获取利润的，</w:t>
      </w:r>
      <w:r>
        <w:rPr>
          <w:rFonts w:hint="eastAsia" w:cs="Times New Roman"/>
          <w:color w:val="auto"/>
          <w:lang w:val="en-US" w:eastAsia="zh-CN"/>
        </w:rPr>
        <w:t>将</w:t>
      </w:r>
      <w:r>
        <w:rPr>
          <w:rFonts w:hint="eastAsia" w:ascii="Times New Roman" w:hAnsi="Times New Roman" w:eastAsia="宋体" w:cs="Times New Roman"/>
          <w:color w:val="auto"/>
          <w:lang w:val="en-US" w:eastAsia="zh-CN"/>
        </w:rPr>
        <w:t>被履约评价工作实施机构评为履约等级“差”并按主管部门相关规定处理。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争议解决办法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本项目发生的争议，由双方友好协商解决。协商解决不成的，应当向采购人所在地人民法院提起诉讼。</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报价要求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7.1投标报价以人民币报价，为工地交货价。投标总价必须是完成该项目的一切费用总和，包括投标费、设备费、运输费、装卸费、保险费、技术培训费、设备安装费、调试费、检测费、国家规定的各项税费等。</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7.2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after="160" w:line="360" w:lineRule="auto"/>
        <w:ind w:firstLine="421"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其他</w:t>
      </w:r>
      <w:r>
        <w:rPr>
          <w:rFonts w:hint="eastAsia" w:ascii="宋体" w:hAnsi="宋体" w:eastAsia="宋体" w:cs="宋体"/>
          <w:b/>
          <w:bCs w:val="0"/>
          <w:color w:val="auto"/>
          <w:sz w:val="21"/>
          <w:szCs w:val="21"/>
          <w:highlight w:val="none"/>
        </w:rPr>
        <w:t>要求</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bookmarkStart w:id="1" w:name="_Toc370481837"/>
      <w:r>
        <w:rPr>
          <w:rFonts w:hint="eastAsia" w:ascii="Times New Roman" w:hAnsi="Times New Roman" w:eastAsia="宋体" w:cs="Times New Roman"/>
          <w:color w:val="auto"/>
          <w:lang w:val="en-US" w:eastAsia="zh-CN"/>
        </w:rPr>
        <w:t>8.1中标供应商必须按照采购人（用户）的技术要求进行系统的设计、设备选型和建设。</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lang w:val="en-US" w:eastAsia="zh-CN"/>
        </w:rPr>
      </w:pPr>
      <w:bookmarkStart w:id="2" w:name="_Hlk517768392"/>
      <w:r>
        <w:rPr>
          <w:rFonts w:hint="eastAsia" w:ascii="Times New Roman" w:hAnsi="Times New Roman" w:eastAsia="宋体" w:cs="Times New Roman"/>
          <w:color w:val="auto"/>
          <w:lang w:val="en-US" w:eastAsia="zh-CN"/>
        </w:rPr>
        <w:t>8.2中标供应商须保证项目建成后，能统一联网至市公安局、分局、派出所。若中标供应商提供虚假材料，导致后续项目无法顺利开展、实施，采购人（用户）有权取消中标人资格。</w:t>
      </w:r>
    </w:p>
    <w:bookmarkEnd w:id="1"/>
    <w:bookmarkEnd w:id="2"/>
    <w:p>
      <w:pPr>
        <w:pStyle w:val="2"/>
        <w:rPr>
          <w:rFonts w:hint="eastAsia"/>
          <w:lang w:val="en-US" w:eastAsia="zh-CN"/>
        </w:rPr>
      </w:pP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2"/>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hint="eastAsia"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5"/>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3" w:name="_Hlk72092634"/>
      <w:r>
        <w:rPr>
          <w:rFonts w:hint="eastAsia"/>
        </w:rPr>
        <w:t>实质性条款响应情况表</w:t>
      </w:r>
      <w:bookmarkEnd w:id="3"/>
    </w:p>
    <w:p>
      <w:r>
        <w:rPr>
          <w:rFonts w:hint="eastAsia"/>
        </w:rPr>
        <w:t>六、报价表</w:t>
      </w:r>
    </w:p>
    <w:p>
      <w:r>
        <w:rPr>
          <w:rFonts w:hint="eastAsia"/>
        </w:rPr>
        <w:t>七、供应商认为需要提供的其它文件（如有）</w:t>
      </w:r>
    </w:p>
    <w:p>
      <w:pPr>
        <w:pStyle w:val="24"/>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7"/>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7"/>
        <w:ind w:firstLine="408" w:firstLineChars="200"/>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7"/>
        <w:ind w:firstLine="408" w:firstLineChars="200"/>
        <w:rPr>
          <w:rFonts w:hint="eastAsia"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1"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24"/>
        <w:ind w:firstLine="421" w:firstLineChars="200"/>
        <w:rPr>
          <w:rFonts w:hint="eastAsia" w:ascii="宋体" w:hAnsi="宋体" w:eastAsia="宋体" w:cs="Times New Roman"/>
          <w:b/>
          <w:bCs/>
          <w:color w:val="auto"/>
          <w:kern w:val="2"/>
          <w:sz w:val="21"/>
        </w:rPr>
      </w:pP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24"/>
        <w:ind w:firstLine="421"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1"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1"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1"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5"/>
        <w:jc w:val="center"/>
        <w:rPr>
          <w:rFonts w:hint="eastAsia" w:ascii="宋体" w:hAnsi="宋体"/>
          <w:sz w:val="30"/>
          <w:szCs w:val="30"/>
        </w:rPr>
      </w:pPr>
      <w:r>
        <w:rPr>
          <w:rFonts w:hint="eastAsia" w:ascii="宋体" w:hAnsi="宋体"/>
          <w:sz w:val="30"/>
          <w:szCs w:val="30"/>
        </w:rPr>
        <w:t>五、实质性条款响应情况表</w:t>
      </w:r>
    </w:p>
    <w:tbl>
      <w:tblPr>
        <w:tblStyle w:val="18"/>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7"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bidi w:val="0"/>
        <w:rPr>
          <w:rFonts w:hint="eastAsia"/>
        </w:rPr>
      </w:pPr>
    </w:p>
    <w:p>
      <w:pPr>
        <w:pStyle w:val="2"/>
        <w:ind w:firstLine="480"/>
        <w:rPr>
          <w:rFonts w:hint="eastAsia"/>
        </w:rPr>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8" w:name="OLE_LINK46"/>
      <w:bookmarkStart w:id="9" w:name="OLE_LINK48"/>
    </w:p>
    <w:p>
      <w:pPr>
        <w:spacing w:line="360" w:lineRule="auto"/>
        <w:rPr>
          <w:rFonts w:hint="eastAsia" w:ascii="宋体" w:hAnsi="宋体" w:cs="宋体"/>
          <w:szCs w:val="21"/>
        </w:rPr>
      </w:pPr>
      <w:r>
        <w:rPr>
          <w:rFonts w:hint="eastAsia" w:ascii="宋体" w:hAnsi="宋体" w:cs="宋体"/>
          <w:szCs w:val="21"/>
        </w:rPr>
        <w:t>项目编号：</w:t>
      </w:r>
    </w:p>
    <w:tbl>
      <w:tblPr>
        <w:tblStyle w:val="18"/>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0"/>
              <w:jc w:val="center"/>
              <w:rPr>
                <w:rFonts w:hint="eastAsia" w:hAnsi="宋体" w:cs="宋体"/>
                <w:szCs w:val="21"/>
              </w:rPr>
            </w:pPr>
            <w:r>
              <w:rPr>
                <w:rFonts w:hint="eastAsia" w:hAnsi="宋体" w:cs="宋体"/>
                <w:szCs w:val="21"/>
              </w:rPr>
              <w:t>项目名称</w:t>
            </w:r>
          </w:p>
        </w:tc>
        <w:tc>
          <w:tcPr>
            <w:tcW w:w="2058" w:type="pct"/>
            <w:vAlign w:val="center"/>
          </w:tcPr>
          <w:p>
            <w:pPr>
              <w:pStyle w:val="10"/>
              <w:jc w:val="center"/>
              <w:rPr>
                <w:rFonts w:hint="eastAsia" w:hAnsi="宋体" w:cs="宋体"/>
                <w:szCs w:val="21"/>
              </w:rPr>
            </w:pPr>
            <w:r>
              <w:rPr>
                <w:rFonts w:hint="eastAsia" w:hAnsi="宋体" w:cs="宋体"/>
                <w:szCs w:val="21"/>
              </w:rPr>
              <w:t>报价总价</w:t>
            </w:r>
          </w:p>
          <w:p>
            <w:pPr>
              <w:pStyle w:val="10"/>
              <w:jc w:val="center"/>
              <w:rPr>
                <w:rFonts w:hint="eastAsia" w:hAnsi="宋体" w:cs="宋体"/>
                <w:szCs w:val="21"/>
              </w:rPr>
            </w:pPr>
            <w:r>
              <w:rPr>
                <w:rFonts w:hint="eastAsia" w:hAnsi="宋体" w:cs="宋体"/>
                <w:szCs w:val="21"/>
              </w:rPr>
              <w:t>（人民币/元）</w:t>
            </w:r>
          </w:p>
        </w:tc>
        <w:tc>
          <w:tcPr>
            <w:tcW w:w="1073" w:type="pct"/>
            <w:vAlign w:val="center"/>
          </w:tcPr>
          <w:p>
            <w:pPr>
              <w:pStyle w:val="10"/>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0"/>
              <w:rPr>
                <w:rFonts w:hint="eastAsia" w:hAnsi="宋体" w:cs="宋体"/>
                <w:szCs w:val="21"/>
              </w:rPr>
            </w:pPr>
          </w:p>
        </w:tc>
        <w:tc>
          <w:tcPr>
            <w:tcW w:w="2058" w:type="pct"/>
            <w:vAlign w:val="center"/>
          </w:tcPr>
          <w:p>
            <w:pPr>
              <w:pStyle w:val="10"/>
              <w:rPr>
                <w:rFonts w:hint="eastAsia" w:hAnsi="宋体" w:cs="宋体"/>
                <w:szCs w:val="21"/>
              </w:rPr>
            </w:pPr>
          </w:p>
          <w:p>
            <w:pPr>
              <w:pStyle w:val="10"/>
              <w:rPr>
                <w:rFonts w:hint="eastAsia" w:hAnsi="宋体" w:cs="宋体"/>
                <w:szCs w:val="21"/>
              </w:rPr>
            </w:pPr>
            <w:r>
              <w:rPr>
                <w:rFonts w:hint="eastAsia" w:hAnsi="宋体" w:cs="宋体"/>
                <w:szCs w:val="21"/>
              </w:rPr>
              <w:t>小写：</w:t>
            </w:r>
          </w:p>
          <w:p>
            <w:pPr>
              <w:pStyle w:val="10"/>
              <w:rPr>
                <w:rFonts w:hint="eastAsia" w:hAnsi="宋体" w:cs="宋体"/>
                <w:szCs w:val="21"/>
              </w:rPr>
            </w:pPr>
          </w:p>
          <w:p>
            <w:pPr>
              <w:pStyle w:val="10"/>
              <w:rPr>
                <w:rFonts w:hint="eastAsia" w:hAnsi="宋体" w:cs="宋体"/>
                <w:szCs w:val="21"/>
              </w:rPr>
            </w:pPr>
            <w:r>
              <w:rPr>
                <w:rFonts w:hint="eastAsia" w:hAnsi="宋体" w:cs="宋体"/>
                <w:szCs w:val="21"/>
              </w:rPr>
              <w:t>大写：</w:t>
            </w:r>
          </w:p>
          <w:p>
            <w:pPr>
              <w:pStyle w:val="10"/>
              <w:rPr>
                <w:rFonts w:hint="eastAsia" w:hAnsi="宋体" w:cs="宋体"/>
                <w:szCs w:val="21"/>
              </w:rPr>
            </w:pPr>
          </w:p>
        </w:tc>
        <w:tc>
          <w:tcPr>
            <w:tcW w:w="1073" w:type="pct"/>
            <w:vAlign w:val="center"/>
          </w:tcPr>
          <w:p>
            <w:pPr>
              <w:pStyle w:val="10"/>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8"/>
    <w:bookmarkEnd w:id="9"/>
    <w:p>
      <w:pPr>
        <w:pStyle w:val="27"/>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true"/>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true"/>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true"/>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true"/>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H Yb 2gj">
    <w:altName w:val="华文仿宋"/>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603F01FF" w:csb1="FFFF0000"/>
  </w:font>
  <w:font w:name="Wingdings 2">
    <w:altName w:val="Standard Symbols PS"/>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MtH+LG4AQAAXAMAAA4AAAAAAAAAAQAgAAAANA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02CB1"/>
    <w:multiLevelType w:val="singleLevel"/>
    <w:tmpl w:val="9D302CB1"/>
    <w:lvl w:ilvl="0" w:tentative="0">
      <w:start w:val="1"/>
      <w:numFmt w:val="decimal"/>
      <w:suff w:val="nothing"/>
      <w:lvlText w:val="%1、"/>
      <w:lvlJc w:val="left"/>
    </w:lvl>
  </w:abstractNum>
  <w:abstractNum w:abstractNumId="1">
    <w:nsid w:val="AB24CD70"/>
    <w:multiLevelType w:val="singleLevel"/>
    <w:tmpl w:val="AB24CD70"/>
    <w:lvl w:ilvl="0" w:tentative="0">
      <w:start w:val="1"/>
      <w:numFmt w:val="decimal"/>
      <w:suff w:val="nothing"/>
      <w:lvlText w:val="%1、"/>
      <w:lvlJc w:val="left"/>
    </w:lvl>
  </w:abstractNum>
  <w:abstractNum w:abstractNumId="2">
    <w:nsid w:val="0ADEAACC"/>
    <w:multiLevelType w:val="singleLevel"/>
    <w:tmpl w:val="0ADEAAC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04689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A80B5A"/>
    <w:rsid w:val="06EF56F4"/>
    <w:rsid w:val="08662E4F"/>
    <w:rsid w:val="08B131D7"/>
    <w:rsid w:val="08E700B0"/>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331E76"/>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CCF1771"/>
    <w:rsid w:val="1D1D7568"/>
    <w:rsid w:val="1D232E70"/>
    <w:rsid w:val="1D393246"/>
    <w:rsid w:val="1D8636DD"/>
    <w:rsid w:val="1DD00AB6"/>
    <w:rsid w:val="1EC07C63"/>
    <w:rsid w:val="1EFD7811"/>
    <w:rsid w:val="1FBD5D4F"/>
    <w:rsid w:val="206104AB"/>
    <w:rsid w:val="20EB1A8B"/>
    <w:rsid w:val="217F114F"/>
    <w:rsid w:val="21EC60B0"/>
    <w:rsid w:val="22066450"/>
    <w:rsid w:val="224C30E3"/>
    <w:rsid w:val="228C3284"/>
    <w:rsid w:val="24F966A0"/>
    <w:rsid w:val="25914A5C"/>
    <w:rsid w:val="261966A6"/>
    <w:rsid w:val="26555BF8"/>
    <w:rsid w:val="26613595"/>
    <w:rsid w:val="269641C6"/>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C61441"/>
    <w:rsid w:val="2EDE3101"/>
    <w:rsid w:val="2FA31782"/>
    <w:rsid w:val="2FC82472"/>
    <w:rsid w:val="2FC8645A"/>
    <w:rsid w:val="30135E4B"/>
    <w:rsid w:val="30E57296"/>
    <w:rsid w:val="313564FF"/>
    <w:rsid w:val="33314CA9"/>
    <w:rsid w:val="34115D03"/>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BC92571"/>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E225C4"/>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8BF0932"/>
    <w:rsid w:val="491F7545"/>
    <w:rsid w:val="4A757FD0"/>
    <w:rsid w:val="4B4844F0"/>
    <w:rsid w:val="4BC94BDB"/>
    <w:rsid w:val="4BD8290E"/>
    <w:rsid w:val="4C011ADB"/>
    <w:rsid w:val="4C2A5769"/>
    <w:rsid w:val="4C735875"/>
    <w:rsid w:val="4D700CFE"/>
    <w:rsid w:val="4E3F37F1"/>
    <w:rsid w:val="4E8B06CC"/>
    <w:rsid w:val="4FC560A3"/>
    <w:rsid w:val="503F29AA"/>
    <w:rsid w:val="50C87CE4"/>
    <w:rsid w:val="51143A06"/>
    <w:rsid w:val="51522CC3"/>
    <w:rsid w:val="51D87312"/>
    <w:rsid w:val="51E33FB3"/>
    <w:rsid w:val="52952D55"/>
    <w:rsid w:val="53032779"/>
    <w:rsid w:val="531C7948"/>
    <w:rsid w:val="531E7EBF"/>
    <w:rsid w:val="53591BE0"/>
    <w:rsid w:val="5408474F"/>
    <w:rsid w:val="54554E92"/>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1CB22EF"/>
    <w:rsid w:val="620A4B83"/>
    <w:rsid w:val="624352C6"/>
    <w:rsid w:val="627961EF"/>
    <w:rsid w:val="62D97490"/>
    <w:rsid w:val="63291771"/>
    <w:rsid w:val="635B53F4"/>
    <w:rsid w:val="638616CA"/>
    <w:rsid w:val="6431561E"/>
    <w:rsid w:val="646A06F8"/>
    <w:rsid w:val="64EE6A20"/>
    <w:rsid w:val="66E05D15"/>
    <w:rsid w:val="673D43D6"/>
    <w:rsid w:val="68144CE6"/>
    <w:rsid w:val="68F147C3"/>
    <w:rsid w:val="694B5840"/>
    <w:rsid w:val="6A015822"/>
    <w:rsid w:val="6A325FF9"/>
    <w:rsid w:val="6A576651"/>
    <w:rsid w:val="6AA96333"/>
    <w:rsid w:val="6AC87D14"/>
    <w:rsid w:val="6B246507"/>
    <w:rsid w:val="6C892A9E"/>
    <w:rsid w:val="6D3B69F3"/>
    <w:rsid w:val="6DFE1580"/>
    <w:rsid w:val="6E4A44E4"/>
    <w:rsid w:val="6E9D4964"/>
    <w:rsid w:val="6EA41EA1"/>
    <w:rsid w:val="6ECE4405"/>
    <w:rsid w:val="700F0193"/>
    <w:rsid w:val="703C530B"/>
    <w:rsid w:val="70552422"/>
    <w:rsid w:val="70723796"/>
    <w:rsid w:val="70904E30"/>
    <w:rsid w:val="71013E28"/>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C55F6C"/>
    <w:rsid w:val="77F250B7"/>
    <w:rsid w:val="788121DE"/>
    <w:rsid w:val="789417E7"/>
    <w:rsid w:val="78C0027C"/>
    <w:rsid w:val="79691145"/>
    <w:rsid w:val="79817886"/>
    <w:rsid w:val="79881DE9"/>
    <w:rsid w:val="79C47907"/>
    <w:rsid w:val="79DD3120"/>
    <w:rsid w:val="7A287E87"/>
    <w:rsid w:val="7A477AC9"/>
    <w:rsid w:val="7A497E37"/>
    <w:rsid w:val="7ACD5E42"/>
    <w:rsid w:val="7B0138FB"/>
    <w:rsid w:val="7B9A3006"/>
    <w:rsid w:val="7BAC1C5B"/>
    <w:rsid w:val="7C173D7F"/>
    <w:rsid w:val="7C276531"/>
    <w:rsid w:val="7C332759"/>
    <w:rsid w:val="7D4C363C"/>
    <w:rsid w:val="7D570C13"/>
    <w:rsid w:val="7DD8172B"/>
    <w:rsid w:val="7E5263ED"/>
    <w:rsid w:val="7EA63A70"/>
    <w:rsid w:val="7FA35A4A"/>
    <w:rsid w:val="7FC00B62"/>
    <w:rsid w:val="A9BD4701"/>
    <w:rsid w:val="DFFFAF09"/>
    <w:rsid w:val="FFFD6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28"/>
    <w:qFormat/>
    <w:uiPriority w:val="0"/>
    <w:pPr>
      <w:ind w:firstLine="420"/>
    </w:pPr>
    <w:rPr>
      <w:szCs w:val="20"/>
    </w:rPr>
  </w:style>
  <w:style w:type="paragraph" w:styleId="8">
    <w:name w:val="annotation text"/>
    <w:basedOn w:val="1"/>
    <w:next w:val="9"/>
    <w:link w:val="30"/>
    <w:qFormat/>
    <w:uiPriority w:val="0"/>
    <w:pPr>
      <w:jc w:val="left"/>
    </w:pPr>
  </w:style>
  <w:style w:type="paragraph" w:styleId="9">
    <w:name w:val="toc 5"/>
    <w:basedOn w:val="1"/>
    <w:next w:val="1"/>
    <w:qFormat/>
    <w:uiPriority w:val="0"/>
    <w:pPr>
      <w:ind w:left="840"/>
      <w:jc w:val="left"/>
    </w:pPr>
    <w:rPr>
      <w:rFonts w:cs="Calibri"/>
      <w:sz w:val="18"/>
      <w:szCs w:val="18"/>
    </w:rPr>
  </w:style>
  <w:style w:type="paragraph" w:styleId="10">
    <w:name w:val="Plain Text"/>
    <w:basedOn w:val="1"/>
    <w:qFormat/>
    <w:uiPriority w:val="0"/>
    <w:rPr>
      <w:rFonts w:ascii="宋体" w:hAnsi="Courier New"/>
    </w:rPr>
  </w:style>
  <w:style w:type="paragraph" w:styleId="11">
    <w:name w:val="Balloon Text"/>
    <w:basedOn w:val="1"/>
    <w:link w:val="29"/>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annotation subject"/>
    <w:basedOn w:val="8"/>
    <w:next w:val="8"/>
    <w:link w:val="31"/>
    <w:qFormat/>
    <w:uiPriority w:val="0"/>
    <w:rPr>
      <w:b/>
      <w:bCs/>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FollowedHyperlink"/>
    <w:basedOn w:val="20"/>
    <w:unhideWhenUsed/>
    <w:qFormat/>
    <w:uiPriority w:val="0"/>
    <w:rPr>
      <w:color w:val="800080"/>
      <w:u w:val="single"/>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paragraph" w:customStyle="1" w:styleId="2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character" w:customStyle="1" w:styleId="25">
    <w:name w:val="页眉 字符"/>
    <w:basedOn w:val="20"/>
    <w:link w:val="13"/>
    <w:qFormat/>
    <w:uiPriority w:val="0"/>
    <w:rPr>
      <w:kern w:val="2"/>
      <w:sz w:val="18"/>
      <w:szCs w:val="18"/>
    </w:rPr>
  </w:style>
  <w:style w:type="character" w:customStyle="1" w:styleId="26">
    <w:name w:val="页脚 字符"/>
    <w:basedOn w:val="20"/>
    <w:link w:val="12"/>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0"/>
    <w:link w:val="7"/>
    <w:qFormat/>
    <w:uiPriority w:val="0"/>
    <w:rPr>
      <w:kern w:val="2"/>
      <w:sz w:val="21"/>
    </w:rPr>
  </w:style>
  <w:style w:type="character" w:customStyle="1" w:styleId="29">
    <w:name w:val="批注框文本 字符"/>
    <w:basedOn w:val="20"/>
    <w:link w:val="11"/>
    <w:qFormat/>
    <w:uiPriority w:val="0"/>
    <w:rPr>
      <w:kern w:val="2"/>
      <w:sz w:val="18"/>
      <w:szCs w:val="18"/>
    </w:rPr>
  </w:style>
  <w:style w:type="character" w:customStyle="1" w:styleId="30">
    <w:name w:val="批注文字 字符"/>
    <w:basedOn w:val="20"/>
    <w:link w:val="8"/>
    <w:qFormat/>
    <w:uiPriority w:val="0"/>
    <w:rPr>
      <w:kern w:val="2"/>
      <w:sz w:val="21"/>
      <w:szCs w:val="24"/>
    </w:rPr>
  </w:style>
  <w:style w:type="character" w:customStyle="1" w:styleId="31">
    <w:name w:val="批注主题 字符"/>
    <w:basedOn w:val="30"/>
    <w:link w:val="17"/>
    <w:qFormat/>
    <w:uiPriority w:val="0"/>
    <w:rPr>
      <w:b/>
      <w:bCs/>
      <w:kern w:val="2"/>
      <w:sz w:val="21"/>
      <w:szCs w:val="24"/>
    </w:rPr>
  </w:style>
  <w:style w:type="character" w:customStyle="1" w:styleId="32">
    <w:name w:val="标题 3 字符"/>
    <w:basedOn w:val="20"/>
    <w:link w:val="5"/>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0"/>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5575</Words>
  <Characters>5799</Characters>
  <Lines>57</Lines>
  <Paragraphs>16</Paragraphs>
  <TotalTime>3</TotalTime>
  <ScaleCrop>false</ScaleCrop>
  <LinksUpToDate>false</LinksUpToDate>
  <CharactersWithSpaces>5876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2024-05-11T09:58:00Z</dcterms:created>
  <dc:creator>谢嘉骏</dc:creator>
  <cp:lastModifiedBy>sssuper</cp:lastModifiedBy>
  <dcterms:modified xsi:type="dcterms:W3CDTF">2025-10-31T10:08:26Z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8EAC7E938F0F4BFBAC8B53FFD9C775FE_13</vt:lpwstr>
  </property>
  <property fmtid="{D5CDD505-2E9C-101B-9397-08002B2CF9AE}" pid="4" name="KSOTemplateDocerSaveRecord">
    <vt:lpwstr>eyJoZGlkIjoiYzUwM2Y4OWYyMTg2NzM2MGI5NGIwMWJmNGIxOThiMzEiLCJ1c2VySWQiOiIyMDU4MDExMjgifQ==</vt:lpwstr>
  </property>
</Properties>
</file>