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742CC1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深汕特别合作区</w:t>
      </w:r>
      <w:r>
        <w:rPr>
          <w:rFonts w:hint="eastAsia" w:ascii="方正小标宋简体" w:hAnsi="方正小标宋简体" w:cs="方正小标宋简体"/>
          <w:b w:val="0"/>
          <w:bCs/>
          <w:sz w:val="44"/>
          <w:szCs w:val="44"/>
          <w:lang w:val="en-US" w:eastAsia="zh-CN"/>
        </w:rPr>
        <w:t>海洋综合执法大队</w:t>
      </w:r>
    </w:p>
    <w:p w14:paraId="07BD3C58">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cs="方正小标宋简体"/>
          <w:b w:val="0"/>
          <w:bCs/>
          <w:sz w:val="44"/>
          <w:szCs w:val="44"/>
          <w:lang w:val="en-US" w:eastAsia="zh-CN"/>
        </w:rPr>
      </w:pPr>
      <w:r>
        <w:rPr>
          <w:rFonts w:hint="eastAsia" w:ascii="方正小标宋简体" w:hAnsi="方正小标宋简体" w:cs="方正小标宋简体"/>
          <w:b w:val="0"/>
          <w:bCs/>
          <w:sz w:val="44"/>
          <w:szCs w:val="44"/>
          <w:lang w:val="en-US" w:eastAsia="zh-CN"/>
        </w:rPr>
        <w:t>无人机机库部署服务</w:t>
      </w:r>
    </w:p>
    <w:p w14:paraId="0EA8E2C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方正小标宋简体" w:hAnsi="方正小标宋简体" w:eastAsia="方正小标宋简体" w:cs="方正小标宋简体"/>
          <w:b w:val="0"/>
          <w:bCs/>
          <w:sz w:val="44"/>
          <w:szCs w:val="44"/>
          <w:lang w:val="en" w:eastAsia="zh-CN"/>
        </w:rPr>
      </w:pPr>
      <w:r>
        <w:rPr>
          <w:rFonts w:hint="eastAsia" w:ascii="方正小标宋简体" w:hAnsi="方正小标宋简体" w:cs="方正小标宋简体"/>
          <w:b w:val="0"/>
          <w:bCs/>
          <w:sz w:val="44"/>
          <w:szCs w:val="44"/>
          <w:lang w:val="en-US" w:eastAsia="zh-CN"/>
        </w:rPr>
        <w:t>项目采购需求</w:t>
      </w:r>
    </w:p>
    <w:p w14:paraId="4C98174E">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p>
    <w:p w14:paraId="131AD043">
      <w:pPr>
        <w:pStyle w:val="2"/>
        <w:spacing w:before="78" w:beforeLines="25" w:after="78" w:afterLines="25" w:line="560" w:lineRule="exact"/>
        <w:ind w:left="2880" w:leftChars="0" w:hanging="2880" w:hangingChars="900"/>
        <w:rPr>
          <w:rFonts w:hint="eastAsia" w:ascii="仿宋_GB2312" w:hAnsi="仿宋_GB2312" w:eastAsia="仿宋_GB2312" w:cs="仿宋_GB2312"/>
          <w:b/>
          <w:bCs/>
          <w:color w:val="000000"/>
          <w:kern w:val="0"/>
          <w:sz w:val="32"/>
          <w:szCs w:val="32"/>
          <w:shd w:val="clear" w:color="auto" w:fill="FFFFFF"/>
          <w:lang w:val="en-US" w:eastAsia="zh-CN" w:bidi="ar"/>
        </w:rPr>
      </w:pPr>
      <w:r>
        <w:rPr>
          <w:rStyle w:val="11"/>
          <w:rFonts w:hint="eastAsia" w:ascii="黑体" w:hAnsi="黑体" w:eastAsia="黑体" w:cs="黑体"/>
          <w:b w:val="0"/>
          <w:bCs/>
          <w:kern w:val="0"/>
          <w:sz w:val="32"/>
          <w:szCs w:val="32"/>
          <w:shd w:val="clear" w:color="auto" w:fill="FFFFFF"/>
          <w:lang w:val="en-US" w:eastAsia="zh-CN" w:bidi="ar-SA"/>
        </w:rPr>
        <w:t>一、采购项目名称：</w:t>
      </w:r>
      <w:r>
        <w:rPr>
          <w:rFonts w:hint="eastAsia" w:ascii="仿宋_GB2312" w:hAnsi="仿宋_GB2312" w:eastAsia="仿宋_GB2312" w:cs="仿宋_GB2312"/>
          <w:kern w:val="2"/>
          <w:sz w:val="32"/>
          <w:szCs w:val="32"/>
          <w:lang w:val="en-US" w:eastAsia="zh-CN" w:bidi="ar-SA"/>
        </w:rPr>
        <w:t>深汕特别合作区海洋综合执法大队无人机机库部署服务项目</w:t>
      </w:r>
    </w:p>
    <w:p w14:paraId="4EE6964A">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二、采购项目需求：</w:t>
      </w:r>
    </w:p>
    <w:p w14:paraId="46ADED1F">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（一）服务内容（范围）：为深汕特别合作区海洋综合执法大队提供无人机机库部署服务。</w:t>
      </w:r>
    </w:p>
    <w:p w14:paraId="7CC1FCA2">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（二）服务要求：</w:t>
      </w:r>
    </w:p>
    <w:p w14:paraId="3139FD96">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构建无人机全域覆盖系统</w:t>
      </w:r>
    </w:p>
    <w:p w14:paraId="300DF0E7">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基于“无人机+智能机库+AI算法”集成模式，实现智能巡航与动态监管，突破岸线地形限制，精准覆盖海域</w:t>
      </w:r>
      <w:r>
        <w:rPr>
          <w:rFonts w:hint="eastAsia" w:ascii="仿宋_GB2312" w:hAnsi="仿宋_GB2312" w:eastAsia="仿宋_GB2312" w:cs="仿宋_GB2312"/>
          <w:kern w:val="2"/>
          <w:sz w:val="32"/>
          <w:szCs w:val="32"/>
          <w:lang w:val="en-US" w:eastAsia="zh-CN" w:bidi="ar-SA"/>
        </w:rPr>
        <w:t>复杂</w:t>
      </w:r>
      <w:r>
        <w:rPr>
          <w:rFonts w:hint="default" w:ascii="仿宋_GB2312" w:hAnsi="仿宋_GB2312" w:eastAsia="仿宋_GB2312" w:cs="仿宋_GB2312"/>
          <w:kern w:val="2"/>
          <w:sz w:val="32"/>
          <w:szCs w:val="32"/>
          <w:lang w:val="en-US" w:eastAsia="zh-CN" w:bidi="ar-SA"/>
        </w:rPr>
        <w:t>区。</w:t>
      </w:r>
    </w:p>
    <w:p w14:paraId="7F250718">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实现五大执法功能</w:t>
      </w:r>
    </w:p>
    <w:p w14:paraId="57E9BB14">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平台连接：高效对接深圳市深汕特别合作区渔船渔港综合管理平台，</w:t>
      </w:r>
      <w:r>
        <w:rPr>
          <w:rFonts w:hint="default" w:ascii="仿宋_GB2312" w:hAnsi="仿宋_GB2312" w:eastAsia="仿宋_GB2312" w:cs="仿宋_GB2312"/>
          <w:kern w:val="2"/>
          <w:sz w:val="32"/>
          <w:szCs w:val="32"/>
          <w:lang w:val="en-US" w:eastAsia="zh-CN" w:bidi="ar-SA"/>
        </w:rPr>
        <w:t>全面提升渔业安全生产监管效能与综合服务水平。</w:t>
      </w:r>
    </w:p>
    <w:p w14:paraId="0E8DAC2F">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精准执法：AI识别渔船铁牌（一船一码）、非法作业行为、救生衣穿戴等；</w:t>
      </w:r>
    </w:p>
    <w:p w14:paraId="6CB6C5AC">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快速响应：无人机喊话驱离、探照灯追踪、实时数据回传执法平台；</w:t>
      </w:r>
    </w:p>
    <w:p w14:paraId="267CAF25">
      <w:pPr>
        <w:adjustRightInd/>
        <w:snapToGrid/>
        <w:spacing w:line="240" w:lineRule="auto"/>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成本优化：减少人力投入，通过智能设备降低长期运维成本。</w:t>
      </w:r>
    </w:p>
    <w:p w14:paraId="536D774A">
      <w:pPr>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高频时长巡航：无人机在休渔季和实现7×24全时空巡检，实现海岸线全覆盖监测，遏制休渔季违法违规行为</w:t>
      </w:r>
      <w:r>
        <w:rPr>
          <w:rFonts w:hint="eastAsia" w:ascii="仿宋_GB2312" w:hAnsi="仿宋_GB2312" w:eastAsia="仿宋_GB2312" w:cs="仿宋_GB2312"/>
          <w:kern w:val="2"/>
          <w:sz w:val="32"/>
          <w:szCs w:val="32"/>
          <w:lang w:val="en-US" w:eastAsia="zh-CN" w:bidi="ar-SA"/>
        </w:rPr>
        <w:t>。</w:t>
      </w:r>
    </w:p>
    <w:p w14:paraId="0DC40F1C">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p>
    <w:p w14:paraId="294953E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宋体" w:hAnsi="宋体" w:cs="宋体"/>
          <w:sz w:val="28"/>
          <w:szCs w:val="28"/>
          <w:lang w:val="en-US" w:eastAsia="zh-CN"/>
        </w:rPr>
      </w:pPr>
      <w:r>
        <w:rPr>
          <w:rFonts w:hint="eastAsia" w:ascii="仿宋_GB2312" w:hAnsi="仿宋_GB2312" w:eastAsia="仿宋_GB2312" w:cs="仿宋_GB2312"/>
          <w:kern w:val="2"/>
          <w:sz w:val="32"/>
          <w:szCs w:val="32"/>
          <w:lang w:val="en-US" w:eastAsia="zh-CN" w:bidi="ar-SA"/>
        </w:rPr>
        <w:t>无人机机库部署服务项目配备需求：</w:t>
      </w:r>
    </w:p>
    <w:tbl>
      <w:tblPr>
        <w:tblStyle w:val="8"/>
        <w:tblW w:w="4611" w:type="pct"/>
        <w:tblInd w:w="15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
        <w:gridCol w:w="4341"/>
        <w:gridCol w:w="1208"/>
        <w:gridCol w:w="720"/>
        <w:gridCol w:w="705"/>
      </w:tblGrid>
      <w:tr w14:paraId="35D8E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62" w:type="pct"/>
            <w:tcBorders>
              <w:bottom w:val="single" w:color="000000" w:sz="8" w:space="0"/>
              <w:right w:val="single" w:color="000000" w:sz="8" w:space="0"/>
            </w:tcBorders>
            <w:shd w:val="clear" w:color="auto" w:fill="FFF2CC"/>
            <w:vAlign w:val="center"/>
          </w:tcPr>
          <w:p w14:paraId="66C91D5A">
            <w:pPr>
              <w:keepNext w:val="0"/>
              <w:keepLines w:val="0"/>
              <w:widowControl/>
              <w:suppressLineNumbers w:val="0"/>
              <w:jc w:val="left"/>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产品板块</w:t>
            </w:r>
          </w:p>
        </w:tc>
        <w:tc>
          <w:tcPr>
            <w:tcW w:w="2762" w:type="pct"/>
            <w:tcBorders>
              <w:left w:val="single" w:color="000000" w:sz="8" w:space="0"/>
              <w:bottom w:val="single" w:color="000000" w:sz="8" w:space="0"/>
              <w:right w:val="single" w:color="000000" w:sz="8" w:space="0"/>
            </w:tcBorders>
            <w:shd w:val="clear" w:color="auto" w:fill="FFF2CC"/>
            <w:vAlign w:val="center"/>
          </w:tcPr>
          <w:p w14:paraId="7448369B">
            <w:pPr>
              <w:keepNext w:val="0"/>
              <w:keepLines w:val="0"/>
              <w:widowControl/>
              <w:suppressLineNumbers w:val="0"/>
              <w:jc w:val="center"/>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产品图片</w:t>
            </w:r>
            <w:bookmarkStart w:id="0" w:name="_GoBack"/>
            <w:bookmarkEnd w:id="0"/>
          </w:p>
        </w:tc>
        <w:tc>
          <w:tcPr>
            <w:tcW w:w="768" w:type="pct"/>
            <w:tcBorders>
              <w:left w:val="single" w:color="000000" w:sz="8" w:space="0"/>
              <w:bottom w:val="single" w:color="000000" w:sz="8" w:space="0"/>
              <w:right w:val="single" w:color="000000" w:sz="8" w:space="0"/>
            </w:tcBorders>
            <w:shd w:val="clear" w:color="auto" w:fill="FFF2CC"/>
            <w:vAlign w:val="center"/>
          </w:tcPr>
          <w:p w14:paraId="6035B693">
            <w:pPr>
              <w:keepNext w:val="0"/>
              <w:keepLines w:val="0"/>
              <w:widowControl/>
              <w:suppressLineNumbers w:val="0"/>
              <w:jc w:val="left"/>
              <w:textAlignment w:val="center"/>
              <w:rPr>
                <w:rFonts w:hint="default" w:ascii="宋体" w:hAnsi="宋体" w:eastAsia="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产品类型</w:t>
            </w:r>
          </w:p>
        </w:tc>
        <w:tc>
          <w:tcPr>
            <w:tcW w:w="458" w:type="pct"/>
            <w:tcBorders>
              <w:left w:val="single" w:color="000000" w:sz="8" w:space="0"/>
              <w:bottom w:val="single" w:color="000000" w:sz="8" w:space="0"/>
              <w:right w:val="single" w:color="000000" w:sz="8" w:space="0"/>
            </w:tcBorders>
            <w:shd w:val="clear" w:color="auto" w:fill="FFF2CC"/>
            <w:vAlign w:val="center"/>
          </w:tcPr>
          <w:p w14:paraId="7BAF2FFC">
            <w:pPr>
              <w:keepNext w:val="0"/>
              <w:keepLines w:val="0"/>
              <w:widowControl/>
              <w:suppressLineNumbers w:val="0"/>
              <w:jc w:val="center"/>
              <w:textAlignment w:val="center"/>
              <w:rPr>
                <w:rFonts w:hint="default"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数量</w:t>
            </w:r>
          </w:p>
        </w:tc>
        <w:tc>
          <w:tcPr>
            <w:tcW w:w="448" w:type="pct"/>
            <w:tcBorders>
              <w:left w:val="single" w:color="000000" w:sz="8" w:space="0"/>
              <w:bottom w:val="single" w:color="000000" w:sz="8" w:space="0"/>
              <w:right w:val="single" w:color="000000" w:sz="8" w:space="0"/>
            </w:tcBorders>
            <w:shd w:val="clear" w:color="auto" w:fill="FFF2CC"/>
            <w:vAlign w:val="center"/>
          </w:tcPr>
          <w:p w14:paraId="625FB03E">
            <w:pPr>
              <w:keepNext w:val="0"/>
              <w:keepLines w:val="0"/>
              <w:widowControl/>
              <w:suppressLineNumbers w:val="0"/>
              <w:jc w:val="center"/>
              <w:textAlignment w:val="center"/>
              <w:rPr>
                <w:rFonts w:hint="eastAsia" w:ascii="宋体" w:hAnsi="宋体" w:cs="宋体"/>
                <w:b/>
                <w:bCs/>
                <w:i w:val="0"/>
                <w:iCs w:val="0"/>
                <w:color w:val="FF0000"/>
                <w:sz w:val="21"/>
                <w:szCs w:val="21"/>
                <w:u w:val="none"/>
                <w:lang w:val="en-US" w:eastAsia="zh-CN"/>
              </w:rPr>
            </w:pPr>
            <w:r>
              <w:rPr>
                <w:rFonts w:hint="eastAsia" w:ascii="宋体" w:hAnsi="宋体" w:cs="宋体"/>
                <w:b/>
                <w:bCs/>
                <w:i w:val="0"/>
                <w:iCs w:val="0"/>
                <w:color w:val="FF0000"/>
                <w:sz w:val="21"/>
                <w:szCs w:val="21"/>
                <w:u w:val="none"/>
                <w:lang w:val="en-US" w:eastAsia="zh-CN"/>
              </w:rPr>
              <w:t>单价</w:t>
            </w:r>
          </w:p>
        </w:tc>
      </w:tr>
      <w:tr w14:paraId="13A48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562" w:type="pct"/>
            <w:vMerge w:val="restart"/>
            <w:tcBorders>
              <w:top w:val="single" w:color="000000" w:sz="8" w:space="0"/>
              <w:right w:val="single" w:color="000000" w:sz="8" w:space="0"/>
            </w:tcBorders>
            <w:vAlign w:val="center"/>
          </w:tcPr>
          <w:p w14:paraId="7F9BF2A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kern w:val="0"/>
                <w:sz w:val="21"/>
                <w:szCs w:val="21"/>
                <w:u w:val="none"/>
                <w:lang w:val="en-US" w:eastAsia="zh-CN"/>
              </w:rPr>
              <w:t>大疆机场3 SP Plus</w:t>
            </w:r>
          </w:p>
        </w:tc>
        <w:tc>
          <w:tcPr>
            <w:tcW w:w="2762" w:type="pct"/>
            <w:tcBorders>
              <w:top w:val="single" w:color="000000" w:sz="8" w:space="0"/>
              <w:left w:val="single" w:color="000000" w:sz="8" w:space="0"/>
              <w:bottom w:val="single" w:color="000000" w:sz="8" w:space="0"/>
              <w:right w:val="single" w:color="000000" w:sz="8" w:space="0"/>
            </w:tcBorders>
            <w:vAlign w:val="center"/>
          </w:tcPr>
          <w:p w14:paraId="1FA69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706880" cy="107442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706880" cy="1074420"/>
                          </a:xfrm>
                          <a:prstGeom prst="rect">
                            <a:avLst/>
                          </a:prstGeom>
                          <a:noFill/>
                          <a:ln w="9525">
                            <a:noFill/>
                          </a:ln>
                        </pic:spPr>
                      </pic:pic>
                    </a:graphicData>
                  </a:graphic>
                </wp:inline>
              </w:drawing>
            </w:r>
          </w:p>
        </w:tc>
        <w:tc>
          <w:tcPr>
            <w:tcW w:w="768" w:type="pct"/>
            <w:tcBorders>
              <w:top w:val="single" w:color="000000" w:sz="8" w:space="0"/>
              <w:left w:val="single" w:color="000000" w:sz="8" w:space="0"/>
              <w:bottom w:val="single" w:color="000000" w:sz="8" w:space="0"/>
              <w:right w:val="single" w:color="000000" w:sz="8" w:space="0"/>
            </w:tcBorders>
            <w:vAlign w:val="center"/>
          </w:tcPr>
          <w:p w14:paraId="51D38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M4TD无人机</w:t>
            </w:r>
          </w:p>
        </w:tc>
        <w:tc>
          <w:tcPr>
            <w:tcW w:w="458" w:type="pct"/>
            <w:tcBorders>
              <w:top w:val="single" w:color="000000" w:sz="8" w:space="0"/>
              <w:left w:val="single" w:color="000000" w:sz="8" w:space="0"/>
              <w:bottom w:val="single" w:color="000000" w:sz="8" w:space="0"/>
              <w:right w:val="single" w:color="000000" w:sz="8" w:space="0"/>
            </w:tcBorders>
            <w:vAlign w:val="center"/>
          </w:tcPr>
          <w:p w14:paraId="1EB31CAD">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000000" w:sz="8" w:space="0"/>
              <w:right w:val="single" w:color="000000" w:sz="8" w:space="0"/>
            </w:tcBorders>
            <w:vAlign w:val="center"/>
          </w:tcPr>
          <w:p w14:paraId="21ABD548">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7C052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562" w:type="pct"/>
            <w:vMerge w:val="continue"/>
            <w:tcBorders>
              <w:bottom w:val="single" w:color="000000" w:sz="8" w:space="0"/>
              <w:right w:val="single" w:color="000000" w:sz="8" w:space="0"/>
            </w:tcBorders>
            <w:vAlign w:val="center"/>
          </w:tcPr>
          <w:p w14:paraId="321DC2FF">
            <w:pPr>
              <w:keepNext w:val="0"/>
              <w:keepLines w:val="0"/>
              <w:widowControl/>
              <w:suppressLineNumbers w:val="0"/>
              <w:jc w:val="left"/>
              <w:textAlignment w:val="center"/>
            </w:pPr>
          </w:p>
        </w:tc>
        <w:tc>
          <w:tcPr>
            <w:tcW w:w="2762" w:type="pct"/>
            <w:tcBorders>
              <w:top w:val="single" w:color="000000" w:sz="8" w:space="0"/>
              <w:left w:val="single" w:color="000000" w:sz="8" w:space="0"/>
              <w:bottom w:val="single" w:color="000000" w:sz="8" w:space="0"/>
              <w:right w:val="single" w:color="000000" w:sz="8" w:space="0"/>
            </w:tcBorders>
            <w:vAlign w:val="center"/>
          </w:tcPr>
          <w:p w14:paraId="769968EC">
            <w:pPr>
              <w:keepNext w:val="0"/>
              <w:keepLines w:val="0"/>
              <w:widowControl/>
              <w:suppressLineNumbers w:val="0"/>
              <w:jc w:val="center"/>
              <w:textAlignment w:val="center"/>
              <w:rPr>
                <w:rFonts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952625" cy="1943100"/>
                  <wp:effectExtent l="0" t="0" r="825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5"/>
                          <a:stretch>
                            <a:fillRect/>
                          </a:stretch>
                        </pic:blipFill>
                        <pic:spPr>
                          <a:xfrm>
                            <a:off x="0" y="0"/>
                            <a:ext cx="1952625" cy="1943100"/>
                          </a:xfrm>
                          <a:prstGeom prst="rect">
                            <a:avLst/>
                          </a:prstGeom>
                          <a:noFill/>
                          <a:ln w="9525">
                            <a:noFill/>
                          </a:ln>
                        </pic:spPr>
                      </pic:pic>
                    </a:graphicData>
                  </a:graphic>
                </wp:inline>
              </w:drawing>
            </w:r>
          </w:p>
        </w:tc>
        <w:tc>
          <w:tcPr>
            <w:tcW w:w="768" w:type="pct"/>
            <w:tcBorders>
              <w:top w:val="single" w:color="000000" w:sz="8" w:space="0"/>
              <w:left w:val="single" w:color="000000" w:sz="8" w:space="0"/>
              <w:bottom w:val="single" w:color="000000" w:sz="8" w:space="0"/>
              <w:right w:val="single" w:color="000000" w:sz="8" w:space="0"/>
            </w:tcBorders>
            <w:vAlign w:val="center"/>
          </w:tcPr>
          <w:p w14:paraId="2C9BB1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无人机机场</w:t>
            </w:r>
          </w:p>
        </w:tc>
        <w:tc>
          <w:tcPr>
            <w:tcW w:w="458" w:type="pct"/>
            <w:tcBorders>
              <w:top w:val="single" w:color="000000" w:sz="8" w:space="0"/>
              <w:left w:val="single" w:color="000000" w:sz="8" w:space="0"/>
              <w:bottom w:val="single" w:color="auto" w:sz="4" w:space="0"/>
              <w:right w:val="single" w:color="000000" w:sz="8" w:space="0"/>
            </w:tcBorders>
            <w:vAlign w:val="center"/>
          </w:tcPr>
          <w:p w14:paraId="0C23A0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auto" w:sz="4" w:space="0"/>
              <w:right w:val="single" w:color="000000" w:sz="8" w:space="0"/>
            </w:tcBorders>
            <w:vAlign w:val="center"/>
          </w:tcPr>
          <w:p w14:paraId="11C97BCA">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2A3B7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562" w:type="pct"/>
            <w:vMerge w:val="restart"/>
            <w:tcBorders>
              <w:top w:val="single" w:color="000000" w:sz="8" w:space="0"/>
              <w:right w:val="single" w:color="000000" w:sz="8" w:space="0"/>
            </w:tcBorders>
            <w:vAlign w:val="center"/>
          </w:tcPr>
          <w:p w14:paraId="1633EA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配件</w:t>
            </w:r>
          </w:p>
        </w:tc>
        <w:tc>
          <w:tcPr>
            <w:tcW w:w="2762" w:type="pct"/>
            <w:tcBorders>
              <w:top w:val="single" w:color="000000" w:sz="8" w:space="0"/>
              <w:left w:val="single" w:color="000000" w:sz="8" w:space="0"/>
              <w:bottom w:val="single" w:color="000000" w:sz="8" w:space="0"/>
              <w:right w:val="single" w:color="000000" w:sz="8" w:space="0"/>
            </w:tcBorders>
            <w:vAlign w:val="center"/>
          </w:tcPr>
          <w:p w14:paraId="77F911B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90600" cy="65722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990600" cy="657225"/>
                          </a:xfrm>
                          <a:prstGeom prst="rect">
                            <a:avLst/>
                          </a:prstGeom>
                          <a:noFill/>
                          <a:ln w="9525">
                            <a:noFill/>
                          </a:ln>
                        </pic:spPr>
                      </pic:pic>
                    </a:graphicData>
                  </a:graphic>
                </wp:inline>
              </w:drawing>
            </w:r>
          </w:p>
        </w:tc>
        <w:tc>
          <w:tcPr>
            <w:tcW w:w="768" w:type="pct"/>
            <w:vMerge w:val="restart"/>
            <w:tcBorders>
              <w:top w:val="single" w:color="000000" w:sz="8" w:space="0"/>
              <w:left w:val="single" w:color="000000" w:sz="8" w:space="0"/>
              <w:right w:val="single" w:color="auto" w:sz="4" w:space="0"/>
            </w:tcBorders>
            <w:vAlign w:val="center"/>
          </w:tcPr>
          <w:p w14:paraId="11DCEE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sz w:val="21"/>
                <w:szCs w:val="21"/>
                <w:u w:val="none"/>
              </w:rPr>
              <w:t>含电池、手柄、探照灯、喊话器等</w:t>
            </w:r>
          </w:p>
        </w:tc>
        <w:tc>
          <w:tcPr>
            <w:tcW w:w="458" w:type="pct"/>
            <w:tcBorders>
              <w:top w:val="single" w:color="auto" w:sz="4" w:space="0"/>
              <w:left w:val="single" w:color="auto" w:sz="4" w:space="0"/>
              <w:bottom w:val="single" w:color="auto" w:sz="4" w:space="0"/>
              <w:right w:val="single" w:color="auto" w:sz="4" w:space="0"/>
            </w:tcBorders>
            <w:vAlign w:val="center"/>
          </w:tcPr>
          <w:p w14:paraId="47046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448" w:type="pct"/>
            <w:tcBorders>
              <w:top w:val="single" w:color="auto" w:sz="4" w:space="0"/>
              <w:left w:val="single" w:color="auto" w:sz="4" w:space="0"/>
              <w:bottom w:val="single" w:color="auto" w:sz="4" w:space="0"/>
              <w:right w:val="single" w:color="auto" w:sz="4" w:space="0"/>
            </w:tcBorders>
            <w:vAlign w:val="center"/>
          </w:tcPr>
          <w:p w14:paraId="40445DFE">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67627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562" w:type="pct"/>
            <w:vMerge w:val="continue"/>
            <w:tcBorders>
              <w:right w:val="single" w:color="000000" w:sz="8" w:space="0"/>
            </w:tcBorders>
            <w:vAlign w:val="center"/>
          </w:tcPr>
          <w:p w14:paraId="22448793">
            <w:pPr>
              <w:keepNext w:val="0"/>
              <w:keepLines w:val="0"/>
              <w:widowControl/>
              <w:suppressLineNumbers w:val="0"/>
              <w:jc w:val="left"/>
              <w:textAlignment w:val="center"/>
            </w:pPr>
          </w:p>
        </w:tc>
        <w:tc>
          <w:tcPr>
            <w:tcW w:w="2762" w:type="pct"/>
            <w:tcBorders>
              <w:top w:val="single" w:color="000000" w:sz="8" w:space="0"/>
              <w:left w:val="single" w:color="000000" w:sz="8" w:space="0"/>
              <w:bottom w:val="single" w:color="000000" w:sz="8" w:space="0"/>
              <w:right w:val="single" w:color="000000" w:sz="8" w:space="0"/>
            </w:tcBorders>
            <w:vAlign w:val="center"/>
          </w:tcPr>
          <w:p w14:paraId="12830271">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676275" cy="914400"/>
                  <wp:effectExtent l="0" t="0" r="0"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676275" cy="914400"/>
                          </a:xfrm>
                          <a:prstGeom prst="rect">
                            <a:avLst/>
                          </a:prstGeom>
                          <a:noFill/>
                          <a:ln w="9525">
                            <a:noFill/>
                          </a:ln>
                        </pic:spPr>
                      </pic:pic>
                    </a:graphicData>
                  </a:graphic>
                </wp:inline>
              </w:drawing>
            </w:r>
          </w:p>
        </w:tc>
        <w:tc>
          <w:tcPr>
            <w:tcW w:w="768" w:type="pct"/>
            <w:vMerge w:val="continue"/>
            <w:tcBorders>
              <w:left w:val="single" w:color="000000" w:sz="8" w:space="0"/>
              <w:right w:val="single" w:color="auto" w:sz="4" w:space="0"/>
            </w:tcBorders>
            <w:vAlign w:val="center"/>
          </w:tcPr>
          <w:p w14:paraId="3F219F1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458" w:type="pct"/>
            <w:tcBorders>
              <w:top w:val="single" w:color="auto" w:sz="4" w:space="0"/>
              <w:left w:val="single" w:color="auto" w:sz="4" w:space="0"/>
              <w:bottom w:val="single" w:color="auto" w:sz="4" w:space="0"/>
              <w:right w:val="single" w:color="auto" w:sz="4" w:space="0"/>
            </w:tcBorders>
            <w:vAlign w:val="center"/>
          </w:tcPr>
          <w:p w14:paraId="23B4141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448" w:type="pct"/>
            <w:tcBorders>
              <w:top w:val="single" w:color="auto" w:sz="4" w:space="0"/>
              <w:left w:val="single" w:color="auto" w:sz="4" w:space="0"/>
              <w:bottom w:val="single" w:color="auto" w:sz="4" w:space="0"/>
              <w:right w:val="single" w:color="auto" w:sz="4" w:space="0"/>
            </w:tcBorders>
            <w:vAlign w:val="center"/>
          </w:tcPr>
          <w:p w14:paraId="527FC1D7">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B858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562" w:type="pct"/>
            <w:vMerge w:val="continue"/>
            <w:tcBorders>
              <w:right w:val="single" w:color="000000" w:sz="8" w:space="0"/>
            </w:tcBorders>
            <w:vAlign w:val="center"/>
          </w:tcPr>
          <w:p w14:paraId="2ACA01D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2762" w:type="pct"/>
            <w:tcBorders>
              <w:top w:val="single" w:color="000000" w:sz="8" w:space="0"/>
              <w:left w:val="single" w:color="000000" w:sz="8" w:space="0"/>
              <w:bottom w:val="single" w:color="000000" w:sz="8" w:space="0"/>
              <w:right w:val="single" w:color="000000" w:sz="8" w:space="0"/>
            </w:tcBorders>
            <w:vAlign w:val="center"/>
          </w:tcPr>
          <w:p w14:paraId="0DA94B68">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697230" cy="666750"/>
                  <wp:effectExtent l="0" t="0" r="0" b="0"/>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8"/>
                          <a:stretch>
                            <a:fillRect/>
                          </a:stretch>
                        </pic:blipFill>
                        <pic:spPr>
                          <a:xfrm>
                            <a:off x="0" y="0"/>
                            <a:ext cx="697230" cy="666750"/>
                          </a:xfrm>
                          <a:prstGeom prst="rect">
                            <a:avLst/>
                          </a:prstGeom>
                          <a:noFill/>
                          <a:ln w="9525">
                            <a:noFill/>
                          </a:ln>
                        </pic:spPr>
                      </pic:pic>
                    </a:graphicData>
                  </a:graphic>
                </wp:inline>
              </w:drawing>
            </w:r>
          </w:p>
        </w:tc>
        <w:tc>
          <w:tcPr>
            <w:tcW w:w="768" w:type="pct"/>
            <w:vMerge w:val="continue"/>
            <w:tcBorders>
              <w:left w:val="single" w:color="000000" w:sz="8" w:space="0"/>
              <w:right w:val="single" w:color="auto" w:sz="4" w:space="0"/>
            </w:tcBorders>
            <w:vAlign w:val="center"/>
          </w:tcPr>
          <w:p w14:paraId="6F73719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458" w:type="pct"/>
            <w:tcBorders>
              <w:top w:val="single" w:color="auto" w:sz="4" w:space="0"/>
              <w:left w:val="single" w:color="auto" w:sz="4" w:space="0"/>
              <w:bottom w:val="single" w:color="auto" w:sz="4" w:space="0"/>
              <w:right w:val="single" w:color="auto" w:sz="4" w:space="0"/>
            </w:tcBorders>
            <w:vAlign w:val="center"/>
          </w:tcPr>
          <w:p w14:paraId="5FD9614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448" w:type="pct"/>
            <w:tcBorders>
              <w:top w:val="single" w:color="auto" w:sz="4" w:space="0"/>
              <w:left w:val="single" w:color="auto" w:sz="4" w:space="0"/>
              <w:bottom w:val="single" w:color="auto" w:sz="4" w:space="0"/>
              <w:right w:val="single" w:color="auto" w:sz="4" w:space="0"/>
            </w:tcBorders>
            <w:vAlign w:val="center"/>
          </w:tcPr>
          <w:p w14:paraId="4DF520DF">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1CAF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8" w:hRule="atLeast"/>
        </w:trPr>
        <w:tc>
          <w:tcPr>
            <w:tcW w:w="562" w:type="pct"/>
            <w:vMerge w:val="continue"/>
            <w:tcBorders>
              <w:right w:val="single" w:color="000000" w:sz="8" w:space="0"/>
            </w:tcBorders>
            <w:vAlign w:val="center"/>
          </w:tcPr>
          <w:p w14:paraId="30D8FAA8">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2762" w:type="pct"/>
            <w:tcBorders>
              <w:top w:val="single" w:color="000000" w:sz="8" w:space="0"/>
              <w:left w:val="single" w:color="000000" w:sz="8" w:space="0"/>
              <w:bottom w:val="single" w:color="000000" w:sz="8" w:space="0"/>
              <w:right w:val="single" w:color="000000" w:sz="8" w:space="0"/>
            </w:tcBorders>
            <w:vAlign w:val="center"/>
          </w:tcPr>
          <w:p w14:paraId="779267E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1003935" cy="857250"/>
                  <wp:effectExtent l="0" t="0" r="0" b="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9"/>
                          <a:stretch>
                            <a:fillRect/>
                          </a:stretch>
                        </pic:blipFill>
                        <pic:spPr>
                          <a:xfrm>
                            <a:off x="0" y="0"/>
                            <a:ext cx="1003935" cy="857250"/>
                          </a:xfrm>
                          <a:prstGeom prst="rect">
                            <a:avLst/>
                          </a:prstGeom>
                          <a:noFill/>
                          <a:ln w="9525">
                            <a:noFill/>
                          </a:ln>
                        </pic:spPr>
                      </pic:pic>
                    </a:graphicData>
                  </a:graphic>
                </wp:inline>
              </w:drawing>
            </w:r>
          </w:p>
        </w:tc>
        <w:tc>
          <w:tcPr>
            <w:tcW w:w="768" w:type="pct"/>
            <w:vMerge w:val="continue"/>
            <w:tcBorders>
              <w:left w:val="single" w:color="000000" w:sz="8" w:space="0"/>
              <w:bottom w:val="single" w:color="000000" w:sz="8" w:space="0"/>
              <w:right w:val="single" w:color="000000" w:sz="8" w:space="0"/>
            </w:tcBorders>
            <w:vAlign w:val="center"/>
          </w:tcPr>
          <w:p w14:paraId="6E276D8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p>
        </w:tc>
        <w:tc>
          <w:tcPr>
            <w:tcW w:w="458" w:type="pct"/>
            <w:tcBorders>
              <w:top w:val="single" w:color="auto" w:sz="4" w:space="0"/>
              <w:left w:val="single" w:color="000000" w:sz="8" w:space="0"/>
              <w:bottom w:val="single" w:color="000000" w:sz="8" w:space="0"/>
              <w:right w:val="single" w:color="000000" w:sz="8" w:space="0"/>
            </w:tcBorders>
            <w:vAlign w:val="center"/>
          </w:tcPr>
          <w:p w14:paraId="7FB73D6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1"/>
                <w:szCs w:val="21"/>
                <w:u w:val="none"/>
                <w:lang w:val="en-US" w:eastAsia="zh-CN"/>
              </w:rPr>
              <w:t>1</w:t>
            </w:r>
          </w:p>
        </w:tc>
        <w:tc>
          <w:tcPr>
            <w:tcW w:w="448" w:type="pct"/>
            <w:tcBorders>
              <w:top w:val="single" w:color="auto" w:sz="4" w:space="0"/>
              <w:left w:val="single" w:color="000000" w:sz="8" w:space="0"/>
              <w:bottom w:val="single" w:color="000000" w:sz="8" w:space="0"/>
              <w:right w:val="single" w:color="000000" w:sz="8" w:space="0"/>
            </w:tcBorders>
            <w:vAlign w:val="center"/>
          </w:tcPr>
          <w:p w14:paraId="0E6DBC7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FC47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562" w:type="pct"/>
            <w:tcBorders>
              <w:top w:val="single" w:color="000000" w:sz="8" w:space="0"/>
              <w:right w:val="single" w:color="000000" w:sz="8" w:space="0"/>
            </w:tcBorders>
            <w:vAlign w:val="center"/>
          </w:tcPr>
          <w:p w14:paraId="31FCE1F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安装</w:t>
            </w:r>
            <w:r>
              <w:rPr>
                <w:rFonts w:hint="eastAsia" w:ascii="宋体" w:hAnsi="宋体" w:cs="宋体"/>
                <w:i w:val="0"/>
                <w:iCs w:val="0"/>
                <w:color w:val="000000"/>
                <w:kern w:val="0"/>
                <w:sz w:val="21"/>
                <w:szCs w:val="21"/>
                <w:u w:val="none"/>
                <w:lang w:val="en-US" w:eastAsia="zh-CN"/>
              </w:rPr>
              <w:t>服务</w:t>
            </w:r>
          </w:p>
        </w:tc>
        <w:tc>
          <w:tcPr>
            <w:tcW w:w="2762" w:type="pct"/>
            <w:tcBorders>
              <w:top w:val="single" w:color="000000" w:sz="8" w:space="0"/>
              <w:left w:val="single" w:color="000000" w:sz="8" w:space="0"/>
              <w:bottom w:val="single" w:color="000000" w:sz="8" w:space="0"/>
              <w:right w:val="single" w:color="000000" w:sz="8" w:space="0"/>
            </w:tcBorders>
            <w:vAlign w:val="center"/>
          </w:tcPr>
          <w:p w14:paraId="7A099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rPr>
              <w:t>\</w:t>
            </w:r>
          </w:p>
        </w:tc>
        <w:tc>
          <w:tcPr>
            <w:tcW w:w="768" w:type="pct"/>
            <w:tcBorders>
              <w:top w:val="single" w:color="000000" w:sz="8" w:space="0"/>
              <w:left w:val="single" w:color="000000" w:sz="8" w:space="0"/>
              <w:bottom w:val="single" w:color="000000" w:sz="8" w:space="0"/>
              <w:right w:val="single" w:color="000000" w:sz="8" w:space="0"/>
            </w:tcBorders>
            <w:vAlign w:val="center"/>
          </w:tcPr>
          <w:p w14:paraId="181AA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机巢调试服务</w:t>
            </w:r>
          </w:p>
        </w:tc>
        <w:tc>
          <w:tcPr>
            <w:tcW w:w="458" w:type="pct"/>
            <w:tcBorders>
              <w:top w:val="single" w:color="000000" w:sz="8" w:space="0"/>
              <w:left w:val="single" w:color="000000" w:sz="8" w:space="0"/>
              <w:bottom w:val="single" w:color="000000" w:sz="8" w:space="0"/>
              <w:right w:val="single" w:color="000000" w:sz="8" w:space="0"/>
            </w:tcBorders>
            <w:vAlign w:val="center"/>
          </w:tcPr>
          <w:p w14:paraId="609205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000000" w:sz="8" w:space="0"/>
              <w:right w:val="single" w:color="000000" w:sz="8" w:space="0"/>
            </w:tcBorders>
            <w:vAlign w:val="center"/>
          </w:tcPr>
          <w:p w14:paraId="16BD35B9">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2CAA6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562" w:type="pct"/>
            <w:vMerge w:val="restart"/>
            <w:tcBorders>
              <w:top w:val="single" w:color="000000" w:sz="8" w:space="0"/>
              <w:right w:val="single" w:color="000000" w:sz="8" w:space="0"/>
            </w:tcBorders>
            <w:vAlign w:val="center"/>
          </w:tcPr>
          <w:p w14:paraId="5AD088A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kern w:val="0"/>
                <w:sz w:val="21"/>
                <w:szCs w:val="21"/>
                <w:u w:val="none"/>
                <w:lang w:val="en-US" w:eastAsia="zh-CN"/>
              </w:rPr>
              <w:t>平台</w:t>
            </w:r>
            <w:r>
              <w:rPr>
                <w:rFonts w:hint="eastAsia" w:ascii="宋体" w:hAnsi="宋体" w:eastAsia="宋体" w:cs="宋体"/>
                <w:i w:val="0"/>
                <w:iCs w:val="0"/>
                <w:color w:val="000000"/>
                <w:kern w:val="0"/>
                <w:sz w:val="21"/>
                <w:szCs w:val="21"/>
                <w:u w:val="none"/>
                <w:lang w:val="en-US" w:eastAsia="zh-CN"/>
              </w:rPr>
              <w:t>软件</w:t>
            </w:r>
            <w:r>
              <w:rPr>
                <w:rFonts w:hint="eastAsia" w:ascii="宋体" w:hAnsi="宋体" w:cs="宋体"/>
                <w:i w:val="0"/>
                <w:iCs w:val="0"/>
                <w:color w:val="000000"/>
                <w:kern w:val="0"/>
                <w:sz w:val="21"/>
                <w:szCs w:val="21"/>
                <w:u w:val="none"/>
                <w:lang w:val="en-US" w:eastAsia="zh-CN"/>
              </w:rPr>
              <w:t>服务</w:t>
            </w:r>
          </w:p>
        </w:tc>
        <w:tc>
          <w:tcPr>
            <w:tcW w:w="2762" w:type="pct"/>
            <w:tcBorders>
              <w:top w:val="single" w:color="000000" w:sz="8" w:space="0"/>
              <w:left w:val="single" w:color="000000" w:sz="8" w:space="0"/>
              <w:bottom w:val="single" w:color="000000" w:sz="8" w:space="0"/>
              <w:right w:val="single" w:color="auto" w:sz="4" w:space="0"/>
            </w:tcBorders>
            <w:vAlign w:val="center"/>
          </w:tcPr>
          <w:p w14:paraId="33E990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drawing>
                <wp:inline distT="0" distB="0" distL="114300" distR="114300">
                  <wp:extent cx="1296035" cy="729615"/>
                  <wp:effectExtent l="0" t="0" r="18415" b="13335"/>
                  <wp:docPr id="8"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1"/>
                          <pic:cNvPicPr>
                            <a:picLocks noChangeAspect="1"/>
                          </pic:cNvPicPr>
                        </pic:nvPicPr>
                        <pic:blipFill>
                          <a:blip r:embed="rId10"/>
                          <a:stretch>
                            <a:fillRect/>
                          </a:stretch>
                        </pic:blipFill>
                        <pic:spPr>
                          <a:xfrm>
                            <a:off x="0" y="0"/>
                            <a:ext cx="1296035" cy="729615"/>
                          </a:xfrm>
                          <a:prstGeom prst="rect">
                            <a:avLst/>
                          </a:prstGeom>
                        </pic:spPr>
                      </pic:pic>
                    </a:graphicData>
                  </a:graphic>
                </wp:inline>
              </w:drawing>
            </w:r>
          </w:p>
        </w:tc>
        <w:tc>
          <w:tcPr>
            <w:tcW w:w="768" w:type="pct"/>
            <w:tcBorders>
              <w:top w:val="single" w:color="000000" w:sz="8" w:space="0"/>
              <w:left w:val="single" w:color="000000" w:sz="8" w:space="0"/>
              <w:bottom w:val="single" w:color="000000" w:sz="8" w:space="0"/>
              <w:right w:val="single" w:color="auto" w:sz="4" w:space="0"/>
            </w:tcBorders>
            <w:vAlign w:val="center"/>
          </w:tcPr>
          <w:p w14:paraId="2C90F1E9">
            <w:pPr>
              <w:keepNext w:val="0"/>
              <w:keepLines w:val="0"/>
              <w:widowControl/>
              <w:suppressLineNumbers w:val="0"/>
              <w:jc w:val="left"/>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rPr>
              <w:t>巡检平台</w:t>
            </w:r>
            <w:r>
              <w:rPr>
                <w:rFonts w:hint="eastAsia" w:ascii="宋体" w:hAnsi="宋体" w:cs="宋体"/>
                <w:i w:val="0"/>
                <w:iCs w:val="0"/>
                <w:color w:val="000000"/>
                <w:kern w:val="0"/>
                <w:sz w:val="21"/>
                <w:szCs w:val="21"/>
                <w:u w:val="none"/>
                <w:lang w:val="en-US" w:eastAsia="zh-CN"/>
              </w:rPr>
              <w:t>软件服务</w:t>
            </w:r>
          </w:p>
        </w:tc>
        <w:tc>
          <w:tcPr>
            <w:tcW w:w="458" w:type="pct"/>
            <w:tcBorders>
              <w:top w:val="single" w:color="000000" w:sz="8" w:space="0"/>
              <w:left w:val="single" w:color="000000" w:sz="8" w:space="0"/>
              <w:bottom w:val="single" w:color="000000" w:sz="8" w:space="0"/>
              <w:right w:val="single" w:color="auto" w:sz="4" w:space="0"/>
            </w:tcBorders>
            <w:vAlign w:val="center"/>
          </w:tcPr>
          <w:p w14:paraId="0C1CBAE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000000" w:sz="8" w:space="0"/>
              <w:right w:val="single" w:color="auto" w:sz="4" w:space="0"/>
            </w:tcBorders>
            <w:vAlign w:val="center"/>
          </w:tcPr>
          <w:p w14:paraId="2A0133AB">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1301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562" w:type="pct"/>
            <w:vMerge w:val="continue"/>
            <w:tcBorders>
              <w:right w:val="single" w:color="000000" w:sz="8" w:space="0"/>
            </w:tcBorders>
            <w:vAlign w:val="center"/>
          </w:tcPr>
          <w:p w14:paraId="55836B63">
            <w:pPr>
              <w:keepNext w:val="0"/>
              <w:keepLines w:val="0"/>
              <w:widowControl/>
              <w:suppressLineNumbers w:val="0"/>
              <w:jc w:val="left"/>
              <w:textAlignment w:val="center"/>
            </w:pPr>
          </w:p>
        </w:tc>
        <w:tc>
          <w:tcPr>
            <w:tcW w:w="2762" w:type="pct"/>
            <w:tcBorders>
              <w:top w:val="single" w:color="000000" w:sz="8" w:space="0"/>
              <w:left w:val="single" w:color="000000" w:sz="8" w:space="0"/>
              <w:bottom w:val="single" w:color="000000" w:sz="8" w:space="0"/>
              <w:right w:val="single" w:color="auto" w:sz="4" w:space="0"/>
            </w:tcBorders>
            <w:vAlign w:val="center"/>
          </w:tcPr>
          <w:p w14:paraId="4E1DAF5E">
            <w:pPr>
              <w:keepNext w:val="0"/>
              <w:keepLines w:val="0"/>
              <w:widowControl/>
              <w:suppressLineNumbers w:val="0"/>
              <w:jc w:val="center"/>
              <w:textAlignment w:val="center"/>
              <w:rPr>
                <w:rFonts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drawing>
                <wp:inline distT="0" distB="0" distL="114300" distR="114300">
                  <wp:extent cx="868045" cy="1104900"/>
                  <wp:effectExtent l="0" t="0" r="0" b="0"/>
                  <wp:docPr id="1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IMG_256"/>
                          <pic:cNvPicPr>
                            <a:picLocks noChangeAspect="1"/>
                          </pic:cNvPicPr>
                        </pic:nvPicPr>
                        <pic:blipFill>
                          <a:blip r:embed="rId11"/>
                          <a:stretch>
                            <a:fillRect/>
                          </a:stretch>
                        </pic:blipFill>
                        <pic:spPr>
                          <a:xfrm>
                            <a:off x="0" y="0"/>
                            <a:ext cx="868045" cy="1104900"/>
                          </a:xfrm>
                          <a:prstGeom prst="rect">
                            <a:avLst/>
                          </a:prstGeom>
                          <a:noFill/>
                          <a:ln w="9525">
                            <a:noFill/>
                          </a:ln>
                        </pic:spPr>
                      </pic:pic>
                    </a:graphicData>
                  </a:graphic>
                </wp:inline>
              </w:drawing>
            </w:r>
          </w:p>
        </w:tc>
        <w:tc>
          <w:tcPr>
            <w:tcW w:w="768" w:type="pct"/>
            <w:tcBorders>
              <w:top w:val="single" w:color="000000" w:sz="8" w:space="0"/>
              <w:left w:val="single" w:color="000000" w:sz="8" w:space="0"/>
              <w:bottom w:val="single" w:color="000000" w:sz="8" w:space="0"/>
              <w:right w:val="single" w:color="auto" w:sz="4" w:space="0"/>
            </w:tcBorders>
            <w:vAlign w:val="center"/>
          </w:tcPr>
          <w:p w14:paraId="2B310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中继站固定部署套装</w:t>
            </w:r>
          </w:p>
        </w:tc>
        <w:tc>
          <w:tcPr>
            <w:tcW w:w="458" w:type="pct"/>
            <w:tcBorders>
              <w:top w:val="single" w:color="000000" w:sz="8" w:space="0"/>
              <w:left w:val="single" w:color="000000" w:sz="8" w:space="0"/>
              <w:bottom w:val="single" w:color="000000" w:sz="8" w:space="0"/>
              <w:right w:val="single" w:color="auto" w:sz="4" w:space="0"/>
            </w:tcBorders>
            <w:vAlign w:val="center"/>
          </w:tcPr>
          <w:p w14:paraId="30EF8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000000" w:sz="8" w:space="0"/>
              <w:right w:val="single" w:color="auto" w:sz="4" w:space="0"/>
            </w:tcBorders>
            <w:vAlign w:val="center"/>
          </w:tcPr>
          <w:p w14:paraId="3C4431E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3C4E1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62" w:type="pct"/>
            <w:vMerge w:val="continue"/>
            <w:tcBorders>
              <w:bottom w:val="single" w:color="auto" w:sz="4" w:space="0"/>
              <w:right w:val="single" w:color="000000" w:sz="8" w:space="0"/>
            </w:tcBorders>
            <w:vAlign w:val="center"/>
          </w:tcPr>
          <w:p w14:paraId="36C19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2762" w:type="pct"/>
            <w:tcBorders>
              <w:top w:val="single" w:color="000000" w:sz="8" w:space="0"/>
              <w:left w:val="single" w:color="000000" w:sz="8" w:space="0"/>
              <w:bottom w:val="single" w:color="auto" w:sz="4" w:space="0"/>
              <w:right w:val="single" w:color="auto" w:sz="4" w:space="0"/>
            </w:tcBorders>
            <w:vAlign w:val="center"/>
          </w:tcPr>
          <w:p w14:paraId="42534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w:t>
            </w:r>
          </w:p>
        </w:tc>
        <w:tc>
          <w:tcPr>
            <w:tcW w:w="768" w:type="pct"/>
            <w:tcBorders>
              <w:top w:val="single" w:color="000000" w:sz="8" w:space="0"/>
              <w:left w:val="single" w:color="000000" w:sz="8" w:space="0"/>
              <w:bottom w:val="single" w:color="auto" w:sz="4" w:space="0"/>
              <w:right w:val="single" w:color="auto" w:sz="4" w:space="0"/>
            </w:tcBorders>
            <w:vAlign w:val="center"/>
          </w:tcPr>
          <w:p w14:paraId="619F00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设备保险及第三方责任险</w:t>
            </w:r>
          </w:p>
        </w:tc>
        <w:tc>
          <w:tcPr>
            <w:tcW w:w="458" w:type="pct"/>
            <w:tcBorders>
              <w:top w:val="single" w:color="000000" w:sz="8" w:space="0"/>
              <w:left w:val="single" w:color="000000" w:sz="8" w:space="0"/>
              <w:bottom w:val="single" w:color="000000" w:sz="8" w:space="0"/>
              <w:right w:val="single" w:color="auto" w:sz="4" w:space="0"/>
            </w:tcBorders>
            <w:vAlign w:val="center"/>
          </w:tcPr>
          <w:p w14:paraId="5BA74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p>
        </w:tc>
        <w:tc>
          <w:tcPr>
            <w:tcW w:w="448" w:type="pct"/>
            <w:tcBorders>
              <w:top w:val="single" w:color="000000" w:sz="8" w:space="0"/>
              <w:left w:val="single" w:color="000000" w:sz="8" w:space="0"/>
              <w:bottom w:val="single" w:color="000000" w:sz="8" w:space="0"/>
              <w:right w:val="single" w:color="auto" w:sz="4" w:space="0"/>
            </w:tcBorders>
            <w:vAlign w:val="center"/>
          </w:tcPr>
          <w:p w14:paraId="2323B4A2">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p>
        </w:tc>
      </w:tr>
      <w:tr w14:paraId="477C1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62" w:type="pct"/>
            <w:tcBorders>
              <w:top w:val="single" w:color="auto" w:sz="4" w:space="0"/>
              <w:bottom w:val="single" w:color="auto" w:sz="4" w:space="0"/>
              <w:right w:val="single" w:color="auto" w:sz="4" w:space="0"/>
            </w:tcBorders>
            <w:vAlign w:val="center"/>
          </w:tcPr>
          <w:p w14:paraId="46F074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2762" w:type="pct"/>
            <w:tcBorders>
              <w:top w:val="single" w:color="auto" w:sz="4" w:space="0"/>
              <w:left w:val="single" w:color="auto" w:sz="4" w:space="0"/>
              <w:bottom w:val="single" w:color="auto" w:sz="4" w:space="0"/>
              <w:right w:val="single" w:color="auto" w:sz="4" w:space="0"/>
            </w:tcBorders>
            <w:vAlign w:val="center"/>
          </w:tcPr>
          <w:p w14:paraId="40520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68" w:type="pct"/>
            <w:tcBorders>
              <w:top w:val="single" w:color="auto" w:sz="4" w:space="0"/>
              <w:left w:val="single" w:color="auto" w:sz="4" w:space="0"/>
              <w:bottom w:val="single" w:color="auto" w:sz="4" w:space="0"/>
              <w:right w:val="single" w:color="auto" w:sz="4" w:space="0"/>
            </w:tcBorders>
            <w:vAlign w:val="center"/>
          </w:tcPr>
          <w:p w14:paraId="792CB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458" w:type="pct"/>
            <w:tcBorders>
              <w:top w:val="single" w:color="000000" w:sz="8" w:space="0"/>
              <w:left w:val="single" w:color="000000" w:sz="8" w:space="0"/>
              <w:bottom w:val="single" w:color="auto" w:sz="4" w:space="0"/>
              <w:right w:val="single" w:color="auto" w:sz="4" w:space="0"/>
            </w:tcBorders>
            <w:vAlign w:val="center"/>
          </w:tcPr>
          <w:p w14:paraId="391DD4B2">
            <w:pPr>
              <w:keepNext w:val="0"/>
              <w:keepLines w:val="0"/>
              <w:widowControl/>
              <w:suppressLineNumbers w:val="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b/>
                <w:bCs/>
                <w:i w:val="0"/>
                <w:iCs w:val="0"/>
                <w:color w:val="FF0000"/>
                <w:kern w:val="0"/>
                <w:sz w:val="21"/>
                <w:szCs w:val="21"/>
                <w:u w:val="none"/>
                <w:lang w:val="en-US" w:eastAsia="zh-CN" w:bidi="ar"/>
              </w:rPr>
              <w:t>10</w:t>
            </w:r>
          </w:p>
        </w:tc>
        <w:tc>
          <w:tcPr>
            <w:tcW w:w="448" w:type="pct"/>
            <w:tcBorders>
              <w:top w:val="single" w:color="000000" w:sz="8" w:space="0"/>
              <w:left w:val="single" w:color="000000" w:sz="8" w:space="0"/>
              <w:bottom w:val="single" w:color="auto" w:sz="4" w:space="0"/>
              <w:right w:val="single" w:color="auto" w:sz="4" w:space="0"/>
            </w:tcBorders>
            <w:vAlign w:val="center"/>
          </w:tcPr>
          <w:p w14:paraId="487E90FE">
            <w:pPr>
              <w:keepNext w:val="0"/>
              <w:keepLines w:val="0"/>
              <w:widowControl/>
              <w:suppressLineNumbers w:val="0"/>
              <w:jc w:val="left"/>
              <w:textAlignment w:val="center"/>
              <w:rPr>
                <w:rFonts w:hint="eastAsia" w:ascii="宋体" w:hAnsi="宋体" w:eastAsia="宋体" w:cs="宋体"/>
                <w:b/>
                <w:bCs/>
                <w:i w:val="0"/>
                <w:iCs w:val="0"/>
                <w:color w:val="FF0000"/>
                <w:kern w:val="0"/>
                <w:sz w:val="21"/>
                <w:szCs w:val="21"/>
                <w:u w:val="none"/>
                <w:lang w:val="en-US" w:eastAsia="zh-CN" w:bidi="ar"/>
              </w:rPr>
            </w:pPr>
          </w:p>
        </w:tc>
      </w:tr>
    </w:tbl>
    <w:p w14:paraId="1BDD6806">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p>
    <w:p w14:paraId="5ED1CEA9">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（三）服务期限：自合同签订日起1年</w:t>
      </w:r>
      <w:r>
        <w:rPr>
          <w:rFonts w:hint="default" w:ascii="仿宋_GB2312" w:hAnsi="仿宋_GB2312" w:eastAsia="仿宋_GB2312" w:cs="仿宋_GB2312"/>
          <w:kern w:val="2"/>
          <w:sz w:val="32"/>
          <w:szCs w:val="32"/>
          <w:lang w:val="en-US" w:eastAsia="zh-CN" w:bidi="ar-SA"/>
        </w:rPr>
        <w:t>(365</w:t>
      </w:r>
      <w:r>
        <w:rPr>
          <w:rFonts w:hint="eastAsia" w:ascii="仿宋_GB2312" w:hAnsi="仿宋_GB2312" w:eastAsia="仿宋_GB2312" w:cs="仿宋_GB2312"/>
          <w:kern w:val="2"/>
          <w:sz w:val="32"/>
          <w:szCs w:val="32"/>
          <w:lang w:val="en-US" w:eastAsia="zh-CN" w:bidi="ar-SA"/>
        </w:rPr>
        <w:t>天</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w:t>
      </w:r>
    </w:p>
    <w:p w14:paraId="523447BC">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（四）服务成果：</w:t>
      </w:r>
    </w:p>
    <w:p w14:paraId="55E138FD">
      <w:pPr>
        <w:numPr>
          <w:ilvl w:val="0"/>
          <w:numId w:val="0"/>
        </w:numPr>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1.全海域无人机巡航统一调度管理</w:t>
      </w:r>
    </w:p>
    <w:p w14:paraId="3BCB4515">
      <w:pPr>
        <w:numPr>
          <w:ilvl w:val="0"/>
          <w:numId w:val="0"/>
        </w:numPr>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2.信息化辅助降低海域观测监控成本。</w:t>
      </w:r>
    </w:p>
    <w:p w14:paraId="71201E65">
      <w:pPr>
        <w:pStyle w:val="2"/>
        <w:spacing w:before="78" w:beforeLines="25" w:after="78" w:afterLines="25" w:line="560" w:lineRule="exact"/>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3.实现重点航道/敏感岸线/作业区100%无盲区覆盖。</w:t>
      </w:r>
    </w:p>
    <w:p w14:paraId="26997D34">
      <w:pPr>
        <w:pStyle w:val="2"/>
        <w:spacing w:before="78" w:beforeLines="25" w:after="78" w:afterLines="25" w:line="560" w:lineRule="exact"/>
        <w:ind w:left="0" w:leftChars="0" w:firstLine="0" w:firstLineChars="0"/>
        <w:rPr>
          <w:rStyle w:val="11"/>
          <w:rFonts w:hint="eastAsia"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三、供应商资格要求：</w:t>
      </w:r>
    </w:p>
    <w:p w14:paraId="73066580">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（1）具有独立法人资格或具有独立承担民事责任的能力的其它组织（提供营业执照或事业单位法人证等法人证明扫描件，原件备查）。</w:t>
      </w:r>
    </w:p>
    <w:p w14:paraId="2882C8BC">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（2）本项目不接受联合体投标。</w:t>
      </w:r>
    </w:p>
    <w:p w14:paraId="7FD1C1BB">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（3）参与本项目投标前三年内，在经营活动中没有重大违法记录。</w:t>
      </w:r>
    </w:p>
    <w:p w14:paraId="6BB3928A">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（4）参与本项目政府采购活动时不存在被有关部门禁止参与政府采购活动且在有效期内的情况。</w:t>
      </w:r>
    </w:p>
    <w:p w14:paraId="3FE80E7D">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（5）具备《中华人民共和国政府采购法》第二十二条第一款的条件。</w:t>
      </w:r>
    </w:p>
    <w:p w14:paraId="2D33B5D8">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（6）未被列入失信被执行人、重大税收违法案件当事人名单、政府采购严重违法失信行为记录名单。</w:t>
      </w:r>
    </w:p>
    <w:p w14:paraId="6180BACB">
      <w:pPr>
        <w:pStyle w:val="2"/>
        <w:spacing w:before="78" w:beforeLines="25" w:after="78" w:afterLines="25" w:line="560" w:lineRule="exact"/>
        <w:ind w:firstLine="598" w:firstLineChars="18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注：“信用中国”、“中国政府采购网”以及“深圳市政府采购监管网”为供应商信用信息的查询渠道。</w:t>
      </w:r>
    </w:p>
    <w:p w14:paraId="3956ACDF">
      <w:pPr>
        <w:pStyle w:val="2"/>
        <w:spacing w:before="78" w:beforeLines="25" w:after="78" w:afterLines="25" w:line="560" w:lineRule="exact"/>
        <w:ind w:left="0" w:leftChars="0" w:firstLine="0" w:firstLineChars="0"/>
        <w:rPr>
          <w:rStyle w:val="11"/>
          <w:rFonts w:hint="default" w:ascii="黑体" w:hAnsi="黑体" w:eastAsia="黑体" w:cs="黑体"/>
          <w:b w:val="0"/>
          <w:bCs/>
          <w:kern w:val="0"/>
          <w:sz w:val="32"/>
          <w:szCs w:val="32"/>
          <w:shd w:val="clear" w:color="auto" w:fill="FFFFFF"/>
          <w:lang w:val="en-US" w:eastAsia="zh-CN" w:bidi="ar-SA"/>
        </w:rPr>
      </w:pPr>
      <w:r>
        <w:rPr>
          <w:rStyle w:val="11"/>
          <w:rFonts w:hint="eastAsia" w:ascii="黑体" w:hAnsi="黑体" w:eastAsia="黑体" w:cs="黑体"/>
          <w:b w:val="0"/>
          <w:bCs/>
          <w:kern w:val="0"/>
          <w:sz w:val="32"/>
          <w:szCs w:val="32"/>
          <w:shd w:val="clear" w:color="auto" w:fill="FFFFFF"/>
          <w:lang w:val="en-US" w:eastAsia="zh-CN" w:bidi="ar-SA"/>
        </w:rPr>
        <w:t>四、</w:t>
      </w:r>
      <w:r>
        <w:rPr>
          <w:rStyle w:val="11"/>
          <w:rFonts w:hint="default" w:ascii="黑体" w:hAnsi="黑体" w:eastAsia="黑体" w:cs="黑体"/>
          <w:b w:val="0"/>
          <w:bCs/>
          <w:kern w:val="0"/>
          <w:sz w:val="32"/>
          <w:szCs w:val="32"/>
          <w:shd w:val="clear" w:color="auto" w:fill="FFFFFF"/>
          <w:lang w:val="en-US" w:eastAsia="zh-CN" w:bidi="ar-SA"/>
        </w:rPr>
        <w:t>采购项目需要落实的政府采购政策：</w:t>
      </w:r>
    </w:p>
    <w:p w14:paraId="7B4EE1DB">
      <w:pPr>
        <w:pStyle w:val="2"/>
        <w:spacing w:before="78" w:beforeLines="25" w:after="78" w:afterLines="25" w:line="560" w:lineRule="exact"/>
        <w:ind w:firstLine="640" w:firstLineChars="200"/>
        <w:rPr>
          <w:rStyle w:val="11"/>
          <w:rFonts w:hint="eastAsia" w:ascii="方正小标宋_GBK" w:hAnsi="方正小标宋_GBK" w:eastAsia="方正小标宋_GBK" w:cs="方正小标宋_GBK"/>
          <w:b w:val="0"/>
          <w:bCs/>
          <w:color w:val="000000"/>
          <w:kern w:val="0"/>
          <w:sz w:val="44"/>
          <w:szCs w:val="44"/>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r>
        <w:rPr>
          <w:rStyle w:val="11"/>
          <w:rFonts w:hint="eastAsia" w:ascii="方正小标宋_GBK" w:hAnsi="方正小标宋_GBK" w:eastAsia="方正小标宋_GBK" w:cs="方正小标宋_GBK"/>
          <w:b w:val="0"/>
          <w:bCs/>
          <w:color w:val="000000"/>
          <w:kern w:val="0"/>
          <w:sz w:val="44"/>
          <w:szCs w:val="44"/>
          <w:shd w:val="clear" w:color="auto" w:fill="FFFFFF"/>
          <w:lang w:bidi="ar"/>
        </w:rPr>
        <w:br w:type="page"/>
      </w:r>
    </w:p>
    <w:p w14:paraId="60D0D3CC">
      <w:pPr>
        <w:widowControl/>
        <w:shd w:val="clear" w:color="auto" w:fill="FFFFFF"/>
        <w:spacing w:line="50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DkzM2ZkMmM0YjhhZTk4NjkzNWEyMTMyYWUxNjQifQ=="/>
  </w:docVars>
  <w:rsids>
    <w:rsidRoot w:val="00000000"/>
    <w:rsid w:val="0B6619D8"/>
    <w:rsid w:val="0DEB627B"/>
    <w:rsid w:val="0EC55DA2"/>
    <w:rsid w:val="1CC60FBA"/>
    <w:rsid w:val="2561450D"/>
    <w:rsid w:val="29DE4767"/>
    <w:rsid w:val="2BAFAD49"/>
    <w:rsid w:val="3EEA9152"/>
    <w:rsid w:val="47816BCF"/>
    <w:rsid w:val="47BDD7D2"/>
    <w:rsid w:val="4C4A4534"/>
    <w:rsid w:val="55F784BF"/>
    <w:rsid w:val="61EE0ECB"/>
    <w:rsid w:val="62713960"/>
    <w:rsid w:val="62D10E17"/>
    <w:rsid w:val="67FFDC82"/>
    <w:rsid w:val="68D908EC"/>
    <w:rsid w:val="6F7767B6"/>
    <w:rsid w:val="6FFF9381"/>
    <w:rsid w:val="7B9570EC"/>
    <w:rsid w:val="7BFF1032"/>
    <w:rsid w:val="7CFE7366"/>
    <w:rsid w:val="7D732FDD"/>
    <w:rsid w:val="7EB780ED"/>
    <w:rsid w:val="7FAE0DB2"/>
    <w:rsid w:val="7FB76FBA"/>
    <w:rsid w:val="7FD59435"/>
    <w:rsid w:val="B7F7B87A"/>
    <w:rsid w:val="BEF7C1D9"/>
    <w:rsid w:val="BFFB9D0A"/>
    <w:rsid w:val="CD7D7AA0"/>
    <w:rsid w:val="CFFFB890"/>
    <w:rsid w:val="DB3D422C"/>
    <w:rsid w:val="E77E5643"/>
    <w:rsid w:val="E7BF94F8"/>
    <w:rsid w:val="F12372E3"/>
    <w:rsid w:val="F5B3A6E2"/>
    <w:rsid w:val="F5FF807D"/>
    <w:rsid w:val="F97637FC"/>
    <w:rsid w:val="F98F8501"/>
    <w:rsid w:val="FB5B5FCD"/>
    <w:rsid w:val="FBFD3788"/>
    <w:rsid w:val="FC9A8F2E"/>
    <w:rsid w:val="FDE9E16A"/>
    <w:rsid w:val="FDFF3A9D"/>
    <w:rsid w:val="FFFF1F68"/>
    <w:rsid w:val="FFFF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tLeast"/>
      <w:outlineLvl w:val="0"/>
    </w:pPr>
    <w:rPr>
      <w:rFonts w:eastAsia="方正小标宋简体"/>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Body Text"/>
    <w:basedOn w:val="1"/>
    <w:next w:val="1"/>
    <w:qFormat/>
    <w:uiPriority w:val="0"/>
    <w:pPr>
      <w:autoSpaceDE w:val="0"/>
      <w:autoSpaceDN w:val="0"/>
      <w:jc w:val="left"/>
    </w:pPr>
    <w:rPr>
      <w:rFonts w:ascii="仿宋" w:hAnsi="仿宋" w:eastAsia="仿宋" w:cs="仿宋"/>
      <w:kern w:val="0"/>
      <w:lang w:val="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0"/>
    <w:pPr>
      <w:spacing w:before="240" w:after="60"/>
      <w:jc w:val="center"/>
      <w:outlineLvl w:val="0"/>
    </w:pPr>
    <w:rPr>
      <w:rFonts w:ascii="Arial" w:hAnsi="Arial" w:eastAsia="隶书" w:cs="Arial"/>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41"/>
    <w:basedOn w:val="10"/>
    <w:qFormat/>
    <w:uiPriority w:val="0"/>
    <w:rPr>
      <w:rFonts w:hint="eastAsia" w:ascii="宋体" w:hAnsi="宋体" w:eastAsia="宋体" w:cs="宋体"/>
      <w:b/>
      <w:color w:val="000000"/>
      <w:sz w:val="18"/>
      <w:szCs w:val="18"/>
      <w:u w:val="none"/>
    </w:rPr>
  </w:style>
  <w:style w:type="character" w:customStyle="1" w:styleId="13">
    <w:name w:val="font51"/>
    <w:basedOn w:val="10"/>
    <w:qFormat/>
    <w:uiPriority w:val="0"/>
    <w:rPr>
      <w:rFonts w:ascii="Arial" w:hAnsi="Arial" w:cs="Arial"/>
      <w:b/>
      <w:color w:val="000000"/>
      <w:sz w:val="18"/>
      <w:szCs w:val="18"/>
      <w:u w:val="none"/>
    </w:rPr>
  </w:style>
  <w:style w:type="character" w:customStyle="1" w:styleId="14">
    <w:name w:val="font21"/>
    <w:basedOn w:val="10"/>
    <w:qFormat/>
    <w:uiPriority w:val="0"/>
    <w:rPr>
      <w:rFonts w:hint="eastAsia" w:ascii="宋体" w:hAnsi="宋体" w:eastAsia="宋体" w:cs="宋体"/>
      <w:b/>
      <w:color w:val="000000"/>
      <w:sz w:val="16"/>
      <w:szCs w:val="16"/>
      <w:u w:val="none"/>
    </w:rPr>
  </w:style>
  <w:style w:type="character" w:customStyle="1" w:styleId="15">
    <w:name w:val="font31"/>
    <w:basedOn w:val="10"/>
    <w:qFormat/>
    <w:uiPriority w:val="0"/>
    <w:rPr>
      <w:rFonts w:hint="default" w:ascii="Arial" w:hAnsi="Arial" w:cs="Arial"/>
      <w:b/>
      <w:color w:val="000000"/>
      <w:sz w:val="16"/>
      <w:szCs w:val="16"/>
      <w:u w:val="none"/>
    </w:rPr>
  </w:style>
  <w:style w:type="character" w:customStyle="1" w:styleId="16">
    <w:name w:val="font11"/>
    <w:basedOn w:val="10"/>
    <w:qFormat/>
    <w:uiPriority w:val="0"/>
    <w:rPr>
      <w:rFonts w:ascii="宋体" w:hAnsi="宋体" w:eastAsia="宋体" w:cs="宋体"/>
      <w:b/>
      <w:color w:val="000000"/>
      <w:sz w:val="16"/>
      <w:szCs w:val="16"/>
      <w:u w:val="none"/>
    </w:rPr>
  </w:style>
  <w:style w:type="character" w:customStyle="1" w:styleId="17">
    <w:name w:val="font01"/>
    <w:basedOn w:val="10"/>
    <w:qFormat/>
    <w:uiPriority w:val="0"/>
    <w:rPr>
      <w:rFonts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2095</Words>
  <Characters>2224</Characters>
  <Lines>0</Lines>
  <Paragraphs>0</Paragraphs>
  <TotalTime>0</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2022-11-10T06:00:00Z</dcterms:created>
  <dc:creator>52242</dc:creator>
  <cp:lastModifiedBy>心情哇哇的好</cp:lastModifiedBy>
  <dcterms:modified xsi:type="dcterms:W3CDTF">2025-07-12T09:17:13Z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C26E8664E5B145BBAF3F216DA8A9D86F</vt:lpwstr>
  </property>
  <property fmtid="{D5CDD505-2E9C-101B-9397-08002B2CF9AE}" pid="4" name="KSOTemplateDocerSaveRecord">
    <vt:lpwstr>eyJoZGlkIjoiNjkyOGRiMTdjNzU1ZDRiZTYwNDkxMGM3NTZhN2Q4OTgiLCJ1c2VySWQiOiI0MDE3NTIyMDAifQ==</vt:lpwstr>
  </property>
</Properties>
</file>