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both"/>
        <w:rPr>
          <w:rFonts w:ascii="Calibri" w:eastAsia="宋体" w:hAnsi="Calibri"/>
          <w:kern w:val="2"/>
          <w:sz w:val="21"/>
          <w:szCs w:val="22"/>
          <w:lang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招标文件信息</w:t>
      </w:r>
    </w:p>
    <w:p>
      <w:pPr>
        <w:keepNext w:val="0"/>
        <w:keepLines w:val="0"/>
        <w:pageBreakBefore w:val="0"/>
        <w:widowControl w:val="0"/>
        <w:kinsoku/>
        <w:wordWrap/>
        <w:overflowPunct/>
        <w:topLinePunct w:val="0"/>
        <w:autoSpaceDE/>
        <w:autoSpaceDN/>
        <w:bidi w:val="0"/>
        <w:adjustRightInd/>
        <w:snapToGrid/>
        <w:spacing w:line="600" w:lineRule="auto"/>
        <w:ind w:firstLine="600" w:firstLineChars="200"/>
        <w:jc w:val="left"/>
        <w:textAlignment w:val="auto"/>
        <w:rPr>
          <w:rFonts w:ascii="宋体" w:eastAsia="宋体" w:hAnsi="宋体" w:cs="宋体"/>
          <w:sz w:val="30"/>
          <w:szCs w:val="30"/>
          <w:lang w:eastAsia="zh-CN"/>
        </w:rPr>
      </w:pPr>
      <w:r>
        <w:rPr>
          <w:rFonts w:ascii="宋体" w:eastAsia="宋体" w:hAnsi="宋体" w:cs="宋体" w:hint="eastAsia"/>
          <w:b/>
          <w:bCs/>
          <w:sz w:val="30"/>
          <w:szCs w:val="30"/>
          <w:lang w:eastAsia="zh-CN"/>
        </w:rPr>
        <w:t>项目编号：</w:t>
      </w:r>
      <w:bookmarkStart w:id="1" w:name="OLE_LINK29"/>
      <w:r>
        <w:rPr>
          <w:rFonts w:ascii="宋体" w:eastAsia="宋体" w:hAnsi="宋体" w:cs="宋体" w:hint="eastAsia"/>
          <w:sz w:val="30"/>
          <w:szCs w:val="30"/>
          <w:lang w:eastAsia="zh-CN"/>
        </w:rPr>
        <w:t>LHZXCG-2025-00007</w:t>
      </w:r>
      <w:bookmarkEnd w:id="1"/>
    </w:p>
    <w:p>
      <w:pPr>
        <w:keepNext w:val="0"/>
        <w:keepLines w:val="0"/>
        <w:pageBreakBefore w:val="0"/>
        <w:widowControl w:val="0"/>
        <w:kinsoku/>
        <w:wordWrap/>
        <w:overflowPunct/>
        <w:topLinePunct w:val="0"/>
        <w:autoSpaceDE/>
        <w:autoSpaceDN/>
        <w:bidi w:val="0"/>
        <w:adjustRightInd/>
        <w:snapToGrid/>
        <w:spacing w:line="600" w:lineRule="auto"/>
        <w:ind w:firstLine="600" w:firstLineChars="200"/>
        <w:jc w:val="left"/>
        <w:textAlignment w:val="auto"/>
        <w:rPr>
          <w:rFonts w:ascii="宋体" w:eastAsia="宋体" w:hAnsi="宋体" w:cs="宋体" w:hint="eastAsia"/>
          <w:sz w:val="30"/>
          <w:szCs w:val="30"/>
          <w:lang w:eastAsia="zh-CN"/>
        </w:rPr>
      </w:pPr>
      <w:r>
        <w:rPr>
          <w:rFonts w:ascii="宋体" w:eastAsia="宋体" w:hAnsi="宋体" w:cs="宋体" w:hint="eastAsia"/>
          <w:b/>
          <w:bCs/>
          <w:sz w:val="30"/>
          <w:szCs w:val="30"/>
          <w:lang w:eastAsia="zh-CN"/>
        </w:rPr>
        <w:t>项目名称：</w:t>
      </w:r>
      <w:r>
        <w:rPr>
          <w:rFonts w:ascii="宋体" w:eastAsia="宋体" w:hAnsi="宋体" w:cs="宋体" w:hint="eastAsia"/>
          <w:sz w:val="30"/>
          <w:szCs w:val="30"/>
          <w:lang w:eastAsia="zh-CN"/>
        </w:rPr>
        <w:tab/>
      </w:r>
      <w:bookmarkStart w:id="2" w:name="OLE_LINK28"/>
      <w:r>
        <w:rPr>
          <w:rFonts w:ascii="宋体" w:eastAsia="宋体" w:hAnsi="宋体" w:cs="宋体" w:hint="eastAsia"/>
          <w:sz w:val="30"/>
          <w:szCs w:val="30"/>
          <w:lang w:eastAsia="zh-CN"/>
        </w:rPr>
        <w:t>清水河街道社区综合服务体公建民营项目</w:t>
      </w:r>
      <w:bookmarkEnd w:id="2"/>
    </w:p>
    <w:p>
      <w:pPr>
        <w:keepNext w:val="0"/>
        <w:keepLines w:val="0"/>
        <w:pageBreakBefore w:val="0"/>
        <w:widowControl w:val="0"/>
        <w:kinsoku/>
        <w:wordWrap/>
        <w:overflowPunct/>
        <w:topLinePunct w:val="0"/>
        <w:autoSpaceDE/>
        <w:autoSpaceDN/>
        <w:bidi w:val="0"/>
        <w:adjustRightInd/>
        <w:snapToGrid/>
        <w:spacing w:line="600" w:lineRule="auto"/>
        <w:ind w:firstLine="600" w:firstLineChars="200"/>
        <w:jc w:val="left"/>
        <w:textAlignment w:val="auto"/>
        <w:rPr>
          <w:rFonts w:ascii="宋体" w:eastAsia="宋体" w:hAnsi="宋体" w:cs="宋体" w:hint="eastAsia"/>
          <w:sz w:val="30"/>
          <w:szCs w:val="30"/>
          <w:lang w:eastAsia="zh-CN"/>
        </w:rPr>
      </w:pPr>
      <w:r>
        <w:rPr>
          <w:rFonts w:ascii="宋体" w:eastAsia="宋体" w:hAnsi="宋体" w:cs="宋体" w:hint="eastAsia"/>
          <w:b/>
          <w:bCs/>
          <w:sz w:val="30"/>
          <w:szCs w:val="30"/>
          <w:lang w:eastAsia="zh-CN"/>
        </w:rPr>
        <w:t>包    号：</w:t>
      </w:r>
      <w:r>
        <w:rPr>
          <w:rFonts w:ascii="宋体" w:eastAsia="宋体" w:hAnsi="宋体" w:cs="宋体" w:hint="eastAsia"/>
          <w:sz w:val="30"/>
          <w:szCs w:val="30"/>
          <w:lang w:eastAsia="zh-CN"/>
        </w:rPr>
        <w:tab/>
      </w:r>
      <w:r>
        <w:rPr>
          <w:rFonts w:ascii="宋体" w:eastAsia="宋体" w:hAnsi="宋体" w:cs="宋体" w:hint="eastAsia"/>
          <w:sz w:val="30"/>
          <w:szCs w:val="30"/>
          <w:lang w:eastAsia="zh-CN"/>
        </w:rPr>
        <w:t>A</w:t>
      </w:r>
    </w:p>
    <w:p>
      <w:pPr>
        <w:keepNext w:val="0"/>
        <w:keepLines w:val="0"/>
        <w:pageBreakBefore w:val="0"/>
        <w:widowControl w:val="0"/>
        <w:kinsoku/>
        <w:wordWrap/>
        <w:overflowPunct/>
        <w:topLinePunct w:val="0"/>
        <w:autoSpaceDE/>
        <w:autoSpaceDN/>
        <w:bidi w:val="0"/>
        <w:adjustRightInd/>
        <w:snapToGrid/>
        <w:spacing w:line="600" w:lineRule="auto"/>
        <w:ind w:firstLine="600" w:firstLineChars="200"/>
        <w:jc w:val="left"/>
        <w:textAlignment w:val="auto"/>
        <w:rPr>
          <w:rFonts w:ascii="宋体" w:eastAsia="宋体" w:hAnsi="宋体" w:cs="宋体" w:hint="eastAsia"/>
          <w:sz w:val="30"/>
          <w:szCs w:val="30"/>
          <w:lang w:eastAsia="zh-CN"/>
        </w:rPr>
      </w:pPr>
      <w:r>
        <w:rPr>
          <w:rFonts w:ascii="宋体" w:eastAsia="宋体" w:hAnsi="宋体" w:cs="宋体" w:hint="eastAsia"/>
          <w:b/>
          <w:bCs/>
          <w:sz w:val="30"/>
          <w:szCs w:val="30"/>
          <w:lang w:eastAsia="zh-CN"/>
        </w:rPr>
        <w:t>项目类型：</w:t>
      </w:r>
      <w:r>
        <w:rPr>
          <w:rFonts w:ascii="宋体" w:eastAsia="宋体" w:hAnsi="宋体" w:cs="宋体" w:hint="eastAsia"/>
          <w:sz w:val="30"/>
          <w:szCs w:val="30"/>
          <w:lang w:eastAsia="zh-CN"/>
        </w:rPr>
        <w:tab/>
      </w:r>
      <w:r>
        <w:rPr>
          <w:rFonts w:ascii="宋体" w:eastAsia="宋体" w:hAnsi="宋体" w:cs="宋体" w:hint="eastAsia"/>
          <w:sz w:val="30"/>
          <w:szCs w:val="30"/>
          <w:lang w:eastAsia="zh-CN"/>
        </w:rPr>
        <w:t>服务类</w:t>
      </w:r>
    </w:p>
    <w:p>
      <w:pPr>
        <w:keepNext w:val="0"/>
        <w:keepLines w:val="0"/>
        <w:pageBreakBefore w:val="0"/>
        <w:widowControl w:val="0"/>
        <w:kinsoku/>
        <w:wordWrap/>
        <w:overflowPunct/>
        <w:topLinePunct w:val="0"/>
        <w:autoSpaceDE/>
        <w:autoSpaceDN/>
        <w:bidi w:val="0"/>
        <w:adjustRightInd/>
        <w:snapToGrid/>
        <w:spacing w:line="600" w:lineRule="auto"/>
        <w:ind w:firstLine="600" w:firstLineChars="200"/>
        <w:jc w:val="left"/>
        <w:textAlignment w:val="auto"/>
        <w:rPr>
          <w:rFonts w:ascii="宋体" w:eastAsia="宋体" w:hAnsi="宋体" w:cs="宋体" w:hint="eastAsia"/>
          <w:sz w:val="30"/>
          <w:szCs w:val="30"/>
          <w:lang w:eastAsia="zh-CN"/>
        </w:rPr>
      </w:pPr>
      <w:r>
        <w:rPr>
          <w:rFonts w:ascii="宋体" w:eastAsia="宋体" w:hAnsi="宋体" w:cs="宋体" w:hint="eastAsia"/>
          <w:b/>
          <w:bCs/>
          <w:sz w:val="30"/>
          <w:szCs w:val="30"/>
          <w:lang w:eastAsia="zh-CN"/>
        </w:rPr>
        <w:t>采购方式：</w:t>
      </w:r>
      <w:r>
        <w:rPr>
          <w:rFonts w:ascii="宋体" w:eastAsia="宋体" w:hAnsi="宋体" w:cs="宋体" w:hint="eastAsia"/>
          <w:sz w:val="30"/>
          <w:szCs w:val="30"/>
          <w:lang w:eastAsia="zh-CN"/>
        </w:rPr>
        <w:tab/>
      </w:r>
      <w:r>
        <w:rPr>
          <w:rFonts w:ascii="宋体" w:eastAsia="宋体" w:hAnsi="宋体" w:cs="宋体" w:hint="eastAsia"/>
          <w:sz w:val="30"/>
          <w:szCs w:val="30"/>
          <w:lang w:eastAsia="zh-CN"/>
        </w:rPr>
        <w:t>公开招标</w:t>
      </w:r>
    </w:p>
    <w:p>
      <w:pPr>
        <w:keepNext w:val="0"/>
        <w:keepLines w:val="0"/>
        <w:pageBreakBefore w:val="0"/>
        <w:widowControl w:val="0"/>
        <w:kinsoku/>
        <w:wordWrap/>
        <w:overflowPunct/>
        <w:topLinePunct w:val="0"/>
        <w:autoSpaceDE/>
        <w:autoSpaceDN/>
        <w:bidi w:val="0"/>
        <w:adjustRightInd/>
        <w:snapToGrid/>
        <w:spacing w:line="600" w:lineRule="auto"/>
        <w:ind w:firstLine="600" w:firstLineChars="200"/>
        <w:jc w:val="left"/>
        <w:textAlignment w:val="auto"/>
        <w:rPr>
          <w:rFonts w:ascii="宋体" w:eastAsia="宋体" w:hAnsi="宋体" w:cs="宋体" w:hint="eastAsia"/>
          <w:sz w:val="30"/>
          <w:szCs w:val="30"/>
          <w:lang w:eastAsia="zh-CN"/>
        </w:rPr>
      </w:pPr>
      <w:r>
        <w:rPr>
          <w:rFonts w:ascii="宋体" w:eastAsia="宋体" w:hAnsi="宋体" w:cs="宋体" w:hint="eastAsia"/>
          <w:b/>
          <w:bCs/>
          <w:sz w:val="30"/>
          <w:szCs w:val="30"/>
          <w:lang w:eastAsia="zh-CN"/>
        </w:rPr>
        <w:t>货币类型：</w:t>
      </w:r>
      <w:r>
        <w:rPr>
          <w:rFonts w:ascii="宋体" w:eastAsia="宋体" w:hAnsi="宋体" w:cs="宋体" w:hint="eastAsia"/>
          <w:sz w:val="30"/>
          <w:szCs w:val="30"/>
          <w:lang w:eastAsia="zh-CN"/>
        </w:rPr>
        <w:tab/>
      </w:r>
      <w:r>
        <w:rPr>
          <w:rFonts w:ascii="宋体" w:eastAsia="宋体" w:hAnsi="宋体" w:cs="宋体" w:hint="eastAsia"/>
          <w:sz w:val="30"/>
          <w:szCs w:val="30"/>
          <w:lang w:eastAsia="zh-CN"/>
        </w:rPr>
        <w:t>人民币</w:t>
      </w:r>
    </w:p>
    <w:p>
      <w:pPr>
        <w:keepNext w:val="0"/>
        <w:keepLines w:val="0"/>
        <w:pageBreakBefore w:val="0"/>
        <w:widowControl w:val="0"/>
        <w:kinsoku/>
        <w:wordWrap/>
        <w:overflowPunct/>
        <w:topLinePunct w:val="0"/>
        <w:autoSpaceDE/>
        <w:autoSpaceDN/>
        <w:bidi w:val="0"/>
        <w:adjustRightInd/>
        <w:snapToGrid/>
        <w:spacing w:line="600" w:lineRule="auto"/>
        <w:ind w:firstLine="600" w:firstLineChars="200"/>
        <w:jc w:val="left"/>
        <w:textAlignment w:val="auto"/>
        <w:rPr>
          <w:rFonts w:ascii="宋体" w:eastAsia="宋体" w:hAnsi="宋体" w:cs="宋体"/>
          <w:sz w:val="30"/>
          <w:szCs w:val="30"/>
          <w:lang w:eastAsia="zh-CN"/>
        </w:rPr>
      </w:pPr>
      <w:r>
        <w:rPr>
          <w:rFonts w:ascii="宋体" w:eastAsia="宋体" w:hAnsi="宋体" w:cs="宋体" w:hint="eastAsia"/>
          <w:b/>
          <w:bCs/>
          <w:sz w:val="30"/>
          <w:szCs w:val="30"/>
          <w:lang w:eastAsia="zh-CN"/>
        </w:rPr>
        <w:t>评标方法：</w:t>
      </w:r>
      <w:r>
        <w:rPr>
          <w:rFonts w:ascii="宋体" w:eastAsia="宋体" w:hAnsi="宋体" w:cs="宋体" w:hint="eastAsia"/>
          <w:sz w:val="30"/>
          <w:szCs w:val="30"/>
          <w:lang w:eastAsia="zh-CN"/>
        </w:rPr>
        <w:tab/>
      </w:r>
      <w:r>
        <w:rPr>
          <w:rFonts w:ascii="宋体" w:eastAsia="宋体" w:hAnsi="宋体" w:cs="宋体" w:hint="eastAsia"/>
          <w:sz w:val="30"/>
          <w:szCs w:val="30"/>
          <w:lang w:eastAsia="zh-CN"/>
        </w:rPr>
        <w:t>综合评分法</w:t>
      </w:r>
    </w:p>
    <w:p>
      <w:pPr>
        <w:widowControl w:val="0"/>
        <w:tabs>
          <w:tab w:val="left" w:pos="2790"/>
        </w:tabs>
        <w:snapToGrid w:val="0"/>
        <w:spacing w:line="440" w:lineRule="exact"/>
        <w:jc w:val="left"/>
        <w:rPr>
          <w:rFonts w:ascii="宋体" w:eastAsia="宋体" w:hAnsi="宋体"/>
          <w:kern w:val="2"/>
          <w:sz w:val="30"/>
          <w:szCs w:val="3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62"/>
        <w:gridCol w:w="818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center"/>
              <w:rPr>
                <w:rFonts w:ascii="宋体" w:eastAsia="宋体" w:hAnsi="宋体" w:cs="宋体"/>
                <w:kern w:val="2"/>
                <w:lang w:eastAsia="zh-CN"/>
              </w:rPr>
            </w:pPr>
            <w:r>
              <w:rPr>
                <w:rFonts w:ascii="宋体" w:eastAsia="宋体" w:hAnsi="宋体"/>
                <w:kern w:val="2"/>
                <w:lang w:eastAsia="zh-CN"/>
              </w:rPr>
              <w:t>1</w:t>
            </w:r>
          </w:p>
        </w:tc>
        <w:tc>
          <w:tcPr>
            <w:tcW w:w="8669"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kern w:val="2"/>
                <w:lang w:eastAsia="zh-CN"/>
              </w:rPr>
            </w:pPr>
            <w:bookmarkStart w:id="3" w:name="OLE_LINK30"/>
            <w:r>
              <w:rPr>
                <w:rFonts w:ascii="宋体" w:eastAsia="宋体" w:hAnsi="宋体" w:cs="宋体"/>
                <w:lang w:eastAsia="zh-CN"/>
              </w:rPr>
              <w:t>投标人不</w:t>
            </w:r>
            <w:r>
              <w:rPr>
                <w:rFonts w:ascii="宋体" w:eastAsia="宋体" w:hAnsi="宋体" w:cs="宋体" w:hint="eastAsia"/>
                <w:lang w:eastAsia="zh-CN"/>
              </w:rPr>
              <w:t>符合</w:t>
            </w:r>
            <w:r>
              <w:rPr>
                <w:rFonts w:ascii="宋体" w:eastAsia="宋体" w:hAnsi="宋体" w:cs="宋体"/>
                <w:lang w:eastAsia="zh-CN"/>
              </w:rPr>
              <w:t>资格要求，或未提交相应的资格证明资料（详见招标公告</w:t>
            </w:r>
            <w:r>
              <w:rPr>
                <w:rFonts w:ascii="宋体" w:eastAsia="宋体" w:hAnsi="宋体" w:hint="eastAsia"/>
                <w:kern w:val="2"/>
                <w:lang w:eastAsia="zh-CN"/>
              </w:rPr>
              <w:t>投标人资格要求，即申请人的资格要求</w:t>
            </w:r>
            <w:r>
              <w:rPr>
                <w:rFonts w:ascii="宋体" w:eastAsia="宋体" w:hAnsi="宋体" w:cs="宋体"/>
                <w:lang w:eastAsia="zh-CN"/>
              </w:rPr>
              <w:t>）。</w:t>
            </w:r>
            <w:bookmarkEnd w:id="3"/>
          </w:p>
        </w:tc>
      </w:tr>
    </w:tbl>
    <w:p>
      <w:pPr>
        <w:widowControl w:val="0"/>
        <w:tabs>
          <w:tab w:val="left" w:pos="2790"/>
        </w:tabs>
        <w:snapToGrid w:val="0"/>
        <w:jc w:val="center"/>
        <w:rPr>
          <w:rFonts w:ascii="黑体" w:eastAsia="黑体" w:hAnsi="黑体"/>
          <w:kern w:val="2"/>
          <w:sz w:val="40"/>
          <w:szCs w:val="4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9"/>
        <w:gridCol w:w="818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90"/>
          <w:jc w:val="center"/>
        </w:trPr>
        <w:tc>
          <w:tcPr>
            <w:tcW w:w="777"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465"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lang w:eastAsia="zh-CN"/>
              </w:rPr>
              <w:t>1</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r>
              <w:rPr>
                <w:rFonts w:ascii="宋体" w:eastAsia="宋体" w:hAnsi="宋体" w:cs="宋体" w:hint="eastAsia"/>
                <w:lang w:eastAsia="zh-CN"/>
              </w:rPr>
              <w:t>投标人承诺每平方米投入的功能优化资金金额报价低于3000元/</w:t>
            </w:r>
            <w:r>
              <w:rPr>
                <w:rFonts w:ascii="宋体" w:eastAsia="宋体" w:hAnsi="宋体" w:cs="宋体" w:hint="eastAsia"/>
                <w:lang w:eastAsia="zh-CN"/>
              </w:rPr>
              <w:t>平方米的</w:t>
            </w:r>
            <w:r>
              <w:rPr>
                <w:rFonts w:ascii="宋体" w:eastAsia="宋体" w:hAnsi="宋体" w:cs="宋体" w:hint="eastAsia"/>
                <w:lang w:eastAsia="zh-CN"/>
              </w:rPr>
              <w:t>；投标人提供的政策性</w:t>
            </w:r>
            <w:r>
              <w:rPr>
                <w:rFonts w:ascii="宋体" w:eastAsia="宋体" w:hAnsi="宋体" w:cs="宋体" w:hint="eastAsia"/>
                <w:lang w:eastAsia="zh-CN"/>
              </w:rPr>
              <w:t>养老</w:t>
            </w:r>
            <w:r>
              <w:rPr>
                <w:rFonts w:ascii="宋体" w:eastAsia="宋体" w:hAnsi="宋体" w:cs="宋体" w:hint="eastAsia"/>
                <w:lang w:eastAsia="zh-CN"/>
              </w:rPr>
              <w:t>床位数量低于</w:t>
            </w:r>
            <w:r>
              <w:rPr>
                <w:rFonts w:ascii="宋体" w:eastAsia="宋体" w:hAnsi="宋体" w:cs="宋体" w:hint="eastAsia"/>
                <w:lang w:eastAsia="zh-CN"/>
              </w:rPr>
              <w:t>10</w:t>
            </w:r>
            <w:r>
              <w:rPr>
                <w:rFonts w:ascii="宋体" w:eastAsia="宋体" w:hAnsi="宋体" w:cs="宋体" w:hint="eastAsia"/>
                <w:lang w:eastAsia="zh-CN"/>
              </w:rPr>
              <w:t>张的；</w:t>
            </w:r>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2</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hint="eastAsia"/>
                <w:lang w:eastAsia="zh-CN"/>
              </w:rPr>
            </w:pPr>
            <w:r>
              <w:rPr>
                <w:rFonts w:ascii="宋体" w:eastAsia="宋体" w:hAnsi="宋体" w:cs="宋体" w:hint="eastAsia"/>
                <w:lang w:eastAsia="zh-CN"/>
              </w:rPr>
              <w:t>未按招标文件规定的形式和金额提交投标保证金的；</w:t>
            </w:r>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3</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r>
              <w:rPr>
                <w:rFonts w:ascii="宋体" w:eastAsia="宋体" w:hAnsi="宋体" w:cs="宋体" w:hint="eastAsia"/>
                <w:lang w:eastAsia="zh-CN"/>
              </w:rPr>
              <w:t>将一个包或一个标段的内容拆开投标；</w:t>
            </w:r>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4</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r>
              <w:rPr>
                <w:rFonts w:ascii="宋体" w:eastAsia="宋体" w:hAnsi="宋体" w:cs="宋体" w:hint="eastAsia"/>
                <w:lang w:eastAsia="zh-CN"/>
              </w:rPr>
              <w:t>对同一项目投标时，提供两套以上的投标方案（招标文件另有规定的除外）；</w:t>
            </w:r>
          </w:p>
        </w:tc>
      </w:tr>
      <w:tr>
        <w:tblPrEx>
          <w:tblW w:w="5000" w:type="pct"/>
          <w:jc w:val="center"/>
          <w:tblLayout w:type="fixed"/>
          <w:tblCellMar>
            <w:top w:w="20" w:type="dxa"/>
            <w:left w:w="108" w:type="dxa"/>
            <w:bottom w:w="20" w:type="dxa"/>
            <w:right w:w="108" w:type="dxa"/>
          </w:tblCellMar>
        </w:tblPrEx>
        <w:trPr>
          <w:trHeight w:val="90"/>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5</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r>
              <w:rPr>
                <w:rFonts w:ascii="宋体" w:eastAsia="宋体" w:hAnsi="宋体" w:cs="宋体" w:hint="eastAsia"/>
                <w:lang w:eastAsia="zh-CN"/>
              </w:rPr>
              <w:t>所投货物、服务在技术、商务等方面没有实质性满足招标文件要求的（是否实质性满足招标文件要求，由评审委员会根据《实质性条款响应情况表》做出评判）；</w:t>
            </w:r>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6</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bookmarkStart w:id="4" w:name="OLE_LINK33"/>
            <w:r>
              <w:rPr>
                <w:rFonts w:ascii="宋体" w:eastAsia="宋体" w:hAnsi="宋体" w:cs="宋体" w:hint="eastAsia"/>
                <w:lang w:eastAsia="zh-CN"/>
              </w:rPr>
              <w:t>未按招标文件所提供的样式填写《投标函》；未按招标文件所提供的《投标及履约承诺函》进行承诺；未按招标文件对投标文件组成的要求提供投标文件；</w:t>
            </w:r>
            <w:bookmarkEnd w:id="4"/>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7</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r>
              <w:rPr>
                <w:rFonts w:ascii="宋体" w:eastAsia="宋体" w:hAnsi="宋体" w:cs="宋体" w:hint="eastAsia"/>
                <w:lang w:eastAsia="zh-CN"/>
              </w:rPr>
              <w:t>采购标的/服务清单/报价等任意一类有缺漏项或响应不全，或者对招标文件规定的项目需求内容或者需求数量进行修改，评审委员会判定投标响应不满足采购需求；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8</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r>
              <w:rPr>
                <w:rFonts w:ascii="宋体" w:eastAsia="宋体" w:hAnsi="宋体" w:cs="宋体" w:hint="eastAsia"/>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9</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r>
              <w:rPr>
                <w:rFonts w:ascii="宋体" w:eastAsia="宋体" w:hAnsi="宋体" w:cs="宋体" w:hint="eastAsia"/>
                <w:lang w:eastAsia="zh-CN"/>
              </w:rPr>
              <w:t>投标文件电子文档</w:t>
            </w:r>
            <w:r>
              <w:rPr>
                <w:rFonts w:ascii="宋体" w:eastAsia="宋体" w:hAnsi="宋体" w:cs="宋体" w:hint="eastAsia"/>
                <w:lang w:eastAsia="zh-CN"/>
              </w:rPr>
              <w:t>携</w:t>
            </w:r>
            <w:r>
              <w:rPr>
                <w:rFonts w:ascii="宋体" w:eastAsia="宋体" w:hAnsi="宋体" w:cs="宋体" w:hint="eastAsia"/>
                <w:lang w:eastAsia="zh-CN"/>
              </w:rPr>
              <w:t>带病毒</w:t>
            </w:r>
            <w:r>
              <w:rPr>
                <w:rFonts w:ascii="宋体" w:eastAsia="宋体" w:hAnsi="宋体" w:cs="宋体" w:hint="eastAsia"/>
                <w:lang w:eastAsia="zh-CN"/>
              </w:rPr>
              <w:t>的</w:t>
            </w:r>
            <w:r>
              <w:rPr>
                <w:rFonts w:ascii="宋体" w:eastAsia="宋体" w:hAnsi="宋体" w:cs="宋体" w:hint="eastAsia"/>
                <w:lang w:eastAsia="zh-CN"/>
              </w:rPr>
              <w:t>；</w:t>
            </w:r>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10</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r>
              <w:rPr>
                <w:rFonts w:ascii="宋体" w:eastAsia="宋体" w:hAnsi="宋体" w:cs="宋体" w:hint="eastAsia"/>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11</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r>
              <w:rPr>
                <w:rFonts w:ascii="宋体" w:eastAsia="宋体" w:hAnsi="宋体" w:cs="宋体" w:hint="eastAsia"/>
                <w:lang w:eastAsia="zh-CN"/>
              </w:rPr>
              <w:t>经核实，不同投标人的投标文件由同一电子设备编制、加密或者上传的；</w:t>
            </w:r>
          </w:p>
        </w:tc>
      </w:tr>
      <w:tr>
        <w:tblPrEx>
          <w:tblW w:w="5000" w:type="pct"/>
          <w:jc w:val="center"/>
          <w:tblLayout w:type="fixed"/>
          <w:tblCellMar>
            <w:top w:w="20" w:type="dxa"/>
            <w:left w:w="108" w:type="dxa"/>
            <w:bottom w:w="20" w:type="dxa"/>
            <w:right w:w="108" w:type="dxa"/>
          </w:tblCellMar>
        </w:tblPrEx>
        <w:trPr>
          <w:jc w:val="center"/>
        </w:trPr>
        <w:tc>
          <w:tcPr>
            <w:tcW w:w="777"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90" w:lineRule="exact"/>
              <w:jc w:val="center"/>
              <w:rPr>
                <w:rFonts w:ascii="宋体" w:eastAsia="宋体" w:hAnsi="宋体" w:cs="宋体"/>
                <w:lang w:eastAsia="zh-CN"/>
              </w:rPr>
            </w:pPr>
            <w:r>
              <w:rPr>
                <w:rFonts w:ascii="宋体" w:eastAsia="宋体" w:hAnsi="宋体" w:cs="宋体" w:hint="eastAsia"/>
                <w:lang w:eastAsia="zh-CN"/>
              </w:rPr>
              <w:t>12</w:t>
            </w:r>
          </w:p>
        </w:tc>
        <w:tc>
          <w:tcPr>
            <w:tcW w:w="8465" w:type="dxa"/>
            <w:tcBorders>
              <w:top w:val="single" w:sz="8" w:space="0" w:color="000000"/>
              <w:left w:val="single" w:sz="8" w:space="0" w:color="000000"/>
              <w:bottom w:val="single" w:sz="8" w:space="0" w:color="000000"/>
              <w:right w:val="single" w:sz="8" w:space="0" w:color="000000"/>
            </w:tcBorders>
            <w:noWrap w:val="0"/>
            <w:vAlign w:val="top"/>
          </w:tcPr>
          <w:p>
            <w:pPr>
              <w:widowControl w:val="0"/>
              <w:spacing w:line="290" w:lineRule="exact"/>
              <w:jc w:val="both"/>
              <w:rPr>
                <w:rFonts w:ascii="宋体" w:eastAsia="宋体" w:hAnsi="宋体" w:cs="宋体"/>
                <w:lang w:eastAsia="zh-CN"/>
              </w:rPr>
            </w:pPr>
            <w:bookmarkStart w:id="5" w:name="OLE_LINK34"/>
            <w:r>
              <w:rPr>
                <w:rFonts w:ascii="宋体" w:eastAsia="宋体" w:hAnsi="宋体" w:cs="宋体" w:hint="eastAsia"/>
                <w:lang w:eastAsia="zh-CN"/>
              </w:rPr>
              <w:t>违反</w:t>
            </w:r>
            <w:r>
              <w:rPr>
                <w:rFonts w:ascii="宋体" w:eastAsia="宋体" w:hAnsi="宋体" w:cs="宋体" w:hint="eastAsia"/>
                <w:lang w:eastAsia="zh-CN"/>
              </w:rPr>
              <w:t>法律、法规、规章、规范性文件规定的其他情形。</w:t>
            </w:r>
            <w:bookmarkEnd w:id="5"/>
          </w:p>
        </w:tc>
      </w:tr>
    </w:tbl>
    <w:p>
      <w:pPr>
        <w:keepNext w:val="0"/>
        <w:keepLines w:val="0"/>
        <w:pageBreakBefore w:val="0"/>
        <w:widowControl/>
        <w:kinsoku/>
        <w:wordWrap/>
        <w:overflowPunct/>
        <w:topLinePunct w:val="0"/>
        <w:autoSpaceDE/>
        <w:autoSpaceDN/>
        <w:bidi w:val="0"/>
        <w:adjustRightInd/>
        <w:snapToGrid/>
        <w:spacing w:before="100" w:beforeAutospacing="1" w:afterAutospacing="1"/>
        <w:jc w:val="center"/>
        <w:textAlignment w:val="auto"/>
        <w:outlineLvl w:val="9"/>
        <w:rPr>
          <w:rFonts w:ascii="黑体" w:eastAsia="黑体" w:hAnsi="黑体" w:hint="eastAsia"/>
          <w:kern w:val="2"/>
          <w:sz w:val="40"/>
          <w:szCs w:val="40"/>
          <w:lang w:eastAsia="zh-CN"/>
        </w:rPr>
      </w:pPr>
    </w:p>
    <w:p>
      <w:pPr>
        <w:keepNext w:val="0"/>
        <w:keepLines w:val="0"/>
        <w:pageBreakBefore w:val="0"/>
        <w:widowControl/>
        <w:kinsoku/>
        <w:wordWrap/>
        <w:overflowPunct/>
        <w:topLinePunct w:val="0"/>
        <w:autoSpaceDE/>
        <w:autoSpaceDN/>
        <w:bidi w:val="0"/>
        <w:adjustRightInd/>
        <w:snapToGrid/>
        <w:spacing w:before="100" w:beforeAutospacing="1" w:afterAutospacing="1"/>
        <w:jc w:val="center"/>
        <w:textAlignment w:val="auto"/>
        <w:outlineLvl w:val="0"/>
        <w:rPr>
          <w:rFonts w:ascii="黑体" w:eastAsia="黑体" w:hAnsi="宋体"/>
          <w:kern w:val="2"/>
          <w:sz w:val="40"/>
          <w:szCs w:val="40"/>
          <w:lang w:eastAsia="zh-CN"/>
        </w:rPr>
      </w:pPr>
      <w:r>
        <w:rPr>
          <w:rFonts w:ascii="黑体" w:eastAsia="黑体" w:hAnsi="黑体" w:hint="eastAsia"/>
          <w:kern w:val="2"/>
          <w:sz w:val="40"/>
          <w:szCs w:val="40"/>
          <w:lang w:eastAsia="zh-CN"/>
        </w:rPr>
        <w:br w:type="page"/>
      </w:r>
      <w:r>
        <w:rPr>
          <w:rFonts w:ascii="黑体" w:eastAsia="黑体" w:hAnsi="黑体" w:hint="eastAsia"/>
          <w:kern w:val="2"/>
          <w:sz w:val="40"/>
          <w:szCs w:val="40"/>
          <w:lang w:eastAsia="zh-CN"/>
        </w:rPr>
        <w:t>评标信息</w:t>
      </w:r>
    </w:p>
    <w:p>
      <w:pPr>
        <w:widowControl w:val="0"/>
        <w:jc w:val="both"/>
        <w:rPr>
          <w:rFonts w:ascii="Calibri" w:eastAsia="宋体" w:hAnsi="Calibri"/>
          <w:kern w:val="2"/>
          <w:sz w:val="21"/>
          <w:szCs w:val="22"/>
          <w:lang w:eastAsia="zh-CN"/>
        </w:rPr>
      </w:pPr>
      <w:r>
        <w:rPr>
          <w:rFonts w:ascii="宋体" w:eastAsia="宋体" w:hAnsi="宋体"/>
          <w:b/>
          <w:bCs/>
          <w:kern w:val="2"/>
          <w:sz w:val="21"/>
          <w:szCs w:val="22"/>
          <w:lang w:eastAsia="zh-CN"/>
        </w:rPr>
        <w:t>评标方法：综合评分法</w:t>
      </w:r>
    </w:p>
    <w:p>
      <w:pPr>
        <w:pageBreakBefore w:val="0"/>
        <w:widowControl w:val="0"/>
        <w:kinsoku/>
        <w:overflowPunct/>
        <w:topLinePunct w:val="0"/>
        <w:bidi w:val="0"/>
        <w:spacing w:line="440" w:lineRule="exact"/>
        <w:jc w:val="both"/>
        <w:rPr>
          <w:rFonts w:ascii="宋体" w:eastAsia="宋体" w:hAnsi="宋体" w:cs="宋体" w:hint="eastAsia"/>
          <w:kern w:val="2"/>
          <w:lang w:eastAsia="zh-CN"/>
        </w:rPr>
      </w:pPr>
      <w:r>
        <w:rPr>
          <w:rFonts w:ascii="宋体" w:eastAsia="宋体" w:hAnsi="宋体" w:cs="宋体" w:hint="eastAsia"/>
          <w:kern w:val="2"/>
          <w:lang w:eastAsia="zh-CN"/>
        </w:rPr>
        <w:t>综合评分法，是指投标文件满足招标文件全部实质性要求，且按照招标文件规定的各项因素进行综合评审，评标总得分排名前列的投标人为中标候选人的评标方法。</w:t>
      </w:r>
    </w:p>
    <w:p>
      <w:pPr>
        <w:pageBreakBefore w:val="0"/>
        <w:widowControl w:val="0"/>
        <w:kinsoku/>
        <w:overflowPunct/>
        <w:topLinePunct w:val="0"/>
        <w:bidi w:val="0"/>
        <w:spacing w:line="440" w:lineRule="exact"/>
        <w:jc w:val="both"/>
        <w:rPr>
          <w:rFonts w:ascii="宋体" w:eastAsia="宋体" w:hAnsi="宋体" w:cs="宋体" w:hint="eastAsia"/>
          <w:kern w:val="2"/>
          <w:lang w:eastAsia="zh-CN"/>
        </w:rPr>
      </w:pPr>
      <w:r>
        <w:rPr>
          <w:rFonts w:ascii="宋体" w:eastAsia="宋体" w:hAnsi="宋体" w:cs="宋体" w:hint="eastAsia"/>
          <w:kern w:val="2"/>
          <w:lang w:eastAsia="zh-CN"/>
        </w:rPr>
        <w:t>价格分计算方法：</w:t>
      </w:r>
    </w:p>
    <w:p>
      <w:pPr>
        <w:pageBreakBefore w:val="0"/>
        <w:widowControl w:val="0"/>
        <w:kinsoku/>
        <w:overflowPunct/>
        <w:topLinePunct w:val="0"/>
        <w:bidi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采用</w:t>
      </w:r>
      <w:r>
        <w:rPr>
          <w:rFonts w:ascii="宋体" w:eastAsia="宋体" w:hAnsi="宋体" w:cs="宋体" w:hint="eastAsia"/>
          <w:b/>
          <w:bCs/>
          <w:kern w:val="2"/>
          <w:lang w:eastAsia="zh-CN"/>
        </w:rPr>
        <w:t>高价优先法</w:t>
      </w:r>
      <w:r>
        <w:rPr>
          <w:rFonts w:ascii="宋体" w:eastAsia="宋体" w:hAnsi="宋体" w:cs="宋体" w:hint="eastAsia"/>
          <w:kern w:val="2"/>
          <w:lang w:eastAsia="zh-CN"/>
        </w:rPr>
        <w:t>计算，即满足招标文件要求且投标价格最高的投标报价为评标基准价，其价格分为满分。其他投标人的价格分统一按照下列公式计算：</w:t>
      </w:r>
    </w:p>
    <w:p>
      <w:pPr>
        <w:pageBreakBefore w:val="0"/>
        <w:widowControl w:val="0"/>
        <w:kinsoku/>
        <w:overflowPunct/>
        <w:topLinePunct w:val="0"/>
        <w:bidi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投标报价得分=(投标报价／评标基准价)×100分；</w:t>
      </w:r>
    </w:p>
    <w:p>
      <w:pPr>
        <w:pageBreakBefore w:val="0"/>
        <w:widowControl w:val="0"/>
        <w:kinsoku/>
        <w:overflowPunct/>
        <w:topLinePunct w:val="0"/>
        <w:bidi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评标总得分＝F1×A1＋F2×A2＋……＋Fn×An </w:t>
      </w:r>
    </w:p>
    <w:p>
      <w:pPr>
        <w:pageBreakBefore w:val="0"/>
        <w:widowControl w:val="0"/>
        <w:kinsoku/>
        <w:overflowPunct/>
        <w:topLinePunct w:val="0"/>
        <w:bidi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F1、F2……Fn分别为各项评审因素的得分； </w:t>
      </w:r>
    </w:p>
    <w:p>
      <w:pPr>
        <w:pageBreakBefore w:val="0"/>
        <w:widowControl w:val="0"/>
        <w:kinsoku/>
        <w:overflowPunct/>
        <w:topLinePunct w:val="0"/>
        <w:bidi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A1、A2、……An 分别为各项评审因素所占的权重(A1＋A2＋……＋An＝1)。 </w:t>
      </w:r>
    </w:p>
    <w:p>
      <w:pPr>
        <w:pageBreakBefore w:val="0"/>
        <w:widowControl w:val="0"/>
        <w:kinsoku/>
        <w:overflowPunct/>
        <w:topLinePunct w:val="0"/>
        <w:bidi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评标过程中，不得去掉报价中的最高报价和最低报价。 </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
      <w:tblGrid>
        <w:gridCol w:w="439"/>
        <w:gridCol w:w="752"/>
        <w:gridCol w:w="1348"/>
        <w:gridCol w:w="1209"/>
        <w:gridCol w:w="5220"/>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tblCellSpacing w:w="0" w:type="dxa"/>
          <w:jc w:val="center"/>
        </w:trPr>
        <w:tc>
          <w:tcPr>
            <w:tcW w:w="415" w:type="dxa"/>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序号</w:t>
            </w:r>
          </w:p>
        </w:tc>
        <w:tc>
          <w:tcPr>
            <w:tcW w:w="3128" w:type="dxa"/>
            <w:gridSpan w:val="3"/>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评分项</w:t>
            </w:r>
          </w:p>
        </w:tc>
        <w:tc>
          <w:tcPr>
            <w:tcW w:w="4934" w:type="dxa"/>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权重(%)</w:t>
            </w:r>
          </w:p>
        </w:tc>
      </w:tr>
      <w:tr>
        <w:tblPrEx>
          <w:tblW w:w="5000" w:type="pct"/>
          <w:jc w:val="center"/>
          <w:tblCellSpacing w:w="0" w:type="dxa"/>
          <w:tblLayout w:type="fixed"/>
          <w:tblCellMar>
            <w:top w:w="20" w:type="dxa"/>
            <w:left w:w="108" w:type="dxa"/>
            <w:bottom w:w="20" w:type="dxa"/>
            <w:right w:w="108" w:type="dxa"/>
          </w:tblCellMar>
        </w:tblPrEx>
        <w:trPr>
          <w:trHeight w:val="279"/>
          <w:tblCellSpacing w:w="0" w:type="dxa"/>
          <w:jc w:val="center"/>
        </w:trPr>
        <w:tc>
          <w:tcPr>
            <w:tcW w:w="415" w:type="dxa"/>
            <w:vMerge w:val="restart"/>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1</w:t>
            </w:r>
          </w:p>
        </w:tc>
        <w:tc>
          <w:tcPr>
            <w:tcW w:w="3128" w:type="dxa"/>
            <w:gridSpan w:val="3"/>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价格</w:t>
            </w:r>
          </w:p>
        </w:tc>
        <w:tc>
          <w:tcPr>
            <w:tcW w:w="4934" w:type="dxa"/>
            <w:noWrap w:val="0"/>
            <w:vAlign w:val="top"/>
          </w:tcPr>
          <w:p>
            <w:pPr>
              <w:pageBreakBefore w:val="0"/>
              <w:widowControl w:val="0"/>
              <w:kinsoku/>
              <w:wordWrap w:val="0"/>
              <w:overflowPunct/>
              <w:topLinePunct w:val="0"/>
              <w:bidi w:val="0"/>
              <w:spacing w:line="240" w:lineRule="auto"/>
              <w:jc w:val="center"/>
              <w:rPr>
                <w:rFonts w:ascii="宋体" w:eastAsia="宋体" w:hAnsi="宋体" w:cs="宋体"/>
                <w:b/>
                <w:bCs/>
                <w:kern w:val="2"/>
                <w:lang w:eastAsia="zh-CN"/>
              </w:rPr>
            </w:pPr>
            <w:r>
              <w:rPr>
                <w:rFonts w:ascii="宋体" w:eastAsia="宋体" w:hAnsi="宋体" w:cs="宋体" w:hint="eastAsia"/>
                <w:b/>
                <w:bCs/>
                <w:kern w:val="2"/>
                <w:lang w:eastAsia="zh-CN"/>
              </w:rPr>
              <w:t>10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shd w:val="clear" w:color="auto" w:fill="auto"/>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p>
        </w:tc>
        <w:tc>
          <w:tcPr>
            <w:tcW w:w="711" w:type="dxa"/>
            <w:shd w:val="clear" w:color="auto" w:fill="DCE6F2"/>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1274" w:type="dxa"/>
            <w:shd w:val="clear" w:color="auto" w:fill="DCE6F2"/>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评分因素</w:t>
            </w:r>
          </w:p>
        </w:tc>
        <w:tc>
          <w:tcPr>
            <w:tcW w:w="1143" w:type="dxa"/>
            <w:shd w:val="clear" w:color="auto" w:fill="DCE6F2"/>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权重(%)</w:t>
            </w:r>
          </w:p>
        </w:tc>
        <w:tc>
          <w:tcPr>
            <w:tcW w:w="4934" w:type="dxa"/>
            <w:shd w:val="clear" w:color="auto" w:fill="DCE6F2"/>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rHeight w:val="1221"/>
          <w:tblCellSpacing w:w="0" w:type="dxa"/>
          <w:jc w:val="center"/>
        </w:trPr>
        <w:tc>
          <w:tcPr>
            <w:tcW w:w="415" w:type="dxa"/>
            <w:vMerge/>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p>
        </w:tc>
        <w:tc>
          <w:tcPr>
            <w:tcW w:w="711" w:type="dxa"/>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1274" w:type="dxa"/>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bookmarkStart w:id="6" w:name="OLE_LINK41"/>
            <w:r>
              <w:rPr>
                <w:rFonts w:ascii="宋体" w:eastAsia="宋体" w:hAnsi="宋体" w:cs="宋体" w:hint="eastAsia"/>
                <w:kern w:val="2"/>
                <w:lang w:eastAsia="zh-CN"/>
              </w:rPr>
              <w:t>每平方米投入功能优化资金金额</w:t>
            </w:r>
            <w:bookmarkEnd w:id="6"/>
          </w:p>
        </w:tc>
        <w:tc>
          <w:tcPr>
            <w:tcW w:w="1143" w:type="dxa"/>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10</w:t>
            </w:r>
          </w:p>
        </w:tc>
        <w:tc>
          <w:tcPr>
            <w:tcW w:w="4934" w:type="dxa"/>
            <w:noWrap w:val="0"/>
            <w:vAlign w:val="top"/>
          </w:tcPr>
          <w:p>
            <w:pPr>
              <w:pageBreakBefore w:val="0"/>
              <w:widowControl w:val="0"/>
              <w:kinsoku/>
              <w:wordWrap w:val="0"/>
              <w:overflowPunct/>
              <w:topLinePunct w:val="0"/>
              <w:bidi w:val="0"/>
              <w:spacing w:line="240" w:lineRule="auto"/>
              <w:jc w:val="left"/>
              <w:rPr>
                <w:rFonts w:ascii="宋体" w:eastAsia="宋体" w:hAnsi="宋体" w:cs="宋体" w:hint="eastAsia"/>
                <w:b/>
                <w:bCs/>
                <w:kern w:val="2"/>
                <w:lang w:eastAsia="zh-CN"/>
              </w:rPr>
            </w:pPr>
            <w:r>
              <w:rPr>
                <w:rFonts w:ascii="宋体" w:eastAsia="宋体" w:hAnsi="宋体" w:cs="宋体" w:hint="eastAsia"/>
                <w:b/>
                <w:bCs/>
                <w:kern w:val="2"/>
                <w:lang w:eastAsia="zh-CN"/>
              </w:rPr>
              <w:t>（一）评审内容</w:t>
            </w:r>
          </w:p>
          <w:p>
            <w:pPr>
              <w:pageBreakBefore w:val="0"/>
              <w:widowControl w:val="0"/>
              <w:kinsoku/>
              <w:wordWrap w:val="0"/>
              <w:overflowPunct/>
              <w:topLinePunct w:val="0"/>
              <w:bidi w:val="0"/>
              <w:spacing w:line="240" w:lineRule="auto"/>
              <w:jc w:val="both"/>
              <w:rPr>
                <w:rFonts w:ascii="宋体" w:eastAsia="宋体" w:hAnsi="宋体" w:cs="宋体" w:hint="eastAsia"/>
                <w:kern w:val="2"/>
                <w:lang w:eastAsia="zh-CN"/>
              </w:rPr>
            </w:pPr>
            <w:r>
              <w:rPr>
                <w:rFonts w:ascii="宋体" w:eastAsia="宋体" w:hAnsi="宋体" w:cs="宋体" w:hint="eastAsia"/>
                <w:kern w:val="2"/>
                <w:lang w:eastAsia="zh-CN"/>
              </w:rPr>
              <w:t>评审委员会对投标人</w:t>
            </w:r>
            <w:r>
              <w:rPr>
                <w:rFonts w:ascii="宋体" w:eastAsia="宋体" w:hAnsi="宋体" w:cs="宋体" w:hint="eastAsia"/>
                <w:kern w:val="2"/>
                <w:lang w:eastAsia="zh-CN"/>
              </w:rPr>
              <w:t>承诺的每平方米投入功能优化资金金额</w:t>
            </w:r>
            <w:r>
              <w:rPr>
                <w:rFonts w:ascii="宋体" w:eastAsia="宋体" w:hAnsi="宋体" w:cs="宋体" w:hint="eastAsia"/>
                <w:kern w:val="2"/>
                <w:lang w:eastAsia="zh-CN"/>
              </w:rPr>
              <w:t>进行评审，</w:t>
            </w:r>
            <w:r>
              <w:rPr>
                <w:rFonts w:ascii="宋体" w:eastAsia="宋体" w:hAnsi="宋体" w:cs="宋体" w:hint="eastAsia"/>
                <w:kern w:val="2"/>
                <w:lang w:eastAsia="zh-CN"/>
              </w:rPr>
              <w:t>每平方米投入功能优化资金金额</w:t>
            </w:r>
            <w:r>
              <w:rPr>
                <w:rFonts w:ascii="宋体" w:eastAsia="宋体" w:hAnsi="宋体" w:cs="宋体" w:hint="eastAsia"/>
                <w:kern w:val="2"/>
                <w:lang w:eastAsia="zh-CN"/>
              </w:rPr>
              <w:t>报价不得低于3000元/</w:t>
            </w:r>
            <w:r>
              <w:rPr>
                <w:rFonts w:ascii="宋体" w:eastAsia="宋体" w:hAnsi="宋体" w:cs="宋体" w:hint="eastAsia"/>
                <w:b/>
                <w:bCs/>
                <w:kern w:val="2"/>
                <w:lang w:eastAsia="zh-CN"/>
              </w:rPr>
              <w:t>平方米</w:t>
            </w:r>
            <w:r>
              <w:rPr>
                <w:rFonts w:ascii="宋体" w:eastAsia="宋体" w:hAnsi="宋体" w:cs="宋体" w:hint="eastAsia"/>
                <w:kern w:val="2"/>
                <w:lang w:eastAsia="zh-CN"/>
              </w:rPr>
              <w:t>。</w:t>
            </w:r>
          </w:p>
          <w:p>
            <w:pPr>
              <w:pageBreakBefore w:val="0"/>
              <w:widowControl w:val="0"/>
              <w:kinsoku/>
              <w:wordWrap w:val="0"/>
              <w:overflowPunct/>
              <w:topLinePunct w:val="0"/>
              <w:bidi w:val="0"/>
              <w:spacing w:line="240" w:lineRule="auto"/>
              <w:jc w:val="left"/>
              <w:rPr>
                <w:rFonts w:ascii="宋体" w:eastAsia="宋体" w:hAnsi="宋体" w:cs="宋体" w:hint="eastAsia"/>
                <w:kern w:val="2"/>
                <w:lang w:eastAsia="zh-CN"/>
              </w:rPr>
            </w:pPr>
            <w:r>
              <w:rPr>
                <w:rFonts w:ascii="宋体" w:eastAsia="宋体" w:hAnsi="宋体" w:cs="宋体" w:hint="eastAsia"/>
                <w:b/>
                <w:bCs/>
                <w:kern w:val="2"/>
                <w:lang w:eastAsia="zh-CN"/>
              </w:rPr>
              <w:t>（</w:t>
            </w:r>
            <w:r>
              <w:rPr>
                <w:rFonts w:ascii="宋体" w:eastAsia="宋体" w:hAnsi="宋体" w:cs="宋体" w:hint="eastAsia"/>
                <w:b/>
                <w:bCs/>
                <w:kern w:val="2"/>
                <w:lang w:eastAsia="zh-CN"/>
              </w:rPr>
              <w:t>二</w:t>
            </w:r>
            <w:r>
              <w:rPr>
                <w:rFonts w:ascii="宋体" w:eastAsia="宋体" w:hAnsi="宋体" w:cs="宋体" w:hint="eastAsia"/>
                <w:b/>
                <w:bCs/>
                <w:kern w:val="2"/>
                <w:lang w:eastAsia="zh-CN"/>
              </w:rPr>
              <w:t>）</w:t>
            </w:r>
            <w:r>
              <w:rPr>
                <w:rFonts w:ascii="宋体" w:eastAsia="宋体" w:hAnsi="宋体" w:cs="宋体" w:hint="eastAsia"/>
                <w:b/>
                <w:bCs/>
                <w:kern w:val="2"/>
                <w:lang w:eastAsia="zh-CN"/>
              </w:rPr>
              <w:t>评审标准</w:t>
            </w:r>
          </w:p>
          <w:p>
            <w:pPr>
              <w:pageBreakBefore w:val="0"/>
              <w:widowControl w:val="0"/>
              <w:kinsoku/>
              <w:wordWrap w:val="0"/>
              <w:overflowPunct/>
              <w:topLinePunct w:val="0"/>
              <w:bidi w:val="0"/>
              <w:spacing w:line="240" w:lineRule="auto"/>
              <w:jc w:val="left"/>
              <w:rPr>
                <w:rFonts w:ascii="宋体" w:eastAsia="宋体" w:hAnsi="宋体" w:cs="宋体" w:hint="eastAsia"/>
                <w:kern w:val="2"/>
                <w:lang w:eastAsia="zh-CN"/>
              </w:rPr>
            </w:pPr>
            <w:r>
              <w:rPr>
                <w:rFonts w:ascii="宋体" w:eastAsia="宋体" w:hAnsi="宋体" w:cs="宋体" w:hint="eastAsia"/>
                <w:kern w:val="2"/>
                <w:lang w:eastAsia="zh-CN"/>
              </w:rPr>
              <w:t>采用高价优先法计算，即满足招标文件要求且投标价格最高的投标报价为评标基准价，其本项得分为10</w:t>
            </w:r>
            <w:r>
              <w:rPr>
                <w:rFonts w:ascii="宋体" w:eastAsia="宋体" w:hAnsi="宋体" w:cs="宋体" w:hint="eastAsia"/>
                <w:kern w:val="2"/>
                <w:lang w:eastAsia="zh-CN"/>
              </w:rPr>
              <w:t>0</w:t>
            </w:r>
            <w:r>
              <w:rPr>
                <w:rFonts w:ascii="宋体" w:eastAsia="宋体" w:hAnsi="宋体" w:cs="宋体" w:hint="eastAsia"/>
                <w:kern w:val="2"/>
                <w:lang w:eastAsia="zh-CN"/>
              </w:rPr>
              <w:t>分。其他投标人的价格分统一按照下列公式计算：</w:t>
            </w:r>
          </w:p>
          <w:p>
            <w:pPr>
              <w:pageBreakBefore w:val="0"/>
              <w:widowControl w:val="0"/>
              <w:kinsoku/>
              <w:wordWrap w:val="0"/>
              <w:overflowPunct/>
              <w:topLinePunct w:val="0"/>
              <w:bidi w:val="0"/>
              <w:spacing w:line="240" w:lineRule="auto"/>
              <w:jc w:val="left"/>
              <w:rPr>
                <w:rFonts w:ascii="宋体" w:eastAsia="宋体" w:hAnsi="宋体" w:cs="宋体" w:hint="eastAsia"/>
                <w:kern w:val="2"/>
                <w:lang w:eastAsia="zh-CN"/>
              </w:rPr>
            </w:pPr>
            <w:r>
              <w:rPr>
                <w:rFonts w:ascii="宋体" w:eastAsia="宋体" w:hAnsi="宋体" w:cs="宋体" w:hint="eastAsia"/>
                <w:kern w:val="2"/>
                <w:lang w:eastAsia="zh-CN"/>
              </w:rPr>
              <w:t>投标报价得分=(投标报价／评标基准价)×10</w:t>
            </w:r>
            <w:r>
              <w:rPr>
                <w:rFonts w:ascii="宋体" w:eastAsia="宋体" w:hAnsi="宋体" w:cs="宋体" w:hint="eastAsia"/>
                <w:kern w:val="2"/>
                <w:lang w:eastAsia="zh-CN"/>
              </w:rPr>
              <w:t>0</w:t>
            </w:r>
            <w:r>
              <w:rPr>
                <w:rFonts w:ascii="宋体" w:eastAsia="宋体" w:hAnsi="宋体" w:cs="宋体" w:hint="eastAsia"/>
                <w:kern w:val="2"/>
                <w:lang w:eastAsia="zh-CN"/>
              </w:rPr>
              <w:t>分。</w:t>
            </w:r>
          </w:p>
          <w:p>
            <w:pPr>
              <w:pageBreakBefore w:val="0"/>
              <w:widowControl w:val="0"/>
              <w:kinsoku/>
              <w:overflowPunct/>
              <w:topLinePunct w:val="0"/>
              <w:bidi w:val="0"/>
              <w:spacing w:before="51" w:line="240" w:lineRule="auto"/>
              <w:jc w:val="left"/>
              <w:rPr>
                <w:rFonts w:ascii="宋体" w:eastAsia="宋体" w:hAnsi="宋体" w:cs="宋体" w:hint="eastAsia"/>
                <w:b/>
                <w:kern w:val="2"/>
                <w:lang w:eastAsia="zh-CN"/>
              </w:rPr>
            </w:pPr>
            <w:r>
              <w:rPr>
                <w:rFonts w:ascii="宋体" w:eastAsia="宋体" w:hAnsi="宋体" w:cs="宋体" w:hint="eastAsia"/>
                <w:b/>
                <w:kern w:val="2"/>
              </w:rPr>
              <w:t>（</w:t>
            </w:r>
            <w:r>
              <w:rPr>
                <w:rFonts w:ascii="宋体" w:eastAsia="宋体" w:hAnsi="宋体" w:cs="宋体" w:hint="eastAsia"/>
                <w:b/>
                <w:kern w:val="2"/>
                <w:lang w:eastAsia="zh-CN"/>
              </w:rPr>
              <w:t>三</w:t>
            </w:r>
            <w:r>
              <w:rPr>
                <w:rFonts w:ascii="宋体" w:eastAsia="宋体" w:hAnsi="宋体" w:cs="宋体" w:hint="eastAsia"/>
                <w:b/>
                <w:kern w:val="2"/>
              </w:rPr>
              <w:t>）</w:t>
            </w:r>
            <w:r>
              <w:rPr>
                <w:rFonts w:ascii="宋体" w:eastAsia="宋体" w:hAnsi="宋体" w:cs="宋体" w:hint="eastAsia"/>
                <w:b/>
                <w:kern w:val="2"/>
                <w:lang w:eastAsia="zh-CN"/>
              </w:rPr>
              <w:t>证明</w:t>
            </w:r>
            <w:r>
              <w:rPr>
                <w:rFonts w:ascii="宋体" w:eastAsia="宋体" w:hAnsi="宋体" w:cs="宋体" w:hint="eastAsia"/>
                <w:b/>
                <w:kern w:val="2"/>
                <w:lang w:eastAsia="zh-CN"/>
              </w:rPr>
              <w:t>文件</w:t>
            </w:r>
          </w:p>
          <w:p>
            <w:pPr>
              <w:pageBreakBefore w:val="0"/>
              <w:widowControl w:val="0"/>
              <w:kinsoku/>
              <w:wordWrap w:val="0"/>
              <w:overflowPunct/>
              <w:topLinePunct w:val="0"/>
              <w:bidi w:val="0"/>
              <w:spacing w:line="240" w:lineRule="auto"/>
              <w:jc w:val="left"/>
              <w:rPr>
                <w:rFonts w:ascii="宋体" w:eastAsia="宋体" w:hAnsi="宋体" w:cs="宋体" w:hint="eastAsia"/>
                <w:kern w:val="2"/>
                <w:lang w:eastAsia="zh-CN"/>
              </w:rPr>
            </w:pPr>
            <w:r>
              <w:rPr>
                <w:rFonts w:ascii="宋体" w:eastAsia="宋体" w:hAnsi="宋体" w:cs="宋体" w:hint="eastAsia"/>
                <w:kern w:val="2"/>
                <w:lang w:eastAsia="zh-CN"/>
              </w:rPr>
              <w:t>投标人提供“第四章第4点项目报价表”。</w:t>
            </w:r>
          </w:p>
          <w:p>
            <w:pPr>
              <w:pageBreakBefore w:val="0"/>
              <w:widowControl w:val="0"/>
              <w:kinsoku/>
              <w:wordWrap w:val="0"/>
              <w:overflowPunct/>
              <w:topLinePunct w:val="0"/>
              <w:bidi w:val="0"/>
              <w:spacing w:line="240" w:lineRule="auto"/>
              <w:jc w:val="left"/>
              <w:rPr>
                <w:rFonts w:ascii="宋体" w:eastAsia="宋体" w:hAnsi="宋体" w:cs="宋体" w:hint="eastAsia"/>
                <w:kern w:val="2"/>
                <w:lang w:eastAsia="zh-CN"/>
              </w:rPr>
            </w:pPr>
            <w:bookmarkStart w:id="7" w:name="OLE_LINK18"/>
            <w:r>
              <w:rPr>
                <w:rFonts w:ascii="宋体" w:eastAsia="宋体" w:hAnsi="宋体" w:cs="宋体" w:hint="eastAsia"/>
                <w:kern w:val="2"/>
                <w:lang w:eastAsia="zh-CN"/>
              </w:rPr>
              <w:t>备注：</w:t>
            </w:r>
            <w:r>
              <w:rPr>
                <w:rFonts w:ascii="宋体" w:eastAsia="宋体" w:hAnsi="宋体" w:cs="宋体" w:hint="eastAsia"/>
                <w:kern w:val="2"/>
                <w:lang w:val="zh-CN" w:eastAsia="zh-CN"/>
              </w:rPr>
              <w:t>计分按照四舍五入的方法计算，保留小数点后两位。</w:t>
            </w:r>
            <w:bookmarkEnd w:id="7"/>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val="restart"/>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2</w:t>
            </w:r>
          </w:p>
        </w:tc>
        <w:tc>
          <w:tcPr>
            <w:tcW w:w="3128" w:type="dxa"/>
            <w:gridSpan w:val="3"/>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bookmarkStart w:id="8" w:name="OLE_LINK36"/>
            <w:r>
              <w:rPr>
                <w:rFonts w:ascii="宋体" w:eastAsia="宋体" w:hAnsi="宋体" w:cs="宋体" w:hint="eastAsia"/>
                <w:b/>
                <w:bCs/>
                <w:kern w:val="2"/>
                <w:lang w:eastAsia="zh-CN"/>
              </w:rPr>
              <w:t>技术部分</w:t>
            </w:r>
            <w:bookmarkEnd w:id="8"/>
          </w:p>
        </w:tc>
        <w:tc>
          <w:tcPr>
            <w:tcW w:w="4934" w:type="dxa"/>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43</w:t>
            </w:r>
          </w:p>
        </w:tc>
      </w:tr>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415" w:type="dxa"/>
            <w:vMerge/>
            <w:shd w:val="clear" w:color="auto" w:fill="E6EFFA"/>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1274" w:type="dxa"/>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评分因素</w:t>
            </w:r>
          </w:p>
        </w:tc>
        <w:tc>
          <w:tcPr>
            <w:tcW w:w="1143" w:type="dxa"/>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权重(%)</w:t>
            </w:r>
          </w:p>
        </w:tc>
        <w:tc>
          <w:tcPr>
            <w:tcW w:w="4934" w:type="dxa"/>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bookmarkStart w:id="9" w:name="OLE_LINK35" w:colFirst="4" w:colLast="4"/>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1274" w:type="dxa"/>
            <w:noWrap w:val="0"/>
            <w:vAlign w:val="center"/>
          </w:tcPr>
          <w:p>
            <w:pPr>
              <w:pageBreakBefore w:val="0"/>
              <w:widowControl w:val="0"/>
              <w:kinsoku/>
              <w:wordWrap w:val="0"/>
              <w:overflowPunct/>
              <w:topLinePunct w:val="0"/>
              <w:bidi w:val="0"/>
              <w:spacing w:beforeLines="0" w:afterLines="0" w:line="240" w:lineRule="auto"/>
              <w:ind w:firstLine="0" w:firstLineChars="0"/>
              <w:jc w:val="both"/>
              <w:rPr>
                <w:rFonts w:ascii="宋体" w:eastAsia="宋体" w:hAnsi="宋体" w:cs="宋体" w:hint="eastAsia"/>
                <w:lang w:eastAsia="zh-CN"/>
              </w:rPr>
            </w:pPr>
            <w:r>
              <w:rPr>
                <w:rFonts w:ascii="宋体" w:eastAsia="宋体" w:hAnsi="宋体" w:cs="宋体" w:hint="eastAsia"/>
                <w:lang w:eastAsia="zh-CN"/>
              </w:rPr>
              <w:t>街道</w:t>
            </w:r>
            <w:r>
              <w:rPr>
                <w:rFonts w:ascii="宋体" w:eastAsia="宋体" w:hAnsi="宋体" w:cs="宋体" w:hint="eastAsia"/>
              </w:rPr>
              <w:t>残疾人</w:t>
            </w:r>
            <w:r>
              <w:rPr>
                <w:rFonts w:ascii="宋体" w:eastAsia="宋体" w:hAnsi="宋体" w:cs="宋体" w:hint="eastAsia"/>
                <w:lang w:eastAsia="zh-CN"/>
              </w:rPr>
              <w:t>综合（职业）康复服务中心运营方案</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4934" w:type="dxa"/>
            <w:noWrap w:val="0"/>
            <w:vAlign w:val="top"/>
          </w:tcPr>
          <w:p>
            <w:pPr>
              <w:widowControl/>
              <w:numPr>
                <w:ilvl w:val="0"/>
                <w:numId w:val="0"/>
              </w:numPr>
              <w:wordWrap w:val="0"/>
              <w:spacing w:line="240" w:lineRule="auto"/>
              <w:ind w:left="0" w:firstLine="0"/>
              <w:jc w:val="left"/>
              <w:textAlignment w:val="top"/>
              <w:rPr>
                <w:rFonts w:ascii="宋体" w:eastAsia="宋体" w:hAnsi="宋体" w:cs="宋体" w:hint="eastAsia"/>
                <w:b/>
                <w:bCs/>
                <w:lang w:val="zh-CN" w:eastAsia="zh-CN"/>
              </w:rPr>
            </w:pPr>
            <w:r>
              <w:rPr>
                <w:rFonts w:ascii="宋体" w:eastAsia="宋体" w:hAnsi="宋体" w:cs="宋体" w:hint="eastAsia"/>
                <w:b/>
                <w:bCs/>
                <w:lang w:val="zh-CN" w:eastAsia="zh-CN"/>
              </w:rPr>
              <w:t>（一）</w:t>
            </w:r>
            <w:r>
              <w:rPr>
                <w:rFonts w:ascii="宋体" w:eastAsia="宋体" w:hAnsi="宋体" w:cs="宋体" w:hint="eastAsia"/>
                <w:b/>
                <w:bCs/>
                <w:lang w:val="zh-CN" w:eastAsia="zh-CN"/>
              </w:rPr>
              <w:t>评审内容</w:t>
            </w:r>
          </w:p>
          <w:p>
            <w:pPr>
              <w:widowControl/>
              <w:numPr>
                <w:ilvl w:val="0"/>
                <w:numId w:val="0"/>
              </w:numPr>
              <w:wordWrap w:val="0"/>
              <w:spacing w:line="240" w:lineRule="auto"/>
              <w:ind w:left="0" w:firstLine="0"/>
              <w:jc w:val="left"/>
              <w:textAlignment w:val="top"/>
              <w:rPr>
                <w:rFonts w:ascii="宋体" w:eastAsia="宋体" w:hAnsi="宋体" w:cs="宋体" w:hint="eastAsia"/>
                <w:lang w:val="zh-CN" w:eastAsia="zh-CN"/>
              </w:rPr>
            </w:pPr>
            <w:r>
              <w:rPr>
                <w:rFonts w:ascii="宋体" w:eastAsia="宋体" w:hAnsi="宋体" w:cs="宋体" w:hint="eastAsia"/>
                <w:lang w:eastAsia="zh-CN"/>
              </w:rPr>
              <w:t>根据</w:t>
            </w:r>
            <w:r>
              <w:rPr>
                <w:rFonts w:ascii="宋体" w:eastAsia="宋体" w:hAnsi="宋体" w:cs="宋体" w:hint="eastAsia"/>
                <w:lang w:val="zh-CN" w:eastAsia="zh-CN"/>
              </w:rPr>
              <w:t>投标人</w:t>
            </w:r>
            <w:r>
              <w:rPr>
                <w:rFonts w:ascii="宋体" w:eastAsia="宋体" w:hAnsi="宋体" w:cs="宋体" w:hint="eastAsia"/>
                <w:lang w:eastAsia="zh-CN"/>
              </w:rPr>
              <w:t>提供的街道</w:t>
            </w:r>
            <w:r>
              <w:rPr>
                <w:rFonts w:ascii="宋体" w:eastAsia="宋体" w:hAnsi="宋体" w:cs="宋体" w:hint="eastAsia"/>
              </w:rPr>
              <w:t>残疾人</w:t>
            </w:r>
            <w:r>
              <w:rPr>
                <w:rFonts w:ascii="宋体" w:eastAsia="宋体" w:hAnsi="宋体" w:cs="宋体" w:hint="eastAsia"/>
                <w:lang w:eastAsia="zh-CN"/>
              </w:rPr>
              <w:t>综合（职业）康复服务中心运营方案</w:t>
            </w:r>
            <w:r>
              <w:rPr>
                <w:rFonts w:ascii="宋体" w:eastAsia="宋体" w:hAnsi="宋体" w:cs="宋体" w:hint="eastAsia"/>
                <w:lang w:val="zh-CN" w:eastAsia="zh-CN"/>
              </w:rPr>
              <w:t>进行评分，</w:t>
            </w:r>
            <w:r>
              <w:rPr>
                <w:rFonts w:ascii="宋体" w:eastAsia="宋体" w:hAnsi="宋体" w:cs="宋体" w:hint="eastAsia"/>
                <w:lang w:eastAsia="zh-CN"/>
              </w:rPr>
              <w:t>方案应</w:t>
            </w:r>
            <w:r>
              <w:rPr>
                <w:rFonts w:ascii="宋体" w:eastAsia="宋体" w:hAnsi="宋体" w:cs="宋体" w:hint="eastAsia"/>
                <w:lang w:val="zh-CN" w:eastAsia="zh-CN"/>
              </w:rPr>
              <w:t>包含但不限于以下内容：</w:t>
            </w:r>
          </w:p>
          <w:p>
            <w:pPr>
              <w:widowControl/>
              <w:numPr>
                <w:ilvl w:val="0"/>
                <w:numId w:val="0"/>
              </w:numPr>
              <w:wordWrap w:val="0"/>
              <w:spacing w:line="240" w:lineRule="auto"/>
              <w:ind w:left="0" w:firstLine="0"/>
              <w:jc w:val="left"/>
              <w:textAlignment w:val="top"/>
              <w:rPr>
                <w:rFonts w:ascii="宋体" w:eastAsia="宋体" w:hAnsi="宋体" w:cs="宋体" w:hint="eastAsia"/>
                <w:lang w:val="zh-CN" w:eastAsia="zh-CN"/>
              </w:rPr>
            </w:pPr>
            <w:r>
              <w:rPr>
                <w:rFonts w:ascii="宋体" w:eastAsia="宋体" w:hAnsi="宋体" w:cs="宋体" w:hint="eastAsia"/>
                <w:lang w:val="zh-CN" w:eastAsia="zh-CN"/>
              </w:rPr>
              <w:t>1.</w:t>
            </w:r>
            <w:r>
              <w:rPr>
                <w:rFonts w:ascii="宋体" w:eastAsia="宋体" w:hAnsi="宋体" w:cs="宋体" w:hint="eastAsia"/>
                <w:lang w:eastAsia="zh-CN"/>
              </w:rPr>
              <w:t>街道</w:t>
            </w:r>
            <w:r>
              <w:rPr>
                <w:rFonts w:ascii="宋体" w:eastAsia="宋体" w:hAnsi="宋体" w:cs="宋体" w:hint="eastAsia"/>
              </w:rPr>
              <w:t>残疾人</w:t>
            </w:r>
            <w:r>
              <w:rPr>
                <w:rFonts w:ascii="宋体" w:eastAsia="宋体" w:hAnsi="宋体" w:cs="宋体" w:hint="eastAsia"/>
                <w:lang w:eastAsia="zh-CN"/>
              </w:rPr>
              <w:t>综合（职业）康复服务中心运营方案</w:t>
            </w:r>
            <w:r>
              <w:rPr>
                <w:rFonts w:ascii="宋体" w:eastAsia="宋体" w:hAnsi="宋体" w:cs="宋体" w:hint="eastAsia"/>
                <w:lang w:val="zh-CN" w:eastAsia="zh-CN"/>
              </w:rPr>
              <w:t>；</w:t>
            </w:r>
          </w:p>
          <w:p>
            <w:pPr>
              <w:widowControl/>
              <w:wordWrap w:val="0"/>
              <w:spacing w:line="240" w:lineRule="auto"/>
              <w:jc w:val="left"/>
              <w:textAlignment w:val="top"/>
              <w:rPr>
                <w:rFonts w:ascii="宋体" w:eastAsia="宋体" w:hAnsi="宋体" w:cs="宋体" w:hint="eastAsia"/>
                <w:lang w:eastAsia="zh-CN"/>
              </w:rPr>
            </w:pPr>
            <w:r>
              <w:rPr>
                <w:rFonts w:ascii="宋体" w:eastAsia="宋体" w:hAnsi="宋体" w:cs="宋体" w:hint="eastAsia"/>
                <w:lang w:val="zh-CN" w:eastAsia="zh-CN"/>
              </w:rPr>
              <w:t>2.</w:t>
            </w:r>
            <w:r>
              <w:rPr>
                <w:rFonts w:ascii="宋体" w:eastAsia="宋体" w:hAnsi="宋体" w:cs="宋体" w:hint="eastAsia"/>
                <w:lang w:eastAsia="zh-CN"/>
              </w:rPr>
              <w:t>服务方式及内容。</w:t>
            </w:r>
          </w:p>
          <w:p>
            <w:pPr>
              <w:widowControl/>
              <w:wordWrap w:val="0"/>
              <w:spacing w:line="240" w:lineRule="auto"/>
              <w:jc w:val="left"/>
              <w:textAlignment w:val="top"/>
              <w:rPr>
                <w:rFonts w:ascii="宋体" w:eastAsia="宋体" w:hAnsi="宋体" w:cs="宋体" w:hint="eastAsia"/>
                <w:b/>
                <w:bCs/>
                <w:lang w:val="zh-CN" w:eastAsia="zh-CN"/>
              </w:rPr>
            </w:pPr>
            <w:r>
              <w:rPr>
                <w:rFonts w:ascii="宋体" w:eastAsia="宋体" w:hAnsi="宋体" w:cs="宋体" w:hint="eastAsia"/>
                <w:b/>
                <w:bCs/>
                <w:lang w:val="zh-CN" w:eastAsia="zh-CN"/>
              </w:rPr>
              <w:t>（二）评审标准</w:t>
            </w:r>
          </w:p>
          <w:p>
            <w:pPr>
              <w:spacing w:line="240" w:lineRule="auto"/>
              <w:jc w:val="left"/>
              <w:rPr>
                <w:rFonts w:ascii="宋体" w:eastAsia="宋体" w:hAnsi="宋体" w:cs="宋体" w:hint="eastAsia"/>
              </w:rPr>
            </w:pPr>
            <w:r>
              <w:rPr>
                <w:rFonts w:ascii="宋体" w:eastAsia="宋体" w:hAnsi="宋体" w:cs="宋体" w:hint="eastAsia"/>
              </w:rPr>
              <w:t>以上</w:t>
            </w:r>
            <w:r>
              <w:rPr>
                <w:rFonts w:ascii="宋体" w:eastAsia="宋体" w:hAnsi="宋体" w:cs="宋体" w:hint="eastAsia"/>
                <w:lang w:eastAsia="zh-CN"/>
              </w:rPr>
              <w:t>2项</w:t>
            </w:r>
            <w:r>
              <w:rPr>
                <w:rFonts w:ascii="宋体" w:eastAsia="宋体" w:hAnsi="宋体" w:cs="宋体" w:hint="eastAsia"/>
              </w:rPr>
              <w:t>内容，</w:t>
            </w:r>
            <w:r>
              <w:rPr>
                <w:rFonts w:ascii="宋体" w:eastAsia="宋体" w:hAnsi="宋体" w:cs="宋体" w:hint="eastAsia"/>
                <w:lang w:eastAsia="zh-CN"/>
              </w:rPr>
              <w:t>每提供一项得10分，全部提供</w:t>
            </w:r>
            <w:r>
              <w:rPr>
                <w:rFonts w:ascii="宋体" w:eastAsia="宋体" w:hAnsi="宋体" w:cs="宋体" w:hint="eastAsia"/>
              </w:rPr>
              <w:t>得</w:t>
            </w:r>
            <w:r>
              <w:rPr>
                <w:rFonts w:ascii="宋体" w:eastAsia="宋体" w:hAnsi="宋体" w:cs="宋体" w:hint="eastAsia"/>
                <w:lang w:eastAsia="zh-CN"/>
              </w:rPr>
              <w:t>20</w:t>
            </w:r>
            <w:r>
              <w:rPr>
                <w:rFonts w:ascii="宋体" w:eastAsia="宋体" w:hAnsi="宋体" w:cs="宋体" w:hint="eastAsia"/>
              </w:rPr>
              <w:t>分</w:t>
            </w:r>
            <w:r>
              <w:rPr>
                <w:rFonts w:ascii="宋体" w:eastAsia="宋体" w:hAnsi="宋体" w:cs="宋体" w:hint="eastAsia"/>
                <w:lang w:eastAsia="zh-CN"/>
              </w:rPr>
              <w:t>，</w:t>
            </w:r>
            <w:r>
              <w:rPr>
                <w:rFonts w:ascii="宋体" w:eastAsia="宋体" w:hAnsi="宋体" w:cs="宋体" w:hint="eastAsia"/>
              </w:rPr>
              <w:t>缺项不得分。在此基础上，专家根据内容的合理性进行评分:</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eastAsia="zh-CN"/>
              </w:rPr>
              <w:t>1.</w:t>
            </w:r>
            <w:r>
              <w:rPr>
                <w:rFonts w:ascii="宋体" w:eastAsia="宋体" w:hAnsi="宋体" w:cs="宋体" w:hint="eastAsia"/>
                <w:lang w:val="zh-CN" w:eastAsia="zh-CN"/>
              </w:rPr>
              <w:t>运营方案具体详尽、科学合理、可</w:t>
            </w:r>
            <w:r>
              <w:rPr>
                <w:rFonts w:ascii="宋体" w:eastAsia="宋体" w:hAnsi="宋体" w:cs="宋体" w:hint="eastAsia"/>
                <w:lang w:eastAsia="zh-CN"/>
              </w:rPr>
              <w:t>操作</w:t>
            </w:r>
            <w:r>
              <w:rPr>
                <w:rFonts w:ascii="宋体" w:eastAsia="宋体" w:hAnsi="宋体" w:cs="宋体" w:hint="eastAsia"/>
                <w:lang w:val="zh-CN" w:eastAsia="zh-CN"/>
              </w:rPr>
              <w:t>性强，</w:t>
            </w:r>
            <w:r>
              <w:rPr>
                <w:rFonts w:ascii="宋体" w:eastAsia="宋体" w:hAnsi="宋体" w:cs="宋体" w:hint="eastAsia"/>
                <w:lang w:eastAsia="zh-CN"/>
              </w:rPr>
              <w:t>服务方式及内容量化科学，</w:t>
            </w:r>
            <w:r>
              <w:rPr>
                <w:rFonts w:ascii="宋体" w:eastAsia="宋体" w:hAnsi="宋体" w:cs="宋体" w:hint="eastAsia"/>
                <w:lang w:val="zh-CN" w:eastAsia="zh-CN"/>
              </w:rPr>
              <w:t>评审为优</w:t>
            </w:r>
            <w:r>
              <w:rPr>
                <w:rFonts w:ascii="宋体" w:eastAsia="宋体" w:hAnsi="宋体" w:cs="宋体" w:hint="eastAsia"/>
                <w:lang w:eastAsia="zh-CN"/>
              </w:rPr>
              <w:t>得80</w:t>
            </w:r>
            <w:r>
              <w:rPr>
                <w:rFonts w:ascii="宋体" w:eastAsia="宋体" w:hAnsi="宋体" w:cs="宋体" w:hint="eastAsia"/>
                <w:lang w:val="zh-CN" w:eastAsia="zh-CN"/>
              </w:rPr>
              <w:t>分；</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eastAsia="zh-CN"/>
              </w:rPr>
              <w:t>2.</w:t>
            </w:r>
            <w:r>
              <w:rPr>
                <w:rFonts w:ascii="宋体" w:eastAsia="宋体" w:hAnsi="宋体" w:cs="宋体" w:hint="eastAsia"/>
                <w:lang w:val="zh-CN" w:eastAsia="zh-CN"/>
              </w:rPr>
              <w:t>运营方案较合理、有一定针对性、</w:t>
            </w:r>
            <w:r>
              <w:rPr>
                <w:rFonts w:ascii="宋体" w:eastAsia="宋体" w:hAnsi="宋体" w:cs="宋体" w:hint="eastAsia"/>
                <w:lang w:eastAsia="zh-CN"/>
              </w:rPr>
              <w:t>有</w:t>
            </w:r>
            <w:r>
              <w:rPr>
                <w:rFonts w:ascii="宋体" w:eastAsia="宋体" w:hAnsi="宋体" w:cs="宋体" w:hint="eastAsia"/>
                <w:lang w:val="zh-CN" w:eastAsia="zh-CN"/>
              </w:rPr>
              <w:t>一定可操作性，</w:t>
            </w:r>
            <w:r>
              <w:rPr>
                <w:rFonts w:ascii="宋体" w:eastAsia="宋体" w:hAnsi="宋体" w:cs="宋体" w:hint="eastAsia"/>
                <w:lang w:eastAsia="zh-CN"/>
              </w:rPr>
              <w:t>服务方式及内容较为量化科学，</w:t>
            </w:r>
            <w:r>
              <w:rPr>
                <w:rFonts w:ascii="宋体" w:eastAsia="宋体" w:hAnsi="宋体" w:cs="宋体" w:hint="eastAsia"/>
                <w:lang w:val="zh-CN" w:eastAsia="zh-CN"/>
              </w:rPr>
              <w:t>评审为良</w:t>
            </w:r>
            <w:r>
              <w:rPr>
                <w:rFonts w:ascii="宋体" w:eastAsia="宋体" w:hAnsi="宋体" w:cs="宋体" w:hint="eastAsia"/>
                <w:lang w:eastAsia="zh-CN"/>
              </w:rPr>
              <w:t>得40</w:t>
            </w:r>
            <w:r>
              <w:rPr>
                <w:rFonts w:ascii="宋体" w:eastAsia="宋体" w:hAnsi="宋体" w:cs="宋体" w:hint="eastAsia"/>
                <w:lang w:val="zh-CN" w:eastAsia="zh-CN"/>
              </w:rPr>
              <w:t>分；</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eastAsia="zh-CN"/>
              </w:rPr>
              <w:t>3.</w:t>
            </w:r>
            <w:r>
              <w:rPr>
                <w:rFonts w:ascii="宋体" w:eastAsia="宋体" w:hAnsi="宋体" w:cs="宋体" w:hint="eastAsia"/>
                <w:lang w:val="zh-CN" w:eastAsia="zh-CN"/>
              </w:rPr>
              <w:t>运营方案不尽合理、针对性一般、可操作性一般，</w:t>
            </w:r>
            <w:r>
              <w:rPr>
                <w:rFonts w:ascii="宋体" w:eastAsia="宋体" w:hAnsi="宋体" w:cs="宋体" w:hint="eastAsia"/>
                <w:lang w:eastAsia="zh-CN"/>
              </w:rPr>
              <w:t>服务方式及内容量化科学一般，</w:t>
            </w:r>
            <w:r>
              <w:rPr>
                <w:rFonts w:ascii="宋体" w:eastAsia="宋体" w:hAnsi="宋体" w:cs="宋体" w:hint="eastAsia"/>
                <w:lang w:val="zh-CN" w:eastAsia="zh-CN"/>
              </w:rPr>
              <w:t>评审为中</w:t>
            </w:r>
            <w:r>
              <w:rPr>
                <w:rFonts w:ascii="宋体" w:eastAsia="宋体" w:hAnsi="宋体" w:cs="宋体" w:hint="eastAsia"/>
                <w:lang w:eastAsia="zh-CN"/>
              </w:rPr>
              <w:t>得</w:t>
            </w:r>
            <w:r>
              <w:rPr>
                <w:rFonts w:ascii="宋体" w:eastAsia="宋体" w:hAnsi="宋体" w:cs="宋体" w:hint="eastAsia"/>
                <w:lang w:val="zh-CN" w:eastAsia="zh-CN"/>
              </w:rPr>
              <w:t>1</w:t>
            </w:r>
            <w:r>
              <w:rPr>
                <w:rFonts w:ascii="宋体" w:eastAsia="宋体" w:hAnsi="宋体" w:cs="宋体" w:hint="eastAsia"/>
                <w:lang w:eastAsia="zh-CN"/>
              </w:rPr>
              <w:t>0</w:t>
            </w:r>
            <w:r>
              <w:rPr>
                <w:rFonts w:ascii="宋体" w:eastAsia="宋体" w:hAnsi="宋体" w:cs="宋体" w:hint="eastAsia"/>
                <w:lang w:val="zh-CN" w:eastAsia="zh-CN"/>
              </w:rPr>
              <w:t>分；</w:t>
            </w:r>
          </w:p>
          <w:p>
            <w:pPr>
              <w:widowControl/>
              <w:wordWrap w:val="0"/>
              <w:spacing w:line="240" w:lineRule="auto"/>
              <w:jc w:val="left"/>
              <w:textAlignment w:val="top"/>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lang w:val="zh-CN" w:eastAsia="zh-CN"/>
              </w:rPr>
              <w:t>运营方案和流程不合理、无针对性、无可操作性</w:t>
            </w:r>
            <w:r>
              <w:rPr>
                <w:rFonts w:ascii="宋体" w:eastAsia="宋体" w:hAnsi="宋体" w:cs="宋体" w:hint="eastAsia"/>
                <w:lang w:eastAsia="zh-CN"/>
              </w:rPr>
              <w:t>或未提供，评审为差不得分。如评审为差，评审专家须书面说明理</w:t>
            </w:r>
            <w:r>
              <w:rPr>
                <w:rFonts w:ascii="宋体" w:eastAsia="宋体" w:hAnsi="宋体" w:cs="宋体" w:hint="eastAsia"/>
              </w:rPr>
              <w:t>由，并记录在档。</w:t>
            </w:r>
          </w:p>
        </w:tc>
      </w:tr>
      <w:bookmarkEnd w:id="9"/>
      <w:tr>
        <w:tblPrEx>
          <w:tblW w:w="5000" w:type="pct"/>
          <w:jc w:val="center"/>
          <w:tblCellSpacing w:w="0" w:type="dxa"/>
          <w:tblLayout w:type="fixed"/>
          <w:tblCellMar>
            <w:top w:w="20" w:type="dxa"/>
            <w:left w:w="108" w:type="dxa"/>
            <w:bottom w:w="20" w:type="dxa"/>
            <w:right w:w="108" w:type="dxa"/>
          </w:tblCellMar>
        </w:tblPrEx>
        <w:trPr>
          <w:trHeight w:val="1115"/>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2</w:t>
            </w:r>
          </w:p>
        </w:tc>
        <w:tc>
          <w:tcPr>
            <w:tcW w:w="1274" w:type="dxa"/>
            <w:noWrap w:val="0"/>
            <w:vAlign w:val="center"/>
          </w:tcPr>
          <w:p>
            <w:pPr>
              <w:pageBreakBefore w:val="0"/>
              <w:widowControl w:val="0"/>
              <w:kinsoku/>
              <w:wordWrap w:val="0"/>
              <w:overflowPunct/>
              <w:topLinePunct w:val="0"/>
              <w:bidi w:val="0"/>
              <w:spacing w:beforeLines="0" w:afterLines="0" w:line="240" w:lineRule="auto"/>
              <w:ind w:firstLine="0" w:firstLineChars="0"/>
              <w:jc w:val="center"/>
              <w:rPr>
                <w:rFonts w:ascii="宋体" w:eastAsia="宋体" w:hAnsi="宋体" w:cs="宋体" w:hint="eastAsia"/>
                <w:lang w:eastAsia="zh-CN"/>
              </w:rPr>
            </w:pPr>
            <w:r>
              <w:rPr>
                <w:rFonts w:ascii="宋体" w:eastAsia="宋体" w:hAnsi="宋体" w:cs="宋体" w:hint="eastAsia"/>
                <w:bCs/>
              </w:rPr>
              <w:t>婴幼儿托育</w:t>
            </w:r>
            <w:r>
              <w:rPr>
                <w:rFonts w:ascii="宋体" w:eastAsia="宋体" w:hAnsi="宋体" w:cs="宋体" w:hint="eastAsia"/>
                <w:bCs/>
                <w:lang w:eastAsia="zh-CN"/>
              </w:rPr>
              <w:t>服务方案</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4</w:t>
            </w:r>
          </w:p>
        </w:tc>
        <w:tc>
          <w:tcPr>
            <w:tcW w:w="4934" w:type="dxa"/>
            <w:noWrap w:val="0"/>
            <w:vAlign w:val="top"/>
          </w:tcPr>
          <w:p>
            <w:pPr>
              <w:widowControl/>
              <w:numPr>
                <w:ilvl w:val="0"/>
                <w:numId w:val="0"/>
              </w:numPr>
              <w:wordWrap w:val="0"/>
              <w:spacing w:line="240" w:lineRule="auto"/>
              <w:ind w:left="0" w:firstLine="0"/>
              <w:jc w:val="left"/>
              <w:textAlignment w:val="top"/>
              <w:rPr>
                <w:rFonts w:ascii="宋体" w:eastAsia="宋体" w:hAnsi="宋体" w:cs="宋体" w:hint="eastAsia"/>
                <w:b/>
                <w:bCs/>
                <w:lang w:val="zh-CN" w:eastAsia="zh-CN"/>
              </w:rPr>
            </w:pPr>
            <w:r>
              <w:rPr>
                <w:rFonts w:ascii="宋体" w:eastAsia="宋体" w:hAnsi="宋体" w:cs="宋体" w:hint="eastAsia"/>
                <w:b/>
                <w:bCs/>
                <w:lang w:val="zh-CN" w:eastAsia="zh-CN"/>
              </w:rPr>
              <w:t>（</w:t>
            </w:r>
            <w:r>
              <w:rPr>
                <w:rFonts w:ascii="宋体" w:eastAsia="宋体" w:hAnsi="宋体" w:cs="宋体" w:hint="eastAsia"/>
                <w:b/>
                <w:bCs/>
                <w:lang w:eastAsia="zh-CN"/>
              </w:rPr>
              <w:t>一</w:t>
            </w:r>
            <w:r>
              <w:rPr>
                <w:rFonts w:ascii="宋体" w:eastAsia="宋体" w:hAnsi="宋体" w:cs="宋体" w:hint="eastAsia"/>
                <w:b/>
                <w:bCs/>
                <w:lang w:val="zh-CN" w:eastAsia="zh-CN"/>
              </w:rPr>
              <w:t>）</w:t>
            </w:r>
            <w:r>
              <w:rPr>
                <w:rFonts w:ascii="宋体" w:eastAsia="宋体" w:hAnsi="宋体" w:cs="宋体" w:hint="eastAsia"/>
                <w:b/>
                <w:bCs/>
                <w:lang w:val="zh-CN" w:eastAsia="zh-CN"/>
              </w:rPr>
              <w:t>评审内容</w:t>
            </w:r>
          </w:p>
          <w:p>
            <w:pPr>
              <w:widowControl/>
              <w:numPr>
                <w:ilvl w:val="0"/>
                <w:numId w:val="0"/>
              </w:numPr>
              <w:wordWrap w:val="0"/>
              <w:spacing w:line="240" w:lineRule="auto"/>
              <w:ind w:left="0" w:firstLine="0"/>
              <w:jc w:val="left"/>
              <w:textAlignment w:val="top"/>
              <w:rPr>
                <w:rFonts w:ascii="宋体" w:eastAsia="宋体" w:hAnsi="宋体" w:cs="宋体" w:hint="eastAsia"/>
                <w:lang w:val="zh-CN" w:eastAsia="zh-CN"/>
              </w:rPr>
            </w:pPr>
            <w:r>
              <w:rPr>
                <w:rFonts w:ascii="宋体" w:eastAsia="宋体" w:hAnsi="宋体" w:cs="宋体" w:hint="eastAsia"/>
                <w:lang w:eastAsia="zh-CN"/>
              </w:rPr>
              <w:t>根据</w:t>
            </w:r>
            <w:r>
              <w:rPr>
                <w:rFonts w:ascii="宋体" w:eastAsia="宋体" w:hAnsi="宋体" w:cs="宋体" w:hint="eastAsia"/>
                <w:lang w:val="zh-CN" w:eastAsia="zh-CN"/>
              </w:rPr>
              <w:t>投标人</w:t>
            </w:r>
            <w:r>
              <w:rPr>
                <w:rFonts w:ascii="宋体" w:eastAsia="宋体" w:hAnsi="宋体" w:cs="宋体" w:hint="eastAsia"/>
                <w:lang w:eastAsia="zh-CN"/>
              </w:rPr>
              <w:t>提供的</w:t>
            </w:r>
            <w:r>
              <w:rPr>
                <w:rFonts w:ascii="宋体" w:eastAsia="宋体" w:hAnsi="宋体" w:cs="宋体" w:hint="eastAsia"/>
                <w:bCs/>
              </w:rPr>
              <w:t>婴幼儿托育</w:t>
            </w:r>
            <w:r>
              <w:rPr>
                <w:rFonts w:ascii="宋体" w:eastAsia="宋体" w:hAnsi="宋体" w:cs="宋体" w:hint="eastAsia"/>
                <w:bCs/>
                <w:lang w:eastAsia="zh-CN"/>
              </w:rPr>
              <w:t>服务方案</w:t>
            </w:r>
            <w:r>
              <w:rPr>
                <w:rFonts w:ascii="宋体" w:eastAsia="宋体" w:hAnsi="宋体" w:cs="宋体" w:hint="eastAsia"/>
                <w:lang w:val="zh-CN" w:eastAsia="zh-CN"/>
              </w:rPr>
              <w:t>进行评分，</w:t>
            </w:r>
            <w:r>
              <w:rPr>
                <w:rFonts w:ascii="宋体" w:eastAsia="宋体" w:hAnsi="宋体" w:cs="宋体" w:hint="eastAsia"/>
              </w:rPr>
              <w:t>方案</w:t>
            </w:r>
            <w:r>
              <w:rPr>
                <w:rFonts w:ascii="宋体" w:eastAsia="宋体" w:hAnsi="宋体" w:cs="宋体" w:hint="eastAsia"/>
                <w:lang w:eastAsia="zh-CN"/>
              </w:rPr>
              <w:t>应</w:t>
            </w:r>
            <w:r>
              <w:rPr>
                <w:rFonts w:ascii="宋体" w:eastAsia="宋体" w:hAnsi="宋体" w:cs="宋体" w:hint="eastAsia"/>
                <w:lang w:val="zh-CN" w:eastAsia="zh-CN"/>
              </w:rPr>
              <w:t>包含但不限于以下内容：</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val="zh-CN" w:eastAsia="zh-CN"/>
              </w:rPr>
              <w:t>1.</w:t>
            </w:r>
            <w:r>
              <w:rPr>
                <w:rFonts w:ascii="宋体" w:eastAsia="宋体" w:hAnsi="宋体" w:cs="宋体" w:hint="eastAsia"/>
                <w:bCs/>
              </w:rPr>
              <w:t>婴幼儿托育</w:t>
            </w:r>
            <w:r>
              <w:rPr>
                <w:rFonts w:ascii="宋体" w:eastAsia="宋体" w:hAnsi="宋体" w:cs="宋体" w:hint="eastAsia"/>
                <w:bCs/>
                <w:lang w:eastAsia="zh-CN"/>
              </w:rPr>
              <w:t>服务方案</w:t>
            </w:r>
            <w:r>
              <w:rPr>
                <w:rFonts w:ascii="宋体" w:eastAsia="宋体" w:hAnsi="宋体" w:cs="宋体" w:hint="eastAsia"/>
                <w:lang w:val="zh-CN" w:eastAsia="zh-CN"/>
              </w:rPr>
              <w:t>；</w:t>
            </w:r>
          </w:p>
          <w:p>
            <w:pPr>
              <w:widowControl/>
              <w:wordWrap w:val="0"/>
              <w:spacing w:line="240" w:lineRule="auto"/>
              <w:jc w:val="left"/>
              <w:textAlignment w:val="top"/>
              <w:rPr>
                <w:rFonts w:ascii="宋体" w:eastAsia="宋体" w:hAnsi="宋体" w:cs="宋体"/>
                <w:lang w:eastAsia="zh-CN"/>
              </w:rPr>
            </w:pPr>
            <w:r>
              <w:rPr>
                <w:rFonts w:ascii="宋体" w:eastAsia="宋体" w:hAnsi="宋体" w:cs="宋体" w:hint="eastAsia"/>
                <w:lang w:val="zh-CN" w:eastAsia="zh-CN"/>
              </w:rPr>
              <w:t>2.</w:t>
            </w:r>
            <w:r>
              <w:rPr>
                <w:rFonts w:ascii="宋体" w:eastAsia="宋体" w:hAnsi="宋体" w:cs="宋体" w:hint="eastAsia"/>
                <w:lang w:eastAsia="zh-CN"/>
              </w:rPr>
              <w:t>服务方式及内容。</w:t>
            </w:r>
          </w:p>
          <w:p>
            <w:pPr>
              <w:widowControl/>
              <w:wordWrap w:val="0"/>
              <w:spacing w:line="240" w:lineRule="auto"/>
              <w:jc w:val="left"/>
              <w:textAlignment w:val="top"/>
              <w:rPr>
                <w:rFonts w:ascii="宋体" w:eastAsia="宋体" w:hAnsi="宋体" w:cs="宋体" w:hint="eastAsia"/>
                <w:b/>
                <w:bCs/>
                <w:lang w:val="zh-CN" w:eastAsia="zh-CN"/>
              </w:rPr>
            </w:pPr>
            <w:r>
              <w:rPr>
                <w:rFonts w:ascii="宋体" w:eastAsia="宋体" w:hAnsi="宋体" w:cs="宋体" w:hint="eastAsia"/>
                <w:b/>
                <w:bCs/>
                <w:lang w:val="zh-CN" w:eastAsia="zh-CN"/>
              </w:rPr>
              <w:t>（二）评审标准</w:t>
            </w:r>
          </w:p>
          <w:p>
            <w:pPr>
              <w:spacing w:line="240" w:lineRule="auto"/>
              <w:jc w:val="left"/>
              <w:rPr>
                <w:rFonts w:ascii="宋体" w:eastAsia="宋体" w:hAnsi="宋体" w:cs="宋体" w:hint="eastAsia"/>
              </w:rPr>
            </w:pPr>
            <w:r>
              <w:rPr>
                <w:rFonts w:ascii="宋体" w:eastAsia="宋体" w:hAnsi="宋体" w:cs="宋体" w:hint="eastAsia"/>
              </w:rPr>
              <w:t>以上</w:t>
            </w:r>
            <w:r>
              <w:rPr>
                <w:rFonts w:ascii="宋体" w:eastAsia="宋体" w:hAnsi="宋体" w:cs="宋体" w:hint="eastAsia"/>
                <w:lang w:eastAsia="zh-CN"/>
              </w:rPr>
              <w:t>2项</w:t>
            </w:r>
            <w:r>
              <w:rPr>
                <w:rFonts w:ascii="宋体" w:eastAsia="宋体" w:hAnsi="宋体" w:cs="宋体" w:hint="eastAsia"/>
              </w:rPr>
              <w:t>内容，</w:t>
            </w:r>
            <w:r>
              <w:rPr>
                <w:rFonts w:ascii="宋体" w:eastAsia="宋体" w:hAnsi="宋体" w:cs="宋体" w:hint="eastAsia"/>
                <w:lang w:eastAsia="zh-CN"/>
              </w:rPr>
              <w:t>每提供一项得10分，全部提供</w:t>
            </w:r>
            <w:r>
              <w:rPr>
                <w:rFonts w:ascii="宋体" w:eastAsia="宋体" w:hAnsi="宋体" w:cs="宋体" w:hint="eastAsia"/>
              </w:rPr>
              <w:t>得</w:t>
            </w:r>
            <w:r>
              <w:rPr>
                <w:rFonts w:ascii="宋体" w:eastAsia="宋体" w:hAnsi="宋体" w:cs="宋体" w:hint="eastAsia"/>
                <w:lang w:eastAsia="zh-CN"/>
              </w:rPr>
              <w:t>20</w:t>
            </w:r>
            <w:r>
              <w:rPr>
                <w:rFonts w:ascii="宋体" w:eastAsia="宋体" w:hAnsi="宋体" w:cs="宋体" w:hint="eastAsia"/>
              </w:rPr>
              <w:t>分</w:t>
            </w:r>
            <w:r>
              <w:rPr>
                <w:rFonts w:ascii="宋体" w:eastAsia="宋体" w:hAnsi="宋体" w:cs="宋体" w:hint="eastAsia"/>
                <w:lang w:eastAsia="zh-CN"/>
              </w:rPr>
              <w:t>，</w:t>
            </w:r>
            <w:r>
              <w:rPr>
                <w:rFonts w:ascii="宋体" w:eastAsia="宋体" w:hAnsi="宋体" w:cs="宋体" w:hint="eastAsia"/>
              </w:rPr>
              <w:t>缺项不得分。在此基础上，专家根据内容的合理性进行评分:</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eastAsia="zh-CN"/>
              </w:rPr>
              <w:t>1.</w:t>
            </w:r>
            <w:r>
              <w:rPr>
                <w:rFonts w:ascii="宋体" w:eastAsia="宋体" w:hAnsi="宋体" w:cs="宋体" w:hint="eastAsia"/>
                <w:lang w:val="zh-CN" w:eastAsia="zh-CN"/>
              </w:rPr>
              <w:t>运营方案具体详尽、科学合理、可</w:t>
            </w:r>
            <w:r>
              <w:rPr>
                <w:rFonts w:ascii="宋体" w:eastAsia="宋体" w:hAnsi="宋体" w:cs="宋体" w:hint="eastAsia"/>
                <w:lang w:eastAsia="zh-CN"/>
              </w:rPr>
              <w:t>操作</w:t>
            </w:r>
            <w:r>
              <w:rPr>
                <w:rFonts w:ascii="宋体" w:eastAsia="宋体" w:hAnsi="宋体" w:cs="宋体" w:hint="eastAsia"/>
                <w:lang w:val="zh-CN" w:eastAsia="zh-CN"/>
              </w:rPr>
              <w:t>性强，</w:t>
            </w:r>
            <w:r>
              <w:rPr>
                <w:rFonts w:ascii="宋体" w:eastAsia="宋体" w:hAnsi="宋体" w:cs="宋体" w:hint="eastAsia"/>
                <w:lang w:eastAsia="zh-CN"/>
              </w:rPr>
              <w:t>服务方式及内容量化科学，</w:t>
            </w:r>
            <w:r>
              <w:rPr>
                <w:rFonts w:ascii="宋体" w:eastAsia="宋体" w:hAnsi="宋体" w:cs="宋体" w:hint="eastAsia"/>
                <w:lang w:val="zh-CN" w:eastAsia="zh-CN"/>
              </w:rPr>
              <w:t>评审为优</w:t>
            </w:r>
            <w:r>
              <w:rPr>
                <w:rFonts w:ascii="宋体" w:eastAsia="宋体" w:hAnsi="宋体" w:cs="宋体" w:hint="eastAsia"/>
                <w:lang w:eastAsia="zh-CN"/>
              </w:rPr>
              <w:t>得80</w:t>
            </w:r>
            <w:r>
              <w:rPr>
                <w:rFonts w:ascii="宋体" w:eastAsia="宋体" w:hAnsi="宋体" w:cs="宋体" w:hint="eastAsia"/>
                <w:lang w:val="zh-CN" w:eastAsia="zh-CN"/>
              </w:rPr>
              <w:t>分；</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eastAsia="zh-CN"/>
              </w:rPr>
              <w:t>2.</w:t>
            </w:r>
            <w:r>
              <w:rPr>
                <w:rFonts w:ascii="宋体" w:eastAsia="宋体" w:hAnsi="宋体" w:cs="宋体" w:hint="eastAsia"/>
                <w:lang w:val="zh-CN" w:eastAsia="zh-CN"/>
              </w:rPr>
              <w:t>运营方案较合理、有一定针对性、</w:t>
            </w:r>
            <w:r>
              <w:rPr>
                <w:rFonts w:ascii="宋体" w:eastAsia="宋体" w:hAnsi="宋体" w:cs="宋体" w:hint="eastAsia"/>
                <w:lang w:eastAsia="zh-CN"/>
              </w:rPr>
              <w:t>有</w:t>
            </w:r>
            <w:r>
              <w:rPr>
                <w:rFonts w:ascii="宋体" w:eastAsia="宋体" w:hAnsi="宋体" w:cs="宋体" w:hint="eastAsia"/>
                <w:lang w:val="zh-CN" w:eastAsia="zh-CN"/>
              </w:rPr>
              <w:t>一定可操作性，</w:t>
            </w:r>
            <w:r>
              <w:rPr>
                <w:rFonts w:ascii="宋体" w:eastAsia="宋体" w:hAnsi="宋体" w:cs="宋体" w:hint="eastAsia"/>
                <w:lang w:eastAsia="zh-CN"/>
              </w:rPr>
              <w:t>服务方式及内容较为量化科学，</w:t>
            </w:r>
            <w:r>
              <w:rPr>
                <w:rFonts w:ascii="宋体" w:eastAsia="宋体" w:hAnsi="宋体" w:cs="宋体" w:hint="eastAsia"/>
                <w:lang w:val="zh-CN" w:eastAsia="zh-CN"/>
              </w:rPr>
              <w:t>评审为良</w:t>
            </w:r>
            <w:r>
              <w:rPr>
                <w:rFonts w:ascii="宋体" w:eastAsia="宋体" w:hAnsi="宋体" w:cs="宋体" w:hint="eastAsia"/>
                <w:lang w:eastAsia="zh-CN"/>
              </w:rPr>
              <w:t>得40</w:t>
            </w:r>
            <w:r>
              <w:rPr>
                <w:rFonts w:ascii="宋体" w:eastAsia="宋体" w:hAnsi="宋体" w:cs="宋体" w:hint="eastAsia"/>
                <w:lang w:val="zh-CN" w:eastAsia="zh-CN"/>
              </w:rPr>
              <w:t>分；</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eastAsia="zh-CN"/>
              </w:rPr>
              <w:t>3.</w:t>
            </w:r>
            <w:r>
              <w:rPr>
                <w:rFonts w:ascii="宋体" w:eastAsia="宋体" w:hAnsi="宋体" w:cs="宋体" w:hint="eastAsia"/>
                <w:lang w:val="zh-CN" w:eastAsia="zh-CN"/>
              </w:rPr>
              <w:t>运营方案不尽合理、针对性一般、可操作性一般，</w:t>
            </w:r>
            <w:r>
              <w:rPr>
                <w:rFonts w:ascii="宋体" w:eastAsia="宋体" w:hAnsi="宋体" w:cs="宋体" w:hint="eastAsia"/>
                <w:lang w:eastAsia="zh-CN"/>
              </w:rPr>
              <w:t>服务方式及内容量化科学一般，</w:t>
            </w:r>
            <w:r>
              <w:rPr>
                <w:rFonts w:ascii="宋体" w:eastAsia="宋体" w:hAnsi="宋体" w:cs="宋体" w:hint="eastAsia"/>
                <w:lang w:val="zh-CN" w:eastAsia="zh-CN"/>
              </w:rPr>
              <w:t>评审为中</w:t>
            </w:r>
            <w:r>
              <w:rPr>
                <w:rFonts w:ascii="宋体" w:eastAsia="宋体" w:hAnsi="宋体" w:cs="宋体" w:hint="eastAsia"/>
                <w:lang w:eastAsia="zh-CN"/>
              </w:rPr>
              <w:t>得</w:t>
            </w:r>
            <w:r>
              <w:rPr>
                <w:rFonts w:ascii="宋体" w:eastAsia="宋体" w:hAnsi="宋体" w:cs="宋体" w:hint="eastAsia"/>
                <w:lang w:val="zh-CN" w:eastAsia="zh-CN"/>
              </w:rPr>
              <w:t>1</w:t>
            </w:r>
            <w:r>
              <w:rPr>
                <w:rFonts w:ascii="宋体" w:eastAsia="宋体" w:hAnsi="宋体" w:cs="宋体" w:hint="eastAsia"/>
                <w:lang w:eastAsia="zh-CN"/>
              </w:rPr>
              <w:t>0</w:t>
            </w:r>
            <w:r>
              <w:rPr>
                <w:rFonts w:ascii="宋体" w:eastAsia="宋体" w:hAnsi="宋体" w:cs="宋体" w:hint="eastAsia"/>
                <w:lang w:val="zh-CN" w:eastAsia="zh-CN"/>
              </w:rPr>
              <w:t>分；</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lang w:eastAsia="zh-CN"/>
              </w:rPr>
              <w:t>4.</w:t>
            </w:r>
            <w:r>
              <w:rPr>
                <w:rFonts w:ascii="宋体" w:eastAsia="宋体" w:hAnsi="宋体" w:cs="宋体" w:hint="eastAsia"/>
                <w:lang w:val="zh-CN" w:eastAsia="zh-CN"/>
              </w:rPr>
              <w:t>运营方案和流程不合理、无针对性、无可操作性或未提供，</w:t>
            </w:r>
            <w:r>
              <w:rPr>
                <w:rFonts w:ascii="宋体" w:eastAsia="宋体" w:hAnsi="宋体" w:cs="宋体" w:hint="eastAsia"/>
                <w:lang w:eastAsia="zh-CN"/>
              </w:rPr>
              <w:t>评审为差</w:t>
            </w:r>
            <w:r>
              <w:rPr>
                <w:rFonts w:ascii="宋体" w:eastAsia="宋体" w:hAnsi="宋体" w:cs="宋体" w:hint="eastAsia"/>
                <w:lang w:val="zh-CN" w:eastAsia="zh-CN"/>
              </w:rPr>
              <w:t>不得分。如评审为差，评审专家须书面说明理由，并</w:t>
            </w:r>
            <w:r>
              <w:rPr>
                <w:rFonts w:ascii="宋体" w:eastAsia="宋体" w:hAnsi="宋体" w:cs="宋体" w:hint="eastAsia"/>
              </w:rPr>
              <w:t>记录在档。</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1274" w:type="dxa"/>
            <w:noWrap w:val="0"/>
            <w:vAlign w:val="center"/>
          </w:tcPr>
          <w:p>
            <w:pPr>
              <w:pageBreakBefore w:val="0"/>
              <w:widowControl w:val="0"/>
              <w:kinsoku/>
              <w:wordWrap w:val="0"/>
              <w:overflowPunct/>
              <w:topLinePunct w:val="0"/>
              <w:bidi w:val="0"/>
              <w:spacing w:beforeLines="0" w:afterLines="0" w:line="240" w:lineRule="auto"/>
              <w:ind w:firstLine="0" w:firstLineChars="0"/>
              <w:jc w:val="center"/>
              <w:rPr>
                <w:rFonts w:ascii="宋体" w:eastAsia="宋体" w:hAnsi="宋体" w:cs="宋体" w:hint="eastAsia"/>
              </w:rPr>
            </w:pPr>
            <w:r>
              <w:rPr>
                <w:rFonts w:ascii="宋体" w:eastAsia="宋体" w:hAnsi="宋体" w:cs="宋体" w:hint="eastAsia"/>
              </w:rPr>
              <w:t>为老助餐服务方案</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4</w:t>
            </w:r>
          </w:p>
        </w:tc>
        <w:tc>
          <w:tcPr>
            <w:tcW w:w="4934" w:type="dxa"/>
            <w:noWrap w:val="0"/>
            <w:vAlign w:val="top"/>
          </w:tcPr>
          <w:p>
            <w:pPr>
              <w:widowControl/>
              <w:wordWrap w:val="0"/>
              <w:spacing w:line="240" w:lineRule="auto"/>
              <w:jc w:val="left"/>
              <w:textAlignment w:val="top"/>
              <w:rPr>
                <w:rFonts w:ascii="宋体" w:eastAsia="宋体" w:hAnsi="宋体" w:cs="宋体" w:hint="eastAsia"/>
                <w:b/>
                <w:bCs/>
                <w:lang w:val="zh-CN" w:eastAsia="zh-CN"/>
              </w:rPr>
            </w:pPr>
            <w:r>
              <w:rPr>
                <w:rFonts w:ascii="宋体" w:eastAsia="宋体" w:hAnsi="宋体" w:cs="宋体" w:hint="eastAsia"/>
                <w:b/>
                <w:bCs/>
                <w:lang w:val="zh-CN" w:eastAsia="zh-CN"/>
              </w:rPr>
              <w:t>（一）评审内容</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eastAsia="zh-CN"/>
              </w:rPr>
              <w:t>根据</w:t>
            </w:r>
            <w:r>
              <w:rPr>
                <w:rFonts w:ascii="宋体" w:eastAsia="宋体" w:hAnsi="宋体" w:cs="宋体" w:hint="eastAsia"/>
                <w:lang w:val="zh-CN" w:eastAsia="zh-CN"/>
              </w:rPr>
              <w:t>投标人</w:t>
            </w:r>
            <w:r>
              <w:rPr>
                <w:rFonts w:ascii="宋体" w:eastAsia="宋体" w:hAnsi="宋体" w:cs="宋体" w:hint="eastAsia"/>
                <w:lang w:eastAsia="zh-CN"/>
              </w:rPr>
              <w:t>提供的</w:t>
            </w:r>
            <w:r>
              <w:rPr>
                <w:rFonts w:ascii="宋体" w:eastAsia="宋体" w:hAnsi="宋体" w:cs="宋体" w:hint="eastAsia"/>
              </w:rPr>
              <w:t>为老助餐服务方案</w:t>
            </w:r>
            <w:r>
              <w:rPr>
                <w:rFonts w:ascii="宋体" w:eastAsia="宋体" w:hAnsi="宋体" w:cs="宋体" w:hint="eastAsia"/>
                <w:lang w:val="zh-CN" w:eastAsia="zh-CN"/>
              </w:rPr>
              <w:t>进行评分，</w:t>
            </w:r>
            <w:r>
              <w:rPr>
                <w:rFonts w:ascii="宋体" w:eastAsia="宋体" w:hAnsi="宋体" w:cs="宋体" w:hint="eastAsia"/>
              </w:rPr>
              <w:t>方案</w:t>
            </w:r>
            <w:r>
              <w:rPr>
                <w:rFonts w:ascii="宋体" w:eastAsia="宋体" w:hAnsi="宋体" w:cs="宋体" w:hint="eastAsia"/>
                <w:lang w:eastAsia="zh-CN"/>
              </w:rPr>
              <w:t>应</w:t>
            </w:r>
            <w:r>
              <w:rPr>
                <w:rFonts w:ascii="宋体" w:eastAsia="宋体" w:hAnsi="宋体" w:cs="宋体" w:hint="eastAsia"/>
                <w:lang w:val="zh-CN" w:eastAsia="zh-CN"/>
              </w:rPr>
              <w:t>包含但不限于以下内容：</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val="zh-CN" w:eastAsia="zh-CN"/>
              </w:rPr>
              <w:t>1.长者助餐运营方案；</w:t>
            </w:r>
          </w:p>
          <w:p>
            <w:pPr>
              <w:widowControl/>
              <w:wordWrap w:val="0"/>
              <w:spacing w:line="240" w:lineRule="auto"/>
              <w:jc w:val="left"/>
              <w:textAlignment w:val="top"/>
              <w:rPr>
                <w:rFonts w:ascii="宋体" w:eastAsia="宋体" w:hAnsi="宋体" w:cs="宋体"/>
                <w:lang w:eastAsia="zh-CN"/>
              </w:rPr>
            </w:pPr>
            <w:r>
              <w:rPr>
                <w:rFonts w:ascii="宋体" w:eastAsia="宋体" w:hAnsi="宋体" w:cs="宋体" w:hint="eastAsia"/>
                <w:lang w:val="zh-CN" w:eastAsia="zh-CN"/>
              </w:rPr>
              <w:t>2.完整</w:t>
            </w:r>
            <w:r>
              <w:rPr>
                <w:rFonts w:ascii="宋体" w:eastAsia="宋体" w:hAnsi="宋体" w:cs="宋体" w:hint="eastAsia"/>
                <w:lang w:eastAsia="zh-CN"/>
              </w:rPr>
              <w:t>的</w:t>
            </w:r>
            <w:r>
              <w:rPr>
                <w:rFonts w:ascii="宋体" w:eastAsia="宋体" w:hAnsi="宋体" w:cs="宋体" w:hint="eastAsia"/>
                <w:lang w:val="zh-CN" w:eastAsia="zh-CN"/>
              </w:rPr>
              <w:t>配餐操作流程和送餐操作流程。</w:t>
            </w:r>
            <w:r>
              <w:rPr>
                <w:rFonts w:ascii="宋体" w:eastAsia="宋体" w:hAnsi="宋体" w:cs="宋体" w:hint="eastAsia"/>
                <w:lang w:eastAsia="zh-CN"/>
              </w:rPr>
              <w:t xml:space="preserve"> </w:t>
            </w:r>
          </w:p>
          <w:p>
            <w:pPr>
              <w:widowControl/>
              <w:wordWrap w:val="0"/>
              <w:spacing w:line="240" w:lineRule="auto"/>
              <w:jc w:val="left"/>
              <w:textAlignment w:val="top"/>
              <w:rPr>
                <w:rFonts w:ascii="宋体" w:eastAsia="宋体" w:hAnsi="宋体" w:cs="宋体" w:hint="eastAsia"/>
                <w:b/>
                <w:bCs/>
                <w:lang w:val="zh-CN" w:eastAsia="zh-CN"/>
              </w:rPr>
            </w:pPr>
            <w:r>
              <w:rPr>
                <w:rFonts w:ascii="宋体" w:eastAsia="宋体" w:hAnsi="宋体" w:cs="宋体" w:hint="eastAsia"/>
                <w:b/>
                <w:bCs/>
                <w:lang w:val="zh-CN" w:eastAsia="zh-CN"/>
              </w:rPr>
              <w:t>（二）评审标准</w:t>
            </w:r>
          </w:p>
          <w:p>
            <w:pPr>
              <w:spacing w:line="240" w:lineRule="auto"/>
              <w:jc w:val="left"/>
              <w:rPr>
                <w:rFonts w:ascii="宋体" w:eastAsia="宋体" w:hAnsi="宋体" w:cs="宋体" w:hint="eastAsia"/>
              </w:rPr>
            </w:pPr>
            <w:r>
              <w:rPr>
                <w:rFonts w:ascii="宋体" w:eastAsia="宋体" w:hAnsi="宋体" w:cs="宋体" w:hint="eastAsia"/>
              </w:rPr>
              <w:t>以上</w:t>
            </w:r>
            <w:r>
              <w:rPr>
                <w:rFonts w:ascii="宋体" w:eastAsia="宋体" w:hAnsi="宋体" w:cs="宋体" w:hint="eastAsia"/>
                <w:lang w:eastAsia="zh-CN"/>
              </w:rPr>
              <w:t>2项</w:t>
            </w:r>
            <w:r>
              <w:rPr>
                <w:rFonts w:ascii="宋体" w:eastAsia="宋体" w:hAnsi="宋体" w:cs="宋体" w:hint="eastAsia"/>
              </w:rPr>
              <w:t>内容，</w:t>
            </w:r>
            <w:r>
              <w:rPr>
                <w:rFonts w:ascii="宋体" w:eastAsia="宋体" w:hAnsi="宋体" w:cs="宋体" w:hint="eastAsia"/>
                <w:lang w:eastAsia="zh-CN"/>
              </w:rPr>
              <w:t>每提供一项得10分，全部提供</w:t>
            </w:r>
            <w:r>
              <w:rPr>
                <w:rFonts w:ascii="宋体" w:eastAsia="宋体" w:hAnsi="宋体" w:cs="宋体" w:hint="eastAsia"/>
              </w:rPr>
              <w:t>得</w:t>
            </w:r>
            <w:r>
              <w:rPr>
                <w:rFonts w:ascii="宋体" w:eastAsia="宋体" w:hAnsi="宋体" w:cs="宋体" w:hint="eastAsia"/>
                <w:lang w:eastAsia="zh-CN"/>
              </w:rPr>
              <w:t>20</w:t>
            </w:r>
            <w:r>
              <w:rPr>
                <w:rFonts w:ascii="宋体" w:eastAsia="宋体" w:hAnsi="宋体" w:cs="宋体" w:hint="eastAsia"/>
              </w:rPr>
              <w:t>分</w:t>
            </w:r>
            <w:r>
              <w:rPr>
                <w:rFonts w:ascii="宋体" w:eastAsia="宋体" w:hAnsi="宋体" w:cs="宋体" w:hint="eastAsia"/>
                <w:lang w:eastAsia="zh-CN"/>
              </w:rPr>
              <w:t>，</w:t>
            </w:r>
            <w:r>
              <w:rPr>
                <w:rFonts w:ascii="宋体" w:eastAsia="宋体" w:hAnsi="宋体" w:cs="宋体" w:hint="eastAsia"/>
              </w:rPr>
              <w:t>缺项不得分。 在此基础上，专家根据内容的合理性进行评分:</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eastAsia="zh-CN"/>
              </w:rPr>
              <w:t>1.</w:t>
            </w:r>
            <w:r>
              <w:rPr>
                <w:rFonts w:ascii="宋体" w:eastAsia="宋体" w:hAnsi="宋体" w:cs="宋体" w:hint="eastAsia"/>
                <w:lang w:val="zh-CN" w:eastAsia="zh-CN"/>
              </w:rPr>
              <w:t>运营方案和流程具体详尽、科学合理、可</w:t>
            </w:r>
            <w:r>
              <w:rPr>
                <w:rFonts w:ascii="宋体" w:eastAsia="宋体" w:hAnsi="宋体" w:cs="宋体" w:hint="eastAsia"/>
                <w:lang w:eastAsia="zh-CN"/>
              </w:rPr>
              <w:t>操作</w:t>
            </w:r>
            <w:r>
              <w:rPr>
                <w:rFonts w:ascii="宋体" w:eastAsia="宋体" w:hAnsi="宋体" w:cs="宋体" w:hint="eastAsia"/>
                <w:lang w:val="zh-CN" w:eastAsia="zh-CN"/>
              </w:rPr>
              <w:t>性强，评审为优</w:t>
            </w:r>
            <w:r>
              <w:rPr>
                <w:rFonts w:ascii="宋体" w:eastAsia="宋体" w:hAnsi="宋体" w:cs="宋体" w:hint="eastAsia"/>
                <w:lang w:eastAsia="zh-CN"/>
              </w:rPr>
              <w:t>得80</w:t>
            </w:r>
            <w:r>
              <w:rPr>
                <w:rFonts w:ascii="宋体" w:eastAsia="宋体" w:hAnsi="宋体" w:cs="宋体" w:hint="eastAsia"/>
                <w:lang w:val="zh-CN" w:eastAsia="zh-CN"/>
              </w:rPr>
              <w:t>分；</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eastAsia="zh-CN"/>
              </w:rPr>
              <w:t>2.</w:t>
            </w:r>
            <w:r>
              <w:rPr>
                <w:rFonts w:ascii="宋体" w:eastAsia="宋体" w:hAnsi="宋体" w:cs="宋体" w:hint="eastAsia"/>
                <w:lang w:val="zh-CN" w:eastAsia="zh-CN"/>
              </w:rPr>
              <w:t>运营方案和流程较合理、有一定针对性、</w:t>
            </w:r>
            <w:r>
              <w:rPr>
                <w:rFonts w:ascii="宋体" w:eastAsia="宋体" w:hAnsi="宋体" w:cs="宋体" w:hint="eastAsia"/>
                <w:lang w:eastAsia="zh-CN"/>
              </w:rPr>
              <w:t>有</w:t>
            </w:r>
            <w:r>
              <w:rPr>
                <w:rFonts w:ascii="宋体" w:eastAsia="宋体" w:hAnsi="宋体" w:cs="宋体" w:hint="eastAsia"/>
                <w:lang w:val="zh-CN" w:eastAsia="zh-CN"/>
              </w:rPr>
              <w:t>一定可操作性，评审为良</w:t>
            </w:r>
            <w:r>
              <w:rPr>
                <w:rFonts w:ascii="宋体" w:eastAsia="宋体" w:hAnsi="宋体" w:cs="宋体" w:hint="eastAsia"/>
                <w:lang w:eastAsia="zh-CN"/>
              </w:rPr>
              <w:t>得40</w:t>
            </w:r>
            <w:r>
              <w:rPr>
                <w:rFonts w:ascii="宋体" w:eastAsia="宋体" w:hAnsi="宋体" w:cs="宋体" w:hint="eastAsia"/>
                <w:lang w:val="zh-CN" w:eastAsia="zh-CN"/>
              </w:rPr>
              <w:t>分；</w:t>
            </w:r>
          </w:p>
          <w:p>
            <w:pPr>
              <w:widowControl/>
              <w:wordWrap w:val="0"/>
              <w:spacing w:line="240" w:lineRule="auto"/>
              <w:jc w:val="left"/>
              <w:textAlignment w:val="top"/>
              <w:rPr>
                <w:rFonts w:ascii="宋体" w:eastAsia="宋体" w:hAnsi="宋体" w:cs="宋体" w:hint="eastAsia"/>
                <w:lang w:val="zh-CN" w:eastAsia="zh-CN"/>
              </w:rPr>
            </w:pPr>
            <w:r>
              <w:rPr>
                <w:rFonts w:ascii="宋体" w:eastAsia="宋体" w:hAnsi="宋体" w:cs="宋体" w:hint="eastAsia"/>
                <w:lang w:eastAsia="zh-CN"/>
              </w:rPr>
              <w:t>3.</w:t>
            </w:r>
            <w:r>
              <w:rPr>
                <w:rFonts w:ascii="宋体" w:eastAsia="宋体" w:hAnsi="宋体" w:cs="宋体" w:hint="eastAsia"/>
                <w:lang w:val="zh-CN" w:eastAsia="zh-CN"/>
              </w:rPr>
              <w:t>运营方案和流程不尽合理、针对性一般、可操作性一般，评审为中</w:t>
            </w:r>
            <w:r>
              <w:rPr>
                <w:rFonts w:ascii="宋体" w:eastAsia="宋体" w:hAnsi="宋体" w:cs="宋体" w:hint="eastAsia"/>
                <w:lang w:eastAsia="zh-CN"/>
              </w:rPr>
              <w:t>得</w:t>
            </w:r>
            <w:r>
              <w:rPr>
                <w:rFonts w:ascii="宋体" w:eastAsia="宋体" w:hAnsi="宋体" w:cs="宋体" w:hint="eastAsia"/>
                <w:lang w:val="zh-CN" w:eastAsia="zh-CN"/>
              </w:rPr>
              <w:t>1</w:t>
            </w:r>
            <w:r>
              <w:rPr>
                <w:rFonts w:ascii="宋体" w:eastAsia="宋体" w:hAnsi="宋体" w:cs="宋体" w:hint="eastAsia"/>
                <w:lang w:eastAsia="zh-CN"/>
              </w:rPr>
              <w:t>0</w:t>
            </w:r>
            <w:r>
              <w:rPr>
                <w:rFonts w:ascii="宋体" w:eastAsia="宋体" w:hAnsi="宋体" w:cs="宋体" w:hint="eastAsia"/>
                <w:lang w:val="zh-CN" w:eastAsia="zh-CN"/>
              </w:rPr>
              <w:t>分；</w:t>
            </w:r>
          </w:p>
          <w:p>
            <w:pPr>
              <w:widowControl/>
              <w:wordWrap w:val="0"/>
              <w:spacing w:line="240" w:lineRule="auto"/>
              <w:jc w:val="left"/>
              <w:textAlignment w:val="top"/>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lang w:val="zh-CN" w:eastAsia="zh-CN"/>
              </w:rPr>
              <w:t>运营方案和流程不合理、无针对性、无可操作性</w:t>
            </w:r>
            <w:r>
              <w:rPr>
                <w:rFonts w:ascii="宋体" w:eastAsia="宋体" w:hAnsi="宋体" w:cs="宋体" w:hint="eastAsia"/>
              </w:rPr>
              <w:t>或未提</w:t>
            </w:r>
            <w:r>
              <w:rPr>
                <w:rFonts w:ascii="宋体" w:eastAsia="宋体" w:hAnsi="宋体" w:cs="宋体" w:hint="eastAsia"/>
                <w:lang w:val="zh-CN" w:eastAsia="zh-CN"/>
              </w:rPr>
              <w:t>供，</w:t>
            </w:r>
            <w:r>
              <w:rPr>
                <w:rFonts w:ascii="宋体" w:eastAsia="宋体" w:hAnsi="宋体" w:cs="宋体" w:hint="eastAsia"/>
                <w:lang w:eastAsia="zh-CN"/>
              </w:rPr>
              <w:t>评审为差</w:t>
            </w:r>
            <w:r>
              <w:rPr>
                <w:rFonts w:ascii="宋体" w:eastAsia="宋体" w:hAnsi="宋体" w:cs="宋体" w:hint="eastAsia"/>
                <w:lang w:val="zh-CN" w:eastAsia="zh-CN"/>
              </w:rPr>
              <w:t>不得分。</w:t>
            </w:r>
            <w:r>
              <w:rPr>
                <w:rFonts w:ascii="宋体" w:eastAsia="宋体" w:hAnsi="宋体" w:cs="宋体" w:hint="eastAsia"/>
              </w:rPr>
              <w:t>如评审为差，评审专家须书面说明理由，并记录在档。</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4</w:t>
            </w:r>
          </w:p>
        </w:tc>
        <w:tc>
          <w:tcPr>
            <w:tcW w:w="1274" w:type="dxa"/>
            <w:noWrap w:val="0"/>
            <w:vAlign w:val="center"/>
          </w:tcPr>
          <w:p>
            <w:pPr>
              <w:pageBreakBefore w:val="0"/>
              <w:widowControl w:val="0"/>
              <w:kinsoku/>
              <w:overflowPunct/>
              <w:topLinePunct w:val="0"/>
              <w:bidi w:val="0"/>
              <w:spacing w:before="62" w:beforeLines="20" w:after="62" w:afterLines="20" w:line="240" w:lineRule="auto"/>
              <w:jc w:val="center"/>
              <w:rPr>
                <w:rFonts w:ascii="宋体" w:eastAsia="宋体" w:hAnsi="宋体" w:cs="宋体" w:hint="eastAsia"/>
                <w:spacing w:val="6"/>
                <w:kern w:val="2"/>
                <w:lang w:eastAsia="zh-CN"/>
              </w:rPr>
            </w:pPr>
            <w:bookmarkStart w:id="10" w:name="OLE_LINK14"/>
            <w:r>
              <w:rPr>
                <w:rFonts w:ascii="宋体" w:eastAsia="宋体" w:hAnsi="宋体" w:cs="宋体" w:hint="eastAsia"/>
              </w:rPr>
              <w:t>项目运营方案</w:t>
            </w:r>
            <w:bookmarkEnd w:id="10"/>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4934" w:type="dxa"/>
            <w:noWrap w:val="0"/>
            <w:vAlign w:val="top"/>
          </w:tcPr>
          <w:p>
            <w:pPr>
              <w:numPr>
                <w:ilvl w:val="0"/>
                <w:numId w:val="0"/>
              </w:numPr>
              <w:spacing w:line="240" w:lineRule="auto"/>
              <w:ind w:left="0" w:firstLine="0"/>
              <w:jc w:val="both"/>
              <w:rPr>
                <w:rFonts w:ascii="宋体" w:eastAsia="宋体" w:hAnsi="宋体" w:cs="宋体" w:hint="eastAsia"/>
                <w:b/>
                <w:bCs/>
              </w:rPr>
            </w:pPr>
            <w:r>
              <w:rPr>
                <w:rFonts w:ascii="宋体" w:eastAsia="宋体" w:hAnsi="宋体" w:cs="宋体" w:hint="eastAsia"/>
                <w:b/>
                <w:bCs/>
              </w:rPr>
              <w:t>（一）</w:t>
            </w:r>
            <w:r>
              <w:rPr>
                <w:rFonts w:ascii="宋体" w:eastAsia="宋体" w:hAnsi="宋体" w:cs="宋体" w:hint="eastAsia"/>
                <w:b/>
                <w:bCs/>
              </w:rPr>
              <w:t>评审内容</w:t>
            </w:r>
          </w:p>
          <w:p>
            <w:pPr>
              <w:numPr>
                <w:ilvl w:val="0"/>
                <w:numId w:val="0"/>
              </w:numPr>
              <w:spacing w:line="240" w:lineRule="auto"/>
              <w:ind w:left="0" w:firstLine="0"/>
              <w:jc w:val="both"/>
              <w:rPr>
                <w:rFonts w:ascii="宋体" w:eastAsia="宋体" w:hAnsi="宋体" w:cs="宋体" w:hint="eastAsia"/>
                <w:lang w:val="sq-AL"/>
              </w:rPr>
            </w:pPr>
            <w:r>
              <w:rPr>
                <w:rFonts w:ascii="宋体" w:eastAsia="宋体" w:hAnsi="宋体" w:cs="宋体" w:hint="eastAsia"/>
              </w:rPr>
              <w:t>根据投标人</w:t>
            </w:r>
            <w:r>
              <w:rPr>
                <w:rFonts w:ascii="宋体" w:eastAsia="宋体" w:hAnsi="宋体" w:cs="宋体" w:hint="eastAsia"/>
                <w:lang w:eastAsia="zh-CN"/>
              </w:rPr>
              <w:t>提供的</w:t>
            </w:r>
            <w:r>
              <w:rPr>
                <w:rFonts w:ascii="宋体" w:eastAsia="宋体" w:hAnsi="宋体" w:cs="宋体" w:hint="eastAsia"/>
              </w:rPr>
              <w:t>项目运营方案</w:t>
            </w:r>
            <w:r>
              <w:rPr>
                <w:rFonts w:ascii="宋体" w:eastAsia="宋体" w:hAnsi="宋体" w:cs="宋体" w:hint="eastAsia"/>
                <w:lang w:val="sq-AL"/>
              </w:rPr>
              <w:t>进行评分，</w:t>
            </w:r>
            <w:r>
              <w:rPr>
                <w:rFonts w:ascii="宋体" w:eastAsia="宋体" w:hAnsi="宋体" w:cs="宋体" w:hint="eastAsia"/>
              </w:rPr>
              <w:t>方案</w:t>
            </w:r>
            <w:r>
              <w:rPr>
                <w:rFonts w:ascii="宋体" w:eastAsia="宋体" w:hAnsi="宋体" w:cs="宋体" w:hint="eastAsia"/>
                <w:lang w:eastAsia="zh-CN"/>
              </w:rPr>
              <w:t>应</w:t>
            </w:r>
            <w:r>
              <w:rPr>
                <w:rFonts w:ascii="宋体" w:eastAsia="宋体" w:hAnsi="宋体" w:cs="宋体" w:hint="eastAsia"/>
                <w:lang w:val="sq-AL"/>
              </w:rPr>
              <w:t>包括但不限于以下内容：</w:t>
            </w:r>
          </w:p>
          <w:p>
            <w:pPr>
              <w:widowControl/>
              <w:wordWrap w:val="0"/>
              <w:spacing w:line="240" w:lineRule="auto"/>
              <w:jc w:val="left"/>
              <w:textAlignment w:val="top"/>
              <w:rPr>
                <w:rFonts w:ascii="宋体" w:eastAsia="宋体" w:hAnsi="宋体" w:cs="宋体" w:hint="eastAsia"/>
                <w:lang w:eastAsia="zh-CN"/>
              </w:rPr>
            </w:pPr>
            <w:r>
              <w:rPr>
                <w:rFonts w:ascii="宋体" w:eastAsia="宋体" w:hAnsi="宋体" w:cs="宋体" w:hint="eastAsia"/>
                <w:lang w:eastAsia="zh-CN"/>
              </w:rPr>
              <w:t>1.项目整体</w:t>
            </w:r>
            <w:r>
              <w:rPr>
                <w:rFonts w:ascii="宋体" w:eastAsia="宋体" w:hAnsi="宋体" w:cs="宋体" w:hint="eastAsia"/>
              </w:rPr>
              <w:t>运营方案</w:t>
            </w:r>
            <w:r>
              <w:rPr>
                <w:rFonts w:ascii="宋体" w:eastAsia="宋体" w:hAnsi="宋体" w:cs="宋体" w:hint="eastAsia"/>
                <w:lang w:eastAsia="zh-CN"/>
              </w:rPr>
              <w:t>；</w:t>
            </w:r>
          </w:p>
          <w:p>
            <w:pPr>
              <w:widowControl/>
              <w:wordWrap w:val="0"/>
              <w:spacing w:line="240" w:lineRule="auto"/>
              <w:jc w:val="left"/>
              <w:textAlignment w:val="top"/>
              <w:rPr>
                <w:rFonts w:ascii="宋体" w:eastAsia="宋体" w:hAnsi="宋体" w:cs="宋体" w:hint="eastAsia"/>
                <w:lang w:eastAsia="zh-CN"/>
              </w:rPr>
            </w:pPr>
            <w:r>
              <w:rPr>
                <w:rFonts w:ascii="宋体" w:eastAsia="宋体" w:hAnsi="宋体" w:cs="宋体" w:hint="eastAsia"/>
                <w:lang w:eastAsia="zh-CN"/>
              </w:rPr>
              <w:t>2.项目智慧化运营举措</w:t>
            </w:r>
            <w:r>
              <w:rPr>
                <w:rFonts w:ascii="宋体" w:eastAsia="宋体" w:hAnsi="宋体" w:cs="宋体" w:hint="eastAsia"/>
              </w:rPr>
              <w:t>；</w:t>
            </w:r>
          </w:p>
          <w:p>
            <w:pPr>
              <w:widowControl/>
              <w:spacing w:line="240" w:lineRule="auto"/>
              <w:jc w:val="both"/>
              <w:rPr>
                <w:rFonts w:ascii="宋体" w:eastAsia="宋体" w:hAnsi="宋体" w:cs="宋体" w:hint="eastAsia"/>
              </w:rPr>
            </w:pPr>
            <w:r>
              <w:rPr>
                <w:rFonts w:ascii="宋体" w:eastAsia="宋体" w:hAnsi="宋体" w:cs="宋体" w:hint="eastAsia"/>
                <w:lang w:eastAsia="zh-CN"/>
              </w:rPr>
              <w:t>3</w:t>
            </w:r>
            <w:r>
              <w:rPr>
                <w:rFonts w:ascii="宋体" w:eastAsia="宋体" w:hAnsi="宋体" w:cs="宋体" w:hint="eastAsia"/>
              </w:rPr>
              <w:t>.项目规划。</w:t>
            </w:r>
          </w:p>
          <w:p>
            <w:pPr>
              <w:pageBreakBefore w:val="0"/>
              <w:widowControl w:val="0"/>
              <w:kinsoku/>
              <w:overflowPunct/>
              <w:topLinePunct w:val="0"/>
              <w:bidi w:val="0"/>
              <w:spacing w:line="240" w:lineRule="auto"/>
              <w:jc w:val="both"/>
              <w:rPr>
                <w:rFonts w:ascii="宋体" w:eastAsia="宋体" w:hAnsi="宋体" w:cs="宋体" w:hint="eastAsia"/>
                <w:b/>
                <w:kern w:val="2"/>
                <w:lang w:eastAsia="zh-CN"/>
              </w:rPr>
            </w:pPr>
            <w:r>
              <w:rPr>
                <w:rFonts w:ascii="宋体" w:eastAsia="宋体" w:hAnsi="宋体" w:cs="宋体" w:hint="eastAsia"/>
                <w:b/>
                <w:kern w:val="2"/>
                <w:lang w:eastAsia="zh-CN"/>
              </w:rPr>
              <w:t>（二）评审</w:t>
            </w:r>
            <w:r>
              <w:rPr>
                <w:rFonts w:ascii="宋体" w:eastAsia="宋体" w:hAnsi="宋体" w:cs="宋体" w:hint="eastAsia"/>
                <w:b/>
                <w:kern w:val="2"/>
                <w:lang w:eastAsia="zh-CN"/>
              </w:rPr>
              <w:t>标准</w:t>
            </w:r>
          </w:p>
          <w:p>
            <w:pPr>
              <w:spacing w:line="240" w:lineRule="auto"/>
              <w:jc w:val="left"/>
              <w:rPr>
                <w:rFonts w:ascii="宋体" w:eastAsia="宋体" w:hAnsi="宋体" w:cs="宋体" w:hint="eastAsia"/>
              </w:rPr>
            </w:pPr>
            <w:r>
              <w:rPr>
                <w:rFonts w:ascii="宋体" w:eastAsia="宋体" w:hAnsi="宋体" w:cs="宋体" w:hint="eastAsia"/>
              </w:rPr>
              <w:t>以上</w:t>
            </w:r>
            <w:r>
              <w:rPr>
                <w:rFonts w:ascii="宋体" w:eastAsia="宋体" w:hAnsi="宋体" w:cs="宋体" w:hint="eastAsia"/>
                <w:lang w:eastAsia="zh-CN"/>
              </w:rPr>
              <w:t>3项</w:t>
            </w:r>
            <w:r>
              <w:rPr>
                <w:rFonts w:ascii="宋体" w:eastAsia="宋体" w:hAnsi="宋体" w:cs="宋体" w:hint="eastAsia"/>
              </w:rPr>
              <w:t>内容，</w:t>
            </w:r>
            <w:r>
              <w:rPr>
                <w:rFonts w:ascii="宋体" w:eastAsia="宋体" w:hAnsi="宋体" w:cs="宋体" w:hint="eastAsia"/>
                <w:lang w:eastAsia="zh-CN"/>
              </w:rPr>
              <w:t>每提供一项得10分，全部提供得30分，</w:t>
            </w:r>
            <w:r>
              <w:rPr>
                <w:rFonts w:ascii="宋体" w:eastAsia="宋体" w:hAnsi="宋体" w:cs="宋体" w:hint="eastAsia"/>
              </w:rPr>
              <w:t>缺项不得分。在此基础上，专家根据内容的合理性进行评分:</w:t>
            </w:r>
          </w:p>
          <w:p>
            <w:pPr>
              <w:spacing w:line="240" w:lineRule="auto"/>
              <w:jc w:val="both"/>
              <w:rPr>
                <w:rFonts w:ascii="宋体" w:eastAsia="宋体" w:hAnsi="宋体" w:cs="宋体" w:hint="eastAsia"/>
                <w:lang w:val="sq-AL"/>
              </w:rPr>
            </w:pPr>
            <w:r>
              <w:rPr>
                <w:rFonts w:ascii="宋体" w:eastAsia="宋体" w:hAnsi="宋体" w:cs="宋体" w:hint="eastAsia"/>
                <w:lang w:val="sq-AL"/>
              </w:rPr>
              <w:t>1.项目</w:t>
            </w:r>
            <w:r>
              <w:rPr>
                <w:rFonts w:ascii="宋体" w:eastAsia="宋体" w:hAnsi="宋体" w:cs="宋体" w:hint="eastAsia"/>
              </w:rPr>
              <w:t>运营</w:t>
            </w:r>
            <w:r>
              <w:rPr>
                <w:rFonts w:ascii="宋体" w:eastAsia="宋体" w:hAnsi="宋体" w:cs="宋体" w:hint="eastAsia"/>
                <w:lang w:val="sq-AL"/>
              </w:rPr>
              <w:t>方案体系全面、可</w:t>
            </w:r>
            <w:r>
              <w:rPr>
                <w:rFonts w:ascii="宋体" w:eastAsia="宋体" w:hAnsi="宋体" w:cs="宋体" w:hint="eastAsia"/>
                <w:lang w:eastAsia="zh-CN"/>
              </w:rPr>
              <w:t>操作</w:t>
            </w:r>
            <w:r>
              <w:rPr>
                <w:rFonts w:ascii="宋体" w:eastAsia="宋体" w:hAnsi="宋体" w:cs="宋体" w:hint="eastAsia"/>
                <w:lang w:val="sq-AL"/>
              </w:rPr>
              <w:t>性强、方案合理</w:t>
            </w:r>
            <w:r>
              <w:rPr>
                <w:rFonts w:ascii="宋体" w:eastAsia="宋体" w:hAnsi="宋体" w:cs="宋体" w:hint="eastAsia"/>
                <w:lang w:val="sq-AL" w:eastAsia="zh-CN"/>
              </w:rPr>
              <w:t>，</w:t>
            </w:r>
            <w:r>
              <w:rPr>
                <w:rFonts w:ascii="宋体" w:eastAsia="宋体" w:hAnsi="宋体" w:cs="宋体" w:hint="eastAsia"/>
                <w:lang w:eastAsia="zh-CN"/>
              </w:rPr>
              <w:t>评审</w:t>
            </w:r>
            <w:r>
              <w:rPr>
                <w:rFonts w:ascii="宋体" w:eastAsia="宋体" w:hAnsi="宋体" w:cs="宋体" w:hint="eastAsia"/>
              </w:rPr>
              <w:t>为优得</w:t>
            </w:r>
            <w:r>
              <w:rPr>
                <w:rFonts w:ascii="宋体" w:eastAsia="宋体" w:hAnsi="宋体" w:cs="宋体" w:hint="eastAsia"/>
                <w:lang w:eastAsia="zh-CN"/>
              </w:rPr>
              <w:t>70</w:t>
            </w:r>
            <w:r>
              <w:rPr>
                <w:rFonts w:ascii="宋体" w:eastAsia="宋体" w:hAnsi="宋体" w:cs="宋体" w:hint="eastAsia"/>
                <w:lang w:val="sq-AL"/>
              </w:rPr>
              <w:t>分；</w:t>
            </w:r>
          </w:p>
          <w:p>
            <w:pPr>
              <w:spacing w:line="240" w:lineRule="auto"/>
              <w:jc w:val="both"/>
              <w:rPr>
                <w:rFonts w:ascii="宋体" w:eastAsia="宋体" w:hAnsi="宋体" w:cs="宋体" w:hint="eastAsia"/>
                <w:lang w:val="sq-AL"/>
              </w:rPr>
            </w:pPr>
            <w:r>
              <w:rPr>
                <w:rFonts w:ascii="宋体" w:eastAsia="宋体" w:hAnsi="宋体" w:cs="宋体" w:hint="eastAsia"/>
                <w:lang w:val="sq-AL"/>
              </w:rPr>
              <w:t>2.项目</w:t>
            </w:r>
            <w:r>
              <w:rPr>
                <w:rFonts w:ascii="宋体" w:eastAsia="宋体" w:hAnsi="宋体" w:cs="宋体" w:hint="eastAsia"/>
              </w:rPr>
              <w:t>运营</w:t>
            </w:r>
            <w:r>
              <w:rPr>
                <w:rFonts w:ascii="宋体" w:eastAsia="宋体" w:hAnsi="宋体" w:cs="宋体" w:hint="eastAsia"/>
                <w:lang w:val="sq-AL"/>
              </w:rPr>
              <w:t>方案体系较全面、可</w:t>
            </w:r>
            <w:r>
              <w:rPr>
                <w:rFonts w:ascii="宋体" w:eastAsia="宋体" w:hAnsi="宋体" w:cs="宋体" w:hint="eastAsia"/>
                <w:lang w:eastAsia="zh-CN"/>
              </w:rPr>
              <w:t>操作</w:t>
            </w:r>
            <w:r>
              <w:rPr>
                <w:rFonts w:ascii="宋体" w:eastAsia="宋体" w:hAnsi="宋体" w:cs="宋体" w:hint="eastAsia"/>
                <w:lang w:val="sq-AL"/>
              </w:rPr>
              <w:t>性较强、方案基本合理</w:t>
            </w:r>
            <w:r>
              <w:rPr>
                <w:rFonts w:ascii="宋体" w:eastAsia="宋体" w:hAnsi="宋体" w:cs="宋体" w:hint="eastAsia"/>
                <w:lang w:eastAsia="zh-CN"/>
              </w:rPr>
              <w:t>，</w:t>
            </w:r>
            <w:r>
              <w:rPr>
                <w:rFonts w:ascii="宋体" w:eastAsia="宋体" w:hAnsi="宋体" w:cs="宋体" w:hint="eastAsia"/>
                <w:lang w:eastAsia="zh-CN"/>
              </w:rPr>
              <w:t>评审</w:t>
            </w:r>
            <w:r>
              <w:rPr>
                <w:rFonts w:ascii="宋体" w:eastAsia="宋体" w:hAnsi="宋体" w:cs="宋体" w:hint="eastAsia"/>
              </w:rPr>
              <w:t>为良</w:t>
            </w:r>
            <w:r>
              <w:rPr>
                <w:rFonts w:ascii="宋体" w:eastAsia="宋体" w:hAnsi="宋体" w:cs="宋体" w:hint="eastAsia"/>
                <w:lang w:eastAsia="zh-CN"/>
              </w:rPr>
              <w:t>得40</w:t>
            </w:r>
            <w:r>
              <w:rPr>
                <w:rFonts w:ascii="宋体" w:eastAsia="宋体" w:hAnsi="宋体" w:cs="宋体" w:hint="eastAsia"/>
                <w:lang w:val="sq-AL" w:eastAsia="zh-CN"/>
              </w:rPr>
              <w:t>分</w:t>
            </w:r>
            <w:r>
              <w:rPr>
                <w:rFonts w:ascii="宋体" w:eastAsia="宋体" w:hAnsi="宋体" w:cs="宋体" w:hint="eastAsia"/>
                <w:lang w:val="sq-AL"/>
              </w:rPr>
              <w:t>；</w:t>
            </w:r>
          </w:p>
          <w:p>
            <w:pPr>
              <w:spacing w:line="240" w:lineRule="auto"/>
              <w:jc w:val="both"/>
              <w:rPr>
                <w:rFonts w:ascii="宋体" w:eastAsia="宋体" w:hAnsi="宋体" w:cs="宋体" w:hint="eastAsia"/>
                <w:lang w:val="sq-AL"/>
              </w:rPr>
            </w:pPr>
            <w:r>
              <w:rPr>
                <w:rFonts w:ascii="宋体" w:eastAsia="宋体" w:hAnsi="宋体" w:cs="宋体" w:hint="eastAsia"/>
                <w:lang w:val="sq-AL"/>
              </w:rPr>
              <w:t>3.项目</w:t>
            </w:r>
            <w:r>
              <w:rPr>
                <w:rFonts w:ascii="宋体" w:eastAsia="宋体" w:hAnsi="宋体" w:cs="宋体" w:hint="eastAsia"/>
              </w:rPr>
              <w:t>运营</w:t>
            </w:r>
            <w:r>
              <w:rPr>
                <w:rFonts w:ascii="宋体" w:eastAsia="宋体" w:hAnsi="宋体" w:cs="宋体" w:hint="eastAsia"/>
                <w:lang w:val="sq-AL"/>
              </w:rPr>
              <w:t>方案不全面、可</w:t>
            </w:r>
            <w:r>
              <w:rPr>
                <w:rFonts w:ascii="宋体" w:eastAsia="宋体" w:hAnsi="宋体" w:cs="宋体" w:hint="eastAsia"/>
                <w:lang w:eastAsia="zh-CN"/>
              </w:rPr>
              <w:t>操作</w:t>
            </w:r>
            <w:r>
              <w:rPr>
                <w:rFonts w:ascii="宋体" w:eastAsia="宋体" w:hAnsi="宋体" w:cs="宋体" w:hint="eastAsia"/>
                <w:lang w:val="sq-AL"/>
              </w:rPr>
              <w:t>性一般、方案合理情况一般</w:t>
            </w:r>
            <w:r>
              <w:rPr>
                <w:rFonts w:ascii="宋体" w:eastAsia="宋体" w:hAnsi="宋体" w:cs="宋体" w:hint="eastAsia"/>
                <w:lang w:eastAsia="zh-CN"/>
              </w:rPr>
              <w:t>，</w:t>
            </w:r>
            <w:r>
              <w:rPr>
                <w:rFonts w:ascii="宋体" w:eastAsia="宋体" w:hAnsi="宋体" w:cs="宋体" w:hint="eastAsia"/>
                <w:lang w:eastAsia="zh-CN"/>
              </w:rPr>
              <w:t>评审</w:t>
            </w:r>
            <w:r>
              <w:rPr>
                <w:rFonts w:ascii="宋体" w:eastAsia="宋体" w:hAnsi="宋体" w:cs="宋体" w:hint="eastAsia"/>
              </w:rPr>
              <w:t>为中</w:t>
            </w:r>
            <w:r>
              <w:rPr>
                <w:rFonts w:ascii="宋体" w:eastAsia="宋体" w:hAnsi="宋体" w:cs="宋体" w:hint="eastAsia"/>
                <w:lang w:eastAsia="zh-CN"/>
              </w:rPr>
              <w:t>得10</w:t>
            </w:r>
            <w:r>
              <w:rPr>
                <w:rFonts w:ascii="宋体" w:eastAsia="宋体" w:hAnsi="宋体" w:cs="宋体" w:hint="eastAsia"/>
                <w:lang w:val="sq-AL" w:eastAsia="zh-CN"/>
              </w:rPr>
              <w:t>分</w:t>
            </w:r>
            <w:r>
              <w:rPr>
                <w:rFonts w:ascii="宋体" w:eastAsia="宋体" w:hAnsi="宋体" w:cs="宋体" w:hint="eastAsia"/>
                <w:lang w:val="sq-AL"/>
              </w:rPr>
              <w:t>；</w:t>
            </w:r>
          </w:p>
          <w:p>
            <w:pPr>
              <w:pageBreakBefore w:val="0"/>
              <w:widowControl w:val="0"/>
              <w:kinsoku/>
              <w:overflowPunct/>
              <w:topLinePunct w:val="0"/>
              <w:bidi w:val="0"/>
              <w:spacing w:line="240" w:lineRule="auto"/>
              <w:jc w:val="both"/>
              <w:rPr>
                <w:rFonts w:ascii="宋体" w:eastAsia="宋体" w:hAnsi="宋体" w:cs="宋体" w:hint="eastAsia"/>
                <w:lang w:eastAsia="zh-CN"/>
              </w:rPr>
            </w:pPr>
            <w:r>
              <w:rPr>
                <w:rFonts w:ascii="宋体" w:eastAsia="宋体" w:hAnsi="宋体" w:cs="宋体" w:hint="eastAsia"/>
                <w:lang w:val="sq-AL"/>
              </w:rPr>
              <w:t>4.</w:t>
            </w:r>
            <w:r>
              <w:rPr>
                <w:rFonts w:ascii="宋体" w:eastAsia="宋体" w:hAnsi="宋体" w:cs="宋体" w:hint="eastAsia"/>
                <w:lang w:eastAsia="zh-CN"/>
              </w:rPr>
              <w:t>项目</w:t>
            </w:r>
            <w:r>
              <w:rPr>
                <w:rFonts w:ascii="宋体" w:eastAsia="宋体" w:hAnsi="宋体" w:cs="宋体" w:hint="eastAsia"/>
              </w:rPr>
              <w:t>运营</w:t>
            </w:r>
            <w:r>
              <w:rPr>
                <w:rFonts w:ascii="宋体" w:eastAsia="宋体" w:hAnsi="宋体" w:cs="宋体" w:hint="eastAsia"/>
                <w:lang w:val="sq-AL"/>
              </w:rPr>
              <w:t>方案不全面、</w:t>
            </w:r>
            <w:r>
              <w:rPr>
                <w:rFonts w:ascii="宋体" w:eastAsia="宋体" w:hAnsi="宋体" w:cs="宋体" w:hint="eastAsia"/>
              </w:rPr>
              <w:t>缺乏</w:t>
            </w:r>
            <w:r>
              <w:rPr>
                <w:rFonts w:ascii="宋体" w:eastAsia="宋体" w:hAnsi="宋体" w:cs="宋体" w:hint="eastAsia"/>
                <w:lang w:val="sq-AL"/>
              </w:rPr>
              <w:t>可</w:t>
            </w:r>
            <w:r>
              <w:rPr>
                <w:rFonts w:ascii="宋体" w:eastAsia="宋体" w:hAnsi="宋体" w:cs="宋体" w:hint="eastAsia"/>
                <w:lang w:eastAsia="zh-CN"/>
              </w:rPr>
              <w:t>操作</w:t>
            </w:r>
            <w:r>
              <w:rPr>
                <w:rFonts w:ascii="宋体" w:eastAsia="宋体" w:hAnsi="宋体" w:cs="宋体" w:hint="eastAsia"/>
                <w:lang w:val="sq-AL"/>
              </w:rPr>
              <w:t>性、方案</w:t>
            </w:r>
            <w:r>
              <w:rPr>
                <w:rFonts w:ascii="宋体" w:eastAsia="宋体" w:hAnsi="宋体" w:cs="宋体" w:hint="eastAsia"/>
              </w:rPr>
              <w:t>不</w:t>
            </w:r>
            <w:r>
              <w:rPr>
                <w:rFonts w:ascii="宋体" w:eastAsia="宋体" w:hAnsi="宋体" w:cs="宋体" w:hint="eastAsia"/>
                <w:lang w:val="sq-AL"/>
              </w:rPr>
              <w:t>合理</w:t>
            </w:r>
            <w:r>
              <w:rPr>
                <w:rFonts w:ascii="宋体" w:eastAsia="宋体" w:hAnsi="宋体" w:cs="宋体" w:hint="eastAsia"/>
                <w:lang w:val="sq-AL" w:eastAsia="zh-CN"/>
              </w:rPr>
              <w:t>，</w:t>
            </w:r>
            <w:r>
              <w:rPr>
                <w:rFonts w:ascii="宋体" w:eastAsia="宋体" w:hAnsi="宋体" w:cs="宋体" w:hint="eastAsia"/>
                <w:lang w:eastAsia="zh-CN"/>
              </w:rPr>
              <w:t>评审为差</w:t>
            </w:r>
            <w:r>
              <w:rPr>
                <w:rFonts w:ascii="宋体" w:eastAsia="宋体" w:hAnsi="宋体" w:cs="宋体" w:hint="eastAsia"/>
              </w:rPr>
              <w:t>不得</w:t>
            </w:r>
            <w:r>
              <w:rPr>
                <w:rFonts w:ascii="宋体" w:eastAsia="宋体" w:hAnsi="宋体" w:cs="宋体" w:hint="eastAsia"/>
                <w:lang w:val="sq-AL"/>
              </w:rPr>
              <w:t>分。</w:t>
            </w:r>
            <w:r>
              <w:rPr>
                <w:rFonts w:ascii="宋体" w:eastAsia="宋体" w:hAnsi="宋体" w:cs="宋体" w:hint="eastAsia"/>
                <w:lang w:eastAsia="zh-CN"/>
              </w:rPr>
              <w:t>如评审为差，评审专家须书面说明理由，并记录在档。</w:t>
            </w:r>
          </w:p>
        </w:tc>
      </w:tr>
      <w:tr>
        <w:tblPrEx>
          <w:tblW w:w="5000" w:type="pct"/>
          <w:jc w:val="center"/>
          <w:tblCellSpacing w:w="0" w:type="dxa"/>
          <w:tblLayout w:type="fixed"/>
          <w:tblCellMar>
            <w:top w:w="20" w:type="dxa"/>
            <w:left w:w="108" w:type="dxa"/>
            <w:bottom w:w="20" w:type="dxa"/>
            <w:right w:w="108" w:type="dxa"/>
          </w:tblCellMar>
        </w:tblPrEx>
        <w:trPr>
          <w:trHeight w:val="7507"/>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ind w:firstLine="240" w:firstLineChars="100"/>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ind w:firstLine="240" w:firstLineChars="100"/>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ind w:firstLine="240" w:firstLineChars="100"/>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ind w:firstLine="240" w:firstLineChars="100"/>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ind w:firstLine="240" w:firstLineChars="100"/>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ind w:firstLine="0" w:firstLineChars="0"/>
              <w:jc w:val="center"/>
              <w:rPr>
                <w:rFonts w:ascii="宋体" w:eastAsia="宋体" w:hAnsi="宋体" w:cs="宋体" w:hint="eastAsia"/>
                <w:kern w:val="2"/>
                <w:lang w:eastAsia="zh-CN"/>
              </w:rPr>
            </w:pPr>
            <w:r>
              <w:rPr>
                <w:rFonts w:ascii="宋体" w:eastAsia="宋体" w:hAnsi="宋体" w:cs="宋体" w:hint="eastAsia"/>
                <w:kern w:val="2"/>
                <w:lang w:eastAsia="zh-CN"/>
              </w:rPr>
              <w:t>5</w:t>
            </w:r>
          </w:p>
          <w:p>
            <w:pPr>
              <w:pageBreakBefore w:val="0"/>
              <w:widowControl w:val="0"/>
              <w:kinsoku/>
              <w:wordWrap w:val="0"/>
              <w:overflowPunct/>
              <w:topLinePunct w:val="0"/>
              <w:bidi w:val="0"/>
              <w:spacing w:line="240" w:lineRule="auto"/>
              <w:ind w:firstLine="0" w:firstLineChars="0"/>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ind w:firstLine="0" w:firstLineChars="0"/>
              <w:jc w:val="center"/>
              <w:rPr>
                <w:rFonts w:ascii="宋体" w:eastAsia="宋体" w:hAnsi="宋体" w:cs="宋体" w:hint="eastAsia"/>
                <w:kern w:val="2"/>
                <w:lang w:eastAsia="zh-CN"/>
              </w:rPr>
            </w:pPr>
          </w:p>
        </w:tc>
        <w:tc>
          <w:tcPr>
            <w:tcW w:w="1274" w:type="dxa"/>
            <w:noWrap w:val="0"/>
            <w:vAlign w:val="center"/>
          </w:tcPr>
          <w:p>
            <w:pPr>
              <w:pageBreakBefore w:val="0"/>
              <w:widowControl w:val="0"/>
              <w:kinsoku/>
              <w:overflowPunct/>
              <w:topLinePunct w:val="0"/>
              <w:bidi w:val="0"/>
              <w:spacing w:before="62" w:beforeLines="20" w:after="62" w:afterLines="20" w:line="240" w:lineRule="auto"/>
              <w:ind w:firstLine="0" w:firstLineChars="0"/>
              <w:jc w:val="center"/>
              <w:rPr>
                <w:rFonts w:ascii="宋体" w:eastAsia="宋体" w:hAnsi="宋体" w:cs="宋体" w:hint="eastAsia"/>
                <w:spacing w:val="6"/>
                <w:kern w:val="2"/>
                <w:lang w:eastAsia="zh-CN"/>
              </w:rPr>
            </w:pPr>
            <w:r>
              <w:rPr>
                <w:rFonts w:ascii="宋体" w:eastAsia="宋体" w:hAnsi="宋体" w:cs="宋体" w:hint="eastAsia"/>
              </w:rPr>
              <w:t>项目</w:t>
            </w:r>
            <w:r>
              <w:rPr>
                <w:rFonts w:ascii="宋体" w:eastAsia="宋体" w:hAnsi="宋体" w:cs="宋体" w:hint="eastAsia"/>
                <w:lang w:eastAsia="zh-CN"/>
              </w:rPr>
              <w:t>需求分析</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rPr>
              <w:t>5</w:t>
            </w:r>
          </w:p>
        </w:tc>
        <w:tc>
          <w:tcPr>
            <w:tcW w:w="4934" w:type="dxa"/>
            <w:noWrap w:val="0"/>
            <w:vAlign w:val="top"/>
          </w:tcPr>
          <w:p>
            <w:pPr>
              <w:widowControl/>
              <w:wordWrap w:val="0"/>
              <w:spacing w:line="240" w:lineRule="auto"/>
              <w:jc w:val="left"/>
              <w:textAlignment w:val="top"/>
              <w:rPr>
                <w:rFonts w:ascii="宋体" w:eastAsia="宋体" w:hAnsi="宋体" w:cs="宋体" w:hint="eastAsia"/>
                <w:b/>
                <w:bCs/>
              </w:rPr>
            </w:pPr>
            <w:r>
              <w:rPr>
                <w:rFonts w:ascii="宋体" w:eastAsia="宋体" w:hAnsi="宋体" w:cs="宋体" w:hint="eastAsia"/>
                <w:b/>
                <w:bCs/>
              </w:rPr>
              <w:t>（一）评审内容</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lang w:eastAsia="zh-CN"/>
              </w:rPr>
              <w:t>根据投标人提供的</w:t>
            </w:r>
            <w:r>
              <w:rPr>
                <w:rFonts w:ascii="宋体" w:eastAsia="宋体" w:hAnsi="宋体" w:cs="宋体" w:hint="eastAsia"/>
              </w:rPr>
              <w:t>项目</w:t>
            </w:r>
            <w:r>
              <w:rPr>
                <w:rFonts w:ascii="宋体" w:eastAsia="宋体" w:hAnsi="宋体" w:cs="宋体" w:hint="eastAsia"/>
                <w:lang w:eastAsia="zh-CN"/>
              </w:rPr>
              <w:t>需求分析进行评分</w:t>
            </w:r>
            <w:r>
              <w:rPr>
                <w:rFonts w:ascii="宋体" w:eastAsia="宋体" w:hAnsi="宋体" w:cs="宋体" w:hint="eastAsia"/>
                <w:lang w:eastAsia="zh-CN"/>
              </w:rPr>
              <w:t>，</w:t>
            </w:r>
            <w:r>
              <w:rPr>
                <w:rFonts w:ascii="宋体" w:eastAsia="宋体" w:hAnsi="宋体" w:cs="宋体" w:hint="eastAsia"/>
                <w:lang w:eastAsia="zh-CN"/>
              </w:rPr>
              <w:t>内容应</w:t>
            </w:r>
            <w:r>
              <w:rPr>
                <w:rFonts w:ascii="宋体" w:eastAsia="宋体" w:hAnsi="宋体" w:cs="宋体" w:hint="eastAsia"/>
              </w:rPr>
              <w:t>包含但不限于以下内容：</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1.对项目背景的理解；</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2.对项目需求及目的解读；</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3.对服务内容整体解读。</w:t>
            </w:r>
          </w:p>
          <w:p>
            <w:pPr>
              <w:widowControl/>
              <w:wordWrap w:val="0"/>
              <w:spacing w:line="240" w:lineRule="auto"/>
              <w:jc w:val="left"/>
              <w:textAlignment w:val="top"/>
              <w:rPr>
                <w:rFonts w:ascii="宋体" w:eastAsia="宋体" w:hAnsi="宋体" w:cs="宋体" w:hint="eastAsia"/>
                <w:b/>
                <w:bCs/>
              </w:rPr>
            </w:pPr>
            <w:r>
              <w:rPr>
                <w:rFonts w:ascii="宋体" w:eastAsia="宋体" w:hAnsi="宋体" w:cs="宋体" w:hint="eastAsia"/>
                <w:b/>
                <w:bCs/>
              </w:rPr>
              <w:t>（二）评审标准</w:t>
            </w:r>
          </w:p>
          <w:p>
            <w:pPr>
              <w:spacing w:line="240" w:lineRule="auto"/>
              <w:jc w:val="left"/>
              <w:rPr>
                <w:rFonts w:ascii="宋体" w:eastAsia="宋体" w:hAnsi="宋体" w:cs="宋体" w:hint="eastAsia"/>
              </w:rPr>
            </w:pPr>
            <w:r>
              <w:rPr>
                <w:rFonts w:ascii="宋体" w:eastAsia="宋体" w:hAnsi="宋体" w:cs="宋体" w:hint="eastAsia"/>
              </w:rPr>
              <w:t>以上</w:t>
            </w:r>
            <w:r>
              <w:rPr>
                <w:rFonts w:ascii="宋体" w:eastAsia="宋体" w:hAnsi="宋体" w:cs="宋体" w:hint="eastAsia"/>
                <w:lang w:eastAsia="zh-CN"/>
              </w:rPr>
              <w:t>3项</w:t>
            </w:r>
            <w:r>
              <w:rPr>
                <w:rFonts w:ascii="宋体" w:eastAsia="宋体" w:hAnsi="宋体" w:cs="宋体" w:hint="eastAsia"/>
              </w:rPr>
              <w:t>内容，</w:t>
            </w:r>
            <w:r>
              <w:rPr>
                <w:rFonts w:ascii="宋体" w:eastAsia="宋体" w:hAnsi="宋体" w:cs="宋体" w:hint="eastAsia"/>
                <w:lang w:eastAsia="zh-CN"/>
              </w:rPr>
              <w:t>每提供一项得10分，全部提供</w:t>
            </w:r>
            <w:r>
              <w:rPr>
                <w:rFonts w:ascii="宋体" w:eastAsia="宋体" w:hAnsi="宋体" w:cs="宋体" w:hint="eastAsia"/>
              </w:rPr>
              <w:t>得</w:t>
            </w:r>
            <w:r>
              <w:rPr>
                <w:rFonts w:ascii="宋体" w:eastAsia="宋体" w:hAnsi="宋体" w:cs="宋体" w:hint="eastAsia"/>
                <w:lang w:eastAsia="zh-CN"/>
              </w:rPr>
              <w:t>30</w:t>
            </w:r>
            <w:r>
              <w:rPr>
                <w:rFonts w:ascii="宋体" w:eastAsia="宋体" w:hAnsi="宋体" w:cs="宋体" w:hint="eastAsia"/>
              </w:rPr>
              <w:t>分</w:t>
            </w:r>
            <w:r>
              <w:rPr>
                <w:rFonts w:ascii="宋体" w:eastAsia="宋体" w:hAnsi="宋体" w:cs="宋体" w:hint="eastAsia"/>
                <w:lang w:eastAsia="zh-CN"/>
              </w:rPr>
              <w:t>，</w:t>
            </w:r>
            <w:r>
              <w:rPr>
                <w:rFonts w:ascii="宋体" w:eastAsia="宋体" w:hAnsi="宋体" w:cs="宋体" w:hint="eastAsia"/>
                <w:lang w:eastAsia="zh-CN"/>
              </w:rPr>
              <w:t>缺项不得分</w:t>
            </w:r>
            <w:r>
              <w:rPr>
                <w:rFonts w:ascii="宋体" w:eastAsia="宋体" w:hAnsi="宋体" w:cs="宋体" w:hint="eastAsia"/>
              </w:rPr>
              <w:t>。在此基础上，专家根据内容的合理性进行评分:</w:t>
            </w:r>
          </w:p>
          <w:p>
            <w:pPr>
              <w:pageBreakBefore w:val="0"/>
              <w:widowControl w:val="0"/>
              <w:kinsoku/>
              <w:overflowPunct/>
              <w:topLinePunct w:val="0"/>
              <w:bidi w:val="0"/>
              <w:spacing w:line="240" w:lineRule="auto"/>
              <w:jc w:val="left"/>
              <w:rPr>
                <w:rFonts w:ascii="宋体" w:eastAsia="宋体" w:hAnsi="宋体" w:cs="宋体" w:hint="eastAsia"/>
                <w:kern w:val="2"/>
                <w:lang w:eastAsia="zh-CN"/>
              </w:rPr>
            </w:pPr>
            <w:r>
              <w:rPr>
                <w:rFonts w:ascii="宋体" w:eastAsia="宋体" w:hAnsi="宋体" w:cs="宋体" w:hint="eastAsia"/>
                <w:kern w:val="2"/>
                <w:lang w:eastAsia="zh-CN"/>
              </w:rPr>
              <w:t>1.</w:t>
            </w:r>
            <w:r>
              <w:rPr>
                <w:rFonts w:ascii="宋体" w:eastAsia="宋体" w:hAnsi="宋体" w:cs="宋体" w:hint="eastAsia"/>
              </w:rPr>
              <w:t>理解准确到位，概括性强</w:t>
            </w:r>
            <w:r>
              <w:rPr>
                <w:rFonts w:ascii="宋体" w:eastAsia="宋体" w:hAnsi="宋体" w:cs="宋体" w:hint="eastAsia"/>
                <w:lang w:eastAsia="zh-CN"/>
              </w:rPr>
              <w:t>，</w:t>
            </w:r>
            <w:r>
              <w:rPr>
                <w:rFonts w:ascii="宋体" w:eastAsia="宋体" w:hAnsi="宋体" w:cs="宋体" w:hint="eastAsia"/>
                <w:kern w:val="2"/>
                <w:lang w:eastAsia="zh-CN"/>
              </w:rPr>
              <w:t>分析内容</w:t>
            </w:r>
            <w:r>
              <w:rPr>
                <w:rFonts w:ascii="宋体" w:eastAsia="宋体" w:hAnsi="宋体" w:cs="宋体" w:hint="eastAsia"/>
                <w:kern w:val="2"/>
                <w:lang w:eastAsia="zh-CN"/>
              </w:rPr>
              <w:t>符合实际、完整、规范、思路清晰，合理性强，</w:t>
            </w:r>
            <w:r>
              <w:rPr>
                <w:rFonts w:ascii="宋体" w:eastAsia="宋体" w:hAnsi="宋体" w:cs="宋体" w:hint="eastAsia"/>
                <w:kern w:val="2"/>
                <w:lang w:eastAsia="zh-CN"/>
              </w:rPr>
              <w:t>评审为优</w:t>
            </w:r>
            <w:r>
              <w:rPr>
                <w:rFonts w:ascii="宋体" w:eastAsia="宋体" w:hAnsi="宋体" w:cs="宋体" w:hint="eastAsia"/>
                <w:kern w:val="2"/>
                <w:lang w:eastAsia="zh-CN"/>
              </w:rPr>
              <w:t>得</w:t>
            </w:r>
            <w:r>
              <w:rPr>
                <w:rFonts w:ascii="宋体" w:eastAsia="宋体" w:hAnsi="宋体" w:cs="宋体" w:hint="eastAsia"/>
                <w:kern w:val="2"/>
                <w:lang w:eastAsia="zh-CN"/>
              </w:rPr>
              <w:t>70</w:t>
            </w:r>
            <w:r>
              <w:rPr>
                <w:rFonts w:ascii="宋体" w:eastAsia="宋体" w:hAnsi="宋体" w:cs="宋体" w:hint="eastAsia"/>
                <w:kern w:val="2"/>
                <w:lang w:eastAsia="zh-CN"/>
              </w:rPr>
              <w:t>分;</w:t>
            </w:r>
          </w:p>
          <w:p>
            <w:pPr>
              <w:pageBreakBefore w:val="0"/>
              <w:widowControl w:val="0"/>
              <w:kinsoku/>
              <w:overflowPunct/>
              <w:topLinePunct w:val="0"/>
              <w:bidi w:val="0"/>
              <w:spacing w:line="240" w:lineRule="auto"/>
              <w:jc w:val="left"/>
              <w:rPr>
                <w:rFonts w:ascii="宋体" w:eastAsia="宋体" w:hAnsi="宋体" w:cs="宋体" w:hint="eastAsia"/>
                <w:kern w:val="2"/>
                <w:lang w:eastAsia="zh-CN"/>
              </w:rPr>
            </w:pPr>
            <w:r>
              <w:rPr>
                <w:rFonts w:ascii="宋体" w:eastAsia="宋体" w:hAnsi="宋体" w:cs="宋体" w:hint="eastAsia"/>
                <w:kern w:val="2"/>
                <w:lang w:eastAsia="zh-CN"/>
              </w:rPr>
              <w:t>2.</w:t>
            </w:r>
            <w:r>
              <w:rPr>
                <w:rFonts w:ascii="宋体" w:eastAsia="宋体" w:hAnsi="宋体" w:cs="宋体" w:hint="eastAsia"/>
              </w:rPr>
              <w:t>理解</w:t>
            </w:r>
            <w:r>
              <w:rPr>
                <w:rFonts w:ascii="宋体" w:eastAsia="宋体" w:hAnsi="宋体" w:cs="宋体" w:hint="eastAsia"/>
                <w:lang w:eastAsia="zh-CN"/>
              </w:rPr>
              <w:t>比较</w:t>
            </w:r>
            <w:r>
              <w:rPr>
                <w:rFonts w:ascii="宋体" w:eastAsia="宋体" w:hAnsi="宋体" w:cs="宋体" w:hint="eastAsia"/>
              </w:rPr>
              <w:t>到位，具有一定概括性</w:t>
            </w:r>
            <w:r>
              <w:rPr>
                <w:rFonts w:ascii="宋体" w:eastAsia="宋体" w:hAnsi="宋体" w:cs="宋体" w:hint="eastAsia"/>
                <w:lang w:eastAsia="zh-CN"/>
              </w:rPr>
              <w:t>，</w:t>
            </w:r>
            <w:r>
              <w:rPr>
                <w:rFonts w:ascii="宋体" w:eastAsia="宋体" w:hAnsi="宋体" w:cs="宋体" w:hint="eastAsia"/>
                <w:kern w:val="2"/>
                <w:lang w:eastAsia="zh-CN"/>
              </w:rPr>
              <w:t>分析的内容</w:t>
            </w:r>
            <w:r>
              <w:rPr>
                <w:rFonts w:ascii="宋体" w:eastAsia="宋体" w:hAnsi="宋体" w:cs="宋体" w:hint="eastAsia"/>
                <w:kern w:val="2"/>
                <w:lang w:eastAsia="zh-CN"/>
              </w:rPr>
              <w:t>较符合实际、较完整规范、思路较清晰，合理性较强，</w:t>
            </w:r>
            <w:r>
              <w:rPr>
                <w:rFonts w:ascii="宋体" w:eastAsia="宋体" w:hAnsi="宋体" w:cs="宋体" w:hint="eastAsia"/>
                <w:kern w:val="2"/>
                <w:lang w:eastAsia="zh-CN"/>
              </w:rPr>
              <w:t>评审为</w:t>
            </w:r>
            <w:r>
              <w:rPr>
                <w:rFonts w:ascii="宋体" w:eastAsia="宋体" w:hAnsi="宋体" w:cs="宋体" w:hint="eastAsia"/>
                <w:kern w:val="2"/>
                <w:lang w:eastAsia="zh-CN"/>
              </w:rPr>
              <w:t>良得</w:t>
            </w:r>
            <w:r>
              <w:rPr>
                <w:rFonts w:ascii="宋体" w:eastAsia="宋体" w:hAnsi="宋体" w:cs="宋体" w:hint="eastAsia"/>
                <w:kern w:val="2"/>
                <w:lang w:eastAsia="zh-CN"/>
              </w:rPr>
              <w:t>40</w:t>
            </w:r>
            <w:r>
              <w:rPr>
                <w:rFonts w:ascii="宋体" w:eastAsia="宋体" w:hAnsi="宋体" w:cs="宋体" w:hint="eastAsia"/>
                <w:kern w:val="2"/>
                <w:lang w:eastAsia="zh-CN"/>
              </w:rPr>
              <w:t>分;</w:t>
            </w:r>
          </w:p>
          <w:p>
            <w:pPr>
              <w:pageBreakBefore w:val="0"/>
              <w:widowControl w:val="0"/>
              <w:kinsoku/>
              <w:overflowPunct/>
              <w:topLinePunct w:val="0"/>
              <w:bidi w:val="0"/>
              <w:spacing w:line="240" w:lineRule="auto"/>
              <w:jc w:val="left"/>
              <w:rPr>
                <w:rFonts w:ascii="宋体" w:eastAsia="宋体" w:hAnsi="宋体" w:cs="宋体" w:hint="eastAsia"/>
                <w:kern w:val="2"/>
                <w:lang w:eastAsia="zh-CN"/>
              </w:rPr>
            </w:pPr>
            <w:r>
              <w:rPr>
                <w:rFonts w:ascii="宋体" w:eastAsia="宋体" w:hAnsi="宋体" w:cs="宋体" w:hint="eastAsia"/>
                <w:kern w:val="2"/>
                <w:lang w:eastAsia="zh-CN"/>
              </w:rPr>
              <w:t>3.</w:t>
            </w:r>
            <w:r>
              <w:rPr>
                <w:rFonts w:ascii="宋体" w:eastAsia="宋体" w:hAnsi="宋体" w:cs="宋体" w:hint="eastAsia"/>
              </w:rPr>
              <w:t>理解有缺漏但基本到位，概括性低</w:t>
            </w:r>
            <w:r>
              <w:rPr>
                <w:rFonts w:ascii="宋体" w:eastAsia="宋体" w:hAnsi="宋体" w:cs="宋体" w:hint="eastAsia"/>
                <w:lang w:eastAsia="zh-CN"/>
              </w:rPr>
              <w:t>，</w:t>
            </w:r>
            <w:bookmarkStart w:id="11" w:name="OLE_LINK4"/>
            <w:r>
              <w:rPr>
                <w:rFonts w:ascii="宋体" w:eastAsia="宋体" w:hAnsi="宋体" w:cs="宋体" w:hint="eastAsia"/>
                <w:kern w:val="2"/>
                <w:lang w:eastAsia="zh-CN"/>
              </w:rPr>
              <w:t>分析的内容</w:t>
            </w:r>
            <w:bookmarkEnd w:id="11"/>
            <w:r>
              <w:rPr>
                <w:rFonts w:ascii="宋体" w:eastAsia="宋体" w:hAnsi="宋体" w:cs="宋体" w:hint="eastAsia"/>
                <w:kern w:val="2"/>
                <w:lang w:eastAsia="zh-CN"/>
              </w:rPr>
              <w:t>较普通、完整性规范性一般，思路不够清晰，合理性一般，</w:t>
            </w:r>
            <w:r>
              <w:rPr>
                <w:rFonts w:ascii="宋体" w:eastAsia="宋体" w:hAnsi="宋体" w:cs="宋体" w:hint="eastAsia"/>
                <w:kern w:val="2"/>
                <w:lang w:eastAsia="zh-CN"/>
              </w:rPr>
              <w:t>评审为中</w:t>
            </w:r>
            <w:r>
              <w:rPr>
                <w:rFonts w:ascii="宋体" w:eastAsia="宋体" w:hAnsi="宋体" w:cs="宋体" w:hint="eastAsia"/>
                <w:kern w:val="2"/>
                <w:lang w:eastAsia="zh-CN"/>
              </w:rPr>
              <w:t>得</w:t>
            </w:r>
            <w:r>
              <w:rPr>
                <w:rFonts w:ascii="宋体" w:eastAsia="宋体" w:hAnsi="宋体" w:cs="宋体" w:hint="eastAsia"/>
                <w:kern w:val="2"/>
                <w:lang w:eastAsia="zh-CN"/>
              </w:rPr>
              <w:t>10</w:t>
            </w:r>
            <w:r>
              <w:rPr>
                <w:rFonts w:ascii="宋体" w:eastAsia="宋体" w:hAnsi="宋体" w:cs="宋体" w:hint="eastAsia"/>
                <w:kern w:val="2"/>
                <w:lang w:eastAsia="zh-CN"/>
              </w:rPr>
              <w:t>分;</w:t>
            </w:r>
          </w:p>
          <w:p>
            <w:pPr>
              <w:pageBreakBefore w:val="0"/>
              <w:widowControl w:val="0"/>
              <w:kinsoku/>
              <w:overflowPunct/>
              <w:topLinePunct w:val="0"/>
              <w:bidi w:val="0"/>
              <w:spacing w:line="240" w:lineRule="auto"/>
              <w:jc w:val="left"/>
              <w:rPr>
                <w:rFonts w:ascii="宋体" w:eastAsia="宋体" w:hAnsi="宋体" w:cs="宋体" w:hint="eastAsia"/>
                <w:kern w:val="2"/>
                <w:lang w:eastAsia="zh-CN"/>
              </w:rPr>
            </w:pPr>
            <w:r>
              <w:rPr>
                <w:rFonts w:ascii="宋体" w:eastAsia="宋体" w:hAnsi="宋体" w:cs="宋体" w:hint="eastAsia"/>
                <w:kern w:val="2"/>
                <w:lang w:eastAsia="zh-CN"/>
              </w:rPr>
              <w:t>4.</w:t>
            </w:r>
            <w:r>
              <w:rPr>
                <w:rFonts w:ascii="宋体" w:eastAsia="宋体" w:hAnsi="宋体" w:cs="宋体" w:hint="eastAsia"/>
              </w:rPr>
              <w:t>理解有严重缺漏，无概括性</w:t>
            </w:r>
            <w:r>
              <w:rPr>
                <w:rFonts w:ascii="宋体" w:eastAsia="宋体" w:hAnsi="宋体" w:cs="宋体" w:hint="eastAsia"/>
                <w:lang w:eastAsia="zh-CN"/>
              </w:rPr>
              <w:t>，</w:t>
            </w:r>
            <w:r>
              <w:rPr>
                <w:rFonts w:ascii="宋体" w:eastAsia="宋体" w:hAnsi="宋体" w:cs="宋体" w:hint="eastAsia"/>
                <w:kern w:val="2"/>
                <w:lang w:eastAsia="zh-CN"/>
              </w:rPr>
              <w:t>方案不完整、不规范，思路不清晰，</w:t>
            </w:r>
            <w:r>
              <w:rPr>
                <w:rFonts w:ascii="宋体" w:eastAsia="宋体" w:hAnsi="宋体" w:cs="宋体" w:hint="eastAsia"/>
                <w:kern w:val="2"/>
                <w:lang w:eastAsia="zh-CN"/>
              </w:rPr>
              <w:t>分析的内容</w:t>
            </w:r>
            <w:r>
              <w:rPr>
                <w:rFonts w:ascii="宋体" w:eastAsia="宋体" w:hAnsi="宋体" w:cs="宋体" w:hint="eastAsia"/>
                <w:kern w:val="2"/>
                <w:lang w:eastAsia="zh-CN"/>
              </w:rPr>
              <w:t>合理性较差或未提供，</w:t>
            </w:r>
            <w:r>
              <w:rPr>
                <w:rFonts w:ascii="宋体" w:eastAsia="宋体" w:hAnsi="宋体" w:cs="宋体" w:hint="eastAsia"/>
                <w:kern w:val="2"/>
                <w:lang w:eastAsia="zh-CN"/>
              </w:rPr>
              <w:t>评审为差</w:t>
            </w:r>
            <w:r>
              <w:rPr>
                <w:rFonts w:ascii="宋体" w:eastAsia="宋体" w:hAnsi="宋体" w:cs="宋体" w:hint="eastAsia"/>
                <w:kern w:val="2"/>
                <w:lang w:eastAsia="zh-CN"/>
              </w:rPr>
              <w:t>不得分。如评审为差，评审专家须书面说明理由，并记录在档。</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ind w:firstLine="0" w:firstLineChars="0"/>
              <w:jc w:val="center"/>
              <w:rPr>
                <w:rFonts w:ascii="宋体" w:eastAsia="宋体" w:hAnsi="宋体" w:cs="宋体" w:hint="eastAsia"/>
                <w:kern w:val="2"/>
                <w:lang w:eastAsia="zh-CN"/>
              </w:rPr>
            </w:pPr>
          </w:p>
          <w:p>
            <w:pPr>
              <w:pageBreakBefore w:val="0"/>
              <w:widowControl w:val="0"/>
              <w:kinsoku/>
              <w:wordWrap w:val="0"/>
              <w:overflowPunct/>
              <w:topLinePunct w:val="0"/>
              <w:bidi w:val="0"/>
              <w:spacing w:line="240" w:lineRule="auto"/>
              <w:ind w:firstLine="0" w:firstLineChars="0"/>
              <w:jc w:val="center"/>
              <w:rPr>
                <w:rFonts w:ascii="宋体" w:eastAsia="宋体" w:hAnsi="宋体" w:cs="宋体" w:hint="eastAsia"/>
                <w:kern w:val="2"/>
                <w:lang w:eastAsia="zh-CN"/>
              </w:rPr>
            </w:pPr>
            <w:r>
              <w:rPr>
                <w:rFonts w:ascii="宋体" w:eastAsia="宋体" w:hAnsi="宋体" w:cs="宋体" w:hint="eastAsia"/>
                <w:kern w:val="2"/>
                <w:lang w:eastAsia="zh-CN"/>
              </w:rPr>
              <w:t>6</w:t>
            </w:r>
          </w:p>
        </w:tc>
        <w:tc>
          <w:tcPr>
            <w:tcW w:w="1274" w:type="dxa"/>
            <w:noWrap w:val="0"/>
            <w:vAlign w:val="center"/>
          </w:tcPr>
          <w:p>
            <w:pPr>
              <w:pageBreakBefore w:val="0"/>
              <w:widowControl w:val="0"/>
              <w:kinsoku/>
              <w:overflowPunct/>
              <w:topLinePunct w:val="0"/>
              <w:bidi w:val="0"/>
              <w:spacing w:before="62" w:beforeLines="20" w:after="62" w:afterLines="20" w:line="240" w:lineRule="auto"/>
              <w:jc w:val="center"/>
              <w:rPr>
                <w:rFonts w:ascii="宋体" w:eastAsia="宋体" w:hAnsi="宋体" w:cs="宋体" w:hint="eastAsia"/>
                <w:spacing w:val="7"/>
                <w:kern w:val="2"/>
                <w:lang w:eastAsia="zh-CN"/>
              </w:rPr>
            </w:pPr>
            <w:r>
              <w:rPr>
                <w:rFonts w:ascii="宋体" w:eastAsia="宋体" w:hAnsi="宋体" w:cs="宋体" w:hint="eastAsia"/>
                <w:lang w:eastAsia="zh-CN"/>
              </w:rPr>
              <w:t>项目</w:t>
            </w:r>
            <w:r>
              <w:rPr>
                <w:rFonts w:ascii="宋体" w:eastAsia="宋体" w:hAnsi="宋体" w:cs="宋体" w:hint="eastAsia"/>
              </w:rPr>
              <w:t>应急预案</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4934" w:type="dxa"/>
            <w:noWrap w:val="0"/>
            <w:vAlign w:val="top"/>
          </w:tcPr>
          <w:p>
            <w:pPr>
              <w:widowControl/>
              <w:wordWrap w:val="0"/>
              <w:spacing w:line="240" w:lineRule="auto"/>
              <w:jc w:val="left"/>
              <w:textAlignment w:val="top"/>
              <w:rPr>
                <w:rFonts w:ascii="宋体" w:eastAsia="宋体" w:hAnsi="宋体" w:cs="宋体" w:hint="eastAsia"/>
                <w:b/>
                <w:bCs/>
              </w:rPr>
            </w:pPr>
            <w:r>
              <w:rPr>
                <w:rFonts w:ascii="宋体" w:eastAsia="宋体" w:hAnsi="宋体" w:cs="宋体" w:hint="eastAsia"/>
                <w:b/>
                <w:bCs/>
              </w:rPr>
              <w:t>（一）评审内容</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lang w:eastAsia="zh-CN"/>
              </w:rPr>
              <w:t>根据投标人提供的项目</w:t>
            </w:r>
            <w:r>
              <w:rPr>
                <w:rFonts w:ascii="宋体" w:eastAsia="宋体" w:hAnsi="宋体" w:cs="宋体" w:hint="eastAsia"/>
              </w:rPr>
              <w:t>应急预案进行</w:t>
            </w:r>
            <w:r>
              <w:rPr>
                <w:rFonts w:ascii="宋体" w:eastAsia="宋体" w:hAnsi="宋体" w:cs="宋体" w:hint="eastAsia"/>
                <w:lang w:eastAsia="zh-CN"/>
              </w:rPr>
              <w:t>评分</w:t>
            </w:r>
            <w:r>
              <w:rPr>
                <w:rFonts w:ascii="宋体" w:eastAsia="宋体" w:hAnsi="宋体" w:cs="宋体" w:hint="eastAsia"/>
                <w:lang w:eastAsia="zh-CN"/>
              </w:rPr>
              <w:t>，</w:t>
            </w:r>
            <w:r>
              <w:rPr>
                <w:rFonts w:ascii="宋体" w:eastAsia="宋体" w:hAnsi="宋体" w:cs="宋体" w:hint="eastAsia"/>
                <w:lang w:eastAsia="zh-CN"/>
              </w:rPr>
              <w:t>内容应</w:t>
            </w:r>
            <w:r>
              <w:rPr>
                <w:rFonts w:ascii="宋体" w:eastAsia="宋体" w:hAnsi="宋体" w:cs="宋体" w:hint="eastAsia"/>
              </w:rPr>
              <w:t>包含但不限于以下内容：</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1.</w:t>
            </w:r>
            <w:r>
              <w:rPr>
                <w:rFonts w:ascii="宋体" w:eastAsia="宋体" w:hAnsi="宋体" w:cs="宋体" w:hint="eastAsia"/>
              </w:rPr>
              <w:t>食品安全</w:t>
            </w:r>
            <w:r>
              <w:rPr>
                <w:rFonts w:ascii="宋体" w:eastAsia="宋体" w:hAnsi="宋体" w:cs="宋体" w:hint="eastAsia"/>
              </w:rPr>
              <w:t>；</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2.</w:t>
            </w:r>
            <w:r>
              <w:rPr>
                <w:rFonts w:ascii="宋体" w:eastAsia="宋体" w:hAnsi="宋体" w:cs="宋体" w:hint="eastAsia"/>
              </w:rPr>
              <w:t>消防安全</w:t>
            </w:r>
            <w:r>
              <w:rPr>
                <w:rFonts w:ascii="宋体" w:eastAsia="宋体" w:hAnsi="宋体" w:cs="宋体" w:hint="eastAsia"/>
              </w:rPr>
              <w:t>；</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3.</w:t>
            </w:r>
            <w:r>
              <w:rPr>
                <w:rFonts w:ascii="宋体" w:eastAsia="宋体" w:hAnsi="宋体" w:cs="宋体" w:hint="eastAsia"/>
              </w:rPr>
              <w:t>风险管控。</w:t>
            </w:r>
          </w:p>
          <w:p>
            <w:pPr>
              <w:widowControl/>
              <w:wordWrap w:val="0"/>
              <w:spacing w:line="240" w:lineRule="auto"/>
              <w:jc w:val="left"/>
              <w:textAlignment w:val="top"/>
              <w:rPr>
                <w:rFonts w:ascii="宋体" w:eastAsia="宋体" w:hAnsi="宋体" w:cs="宋体" w:hint="eastAsia"/>
                <w:b/>
                <w:bCs/>
              </w:rPr>
            </w:pPr>
            <w:r>
              <w:rPr>
                <w:rFonts w:ascii="宋体" w:eastAsia="宋体" w:hAnsi="宋体" w:cs="宋体" w:hint="eastAsia"/>
                <w:b/>
                <w:bCs/>
              </w:rPr>
              <w:t>（二）评审标准</w:t>
            </w:r>
          </w:p>
          <w:p>
            <w:pPr>
              <w:spacing w:line="240" w:lineRule="auto"/>
              <w:jc w:val="left"/>
              <w:rPr>
                <w:rFonts w:ascii="宋体" w:eastAsia="宋体" w:hAnsi="宋体" w:cs="宋体" w:hint="eastAsia"/>
              </w:rPr>
            </w:pPr>
            <w:r>
              <w:rPr>
                <w:rFonts w:ascii="宋体" w:eastAsia="宋体" w:hAnsi="宋体" w:cs="宋体" w:hint="eastAsia"/>
              </w:rPr>
              <w:t>以上</w:t>
            </w:r>
            <w:r>
              <w:rPr>
                <w:rFonts w:ascii="宋体" w:eastAsia="宋体" w:hAnsi="宋体" w:cs="宋体" w:hint="eastAsia"/>
                <w:lang w:eastAsia="zh-CN"/>
              </w:rPr>
              <w:t>3项</w:t>
            </w:r>
            <w:r>
              <w:rPr>
                <w:rFonts w:ascii="宋体" w:eastAsia="宋体" w:hAnsi="宋体" w:cs="宋体" w:hint="eastAsia"/>
              </w:rPr>
              <w:t>内容，</w:t>
            </w:r>
            <w:r>
              <w:rPr>
                <w:rFonts w:ascii="宋体" w:eastAsia="宋体" w:hAnsi="宋体" w:cs="宋体" w:hint="eastAsia"/>
                <w:lang w:eastAsia="zh-CN"/>
              </w:rPr>
              <w:t>每提供一项得10分，全部提供</w:t>
            </w:r>
            <w:r>
              <w:rPr>
                <w:rFonts w:ascii="宋体" w:eastAsia="宋体" w:hAnsi="宋体" w:cs="宋体" w:hint="eastAsia"/>
              </w:rPr>
              <w:t>得</w:t>
            </w:r>
            <w:r>
              <w:rPr>
                <w:rFonts w:ascii="宋体" w:eastAsia="宋体" w:hAnsi="宋体" w:cs="宋体" w:hint="eastAsia"/>
                <w:lang w:eastAsia="zh-CN"/>
              </w:rPr>
              <w:t>30</w:t>
            </w:r>
            <w:r>
              <w:rPr>
                <w:rFonts w:ascii="宋体" w:eastAsia="宋体" w:hAnsi="宋体" w:cs="宋体" w:hint="eastAsia"/>
              </w:rPr>
              <w:t>分</w:t>
            </w:r>
            <w:r>
              <w:rPr>
                <w:rFonts w:ascii="宋体" w:eastAsia="宋体" w:hAnsi="宋体" w:cs="宋体" w:hint="eastAsia"/>
                <w:lang w:eastAsia="zh-CN"/>
              </w:rPr>
              <w:t>，</w:t>
            </w:r>
            <w:r>
              <w:rPr>
                <w:rFonts w:ascii="宋体" w:eastAsia="宋体" w:hAnsi="宋体" w:cs="宋体" w:hint="eastAsia"/>
                <w:lang w:eastAsia="zh-CN"/>
              </w:rPr>
              <w:t>缺项不得分</w:t>
            </w:r>
            <w:r>
              <w:rPr>
                <w:rFonts w:ascii="宋体" w:eastAsia="宋体" w:hAnsi="宋体" w:cs="宋体" w:hint="eastAsia"/>
              </w:rPr>
              <w:t>。在此基础上，专家根据内容的合理性进行评分:</w:t>
            </w:r>
          </w:p>
          <w:p>
            <w:pPr>
              <w:spacing w:line="240" w:lineRule="auto"/>
              <w:jc w:val="left"/>
              <w:rPr>
                <w:rFonts w:ascii="宋体" w:eastAsia="宋体" w:hAnsi="宋体" w:cs="宋体" w:hint="eastAsia"/>
              </w:rPr>
            </w:pPr>
            <w:r>
              <w:rPr>
                <w:rFonts w:ascii="宋体" w:eastAsia="宋体" w:hAnsi="宋体" w:cs="宋体" w:hint="eastAsia"/>
                <w:lang w:eastAsia="zh-CN"/>
              </w:rPr>
              <w:t>1.</w:t>
            </w:r>
            <w:r>
              <w:rPr>
                <w:rFonts w:ascii="宋体" w:eastAsia="宋体" w:hAnsi="宋体" w:cs="宋体" w:hint="eastAsia"/>
              </w:rPr>
              <w:t>预案符合实际、完整、规范、思路清晰，内容合理性强</w:t>
            </w:r>
            <w:r>
              <w:rPr>
                <w:rFonts w:ascii="宋体" w:eastAsia="宋体" w:hAnsi="宋体" w:cs="宋体" w:hint="eastAsia"/>
                <w:lang w:eastAsia="zh-CN"/>
              </w:rPr>
              <w:t>，</w:t>
            </w:r>
            <w:r>
              <w:rPr>
                <w:rFonts w:ascii="宋体" w:eastAsia="宋体" w:hAnsi="宋体" w:cs="宋体" w:hint="eastAsia"/>
                <w:lang w:eastAsia="zh-CN"/>
              </w:rPr>
              <w:t>评审为优</w:t>
            </w:r>
            <w:r>
              <w:rPr>
                <w:rFonts w:ascii="宋体" w:eastAsia="宋体" w:hAnsi="宋体" w:cs="宋体" w:hint="eastAsia"/>
              </w:rPr>
              <w:t>得</w:t>
            </w:r>
            <w:r>
              <w:rPr>
                <w:rFonts w:ascii="宋体" w:eastAsia="宋体" w:hAnsi="宋体" w:cs="宋体" w:hint="eastAsia"/>
                <w:lang w:eastAsia="zh-CN"/>
              </w:rPr>
              <w:t>70</w:t>
            </w:r>
            <w:r>
              <w:rPr>
                <w:rFonts w:ascii="宋体" w:eastAsia="宋体" w:hAnsi="宋体" w:cs="宋体" w:hint="eastAsia"/>
              </w:rPr>
              <w:t>分;</w:t>
            </w:r>
          </w:p>
          <w:p>
            <w:pPr>
              <w:spacing w:line="240" w:lineRule="auto"/>
              <w:jc w:val="left"/>
              <w:rPr>
                <w:rFonts w:ascii="宋体" w:eastAsia="宋体" w:hAnsi="宋体" w:cs="宋体" w:hint="eastAsia"/>
              </w:rPr>
            </w:pPr>
            <w:r>
              <w:rPr>
                <w:rFonts w:ascii="宋体" w:eastAsia="宋体" w:hAnsi="宋体" w:cs="宋体" w:hint="eastAsia"/>
                <w:lang w:eastAsia="zh-CN"/>
              </w:rPr>
              <w:t>2.</w:t>
            </w:r>
            <w:r>
              <w:rPr>
                <w:rFonts w:ascii="宋体" w:eastAsia="宋体" w:hAnsi="宋体" w:cs="宋体" w:hint="eastAsia"/>
              </w:rPr>
              <w:t>预案较符合实际、较完整规范、思路较清晰，内容合理性较强</w:t>
            </w:r>
            <w:r>
              <w:rPr>
                <w:rFonts w:ascii="宋体" w:eastAsia="宋体" w:hAnsi="宋体" w:cs="宋体" w:hint="eastAsia"/>
                <w:lang w:eastAsia="zh-CN"/>
              </w:rPr>
              <w:t>，</w:t>
            </w:r>
            <w:r>
              <w:rPr>
                <w:rFonts w:ascii="宋体" w:eastAsia="宋体" w:hAnsi="宋体" w:cs="宋体" w:hint="eastAsia"/>
                <w:lang w:eastAsia="zh-CN"/>
              </w:rPr>
              <w:t>评审为良</w:t>
            </w:r>
            <w:r>
              <w:rPr>
                <w:rFonts w:ascii="宋体" w:eastAsia="宋体" w:hAnsi="宋体" w:cs="宋体" w:hint="eastAsia"/>
              </w:rPr>
              <w:t>得</w:t>
            </w:r>
            <w:r>
              <w:rPr>
                <w:rFonts w:ascii="宋体" w:eastAsia="宋体" w:hAnsi="宋体" w:cs="宋体" w:hint="eastAsia"/>
                <w:lang w:eastAsia="zh-CN"/>
              </w:rPr>
              <w:t>40</w:t>
            </w:r>
            <w:r>
              <w:rPr>
                <w:rFonts w:ascii="宋体" w:eastAsia="宋体" w:hAnsi="宋体" w:cs="宋体" w:hint="eastAsia"/>
              </w:rPr>
              <w:t>分;</w:t>
            </w:r>
          </w:p>
          <w:p>
            <w:pPr>
              <w:spacing w:line="240" w:lineRule="auto"/>
              <w:jc w:val="left"/>
              <w:rPr>
                <w:rFonts w:ascii="宋体" w:eastAsia="宋体" w:hAnsi="宋体" w:cs="宋体" w:hint="eastAsia"/>
              </w:rPr>
            </w:pPr>
            <w:r>
              <w:rPr>
                <w:rFonts w:ascii="宋体" w:eastAsia="宋体" w:hAnsi="宋体" w:cs="宋体" w:hint="eastAsia"/>
                <w:lang w:eastAsia="zh-CN"/>
              </w:rPr>
              <w:t>3.</w:t>
            </w:r>
            <w:r>
              <w:rPr>
                <w:rFonts w:ascii="宋体" w:eastAsia="宋体" w:hAnsi="宋体" w:cs="宋体" w:hint="eastAsia"/>
              </w:rPr>
              <w:t>预案较普通、完整性、规范性</w:t>
            </w:r>
            <w:r>
              <w:rPr>
                <w:rFonts w:ascii="宋体" w:eastAsia="宋体" w:hAnsi="宋体" w:cs="宋体" w:hint="eastAsia"/>
                <w:lang w:eastAsia="zh-CN"/>
              </w:rPr>
              <w:t>一</w:t>
            </w:r>
            <w:r>
              <w:rPr>
                <w:rFonts w:ascii="宋体" w:eastAsia="宋体" w:hAnsi="宋体" w:cs="宋体" w:hint="eastAsia"/>
              </w:rPr>
              <w:t>般，思路不够清晰，内容合理性</w:t>
            </w:r>
            <w:r>
              <w:rPr>
                <w:rFonts w:ascii="宋体" w:eastAsia="宋体" w:hAnsi="宋体" w:cs="宋体" w:hint="eastAsia"/>
                <w:lang w:eastAsia="zh-CN"/>
              </w:rPr>
              <w:t>一</w:t>
            </w:r>
            <w:r>
              <w:rPr>
                <w:rFonts w:ascii="宋体" w:eastAsia="宋体" w:hAnsi="宋体" w:cs="宋体" w:hint="eastAsia"/>
              </w:rPr>
              <w:t>般</w:t>
            </w:r>
            <w:r>
              <w:rPr>
                <w:rFonts w:ascii="宋体" w:eastAsia="宋体" w:hAnsi="宋体" w:cs="宋体" w:hint="eastAsia"/>
                <w:lang w:eastAsia="zh-CN"/>
              </w:rPr>
              <w:t>，</w:t>
            </w:r>
            <w:r>
              <w:rPr>
                <w:rFonts w:ascii="宋体" w:eastAsia="宋体" w:hAnsi="宋体" w:cs="宋体" w:hint="eastAsia"/>
                <w:lang w:eastAsia="zh-CN"/>
              </w:rPr>
              <w:t>评审为中</w:t>
            </w:r>
            <w:r>
              <w:rPr>
                <w:rFonts w:ascii="宋体" w:eastAsia="宋体" w:hAnsi="宋体" w:cs="宋体" w:hint="eastAsia"/>
              </w:rPr>
              <w:t>得</w:t>
            </w:r>
            <w:r>
              <w:rPr>
                <w:rFonts w:ascii="宋体" w:eastAsia="宋体" w:hAnsi="宋体" w:cs="宋体" w:hint="eastAsia"/>
                <w:lang w:eastAsia="zh-CN"/>
              </w:rPr>
              <w:t>10</w:t>
            </w:r>
            <w:r>
              <w:rPr>
                <w:rFonts w:ascii="宋体" w:eastAsia="宋体" w:hAnsi="宋体" w:cs="宋体" w:hint="eastAsia"/>
              </w:rPr>
              <w:t>分;</w:t>
            </w:r>
          </w:p>
          <w:p>
            <w:pPr>
              <w:widowControl/>
              <w:spacing w:line="240" w:lineRule="auto"/>
              <w:rPr>
                <w:rFonts w:ascii="宋体" w:eastAsia="宋体" w:hAnsi="宋体" w:cs="宋体" w:hint="eastAsia"/>
                <w:kern w:val="2"/>
                <w:lang w:val="zh-CN" w:eastAsia="zh-CN"/>
              </w:rPr>
            </w:pPr>
            <w:r>
              <w:rPr>
                <w:rFonts w:ascii="宋体" w:eastAsia="宋体" w:hAnsi="宋体" w:cs="宋体" w:hint="eastAsia"/>
                <w:lang w:eastAsia="zh-CN"/>
              </w:rPr>
              <w:t>4.</w:t>
            </w:r>
            <w:r>
              <w:rPr>
                <w:rFonts w:ascii="宋体" w:eastAsia="宋体" w:hAnsi="宋体" w:cs="宋体" w:hint="eastAsia"/>
              </w:rPr>
              <w:t>预案不完整、不规范，思路不清晰，内容合理性较差或未提供</w:t>
            </w:r>
            <w:r>
              <w:rPr>
                <w:rFonts w:ascii="宋体" w:eastAsia="宋体" w:hAnsi="宋体" w:cs="宋体" w:hint="eastAsia"/>
                <w:lang w:eastAsia="zh-CN"/>
              </w:rPr>
              <w:t>，</w:t>
            </w:r>
            <w:r>
              <w:rPr>
                <w:rFonts w:ascii="宋体" w:eastAsia="宋体" w:hAnsi="宋体" w:cs="宋体" w:hint="eastAsia"/>
                <w:lang w:eastAsia="zh-CN"/>
              </w:rPr>
              <w:t>评审为差</w:t>
            </w:r>
            <w:r>
              <w:rPr>
                <w:rFonts w:ascii="宋体" w:eastAsia="宋体" w:hAnsi="宋体" w:cs="宋体" w:hint="eastAsia"/>
              </w:rPr>
              <w:t>不得分。如评审为差，评审专家须书面说明理由，并记录在档。</w:t>
            </w:r>
          </w:p>
        </w:tc>
      </w:tr>
      <w:tr>
        <w:tblPrEx>
          <w:tblW w:w="5000" w:type="pct"/>
          <w:jc w:val="center"/>
          <w:tblCellSpacing w:w="0" w:type="dxa"/>
          <w:tblLayout w:type="fixed"/>
          <w:tblCellMar>
            <w:top w:w="20" w:type="dxa"/>
            <w:left w:w="108" w:type="dxa"/>
            <w:bottom w:w="20" w:type="dxa"/>
            <w:right w:w="108" w:type="dxa"/>
          </w:tblCellMar>
        </w:tblPrEx>
        <w:trPr>
          <w:trHeight w:val="345"/>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ind w:firstLine="0" w:firstLineChars="0"/>
              <w:jc w:val="center"/>
              <w:rPr>
                <w:rFonts w:ascii="宋体" w:eastAsia="宋体" w:hAnsi="宋体" w:cs="宋体" w:hint="eastAsia"/>
                <w:kern w:val="2"/>
                <w:lang w:eastAsia="zh-CN"/>
              </w:rPr>
            </w:pPr>
            <w:r>
              <w:rPr>
                <w:rFonts w:ascii="宋体" w:eastAsia="宋体" w:hAnsi="宋体" w:cs="宋体" w:hint="eastAsia"/>
                <w:kern w:val="2"/>
                <w:lang w:eastAsia="zh-CN"/>
              </w:rPr>
              <w:t>7</w:t>
            </w:r>
          </w:p>
        </w:tc>
        <w:tc>
          <w:tcPr>
            <w:tcW w:w="1274" w:type="dxa"/>
            <w:noWrap w:val="0"/>
            <w:vAlign w:val="center"/>
          </w:tcPr>
          <w:p>
            <w:pPr>
              <w:wordWrap w:val="0"/>
              <w:spacing w:line="240" w:lineRule="auto"/>
              <w:rPr>
                <w:rFonts w:ascii="宋体" w:eastAsia="宋体" w:hAnsi="宋体" w:cs="宋体" w:hint="eastAsia"/>
              </w:rPr>
            </w:pPr>
            <w:r>
              <w:rPr>
                <w:rFonts w:ascii="宋体" w:eastAsia="宋体" w:hAnsi="宋体" w:cs="宋体" w:hint="eastAsia"/>
              </w:rPr>
              <w:t>项目重点难点分析、应对措施及相关的合理化建议</w:t>
            </w:r>
          </w:p>
          <w:p>
            <w:pPr>
              <w:pageBreakBefore w:val="0"/>
              <w:widowControl w:val="0"/>
              <w:kinsoku/>
              <w:wordWrap w:val="0"/>
              <w:overflowPunct/>
              <w:topLinePunct w:val="0"/>
              <w:bidi w:val="0"/>
              <w:spacing w:beforeLines="0" w:afterLines="0" w:line="240" w:lineRule="auto"/>
              <w:ind w:firstLine="0" w:firstLineChars="0"/>
              <w:jc w:val="center"/>
              <w:rPr>
                <w:rFonts w:ascii="宋体" w:eastAsia="宋体" w:hAnsi="宋体" w:cs="宋体" w:hint="eastAsia"/>
              </w:rPr>
            </w:pP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4934" w:type="dxa"/>
            <w:noWrap w:val="0"/>
            <w:vAlign w:val="top"/>
          </w:tcPr>
          <w:p>
            <w:pPr>
              <w:spacing w:line="240" w:lineRule="auto"/>
              <w:rPr>
                <w:rFonts w:ascii="宋体" w:eastAsia="宋体" w:hAnsi="宋体" w:cs="宋体" w:hint="eastAsia"/>
                <w:b/>
              </w:rPr>
            </w:pPr>
            <w:r>
              <w:rPr>
                <w:rFonts w:ascii="宋体" w:eastAsia="宋体" w:hAnsi="宋体" w:cs="宋体" w:hint="eastAsia"/>
                <w:b/>
              </w:rPr>
              <w:t>（一）评分内容</w:t>
            </w:r>
          </w:p>
          <w:p>
            <w:pPr>
              <w:wordWrap w:val="0"/>
              <w:spacing w:line="240" w:lineRule="auto"/>
              <w:rPr>
                <w:rFonts w:ascii="宋体" w:eastAsia="宋体" w:hAnsi="宋体" w:cs="宋体" w:hint="eastAsia"/>
              </w:rPr>
            </w:pPr>
            <w:r>
              <w:rPr>
                <w:rFonts w:ascii="宋体" w:eastAsia="宋体" w:hAnsi="宋体" w:cs="宋体" w:hint="eastAsia"/>
              </w:rPr>
              <w:t>考察针对本项目的重点难点分析、应对措施及相关的合理化建议，方案内容包括以下内容:</w:t>
            </w:r>
          </w:p>
          <w:p>
            <w:pPr>
              <w:wordWrap w:val="0"/>
              <w:spacing w:line="240" w:lineRule="auto"/>
              <w:rPr>
                <w:rFonts w:ascii="宋体" w:eastAsia="宋体" w:hAnsi="宋体" w:cs="宋体" w:hint="eastAsia"/>
                <w:lang w:eastAsia="zh-CN"/>
              </w:rPr>
            </w:pPr>
            <w:r>
              <w:rPr>
                <w:rFonts w:ascii="宋体" w:eastAsia="宋体" w:hAnsi="宋体" w:cs="宋体" w:hint="eastAsia"/>
              </w:rPr>
              <w:t>1.项目重点难点分析</w:t>
            </w:r>
            <w:r>
              <w:rPr>
                <w:rFonts w:ascii="宋体" w:eastAsia="宋体" w:hAnsi="宋体" w:cs="宋体" w:hint="eastAsia"/>
                <w:lang w:eastAsia="zh-CN"/>
              </w:rPr>
              <w:t>；</w:t>
            </w:r>
          </w:p>
          <w:p>
            <w:pPr>
              <w:wordWrap w:val="0"/>
              <w:spacing w:line="240" w:lineRule="auto"/>
              <w:rPr>
                <w:rFonts w:ascii="宋体" w:eastAsia="宋体" w:hAnsi="宋体" w:cs="宋体" w:hint="eastAsia"/>
              </w:rPr>
            </w:pPr>
            <w:r>
              <w:rPr>
                <w:rFonts w:ascii="宋体" w:eastAsia="宋体" w:hAnsi="宋体" w:cs="宋体" w:hint="eastAsia"/>
              </w:rPr>
              <w:t>2.针对重点难点的相关应对措施。</w:t>
            </w:r>
          </w:p>
          <w:p>
            <w:pPr>
              <w:spacing w:line="240" w:lineRule="auto"/>
              <w:rPr>
                <w:rFonts w:ascii="宋体" w:eastAsia="宋体" w:hAnsi="宋体" w:cs="宋体" w:hint="eastAsia"/>
                <w:b/>
              </w:rPr>
            </w:pPr>
            <w:r>
              <w:rPr>
                <w:rFonts w:ascii="宋体" w:eastAsia="宋体" w:hAnsi="宋体" w:cs="宋体" w:hint="eastAsia"/>
                <w:b/>
              </w:rPr>
              <w:t>（二）</w:t>
            </w:r>
            <w:r>
              <w:rPr>
                <w:rFonts w:ascii="宋体" w:eastAsia="宋体" w:hAnsi="宋体" w:cs="宋体" w:hint="eastAsia"/>
                <w:b/>
                <w:lang w:eastAsia="zh-CN"/>
              </w:rPr>
              <w:t>评审标准</w:t>
            </w:r>
          </w:p>
          <w:p>
            <w:pPr>
              <w:spacing w:line="240" w:lineRule="auto"/>
              <w:jc w:val="left"/>
              <w:rPr>
                <w:rFonts w:ascii="宋体" w:eastAsia="宋体" w:hAnsi="宋体" w:cs="宋体" w:hint="eastAsia"/>
                <w:lang w:eastAsia="zh-CN"/>
              </w:rPr>
            </w:pPr>
            <w:r>
              <w:rPr>
                <w:rFonts w:ascii="宋体" w:eastAsia="宋体" w:hAnsi="宋体" w:cs="宋体" w:hint="eastAsia"/>
              </w:rPr>
              <w:t>以上</w:t>
            </w:r>
            <w:r>
              <w:rPr>
                <w:rFonts w:ascii="宋体" w:eastAsia="宋体" w:hAnsi="宋体" w:cs="宋体" w:hint="eastAsia"/>
                <w:lang w:eastAsia="zh-CN"/>
              </w:rPr>
              <w:t>2项</w:t>
            </w:r>
            <w:r>
              <w:rPr>
                <w:rFonts w:ascii="宋体" w:eastAsia="宋体" w:hAnsi="宋体" w:cs="宋体" w:hint="eastAsia"/>
              </w:rPr>
              <w:t>内容，</w:t>
            </w:r>
            <w:r>
              <w:rPr>
                <w:rFonts w:ascii="宋体" w:eastAsia="宋体" w:hAnsi="宋体" w:cs="宋体" w:hint="eastAsia"/>
                <w:lang w:eastAsia="zh-CN"/>
              </w:rPr>
              <w:t>每提供1项得10分，全部提供</w:t>
            </w:r>
            <w:r>
              <w:rPr>
                <w:rFonts w:ascii="宋体" w:eastAsia="宋体" w:hAnsi="宋体" w:cs="宋体" w:hint="eastAsia"/>
              </w:rPr>
              <w:t>得</w:t>
            </w:r>
            <w:r>
              <w:rPr>
                <w:rFonts w:ascii="宋体" w:eastAsia="宋体" w:hAnsi="宋体" w:cs="宋体" w:hint="eastAsia"/>
                <w:lang w:eastAsia="zh-CN"/>
              </w:rPr>
              <w:t>20</w:t>
            </w:r>
            <w:r>
              <w:rPr>
                <w:rFonts w:ascii="宋体" w:eastAsia="宋体" w:hAnsi="宋体" w:cs="宋体" w:hint="eastAsia"/>
              </w:rPr>
              <w:t>分</w:t>
            </w:r>
            <w:r>
              <w:rPr>
                <w:rFonts w:ascii="宋体" w:eastAsia="宋体" w:hAnsi="宋体" w:cs="宋体" w:hint="eastAsia"/>
                <w:lang w:eastAsia="zh-CN"/>
              </w:rPr>
              <w:t>，</w:t>
            </w:r>
            <w:r>
              <w:rPr>
                <w:rFonts w:ascii="宋体" w:eastAsia="宋体" w:hAnsi="宋体" w:cs="宋体" w:hint="eastAsia"/>
                <w:lang w:eastAsia="zh-CN"/>
              </w:rPr>
              <w:t>缺项不得分</w:t>
            </w:r>
            <w:r>
              <w:rPr>
                <w:rFonts w:ascii="宋体" w:eastAsia="宋体" w:hAnsi="宋体" w:cs="宋体" w:hint="eastAsia"/>
              </w:rPr>
              <w:t>。在此基础上，专家根据内容的合理性进行评分</w:t>
            </w:r>
            <w:r>
              <w:rPr>
                <w:rFonts w:ascii="宋体" w:eastAsia="宋体" w:hAnsi="宋体" w:cs="宋体" w:hint="eastAsia"/>
                <w:lang w:eastAsia="zh-CN"/>
              </w:rPr>
              <w:t>。</w:t>
            </w:r>
          </w:p>
          <w:p>
            <w:pPr>
              <w:spacing w:line="240" w:lineRule="auto"/>
              <w:jc w:val="left"/>
              <w:rPr>
                <w:rFonts w:ascii="宋体" w:eastAsia="宋体" w:hAnsi="宋体" w:cs="宋体" w:hint="eastAsia"/>
              </w:rPr>
            </w:pPr>
            <w:r>
              <w:rPr>
                <w:rFonts w:ascii="宋体" w:eastAsia="宋体" w:hAnsi="宋体" w:cs="宋体" w:hint="eastAsia"/>
                <w:lang w:eastAsia="zh-CN"/>
              </w:rPr>
              <w:t>1.</w:t>
            </w:r>
            <w:r>
              <w:rPr>
                <w:rFonts w:ascii="宋体" w:eastAsia="宋体" w:hAnsi="宋体" w:cs="宋体" w:hint="eastAsia"/>
              </w:rPr>
              <w:t>方案符合实际、完整、规范、思路清晰，内容合理性强</w:t>
            </w:r>
            <w:r>
              <w:rPr>
                <w:rFonts w:ascii="宋体" w:eastAsia="宋体" w:hAnsi="宋体" w:cs="宋体" w:hint="eastAsia"/>
                <w:lang w:eastAsia="zh-CN"/>
              </w:rPr>
              <w:t>，</w:t>
            </w:r>
            <w:r>
              <w:rPr>
                <w:rFonts w:ascii="宋体" w:eastAsia="宋体" w:hAnsi="宋体" w:cs="宋体" w:hint="eastAsia"/>
                <w:lang w:eastAsia="zh-CN"/>
              </w:rPr>
              <w:t>评审为优</w:t>
            </w:r>
            <w:r>
              <w:rPr>
                <w:rFonts w:ascii="宋体" w:eastAsia="宋体" w:hAnsi="宋体" w:cs="宋体" w:hint="eastAsia"/>
              </w:rPr>
              <w:t>得</w:t>
            </w:r>
            <w:r>
              <w:rPr>
                <w:rFonts w:ascii="宋体" w:eastAsia="宋体" w:hAnsi="宋体" w:cs="宋体" w:hint="eastAsia"/>
                <w:lang w:eastAsia="zh-CN"/>
              </w:rPr>
              <w:t>80</w:t>
            </w:r>
            <w:r>
              <w:rPr>
                <w:rFonts w:ascii="宋体" w:eastAsia="宋体" w:hAnsi="宋体" w:cs="宋体" w:hint="eastAsia"/>
              </w:rPr>
              <w:t>分;</w:t>
            </w:r>
          </w:p>
          <w:p>
            <w:pPr>
              <w:spacing w:line="240" w:lineRule="auto"/>
              <w:jc w:val="left"/>
              <w:rPr>
                <w:rFonts w:ascii="宋体" w:eastAsia="宋体" w:hAnsi="宋体" w:cs="宋体" w:hint="eastAsia"/>
              </w:rPr>
            </w:pPr>
            <w:r>
              <w:rPr>
                <w:rFonts w:ascii="宋体" w:eastAsia="宋体" w:hAnsi="宋体" w:cs="宋体" w:hint="eastAsia"/>
                <w:lang w:eastAsia="zh-CN"/>
              </w:rPr>
              <w:t>2.</w:t>
            </w:r>
            <w:r>
              <w:rPr>
                <w:rFonts w:ascii="宋体" w:eastAsia="宋体" w:hAnsi="宋体" w:cs="宋体" w:hint="eastAsia"/>
              </w:rPr>
              <w:t>方案较符合实际、较完整规范、思路较清晰，内容合理性较强</w:t>
            </w:r>
            <w:r>
              <w:rPr>
                <w:rFonts w:ascii="宋体" w:eastAsia="宋体" w:hAnsi="宋体" w:cs="宋体" w:hint="eastAsia"/>
                <w:lang w:eastAsia="zh-CN"/>
              </w:rPr>
              <w:t>，</w:t>
            </w:r>
            <w:r>
              <w:rPr>
                <w:rFonts w:ascii="宋体" w:eastAsia="宋体" w:hAnsi="宋体" w:cs="宋体" w:hint="eastAsia"/>
                <w:lang w:eastAsia="zh-CN"/>
              </w:rPr>
              <w:t>评审为良</w:t>
            </w:r>
            <w:r>
              <w:rPr>
                <w:rFonts w:ascii="宋体" w:eastAsia="宋体" w:hAnsi="宋体" w:cs="宋体" w:hint="eastAsia"/>
              </w:rPr>
              <w:t>得</w:t>
            </w:r>
            <w:r>
              <w:rPr>
                <w:rFonts w:ascii="宋体" w:eastAsia="宋体" w:hAnsi="宋体" w:cs="宋体" w:hint="eastAsia"/>
                <w:lang w:eastAsia="zh-CN"/>
              </w:rPr>
              <w:t>40</w:t>
            </w:r>
            <w:r>
              <w:rPr>
                <w:rFonts w:ascii="宋体" w:eastAsia="宋体" w:hAnsi="宋体" w:cs="宋体" w:hint="eastAsia"/>
              </w:rPr>
              <w:t>分;</w:t>
            </w:r>
          </w:p>
          <w:p>
            <w:pPr>
              <w:spacing w:line="240" w:lineRule="auto"/>
              <w:jc w:val="left"/>
              <w:rPr>
                <w:rFonts w:ascii="宋体" w:eastAsia="宋体" w:hAnsi="宋体" w:cs="宋体" w:hint="eastAsia"/>
              </w:rPr>
            </w:pPr>
            <w:r>
              <w:rPr>
                <w:rFonts w:ascii="宋体" w:eastAsia="宋体" w:hAnsi="宋体" w:cs="宋体" w:hint="eastAsia"/>
                <w:lang w:eastAsia="zh-CN"/>
              </w:rPr>
              <w:t>3.</w:t>
            </w:r>
            <w:r>
              <w:rPr>
                <w:rFonts w:ascii="宋体" w:eastAsia="宋体" w:hAnsi="宋体" w:cs="宋体" w:hint="eastAsia"/>
              </w:rPr>
              <w:t>方案较普通、完整性、规范性</w:t>
            </w:r>
            <w:r>
              <w:rPr>
                <w:rFonts w:ascii="宋体" w:eastAsia="宋体" w:hAnsi="宋体" w:cs="宋体" w:hint="eastAsia"/>
                <w:lang w:eastAsia="zh-CN"/>
              </w:rPr>
              <w:t>一</w:t>
            </w:r>
            <w:r>
              <w:rPr>
                <w:rFonts w:ascii="宋体" w:eastAsia="宋体" w:hAnsi="宋体" w:cs="宋体" w:hint="eastAsia"/>
              </w:rPr>
              <w:t>般，思路不够清晰，内容合理性</w:t>
            </w:r>
            <w:r>
              <w:rPr>
                <w:rFonts w:ascii="宋体" w:eastAsia="宋体" w:hAnsi="宋体" w:cs="宋体" w:hint="eastAsia"/>
                <w:lang w:eastAsia="zh-CN"/>
              </w:rPr>
              <w:t>一</w:t>
            </w:r>
            <w:r>
              <w:rPr>
                <w:rFonts w:ascii="宋体" w:eastAsia="宋体" w:hAnsi="宋体" w:cs="宋体" w:hint="eastAsia"/>
              </w:rPr>
              <w:t>般</w:t>
            </w:r>
            <w:r>
              <w:rPr>
                <w:rFonts w:ascii="宋体" w:eastAsia="宋体" w:hAnsi="宋体" w:cs="宋体" w:hint="eastAsia"/>
                <w:lang w:eastAsia="zh-CN"/>
              </w:rPr>
              <w:t>，</w:t>
            </w:r>
            <w:r>
              <w:rPr>
                <w:rFonts w:ascii="宋体" w:eastAsia="宋体" w:hAnsi="宋体" w:cs="宋体" w:hint="eastAsia"/>
                <w:lang w:eastAsia="zh-CN"/>
              </w:rPr>
              <w:t>评审为中</w:t>
            </w:r>
            <w:r>
              <w:rPr>
                <w:rFonts w:ascii="宋体" w:eastAsia="宋体" w:hAnsi="宋体" w:cs="宋体" w:hint="eastAsia"/>
              </w:rPr>
              <w:t>得1</w:t>
            </w:r>
            <w:r>
              <w:rPr>
                <w:rFonts w:ascii="宋体" w:eastAsia="宋体" w:hAnsi="宋体" w:cs="宋体" w:hint="eastAsia"/>
                <w:lang w:eastAsia="zh-CN"/>
              </w:rPr>
              <w:t>0</w:t>
            </w:r>
            <w:r>
              <w:rPr>
                <w:rFonts w:ascii="宋体" w:eastAsia="宋体" w:hAnsi="宋体" w:cs="宋体" w:hint="eastAsia"/>
              </w:rPr>
              <w:t>分;</w:t>
            </w:r>
          </w:p>
          <w:p>
            <w:pPr>
              <w:widowControl/>
              <w:wordWrap w:val="0"/>
              <w:spacing w:line="240" w:lineRule="auto"/>
              <w:jc w:val="left"/>
              <w:textAlignment w:val="top"/>
              <w:rPr>
                <w:rFonts w:hint="eastAsia"/>
                <w:lang w:eastAsia="zh-CN"/>
              </w:rPr>
            </w:pPr>
            <w:r>
              <w:rPr>
                <w:rFonts w:ascii="宋体" w:eastAsia="宋体" w:hAnsi="宋体" w:cs="宋体" w:hint="eastAsia"/>
                <w:lang w:eastAsia="zh-CN"/>
              </w:rPr>
              <w:t>3.</w:t>
            </w:r>
            <w:r>
              <w:rPr>
                <w:rFonts w:ascii="宋体" w:eastAsia="宋体" w:hAnsi="宋体" w:cs="宋体" w:hint="eastAsia"/>
              </w:rPr>
              <w:t>方案不完整、不规范，思路不清晰，内容合理性较差或未提供</w:t>
            </w:r>
            <w:r>
              <w:rPr>
                <w:rFonts w:ascii="宋体" w:eastAsia="宋体" w:hAnsi="宋体" w:cs="宋体" w:hint="eastAsia"/>
                <w:lang w:eastAsia="zh-CN"/>
              </w:rPr>
              <w:t>，</w:t>
            </w:r>
            <w:r>
              <w:rPr>
                <w:rFonts w:ascii="宋体" w:eastAsia="宋体" w:hAnsi="宋体" w:cs="宋体" w:hint="eastAsia"/>
                <w:lang w:eastAsia="zh-CN"/>
              </w:rPr>
              <w:t>评审为差</w:t>
            </w:r>
            <w:r>
              <w:rPr>
                <w:rFonts w:ascii="宋体" w:eastAsia="宋体" w:hAnsi="宋体" w:cs="宋体" w:hint="eastAsia"/>
              </w:rPr>
              <w:t>不得分。</w:t>
            </w:r>
            <w:r>
              <w:rPr>
                <w:rFonts w:ascii="宋体" w:eastAsia="宋体" w:hAnsi="宋体" w:cs="宋体" w:hint="eastAsia"/>
              </w:rPr>
              <w:t>如评审为差，评审专家须书面说明理由，并记录在档。</w:t>
            </w:r>
          </w:p>
        </w:tc>
      </w:tr>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415" w:type="dxa"/>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ind w:firstLine="0" w:firstLineChars="0"/>
              <w:jc w:val="center"/>
              <w:rPr>
                <w:rFonts w:ascii="宋体" w:eastAsia="宋体" w:hAnsi="宋体" w:cs="宋体" w:hint="eastAsia"/>
                <w:kern w:val="2"/>
                <w:lang w:eastAsia="zh-CN"/>
              </w:rPr>
            </w:pPr>
            <w:r>
              <w:rPr>
                <w:rFonts w:ascii="宋体" w:eastAsia="宋体" w:hAnsi="宋体" w:cs="宋体" w:hint="eastAsia"/>
                <w:kern w:val="2"/>
                <w:lang w:eastAsia="zh-CN"/>
              </w:rPr>
              <w:t>8</w:t>
            </w:r>
          </w:p>
        </w:tc>
        <w:tc>
          <w:tcPr>
            <w:tcW w:w="1274"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val="zh-CN" w:eastAsia="zh-CN"/>
              </w:rPr>
            </w:pPr>
            <w:r>
              <w:rPr>
                <w:rFonts w:ascii="宋体" w:eastAsia="宋体" w:hAnsi="宋体" w:cs="宋体" w:hint="eastAsia"/>
              </w:rPr>
              <w:t>拟安排的项目负责人情况（仅限一人）</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4934" w:type="dxa"/>
            <w:noWrap w:val="0"/>
            <w:vAlign w:val="top"/>
          </w:tcPr>
          <w:p>
            <w:pPr>
              <w:spacing w:line="240" w:lineRule="auto"/>
              <w:rPr>
                <w:rFonts w:ascii="宋体" w:eastAsia="宋体" w:hAnsi="宋体" w:cs="宋体" w:hint="eastAsia"/>
                <w:b/>
              </w:rPr>
            </w:pPr>
            <w:r>
              <w:rPr>
                <w:rFonts w:ascii="宋体" w:eastAsia="宋体" w:hAnsi="宋体" w:cs="宋体" w:hint="eastAsia"/>
                <w:b/>
              </w:rPr>
              <w:t>（一）</w:t>
            </w:r>
            <w:r>
              <w:rPr>
                <w:rFonts w:ascii="宋体" w:eastAsia="宋体" w:hAnsi="宋体" w:cs="宋体" w:hint="eastAsia"/>
                <w:b/>
              </w:rPr>
              <w:t>评审内容</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lang w:eastAsia="zh-CN"/>
              </w:rPr>
              <w:t>考察投标人</w:t>
            </w:r>
            <w:r>
              <w:rPr>
                <w:rFonts w:ascii="宋体" w:eastAsia="宋体" w:hAnsi="宋体" w:cs="宋体" w:hint="eastAsia"/>
              </w:rPr>
              <w:t>拟安排的项目负责人</w:t>
            </w:r>
            <w:r>
              <w:rPr>
                <w:rFonts w:ascii="宋体" w:eastAsia="宋体" w:hAnsi="宋体" w:cs="宋体" w:hint="eastAsia"/>
                <w:lang w:eastAsia="zh-CN"/>
              </w:rPr>
              <w:t>的工作经验、资质、学历情况</w:t>
            </w:r>
            <w:r>
              <w:rPr>
                <w:rFonts w:ascii="宋体" w:eastAsia="宋体" w:hAnsi="宋体" w:cs="宋体" w:hint="eastAsia"/>
              </w:rPr>
              <w:t>。</w:t>
            </w:r>
          </w:p>
          <w:p>
            <w:pPr>
              <w:spacing w:line="240" w:lineRule="auto"/>
              <w:rPr>
                <w:rFonts w:ascii="宋体" w:eastAsia="宋体" w:hAnsi="宋体" w:cs="宋体" w:hint="eastAsia"/>
                <w:b/>
                <w:lang w:eastAsia="zh-CN"/>
              </w:rPr>
            </w:pPr>
            <w:r>
              <w:rPr>
                <w:rFonts w:ascii="宋体" w:eastAsia="宋体" w:hAnsi="宋体" w:cs="宋体" w:hint="eastAsia"/>
                <w:b/>
                <w:lang w:eastAsia="zh-CN"/>
              </w:rPr>
              <w:t>（二）评审标准</w:t>
            </w:r>
          </w:p>
          <w:p>
            <w:pPr>
              <w:widowControl/>
              <w:wordWrap w:val="0"/>
              <w:spacing w:line="240" w:lineRule="auto"/>
              <w:jc w:val="left"/>
              <w:textAlignment w:val="top"/>
              <w:rPr>
                <w:rFonts w:ascii="宋体" w:eastAsia="宋体" w:hAnsi="宋体" w:cs="宋体" w:hint="eastAsia"/>
                <w:lang w:eastAsia="zh-CN"/>
              </w:rPr>
            </w:pPr>
            <w:r>
              <w:rPr>
                <w:rFonts w:ascii="宋体" w:eastAsia="宋体" w:hAnsi="宋体" w:cs="宋体" w:hint="eastAsia"/>
              </w:rPr>
              <w:t>拟安排的项目负责人须为投标人自有员工（以社保为准）</w:t>
            </w:r>
            <w:r>
              <w:rPr>
                <w:rFonts w:ascii="宋体" w:eastAsia="宋体" w:hAnsi="宋体" w:cs="宋体" w:hint="eastAsia"/>
                <w:lang w:eastAsia="zh-CN"/>
              </w:rPr>
              <w:t>，</w:t>
            </w:r>
            <w:r>
              <w:rPr>
                <w:rFonts w:ascii="宋体" w:eastAsia="宋体" w:hAnsi="宋体" w:cs="宋体" w:hint="eastAsia"/>
                <w:lang w:eastAsia="zh-CN"/>
              </w:rPr>
              <w:t>否则本项不得分。在此基础上，进行评分：</w:t>
            </w:r>
          </w:p>
          <w:p>
            <w:pPr>
              <w:widowControl/>
              <w:numPr>
                <w:ilvl w:val="0"/>
                <w:numId w:val="0"/>
              </w:numPr>
              <w:snapToGrid w:val="0"/>
              <w:spacing w:line="240" w:lineRule="auto"/>
              <w:ind w:left="0" w:firstLine="0"/>
              <w:jc w:val="left"/>
              <w:rPr>
                <w:rFonts w:ascii="宋体" w:eastAsia="宋体" w:hAnsi="宋体" w:cs="宋体"/>
                <w:lang w:eastAsia="zh-CN"/>
              </w:rPr>
            </w:pPr>
            <w:r>
              <w:rPr>
                <w:rFonts w:ascii="宋体" w:eastAsia="宋体" w:hAnsi="宋体" w:cs="宋体" w:hint="eastAsia"/>
                <w:lang w:eastAsia="zh-CN"/>
              </w:rPr>
              <w:t>1.</w:t>
            </w:r>
            <w:r>
              <w:rPr>
                <w:rFonts w:ascii="宋体" w:eastAsia="宋体" w:hAnsi="宋体" w:cs="宋体" w:hint="eastAsia"/>
              </w:rPr>
              <w:t>从事养老相关工作5年（含）以上得</w:t>
            </w:r>
            <w:r>
              <w:rPr>
                <w:rFonts w:ascii="宋体" w:eastAsia="宋体" w:hAnsi="宋体" w:cs="宋体" w:hint="eastAsia"/>
                <w:lang w:eastAsia="zh-CN"/>
              </w:rPr>
              <w:t>50</w:t>
            </w:r>
            <w:r>
              <w:rPr>
                <w:rFonts w:ascii="宋体" w:eastAsia="宋体" w:hAnsi="宋体" w:cs="宋体" w:hint="eastAsia"/>
              </w:rPr>
              <w:t>分</w:t>
            </w:r>
            <w:r>
              <w:rPr>
                <w:rFonts w:ascii="宋体" w:eastAsia="宋体" w:hAnsi="宋体" w:cs="宋体" w:hint="eastAsia"/>
                <w:lang w:eastAsia="zh-CN"/>
              </w:rPr>
              <w:t>，</w:t>
            </w:r>
            <w:r>
              <w:rPr>
                <w:rFonts w:ascii="宋体" w:eastAsia="宋体" w:hAnsi="宋体" w:cs="宋体" w:hint="eastAsia"/>
                <w:lang w:eastAsia="zh-CN"/>
              </w:rPr>
              <w:t>从事养老相关工作3年（含）以上、5年以下得40分，从事养老相关工作1年（含）以上、3年以下得30分，其他情况不得分</w:t>
            </w:r>
            <w:r>
              <w:rPr>
                <w:rFonts w:ascii="宋体" w:eastAsia="宋体" w:hAnsi="宋体" w:cs="宋体" w:hint="eastAsia"/>
                <w:lang w:eastAsia="zh-CN"/>
              </w:rPr>
              <w:t>；</w:t>
            </w:r>
            <w:r>
              <w:rPr>
                <w:rFonts w:ascii="宋体" w:eastAsia="宋体" w:hAnsi="宋体" w:cs="宋体" w:hint="eastAsia"/>
                <w:lang w:eastAsia="zh-CN"/>
              </w:rPr>
              <w:t>本小项最高得50分；</w:t>
            </w:r>
          </w:p>
          <w:p>
            <w:pPr>
              <w:widowControl/>
              <w:numPr>
                <w:ilvl w:val="0"/>
                <w:numId w:val="0"/>
              </w:numPr>
              <w:snapToGrid w:val="0"/>
              <w:spacing w:line="240" w:lineRule="auto"/>
              <w:ind w:left="0" w:firstLine="0"/>
              <w:jc w:val="left"/>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rPr>
              <w:t>具备</w:t>
            </w:r>
            <w:r>
              <w:rPr>
                <w:rFonts w:ascii="宋体" w:eastAsia="宋体" w:hAnsi="宋体" w:cs="宋体" w:hint="eastAsia"/>
                <w:lang w:eastAsia="zh-CN"/>
              </w:rPr>
              <w:t>社会工作师职业资格证（含中级或以上）得40分，具备助理社会工作师职业资格证得20分</w:t>
            </w:r>
            <w:r>
              <w:rPr>
                <w:rFonts w:ascii="宋体" w:eastAsia="宋体" w:hAnsi="宋体" w:cs="宋体" w:hint="eastAsia"/>
                <w:lang w:eastAsia="zh-CN"/>
              </w:rPr>
              <w:t>；</w:t>
            </w:r>
            <w:r>
              <w:rPr>
                <w:rFonts w:ascii="宋体" w:eastAsia="宋体" w:hAnsi="宋体" w:cs="宋体" w:hint="eastAsia"/>
                <w:lang w:eastAsia="zh-CN"/>
              </w:rPr>
              <w:t>本小项最高得40分；</w:t>
            </w:r>
          </w:p>
          <w:p>
            <w:pPr>
              <w:widowControl/>
              <w:snapToGrid w:val="0"/>
              <w:spacing w:line="240" w:lineRule="auto"/>
              <w:jc w:val="left"/>
              <w:rPr>
                <w:rFonts w:ascii="宋体" w:eastAsia="宋体" w:hAnsi="宋体" w:cs="宋体" w:hint="eastAsia"/>
                <w:lang w:eastAsia="zh-CN"/>
              </w:rPr>
            </w:pPr>
            <w:r>
              <w:rPr>
                <w:rFonts w:ascii="宋体" w:eastAsia="宋体" w:hAnsi="宋体" w:cs="宋体" w:hint="eastAsia"/>
                <w:lang w:eastAsia="zh-CN"/>
              </w:rPr>
              <w:t>3.具有</w:t>
            </w:r>
            <w:r>
              <w:rPr>
                <w:rFonts w:ascii="宋体" w:eastAsia="宋体" w:hAnsi="宋体" w:cs="宋体" w:hint="eastAsia"/>
              </w:rPr>
              <w:t>研究生（含）以上学历</w:t>
            </w:r>
            <w:bookmarkStart w:id="12" w:name="OLE_LINK13"/>
            <w:r>
              <w:rPr>
                <w:rFonts w:ascii="宋体" w:eastAsia="宋体" w:hAnsi="宋体" w:cs="宋体" w:hint="eastAsia"/>
                <w:lang w:eastAsia="zh-CN"/>
              </w:rPr>
              <w:t>的，</w:t>
            </w:r>
            <w:bookmarkEnd w:id="12"/>
            <w:r>
              <w:rPr>
                <w:rFonts w:ascii="宋体" w:eastAsia="宋体" w:hAnsi="宋体" w:cs="宋体" w:hint="eastAsia"/>
              </w:rPr>
              <w:t>得</w:t>
            </w:r>
            <w:r>
              <w:rPr>
                <w:rFonts w:ascii="宋体" w:eastAsia="宋体" w:hAnsi="宋体" w:cs="宋体" w:hint="eastAsia"/>
                <w:lang w:eastAsia="zh-CN"/>
              </w:rPr>
              <w:t>10</w:t>
            </w:r>
            <w:r>
              <w:rPr>
                <w:rFonts w:ascii="宋体" w:eastAsia="宋体" w:hAnsi="宋体" w:cs="宋体" w:hint="eastAsia"/>
              </w:rPr>
              <w:t>分</w:t>
            </w:r>
            <w:r>
              <w:rPr>
                <w:rFonts w:ascii="宋体" w:eastAsia="宋体" w:hAnsi="宋体" w:cs="宋体" w:hint="eastAsia"/>
                <w:lang w:eastAsia="zh-CN"/>
              </w:rPr>
              <w:t>，</w:t>
            </w:r>
            <w:r>
              <w:rPr>
                <w:rFonts w:ascii="宋体" w:eastAsia="宋体" w:hAnsi="宋体" w:cs="宋体" w:hint="eastAsia"/>
                <w:lang w:eastAsia="zh-CN"/>
              </w:rPr>
              <w:t>具备</w:t>
            </w:r>
            <w:r>
              <w:rPr>
                <w:rFonts w:ascii="宋体" w:eastAsia="宋体" w:hAnsi="宋体" w:cs="宋体" w:hint="eastAsia"/>
              </w:rPr>
              <w:t>本科学历</w:t>
            </w:r>
            <w:r>
              <w:rPr>
                <w:rFonts w:ascii="宋体" w:eastAsia="宋体" w:hAnsi="宋体" w:cs="宋体" w:hint="eastAsia"/>
                <w:lang w:eastAsia="zh-CN"/>
              </w:rPr>
              <w:t>的，</w:t>
            </w:r>
            <w:r>
              <w:rPr>
                <w:rFonts w:ascii="宋体" w:eastAsia="宋体" w:hAnsi="宋体" w:cs="宋体" w:hint="eastAsia"/>
              </w:rPr>
              <w:t>得</w:t>
            </w:r>
            <w:r>
              <w:rPr>
                <w:rFonts w:ascii="宋体" w:eastAsia="宋体" w:hAnsi="宋体" w:cs="宋体" w:hint="eastAsia"/>
                <w:lang w:eastAsia="zh-CN"/>
              </w:rPr>
              <w:t>5</w:t>
            </w:r>
            <w:r>
              <w:rPr>
                <w:rFonts w:ascii="宋体" w:eastAsia="宋体" w:hAnsi="宋体" w:cs="宋体" w:hint="eastAsia"/>
              </w:rPr>
              <w:t>分</w:t>
            </w:r>
            <w:r>
              <w:rPr>
                <w:rFonts w:ascii="宋体" w:eastAsia="宋体" w:hAnsi="宋体" w:cs="宋体" w:hint="eastAsia"/>
                <w:lang w:eastAsia="zh-CN"/>
              </w:rPr>
              <w:t>，</w:t>
            </w:r>
            <w:r>
              <w:rPr>
                <w:rFonts w:ascii="宋体" w:eastAsia="宋体" w:hAnsi="宋体" w:cs="宋体" w:hint="eastAsia"/>
              </w:rPr>
              <w:t>其他情况不得分</w:t>
            </w:r>
            <w:r>
              <w:rPr>
                <w:rFonts w:ascii="宋体" w:eastAsia="宋体" w:hAnsi="宋体" w:cs="宋体" w:hint="eastAsia"/>
                <w:lang w:eastAsia="zh-CN"/>
              </w:rPr>
              <w:t>；</w:t>
            </w:r>
            <w:r>
              <w:rPr>
                <w:rFonts w:ascii="宋体" w:eastAsia="宋体" w:hAnsi="宋体" w:cs="宋体" w:hint="eastAsia"/>
                <w:lang w:eastAsia="zh-CN"/>
              </w:rPr>
              <w:t>本小项最高得10分。</w:t>
            </w:r>
          </w:p>
          <w:p>
            <w:pPr>
              <w:spacing w:line="240" w:lineRule="auto"/>
              <w:rPr>
                <w:rFonts w:hint="eastAsia"/>
                <w:lang w:eastAsia="zh-CN"/>
              </w:rPr>
            </w:pPr>
            <w:r>
              <w:rPr>
                <w:rFonts w:ascii="宋体" w:eastAsia="宋体" w:hAnsi="宋体" w:cs="宋体" w:hint="eastAsia"/>
                <w:lang w:eastAsia="zh-CN"/>
              </w:rPr>
              <w:t>第1至3项累计得分最高100分。</w:t>
            </w:r>
          </w:p>
          <w:p>
            <w:pPr>
              <w:widowControl/>
              <w:numPr>
                <w:ilvl w:val="0"/>
                <w:numId w:val="0"/>
              </w:numPr>
              <w:snapToGrid w:val="0"/>
              <w:spacing w:line="240" w:lineRule="auto"/>
              <w:ind w:left="0" w:firstLine="0"/>
              <w:jc w:val="left"/>
              <w:rPr>
                <w:rFonts w:ascii="宋体" w:eastAsia="宋体" w:hAnsi="宋体" w:cs="宋体"/>
                <w:b/>
                <w:bCs/>
                <w:lang w:eastAsia="zh-CN"/>
              </w:rPr>
            </w:pPr>
            <w:r>
              <w:rPr>
                <w:rFonts w:ascii="宋体" w:eastAsia="宋体" w:hAnsi="宋体" w:cs="宋体" w:hint="eastAsia"/>
                <w:b/>
                <w:bCs/>
              </w:rPr>
              <w:t>（</w:t>
            </w:r>
            <w:r>
              <w:rPr>
                <w:rFonts w:ascii="宋体" w:eastAsia="宋体" w:hAnsi="宋体" w:cs="宋体" w:hint="eastAsia"/>
                <w:b/>
                <w:bCs/>
                <w:lang w:eastAsia="zh-CN"/>
              </w:rPr>
              <w:t>三</w:t>
            </w:r>
            <w:r>
              <w:rPr>
                <w:rFonts w:ascii="宋体" w:eastAsia="宋体" w:hAnsi="宋体" w:cs="宋体" w:hint="eastAsia"/>
                <w:b/>
                <w:bCs/>
              </w:rPr>
              <w:t>）</w:t>
            </w:r>
            <w:r>
              <w:rPr>
                <w:rFonts w:ascii="宋体" w:eastAsia="宋体" w:hAnsi="宋体" w:cs="宋体" w:hint="eastAsia"/>
                <w:b/>
                <w:bCs/>
                <w:lang w:eastAsia="zh-CN"/>
              </w:rPr>
              <w:t>证明文件</w:t>
            </w:r>
          </w:p>
          <w:p>
            <w:pPr>
              <w:spacing w:line="240" w:lineRule="auto"/>
              <w:rPr>
                <w:rFonts w:ascii="宋体" w:eastAsia="宋体" w:hAnsi="宋体" w:cs="宋体" w:hint="eastAsia"/>
              </w:rPr>
            </w:pPr>
            <w:r>
              <w:rPr>
                <w:rFonts w:ascii="宋体" w:eastAsia="宋体" w:hAnsi="宋体" w:cs="宋体" w:hint="eastAsia"/>
                <w:lang w:eastAsia="zh-CN"/>
              </w:rPr>
              <w:t>1.</w:t>
            </w:r>
            <w:bookmarkStart w:id="13" w:name="OLE_LINK16"/>
            <w:r>
              <w:rPr>
                <w:rFonts w:ascii="宋体" w:eastAsia="宋体" w:hAnsi="宋体" w:cs="宋体" w:hint="eastAsia"/>
              </w:rPr>
              <w:t>涉及考察人员工作经验的，要求提供项目合同关键信息作为得分依据，通过合同关键信息无法判断是否得分的，还须同时提供合同甲方出具的证明文件。</w:t>
            </w:r>
          </w:p>
          <w:bookmarkEnd w:id="13"/>
          <w:p>
            <w:pPr>
              <w:spacing w:line="240" w:lineRule="auto"/>
              <w:rPr>
                <w:rFonts w:ascii="宋体" w:eastAsia="宋体" w:hAnsi="宋体" w:cs="宋体" w:hint="eastAsia"/>
                <w:bCs/>
              </w:rPr>
            </w:pPr>
            <w:r>
              <w:rPr>
                <w:rFonts w:ascii="宋体" w:eastAsia="宋体" w:hAnsi="宋体" w:cs="宋体" w:hint="eastAsia"/>
                <w:bCs/>
                <w:lang w:eastAsia="zh-CN"/>
              </w:rPr>
              <w:t>2.</w:t>
            </w:r>
            <w:r>
              <w:rPr>
                <w:rFonts w:ascii="宋体" w:eastAsia="宋体" w:hAnsi="宋体" w:cs="宋体" w:hint="eastAsia"/>
                <w:bCs/>
              </w:rPr>
              <w:t>要求提供通过投标人缴纳的近三个月的社保证明作为本单位员工的证明依据。若</w:t>
            </w:r>
            <w:r>
              <w:rPr>
                <w:rFonts w:ascii="宋体" w:eastAsia="宋体" w:hAnsi="宋体" w:cs="宋体" w:hint="eastAsia"/>
                <w:bCs/>
                <w:lang w:eastAsia="zh-CN"/>
              </w:rPr>
              <w:t>投标人</w:t>
            </w:r>
            <w:r>
              <w:rPr>
                <w:rFonts w:ascii="宋体" w:eastAsia="宋体" w:hAnsi="宋体" w:cs="宋体" w:hint="eastAsia"/>
                <w:bCs/>
              </w:rPr>
              <w:t>成立不足三个月的，需提供成立情况说明函（格式自拟），无需提供相关人员社保，亦可得分；若为退休返聘人员，需提供说明函（格式自拟），无需提供相关人员社保，亦可得分。</w:t>
            </w:r>
          </w:p>
          <w:p>
            <w:pPr>
              <w:pageBreakBefore w:val="0"/>
              <w:widowControl w:val="0"/>
              <w:numPr>
                <w:ilvl w:val="0"/>
                <w:numId w:val="0"/>
              </w:numPr>
              <w:kinsoku/>
              <w:overflowPunct/>
              <w:topLinePunct w:val="0"/>
              <w:bidi w:val="0"/>
              <w:spacing w:after="60" w:line="240" w:lineRule="auto"/>
              <w:ind w:left="0" w:firstLine="0" w:leftChars="0" w:firstLineChars="0"/>
              <w:jc w:val="left"/>
              <w:rPr>
                <w:rFonts w:ascii="宋体" w:eastAsia="宋体" w:hAnsi="宋体" w:cs="宋体" w:hint="eastAsia"/>
                <w:lang w:eastAsia="zh-CN"/>
              </w:rPr>
            </w:pPr>
            <w:r>
              <w:rPr>
                <w:rFonts w:ascii="宋体" w:eastAsia="宋体" w:hAnsi="宋体" w:cs="宋体" w:hint="eastAsia"/>
                <w:lang w:eastAsia="zh-CN"/>
              </w:rPr>
              <w:t>3.相关从业资格需提供人员有关证书；</w:t>
            </w:r>
          </w:p>
          <w:p>
            <w:pPr>
              <w:spacing w:line="240" w:lineRule="auto"/>
              <w:rPr>
                <w:rFonts w:ascii="宋体" w:eastAsia="宋体" w:hAnsi="宋体" w:cs="宋体" w:hint="eastAsia"/>
              </w:rPr>
            </w:pPr>
            <w:r>
              <w:rPr>
                <w:rFonts w:ascii="宋体" w:eastAsia="宋体" w:hAnsi="宋体" w:cs="宋体" w:hint="eastAsia"/>
                <w:lang w:eastAsia="zh-CN"/>
              </w:rPr>
              <w:t>4.</w:t>
            </w:r>
            <w:r>
              <w:rPr>
                <w:rFonts w:ascii="宋体" w:eastAsia="宋体" w:hAnsi="宋体" w:cs="宋体" w:hint="eastAsia"/>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pPr>
              <w:spacing w:line="240" w:lineRule="auto"/>
              <w:rPr>
                <w:rFonts w:ascii="宋体" w:eastAsia="宋体" w:hAnsi="宋体" w:cs="宋体" w:hint="eastAsia"/>
              </w:rPr>
            </w:pPr>
            <w:r>
              <w:rPr>
                <w:rFonts w:ascii="宋体" w:eastAsia="宋体" w:hAnsi="宋体" w:cs="宋体" w:hint="eastAsia"/>
              </w:rPr>
              <w:t>海外留学（含港澳台）人员学历无法通过学信网查询的，应当提供教育部留学服务中心出具的国外学历学位认证证书以及教育部留学服务中心官网查询截图。若证明文件为其它语言，必须附中文译文，以中文译文为准。</w:t>
            </w:r>
          </w:p>
          <w:p>
            <w:pPr>
              <w:pageBreakBefore w:val="0"/>
              <w:widowControl w:val="0"/>
              <w:numPr>
                <w:ilvl w:val="0"/>
                <w:numId w:val="0"/>
              </w:numPr>
              <w:kinsoku/>
              <w:overflowPunct/>
              <w:topLinePunct w:val="0"/>
              <w:bidi w:val="0"/>
              <w:spacing w:after="60" w:line="240" w:lineRule="auto"/>
              <w:ind w:left="0" w:firstLine="0" w:leftChars="0" w:firstLineChars="0"/>
              <w:jc w:val="left"/>
              <w:rPr>
                <w:rFonts w:ascii="宋体" w:eastAsia="宋体" w:hAnsi="宋体" w:cs="宋体" w:hint="eastAsia"/>
                <w:kern w:val="2"/>
                <w:lang w:eastAsia="zh-CN"/>
              </w:rPr>
            </w:pPr>
            <w:r>
              <w:rPr>
                <w:rFonts w:ascii="宋体" w:eastAsia="宋体" w:hAnsi="宋体" w:cs="宋体" w:hint="eastAsia"/>
                <w:lang w:eastAsia="zh-CN"/>
              </w:rPr>
              <w:t>备注：</w:t>
            </w:r>
            <w:r>
              <w:rPr>
                <w:rFonts w:ascii="宋体" w:eastAsia="宋体" w:hAnsi="宋体" w:cs="宋体" w:hint="eastAsia"/>
              </w:rPr>
              <w:t>以上资料均要求提供清晰扫描件。评分中出现无证明资料或专家无法凭所提供资料判断是否得分的情况，一律作不得分处理。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415" w:type="dxa"/>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ind w:firstLine="0" w:firstLineChars="0"/>
              <w:jc w:val="center"/>
              <w:rPr>
                <w:rFonts w:ascii="宋体" w:eastAsia="宋体" w:hAnsi="宋体" w:cs="宋体" w:hint="eastAsia"/>
                <w:kern w:val="2"/>
                <w:lang w:eastAsia="zh-CN"/>
              </w:rPr>
            </w:pPr>
            <w:r>
              <w:rPr>
                <w:rFonts w:ascii="宋体" w:eastAsia="宋体" w:hAnsi="宋体" w:cs="宋体" w:hint="eastAsia"/>
                <w:kern w:val="2"/>
                <w:lang w:eastAsia="zh-CN"/>
              </w:rPr>
              <w:t>9</w:t>
            </w:r>
          </w:p>
        </w:tc>
        <w:tc>
          <w:tcPr>
            <w:tcW w:w="1274" w:type="dxa"/>
            <w:noWrap w:val="0"/>
            <w:vAlign w:val="center"/>
          </w:tcPr>
          <w:p>
            <w:pPr>
              <w:pageBreakBefore w:val="0"/>
              <w:widowControl/>
              <w:kinsoku/>
              <w:overflowPunct/>
              <w:topLinePunct w:val="0"/>
              <w:bidi w:val="0"/>
              <w:spacing w:line="240" w:lineRule="auto"/>
              <w:jc w:val="center"/>
              <w:rPr>
                <w:rFonts w:ascii="宋体" w:eastAsia="宋体" w:hAnsi="宋体" w:cs="宋体" w:hint="eastAsia"/>
              </w:rPr>
            </w:pPr>
            <w:r>
              <w:rPr>
                <w:rFonts w:ascii="宋体" w:eastAsia="宋体" w:hAnsi="宋体" w:cs="宋体" w:hint="eastAsia"/>
              </w:rPr>
              <w:t>拟安排的项目团队成员</w:t>
            </w:r>
            <w:r>
              <w:rPr>
                <w:rFonts w:ascii="宋体" w:eastAsia="宋体" w:hAnsi="宋体" w:cs="宋体" w:hint="eastAsia"/>
                <w:lang w:eastAsia="zh-CN"/>
              </w:rPr>
              <w:t>（项目负责人除外）</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kern w:val="2"/>
                <w:lang w:eastAsia="zh-CN"/>
              </w:rPr>
            </w:pPr>
            <w:r>
              <w:rPr>
                <w:rFonts w:ascii="宋体" w:eastAsia="宋体" w:hAnsi="宋体" w:cs="宋体" w:hint="eastAsia"/>
                <w:lang w:eastAsia="zh-CN"/>
              </w:rPr>
              <w:t>7</w:t>
            </w:r>
          </w:p>
        </w:tc>
        <w:tc>
          <w:tcPr>
            <w:tcW w:w="4934" w:type="dxa"/>
            <w:noWrap w:val="0"/>
            <w:vAlign w:val="top"/>
          </w:tcPr>
          <w:p>
            <w:pPr>
              <w:pageBreakBefore w:val="0"/>
              <w:widowControl w:val="0"/>
              <w:numPr>
                <w:ilvl w:val="0"/>
                <w:numId w:val="0"/>
              </w:numPr>
              <w:kinsoku/>
              <w:overflowPunct/>
              <w:topLinePunct w:val="0"/>
              <w:bidi w:val="0"/>
              <w:spacing w:after="60" w:line="240" w:lineRule="auto"/>
              <w:ind w:left="0" w:firstLine="0" w:leftChars="0" w:firstLineChars="0"/>
              <w:jc w:val="left"/>
              <w:rPr>
                <w:rFonts w:ascii="宋体" w:eastAsia="宋体" w:hAnsi="宋体" w:cs="宋体" w:hint="eastAsia"/>
                <w:b/>
                <w:bCs/>
              </w:rPr>
            </w:pPr>
            <w:r>
              <w:rPr>
                <w:rFonts w:ascii="宋体" w:eastAsia="宋体" w:hAnsi="宋体" w:cs="宋体" w:hint="eastAsia"/>
                <w:b/>
                <w:bCs/>
              </w:rPr>
              <w:t>（一）</w:t>
            </w:r>
            <w:r>
              <w:rPr>
                <w:rFonts w:ascii="宋体" w:eastAsia="宋体" w:hAnsi="宋体" w:cs="宋体" w:hint="eastAsia"/>
                <w:b/>
                <w:bCs/>
              </w:rPr>
              <w:t>评审内容</w:t>
            </w:r>
          </w:p>
          <w:p>
            <w:pPr>
              <w:pageBreakBefore w:val="0"/>
              <w:widowControl w:val="0"/>
              <w:numPr>
                <w:ilvl w:val="0"/>
                <w:numId w:val="0"/>
              </w:numPr>
              <w:kinsoku/>
              <w:overflowPunct/>
              <w:topLinePunct w:val="0"/>
              <w:bidi w:val="0"/>
              <w:spacing w:after="60" w:line="240" w:lineRule="auto"/>
              <w:ind w:left="0" w:firstLine="0" w:leftChars="0" w:firstLineChars="0"/>
              <w:jc w:val="left"/>
              <w:rPr>
                <w:rFonts w:ascii="宋体" w:eastAsia="宋体" w:hAnsi="宋体" w:cs="宋体" w:hint="eastAsia"/>
              </w:rPr>
            </w:pPr>
            <w:r>
              <w:rPr>
                <w:rFonts w:ascii="宋体" w:eastAsia="宋体" w:hAnsi="宋体" w:cs="宋体" w:hint="eastAsia"/>
                <w:lang w:eastAsia="zh-CN"/>
              </w:rPr>
              <w:t>考察投标人</w:t>
            </w:r>
            <w:r>
              <w:rPr>
                <w:rFonts w:ascii="宋体" w:eastAsia="宋体" w:hAnsi="宋体" w:cs="宋体" w:hint="eastAsia"/>
              </w:rPr>
              <w:t>拟安排的项目团队成员</w:t>
            </w:r>
            <w:r>
              <w:rPr>
                <w:rFonts w:ascii="宋体" w:eastAsia="宋体" w:hAnsi="宋体" w:cs="宋体" w:hint="eastAsia"/>
                <w:lang w:eastAsia="zh-CN"/>
              </w:rPr>
              <w:t>（项目负责人除外）的学历、资质、以及工作经验情况</w:t>
            </w:r>
            <w:r>
              <w:rPr>
                <w:rFonts w:ascii="宋体" w:eastAsia="宋体" w:hAnsi="宋体" w:cs="宋体" w:hint="eastAsia"/>
              </w:rPr>
              <w:t>。</w:t>
            </w:r>
          </w:p>
          <w:p>
            <w:pPr>
              <w:pageBreakBefore w:val="0"/>
              <w:widowControl w:val="0"/>
              <w:numPr>
                <w:ilvl w:val="0"/>
                <w:numId w:val="0"/>
              </w:numPr>
              <w:kinsoku/>
              <w:overflowPunct/>
              <w:topLinePunct w:val="0"/>
              <w:bidi w:val="0"/>
              <w:spacing w:after="60" w:line="240" w:lineRule="auto"/>
              <w:ind w:left="0" w:firstLine="0" w:leftChars="0" w:firstLineChars="0"/>
              <w:jc w:val="left"/>
              <w:rPr>
                <w:rFonts w:ascii="宋体" w:eastAsia="宋体" w:hAnsi="宋体" w:cs="宋体" w:hint="eastAsia"/>
                <w:b/>
                <w:bCs/>
              </w:rPr>
            </w:pPr>
            <w:r>
              <w:rPr>
                <w:rFonts w:ascii="宋体" w:eastAsia="宋体" w:hAnsi="宋体" w:cs="宋体" w:hint="eastAsia"/>
                <w:b/>
                <w:bCs/>
              </w:rPr>
              <w:t>（二）</w:t>
            </w:r>
            <w:r>
              <w:rPr>
                <w:rFonts w:ascii="宋体" w:eastAsia="宋体" w:hAnsi="宋体" w:cs="宋体" w:hint="eastAsia"/>
                <w:b/>
                <w:bCs/>
                <w:lang w:eastAsia="zh-CN"/>
              </w:rPr>
              <w:t>评审标准</w:t>
            </w:r>
          </w:p>
          <w:p>
            <w:pPr>
              <w:pageBreakBefore w:val="0"/>
              <w:widowControl w:val="0"/>
              <w:numPr>
                <w:ilvl w:val="0"/>
                <w:numId w:val="0"/>
              </w:numPr>
              <w:kinsoku/>
              <w:overflowPunct/>
              <w:topLinePunct w:val="0"/>
              <w:bidi w:val="0"/>
              <w:spacing w:after="60" w:line="240" w:lineRule="auto"/>
              <w:ind w:left="0" w:firstLine="0" w:leftChars="0" w:firstLineChars="0"/>
              <w:jc w:val="left"/>
              <w:rPr>
                <w:rFonts w:ascii="宋体" w:eastAsia="宋体" w:hAnsi="宋体" w:cs="宋体" w:hint="eastAsia"/>
              </w:rPr>
            </w:pPr>
            <w:r>
              <w:rPr>
                <w:rFonts w:ascii="宋体" w:eastAsia="宋体" w:hAnsi="宋体" w:cs="宋体" w:hint="eastAsia"/>
              </w:rPr>
              <w:t>拟安排的项目团队成员</w:t>
            </w:r>
            <w:r>
              <w:rPr>
                <w:rFonts w:ascii="宋体" w:eastAsia="宋体" w:hAnsi="宋体" w:cs="宋体" w:hint="eastAsia"/>
                <w:lang w:eastAsia="zh-CN"/>
              </w:rPr>
              <w:t>（项目负责人除外）均</w:t>
            </w:r>
            <w:r>
              <w:rPr>
                <w:rFonts w:ascii="宋体" w:eastAsia="宋体" w:hAnsi="宋体" w:cs="宋体" w:hint="eastAsia"/>
              </w:rPr>
              <w:t>须为投标人自有员工（以社保为准），</w:t>
            </w:r>
            <w:r>
              <w:rPr>
                <w:rFonts w:ascii="宋体" w:eastAsia="宋体" w:hAnsi="宋体" w:cs="宋体" w:hint="eastAsia"/>
                <w:lang w:eastAsia="zh-CN"/>
              </w:rPr>
              <w:t>否则本项不得分。在此基础上，进行评分：</w:t>
            </w:r>
          </w:p>
          <w:p>
            <w:pPr>
              <w:numPr>
                <w:ilvl w:val="0"/>
                <w:numId w:val="0"/>
              </w:numPr>
              <w:spacing w:line="240" w:lineRule="auto"/>
              <w:ind w:left="0" w:firstLine="0" w:firstLineChars="0"/>
              <w:rPr>
                <w:rFonts w:ascii="宋体" w:eastAsia="宋体" w:hAnsi="宋体" w:cs="宋体" w:hint="eastAsia"/>
              </w:rPr>
            </w:pPr>
            <w:r>
              <w:rPr>
                <w:rFonts w:ascii="宋体" w:eastAsia="宋体" w:hAnsi="宋体" w:cs="宋体" w:hint="eastAsia"/>
              </w:rPr>
              <w:t>1.</w:t>
            </w:r>
            <w:r>
              <w:rPr>
                <w:rFonts w:ascii="宋体" w:eastAsia="宋体" w:hAnsi="宋体" w:cs="宋体" w:hint="eastAsia"/>
              </w:rPr>
              <w:t>拟派的项目团队成员</w:t>
            </w:r>
            <w:r>
              <w:rPr>
                <w:rFonts w:ascii="宋体" w:eastAsia="宋体" w:hAnsi="宋体" w:cs="宋体" w:hint="eastAsia"/>
                <w:lang w:eastAsia="zh-CN"/>
              </w:rPr>
              <w:t>中具有研究生</w:t>
            </w:r>
            <w:r>
              <w:rPr>
                <w:rFonts w:ascii="宋体" w:eastAsia="宋体" w:hAnsi="宋体" w:cs="宋体" w:hint="eastAsia"/>
              </w:rPr>
              <w:t>（含）以上</w:t>
            </w:r>
            <w:r>
              <w:rPr>
                <w:rFonts w:ascii="宋体" w:eastAsia="宋体" w:hAnsi="宋体" w:cs="宋体" w:hint="eastAsia"/>
                <w:lang w:eastAsia="zh-CN"/>
              </w:rPr>
              <w:t>学历的，每提供1名得4分；具备本科学历的，每提供1名得2分；具备大专学历的，每提供1名得1分；本小项最高得20分</w:t>
            </w:r>
            <w:r>
              <w:rPr>
                <w:rFonts w:ascii="宋体" w:eastAsia="宋体" w:hAnsi="宋体" w:cs="宋体" w:hint="eastAsia"/>
              </w:rPr>
              <w:t>。</w:t>
            </w:r>
          </w:p>
          <w:p>
            <w:pPr>
              <w:numPr>
                <w:ilvl w:val="0"/>
                <w:numId w:val="0"/>
              </w:numPr>
              <w:spacing w:line="240" w:lineRule="auto"/>
              <w:ind w:left="0" w:firstLine="0"/>
              <w:rPr>
                <w:rFonts w:ascii="宋体" w:eastAsia="宋体" w:hAnsi="宋体" w:cs="宋体" w:hint="eastAsia"/>
              </w:rPr>
            </w:pPr>
            <w:bookmarkStart w:id="14" w:name="OLE_LINK9"/>
            <w:r>
              <w:rPr>
                <w:rFonts w:ascii="宋体" w:eastAsia="宋体" w:hAnsi="宋体" w:cs="宋体" w:hint="eastAsia"/>
                <w:lang w:eastAsia="zh-CN"/>
              </w:rPr>
              <w:t>2.</w:t>
            </w:r>
            <w:r>
              <w:rPr>
                <w:rFonts w:ascii="宋体" w:eastAsia="宋体" w:hAnsi="宋体" w:cs="宋体" w:hint="eastAsia"/>
              </w:rPr>
              <w:t>拟派的项目团队成员中具备中级</w:t>
            </w:r>
            <w:r>
              <w:rPr>
                <w:rFonts w:ascii="宋体" w:eastAsia="宋体" w:hAnsi="宋体" w:cs="宋体" w:hint="eastAsia"/>
                <w:lang w:eastAsia="zh-CN"/>
              </w:rPr>
              <w:t>或以上</w:t>
            </w:r>
            <w:r>
              <w:rPr>
                <w:rFonts w:ascii="宋体" w:eastAsia="宋体" w:hAnsi="宋体" w:cs="宋体" w:hint="eastAsia"/>
              </w:rPr>
              <w:t>社会工作师职业资格证的，每提供1名得5分；具备助理社会工作师职业资格证的，每提供1名得3分；本小项最高得30分。</w:t>
            </w:r>
          </w:p>
          <w:bookmarkEnd w:id="14"/>
          <w:p>
            <w:pPr>
              <w:spacing w:line="240" w:lineRule="auto"/>
              <w:rPr>
                <w:rFonts w:ascii="宋体" w:eastAsia="宋体" w:hAnsi="宋体" w:cs="宋体" w:hint="eastAsia"/>
                <w:lang w:eastAsia="zh-CN"/>
              </w:rPr>
            </w:pPr>
            <w:r>
              <w:rPr>
                <w:rFonts w:ascii="宋体" w:eastAsia="宋体" w:hAnsi="宋体" w:cs="宋体" w:hint="eastAsia"/>
                <w:lang w:eastAsia="zh-CN"/>
              </w:rPr>
              <w:t>3.</w:t>
            </w:r>
            <w:r>
              <w:rPr>
                <w:rFonts w:ascii="宋体" w:eastAsia="宋体" w:hAnsi="宋体" w:cs="宋体" w:hint="eastAsia"/>
              </w:rPr>
              <w:t>拟派的项目团队成员</w:t>
            </w:r>
            <w:r>
              <w:rPr>
                <w:rFonts w:ascii="宋体" w:eastAsia="宋体" w:hAnsi="宋体" w:cs="宋体" w:hint="eastAsia"/>
                <w:lang w:eastAsia="zh-CN"/>
              </w:rPr>
              <w:t>中具有从事养老相关工作经验5年（含）以上的，每提供1名得10分；具有从事养老相关工作经验3年（含）以上5年以下的，每提供一名得5分；具有从事养老相关工作经验1年（含）以上3年以下的，每提供一名得3分；本小项最高得50分。</w:t>
            </w:r>
          </w:p>
          <w:p>
            <w:pPr>
              <w:spacing w:line="240" w:lineRule="auto"/>
              <w:rPr>
                <w:rFonts w:ascii="宋体" w:eastAsia="宋体" w:hAnsi="宋体" w:cs="宋体" w:hint="eastAsia"/>
                <w:lang w:eastAsia="zh-CN"/>
              </w:rPr>
            </w:pPr>
            <w:r>
              <w:rPr>
                <w:rFonts w:ascii="宋体" w:eastAsia="宋体" w:hAnsi="宋体" w:cs="宋体" w:hint="eastAsia"/>
                <w:lang w:eastAsia="zh-CN"/>
              </w:rPr>
              <w:t>第1至3项累计得分最高100分。</w:t>
            </w:r>
          </w:p>
          <w:p>
            <w:pPr>
              <w:widowControl/>
              <w:numPr>
                <w:ilvl w:val="0"/>
                <w:numId w:val="0"/>
              </w:numPr>
              <w:snapToGrid w:val="0"/>
              <w:spacing w:line="240" w:lineRule="auto"/>
              <w:ind w:left="0" w:firstLine="0"/>
              <w:jc w:val="left"/>
              <w:rPr>
                <w:rFonts w:ascii="宋体" w:eastAsia="宋体" w:hAnsi="宋体" w:cs="宋体" w:hint="eastAsia"/>
                <w:b/>
                <w:bCs/>
              </w:rPr>
            </w:pPr>
            <w:r>
              <w:rPr>
                <w:rFonts w:ascii="宋体" w:eastAsia="宋体" w:hAnsi="宋体" w:cs="宋体" w:hint="eastAsia"/>
                <w:b/>
                <w:bCs/>
              </w:rPr>
              <w:t>（</w:t>
            </w:r>
            <w:r>
              <w:rPr>
                <w:rFonts w:ascii="宋体" w:eastAsia="宋体" w:hAnsi="宋体" w:cs="宋体" w:hint="eastAsia"/>
                <w:b/>
                <w:bCs/>
                <w:lang w:eastAsia="zh-CN"/>
              </w:rPr>
              <w:t>三</w:t>
            </w:r>
            <w:r>
              <w:rPr>
                <w:rFonts w:ascii="宋体" w:eastAsia="宋体" w:hAnsi="宋体" w:cs="宋体" w:hint="eastAsia"/>
                <w:b/>
                <w:bCs/>
              </w:rPr>
              <w:t>）</w:t>
            </w:r>
            <w:r>
              <w:rPr>
                <w:rFonts w:ascii="宋体" w:eastAsia="宋体" w:hAnsi="宋体" w:cs="宋体" w:hint="eastAsia"/>
                <w:b/>
                <w:bCs/>
                <w:lang w:eastAsia="zh-CN"/>
              </w:rPr>
              <w:t>证明文件</w:t>
            </w:r>
          </w:p>
          <w:p>
            <w:pPr>
              <w:spacing w:line="240" w:lineRule="auto"/>
              <w:rPr>
                <w:rFonts w:ascii="宋体" w:eastAsia="宋体" w:hAnsi="宋体" w:cs="宋体" w:hint="eastAsia"/>
              </w:rPr>
            </w:pPr>
            <w:r>
              <w:rPr>
                <w:rFonts w:ascii="宋体" w:eastAsia="宋体" w:hAnsi="宋体" w:cs="宋体" w:hint="eastAsia"/>
                <w:lang w:eastAsia="zh-CN"/>
              </w:rPr>
              <w:t>1.</w:t>
            </w:r>
            <w:r>
              <w:rPr>
                <w:rFonts w:ascii="宋体" w:eastAsia="宋体" w:hAnsi="宋体" w:cs="宋体" w:hint="eastAsia"/>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pPr>
              <w:spacing w:line="240" w:lineRule="auto"/>
              <w:rPr>
                <w:rFonts w:ascii="宋体" w:eastAsia="宋体" w:hAnsi="宋体" w:cs="宋体" w:hint="eastAsia"/>
              </w:rPr>
            </w:pPr>
            <w:r>
              <w:rPr>
                <w:rFonts w:ascii="宋体" w:eastAsia="宋体" w:hAnsi="宋体" w:cs="宋体" w:hint="eastAsia"/>
              </w:rPr>
              <w:t>海外留学（含港澳台）人员学历无法通过学信网查询的，应当提供教育部留学服务中心出具的国外学历学位认证证书以及教育部留学服务中心官网查询截图。若证明文件为其它语言，必须附中文译文，以中文译文为准。</w:t>
            </w:r>
          </w:p>
          <w:p>
            <w:pPr>
              <w:spacing w:line="240" w:lineRule="auto"/>
              <w:rPr>
                <w:rFonts w:ascii="宋体" w:eastAsia="宋体" w:hAnsi="宋体" w:cs="宋体" w:hint="eastAsia"/>
                <w:bCs/>
              </w:rPr>
            </w:pPr>
            <w:r>
              <w:rPr>
                <w:rFonts w:ascii="宋体" w:eastAsia="宋体" w:hAnsi="宋体" w:cs="宋体" w:hint="eastAsia"/>
              </w:rPr>
              <w:t>2.</w:t>
            </w:r>
            <w:r>
              <w:rPr>
                <w:rFonts w:ascii="宋体" w:eastAsia="宋体" w:hAnsi="宋体" w:cs="宋体" w:hint="eastAsia"/>
                <w:bCs/>
              </w:rPr>
              <w:t>要求提供通过投标人缴纳的近三个月的社保证明作为本单位员工的证明依据。若</w:t>
            </w:r>
            <w:r>
              <w:rPr>
                <w:rFonts w:ascii="宋体" w:eastAsia="宋体" w:hAnsi="宋体" w:cs="宋体" w:hint="eastAsia"/>
                <w:bCs/>
                <w:lang w:eastAsia="zh-CN"/>
              </w:rPr>
              <w:t>投标人</w:t>
            </w:r>
            <w:r>
              <w:rPr>
                <w:rFonts w:ascii="宋体" w:eastAsia="宋体" w:hAnsi="宋体" w:cs="宋体" w:hint="eastAsia"/>
                <w:bCs/>
              </w:rPr>
              <w:t>成立不足三个月的，需提供成立情况说明函（格式自拟），无需提供相关人员社保，亦可得分；若为退休返聘人员，需提供说明函（格式自拟），无需提供相关人员社保，亦可得分。</w:t>
            </w:r>
          </w:p>
          <w:p>
            <w:pPr>
              <w:pageBreakBefore w:val="0"/>
              <w:widowControl w:val="0"/>
              <w:numPr>
                <w:ilvl w:val="0"/>
                <w:numId w:val="0"/>
              </w:numPr>
              <w:kinsoku/>
              <w:overflowPunct/>
              <w:topLinePunct w:val="0"/>
              <w:bidi w:val="0"/>
              <w:spacing w:after="60" w:line="240" w:lineRule="auto"/>
              <w:ind w:left="0" w:firstLine="0" w:leftChars="0" w:firstLineChars="0"/>
              <w:jc w:val="left"/>
              <w:rPr>
                <w:rFonts w:ascii="宋体" w:eastAsia="宋体" w:hAnsi="宋体" w:cs="宋体" w:hint="eastAsia"/>
                <w:lang w:eastAsia="zh-CN"/>
              </w:rPr>
            </w:pPr>
            <w:r>
              <w:rPr>
                <w:rFonts w:ascii="宋体" w:eastAsia="宋体" w:hAnsi="宋体" w:cs="宋体" w:hint="eastAsia"/>
                <w:lang w:eastAsia="zh-CN"/>
              </w:rPr>
              <w:t>3.提供人员有关职业资格证书；</w:t>
            </w:r>
          </w:p>
          <w:p>
            <w:pPr>
              <w:pageBreakBefore w:val="0"/>
              <w:widowControl/>
              <w:numPr>
                <w:ilvl w:val="0"/>
                <w:numId w:val="0"/>
              </w:numPr>
              <w:kinsoku/>
              <w:overflowPunct/>
              <w:topLinePunct w:val="0"/>
              <w:bidi w:val="0"/>
              <w:spacing w:after="0" w:line="240" w:lineRule="auto"/>
              <w:ind w:left="0" w:firstLine="0" w:leftChars="0" w:firstLineChars="0"/>
              <w:jc w:val="left"/>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rPr>
              <w:t>涉及考察人员工作经验的，要求提供项目合同关键信息作为得分依据，通过合同关键信息无法判断是否得分的，还须同时提供合同甲方出具的证明文件。</w:t>
            </w:r>
          </w:p>
          <w:p>
            <w:pPr>
              <w:pageBreakBefore w:val="0"/>
              <w:widowControl w:val="0"/>
              <w:numPr>
                <w:ilvl w:val="0"/>
                <w:numId w:val="0"/>
              </w:numPr>
              <w:kinsoku/>
              <w:overflowPunct/>
              <w:topLinePunct w:val="0"/>
              <w:bidi w:val="0"/>
              <w:spacing w:after="60" w:line="240" w:lineRule="auto"/>
              <w:ind w:left="0" w:firstLine="0" w:leftChars="0" w:firstLineChars="0"/>
              <w:jc w:val="left"/>
              <w:rPr>
                <w:rFonts w:ascii="宋体" w:eastAsia="宋体" w:hAnsi="宋体" w:cs="宋体" w:hint="eastAsia"/>
                <w:lang w:eastAsia="zh-CN"/>
              </w:rPr>
            </w:pPr>
            <w:r>
              <w:rPr>
                <w:rFonts w:ascii="宋体" w:eastAsia="宋体" w:hAnsi="宋体" w:cs="宋体" w:hint="eastAsia"/>
                <w:lang w:eastAsia="zh-CN"/>
              </w:rPr>
              <w:t>备注：</w:t>
            </w:r>
            <w:r>
              <w:rPr>
                <w:rFonts w:ascii="宋体" w:eastAsia="宋体" w:hAnsi="宋体" w:cs="宋体" w:hint="eastAsia"/>
              </w:rPr>
              <w:t>以上资料均要求提供清晰扫描件。评分中出现无证明资料或专家无法凭所提供资料判断是否得分的情况，一律作不得分处理。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val="restart"/>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3</w:t>
            </w:r>
          </w:p>
        </w:tc>
        <w:tc>
          <w:tcPr>
            <w:tcW w:w="3128" w:type="dxa"/>
            <w:gridSpan w:val="3"/>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综合实力</w:t>
            </w:r>
          </w:p>
        </w:tc>
        <w:tc>
          <w:tcPr>
            <w:tcW w:w="4934" w:type="dxa"/>
            <w:noWrap w:val="0"/>
            <w:vAlign w:val="top"/>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42</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shd w:val="clear" w:color="auto" w:fill="E6EFFA"/>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bookmarkStart w:id="15" w:name="OLE_LINK11" w:colFirst="1" w:colLast="4"/>
          </w:p>
        </w:tc>
        <w:tc>
          <w:tcPr>
            <w:tcW w:w="711" w:type="dxa"/>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1274" w:type="dxa"/>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评分因素</w:t>
            </w:r>
          </w:p>
        </w:tc>
        <w:tc>
          <w:tcPr>
            <w:tcW w:w="1143" w:type="dxa"/>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权重(%)</w:t>
            </w:r>
          </w:p>
        </w:tc>
        <w:tc>
          <w:tcPr>
            <w:tcW w:w="4934" w:type="dxa"/>
            <w:shd w:val="clear" w:color="auto" w:fill="E6EFF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shd w:val="clear" w:color="auto" w:fill="E6EFFA"/>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shd w:val="clear" w:color="auto" w:fill="FFFFFF"/>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1274" w:type="dxa"/>
            <w:shd w:val="clear" w:color="auto" w:fill="FFFFFF"/>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政策性</w:t>
            </w:r>
            <w:r>
              <w:rPr>
                <w:rFonts w:ascii="宋体" w:eastAsia="宋体" w:hAnsi="宋体" w:cs="宋体" w:hint="eastAsia"/>
                <w:kern w:val="2"/>
                <w:lang w:eastAsia="zh-CN"/>
              </w:rPr>
              <w:t>养老</w:t>
            </w:r>
            <w:r>
              <w:rPr>
                <w:rFonts w:ascii="宋体" w:eastAsia="宋体" w:hAnsi="宋体" w:cs="宋体" w:hint="eastAsia"/>
                <w:kern w:val="2"/>
                <w:lang w:eastAsia="zh-CN"/>
              </w:rPr>
              <w:t>床位数量</w:t>
            </w:r>
          </w:p>
        </w:tc>
        <w:tc>
          <w:tcPr>
            <w:tcW w:w="1143" w:type="dxa"/>
            <w:shd w:val="clear" w:color="auto" w:fill="FFFFFF"/>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10</w:t>
            </w:r>
          </w:p>
        </w:tc>
        <w:tc>
          <w:tcPr>
            <w:tcW w:w="4934" w:type="dxa"/>
            <w:shd w:val="clear" w:color="auto" w:fill="FFFFFF"/>
            <w:noWrap w:val="0"/>
            <w:vAlign w:val="center"/>
          </w:tcPr>
          <w:p>
            <w:pPr>
              <w:numPr>
                <w:ilvl w:val="0"/>
                <w:numId w:val="0"/>
              </w:numPr>
              <w:spacing w:line="240" w:lineRule="auto"/>
              <w:ind w:left="0" w:firstLine="0"/>
              <w:jc w:val="both"/>
              <w:rPr>
                <w:rFonts w:ascii="宋体" w:eastAsia="宋体" w:hAnsi="宋体" w:cs="宋体" w:hint="eastAsia"/>
                <w:b/>
                <w:bCs/>
              </w:rPr>
            </w:pPr>
            <w:r>
              <w:rPr>
                <w:rFonts w:ascii="宋体" w:eastAsia="宋体" w:hAnsi="宋体" w:cs="宋体" w:hint="eastAsia"/>
                <w:b/>
                <w:bCs/>
              </w:rPr>
              <w:t>（一）</w:t>
            </w:r>
            <w:r>
              <w:rPr>
                <w:rFonts w:ascii="宋体" w:eastAsia="宋体" w:hAnsi="宋体" w:cs="宋体" w:hint="eastAsia"/>
                <w:b/>
                <w:bCs/>
              </w:rPr>
              <w:t>评审内容</w:t>
            </w:r>
          </w:p>
          <w:p>
            <w:pPr>
              <w:pageBreakBefore w:val="0"/>
              <w:widowControl w:val="0"/>
              <w:kinsoku/>
              <w:wordWrap w:val="0"/>
              <w:overflowPunct/>
              <w:topLinePunct w:val="0"/>
              <w:bidi w:val="0"/>
              <w:spacing w:line="240" w:lineRule="auto"/>
              <w:jc w:val="left"/>
              <w:rPr>
                <w:rFonts w:ascii="宋体" w:eastAsia="宋体" w:hAnsi="宋体" w:cs="宋体" w:hint="eastAsia"/>
                <w:kern w:val="2"/>
                <w:lang w:eastAsia="zh-CN"/>
              </w:rPr>
            </w:pPr>
            <w:r>
              <w:rPr>
                <w:rFonts w:ascii="宋体" w:eastAsia="宋体" w:hAnsi="宋体" w:cs="宋体" w:hint="eastAsia"/>
                <w:kern w:val="2"/>
                <w:lang w:eastAsia="zh-CN"/>
              </w:rPr>
              <w:t>评审委员会对投标人提供的政策性</w:t>
            </w:r>
            <w:r>
              <w:rPr>
                <w:rFonts w:ascii="宋体" w:eastAsia="宋体" w:hAnsi="宋体" w:cs="宋体" w:hint="eastAsia"/>
                <w:kern w:val="2"/>
                <w:lang w:eastAsia="zh-CN"/>
              </w:rPr>
              <w:t>养老</w:t>
            </w:r>
            <w:r>
              <w:rPr>
                <w:rFonts w:ascii="宋体" w:eastAsia="宋体" w:hAnsi="宋体" w:cs="宋体" w:hint="eastAsia"/>
                <w:kern w:val="2"/>
                <w:lang w:eastAsia="zh-CN"/>
              </w:rPr>
              <w:t>床位数量进行评审，政策性</w:t>
            </w:r>
            <w:r>
              <w:rPr>
                <w:rFonts w:ascii="宋体" w:eastAsia="宋体" w:hAnsi="宋体" w:cs="宋体" w:hint="eastAsia"/>
                <w:kern w:val="2"/>
                <w:lang w:eastAsia="zh-CN"/>
              </w:rPr>
              <w:t>养老</w:t>
            </w:r>
            <w:r>
              <w:rPr>
                <w:rFonts w:ascii="宋体" w:eastAsia="宋体" w:hAnsi="宋体" w:cs="宋体" w:hint="eastAsia"/>
                <w:kern w:val="2"/>
                <w:lang w:eastAsia="zh-CN"/>
              </w:rPr>
              <w:t>床位数量应大于或等于</w:t>
            </w:r>
            <w:r>
              <w:rPr>
                <w:rFonts w:ascii="宋体" w:eastAsia="宋体" w:hAnsi="宋体" w:cs="宋体" w:hint="eastAsia"/>
                <w:kern w:val="2"/>
                <w:lang w:eastAsia="zh-CN"/>
              </w:rPr>
              <w:t>10</w:t>
            </w:r>
            <w:r>
              <w:rPr>
                <w:rFonts w:ascii="宋体" w:eastAsia="宋体" w:hAnsi="宋体" w:cs="宋体" w:hint="eastAsia"/>
                <w:kern w:val="2"/>
                <w:lang w:eastAsia="zh-CN"/>
              </w:rPr>
              <w:t>张。</w:t>
            </w:r>
          </w:p>
          <w:p>
            <w:pPr>
              <w:numPr>
                <w:ilvl w:val="0"/>
                <w:numId w:val="0"/>
              </w:numPr>
              <w:spacing w:line="240" w:lineRule="auto"/>
              <w:ind w:left="0" w:firstLine="0"/>
              <w:jc w:val="both"/>
              <w:rPr>
                <w:rFonts w:ascii="宋体" w:eastAsia="宋体" w:hAnsi="宋体" w:cs="宋体"/>
                <w:b/>
                <w:bCs/>
                <w:lang w:eastAsia="zh-CN"/>
              </w:rPr>
            </w:pPr>
            <w:r>
              <w:rPr>
                <w:rFonts w:ascii="宋体" w:eastAsia="宋体" w:hAnsi="宋体" w:cs="宋体" w:hint="eastAsia"/>
                <w:b/>
                <w:bCs/>
                <w:lang w:eastAsia="zh-CN"/>
              </w:rPr>
              <w:t>（</w:t>
            </w:r>
            <w:r>
              <w:rPr>
                <w:rFonts w:ascii="宋体" w:eastAsia="宋体" w:hAnsi="宋体" w:cs="宋体" w:hint="eastAsia"/>
                <w:b/>
                <w:bCs/>
                <w:lang w:eastAsia="zh-CN"/>
              </w:rPr>
              <w:t>二</w:t>
            </w:r>
            <w:r>
              <w:rPr>
                <w:rFonts w:ascii="宋体" w:eastAsia="宋体" w:hAnsi="宋体" w:cs="宋体" w:hint="eastAsia"/>
                <w:b/>
                <w:bCs/>
                <w:lang w:eastAsia="zh-CN"/>
              </w:rPr>
              <w:t>）</w:t>
            </w:r>
            <w:r>
              <w:rPr>
                <w:rFonts w:ascii="宋体" w:eastAsia="宋体" w:hAnsi="宋体" w:cs="宋体" w:hint="eastAsia"/>
                <w:b/>
                <w:bCs/>
                <w:lang w:eastAsia="zh-CN"/>
              </w:rPr>
              <w:t>评审标准</w:t>
            </w:r>
          </w:p>
          <w:p>
            <w:pPr>
              <w:pageBreakBefore w:val="0"/>
              <w:widowControl w:val="0"/>
              <w:kinsoku/>
              <w:wordWrap w:val="0"/>
              <w:overflowPunct/>
              <w:topLinePunct w:val="0"/>
              <w:bidi w:val="0"/>
              <w:spacing w:line="240" w:lineRule="auto"/>
              <w:jc w:val="left"/>
              <w:rPr>
                <w:rFonts w:ascii="宋体" w:eastAsia="宋体" w:hAnsi="宋体" w:cs="宋体"/>
                <w:kern w:val="2"/>
                <w:lang w:eastAsia="zh-CN"/>
              </w:rPr>
            </w:pPr>
            <w:r>
              <w:rPr>
                <w:rFonts w:ascii="宋体" w:eastAsia="宋体" w:hAnsi="宋体" w:cs="宋体" w:hint="eastAsia"/>
                <w:kern w:val="2"/>
                <w:lang w:eastAsia="zh-CN"/>
              </w:rPr>
              <w:t>具体评分细则如下：</w:t>
            </w:r>
          </w:p>
          <w:p>
            <w:pPr>
              <w:pageBreakBefore w:val="0"/>
              <w:widowControl w:val="0"/>
              <w:kinsoku/>
              <w:wordWrap w:val="0"/>
              <w:overflowPunct/>
              <w:topLinePunct w:val="0"/>
              <w:bidi w:val="0"/>
              <w:spacing w:line="240" w:lineRule="auto"/>
              <w:jc w:val="left"/>
              <w:rPr>
                <w:rFonts w:ascii="宋体" w:eastAsia="宋体" w:hAnsi="宋体" w:cs="宋体" w:hint="eastAsia"/>
                <w:kern w:val="2"/>
                <w:lang w:val="zh-CN" w:eastAsia="zh-CN"/>
              </w:rPr>
            </w:pPr>
            <w:r>
              <w:rPr>
                <w:rFonts w:ascii="宋体" w:eastAsia="宋体" w:hAnsi="宋体" w:cs="宋体" w:hint="eastAsia"/>
                <w:kern w:val="2"/>
                <w:lang w:eastAsia="zh-CN"/>
              </w:rPr>
              <w:t>1.</w:t>
            </w:r>
            <w:r>
              <w:rPr>
                <w:rFonts w:ascii="宋体" w:eastAsia="宋体" w:hAnsi="宋体" w:cs="宋体" w:hint="eastAsia"/>
                <w:kern w:val="2"/>
                <w:lang w:val="zh-CN" w:eastAsia="zh-CN"/>
              </w:rPr>
              <w:t>提供</w:t>
            </w:r>
            <w:r>
              <w:rPr>
                <w:rFonts w:ascii="宋体" w:eastAsia="宋体" w:hAnsi="宋体" w:cs="宋体" w:hint="eastAsia"/>
                <w:kern w:val="2"/>
                <w:lang w:eastAsia="zh-CN"/>
              </w:rPr>
              <w:t>12</w:t>
            </w:r>
            <w:r>
              <w:rPr>
                <w:rFonts w:ascii="宋体" w:eastAsia="宋体" w:hAnsi="宋体" w:cs="宋体" w:hint="eastAsia"/>
                <w:kern w:val="2"/>
                <w:lang w:val="zh-CN" w:eastAsia="zh-CN"/>
              </w:rPr>
              <w:t>张</w:t>
            </w:r>
            <w:r>
              <w:rPr>
                <w:rFonts w:ascii="宋体" w:eastAsia="宋体" w:hAnsi="宋体" w:cs="宋体" w:hint="eastAsia"/>
                <w:kern w:val="2"/>
                <w:lang w:eastAsia="zh-CN"/>
              </w:rPr>
              <w:t>及以上</w:t>
            </w:r>
            <w:r>
              <w:rPr>
                <w:rFonts w:ascii="宋体" w:eastAsia="宋体" w:hAnsi="宋体" w:cs="宋体" w:hint="eastAsia"/>
                <w:kern w:val="2"/>
                <w:lang w:val="zh-CN" w:eastAsia="zh-CN"/>
              </w:rPr>
              <w:t>政策性</w:t>
            </w:r>
            <w:r>
              <w:rPr>
                <w:rFonts w:ascii="宋体" w:eastAsia="宋体" w:hAnsi="宋体" w:cs="宋体" w:hint="eastAsia"/>
                <w:kern w:val="2"/>
                <w:lang w:eastAsia="zh-CN"/>
              </w:rPr>
              <w:t>养老</w:t>
            </w:r>
            <w:r>
              <w:rPr>
                <w:rFonts w:ascii="宋体" w:eastAsia="宋体" w:hAnsi="宋体" w:cs="宋体" w:hint="eastAsia"/>
                <w:kern w:val="2"/>
                <w:lang w:val="zh-CN" w:eastAsia="zh-CN"/>
              </w:rPr>
              <w:t>床位得</w:t>
            </w:r>
            <w:r>
              <w:rPr>
                <w:rFonts w:ascii="宋体" w:eastAsia="宋体" w:hAnsi="宋体" w:cs="宋体" w:hint="eastAsia"/>
                <w:kern w:val="2"/>
                <w:lang w:eastAsia="zh-CN"/>
              </w:rPr>
              <w:t>100</w:t>
            </w:r>
            <w:r>
              <w:rPr>
                <w:rFonts w:ascii="宋体" w:eastAsia="宋体" w:hAnsi="宋体" w:cs="宋体" w:hint="eastAsia"/>
                <w:kern w:val="2"/>
                <w:lang w:val="zh-CN" w:eastAsia="zh-CN"/>
              </w:rPr>
              <w:t>分；</w:t>
            </w:r>
          </w:p>
          <w:p>
            <w:pPr>
              <w:pageBreakBefore w:val="0"/>
              <w:widowControl w:val="0"/>
              <w:kinsoku/>
              <w:wordWrap/>
              <w:overflowPunct/>
              <w:topLinePunct w:val="0"/>
              <w:bidi w:val="0"/>
              <w:spacing w:after="60" w:line="240" w:lineRule="auto"/>
              <w:jc w:val="left"/>
              <w:rPr>
                <w:rFonts w:ascii="宋体" w:eastAsia="宋体" w:hAnsi="宋体" w:cs="宋体" w:hint="eastAsia"/>
                <w:kern w:val="2"/>
                <w:lang w:val="zh-CN" w:eastAsia="zh-CN"/>
              </w:rPr>
            </w:pPr>
            <w:r>
              <w:rPr>
                <w:rFonts w:ascii="宋体" w:eastAsia="宋体" w:hAnsi="宋体" w:cs="宋体" w:hint="eastAsia"/>
                <w:kern w:val="2"/>
                <w:lang w:eastAsia="zh-CN"/>
              </w:rPr>
              <w:t>2.</w:t>
            </w:r>
            <w:r>
              <w:rPr>
                <w:rFonts w:ascii="宋体" w:eastAsia="宋体" w:hAnsi="宋体" w:cs="宋体" w:hint="eastAsia"/>
                <w:kern w:val="2"/>
                <w:lang w:val="zh-CN" w:eastAsia="zh-CN"/>
              </w:rPr>
              <w:t>提供</w:t>
            </w:r>
            <w:r>
              <w:rPr>
                <w:rFonts w:ascii="宋体" w:eastAsia="宋体" w:hAnsi="宋体" w:cs="宋体" w:hint="eastAsia"/>
                <w:kern w:val="2"/>
                <w:lang w:eastAsia="zh-CN"/>
              </w:rPr>
              <w:t>11</w:t>
            </w:r>
            <w:r>
              <w:rPr>
                <w:rFonts w:ascii="宋体" w:eastAsia="宋体" w:hAnsi="宋体" w:cs="宋体" w:hint="eastAsia"/>
                <w:kern w:val="2"/>
                <w:lang w:val="zh-CN" w:eastAsia="zh-CN"/>
              </w:rPr>
              <w:t>张政策性</w:t>
            </w:r>
            <w:r>
              <w:rPr>
                <w:rFonts w:ascii="宋体" w:eastAsia="宋体" w:hAnsi="宋体" w:cs="宋体" w:hint="eastAsia"/>
                <w:kern w:val="2"/>
                <w:lang w:eastAsia="zh-CN"/>
              </w:rPr>
              <w:t>养老</w:t>
            </w:r>
            <w:r>
              <w:rPr>
                <w:rFonts w:ascii="宋体" w:eastAsia="宋体" w:hAnsi="宋体" w:cs="宋体" w:hint="eastAsia"/>
                <w:kern w:val="2"/>
                <w:lang w:val="zh-CN" w:eastAsia="zh-CN"/>
              </w:rPr>
              <w:t>床位得</w:t>
            </w:r>
            <w:r>
              <w:rPr>
                <w:rFonts w:ascii="宋体" w:eastAsia="宋体" w:hAnsi="宋体" w:cs="宋体" w:hint="eastAsia"/>
                <w:kern w:val="2"/>
                <w:lang w:eastAsia="zh-CN"/>
              </w:rPr>
              <w:t>90</w:t>
            </w:r>
            <w:r>
              <w:rPr>
                <w:rFonts w:ascii="宋体" w:eastAsia="宋体" w:hAnsi="宋体" w:cs="宋体" w:hint="eastAsia"/>
                <w:kern w:val="2"/>
                <w:lang w:val="zh-CN" w:eastAsia="zh-CN"/>
              </w:rPr>
              <w:t>分；</w:t>
            </w:r>
          </w:p>
          <w:p>
            <w:pPr>
              <w:pageBreakBefore w:val="0"/>
              <w:widowControl w:val="0"/>
              <w:kinsoku/>
              <w:wordWrap/>
              <w:overflowPunct/>
              <w:topLinePunct w:val="0"/>
              <w:bidi w:val="0"/>
              <w:spacing w:after="60" w:line="240" w:lineRule="auto"/>
              <w:jc w:val="left"/>
              <w:rPr>
                <w:rFonts w:ascii="宋体" w:eastAsia="宋体" w:hAnsi="宋体" w:cs="宋体" w:hint="eastAsia"/>
                <w:kern w:val="2"/>
                <w:lang w:val="zh-CN" w:eastAsia="zh-CN"/>
              </w:rPr>
            </w:pPr>
            <w:r>
              <w:rPr>
                <w:rFonts w:ascii="宋体" w:eastAsia="宋体" w:hAnsi="宋体" w:cs="宋体" w:hint="eastAsia"/>
                <w:kern w:val="2"/>
                <w:lang w:eastAsia="zh-CN"/>
              </w:rPr>
              <w:t>3.</w:t>
            </w:r>
            <w:r>
              <w:rPr>
                <w:rFonts w:ascii="宋体" w:eastAsia="宋体" w:hAnsi="宋体" w:cs="宋体" w:hint="eastAsia"/>
                <w:kern w:val="2"/>
                <w:lang w:val="zh-CN" w:eastAsia="zh-CN"/>
              </w:rPr>
              <w:t>提供</w:t>
            </w:r>
            <w:r>
              <w:rPr>
                <w:rFonts w:ascii="宋体" w:eastAsia="宋体" w:hAnsi="宋体" w:cs="宋体" w:hint="eastAsia"/>
                <w:kern w:val="2"/>
                <w:lang w:eastAsia="zh-CN"/>
              </w:rPr>
              <w:t>10</w:t>
            </w:r>
            <w:r>
              <w:rPr>
                <w:rFonts w:ascii="宋体" w:eastAsia="宋体" w:hAnsi="宋体" w:cs="宋体" w:hint="eastAsia"/>
                <w:kern w:val="2"/>
                <w:lang w:val="zh-CN" w:eastAsia="zh-CN"/>
              </w:rPr>
              <w:t>张政策性</w:t>
            </w:r>
            <w:r>
              <w:rPr>
                <w:rFonts w:ascii="宋体" w:eastAsia="宋体" w:hAnsi="宋体" w:cs="宋体" w:hint="eastAsia"/>
                <w:kern w:val="2"/>
                <w:lang w:eastAsia="zh-CN"/>
              </w:rPr>
              <w:t>养老</w:t>
            </w:r>
            <w:r>
              <w:rPr>
                <w:rFonts w:ascii="宋体" w:eastAsia="宋体" w:hAnsi="宋体" w:cs="宋体" w:hint="eastAsia"/>
                <w:kern w:val="2"/>
                <w:lang w:val="zh-CN" w:eastAsia="zh-CN"/>
              </w:rPr>
              <w:t>床位得</w:t>
            </w:r>
            <w:r>
              <w:rPr>
                <w:rFonts w:ascii="宋体" w:eastAsia="宋体" w:hAnsi="宋体" w:cs="宋体" w:hint="eastAsia"/>
                <w:kern w:val="2"/>
                <w:lang w:eastAsia="zh-CN"/>
              </w:rPr>
              <w:t>80</w:t>
            </w:r>
            <w:r>
              <w:rPr>
                <w:rFonts w:ascii="宋体" w:eastAsia="宋体" w:hAnsi="宋体" w:cs="宋体" w:hint="eastAsia"/>
                <w:kern w:val="2"/>
                <w:lang w:val="zh-CN" w:eastAsia="zh-CN"/>
              </w:rPr>
              <w:t>分。</w:t>
            </w:r>
          </w:p>
          <w:p>
            <w:pPr>
              <w:pageBreakBefore w:val="0"/>
              <w:widowControl w:val="0"/>
              <w:kinsoku/>
              <w:wordWrap w:val="0"/>
              <w:overflowPunct/>
              <w:topLinePunct w:val="0"/>
              <w:bidi w:val="0"/>
              <w:spacing w:line="240" w:lineRule="auto"/>
              <w:jc w:val="left"/>
              <w:rPr>
                <w:rFonts w:ascii="宋体" w:eastAsia="宋体" w:hAnsi="宋体" w:cs="宋体" w:hint="eastAsia"/>
                <w:b/>
                <w:bCs/>
                <w:kern w:val="2"/>
                <w:lang w:eastAsia="zh-CN"/>
              </w:rPr>
            </w:pPr>
            <w:r>
              <w:rPr>
                <w:rFonts w:ascii="宋体" w:eastAsia="宋体" w:hAnsi="宋体" w:cs="宋体" w:hint="eastAsia"/>
                <w:b/>
                <w:bCs/>
                <w:kern w:val="2"/>
                <w:lang w:eastAsia="zh-CN"/>
              </w:rPr>
              <w:t>（</w:t>
            </w:r>
            <w:r>
              <w:rPr>
                <w:rFonts w:ascii="宋体" w:eastAsia="宋体" w:hAnsi="宋体" w:cs="宋体" w:hint="eastAsia"/>
                <w:b/>
                <w:bCs/>
                <w:kern w:val="2"/>
                <w:lang w:eastAsia="zh-CN"/>
              </w:rPr>
              <w:t>三</w:t>
            </w:r>
            <w:r>
              <w:rPr>
                <w:rFonts w:ascii="宋体" w:eastAsia="宋体" w:hAnsi="宋体" w:cs="宋体" w:hint="eastAsia"/>
                <w:b/>
                <w:bCs/>
                <w:kern w:val="2"/>
                <w:lang w:eastAsia="zh-CN"/>
              </w:rPr>
              <w:t>）证明</w:t>
            </w:r>
            <w:r>
              <w:rPr>
                <w:rFonts w:ascii="宋体" w:eastAsia="宋体" w:hAnsi="宋体" w:cs="宋体" w:hint="eastAsia"/>
                <w:b/>
                <w:bCs/>
                <w:kern w:val="2"/>
                <w:lang w:eastAsia="zh-CN"/>
              </w:rPr>
              <w:t>文件</w:t>
            </w:r>
          </w:p>
          <w:p>
            <w:pPr>
              <w:pageBreakBefore w:val="0"/>
              <w:widowControl w:val="0"/>
              <w:kinsoku/>
              <w:wordWrap w:val="0"/>
              <w:overflowPunct/>
              <w:topLinePunct w:val="0"/>
              <w:bidi w:val="0"/>
              <w:spacing w:line="240" w:lineRule="auto"/>
              <w:jc w:val="both"/>
              <w:rPr>
                <w:rFonts w:ascii="宋体" w:eastAsia="宋体" w:hAnsi="宋体" w:cs="宋体" w:hint="eastAsia"/>
                <w:kern w:val="2"/>
                <w:lang w:eastAsia="zh-CN"/>
              </w:rPr>
            </w:pPr>
            <w:r>
              <w:rPr>
                <w:rFonts w:ascii="宋体" w:eastAsia="宋体" w:hAnsi="宋体" w:cs="宋体" w:hint="eastAsia"/>
                <w:kern w:val="2"/>
                <w:lang w:eastAsia="zh-CN"/>
              </w:rPr>
              <w:t>投标人提供“第四章第4点项目报价表”。</w:t>
            </w:r>
          </w:p>
        </w:tc>
      </w:tr>
      <w:bookmarkEnd w:id="15"/>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2</w:t>
            </w:r>
          </w:p>
        </w:tc>
        <w:tc>
          <w:tcPr>
            <w:tcW w:w="1274"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rPr>
              <w:t>体系认证</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4934" w:type="dxa"/>
            <w:noWrap w:val="0"/>
            <w:vAlign w:val="top"/>
          </w:tcPr>
          <w:p>
            <w:pPr>
              <w:widowControl/>
              <w:wordWrap w:val="0"/>
              <w:spacing w:line="240" w:lineRule="auto"/>
              <w:jc w:val="left"/>
              <w:textAlignment w:val="top"/>
              <w:rPr>
                <w:rFonts w:ascii="宋体" w:eastAsia="宋体" w:hAnsi="宋体" w:cs="宋体" w:hint="eastAsia"/>
                <w:b/>
                <w:bCs/>
              </w:rPr>
            </w:pPr>
            <w:r>
              <w:rPr>
                <w:rFonts w:ascii="宋体" w:eastAsia="宋体" w:hAnsi="宋体" w:cs="宋体" w:hint="eastAsia"/>
                <w:b/>
                <w:bCs/>
              </w:rPr>
              <w:t>（一）评审内容</w:t>
            </w:r>
          </w:p>
          <w:p>
            <w:pPr>
              <w:widowControl/>
              <w:wordWrap w:val="0"/>
              <w:spacing w:line="240" w:lineRule="auto"/>
              <w:jc w:val="left"/>
              <w:textAlignment w:val="top"/>
              <w:rPr>
                <w:rFonts w:ascii="宋体" w:eastAsia="宋体" w:hAnsi="宋体" w:cs="宋体" w:hint="eastAsia"/>
                <w:lang w:eastAsia="zh-CN"/>
              </w:rPr>
            </w:pPr>
            <w:r>
              <w:rPr>
                <w:rFonts w:ascii="宋体" w:eastAsia="宋体" w:hAnsi="宋体" w:cs="宋体" w:hint="eastAsia"/>
              </w:rPr>
              <w:t>投标人通过相关认证情况</w:t>
            </w:r>
            <w:r>
              <w:rPr>
                <w:rFonts w:ascii="宋体" w:eastAsia="宋体" w:hAnsi="宋体" w:cs="宋体" w:hint="eastAsia"/>
                <w:lang w:eastAsia="zh-CN"/>
              </w:rPr>
              <w:t>：</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1</w:t>
            </w:r>
            <w:r>
              <w:rPr>
                <w:rFonts w:ascii="宋体" w:eastAsia="宋体" w:hAnsi="宋体" w:cs="宋体" w:hint="eastAsia"/>
                <w:lang w:eastAsia="zh-CN"/>
              </w:rPr>
              <w:t>.</w:t>
            </w:r>
            <w:r>
              <w:rPr>
                <w:rFonts w:ascii="宋体" w:eastAsia="宋体" w:hAnsi="宋体" w:cs="宋体" w:hint="eastAsia"/>
              </w:rPr>
              <w:t>具有质量管理体系认证证书；</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2</w:t>
            </w:r>
            <w:r>
              <w:rPr>
                <w:rFonts w:ascii="宋体" w:eastAsia="宋体" w:hAnsi="宋体" w:cs="宋体" w:hint="eastAsia"/>
                <w:lang w:eastAsia="zh-CN"/>
              </w:rPr>
              <w:t>.</w:t>
            </w:r>
            <w:r>
              <w:rPr>
                <w:rFonts w:ascii="宋体" w:eastAsia="宋体" w:hAnsi="宋体" w:cs="宋体" w:hint="eastAsia"/>
              </w:rPr>
              <w:t>具有职业健康安全管理体系认证证书；</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lang w:eastAsia="zh-CN"/>
              </w:rPr>
              <w:t>3.</w:t>
            </w:r>
            <w:r>
              <w:rPr>
                <w:rFonts w:ascii="宋体" w:eastAsia="宋体" w:hAnsi="宋体" w:cs="宋体" w:hint="eastAsia"/>
              </w:rPr>
              <w:t>具有环境管理体系认证证书。</w:t>
            </w:r>
          </w:p>
          <w:p>
            <w:pPr>
              <w:widowControl/>
              <w:numPr>
                <w:ilvl w:val="0"/>
                <w:numId w:val="0"/>
              </w:numPr>
              <w:wordWrap w:val="0"/>
              <w:spacing w:line="240" w:lineRule="auto"/>
              <w:ind w:left="0" w:firstLine="0"/>
              <w:jc w:val="left"/>
              <w:textAlignment w:val="top"/>
              <w:rPr>
                <w:rFonts w:ascii="宋体" w:eastAsia="宋体" w:hAnsi="宋体" w:cs="宋体"/>
                <w:b/>
                <w:bCs/>
                <w:lang w:eastAsia="zh-CN"/>
              </w:rPr>
            </w:pPr>
            <w:r>
              <w:rPr>
                <w:rFonts w:ascii="宋体" w:eastAsia="宋体" w:hAnsi="宋体" w:cs="宋体" w:hint="eastAsia"/>
                <w:b/>
                <w:bCs/>
                <w:lang w:eastAsia="zh-CN"/>
              </w:rPr>
              <w:t>（二）评审标准</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lang w:eastAsia="zh-CN"/>
              </w:rPr>
              <w:t>上述三项认证证书</w:t>
            </w:r>
            <w:r>
              <w:rPr>
                <w:rFonts w:ascii="宋体" w:eastAsia="宋体" w:hAnsi="宋体" w:cs="宋体" w:hint="eastAsia"/>
              </w:rPr>
              <w:t>每提供一项得</w:t>
            </w:r>
            <w:r>
              <w:rPr>
                <w:rFonts w:ascii="宋体" w:eastAsia="宋体" w:hAnsi="宋体" w:cs="宋体" w:hint="eastAsia"/>
                <w:lang w:eastAsia="zh-CN"/>
              </w:rPr>
              <w:t>34</w:t>
            </w:r>
            <w:r>
              <w:rPr>
                <w:rFonts w:ascii="宋体" w:eastAsia="宋体" w:hAnsi="宋体" w:cs="宋体" w:hint="eastAsia"/>
              </w:rPr>
              <w:t>分，本项最高得</w:t>
            </w:r>
            <w:r>
              <w:rPr>
                <w:rFonts w:ascii="宋体" w:eastAsia="宋体" w:hAnsi="宋体" w:cs="宋体" w:hint="eastAsia"/>
                <w:lang w:eastAsia="zh-CN"/>
              </w:rPr>
              <w:t>100</w:t>
            </w:r>
            <w:r>
              <w:rPr>
                <w:rFonts w:ascii="宋体" w:eastAsia="宋体" w:hAnsi="宋体" w:cs="宋体" w:hint="eastAsia"/>
              </w:rPr>
              <w:t>分。</w:t>
            </w:r>
          </w:p>
          <w:p>
            <w:pPr>
              <w:widowControl/>
              <w:numPr>
                <w:ilvl w:val="0"/>
                <w:numId w:val="0"/>
              </w:numPr>
              <w:wordWrap w:val="0"/>
              <w:spacing w:line="240" w:lineRule="auto"/>
              <w:ind w:left="0" w:firstLine="0"/>
              <w:jc w:val="left"/>
              <w:textAlignment w:val="top"/>
              <w:rPr>
                <w:rFonts w:ascii="宋体" w:eastAsia="宋体" w:hAnsi="宋体" w:cs="宋体"/>
                <w:b/>
                <w:bCs/>
                <w:lang w:eastAsia="zh-CN"/>
              </w:rPr>
            </w:pPr>
            <w:r>
              <w:rPr>
                <w:rFonts w:ascii="宋体" w:eastAsia="宋体" w:hAnsi="宋体" w:cs="宋体" w:hint="eastAsia"/>
                <w:b/>
                <w:bCs/>
              </w:rPr>
              <w:t>（</w:t>
            </w:r>
            <w:r>
              <w:rPr>
                <w:rFonts w:ascii="宋体" w:eastAsia="宋体" w:hAnsi="宋体" w:cs="宋体" w:hint="eastAsia"/>
                <w:b/>
                <w:bCs/>
                <w:lang w:eastAsia="zh-CN"/>
              </w:rPr>
              <w:t>三</w:t>
            </w:r>
            <w:r>
              <w:rPr>
                <w:rFonts w:ascii="宋体" w:eastAsia="宋体" w:hAnsi="宋体" w:cs="宋体" w:hint="eastAsia"/>
                <w:b/>
                <w:bCs/>
              </w:rPr>
              <w:t>）</w:t>
            </w:r>
            <w:r>
              <w:rPr>
                <w:rFonts w:ascii="宋体" w:eastAsia="宋体" w:hAnsi="宋体" w:cs="宋体" w:hint="eastAsia"/>
                <w:b/>
                <w:bCs/>
                <w:lang w:eastAsia="zh-CN"/>
              </w:rPr>
              <w:t>证明文件</w:t>
            </w:r>
          </w:p>
          <w:p>
            <w:pPr>
              <w:widowControl/>
              <w:numPr>
                <w:ilvl w:val="0"/>
                <w:numId w:val="0"/>
              </w:numPr>
              <w:wordWrap w:val="0"/>
              <w:spacing w:line="240" w:lineRule="auto"/>
              <w:ind w:left="0" w:firstLine="0"/>
              <w:jc w:val="left"/>
              <w:textAlignment w:val="top"/>
              <w:rPr>
                <w:rFonts w:ascii="宋体" w:eastAsia="宋体" w:hAnsi="宋体" w:cs="宋体" w:hint="eastAsia"/>
              </w:rPr>
            </w:pPr>
            <w:r>
              <w:rPr>
                <w:rFonts w:ascii="宋体" w:eastAsia="宋体" w:hAnsi="宋体" w:cs="宋体" w:hint="eastAsia"/>
              </w:rPr>
              <w:t>要求提供在有效期内的相关证书和国家认证认可监督管理委员会官方网站（www.cnca.gov.cn）</w:t>
            </w:r>
            <w:r>
              <w:rPr>
                <w:rFonts w:ascii="宋体" w:eastAsia="宋体" w:hAnsi="宋体" w:cs="宋体" w:hint="eastAsia"/>
                <w:lang w:eastAsia="zh-CN"/>
              </w:rPr>
              <w:t>[</w:t>
            </w:r>
            <w:r>
              <w:rPr>
                <w:rFonts w:ascii="宋体" w:eastAsia="宋体" w:hAnsi="宋体" w:cs="宋体" w:hint="eastAsia"/>
              </w:rPr>
              <w:t>证书状态：有效</w:t>
            </w:r>
            <w:r>
              <w:rPr>
                <w:rFonts w:ascii="宋体" w:eastAsia="宋体" w:hAnsi="宋体" w:cs="宋体" w:hint="eastAsia"/>
                <w:lang w:eastAsia="zh-CN"/>
              </w:rPr>
              <w:t>]</w:t>
            </w:r>
            <w:r>
              <w:rPr>
                <w:rFonts w:ascii="宋体" w:eastAsia="宋体" w:hAnsi="宋体" w:cs="宋体" w:hint="eastAsia"/>
              </w:rPr>
              <w:t>或相关网站查询截图等证明材料作为得分依据。</w:t>
            </w:r>
          </w:p>
          <w:p>
            <w:pPr>
              <w:pageBreakBefore w:val="0"/>
              <w:widowControl w:val="0"/>
              <w:numPr>
                <w:ilvl w:val="0"/>
                <w:numId w:val="0"/>
              </w:numPr>
              <w:kinsoku/>
              <w:overflowPunct/>
              <w:topLinePunct w:val="0"/>
              <w:bidi w:val="0"/>
              <w:spacing w:after="60" w:line="240" w:lineRule="auto"/>
              <w:ind w:left="0" w:firstLine="0" w:leftChars="0" w:firstLineChars="0"/>
              <w:jc w:val="left"/>
              <w:rPr>
                <w:rFonts w:ascii="宋体" w:eastAsia="宋体" w:hAnsi="宋体" w:cs="宋体" w:hint="eastAsia"/>
                <w:kern w:val="2"/>
                <w:lang w:eastAsia="zh-CN"/>
              </w:rPr>
            </w:pPr>
            <w:r>
              <w:rPr>
                <w:rFonts w:ascii="宋体" w:eastAsia="宋体" w:hAnsi="宋体" w:cs="宋体" w:hint="eastAsia"/>
                <w:lang w:eastAsia="zh-CN"/>
              </w:rPr>
              <w:t>备注：</w:t>
            </w:r>
            <w:r>
              <w:rPr>
                <w:rFonts w:ascii="宋体" w:eastAsia="宋体" w:hAnsi="宋体" w:cs="宋体" w:hint="eastAsia"/>
              </w:rPr>
              <w:t>以上资料均要求提供清晰扫描件。评分中出现无证明资料或专家无法凭所提供资料判断是否得分的情况，一律作不得分处理。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1274" w:type="dxa"/>
            <w:noWrap w:val="0"/>
            <w:vAlign w:val="center"/>
          </w:tcPr>
          <w:p>
            <w:pPr>
              <w:pageBreakBefore w:val="0"/>
              <w:widowControl/>
              <w:kinsoku/>
              <w:overflowPunct/>
              <w:topLinePunct w:val="0"/>
              <w:bidi w:val="0"/>
              <w:spacing w:line="240" w:lineRule="auto"/>
              <w:jc w:val="center"/>
              <w:rPr>
                <w:rFonts w:ascii="宋体" w:eastAsia="宋体" w:hAnsi="宋体" w:cs="宋体" w:hint="eastAsia"/>
                <w:spacing w:val="5"/>
                <w:kern w:val="2"/>
                <w:lang w:eastAsia="zh-CN"/>
              </w:rPr>
            </w:pPr>
            <w:bookmarkStart w:id="16" w:name="OLE_LINK27"/>
            <w:r>
              <w:rPr>
                <w:rFonts w:ascii="宋体" w:eastAsia="宋体" w:hAnsi="宋体" w:cs="宋体" w:hint="eastAsia"/>
              </w:rPr>
              <w:t>实际运营养老机构</w:t>
            </w:r>
            <w:r>
              <w:rPr>
                <w:rFonts w:ascii="宋体" w:eastAsia="宋体" w:hAnsi="宋体" w:cs="宋体" w:hint="eastAsia"/>
                <w:lang w:eastAsia="zh-CN"/>
              </w:rPr>
              <w:t>及</w:t>
            </w:r>
            <w:r>
              <w:rPr>
                <w:rFonts w:ascii="宋体" w:eastAsia="宋体" w:hAnsi="宋体" w:cs="宋体" w:hint="eastAsia"/>
              </w:rPr>
              <w:t>床位</w:t>
            </w:r>
            <w:r>
              <w:rPr>
                <w:rFonts w:ascii="宋体" w:eastAsia="宋体" w:hAnsi="宋体" w:cs="宋体" w:hint="eastAsia"/>
                <w:lang w:eastAsia="zh-CN"/>
              </w:rPr>
              <w:t>数量</w:t>
            </w:r>
            <w:bookmarkEnd w:id="16"/>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lang w:eastAsia="zh-CN"/>
              </w:rPr>
              <w:t>8</w:t>
            </w:r>
          </w:p>
        </w:tc>
        <w:tc>
          <w:tcPr>
            <w:tcW w:w="4934" w:type="dxa"/>
            <w:noWrap w:val="0"/>
            <w:vAlign w:val="top"/>
          </w:tcPr>
          <w:p>
            <w:pPr>
              <w:pageBreakBefore w:val="0"/>
              <w:widowControl w:val="0"/>
              <w:numPr>
                <w:ilvl w:val="0"/>
                <w:numId w:val="0"/>
              </w:numPr>
              <w:kinsoku/>
              <w:wordWrap w:val="0"/>
              <w:overflowPunct/>
              <w:topLinePunct w:val="0"/>
              <w:bidi w:val="0"/>
              <w:spacing w:line="240" w:lineRule="auto"/>
              <w:ind w:left="0" w:firstLine="0"/>
              <w:jc w:val="left"/>
              <w:rPr>
                <w:rFonts w:ascii="宋体" w:eastAsia="宋体" w:hAnsi="宋体" w:cs="宋体" w:hint="eastAsia"/>
                <w:b/>
                <w:bCs/>
              </w:rPr>
            </w:pPr>
            <w:r>
              <w:rPr>
                <w:rFonts w:ascii="宋体" w:eastAsia="宋体" w:hAnsi="宋体" w:cs="宋体" w:hint="eastAsia"/>
                <w:b/>
                <w:bCs/>
              </w:rPr>
              <w:t>（一）</w:t>
            </w:r>
            <w:r>
              <w:rPr>
                <w:rFonts w:ascii="宋体" w:eastAsia="宋体" w:hAnsi="宋体" w:cs="宋体" w:hint="eastAsia"/>
                <w:b/>
                <w:bCs/>
              </w:rPr>
              <w:t>评审内容</w:t>
            </w:r>
          </w:p>
          <w:p>
            <w:pPr>
              <w:pageBreakBefore w:val="0"/>
              <w:widowControl w:val="0"/>
              <w:numPr>
                <w:ilvl w:val="0"/>
                <w:numId w:val="0"/>
              </w:numPr>
              <w:kinsoku/>
              <w:wordWrap w:val="0"/>
              <w:overflowPunct/>
              <w:topLinePunct w:val="0"/>
              <w:bidi w:val="0"/>
              <w:spacing w:line="240" w:lineRule="auto"/>
              <w:ind w:left="0" w:firstLine="0"/>
              <w:jc w:val="left"/>
              <w:rPr>
                <w:rFonts w:ascii="宋体" w:eastAsia="宋体" w:hAnsi="宋体" w:cs="宋体" w:hint="eastAsia"/>
                <w:kern w:val="2"/>
                <w:lang w:eastAsia="zh-CN"/>
              </w:rPr>
            </w:pPr>
            <w:r>
              <w:rPr>
                <w:rFonts w:ascii="宋体" w:eastAsia="宋体" w:hAnsi="宋体" w:cs="宋体" w:hint="eastAsia"/>
                <w:kern w:val="2"/>
                <w:lang w:eastAsia="zh-CN"/>
              </w:rPr>
              <w:t>考察</w:t>
            </w:r>
            <w:r>
              <w:rPr>
                <w:rFonts w:ascii="宋体" w:eastAsia="宋体" w:hAnsi="宋体" w:cs="宋体" w:hint="eastAsia"/>
                <w:kern w:val="2"/>
                <w:lang w:eastAsia="zh-CN"/>
              </w:rPr>
              <w:t>投标人</w:t>
            </w:r>
            <w:r>
              <w:rPr>
                <w:rFonts w:ascii="宋体" w:eastAsia="宋体" w:hAnsi="宋体" w:cs="宋体" w:hint="eastAsia"/>
              </w:rPr>
              <w:t>或其分公司（分支机构）</w:t>
            </w:r>
            <w:r>
              <w:rPr>
                <w:rFonts w:ascii="宋体" w:eastAsia="宋体" w:hAnsi="宋体" w:cs="宋体" w:hint="eastAsia"/>
                <w:lang w:eastAsia="zh-CN"/>
              </w:rPr>
              <w:t>单独运营或</w:t>
            </w:r>
            <w:r>
              <w:rPr>
                <w:rFonts w:ascii="宋体" w:eastAsia="宋体" w:hAnsi="宋体" w:cs="宋体" w:hint="eastAsia"/>
              </w:rPr>
              <w:t>与其他机构合作</w:t>
            </w:r>
            <w:r>
              <w:rPr>
                <w:rFonts w:ascii="宋体" w:eastAsia="宋体" w:hAnsi="宋体" w:cs="宋体" w:hint="eastAsia"/>
                <w:lang w:eastAsia="zh-CN"/>
              </w:rPr>
              <w:t>运营的</w:t>
            </w:r>
            <w:r>
              <w:rPr>
                <w:rFonts w:ascii="宋体" w:eastAsia="宋体" w:hAnsi="宋体" w:cs="宋体" w:hint="eastAsia"/>
              </w:rPr>
              <w:t>养老机构</w:t>
            </w:r>
            <w:r>
              <w:rPr>
                <w:rFonts w:ascii="宋体" w:eastAsia="宋体" w:hAnsi="宋体" w:cs="宋体" w:hint="eastAsia"/>
                <w:lang w:eastAsia="zh-CN"/>
              </w:rPr>
              <w:t>情况及养老</w:t>
            </w:r>
            <w:r>
              <w:rPr>
                <w:rFonts w:ascii="宋体" w:eastAsia="宋体" w:hAnsi="宋体" w:cs="宋体" w:hint="eastAsia"/>
                <w:kern w:val="2"/>
                <w:lang w:eastAsia="zh-CN"/>
              </w:rPr>
              <w:t>床位数量。</w:t>
            </w:r>
          </w:p>
          <w:p>
            <w:pPr>
              <w:pageBreakBefore w:val="0"/>
              <w:widowControl w:val="0"/>
              <w:numPr>
                <w:ilvl w:val="0"/>
                <w:numId w:val="0"/>
              </w:numPr>
              <w:kinsoku/>
              <w:wordWrap w:val="0"/>
              <w:overflowPunct/>
              <w:topLinePunct w:val="0"/>
              <w:bidi w:val="0"/>
              <w:spacing w:line="240" w:lineRule="auto"/>
              <w:ind w:left="0" w:firstLine="0"/>
              <w:jc w:val="left"/>
              <w:rPr>
                <w:rFonts w:ascii="宋体" w:eastAsia="宋体" w:hAnsi="宋体" w:cs="宋体"/>
                <w:b/>
                <w:bCs/>
                <w:lang w:eastAsia="zh-CN"/>
              </w:rPr>
            </w:pPr>
            <w:r>
              <w:rPr>
                <w:rFonts w:ascii="宋体" w:eastAsia="宋体" w:hAnsi="宋体" w:cs="宋体" w:hint="eastAsia"/>
                <w:b/>
                <w:bCs/>
                <w:lang w:eastAsia="zh-CN"/>
              </w:rPr>
              <w:t>（</w:t>
            </w:r>
            <w:r>
              <w:rPr>
                <w:rFonts w:ascii="宋体" w:eastAsia="宋体" w:hAnsi="宋体" w:cs="宋体" w:hint="eastAsia"/>
                <w:b/>
                <w:bCs/>
                <w:lang w:eastAsia="zh-CN"/>
              </w:rPr>
              <w:t>二</w:t>
            </w:r>
            <w:r>
              <w:rPr>
                <w:rFonts w:ascii="宋体" w:eastAsia="宋体" w:hAnsi="宋体" w:cs="宋体" w:hint="eastAsia"/>
                <w:b/>
                <w:bCs/>
                <w:lang w:eastAsia="zh-CN"/>
              </w:rPr>
              <w:t>）</w:t>
            </w:r>
            <w:r>
              <w:rPr>
                <w:rFonts w:ascii="宋体" w:eastAsia="宋体" w:hAnsi="宋体" w:cs="宋体" w:hint="eastAsia"/>
                <w:b/>
                <w:bCs/>
                <w:lang w:eastAsia="zh-CN"/>
              </w:rPr>
              <w:t>评审标准</w:t>
            </w:r>
          </w:p>
          <w:p>
            <w:pPr>
              <w:widowControl w:val="0"/>
              <w:numPr>
                <w:ilvl w:val="0"/>
                <w:numId w:val="0"/>
              </w:numPr>
              <w:wordWrap/>
              <w:spacing w:after="60" w:line="240" w:lineRule="auto"/>
              <w:ind w:left="0" w:firstLine="0"/>
              <w:jc w:val="left"/>
              <w:textAlignment w:val="auto"/>
              <w:rPr>
                <w:rFonts w:ascii="宋体" w:eastAsia="宋体" w:hAnsi="宋体" w:cs="宋体" w:hint="eastAsia"/>
                <w:lang w:eastAsia="zh-CN"/>
              </w:rPr>
            </w:pPr>
            <w:r>
              <w:rPr>
                <w:rFonts w:ascii="宋体" w:eastAsia="宋体" w:hAnsi="宋体" w:cs="宋体" w:hint="eastAsia"/>
              </w:rPr>
              <w:t>1.具有</w:t>
            </w:r>
            <w:bookmarkStart w:id="17" w:name="OLE_LINK23"/>
            <w:r>
              <w:rPr>
                <w:rFonts w:ascii="宋体" w:eastAsia="宋体" w:hAnsi="宋体" w:cs="宋体" w:hint="eastAsia"/>
              </w:rPr>
              <w:t>实际运营养老机构的</w:t>
            </w:r>
            <w:r>
              <w:rPr>
                <w:rFonts w:ascii="宋体" w:eastAsia="宋体" w:hAnsi="宋体" w:cs="宋体" w:hint="eastAsia"/>
                <w:lang w:eastAsia="zh-CN"/>
              </w:rPr>
              <w:t>且经过</w:t>
            </w:r>
            <w:r>
              <w:rPr>
                <w:rFonts w:ascii="宋体" w:eastAsia="宋体" w:hAnsi="宋体" w:cs="宋体" w:hint="eastAsia"/>
                <w:kern w:val="2"/>
                <w:lang w:eastAsia="zh-CN"/>
              </w:rPr>
              <w:t>床位</w:t>
            </w:r>
            <w:r>
              <w:rPr>
                <w:rFonts w:ascii="宋体" w:eastAsia="宋体" w:hAnsi="宋体" w:cs="宋体" w:hint="eastAsia"/>
                <w:lang w:eastAsia="zh-CN"/>
              </w:rPr>
              <w:t>备案</w:t>
            </w:r>
            <w:bookmarkEnd w:id="17"/>
            <w:r>
              <w:rPr>
                <w:rFonts w:ascii="宋体" w:eastAsia="宋体" w:hAnsi="宋体" w:cs="宋体" w:hint="eastAsia"/>
              </w:rPr>
              <w:t>的，得</w:t>
            </w:r>
            <w:r>
              <w:rPr>
                <w:rFonts w:ascii="宋体" w:eastAsia="宋体" w:hAnsi="宋体" w:cs="宋体" w:hint="eastAsia"/>
                <w:lang w:eastAsia="zh-CN"/>
              </w:rPr>
              <w:t>20</w:t>
            </w:r>
            <w:r>
              <w:rPr>
                <w:rFonts w:ascii="宋体" w:eastAsia="宋体" w:hAnsi="宋体" w:cs="宋体" w:hint="eastAsia"/>
              </w:rPr>
              <w:t>分。</w:t>
            </w:r>
            <w:r>
              <w:rPr>
                <w:rFonts w:ascii="宋体" w:eastAsia="宋体" w:hAnsi="宋体" w:cs="宋体" w:hint="eastAsia"/>
                <w:lang w:eastAsia="zh-CN"/>
              </w:rPr>
              <w:t>所运营</w:t>
            </w:r>
            <w:r>
              <w:rPr>
                <w:rFonts w:ascii="宋体" w:eastAsia="宋体" w:hAnsi="宋体" w:cs="宋体" w:hint="eastAsia"/>
              </w:rPr>
              <w:t>养老</w:t>
            </w:r>
            <w:r>
              <w:rPr>
                <w:rFonts w:ascii="宋体" w:eastAsia="宋体" w:hAnsi="宋体" w:cs="宋体" w:hint="eastAsia"/>
                <w:lang w:eastAsia="zh-CN"/>
              </w:rPr>
              <w:t>机构</w:t>
            </w:r>
            <w:r>
              <w:rPr>
                <w:rFonts w:ascii="宋体" w:eastAsia="宋体" w:hAnsi="宋体" w:cs="宋体" w:hint="eastAsia"/>
                <w:kern w:val="2"/>
                <w:lang w:eastAsia="zh-CN"/>
              </w:rPr>
              <w:t>床位</w:t>
            </w:r>
            <w:r>
              <w:rPr>
                <w:rFonts w:ascii="宋体" w:eastAsia="宋体" w:hAnsi="宋体" w:cs="宋体" w:hint="eastAsia"/>
                <w:lang w:eastAsia="zh-CN"/>
              </w:rPr>
              <w:t>未经行政主管部门备案的不得分</w:t>
            </w:r>
            <w:r>
              <w:rPr>
                <w:rFonts w:ascii="宋体" w:eastAsia="宋体" w:hAnsi="宋体" w:cs="宋体" w:hint="eastAsia"/>
                <w:lang w:eastAsia="zh-CN"/>
              </w:rPr>
              <w:t>；</w:t>
            </w:r>
          </w:p>
          <w:p>
            <w:pPr>
              <w:widowControl/>
              <w:wordWrap w:val="0"/>
              <w:spacing w:line="240" w:lineRule="auto"/>
              <w:jc w:val="left"/>
              <w:textAlignment w:val="top"/>
              <w:rPr>
                <w:rFonts w:ascii="宋体" w:eastAsia="宋体" w:hAnsi="宋体" w:cs="宋体" w:hint="eastAsia"/>
                <w:lang w:eastAsia="zh-CN"/>
              </w:rPr>
            </w:pPr>
            <w:r>
              <w:rPr>
                <w:rFonts w:ascii="宋体" w:eastAsia="宋体" w:hAnsi="宋体" w:cs="宋体" w:hint="eastAsia"/>
              </w:rPr>
              <w:t>2.</w:t>
            </w:r>
            <w:r>
              <w:rPr>
                <w:rFonts w:ascii="宋体" w:eastAsia="宋体" w:hAnsi="宋体" w:cs="宋体" w:hint="eastAsia"/>
                <w:lang w:eastAsia="zh-CN"/>
              </w:rPr>
              <w:t>满足第1项要求的基础上，</w:t>
            </w:r>
            <w:r>
              <w:rPr>
                <w:rFonts w:ascii="宋体" w:eastAsia="宋体" w:hAnsi="宋体" w:cs="宋体" w:hint="eastAsia"/>
              </w:rPr>
              <w:t>实际运营养老机构总床位</w:t>
            </w:r>
            <w:r>
              <w:rPr>
                <w:rFonts w:ascii="宋体" w:eastAsia="宋体" w:hAnsi="宋体" w:cs="宋体" w:hint="eastAsia"/>
                <w:lang w:eastAsia="zh-CN"/>
              </w:rPr>
              <w:t>数量为X：</w:t>
            </w:r>
          </w:p>
          <w:p>
            <w:pPr>
              <w:pageBreakBefore w:val="0"/>
              <w:widowControl w:val="0"/>
              <w:numPr>
                <w:ilvl w:val="0"/>
                <w:numId w:val="0"/>
              </w:numPr>
              <w:kinsoku/>
              <w:wordWrap w:val="0"/>
              <w:overflowPunct/>
              <w:topLinePunct w:val="0"/>
              <w:bidi w:val="0"/>
              <w:spacing w:line="240" w:lineRule="auto"/>
              <w:ind w:left="0" w:firstLine="0"/>
              <w:jc w:val="left"/>
              <w:rPr>
                <w:rFonts w:ascii="宋体" w:eastAsia="宋体" w:hAnsi="宋体" w:cs="宋体" w:hint="eastAsia"/>
              </w:rPr>
            </w:pPr>
            <w:r>
              <w:rPr>
                <w:rFonts w:ascii="宋体" w:eastAsia="宋体" w:hAnsi="宋体" w:cs="宋体" w:hint="eastAsia"/>
                <w:lang w:eastAsia="zh-CN"/>
              </w:rPr>
              <w:t>（</w:t>
            </w:r>
            <w:r>
              <w:rPr>
                <w:rFonts w:ascii="宋体" w:eastAsia="宋体" w:hAnsi="宋体" w:cs="宋体" w:hint="eastAsia"/>
                <w:lang w:eastAsia="zh-CN"/>
              </w:rPr>
              <w:t>1</w:t>
            </w:r>
            <w:r>
              <w:rPr>
                <w:rFonts w:ascii="宋体" w:eastAsia="宋体" w:hAnsi="宋体" w:cs="宋体" w:hint="eastAsia"/>
                <w:lang w:eastAsia="zh-CN"/>
              </w:rPr>
              <w:t>）</w:t>
            </w:r>
            <w:r>
              <w:rPr>
                <w:rFonts w:ascii="宋体" w:eastAsia="宋体" w:hAnsi="宋体" w:cs="宋体" w:hint="eastAsia"/>
                <w:lang w:eastAsia="zh-CN"/>
              </w:rPr>
              <w:t>X≥200</w:t>
            </w:r>
            <w:bookmarkStart w:id="18" w:name="OLE_LINK5"/>
            <w:r>
              <w:rPr>
                <w:rFonts w:ascii="宋体" w:eastAsia="宋体" w:hAnsi="宋体" w:cs="宋体" w:hint="eastAsia"/>
              </w:rPr>
              <w:t>张</w:t>
            </w:r>
            <w:bookmarkEnd w:id="18"/>
            <w:r>
              <w:rPr>
                <w:rFonts w:ascii="宋体" w:eastAsia="宋体" w:hAnsi="宋体" w:cs="宋体" w:hint="eastAsia"/>
              </w:rPr>
              <w:t>以上</w:t>
            </w:r>
            <w:r>
              <w:rPr>
                <w:rFonts w:ascii="宋体" w:eastAsia="宋体" w:hAnsi="宋体" w:cs="宋体" w:hint="eastAsia"/>
                <w:lang w:eastAsia="zh-CN"/>
              </w:rPr>
              <w:t>的</w:t>
            </w:r>
            <w:r>
              <w:rPr>
                <w:rFonts w:ascii="宋体" w:eastAsia="宋体" w:hAnsi="宋体" w:cs="宋体" w:hint="eastAsia"/>
                <w:lang w:eastAsia="zh-CN"/>
              </w:rPr>
              <w:t>，</w:t>
            </w:r>
            <w:r>
              <w:rPr>
                <w:rFonts w:ascii="宋体" w:eastAsia="宋体" w:hAnsi="宋体" w:cs="宋体" w:hint="eastAsia"/>
              </w:rPr>
              <w:t>得</w:t>
            </w:r>
            <w:r>
              <w:rPr>
                <w:rFonts w:ascii="宋体" w:eastAsia="宋体" w:hAnsi="宋体" w:cs="宋体" w:hint="eastAsia"/>
                <w:lang w:eastAsia="zh-CN"/>
              </w:rPr>
              <w:t>80</w:t>
            </w:r>
            <w:r>
              <w:rPr>
                <w:rFonts w:ascii="宋体" w:eastAsia="宋体" w:hAnsi="宋体" w:cs="宋体" w:hint="eastAsia"/>
              </w:rPr>
              <w:t>分；</w:t>
            </w:r>
          </w:p>
          <w:p>
            <w:pPr>
              <w:pageBreakBefore w:val="0"/>
              <w:widowControl w:val="0"/>
              <w:numPr>
                <w:ilvl w:val="0"/>
                <w:numId w:val="0"/>
              </w:numPr>
              <w:kinsoku/>
              <w:wordWrap w:val="0"/>
              <w:overflowPunct/>
              <w:topLinePunct w:val="0"/>
              <w:bidi w:val="0"/>
              <w:spacing w:line="240" w:lineRule="auto"/>
              <w:ind w:left="0" w:firstLine="0"/>
              <w:jc w:val="left"/>
              <w:rPr>
                <w:rFonts w:ascii="宋体" w:eastAsia="宋体" w:hAnsi="宋体" w:cs="宋体" w:hint="eastAsia"/>
              </w:rPr>
            </w:pPr>
            <w:r>
              <w:rPr>
                <w:rFonts w:ascii="宋体" w:eastAsia="宋体" w:hAnsi="宋体" w:cs="宋体" w:hint="eastAsia"/>
                <w:lang w:eastAsia="zh-CN"/>
              </w:rPr>
              <w:t>（</w:t>
            </w:r>
            <w:r>
              <w:rPr>
                <w:rFonts w:ascii="宋体" w:eastAsia="宋体" w:hAnsi="宋体" w:cs="宋体" w:hint="eastAsia"/>
                <w:lang w:eastAsia="zh-CN"/>
              </w:rPr>
              <w:t>2</w:t>
            </w:r>
            <w:r>
              <w:rPr>
                <w:rFonts w:ascii="宋体" w:eastAsia="宋体" w:hAnsi="宋体" w:cs="宋体" w:hint="eastAsia"/>
                <w:lang w:eastAsia="zh-CN"/>
              </w:rPr>
              <w:t>）</w:t>
            </w:r>
            <w:r>
              <w:rPr>
                <w:rFonts w:ascii="宋体" w:eastAsia="宋体" w:hAnsi="宋体" w:cs="宋体" w:hint="eastAsia"/>
                <w:lang w:eastAsia="zh-CN"/>
              </w:rPr>
              <w:t>150≤X＜200</w:t>
            </w:r>
            <w:r>
              <w:rPr>
                <w:rFonts w:ascii="宋体" w:eastAsia="宋体" w:hAnsi="宋体" w:cs="宋体" w:hint="eastAsia"/>
              </w:rPr>
              <w:t>张</w:t>
            </w:r>
            <w:r>
              <w:rPr>
                <w:rFonts w:ascii="宋体" w:eastAsia="宋体" w:hAnsi="宋体" w:cs="宋体" w:hint="eastAsia"/>
                <w:lang w:eastAsia="zh-CN"/>
              </w:rPr>
              <w:t>的</w:t>
            </w:r>
            <w:r>
              <w:rPr>
                <w:rFonts w:ascii="宋体" w:eastAsia="宋体" w:hAnsi="宋体" w:cs="宋体" w:hint="eastAsia"/>
                <w:lang w:eastAsia="zh-CN"/>
              </w:rPr>
              <w:t>，</w:t>
            </w:r>
            <w:r>
              <w:rPr>
                <w:rFonts w:ascii="宋体" w:eastAsia="宋体" w:hAnsi="宋体" w:cs="宋体" w:hint="eastAsia"/>
              </w:rPr>
              <w:t>得</w:t>
            </w:r>
            <w:r>
              <w:rPr>
                <w:rFonts w:ascii="宋体" w:eastAsia="宋体" w:hAnsi="宋体" w:cs="宋体" w:hint="eastAsia"/>
                <w:lang w:eastAsia="zh-CN"/>
              </w:rPr>
              <w:t>70</w:t>
            </w:r>
            <w:r>
              <w:rPr>
                <w:rFonts w:ascii="宋体" w:eastAsia="宋体" w:hAnsi="宋体" w:cs="宋体" w:hint="eastAsia"/>
              </w:rPr>
              <w:t>分；</w:t>
            </w:r>
          </w:p>
          <w:p>
            <w:pPr>
              <w:pageBreakBefore w:val="0"/>
              <w:widowControl w:val="0"/>
              <w:numPr>
                <w:ilvl w:val="0"/>
                <w:numId w:val="0"/>
              </w:numPr>
              <w:kinsoku/>
              <w:wordWrap w:val="0"/>
              <w:overflowPunct/>
              <w:topLinePunct w:val="0"/>
              <w:bidi w:val="0"/>
              <w:spacing w:line="240" w:lineRule="auto"/>
              <w:ind w:left="0" w:firstLine="0"/>
              <w:jc w:val="left"/>
              <w:rPr>
                <w:rFonts w:ascii="宋体" w:eastAsia="宋体" w:hAnsi="宋体" w:cs="宋体" w:hint="eastAsia"/>
              </w:rPr>
            </w:pPr>
            <w:r>
              <w:rPr>
                <w:rFonts w:ascii="宋体" w:eastAsia="宋体" w:hAnsi="宋体" w:cs="宋体" w:hint="eastAsia"/>
                <w:lang w:eastAsia="zh-CN"/>
              </w:rPr>
              <w:t>（</w:t>
            </w:r>
            <w:r>
              <w:rPr>
                <w:rFonts w:ascii="宋体" w:eastAsia="宋体" w:hAnsi="宋体" w:cs="宋体" w:hint="eastAsia"/>
                <w:lang w:eastAsia="zh-CN"/>
              </w:rPr>
              <w:t>3</w:t>
            </w:r>
            <w:r>
              <w:rPr>
                <w:rFonts w:ascii="宋体" w:eastAsia="宋体" w:hAnsi="宋体" w:cs="宋体" w:hint="eastAsia"/>
                <w:lang w:eastAsia="zh-CN"/>
              </w:rPr>
              <w:t>）</w:t>
            </w:r>
            <w:r>
              <w:rPr>
                <w:rFonts w:ascii="宋体" w:eastAsia="宋体" w:hAnsi="宋体" w:cs="宋体" w:hint="eastAsia"/>
                <w:lang w:eastAsia="zh-CN"/>
              </w:rPr>
              <w:t>100≤X＜150</w:t>
            </w:r>
            <w:r>
              <w:rPr>
                <w:rFonts w:ascii="宋体" w:eastAsia="宋体" w:hAnsi="宋体" w:cs="宋体" w:hint="eastAsia"/>
              </w:rPr>
              <w:t>张</w:t>
            </w:r>
            <w:r>
              <w:rPr>
                <w:rFonts w:ascii="宋体" w:eastAsia="宋体" w:hAnsi="宋体" w:cs="宋体" w:hint="eastAsia"/>
                <w:lang w:eastAsia="zh-CN"/>
              </w:rPr>
              <w:t>的</w:t>
            </w:r>
            <w:r>
              <w:rPr>
                <w:rFonts w:ascii="宋体" w:eastAsia="宋体" w:hAnsi="宋体" w:cs="宋体" w:hint="eastAsia"/>
                <w:lang w:eastAsia="zh-CN"/>
              </w:rPr>
              <w:t>，</w:t>
            </w:r>
            <w:r>
              <w:rPr>
                <w:rFonts w:ascii="宋体" w:eastAsia="宋体" w:hAnsi="宋体" w:cs="宋体" w:hint="eastAsia"/>
              </w:rPr>
              <w:t>得</w:t>
            </w:r>
            <w:r>
              <w:rPr>
                <w:rFonts w:ascii="宋体" w:eastAsia="宋体" w:hAnsi="宋体" w:cs="宋体" w:hint="eastAsia"/>
                <w:lang w:eastAsia="zh-CN"/>
              </w:rPr>
              <w:t>60</w:t>
            </w:r>
            <w:r>
              <w:rPr>
                <w:rFonts w:ascii="宋体" w:eastAsia="宋体" w:hAnsi="宋体" w:cs="宋体" w:hint="eastAsia"/>
              </w:rPr>
              <w:t>分；</w:t>
            </w:r>
          </w:p>
          <w:p>
            <w:pPr>
              <w:pageBreakBefore w:val="0"/>
              <w:widowControl w:val="0"/>
              <w:numPr>
                <w:ilvl w:val="0"/>
                <w:numId w:val="0"/>
              </w:numPr>
              <w:kinsoku/>
              <w:wordWrap w:val="0"/>
              <w:overflowPunct/>
              <w:topLinePunct w:val="0"/>
              <w:bidi w:val="0"/>
              <w:spacing w:line="240" w:lineRule="auto"/>
              <w:ind w:left="0" w:firstLine="0"/>
              <w:jc w:val="left"/>
              <w:rPr>
                <w:rFonts w:ascii="宋体" w:eastAsia="宋体" w:hAnsi="宋体" w:cs="宋体" w:hint="eastAsia"/>
              </w:rPr>
            </w:pPr>
            <w:r>
              <w:rPr>
                <w:rFonts w:ascii="宋体" w:eastAsia="宋体" w:hAnsi="宋体" w:cs="宋体" w:hint="eastAsia"/>
                <w:lang w:eastAsia="zh-CN"/>
              </w:rPr>
              <w:t>（4）50≤X＜100</w:t>
            </w:r>
            <w:r>
              <w:rPr>
                <w:rFonts w:ascii="宋体" w:eastAsia="宋体" w:hAnsi="宋体" w:cs="宋体" w:hint="eastAsia"/>
              </w:rPr>
              <w:t>张</w:t>
            </w:r>
            <w:r>
              <w:rPr>
                <w:rFonts w:ascii="宋体" w:eastAsia="宋体" w:hAnsi="宋体" w:cs="宋体" w:hint="eastAsia"/>
                <w:lang w:eastAsia="zh-CN"/>
              </w:rPr>
              <w:t>的</w:t>
            </w:r>
            <w:r>
              <w:rPr>
                <w:rFonts w:ascii="宋体" w:eastAsia="宋体" w:hAnsi="宋体" w:cs="宋体" w:hint="eastAsia"/>
                <w:lang w:eastAsia="zh-CN"/>
              </w:rPr>
              <w:t>，</w:t>
            </w:r>
            <w:r>
              <w:rPr>
                <w:rFonts w:ascii="宋体" w:eastAsia="宋体" w:hAnsi="宋体" w:cs="宋体" w:hint="eastAsia"/>
              </w:rPr>
              <w:t>得</w:t>
            </w:r>
            <w:r>
              <w:rPr>
                <w:rFonts w:ascii="宋体" w:eastAsia="宋体" w:hAnsi="宋体" w:cs="宋体" w:hint="eastAsia"/>
                <w:lang w:eastAsia="zh-CN"/>
              </w:rPr>
              <w:t>50</w:t>
            </w:r>
            <w:r>
              <w:rPr>
                <w:rFonts w:ascii="宋体" w:eastAsia="宋体" w:hAnsi="宋体" w:cs="宋体" w:hint="eastAsia"/>
              </w:rPr>
              <w:t>分；</w:t>
            </w:r>
          </w:p>
          <w:p>
            <w:pPr>
              <w:widowControl w:val="0"/>
              <w:numPr>
                <w:ilvl w:val="0"/>
                <w:numId w:val="0"/>
              </w:numPr>
              <w:spacing w:line="240" w:lineRule="auto"/>
              <w:ind w:left="0" w:firstLine="0"/>
              <w:jc w:val="both"/>
              <w:rPr>
                <w:rFonts w:ascii="宋体" w:eastAsia="宋体" w:hAnsi="宋体" w:cs="宋体" w:hint="eastAsia"/>
                <w:kern w:val="2"/>
                <w:lang w:eastAsia="zh-CN"/>
              </w:rPr>
            </w:pPr>
            <w:r>
              <w:rPr>
                <w:rFonts w:ascii="宋体" w:eastAsia="宋体" w:hAnsi="宋体" w:cs="宋体" w:hint="eastAsia"/>
                <w:kern w:val="2"/>
                <w:lang w:eastAsia="zh-CN"/>
              </w:rPr>
              <w:t>实际运营养老机构少于50张床位的，本项不得分。</w:t>
            </w:r>
          </w:p>
          <w:p>
            <w:pPr>
              <w:widowControl/>
              <w:wordWrap w:val="0"/>
              <w:spacing w:line="240" w:lineRule="auto"/>
              <w:jc w:val="both"/>
              <w:textAlignment w:val="top"/>
              <w:rPr>
                <w:rFonts w:ascii="宋体" w:eastAsia="宋体" w:hAnsi="宋体" w:cs="宋体" w:hint="eastAsia"/>
                <w:lang w:eastAsia="zh-CN"/>
              </w:rPr>
            </w:pPr>
            <w:r>
              <w:rPr>
                <w:rFonts w:ascii="宋体" w:eastAsia="宋体" w:hAnsi="宋体" w:cs="宋体" w:hint="eastAsia"/>
                <w:lang w:eastAsia="zh-CN"/>
              </w:rPr>
              <w:t>第1、2项累计得分最高100分。</w:t>
            </w:r>
          </w:p>
          <w:p>
            <w:pPr>
              <w:widowControl/>
              <w:wordWrap w:val="0"/>
              <w:spacing w:line="240" w:lineRule="auto"/>
              <w:jc w:val="both"/>
              <w:textAlignment w:val="top"/>
              <w:rPr>
                <w:rFonts w:ascii="宋体" w:eastAsia="宋体" w:hAnsi="宋体" w:cs="宋体"/>
                <w:b/>
                <w:bCs/>
                <w:lang w:eastAsia="zh-CN"/>
              </w:rPr>
            </w:pPr>
            <w:r>
              <w:rPr>
                <w:rFonts w:ascii="宋体" w:eastAsia="宋体" w:hAnsi="宋体" w:cs="宋体" w:hint="eastAsia"/>
                <w:b/>
                <w:bCs/>
              </w:rPr>
              <w:t>（</w:t>
            </w:r>
            <w:r>
              <w:rPr>
                <w:rFonts w:ascii="宋体" w:eastAsia="宋体" w:hAnsi="宋体" w:cs="宋体" w:hint="eastAsia"/>
                <w:b/>
                <w:bCs/>
                <w:lang w:eastAsia="zh-CN"/>
              </w:rPr>
              <w:t>三</w:t>
            </w:r>
            <w:r>
              <w:rPr>
                <w:rFonts w:ascii="宋体" w:eastAsia="宋体" w:hAnsi="宋体" w:cs="宋体" w:hint="eastAsia"/>
                <w:b/>
                <w:bCs/>
              </w:rPr>
              <w:t>）</w:t>
            </w:r>
            <w:r>
              <w:rPr>
                <w:rFonts w:ascii="宋体" w:eastAsia="宋体" w:hAnsi="宋体" w:cs="宋体" w:hint="eastAsia"/>
                <w:b/>
                <w:bCs/>
                <w:lang w:eastAsia="zh-CN"/>
              </w:rPr>
              <w:t>证明文件</w:t>
            </w:r>
          </w:p>
          <w:p>
            <w:pPr>
              <w:widowControl/>
              <w:wordWrap w:val="0"/>
              <w:spacing w:line="240" w:lineRule="auto"/>
              <w:ind w:firstLine="0" w:firstLineChars="0"/>
              <w:jc w:val="both"/>
              <w:textAlignment w:val="top"/>
              <w:rPr>
                <w:rFonts w:ascii="宋体" w:eastAsia="宋体" w:hAnsi="宋体" w:cs="宋体" w:hint="eastAsia"/>
              </w:rPr>
            </w:pPr>
            <w:r>
              <w:rPr>
                <w:rFonts w:ascii="宋体" w:eastAsia="宋体" w:hAnsi="宋体" w:cs="宋体" w:hint="eastAsia"/>
              </w:rPr>
              <w:t>1</w:t>
            </w:r>
            <w:r>
              <w:rPr>
                <w:rFonts w:ascii="宋体" w:eastAsia="宋体" w:hAnsi="宋体" w:cs="宋体" w:hint="eastAsia"/>
                <w:lang w:eastAsia="zh-CN"/>
              </w:rPr>
              <w:t>.</w:t>
            </w:r>
            <w:r>
              <w:rPr>
                <w:rFonts w:ascii="宋体" w:eastAsia="宋体" w:hAnsi="宋体" w:cs="宋体" w:hint="eastAsia"/>
              </w:rPr>
              <w:t>第一项</w:t>
            </w:r>
            <w:bookmarkStart w:id="19" w:name="OLE_LINK10"/>
            <w:r>
              <w:rPr>
                <w:rFonts w:ascii="宋体" w:eastAsia="宋体" w:hAnsi="宋体" w:cs="宋体" w:hint="eastAsia"/>
              </w:rPr>
              <w:t>要求提供</w:t>
            </w:r>
            <w:r>
              <w:rPr>
                <w:rFonts w:ascii="宋体" w:eastAsia="宋体" w:hAnsi="宋体" w:cs="宋体" w:hint="eastAsia"/>
                <w:lang w:eastAsia="zh-CN"/>
              </w:rPr>
              <w:t>项目运营</w:t>
            </w:r>
            <w:r>
              <w:rPr>
                <w:rFonts w:ascii="宋体" w:eastAsia="宋体" w:hAnsi="宋体" w:cs="宋体" w:hint="eastAsia"/>
              </w:rPr>
              <w:t>合同</w:t>
            </w:r>
            <w:r>
              <w:rPr>
                <w:rFonts w:ascii="宋体" w:eastAsia="宋体" w:hAnsi="宋体" w:cs="宋体" w:hint="eastAsia"/>
                <w:lang w:eastAsia="zh-CN"/>
              </w:rPr>
              <w:t>等佐证材料</w:t>
            </w:r>
            <w:r>
              <w:rPr>
                <w:rFonts w:ascii="宋体" w:eastAsia="宋体" w:hAnsi="宋体" w:cs="宋体" w:hint="eastAsia"/>
              </w:rPr>
              <w:t>（包括但不限于合同标的、签订时间、双方签章页）作为得分依据，通过合同关键信息无法判断是否得分的，还须同时提供能证明得分的其它证明资料，如合同甲方出具的证明文件或项目报告。</w:t>
            </w:r>
            <w:r>
              <w:rPr>
                <w:rFonts w:ascii="宋体" w:eastAsia="宋体" w:hAnsi="宋体" w:cs="宋体" w:hint="eastAsia"/>
                <w:lang w:eastAsia="zh-CN"/>
              </w:rPr>
              <w:t>如相关佐证材料无法证实项目运营情况不得分。</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lang w:eastAsia="zh-CN"/>
              </w:rPr>
              <w:t>2.以上项目若为</w:t>
            </w:r>
            <w:bookmarkEnd w:id="19"/>
            <w:r>
              <w:rPr>
                <w:rFonts w:ascii="宋体" w:eastAsia="宋体" w:hAnsi="宋体" w:cs="宋体" w:hint="eastAsia"/>
              </w:rPr>
              <w:t>投标人</w:t>
            </w:r>
            <w:r>
              <w:rPr>
                <w:rFonts w:ascii="宋体" w:eastAsia="宋体" w:hAnsi="宋体" w:cs="宋体" w:hint="eastAsia"/>
                <w:lang w:eastAsia="zh-CN"/>
              </w:rPr>
              <w:t>运营</w:t>
            </w:r>
            <w:r>
              <w:rPr>
                <w:rFonts w:ascii="宋体" w:eastAsia="宋体" w:hAnsi="宋体" w:cs="宋体" w:hint="eastAsia"/>
              </w:rPr>
              <w:t>的，需提供机构备案证明；</w:t>
            </w:r>
            <w:r>
              <w:rPr>
                <w:rFonts w:ascii="宋体" w:eastAsia="宋体" w:hAnsi="宋体" w:cs="宋体" w:hint="eastAsia"/>
                <w:lang w:eastAsia="zh-CN"/>
              </w:rPr>
              <w:t>若为</w:t>
            </w:r>
            <w:r>
              <w:rPr>
                <w:rFonts w:ascii="宋体" w:eastAsia="宋体" w:hAnsi="宋体" w:cs="宋体" w:hint="eastAsia"/>
              </w:rPr>
              <w:t>投标人分公司</w:t>
            </w:r>
            <w:r>
              <w:rPr>
                <w:rFonts w:ascii="宋体" w:eastAsia="宋体" w:hAnsi="宋体" w:cs="宋体" w:hint="eastAsia"/>
                <w:lang w:eastAsia="zh-CN"/>
              </w:rPr>
              <w:t>（</w:t>
            </w:r>
            <w:r>
              <w:rPr>
                <w:rFonts w:ascii="宋体" w:eastAsia="宋体" w:hAnsi="宋体" w:cs="宋体" w:hint="eastAsia"/>
                <w:lang w:eastAsia="zh-CN"/>
              </w:rPr>
              <w:t>分支机构</w:t>
            </w:r>
            <w:r>
              <w:rPr>
                <w:rFonts w:ascii="宋体" w:eastAsia="宋体" w:hAnsi="宋体" w:cs="宋体" w:hint="eastAsia"/>
                <w:lang w:eastAsia="zh-CN"/>
              </w:rPr>
              <w:t>）</w:t>
            </w:r>
            <w:r>
              <w:rPr>
                <w:rFonts w:ascii="宋体" w:eastAsia="宋体" w:hAnsi="宋体" w:cs="宋体" w:hint="eastAsia"/>
                <w:lang w:eastAsia="zh-CN"/>
              </w:rPr>
              <w:t>运营</w:t>
            </w:r>
            <w:r>
              <w:rPr>
                <w:rFonts w:ascii="宋体" w:eastAsia="宋体" w:hAnsi="宋体" w:cs="宋体" w:hint="eastAsia"/>
              </w:rPr>
              <w:t>的，需提供机构备案证明和证明其为投标人分公司</w:t>
            </w:r>
            <w:r>
              <w:rPr>
                <w:rFonts w:ascii="宋体" w:eastAsia="宋体" w:hAnsi="宋体" w:cs="宋体" w:hint="eastAsia"/>
                <w:lang w:eastAsia="zh-CN"/>
              </w:rPr>
              <w:t>（</w:t>
            </w:r>
            <w:r>
              <w:rPr>
                <w:rFonts w:ascii="宋体" w:eastAsia="宋体" w:hAnsi="宋体" w:cs="宋体" w:hint="eastAsia"/>
                <w:lang w:eastAsia="zh-CN"/>
              </w:rPr>
              <w:t>分支机构</w:t>
            </w:r>
            <w:r>
              <w:rPr>
                <w:rFonts w:ascii="宋体" w:eastAsia="宋体" w:hAnsi="宋体" w:cs="宋体" w:hint="eastAsia"/>
                <w:lang w:eastAsia="zh-CN"/>
              </w:rPr>
              <w:t>）</w:t>
            </w:r>
            <w:r>
              <w:rPr>
                <w:rFonts w:ascii="宋体" w:eastAsia="宋体" w:hAnsi="宋体" w:cs="宋体" w:hint="eastAsia"/>
              </w:rPr>
              <w:t>的相关材料；</w:t>
            </w:r>
            <w:r>
              <w:rPr>
                <w:rFonts w:ascii="宋体" w:eastAsia="宋体" w:hAnsi="宋体" w:cs="宋体" w:hint="eastAsia"/>
                <w:lang w:eastAsia="zh-CN"/>
              </w:rPr>
              <w:t>若为</w:t>
            </w:r>
            <w:r>
              <w:rPr>
                <w:rFonts w:ascii="宋体" w:eastAsia="宋体" w:hAnsi="宋体" w:cs="宋体" w:hint="eastAsia"/>
              </w:rPr>
              <w:t>投标人</w:t>
            </w:r>
            <w:r>
              <w:rPr>
                <w:rFonts w:ascii="宋体" w:eastAsia="宋体" w:hAnsi="宋体" w:cs="宋体" w:hint="eastAsia"/>
                <w:lang w:eastAsia="zh-CN"/>
              </w:rPr>
              <w:t>或其分公司</w:t>
            </w:r>
            <w:r>
              <w:rPr>
                <w:rFonts w:ascii="宋体" w:eastAsia="宋体" w:hAnsi="宋体" w:cs="宋体" w:hint="eastAsia"/>
                <w:lang w:eastAsia="zh-CN"/>
              </w:rPr>
              <w:t>（</w:t>
            </w:r>
            <w:r>
              <w:rPr>
                <w:rFonts w:ascii="宋体" w:eastAsia="宋体" w:hAnsi="宋体" w:cs="宋体" w:hint="eastAsia"/>
                <w:lang w:eastAsia="zh-CN"/>
              </w:rPr>
              <w:t>分支机构</w:t>
            </w:r>
            <w:r>
              <w:rPr>
                <w:rFonts w:ascii="宋体" w:eastAsia="宋体" w:hAnsi="宋体" w:cs="宋体" w:hint="eastAsia"/>
                <w:lang w:eastAsia="zh-CN"/>
              </w:rPr>
              <w:t>）</w:t>
            </w:r>
            <w:r>
              <w:rPr>
                <w:rFonts w:ascii="宋体" w:eastAsia="宋体" w:hAnsi="宋体" w:cs="宋体" w:hint="eastAsia"/>
              </w:rPr>
              <w:t>与其他机构合作</w:t>
            </w:r>
            <w:r>
              <w:rPr>
                <w:rFonts w:ascii="宋体" w:eastAsia="宋体" w:hAnsi="宋体" w:cs="宋体" w:hint="eastAsia"/>
                <w:lang w:eastAsia="zh-CN"/>
              </w:rPr>
              <w:t>运营</w:t>
            </w:r>
            <w:r>
              <w:rPr>
                <w:rFonts w:ascii="宋体" w:eastAsia="宋体" w:hAnsi="宋体" w:cs="宋体" w:hint="eastAsia"/>
              </w:rPr>
              <w:t>的，须提供其为投标人分公司</w:t>
            </w:r>
            <w:r>
              <w:rPr>
                <w:rFonts w:ascii="宋体" w:eastAsia="宋体" w:hAnsi="宋体" w:cs="宋体" w:hint="eastAsia"/>
                <w:lang w:eastAsia="zh-CN"/>
              </w:rPr>
              <w:t>（</w:t>
            </w:r>
            <w:r>
              <w:rPr>
                <w:rFonts w:ascii="宋体" w:eastAsia="宋体" w:hAnsi="宋体" w:cs="宋体" w:hint="eastAsia"/>
                <w:lang w:eastAsia="zh-CN"/>
              </w:rPr>
              <w:t>分支机构</w:t>
            </w:r>
            <w:r>
              <w:rPr>
                <w:rFonts w:ascii="宋体" w:eastAsia="宋体" w:hAnsi="宋体" w:cs="宋体" w:hint="eastAsia"/>
                <w:lang w:eastAsia="zh-CN"/>
              </w:rPr>
              <w:t>）</w:t>
            </w:r>
            <w:r>
              <w:rPr>
                <w:rFonts w:ascii="宋体" w:eastAsia="宋体" w:hAnsi="宋体" w:cs="宋体" w:hint="eastAsia"/>
                <w:lang w:eastAsia="zh-CN"/>
              </w:rPr>
              <w:t>的相关材料、</w:t>
            </w:r>
            <w:r>
              <w:rPr>
                <w:rFonts w:ascii="宋体" w:eastAsia="宋体" w:hAnsi="宋体" w:cs="宋体" w:hint="eastAsia"/>
              </w:rPr>
              <w:t>合作机构备案证明及委托协议等证明材料作为得分依据。</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lang w:eastAsia="zh-CN"/>
              </w:rPr>
              <w:t>3.</w:t>
            </w:r>
            <w:r>
              <w:rPr>
                <w:rFonts w:ascii="宋体" w:eastAsia="宋体" w:hAnsi="宋体" w:cs="宋体" w:hint="eastAsia"/>
              </w:rPr>
              <w:t>第二项要求提供投标人或投标人分公司</w:t>
            </w:r>
            <w:r>
              <w:rPr>
                <w:rFonts w:ascii="宋体" w:eastAsia="宋体" w:hAnsi="宋体" w:cs="宋体" w:hint="eastAsia"/>
                <w:lang w:eastAsia="zh-CN"/>
              </w:rPr>
              <w:t>（</w:t>
            </w:r>
            <w:r>
              <w:rPr>
                <w:rFonts w:ascii="宋体" w:eastAsia="宋体" w:hAnsi="宋体" w:cs="宋体" w:hint="eastAsia"/>
                <w:lang w:eastAsia="zh-CN"/>
              </w:rPr>
              <w:t>分支机构</w:t>
            </w:r>
            <w:r>
              <w:rPr>
                <w:rFonts w:ascii="宋体" w:eastAsia="宋体" w:hAnsi="宋体" w:cs="宋体" w:hint="eastAsia"/>
                <w:lang w:eastAsia="zh-CN"/>
              </w:rPr>
              <w:t>）</w:t>
            </w:r>
            <w:r>
              <w:rPr>
                <w:rFonts w:ascii="宋体" w:eastAsia="宋体" w:hAnsi="宋体" w:cs="宋体" w:hint="eastAsia"/>
              </w:rPr>
              <w:t>或合作机构的养老床位备案相关材料。</w:t>
            </w:r>
          </w:p>
          <w:p>
            <w:pPr>
              <w:widowControl/>
              <w:snapToGrid w:val="0"/>
              <w:spacing w:line="240" w:lineRule="auto"/>
              <w:jc w:val="both"/>
              <w:rPr>
                <w:rFonts w:ascii="宋体" w:eastAsia="宋体" w:hAnsi="宋体" w:cs="宋体" w:hint="eastAsia"/>
                <w:lang w:eastAsia="zh-CN"/>
              </w:rPr>
            </w:pPr>
            <w:r>
              <w:rPr>
                <w:rFonts w:ascii="宋体" w:eastAsia="宋体" w:hAnsi="宋体" w:cs="宋体" w:hint="eastAsia"/>
                <w:lang w:eastAsia="zh-CN"/>
              </w:rPr>
              <w:t>备注：</w:t>
            </w:r>
            <w:r>
              <w:rPr>
                <w:rFonts w:ascii="宋体" w:eastAsia="宋体" w:hAnsi="宋体" w:cs="宋体" w:hint="eastAsia"/>
              </w:rPr>
              <w:t>以上资料均要求提供扫描件，评分中出现无证明资料或证书过期或专家无法凭所提供资料判断是否得分的情况，一律作不得分处理。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rHeight w:val="7773"/>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bookmarkStart w:id="20" w:name="OLE_LINK37" w:colFirst="4" w:colLast="4"/>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kern w:val="2"/>
                <w:lang w:eastAsia="zh-CN"/>
              </w:rPr>
            </w:pPr>
            <w:r>
              <w:rPr>
                <w:rFonts w:ascii="宋体" w:eastAsia="宋体" w:hAnsi="宋体" w:cs="宋体" w:hint="eastAsia"/>
                <w:kern w:val="2"/>
                <w:lang w:eastAsia="zh-CN"/>
              </w:rPr>
              <w:t>4</w:t>
            </w:r>
          </w:p>
        </w:tc>
        <w:tc>
          <w:tcPr>
            <w:tcW w:w="1274" w:type="dxa"/>
            <w:noWrap w:val="0"/>
            <w:vAlign w:val="center"/>
          </w:tcPr>
          <w:p>
            <w:pPr>
              <w:pageBreakBefore w:val="0"/>
              <w:widowControl/>
              <w:kinsoku/>
              <w:overflowPunct/>
              <w:topLinePunct w:val="0"/>
              <w:bidi w:val="0"/>
              <w:spacing w:line="240" w:lineRule="auto"/>
              <w:jc w:val="center"/>
              <w:rPr>
                <w:rFonts w:ascii="宋体" w:eastAsia="宋体" w:hAnsi="宋体" w:cs="宋体"/>
                <w:highlight w:val="red"/>
                <w:lang w:eastAsia="zh-CN"/>
              </w:rPr>
            </w:pPr>
            <w:r>
              <w:rPr>
                <w:rFonts w:ascii="宋体" w:eastAsia="宋体" w:hAnsi="宋体" w:cs="宋体" w:hint="eastAsia"/>
                <w:lang w:eastAsia="zh-CN"/>
              </w:rPr>
              <w:t>实际运营残疾人综合（职业）康复服务中心数量</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kern w:val="2"/>
                <w:highlight w:val="red"/>
                <w:lang w:eastAsia="zh-CN"/>
              </w:rPr>
            </w:pPr>
            <w:r>
              <w:rPr>
                <w:rFonts w:ascii="宋体" w:eastAsia="宋体" w:hAnsi="宋体" w:cs="宋体" w:hint="eastAsia"/>
                <w:lang w:eastAsia="zh-CN"/>
              </w:rPr>
              <w:t>4</w:t>
            </w:r>
          </w:p>
        </w:tc>
        <w:tc>
          <w:tcPr>
            <w:tcW w:w="4934" w:type="dxa"/>
            <w:noWrap w:val="0"/>
            <w:vAlign w:val="top"/>
          </w:tcPr>
          <w:p>
            <w:pPr>
              <w:widowControl/>
              <w:wordWrap w:val="0"/>
              <w:spacing w:line="240" w:lineRule="auto"/>
              <w:jc w:val="both"/>
              <w:textAlignment w:val="top"/>
              <w:rPr>
                <w:rFonts w:ascii="宋体" w:eastAsia="宋体" w:hAnsi="宋体" w:cs="宋体" w:hint="eastAsia"/>
                <w:b/>
                <w:bCs/>
              </w:rPr>
            </w:pPr>
            <w:r>
              <w:rPr>
                <w:rFonts w:ascii="宋体" w:eastAsia="宋体" w:hAnsi="宋体" w:cs="宋体" w:hint="eastAsia"/>
                <w:b/>
                <w:bCs/>
              </w:rPr>
              <w:t>（一）</w:t>
            </w:r>
            <w:r>
              <w:rPr>
                <w:rFonts w:ascii="宋体" w:eastAsia="宋体" w:hAnsi="宋体" w:cs="宋体" w:hint="eastAsia"/>
                <w:b/>
                <w:bCs/>
              </w:rPr>
              <w:t>评审内容</w:t>
            </w:r>
          </w:p>
          <w:p>
            <w:pPr>
              <w:widowControl/>
              <w:snapToGrid w:val="0"/>
              <w:spacing w:line="240" w:lineRule="auto"/>
              <w:jc w:val="both"/>
              <w:rPr>
                <w:rFonts w:ascii="宋体" w:eastAsia="宋体" w:hAnsi="宋体" w:cs="宋体" w:hint="eastAsia"/>
                <w:lang w:eastAsia="zh-CN"/>
              </w:rPr>
            </w:pPr>
            <w:r>
              <w:rPr>
                <w:rFonts w:ascii="宋体" w:eastAsia="宋体" w:hAnsi="宋体" w:cs="宋体" w:hint="eastAsia"/>
                <w:lang w:eastAsia="zh-CN"/>
              </w:rPr>
              <w:t>考察投标人或其分公司（分支机构）单独运营或与其他机构合作运营的残疾人综合（职业）康复服务中心数量。</w:t>
            </w:r>
          </w:p>
          <w:p>
            <w:pPr>
              <w:widowControl/>
              <w:wordWrap w:val="0"/>
              <w:spacing w:line="240" w:lineRule="auto"/>
              <w:jc w:val="both"/>
              <w:textAlignment w:val="top"/>
              <w:rPr>
                <w:rFonts w:ascii="宋体" w:eastAsia="宋体" w:hAnsi="宋体" w:cs="宋体"/>
                <w:b/>
                <w:bCs/>
                <w:lang w:eastAsia="zh-CN"/>
              </w:rPr>
            </w:pPr>
            <w:r>
              <w:rPr>
                <w:rFonts w:ascii="宋体" w:eastAsia="宋体" w:hAnsi="宋体" w:cs="宋体" w:hint="eastAsia"/>
                <w:b/>
                <w:bCs/>
                <w:lang w:eastAsia="zh-CN"/>
              </w:rPr>
              <w:t>（二）评审标准</w:t>
            </w:r>
          </w:p>
          <w:p>
            <w:pPr>
              <w:widowControl/>
              <w:snapToGrid w:val="0"/>
              <w:spacing w:line="240" w:lineRule="auto"/>
              <w:jc w:val="both"/>
              <w:rPr>
                <w:rFonts w:ascii="宋体" w:eastAsia="宋体" w:hAnsi="宋体" w:cs="宋体" w:hint="eastAsia"/>
                <w:lang w:eastAsia="zh-CN"/>
              </w:rPr>
            </w:pPr>
            <w:r>
              <w:rPr>
                <w:rFonts w:ascii="宋体" w:eastAsia="宋体" w:hAnsi="宋体" w:cs="宋体" w:hint="eastAsia"/>
              </w:rPr>
              <w:t>具有实际运营</w:t>
            </w:r>
            <w:r>
              <w:rPr>
                <w:rFonts w:ascii="宋体" w:eastAsia="宋体" w:hAnsi="宋体" w:cs="宋体" w:hint="eastAsia"/>
                <w:lang w:eastAsia="zh-CN"/>
              </w:rPr>
              <w:t>残疾人综合（职业）康复服务中心</w:t>
            </w:r>
            <w:r>
              <w:rPr>
                <w:rFonts w:ascii="宋体" w:eastAsia="宋体" w:hAnsi="宋体" w:cs="宋体" w:hint="eastAsia"/>
              </w:rPr>
              <w:t>的，</w:t>
            </w:r>
            <w:r>
              <w:rPr>
                <w:rFonts w:ascii="宋体" w:eastAsia="宋体" w:hAnsi="宋体" w:cs="宋体" w:hint="eastAsia"/>
                <w:lang w:eastAsia="zh-CN"/>
              </w:rPr>
              <w:t>每运营一个</w:t>
            </w:r>
            <w:r>
              <w:rPr>
                <w:rFonts w:ascii="宋体" w:eastAsia="宋体" w:hAnsi="宋体" w:cs="宋体" w:hint="eastAsia"/>
              </w:rPr>
              <w:t>得</w:t>
            </w:r>
            <w:r>
              <w:rPr>
                <w:rFonts w:ascii="宋体" w:eastAsia="宋体" w:hAnsi="宋体" w:cs="宋体" w:hint="eastAsia"/>
                <w:lang w:eastAsia="zh-CN"/>
              </w:rPr>
              <w:t>20</w:t>
            </w:r>
            <w:r>
              <w:rPr>
                <w:rFonts w:ascii="宋体" w:eastAsia="宋体" w:hAnsi="宋体" w:cs="宋体" w:hint="eastAsia"/>
              </w:rPr>
              <w:t>分</w:t>
            </w:r>
            <w:r>
              <w:rPr>
                <w:rFonts w:ascii="宋体" w:eastAsia="宋体" w:hAnsi="宋体" w:cs="宋体" w:hint="eastAsia"/>
                <w:lang w:eastAsia="zh-CN"/>
              </w:rPr>
              <w:t>，</w:t>
            </w:r>
            <w:r>
              <w:rPr>
                <w:rFonts w:ascii="宋体" w:eastAsia="宋体" w:hAnsi="宋体" w:cs="宋体" w:hint="eastAsia"/>
                <w:lang w:eastAsia="zh-CN"/>
              </w:rPr>
              <w:t>累计得分100分。</w:t>
            </w:r>
          </w:p>
          <w:p>
            <w:pPr>
              <w:widowControl/>
              <w:wordWrap w:val="0"/>
              <w:spacing w:line="240" w:lineRule="auto"/>
              <w:jc w:val="both"/>
              <w:textAlignment w:val="top"/>
              <w:rPr>
                <w:rFonts w:ascii="宋体" w:eastAsia="宋体" w:hAnsi="宋体" w:cs="宋体"/>
                <w:b/>
                <w:bCs/>
                <w:lang w:eastAsia="zh-CN"/>
              </w:rPr>
            </w:pPr>
            <w:r>
              <w:rPr>
                <w:rFonts w:ascii="宋体" w:eastAsia="宋体" w:hAnsi="宋体" w:cs="宋体" w:hint="eastAsia"/>
                <w:b/>
                <w:bCs/>
                <w:lang w:eastAsia="zh-CN"/>
              </w:rPr>
              <w:t>（三）证明文件</w:t>
            </w:r>
          </w:p>
          <w:p>
            <w:pPr>
              <w:widowControl/>
              <w:snapToGrid w:val="0"/>
              <w:spacing w:line="240" w:lineRule="auto"/>
              <w:jc w:val="both"/>
              <w:rPr>
                <w:rFonts w:ascii="宋体" w:eastAsia="宋体" w:hAnsi="宋体" w:cs="宋体" w:hint="eastAsia"/>
                <w:lang w:eastAsia="zh-CN"/>
              </w:rPr>
            </w:pPr>
            <w:r>
              <w:rPr>
                <w:rFonts w:ascii="宋体" w:eastAsia="宋体" w:hAnsi="宋体" w:cs="宋体" w:hint="eastAsia"/>
                <w:lang w:eastAsia="zh-CN"/>
              </w:rPr>
              <w:t>1.要求提供残疾人综合（职业）康复服务中心运营合同等佐证材料（包括但不限于合同标的、签订时间、双方签章页）作为得分依据，通过合同关键信息无法判断是否得分的，还须同时提供能证明得分的其它证明资料，如合同甲方出具的证明文件或项目报告。</w:t>
            </w:r>
          </w:p>
          <w:p>
            <w:pPr>
              <w:widowControl/>
              <w:snapToGrid w:val="0"/>
              <w:spacing w:line="240" w:lineRule="auto"/>
              <w:jc w:val="both"/>
              <w:rPr>
                <w:rFonts w:ascii="宋体" w:eastAsia="宋体" w:hAnsi="宋体" w:cs="宋体" w:hint="eastAsia"/>
                <w:lang w:eastAsia="zh-CN"/>
              </w:rPr>
            </w:pPr>
            <w:r>
              <w:rPr>
                <w:rFonts w:ascii="宋体" w:eastAsia="宋体" w:hAnsi="宋体" w:cs="宋体" w:hint="eastAsia"/>
                <w:lang w:eastAsia="zh-CN"/>
              </w:rPr>
              <w:t>2.以上残疾人综合（职业）康复服务中心若为投标人分公司（分支机构）运营的或投标人分公司（分支机构）与其他机构合作运营的，须提供证明其为投标人分公司（分支机构）的证明材料作为得分依据。</w:t>
            </w:r>
          </w:p>
          <w:p>
            <w:pPr>
              <w:widowControl/>
              <w:snapToGrid w:val="0"/>
              <w:spacing w:line="240" w:lineRule="auto"/>
              <w:jc w:val="both"/>
              <w:rPr>
                <w:rFonts w:ascii="宋体" w:eastAsia="宋体" w:hAnsi="宋体" w:cs="宋体" w:hint="eastAsia"/>
              </w:rPr>
            </w:pPr>
            <w:r>
              <w:rPr>
                <w:rFonts w:ascii="宋体" w:eastAsia="宋体" w:hAnsi="宋体" w:cs="宋体" w:hint="eastAsia"/>
                <w:lang w:eastAsia="zh-CN"/>
              </w:rPr>
              <w:t>如相关佐证材料无法证实项目运营情况不得分。</w:t>
            </w:r>
          </w:p>
          <w:p>
            <w:pPr>
              <w:widowControl/>
              <w:snapToGrid w:val="0"/>
              <w:spacing w:line="240" w:lineRule="auto"/>
              <w:jc w:val="both"/>
              <w:rPr>
                <w:rFonts w:ascii="宋体" w:eastAsia="宋体" w:hAnsi="宋体" w:cs="宋体" w:hint="eastAsia"/>
                <w:highlight w:val="red"/>
                <w:lang w:eastAsia="zh-CN"/>
              </w:rPr>
            </w:pPr>
            <w:r>
              <w:rPr>
                <w:rFonts w:ascii="宋体" w:eastAsia="宋体" w:hAnsi="宋体" w:cs="宋体" w:hint="eastAsia"/>
                <w:lang w:eastAsia="zh-CN"/>
              </w:rPr>
              <w:t>备注：</w:t>
            </w:r>
            <w:r>
              <w:rPr>
                <w:rFonts w:ascii="宋体" w:eastAsia="宋体" w:hAnsi="宋体" w:cs="宋体" w:hint="eastAsia"/>
              </w:rPr>
              <w:t>以上资料均要求提供扫描件，评分中出现无证明资料或证书过期或专家无法凭所提供资料判断是否得分的情况，一律作不得分处理。</w:t>
            </w:r>
          </w:p>
        </w:tc>
      </w:tr>
      <w:bookmarkEnd w:id="20"/>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1274" w:type="dxa"/>
            <w:noWrap w:val="0"/>
            <w:vAlign w:val="center"/>
          </w:tcPr>
          <w:p>
            <w:pPr>
              <w:pageBreakBefore w:val="0"/>
              <w:widowControl/>
              <w:kinsoku/>
              <w:overflowPunct/>
              <w:topLinePunct w:val="0"/>
              <w:bidi w:val="0"/>
              <w:spacing w:line="240" w:lineRule="auto"/>
              <w:jc w:val="center"/>
              <w:rPr>
                <w:rFonts w:ascii="宋体" w:eastAsia="宋体" w:hAnsi="宋体" w:cs="宋体" w:hint="eastAsia"/>
                <w:lang w:eastAsia="zh-CN"/>
              </w:rPr>
            </w:pPr>
            <w:bookmarkStart w:id="21" w:name="OLE_LINK26"/>
            <w:r>
              <w:rPr>
                <w:rFonts w:ascii="宋体" w:eastAsia="宋体" w:hAnsi="宋体" w:cs="宋体" w:hint="eastAsia"/>
              </w:rPr>
              <w:t>实际运营</w:t>
            </w:r>
            <w:bookmarkStart w:id="22" w:name="OLE_LINK20"/>
            <w:r>
              <w:rPr>
                <w:rFonts w:ascii="宋体" w:eastAsia="宋体" w:hAnsi="宋体" w:cs="宋体" w:hint="eastAsia"/>
                <w:lang w:eastAsia="zh-CN"/>
              </w:rPr>
              <w:t>托育</w:t>
            </w:r>
            <w:bookmarkEnd w:id="22"/>
          </w:p>
          <w:p>
            <w:pPr>
              <w:pageBreakBefore w:val="0"/>
              <w:widowControl/>
              <w:kinsoku/>
              <w:overflowPunct/>
              <w:topLinePunct w:val="0"/>
              <w:bidi w:val="0"/>
              <w:spacing w:line="240" w:lineRule="auto"/>
              <w:jc w:val="center"/>
              <w:rPr>
                <w:rFonts w:ascii="宋体" w:eastAsia="宋体" w:hAnsi="宋体" w:cs="宋体" w:hint="eastAsia"/>
                <w:lang w:eastAsia="zh-CN"/>
              </w:rPr>
            </w:pPr>
            <w:r>
              <w:rPr>
                <w:rFonts w:ascii="宋体" w:eastAsia="宋体" w:hAnsi="宋体" w:cs="宋体" w:hint="eastAsia"/>
              </w:rPr>
              <w:t>机构</w:t>
            </w:r>
            <w:r>
              <w:rPr>
                <w:rFonts w:ascii="宋体" w:eastAsia="宋体" w:hAnsi="宋体" w:cs="宋体" w:hint="eastAsia"/>
                <w:lang w:eastAsia="zh-CN"/>
              </w:rPr>
              <w:t>及托位情况</w:t>
            </w:r>
            <w:bookmarkEnd w:id="21"/>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4934" w:type="dxa"/>
            <w:noWrap w:val="0"/>
            <w:vAlign w:val="top"/>
          </w:tcPr>
          <w:p>
            <w:pPr>
              <w:pageBreakBefore w:val="0"/>
              <w:widowControl w:val="0"/>
              <w:numPr>
                <w:ilvl w:val="0"/>
                <w:numId w:val="0"/>
              </w:numPr>
              <w:kinsoku/>
              <w:wordWrap/>
              <w:overflowPunct/>
              <w:topLinePunct w:val="0"/>
              <w:bidi w:val="0"/>
              <w:spacing w:after="60" w:line="240" w:lineRule="auto"/>
              <w:ind w:left="0" w:firstLine="0"/>
              <w:jc w:val="left"/>
              <w:rPr>
                <w:rFonts w:ascii="宋体" w:eastAsia="宋体" w:hAnsi="宋体" w:cs="宋体" w:hint="eastAsia"/>
                <w:b/>
                <w:bCs/>
              </w:rPr>
            </w:pPr>
            <w:r>
              <w:rPr>
                <w:rFonts w:ascii="宋体" w:eastAsia="宋体" w:hAnsi="宋体" w:cs="宋体" w:hint="eastAsia"/>
                <w:b/>
                <w:bCs/>
              </w:rPr>
              <w:t>（一）</w:t>
            </w:r>
            <w:r>
              <w:rPr>
                <w:rFonts w:ascii="宋体" w:eastAsia="宋体" w:hAnsi="宋体" w:cs="宋体" w:hint="eastAsia"/>
                <w:b/>
                <w:bCs/>
              </w:rPr>
              <w:t>评审内容</w:t>
            </w:r>
          </w:p>
          <w:p>
            <w:pPr>
              <w:pageBreakBefore w:val="0"/>
              <w:widowControl w:val="0"/>
              <w:numPr>
                <w:ilvl w:val="0"/>
                <w:numId w:val="0"/>
              </w:numPr>
              <w:kinsoku/>
              <w:wordWrap/>
              <w:overflowPunct/>
              <w:topLinePunct w:val="0"/>
              <w:bidi w:val="0"/>
              <w:spacing w:after="60" w:line="240" w:lineRule="auto"/>
              <w:ind w:left="0" w:firstLine="0"/>
              <w:jc w:val="left"/>
              <w:rPr>
                <w:rFonts w:ascii="宋体" w:eastAsia="宋体" w:hAnsi="宋体" w:cs="宋体" w:hint="eastAsia"/>
                <w:kern w:val="2"/>
                <w:lang w:eastAsia="zh-CN"/>
              </w:rPr>
            </w:pPr>
            <w:r>
              <w:rPr>
                <w:rFonts w:ascii="宋体" w:eastAsia="宋体" w:hAnsi="宋体" w:cs="宋体" w:hint="eastAsia"/>
                <w:kern w:val="2"/>
                <w:lang w:eastAsia="zh-CN"/>
              </w:rPr>
              <w:t>考察</w:t>
            </w:r>
            <w:r>
              <w:rPr>
                <w:rFonts w:ascii="宋体" w:eastAsia="宋体" w:hAnsi="宋体" w:cs="宋体" w:hint="eastAsia"/>
                <w:kern w:val="2"/>
                <w:lang w:eastAsia="zh-CN"/>
              </w:rPr>
              <w:t>投标人</w:t>
            </w:r>
            <w:r>
              <w:rPr>
                <w:rFonts w:ascii="宋体" w:eastAsia="宋体" w:hAnsi="宋体" w:cs="宋体" w:hint="eastAsia"/>
              </w:rPr>
              <w:t>或其分公司（分支机构）</w:t>
            </w:r>
            <w:r>
              <w:rPr>
                <w:rFonts w:ascii="宋体" w:eastAsia="宋体" w:hAnsi="宋体" w:cs="宋体" w:hint="eastAsia"/>
                <w:lang w:eastAsia="zh-CN"/>
              </w:rPr>
              <w:t>单独运营或</w:t>
            </w:r>
            <w:r>
              <w:rPr>
                <w:rFonts w:ascii="宋体" w:eastAsia="宋体" w:hAnsi="宋体" w:cs="宋体" w:hint="eastAsia"/>
              </w:rPr>
              <w:t>与其他机构合作运营</w:t>
            </w:r>
            <w:r>
              <w:rPr>
                <w:rFonts w:ascii="宋体" w:eastAsia="宋体" w:hAnsi="宋体" w:cs="宋体" w:hint="eastAsia"/>
                <w:lang w:eastAsia="zh-CN"/>
              </w:rPr>
              <w:t>的托育</w:t>
            </w:r>
            <w:r>
              <w:rPr>
                <w:rFonts w:ascii="宋体" w:eastAsia="宋体" w:hAnsi="宋体" w:cs="宋体" w:hint="eastAsia"/>
              </w:rPr>
              <w:t>机构</w:t>
            </w:r>
            <w:r>
              <w:rPr>
                <w:rFonts w:ascii="宋体" w:eastAsia="宋体" w:hAnsi="宋体" w:cs="宋体" w:hint="eastAsia"/>
                <w:lang w:eastAsia="zh-CN"/>
              </w:rPr>
              <w:t>情况及</w:t>
            </w:r>
            <w:r>
              <w:rPr>
                <w:rFonts w:ascii="宋体" w:eastAsia="宋体" w:hAnsi="宋体" w:cs="宋体" w:hint="eastAsia"/>
                <w:kern w:val="2"/>
                <w:lang w:eastAsia="zh-CN"/>
              </w:rPr>
              <w:t>备案托位</w:t>
            </w:r>
            <w:r>
              <w:rPr>
                <w:rFonts w:ascii="宋体" w:eastAsia="宋体" w:hAnsi="宋体" w:cs="宋体" w:hint="eastAsia"/>
                <w:kern w:val="2"/>
                <w:lang w:eastAsia="zh-CN"/>
              </w:rPr>
              <w:t>数量。</w:t>
            </w:r>
          </w:p>
          <w:p>
            <w:pPr>
              <w:pageBreakBefore w:val="0"/>
              <w:widowControl w:val="0"/>
              <w:numPr>
                <w:ilvl w:val="0"/>
                <w:numId w:val="0"/>
              </w:numPr>
              <w:kinsoku/>
              <w:wordWrap/>
              <w:overflowPunct/>
              <w:topLinePunct w:val="0"/>
              <w:bidi w:val="0"/>
              <w:spacing w:after="60" w:line="240" w:lineRule="auto"/>
              <w:ind w:left="0" w:firstLine="0"/>
              <w:jc w:val="left"/>
              <w:rPr>
                <w:rFonts w:ascii="宋体" w:eastAsia="宋体" w:hAnsi="宋体" w:cs="宋体"/>
                <w:b/>
                <w:bCs/>
                <w:lang w:eastAsia="zh-CN"/>
              </w:rPr>
            </w:pPr>
            <w:r>
              <w:rPr>
                <w:rFonts w:ascii="宋体" w:eastAsia="宋体" w:hAnsi="宋体" w:cs="宋体" w:hint="eastAsia"/>
                <w:b/>
                <w:bCs/>
                <w:lang w:eastAsia="zh-CN"/>
              </w:rPr>
              <w:t>（</w:t>
            </w:r>
            <w:r>
              <w:rPr>
                <w:rFonts w:ascii="宋体" w:eastAsia="宋体" w:hAnsi="宋体" w:cs="宋体" w:hint="eastAsia"/>
                <w:b/>
                <w:bCs/>
                <w:lang w:eastAsia="zh-CN"/>
              </w:rPr>
              <w:t>二</w:t>
            </w:r>
            <w:r>
              <w:rPr>
                <w:rFonts w:ascii="宋体" w:eastAsia="宋体" w:hAnsi="宋体" w:cs="宋体" w:hint="eastAsia"/>
                <w:b/>
                <w:bCs/>
                <w:lang w:eastAsia="zh-CN"/>
              </w:rPr>
              <w:t>）</w:t>
            </w:r>
            <w:r>
              <w:rPr>
                <w:rFonts w:ascii="宋体" w:eastAsia="宋体" w:hAnsi="宋体" w:cs="宋体" w:hint="eastAsia"/>
                <w:b/>
                <w:bCs/>
                <w:lang w:eastAsia="zh-CN"/>
              </w:rPr>
              <w:t>评审标准</w:t>
            </w:r>
          </w:p>
          <w:p>
            <w:pPr>
              <w:widowControl w:val="0"/>
              <w:numPr>
                <w:ilvl w:val="0"/>
                <w:numId w:val="0"/>
              </w:numPr>
              <w:wordWrap/>
              <w:spacing w:after="60" w:line="240" w:lineRule="auto"/>
              <w:ind w:left="0" w:firstLine="0"/>
              <w:jc w:val="left"/>
              <w:textAlignment w:val="auto"/>
              <w:rPr>
                <w:rFonts w:ascii="宋体" w:eastAsia="宋体" w:hAnsi="宋体" w:cs="宋体" w:hint="eastAsia"/>
              </w:rPr>
            </w:pPr>
            <w:r>
              <w:rPr>
                <w:rFonts w:ascii="宋体" w:eastAsia="宋体" w:hAnsi="宋体" w:cs="宋体" w:hint="eastAsia"/>
              </w:rPr>
              <w:t>1.具有实际运营</w:t>
            </w:r>
            <w:r>
              <w:rPr>
                <w:rFonts w:ascii="宋体" w:eastAsia="宋体" w:hAnsi="宋体" w:cs="宋体" w:hint="eastAsia"/>
                <w:lang w:eastAsia="zh-CN"/>
              </w:rPr>
              <w:t>托育</w:t>
            </w:r>
            <w:r>
              <w:rPr>
                <w:rFonts w:ascii="宋体" w:eastAsia="宋体" w:hAnsi="宋体" w:cs="宋体" w:hint="eastAsia"/>
              </w:rPr>
              <w:t>机构</w:t>
            </w:r>
            <w:r>
              <w:rPr>
                <w:rFonts w:ascii="宋体" w:eastAsia="宋体" w:hAnsi="宋体" w:cs="宋体" w:hint="eastAsia"/>
                <w:lang w:eastAsia="zh-CN"/>
              </w:rPr>
              <w:t>且经过托位备案</w:t>
            </w:r>
            <w:r>
              <w:rPr>
                <w:rFonts w:ascii="宋体" w:eastAsia="宋体" w:hAnsi="宋体" w:cs="宋体" w:hint="eastAsia"/>
              </w:rPr>
              <w:t>的，得</w:t>
            </w:r>
            <w:r>
              <w:rPr>
                <w:rFonts w:ascii="宋体" w:eastAsia="宋体" w:hAnsi="宋体" w:cs="宋体" w:hint="eastAsia"/>
                <w:lang w:eastAsia="zh-CN"/>
              </w:rPr>
              <w:t>20</w:t>
            </w:r>
            <w:r>
              <w:rPr>
                <w:rFonts w:ascii="宋体" w:eastAsia="宋体" w:hAnsi="宋体" w:cs="宋体" w:hint="eastAsia"/>
              </w:rPr>
              <w:t>分。</w:t>
            </w:r>
            <w:r>
              <w:rPr>
                <w:rFonts w:ascii="宋体" w:eastAsia="宋体" w:hAnsi="宋体" w:cs="宋体" w:hint="eastAsia"/>
                <w:lang w:eastAsia="zh-CN"/>
              </w:rPr>
              <w:t>所运营托育机构托位未经行政主管部门备案的不得分。</w:t>
            </w:r>
          </w:p>
          <w:p>
            <w:pPr>
              <w:widowControl w:val="0"/>
              <w:numPr>
                <w:ilvl w:val="0"/>
                <w:numId w:val="0"/>
              </w:numPr>
              <w:wordWrap/>
              <w:spacing w:after="60" w:line="240" w:lineRule="auto"/>
              <w:ind w:left="0" w:firstLine="0"/>
              <w:jc w:val="left"/>
              <w:textAlignment w:val="auto"/>
              <w:rPr>
                <w:rFonts w:ascii="宋体" w:eastAsia="宋体" w:hAnsi="宋体" w:cs="宋体" w:hint="eastAsia"/>
                <w:lang w:eastAsia="zh-CN"/>
              </w:rPr>
            </w:pPr>
            <w:r>
              <w:rPr>
                <w:rFonts w:ascii="宋体" w:eastAsia="宋体" w:hAnsi="宋体" w:cs="宋体" w:hint="eastAsia"/>
              </w:rPr>
              <w:t>2.</w:t>
            </w:r>
            <w:r>
              <w:rPr>
                <w:rFonts w:ascii="宋体" w:eastAsia="宋体" w:hAnsi="宋体" w:cs="宋体" w:hint="eastAsia"/>
                <w:lang w:eastAsia="zh-CN"/>
              </w:rPr>
              <w:t>满足第1项要求的基础上，</w:t>
            </w:r>
            <w:bookmarkStart w:id="23" w:name="OLE_LINK24"/>
            <w:r>
              <w:rPr>
                <w:rFonts w:ascii="宋体" w:eastAsia="宋体" w:hAnsi="宋体" w:cs="宋体" w:hint="eastAsia"/>
              </w:rPr>
              <w:t>实际运营</w:t>
            </w:r>
            <w:r>
              <w:rPr>
                <w:rFonts w:ascii="宋体" w:eastAsia="宋体" w:hAnsi="宋体" w:cs="宋体" w:hint="eastAsia"/>
                <w:lang w:eastAsia="zh-CN"/>
              </w:rPr>
              <w:t>托育</w:t>
            </w:r>
            <w:r>
              <w:rPr>
                <w:rFonts w:ascii="宋体" w:eastAsia="宋体" w:hAnsi="宋体" w:cs="宋体" w:hint="eastAsia"/>
              </w:rPr>
              <w:t>机构</w:t>
            </w:r>
            <w:bookmarkEnd w:id="23"/>
            <w:r>
              <w:rPr>
                <w:rFonts w:ascii="宋体" w:eastAsia="宋体" w:hAnsi="宋体" w:cs="宋体" w:hint="eastAsia"/>
                <w:lang w:eastAsia="zh-CN"/>
              </w:rPr>
              <w:t>备案</w:t>
            </w:r>
            <w:r>
              <w:rPr>
                <w:rFonts w:ascii="宋体" w:eastAsia="宋体" w:hAnsi="宋体" w:cs="宋体" w:hint="eastAsia"/>
              </w:rPr>
              <w:t>总</w:t>
            </w:r>
            <w:r>
              <w:rPr>
                <w:rFonts w:ascii="宋体" w:eastAsia="宋体" w:hAnsi="宋体" w:cs="宋体" w:hint="eastAsia"/>
                <w:lang w:eastAsia="zh-CN"/>
              </w:rPr>
              <w:t>托位数量为X：</w:t>
            </w:r>
          </w:p>
          <w:p>
            <w:pPr>
              <w:widowControl w:val="0"/>
              <w:numPr>
                <w:ilvl w:val="0"/>
                <w:numId w:val="0"/>
              </w:numPr>
              <w:wordWrap/>
              <w:spacing w:after="60" w:line="240" w:lineRule="auto"/>
              <w:ind w:left="0" w:firstLine="0"/>
              <w:jc w:val="left"/>
              <w:textAlignment w:val="auto"/>
              <w:rPr>
                <w:rFonts w:ascii="宋体" w:eastAsia="宋体" w:hAnsi="宋体" w:cs="宋体" w:hint="eastAsia"/>
                <w:lang w:eastAsia="zh-CN"/>
              </w:rPr>
            </w:pPr>
            <w:r>
              <w:rPr>
                <w:rFonts w:ascii="仿宋_GB2312" w:eastAsia="仿宋_GB2312" w:hAnsi="仿宋_GB2312" w:cs="仿宋_GB2312" w:hint="eastAsia"/>
                <w:sz w:val="21"/>
                <w:szCs w:val="21"/>
                <w:lang w:eastAsia="zh-CN"/>
              </w:rPr>
              <w:t>（</w:t>
            </w:r>
            <w:r>
              <w:rPr>
                <w:rFonts w:ascii="宋体" w:eastAsia="宋体" w:hAnsi="宋体" w:cs="宋体" w:hint="eastAsia"/>
                <w:lang w:eastAsia="zh-CN"/>
              </w:rPr>
              <w:t>1）X≥200个以上的，得80分；</w:t>
            </w:r>
          </w:p>
          <w:p>
            <w:pPr>
              <w:widowControl w:val="0"/>
              <w:numPr>
                <w:ilvl w:val="0"/>
                <w:numId w:val="0"/>
              </w:numPr>
              <w:wordWrap/>
              <w:spacing w:after="60" w:line="240" w:lineRule="auto"/>
              <w:ind w:left="0" w:firstLine="0"/>
              <w:jc w:val="left"/>
              <w:textAlignment w:val="auto"/>
              <w:rPr>
                <w:rFonts w:ascii="宋体" w:eastAsia="宋体" w:hAnsi="宋体" w:cs="宋体" w:hint="eastAsia"/>
                <w:lang w:eastAsia="zh-CN"/>
              </w:rPr>
            </w:pPr>
            <w:r>
              <w:rPr>
                <w:rFonts w:ascii="宋体" w:eastAsia="宋体" w:hAnsi="宋体" w:cs="宋体" w:hint="eastAsia"/>
                <w:lang w:eastAsia="zh-CN"/>
              </w:rPr>
              <w:t>（2）150≤X＜200个的，得70分；</w:t>
            </w:r>
          </w:p>
          <w:p>
            <w:pPr>
              <w:widowControl w:val="0"/>
              <w:numPr>
                <w:ilvl w:val="0"/>
                <w:numId w:val="0"/>
              </w:numPr>
              <w:wordWrap/>
              <w:spacing w:after="60" w:line="240" w:lineRule="auto"/>
              <w:ind w:left="0" w:firstLine="0"/>
              <w:jc w:val="left"/>
              <w:textAlignment w:val="auto"/>
              <w:rPr>
                <w:rFonts w:ascii="宋体" w:eastAsia="宋体" w:hAnsi="宋体" w:cs="宋体" w:hint="eastAsia"/>
                <w:lang w:eastAsia="zh-CN"/>
              </w:rPr>
            </w:pPr>
            <w:r>
              <w:rPr>
                <w:rFonts w:ascii="宋体" w:eastAsia="宋体" w:hAnsi="宋体" w:cs="宋体" w:hint="eastAsia"/>
                <w:lang w:eastAsia="zh-CN"/>
              </w:rPr>
              <w:t>（3）100≤X＜150个的，得60分；</w:t>
            </w:r>
          </w:p>
          <w:p>
            <w:pPr>
              <w:widowControl w:val="0"/>
              <w:numPr>
                <w:ilvl w:val="0"/>
                <w:numId w:val="0"/>
              </w:numPr>
              <w:wordWrap/>
              <w:spacing w:after="60" w:line="240" w:lineRule="auto"/>
              <w:ind w:left="0" w:firstLine="0"/>
              <w:jc w:val="left"/>
              <w:textAlignment w:val="auto"/>
              <w:rPr>
                <w:rFonts w:ascii="宋体" w:eastAsia="宋体" w:hAnsi="宋体" w:cs="宋体" w:hint="eastAsia"/>
                <w:lang w:eastAsia="zh-CN"/>
              </w:rPr>
            </w:pPr>
            <w:r>
              <w:rPr>
                <w:rFonts w:ascii="宋体" w:eastAsia="宋体" w:hAnsi="宋体" w:cs="宋体" w:hint="eastAsia"/>
                <w:lang w:eastAsia="zh-CN"/>
              </w:rPr>
              <w:t>（4）50≤X＜100个的，得50分；</w:t>
            </w:r>
          </w:p>
          <w:p>
            <w:pPr>
              <w:widowControl w:val="0"/>
              <w:numPr>
                <w:ilvl w:val="0"/>
                <w:numId w:val="0"/>
              </w:numPr>
              <w:wordWrap/>
              <w:spacing w:after="60" w:line="240" w:lineRule="auto"/>
              <w:ind w:left="0" w:firstLine="0"/>
              <w:jc w:val="left"/>
              <w:textAlignment w:val="auto"/>
              <w:rPr>
                <w:rFonts w:ascii="宋体" w:eastAsia="宋体" w:hAnsi="宋体" w:cs="宋体" w:hint="eastAsia"/>
                <w:lang w:eastAsia="zh-CN"/>
              </w:rPr>
            </w:pPr>
            <w:r>
              <w:rPr>
                <w:rFonts w:ascii="宋体" w:eastAsia="宋体" w:hAnsi="宋体" w:cs="宋体" w:hint="eastAsia"/>
                <w:lang w:eastAsia="zh-CN"/>
              </w:rPr>
              <w:t>备案托位数小于50个，本项不得分。</w:t>
            </w:r>
          </w:p>
          <w:p>
            <w:pPr>
              <w:widowControl w:val="0"/>
              <w:numPr>
                <w:ilvl w:val="0"/>
                <w:numId w:val="0"/>
              </w:numPr>
              <w:wordWrap/>
              <w:spacing w:after="60" w:line="240" w:lineRule="auto"/>
              <w:ind w:left="0" w:firstLine="0"/>
              <w:jc w:val="left"/>
              <w:textAlignment w:val="auto"/>
              <w:rPr>
                <w:rFonts w:ascii="宋体" w:eastAsia="宋体" w:hAnsi="宋体" w:cs="宋体" w:hint="eastAsia"/>
                <w:lang w:eastAsia="zh-CN"/>
              </w:rPr>
            </w:pPr>
            <w:r>
              <w:rPr>
                <w:rFonts w:ascii="宋体" w:eastAsia="宋体" w:hAnsi="宋体" w:cs="宋体" w:hint="eastAsia"/>
                <w:lang w:eastAsia="zh-CN"/>
              </w:rPr>
              <w:t>第1、2项累计得分最高100分。</w:t>
            </w:r>
          </w:p>
          <w:p>
            <w:pPr>
              <w:widowControl w:val="0"/>
              <w:numPr>
                <w:ilvl w:val="0"/>
                <w:numId w:val="0"/>
              </w:numPr>
              <w:wordWrap/>
              <w:spacing w:after="60" w:line="240" w:lineRule="auto"/>
              <w:ind w:left="0" w:firstLine="0"/>
              <w:jc w:val="left"/>
              <w:textAlignment w:val="auto"/>
              <w:rPr>
                <w:rFonts w:ascii="宋体" w:eastAsia="宋体" w:hAnsi="宋体" w:cs="宋体"/>
                <w:b/>
                <w:bCs/>
                <w:lang w:eastAsia="zh-CN"/>
              </w:rPr>
            </w:pPr>
            <w:r>
              <w:rPr>
                <w:rFonts w:ascii="宋体" w:eastAsia="宋体" w:hAnsi="宋体" w:cs="宋体" w:hint="eastAsia"/>
                <w:b/>
                <w:bCs/>
              </w:rPr>
              <w:t>（</w:t>
            </w:r>
            <w:r>
              <w:rPr>
                <w:rFonts w:ascii="宋体" w:eastAsia="宋体" w:hAnsi="宋体" w:cs="宋体" w:hint="eastAsia"/>
                <w:b/>
                <w:bCs/>
                <w:lang w:eastAsia="zh-CN"/>
              </w:rPr>
              <w:t>三</w:t>
            </w:r>
            <w:r>
              <w:rPr>
                <w:rFonts w:ascii="宋体" w:eastAsia="宋体" w:hAnsi="宋体" w:cs="宋体" w:hint="eastAsia"/>
                <w:b/>
                <w:bCs/>
              </w:rPr>
              <w:t>）</w:t>
            </w:r>
            <w:r>
              <w:rPr>
                <w:rFonts w:ascii="宋体" w:eastAsia="宋体" w:hAnsi="宋体" w:cs="宋体" w:hint="eastAsia"/>
                <w:b/>
                <w:bCs/>
                <w:lang w:eastAsia="zh-CN"/>
              </w:rPr>
              <w:t>证明文件</w:t>
            </w:r>
          </w:p>
          <w:p>
            <w:pPr>
              <w:widowControl w:val="0"/>
              <w:numPr>
                <w:ilvl w:val="0"/>
                <w:numId w:val="0"/>
              </w:numPr>
              <w:wordWrap/>
              <w:spacing w:after="60" w:line="240" w:lineRule="auto"/>
              <w:ind w:left="0" w:firstLine="0" w:firstLineChars="0"/>
              <w:jc w:val="left"/>
              <w:textAlignment w:val="auto"/>
              <w:rPr>
                <w:rFonts w:ascii="宋体" w:eastAsia="宋体" w:hAnsi="宋体" w:cs="宋体" w:hint="eastAsia"/>
                <w:lang w:eastAsia="zh-CN"/>
              </w:rPr>
            </w:pPr>
            <w:r>
              <w:rPr>
                <w:rFonts w:ascii="宋体" w:eastAsia="宋体" w:hAnsi="宋体" w:cs="宋体" w:hint="eastAsia"/>
              </w:rPr>
              <w:t>1</w:t>
            </w:r>
            <w:r>
              <w:rPr>
                <w:rFonts w:ascii="宋体" w:eastAsia="宋体" w:hAnsi="宋体" w:cs="宋体" w:hint="eastAsia"/>
                <w:lang w:eastAsia="zh-CN"/>
              </w:rPr>
              <w:t>.本项目投标截止日前相关运营项目的合同等佐证材料</w:t>
            </w:r>
            <w:r>
              <w:rPr>
                <w:rFonts w:ascii="宋体" w:eastAsia="宋体" w:hAnsi="宋体" w:cs="宋体" w:hint="eastAsia"/>
              </w:rPr>
              <w:t>（包括但不限于合同标的、签订时间、双方签章页）</w:t>
            </w:r>
            <w:r>
              <w:rPr>
                <w:rFonts w:ascii="宋体" w:eastAsia="宋体" w:hAnsi="宋体" w:cs="宋体" w:hint="eastAsia"/>
                <w:lang w:eastAsia="zh-CN"/>
              </w:rPr>
              <w:t>，</w:t>
            </w:r>
            <w:r>
              <w:rPr>
                <w:rFonts w:ascii="宋体" w:eastAsia="宋体" w:hAnsi="宋体" w:cs="宋体" w:hint="eastAsia"/>
              </w:rPr>
              <w:t>作为得分依据，通过合同关键信息无法判断是否得分的，还须同时提供能证明得分的其它证明资料，如合同甲方出具的证明文件或项目报告。</w:t>
            </w:r>
            <w:r>
              <w:rPr>
                <w:rFonts w:ascii="宋体" w:eastAsia="宋体" w:hAnsi="宋体" w:cs="宋体" w:hint="eastAsia"/>
                <w:lang w:eastAsia="zh-CN"/>
              </w:rPr>
              <w:t>如相关佐证材料无法证实项目运营情况不得分；</w:t>
            </w:r>
          </w:p>
          <w:p>
            <w:pPr>
              <w:widowControl w:val="0"/>
              <w:numPr>
                <w:ilvl w:val="0"/>
                <w:numId w:val="0"/>
              </w:numPr>
              <w:wordWrap/>
              <w:spacing w:after="60" w:line="240" w:lineRule="auto"/>
              <w:ind w:left="0" w:firstLine="0"/>
              <w:jc w:val="left"/>
              <w:textAlignment w:val="auto"/>
              <w:rPr>
                <w:rFonts w:ascii="宋体" w:eastAsia="宋体" w:hAnsi="宋体" w:cs="宋体" w:hint="eastAsia"/>
              </w:rPr>
            </w:pPr>
            <w:r>
              <w:rPr>
                <w:rFonts w:ascii="宋体" w:eastAsia="宋体" w:hAnsi="宋体" w:cs="宋体" w:hint="eastAsia"/>
              </w:rPr>
              <w:t>2</w:t>
            </w:r>
            <w:r>
              <w:rPr>
                <w:rFonts w:ascii="宋体" w:eastAsia="宋体" w:hAnsi="宋体" w:cs="宋体" w:hint="eastAsia"/>
                <w:lang w:eastAsia="zh-CN"/>
              </w:rPr>
              <w:t>.以上项目若为</w:t>
            </w:r>
            <w:r>
              <w:rPr>
                <w:rFonts w:ascii="宋体" w:eastAsia="宋体" w:hAnsi="宋体" w:cs="宋体" w:hint="eastAsia"/>
              </w:rPr>
              <w:t>投标人</w:t>
            </w:r>
            <w:r>
              <w:rPr>
                <w:rFonts w:ascii="宋体" w:eastAsia="宋体" w:hAnsi="宋体" w:cs="宋体" w:hint="eastAsia"/>
                <w:lang w:eastAsia="zh-CN"/>
              </w:rPr>
              <w:t>运营</w:t>
            </w:r>
            <w:r>
              <w:rPr>
                <w:rFonts w:ascii="宋体" w:eastAsia="宋体" w:hAnsi="宋体" w:cs="宋体" w:hint="eastAsia"/>
              </w:rPr>
              <w:t>的，需提供机构备案证明；</w:t>
            </w:r>
            <w:r>
              <w:rPr>
                <w:rFonts w:ascii="宋体" w:eastAsia="宋体" w:hAnsi="宋体" w:cs="宋体" w:hint="eastAsia"/>
                <w:lang w:eastAsia="zh-CN"/>
              </w:rPr>
              <w:t>若为</w:t>
            </w:r>
            <w:r>
              <w:rPr>
                <w:rFonts w:ascii="宋体" w:eastAsia="宋体" w:hAnsi="宋体" w:cs="宋体" w:hint="eastAsia"/>
              </w:rPr>
              <w:t>投标人分公司</w:t>
            </w:r>
            <w:r>
              <w:rPr>
                <w:rFonts w:ascii="宋体" w:eastAsia="宋体" w:hAnsi="宋体" w:cs="宋体" w:hint="eastAsia"/>
                <w:lang w:eastAsia="zh-CN"/>
              </w:rPr>
              <w:t>（</w:t>
            </w:r>
            <w:r>
              <w:rPr>
                <w:rFonts w:ascii="宋体" w:eastAsia="宋体" w:hAnsi="宋体" w:cs="宋体" w:hint="eastAsia"/>
                <w:lang w:eastAsia="zh-CN"/>
              </w:rPr>
              <w:t>分支机构</w:t>
            </w:r>
            <w:r>
              <w:rPr>
                <w:rFonts w:ascii="宋体" w:eastAsia="宋体" w:hAnsi="宋体" w:cs="宋体" w:hint="eastAsia"/>
                <w:lang w:eastAsia="zh-CN"/>
              </w:rPr>
              <w:t>）</w:t>
            </w:r>
            <w:r>
              <w:rPr>
                <w:rFonts w:ascii="宋体" w:eastAsia="宋体" w:hAnsi="宋体" w:cs="宋体" w:hint="eastAsia"/>
                <w:lang w:eastAsia="zh-CN"/>
              </w:rPr>
              <w:t>运营</w:t>
            </w:r>
            <w:r>
              <w:rPr>
                <w:rFonts w:ascii="宋体" w:eastAsia="宋体" w:hAnsi="宋体" w:cs="宋体" w:hint="eastAsia"/>
              </w:rPr>
              <w:t>的，需提供机构备案证明和证明其为投标人分公司</w:t>
            </w:r>
            <w:r>
              <w:rPr>
                <w:rFonts w:ascii="宋体" w:eastAsia="宋体" w:hAnsi="宋体" w:cs="宋体" w:hint="eastAsia"/>
                <w:lang w:eastAsia="zh-CN"/>
              </w:rPr>
              <w:t>（</w:t>
            </w:r>
            <w:r>
              <w:rPr>
                <w:rFonts w:ascii="宋体" w:eastAsia="宋体" w:hAnsi="宋体" w:cs="宋体" w:hint="eastAsia"/>
                <w:lang w:eastAsia="zh-CN"/>
              </w:rPr>
              <w:t>分支机构</w:t>
            </w:r>
            <w:r>
              <w:rPr>
                <w:rFonts w:ascii="宋体" w:eastAsia="宋体" w:hAnsi="宋体" w:cs="宋体" w:hint="eastAsia"/>
                <w:lang w:eastAsia="zh-CN"/>
              </w:rPr>
              <w:t>）</w:t>
            </w:r>
            <w:r>
              <w:rPr>
                <w:rFonts w:ascii="宋体" w:eastAsia="宋体" w:hAnsi="宋体" w:cs="宋体" w:hint="eastAsia"/>
              </w:rPr>
              <w:t>的相关材料；</w:t>
            </w:r>
            <w:r>
              <w:rPr>
                <w:rFonts w:ascii="宋体" w:eastAsia="宋体" w:hAnsi="宋体" w:cs="宋体" w:hint="eastAsia"/>
                <w:lang w:eastAsia="zh-CN"/>
              </w:rPr>
              <w:t>若为</w:t>
            </w:r>
            <w:r>
              <w:rPr>
                <w:rFonts w:ascii="宋体" w:eastAsia="宋体" w:hAnsi="宋体" w:cs="宋体" w:hint="eastAsia"/>
              </w:rPr>
              <w:t>投标人</w:t>
            </w:r>
            <w:r>
              <w:rPr>
                <w:rFonts w:ascii="宋体" w:eastAsia="宋体" w:hAnsi="宋体" w:cs="宋体" w:hint="eastAsia"/>
                <w:lang w:eastAsia="zh-CN"/>
              </w:rPr>
              <w:t>或其</w:t>
            </w:r>
            <w:r>
              <w:rPr>
                <w:rFonts w:ascii="宋体" w:eastAsia="宋体" w:hAnsi="宋体" w:cs="宋体" w:hint="eastAsia"/>
              </w:rPr>
              <w:t>分公司</w:t>
            </w:r>
            <w:r>
              <w:rPr>
                <w:rFonts w:ascii="宋体" w:eastAsia="宋体" w:hAnsi="宋体" w:cs="宋体" w:hint="eastAsia"/>
                <w:lang w:eastAsia="zh-CN"/>
              </w:rPr>
              <w:t>（</w:t>
            </w:r>
            <w:r>
              <w:rPr>
                <w:rFonts w:ascii="宋体" w:eastAsia="宋体" w:hAnsi="宋体" w:cs="宋体" w:hint="eastAsia"/>
                <w:lang w:eastAsia="zh-CN"/>
              </w:rPr>
              <w:t>分支机构</w:t>
            </w:r>
            <w:r>
              <w:rPr>
                <w:rFonts w:ascii="宋体" w:eastAsia="宋体" w:hAnsi="宋体" w:cs="宋体" w:hint="eastAsia"/>
                <w:lang w:eastAsia="zh-CN"/>
              </w:rPr>
              <w:t>）</w:t>
            </w:r>
            <w:r>
              <w:rPr>
                <w:rFonts w:ascii="宋体" w:eastAsia="宋体" w:hAnsi="宋体" w:cs="宋体" w:hint="eastAsia"/>
              </w:rPr>
              <w:t>与其他机构合作</w:t>
            </w:r>
            <w:r>
              <w:rPr>
                <w:rFonts w:ascii="宋体" w:eastAsia="宋体" w:hAnsi="宋体" w:cs="宋体" w:hint="eastAsia"/>
                <w:lang w:eastAsia="zh-CN"/>
              </w:rPr>
              <w:t>运营</w:t>
            </w:r>
            <w:r>
              <w:rPr>
                <w:rFonts w:ascii="宋体" w:eastAsia="宋体" w:hAnsi="宋体" w:cs="宋体" w:hint="eastAsia"/>
              </w:rPr>
              <w:t>的，须提供证明其为投标人分公司</w:t>
            </w:r>
            <w:r>
              <w:rPr>
                <w:rFonts w:ascii="宋体" w:eastAsia="宋体" w:hAnsi="宋体" w:cs="宋体" w:hint="eastAsia"/>
                <w:lang w:eastAsia="zh-CN"/>
              </w:rPr>
              <w:t>（</w:t>
            </w:r>
            <w:r>
              <w:rPr>
                <w:rFonts w:ascii="宋体" w:eastAsia="宋体" w:hAnsi="宋体" w:cs="宋体" w:hint="eastAsia"/>
                <w:lang w:eastAsia="zh-CN"/>
              </w:rPr>
              <w:t>分支机构</w:t>
            </w:r>
            <w:r>
              <w:rPr>
                <w:rFonts w:ascii="宋体" w:eastAsia="宋体" w:hAnsi="宋体" w:cs="宋体" w:hint="eastAsia"/>
                <w:lang w:eastAsia="zh-CN"/>
              </w:rPr>
              <w:t>）</w:t>
            </w:r>
            <w:r>
              <w:rPr>
                <w:rFonts w:ascii="宋体" w:eastAsia="宋体" w:hAnsi="宋体" w:cs="宋体" w:hint="eastAsia"/>
              </w:rPr>
              <w:t>的相关材料</w:t>
            </w:r>
            <w:r>
              <w:rPr>
                <w:rFonts w:ascii="宋体" w:eastAsia="宋体" w:hAnsi="宋体" w:cs="宋体" w:hint="eastAsia"/>
                <w:lang w:eastAsia="zh-CN"/>
              </w:rPr>
              <w:t>、</w:t>
            </w:r>
            <w:r>
              <w:rPr>
                <w:rFonts w:ascii="宋体" w:eastAsia="宋体" w:hAnsi="宋体" w:cs="宋体" w:hint="eastAsia"/>
              </w:rPr>
              <w:t>合作机构备案证明及委托协议等证明材料作为得分依据。</w:t>
            </w:r>
          </w:p>
          <w:p>
            <w:pPr>
              <w:widowControl w:val="0"/>
              <w:numPr>
                <w:ilvl w:val="0"/>
                <w:numId w:val="0"/>
              </w:numPr>
              <w:snapToGrid/>
              <w:spacing w:after="60" w:line="240" w:lineRule="auto"/>
              <w:ind w:left="0" w:firstLine="0"/>
              <w:jc w:val="left"/>
              <w:rPr>
                <w:rFonts w:ascii="宋体" w:eastAsia="宋体" w:hAnsi="宋体" w:cs="宋体" w:hint="eastAsia"/>
              </w:rPr>
            </w:pPr>
            <w:r>
              <w:rPr>
                <w:rFonts w:ascii="宋体" w:eastAsia="宋体" w:hAnsi="宋体" w:cs="宋体" w:hint="eastAsia"/>
                <w:lang w:eastAsia="zh-CN"/>
              </w:rPr>
              <w:t>3.</w:t>
            </w:r>
            <w:r>
              <w:rPr>
                <w:rFonts w:ascii="宋体" w:eastAsia="宋体" w:hAnsi="宋体" w:cs="宋体" w:hint="eastAsia"/>
              </w:rPr>
              <w:t>提供投标人或投标人分公司</w:t>
            </w:r>
            <w:r>
              <w:rPr>
                <w:rFonts w:ascii="宋体" w:eastAsia="宋体" w:hAnsi="宋体" w:cs="宋体" w:hint="eastAsia"/>
                <w:lang w:eastAsia="zh-CN"/>
              </w:rPr>
              <w:t>（</w:t>
            </w:r>
            <w:r>
              <w:rPr>
                <w:rFonts w:ascii="宋体" w:eastAsia="宋体" w:hAnsi="宋体" w:cs="宋体" w:hint="eastAsia"/>
                <w:lang w:eastAsia="zh-CN"/>
              </w:rPr>
              <w:t>分支机构</w:t>
            </w:r>
            <w:r>
              <w:rPr>
                <w:rFonts w:ascii="宋体" w:eastAsia="宋体" w:hAnsi="宋体" w:cs="宋体" w:hint="eastAsia"/>
                <w:lang w:eastAsia="zh-CN"/>
              </w:rPr>
              <w:t>）</w:t>
            </w:r>
            <w:r>
              <w:rPr>
                <w:rFonts w:ascii="宋体" w:eastAsia="宋体" w:hAnsi="宋体" w:cs="宋体" w:hint="eastAsia"/>
              </w:rPr>
              <w:t>或合作机构</w:t>
            </w:r>
            <w:r>
              <w:rPr>
                <w:rFonts w:ascii="宋体" w:eastAsia="宋体" w:hAnsi="宋体" w:cs="宋体" w:hint="eastAsia"/>
                <w:lang w:eastAsia="zh-CN"/>
              </w:rPr>
              <w:t>运营</w:t>
            </w:r>
            <w:r>
              <w:rPr>
                <w:rFonts w:ascii="宋体" w:eastAsia="宋体" w:hAnsi="宋体" w:cs="宋体" w:hint="eastAsia"/>
              </w:rPr>
              <w:t>的</w:t>
            </w:r>
            <w:r>
              <w:rPr>
                <w:rFonts w:ascii="宋体" w:eastAsia="宋体" w:hAnsi="宋体" w:cs="宋体" w:hint="eastAsia"/>
                <w:lang w:eastAsia="zh-CN"/>
              </w:rPr>
              <w:t>托位在行业主管部门</w:t>
            </w:r>
            <w:r>
              <w:rPr>
                <w:rFonts w:ascii="宋体" w:eastAsia="宋体" w:hAnsi="宋体" w:cs="宋体" w:hint="eastAsia"/>
              </w:rPr>
              <w:t>备案</w:t>
            </w:r>
            <w:r>
              <w:rPr>
                <w:rFonts w:ascii="宋体" w:eastAsia="宋体" w:hAnsi="宋体" w:cs="宋体" w:hint="eastAsia"/>
                <w:lang w:eastAsia="zh-CN"/>
              </w:rPr>
              <w:t>的</w:t>
            </w:r>
            <w:r>
              <w:rPr>
                <w:rFonts w:ascii="宋体" w:eastAsia="宋体" w:hAnsi="宋体" w:cs="宋体" w:hint="eastAsia"/>
              </w:rPr>
              <w:t>相关材料。</w:t>
            </w:r>
          </w:p>
          <w:p>
            <w:pPr>
              <w:widowControl w:val="0"/>
              <w:numPr>
                <w:ilvl w:val="0"/>
                <w:numId w:val="0"/>
              </w:numPr>
              <w:snapToGrid/>
              <w:spacing w:after="60" w:line="240" w:lineRule="auto"/>
              <w:ind w:left="0" w:firstLine="0"/>
              <w:jc w:val="left"/>
              <w:rPr>
                <w:rFonts w:hint="eastAsia"/>
                <w:lang w:eastAsia="zh-CN"/>
              </w:rPr>
            </w:pPr>
            <w:r>
              <w:rPr>
                <w:rFonts w:ascii="宋体" w:eastAsia="宋体" w:hAnsi="宋体" w:cs="宋体" w:hint="eastAsia"/>
                <w:lang w:eastAsia="zh-CN"/>
              </w:rPr>
              <w:t>备注：</w:t>
            </w:r>
            <w:r>
              <w:rPr>
                <w:rFonts w:ascii="宋体" w:eastAsia="宋体" w:hAnsi="宋体" w:cs="宋体" w:hint="eastAsia"/>
              </w:rPr>
              <w:t>以上资料均要求提供扫描件，评分中出现无证明资料或证书过期或专家无法凭所提供资料判断是否得分的情况，一律作不得分处理</w:t>
            </w:r>
            <w:r>
              <w:rPr>
                <w:rFonts w:ascii="宋体" w:eastAsia="宋体" w:hAnsi="宋体" w:cs="宋体" w:hint="eastAsia"/>
                <w:lang w:eastAsia="zh-CN"/>
              </w:rPr>
              <w:t>。</w:t>
            </w:r>
          </w:p>
        </w:tc>
      </w:tr>
      <w:tr>
        <w:tblPrEx>
          <w:tblW w:w="5000" w:type="pct"/>
          <w:jc w:val="center"/>
          <w:tblCellSpacing w:w="0" w:type="dxa"/>
          <w:tblLayout w:type="fixed"/>
          <w:tblCellMar>
            <w:top w:w="20" w:type="dxa"/>
            <w:left w:w="108" w:type="dxa"/>
            <w:bottom w:w="20" w:type="dxa"/>
            <w:right w:w="108" w:type="dxa"/>
          </w:tblCellMar>
        </w:tblPrEx>
        <w:trPr>
          <w:trHeight w:val="2533"/>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bookmarkStart w:id="24" w:name="OLE_LINK38" w:colFirst="4" w:colLast="4"/>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6</w:t>
            </w:r>
          </w:p>
        </w:tc>
        <w:tc>
          <w:tcPr>
            <w:tcW w:w="1274" w:type="dxa"/>
            <w:noWrap w:val="0"/>
            <w:vAlign w:val="center"/>
          </w:tcPr>
          <w:p>
            <w:pPr>
              <w:pageBreakBefore w:val="0"/>
              <w:widowControl/>
              <w:kinsoku/>
              <w:overflowPunct/>
              <w:topLinePunct w:val="0"/>
              <w:bidi w:val="0"/>
              <w:spacing w:line="240" w:lineRule="auto"/>
              <w:jc w:val="center"/>
              <w:rPr>
                <w:rFonts w:ascii="宋体" w:eastAsia="宋体" w:hAnsi="宋体" w:cs="宋体"/>
                <w:lang w:eastAsia="zh-CN"/>
              </w:rPr>
            </w:pPr>
            <w:r>
              <w:rPr>
                <w:rFonts w:ascii="宋体" w:eastAsia="宋体" w:hAnsi="宋体" w:cs="宋体" w:hint="eastAsia"/>
                <w:lang w:eastAsia="zh-CN"/>
              </w:rPr>
              <w:t>实际运营</w:t>
            </w:r>
            <w:r>
              <w:rPr>
                <w:rFonts w:ascii="宋体" w:eastAsia="宋体" w:hAnsi="宋体" w:cs="宋体" w:hint="eastAsia"/>
              </w:rPr>
              <w:t>长者助餐服务</w:t>
            </w:r>
            <w:r>
              <w:rPr>
                <w:rFonts w:ascii="宋体" w:eastAsia="宋体" w:hAnsi="宋体" w:cs="宋体" w:hint="eastAsia"/>
                <w:lang w:eastAsia="zh-CN"/>
              </w:rPr>
              <w:t>项目情况</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4934" w:type="dxa"/>
            <w:noWrap w:val="0"/>
            <w:vAlign w:val="top"/>
          </w:tcPr>
          <w:p>
            <w:pPr>
              <w:widowControl/>
              <w:wordWrap w:val="0"/>
              <w:spacing w:line="240" w:lineRule="auto"/>
              <w:jc w:val="left"/>
              <w:textAlignment w:val="top"/>
              <w:rPr>
                <w:rFonts w:ascii="宋体" w:eastAsia="宋体" w:hAnsi="宋体" w:cs="宋体" w:hint="eastAsia"/>
                <w:b/>
                <w:bCs/>
              </w:rPr>
            </w:pPr>
            <w:r>
              <w:rPr>
                <w:rFonts w:ascii="宋体" w:eastAsia="宋体" w:hAnsi="宋体" w:cs="宋体" w:hint="eastAsia"/>
                <w:b/>
                <w:bCs/>
              </w:rPr>
              <w:t>（一）评审内容</w:t>
            </w:r>
          </w:p>
          <w:p>
            <w:pPr>
              <w:widowControl w:val="0"/>
              <w:spacing w:line="240" w:lineRule="auto"/>
              <w:rPr>
                <w:rFonts w:ascii="宋体" w:eastAsia="宋体" w:hAnsi="宋体" w:cs="宋体" w:hint="eastAsia"/>
                <w:lang w:eastAsia="zh-CN"/>
              </w:rPr>
            </w:pPr>
            <w:r>
              <w:rPr>
                <w:rFonts w:ascii="宋体" w:eastAsia="宋体" w:hAnsi="宋体" w:cs="宋体" w:hint="eastAsia"/>
              </w:rPr>
              <w:t>投标人或其分公司（分支机构）自20</w:t>
            </w:r>
            <w:r>
              <w:rPr>
                <w:rFonts w:ascii="宋体" w:eastAsia="宋体" w:hAnsi="宋体" w:cs="宋体" w:hint="eastAsia"/>
              </w:rPr>
              <w:t>20</w:t>
            </w:r>
            <w:r>
              <w:rPr>
                <w:rFonts w:ascii="宋体" w:eastAsia="宋体" w:hAnsi="宋体" w:cs="宋体" w:hint="eastAsia"/>
              </w:rPr>
              <w:t>年1月1日至本项目截标之日内所签订的政府部门或事业单位委托的长者助餐服务</w:t>
            </w:r>
            <w:r>
              <w:rPr>
                <w:rFonts w:ascii="宋体" w:eastAsia="宋体" w:hAnsi="宋体" w:cs="宋体" w:hint="eastAsia"/>
                <w:lang w:eastAsia="zh-CN"/>
              </w:rPr>
              <w:t>相关</w:t>
            </w:r>
            <w:r>
              <w:rPr>
                <w:rFonts w:ascii="宋体" w:eastAsia="宋体" w:hAnsi="宋体" w:cs="宋体" w:hint="eastAsia"/>
              </w:rPr>
              <w:t>项目合同（以合同签订日期为准）</w:t>
            </w:r>
            <w:r>
              <w:rPr>
                <w:rFonts w:ascii="宋体" w:eastAsia="宋体" w:hAnsi="宋体" w:cs="宋体" w:hint="eastAsia"/>
                <w:lang w:eastAsia="zh-CN"/>
              </w:rPr>
              <w:t>。</w:t>
            </w:r>
          </w:p>
          <w:p>
            <w:pPr>
              <w:widowControl w:val="0"/>
              <w:spacing w:line="240" w:lineRule="auto"/>
              <w:rPr>
                <w:rFonts w:ascii="宋体" w:eastAsia="宋体" w:hAnsi="宋体" w:cs="宋体"/>
                <w:b/>
                <w:bCs/>
                <w:lang w:eastAsia="zh-CN"/>
              </w:rPr>
            </w:pPr>
            <w:r>
              <w:rPr>
                <w:rFonts w:ascii="宋体" w:eastAsia="宋体" w:hAnsi="宋体" w:cs="宋体" w:hint="eastAsia"/>
                <w:b/>
                <w:bCs/>
                <w:lang w:eastAsia="zh-CN"/>
              </w:rPr>
              <w:t>（二）评审标准</w:t>
            </w:r>
          </w:p>
          <w:p>
            <w:pPr>
              <w:widowControl w:val="0"/>
              <w:spacing w:line="240" w:lineRule="auto"/>
              <w:rPr>
                <w:rFonts w:ascii="宋体" w:eastAsia="宋体" w:hAnsi="宋体" w:cs="宋体" w:hint="eastAsia"/>
                <w:kern w:val="2"/>
                <w:lang w:eastAsia="zh-CN"/>
              </w:rPr>
            </w:pPr>
            <w:r>
              <w:rPr>
                <w:rFonts w:ascii="宋体" w:eastAsia="宋体" w:hAnsi="宋体" w:cs="宋体" w:hint="eastAsia"/>
                <w:lang w:eastAsia="zh-CN"/>
              </w:rPr>
              <w:t>上述长者助餐服务相关项目合同</w:t>
            </w:r>
            <w:r>
              <w:rPr>
                <w:rFonts w:ascii="宋体" w:eastAsia="宋体" w:hAnsi="宋体" w:cs="宋体" w:hint="eastAsia"/>
              </w:rPr>
              <w:t>每提供一个得</w:t>
            </w:r>
            <w:r>
              <w:rPr>
                <w:rFonts w:ascii="宋体" w:eastAsia="宋体" w:hAnsi="宋体" w:cs="宋体" w:hint="eastAsia"/>
                <w:lang w:eastAsia="zh-CN"/>
              </w:rPr>
              <w:t>20</w:t>
            </w:r>
            <w:r>
              <w:rPr>
                <w:rFonts w:ascii="宋体" w:eastAsia="宋体" w:hAnsi="宋体" w:cs="宋体" w:hint="eastAsia"/>
              </w:rPr>
              <w:t>分，满分100分。</w:t>
            </w:r>
          </w:p>
          <w:p>
            <w:pPr>
              <w:widowControl/>
              <w:wordWrap w:val="0"/>
              <w:spacing w:line="240" w:lineRule="auto"/>
              <w:jc w:val="left"/>
              <w:textAlignment w:val="top"/>
              <w:rPr>
                <w:rFonts w:ascii="宋体" w:eastAsia="宋体" w:hAnsi="宋体" w:cs="宋体"/>
                <w:b/>
                <w:bCs/>
                <w:lang w:eastAsia="zh-CN"/>
              </w:rPr>
            </w:pPr>
            <w:r>
              <w:rPr>
                <w:rFonts w:ascii="宋体" w:eastAsia="宋体" w:hAnsi="宋体" w:cs="宋体" w:hint="eastAsia"/>
                <w:b/>
                <w:bCs/>
              </w:rPr>
              <w:t>（</w:t>
            </w:r>
            <w:r>
              <w:rPr>
                <w:rFonts w:ascii="宋体" w:eastAsia="宋体" w:hAnsi="宋体" w:cs="宋体" w:hint="eastAsia"/>
                <w:b/>
                <w:bCs/>
                <w:lang w:eastAsia="zh-CN"/>
              </w:rPr>
              <w:t>三</w:t>
            </w:r>
            <w:r>
              <w:rPr>
                <w:rFonts w:ascii="宋体" w:eastAsia="宋体" w:hAnsi="宋体" w:cs="宋体" w:hint="eastAsia"/>
                <w:b/>
                <w:bCs/>
              </w:rPr>
              <w:t>）</w:t>
            </w:r>
            <w:r>
              <w:rPr>
                <w:rFonts w:ascii="宋体" w:eastAsia="宋体" w:hAnsi="宋体" w:cs="宋体" w:hint="eastAsia"/>
                <w:b/>
                <w:bCs/>
                <w:lang w:eastAsia="zh-CN"/>
              </w:rPr>
              <w:t>证明文件</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要求提供合同关键信息（包括项目名称、委托单位、签字盖章页等）作为得分依据，通过合同关键信息无法判断是否得分的，还须同时提供能证明得分的其它证明资料，如合同甲方出具的证明文件或项目报告。</w:t>
            </w:r>
            <w:r>
              <w:rPr>
                <w:rFonts w:ascii="宋体" w:eastAsia="宋体" w:hAnsi="宋体" w:cs="宋体" w:hint="eastAsia"/>
                <w:lang w:eastAsia="zh-CN"/>
              </w:rPr>
              <w:t>若提供</w:t>
            </w:r>
            <w:r>
              <w:rPr>
                <w:rFonts w:ascii="宋体" w:eastAsia="宋体" w:hAnsi="宋体" w:cs="宋体" w:hint="eastAsia"/>
              </w:rPr>
              <w:t>投标人分公司（分支机构）</w:t>
            </w:r>
            <w:r>
              <w:rPr>
                <w:rFonts w:ascii="宋体" w:eastAsia="宋体" w:hAnsi="宋体" w:cs="宋体" w:hint="eastAsia"/>
                <w:lang w:eastAsia="zh-CN"/>
              </w:rPr>
              <w:t>业绩，还需同时</w:t>
            </w:r>
            <w:r>
              <w:rPr>
                <w:rFonts w:ascii="宋体" w:eastAsia="宋体" w:hAnsi="宋体" w:cs="宋体" w:hint="eastAsia"/>
              </w:rPr>
              <w:t>提供</w:t>
            </w:r>
            <w:r>
              <w:rPr>
                <w:rFonts w:ascii="宋体" w:eastAsia="宋体" w:hAnsi="宋体" w:cs="宋体" w:hint="eastAsia"/>
                <w:lang w:eastAsia="zh-CN"/>
              </w:rPr>
              <w:t>与</w:t>
            </w:r>
            <w:r>
              <w:rPr>
                <w:rFonts w:ascii="宋体" w:eastAsia="宋体" w:hAnsi="宋体" w:cs="宋体" w:hint="eastAsia"/>
              </w:rPr>
              <w:t>分公司（分支机构）相关联</w:t>
            </w:r>
            <w:r>
              <w:rPr>
                <w:rFonts w:ascii="宋体" w:eastAsia="宋体" w:hAnsi="宋体" w:cs="宋体" w:hint="eastAsia"/>
                <w:lang w:eastAsia="zh-CN"/>
              </w:rPr>
              <w:t>的</w:t>
            </w:r>
            <w:r>
              <w:rPr>
                <w:rFonts w:ascii="宋体" w:eastAsia="宋体" w:hAnsi="宋体" w:cs="宋体" w:hint="eastAsia"/>
              </w:rPr>
              <w:t>证明材料。</w:t>
            </w:r>
          </w:p>
          <w:p>
            <w:pPr>
              <w:pageBreakBefore w:val="0"/>
              <w:widowControl w:val="0"/>
              <w:numPr>
                <w:ilvl w:val="0"/>
                <w:numId w:val="0"/>
              </w:numPr>
              <w:kinsoku/>
              <w:overflowPunct/>
              <w:topLinePunct w:val="0"/>
              <w:bidi w:val="0"/>
              <w:spacing w:after="0" w:line="240" w:lineRule="auto"/>
              <w:ind w:left="0" w:firstLine="0"/>
              <w:jc w:val="left"/>
              <w:rPr>
                <w:rFonts w:ascii="宋体" w:eastAsia="宋体" w:hAnsi="宋体" w:cs="宋体" w:hint="eastAsia"/>
                <w:kern w:val="2"/>
                <w:lang w:eastAsia="zh-CN"/>
              </w:rPr>
            </w:pPr>
            <w:r>
              <w:rPr>
                <w:rFonts w:ascii="宋体" w:eastAsia="宋体" w:hAnsi="宋体" w:cs="宋体" w:hint="eastAsia"/>
              </w:rPr>
              <w:t>备注：以上资料均要求提供扫描件，评分中出现无证明资料或证书过期或专家无法凭所提供资料判断是否得分的情况，一律作不得分处理。</w:t>
            </w:r>
          </w:p>
        </w:tc>
      </w:tr>
      <w:bookmarkEnd w:id="24"/>
      <w:tr>
        <w:tblPrEx>
          <w:tblW w:w="5000" w:type="pct"/>
          <w:jc w:val="center"/>
          <w:tblCellSpacing w:w="0" w:type="dxa"/>
          <w:tblLayout w:type="fixed"/>
          <w:tblCellMar>
            <w:top w:w="20" w:type="dxa"/>
            <w:left w:w="108" w:type="dxa"/>
            <w:bottom w:w="20" w:type="dxa"/>
            <w:right w:w="108" w:type="dxa"/>
          </w:tblCellMar>
        </w:tblPrEx>
        <w:trPr>
          <w:trHeight w:val="1393"/>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7</w:t>
            </w:r>
          </w:p>
        </w:tc>
        <w:tc>
          <w:tcPr>
            <w:tcW w:w="1274" w:type="dxa"/>
            <w:noWrap w:val="0"/>
            <w:vAlign w:val="center"/>
          </w:tcPr>
          <w:p>
            <w:pPr>
              <w:pageBreakBefore w:val="0"/>
              <w:widowControl/>
              <w:kinsoku/>
              <w:overflowPunct/>
              <w:topLinePunct w:val="0"/>
              <w:bidi w:val="0"/>
              <w:spacing w:line="240" w:lineRule="auto"/>
              <w:jc w:val="center"/>
              <w:rPr>
                <w:rFonts w:ascii="宋体" w:eastAsia="宋体" w:hAnsi="宋体" w:cs="宋体" w:hint="eastAsia"/>
                <w:spacing w:val="7"/>
                <w:kern w:val="2"/>
                <w:lang w:eastAsia="zh-CN"/>
              </w:rPr>
            </w:pPr>
            <w:r>
              <w:rPr>
                <w:rFonts w:ascii="宋体" w:eastAsia="宋体" w:hAnsi="宋体" w:cs="宋体" w:hint="eastAsia"/>
              </w:rPr>
              <w:t>获得荣誉情况</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6</w:t>
            </w:r>
          </w:p>
        </w:tc>
        <w:tc>
          <w:tcPr>
            <w:tcW w:w="4934" w:type="dxa"/>
            <w:noWrap w:val="0"/>
            <w:vAlign w:val="top"/>
          </w:tcPr>
          <w:p>
            <w:pPr>
              <w:widowControl/>
              <w:wordWrap w:val="0"/>
              <w:spacing w:line="240" w:lineRule="auto"/>
              <w:jc w:val="left"/>
              <w:textAlignment w:val="top"/>
              <w:rPr>
                <w:rFonts w:ascii="宋体" w:eastAsia="宋体" w:hAnsi="宋体" w:cs="宋体" w:hint="eastAsia"/>
                <w:b/>
                <w:bCs/>
              </w:rPr>
            </w:pPr>
            <w:r>
              <w:rPr>
                <w:rFonts w:ascii="宋体" w:eastAsia="宋体" w:hAnsi="宋体" w:cs="宋体" w:hint="eastAsia"/>
                <w:b/>
                <w:bCs/>
              </w:rPr>
              <w:t>（一）评审内容</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投标人或投标人联合政府职能部门共同创建的项目在养老</w:t>
            </w:r>
            <w:r>
              <w:rPr>
                <w:rFonts w:ascii="宋体" w:eastAsia="宋体" w:hAnsi="宋体" w:cs="宋体" w:hint="eastAsia"/>
                <w:lang w:eastAsia="zh-CN"/>
              </w:rPr>
              <w:t>、托育、残疾人职业康复</w:t>
            </w:r>
            <w:r>
              <w:rPr>
                <w:rFonts w:ascii="宋体" w:eastAsia="宋体" w:hAnsi="宋体" w:cs="宋体" w:hint="eastAsia"/>
              </w:rPr>
              <w:t>服务</w:t>
            </w:r>
            <w:r>
              <w:rPr>
                <w:rFonts w:ascii="宋体" w:eastAsia="宋体" w:hAnsi="宋体" w:cs="宋体" w:hint="eastAsia"/>
                <w:lang w:eastAsia="zh-CN"/>
              </w:rPr>
              <w:t>等</w:t>
            </w:r>
            <w:r>
              <w:rPr>
                <w:rFonts w:ascii="宋体" w:eastAsia="宋体" w:hAnsi="宋体" w:cs="宋体" w:hint="eastAsia"/>
              </w:rPr>
              <w:t>领域获得</w:t>
            </w:r>
            <w:r>
              <w:rPr>
                <w:rFonts w:ascii="宋体" w:eastAsia="宋体" w:hAnsi="宋体" w:cs="宋体" w:hint="eastAsia"/>
                <w:lang w:eastAsia="zh-CN"/>
              </w:rPr>
              <w:t>的</w:t>
            </w:r>
            <w:r>
              <w:rPr>
                <w:rFonts w:ascii="宋体" w:eastAsia="宋体" w:hAnsi="宋体" w:cs="宋体" w:hint="eastAsia"/>
              </w:rPr>
              <w:t>荣誉称号、奖项或示范单位。</w:t>
            </w:r>
          </w:p>
          <w:p>
            <w:pPr>
              <w:widowControl/>
              <w:wordWrap w:val="0"/>
              <w:spacing w:line="240" w:lineRule="auto"/>
              <w:jc w:val="left"/>
              <w:textAlignment w:val="top"/>
              <w:rPr>
                <w:rFonts w:ascii="宋体" w:eastAsia="宋体" w:hAnsi="宋体" w:cs="宋体"/>
                <w:b/>
                <w:bCs/>
                <w:lang w:eastAsia="zh-CN"/>
              </w:rPr>
            </w:pPr>
            <w:r>
              <w:rPr>
                <w:rFonts w:ascii="宋体" w:eastAsia="宋体" w:hAnsi="宋体" w:cs="宋体" w:hint="eastAsia"/>
                <w:b/>
                <w:bCs/>
                <w:lang w:eastAsia="zh-CN"/>
              </w:rPr>
              <w:t>（</w:t>
            </w:r>
            <w:r>
              <w:rPr>
                <w:rFonts w:ascii="宋体" w:eastAsia="宋体" w:hAnsi="宋体" w:cs="宋体" w:hint="eastAsia"/>
                <w:b/>
                <w:bCs/>
                <w:lang w:eastAsia="zh-CN"/>
              </w:rPr>
              <w:t>二</w:t>
            </w:r>
            <w:r>
              <w:rPr>
                <w:rFonts w:ascii="宋体" w:eastAsia="宋体" w:hAnsi="宋体" w:cs="宋体" w:hint="eastAsia"/>
                <w:b/>
                <w:bCs/>
                <w:lang w:eastAsia="zh-CN"/>
              </w:rPr>
              <w:t>）</w:t>
            </w:r>
            <w:r>
              <w:rPr>
                <w:rFonts w:ascii="宋体" w:eastAsia="宋体" w:hAnsi="宋体" w:cs="宋体" w:hint="eastAsia"/>
                <w:b/>
                <w:bCs/>
                <w:lang w:eastAsia="zh-CN"/>
              </w:rPr>
              <w:t>评审标准</w:t>
            </w:r>
          </w:p>
          <w:p>
            <w:pPr>
              <w:widowControl/>
              <w:wordWrap w:val="0"/>
              <w:spacing w:line="240" w:lineRule="auto"/>
              <w:jc w:val="left"/>
              <w:textAlignment w:val="top"/>
              <w:rPr>
                <w:rFonts w:ascii="宋体" w:eastAsia="宋体" w:hAnsi="宋体" w:cs="宋体"/>
                <w:lang w:eastAsia="zh-CN"/>
              </w:rPr>
            </w:pPr>
            <w:r>
              <w:rPr>
                <w:rFonts w:ascii="宋体" w:eastAsia="宋体" w:hAnsi="宋体" w:cs="宋体" w:hint="eastAsia"/>
              </w:rPr>
              <w:t>每提供一个国家级的荣誉得</w:t>
            </w:r>
            <w:r>
              <w:rPr>
                <w:rFonts w:ascii="宋体" w:eastAsia="宋体" w:hAnsi="宋体" w:cs="宋体" w:hint="eastAsia"/>
                <w:lang w:eastAsia="zh-CN"/>
              </w:rPr>
              <w:t>100</w:t>
            </w:r>
            <w:r>
              <w:rPr>
                <w:rFonts w:ascii="宋体" w:eastAsia="宋体" w:hAnsi="宋体" w:cs="宋体" w:hint="eastAsia"/>
              </w:rPr>
              <w:t>分，每提供一个省级</w:t>
            </w:r>
            <w:r>
              <w:rPr>
                <w:rFonts w:ascii="宋体" w:eastAsia="宋体" w:hAnsi="宋体" w:cs="宋体" w:hint="eastAsia"/>
                <w:lang w:eastAsia="zh-CN"/>
              </w:rPr>
              <w:t>（</w:t>
            </w:r>
            <w:r>
              <w:rPr>
                <w:rFonts w:ascii="宋体" w:eastAsia="宋体" w:hAnsi="宋体" w:cs="宋体" w:hint="eastAsia"/>
                <w:lang w:eastAsia="zh-CN"/>
              </w:rPr>
              <w:t>含副省级</w:t>
            </w:r>
            <w:r>
              <w:rPr>
                <w:rFonts w:ascii="宋体" w:eastAsia="宋体" w:hAnsi="宋体" w:cs="宋体" w:hint="eastAsia"/>
                <w:lang w:eastAsia="zh-CN"/>
              </w:rPr>
              <w:t>）</w:t>
            </w:r>
            <w:r>
              <w:rPr>
                <w:rFonts w:ascii="宋体" w:eastAsia="宋体" w:hAnsi="宋体" w:cs="宋体" w:hint="eastAsia"/>
              </w:rPr>
              <w:t>荣誉得</w:t>
            </w:r>
            <w:r>
              <w:rPr>
                <w:rFonts w:ascii="宋体" w:eastAsia="宋体" w:hAnsi="宋体" w:cs="宋体" w:hint="eastAsia"/>
                <w:lang w:eastAsia="zh-CN"/>
              </w:rPr>
              <w:t>50</w:t>
            </w:r>
            <w:r>
              <w:rPr>
                <w:rFonts w:ascii="宋体" w:eastAsia="宋体" w:hAnsi="宋体" w:cs="宋体" w:hint="eastAsia"/>
              </w:rPr>
              <w:t>分，每提供一个市级荣誉得</w:t>
            </w:r>
            <w:r>
              <w:rPr>
                <w:rFonts w:ascii="宋体" w:eastAsia="宋体" w:hAnsi="宋体" w:cs="宋体" w:hint="eastAsia"/>
                <w:lang w:eastAsia="zh-CN"/>
              </w:rPr>
              <w:t>20</w:t>
            </w:r>
            <w:r>
              <w:rPr>
                <w:rFonts w:ascii="宋体" w:eastAsia="宋体" w:hAnsi="宋体" w:cs="宋体" w:hint="eastAsia"/>
              </w:rPr>
              <w:t>分，其他荣誉不得分</w:t>
            </w:r>
            <w:r>
              <w:rPr>
                <w:rFonts w:ascii="宋体" w:eastAsia="宋体" w:hAnsi="宋体" w:cs="宋体" w:hint="eastAsia"/>
                <w:lang w:eastAsia="zh-CN"/>
              </w:rPr>
              <w:t>。</w:t>
            </w:r>
          </w:p>
          <w:p>
            <w:pPr>
              <w:widowControl/>
              <w:wordWrap w:val="0"/>
              <w:spacing w:line="240" w:lineRule="auto"/>
              <w:jc w:val="left"/>
              <w:textAlignment w:val="top"/>
              <w:rPr>
                <w:rFonts w:ascii="宋体" w:eastAsia="宋体" w:hAnsi="宋体" w:cs="宋体" w:hint="eastAsia"/>
                <w:lang w:eastAsia="zh-CN"/>
              </w:rPr>
            </w:pPr>
            <w:r>
              <w:rPr>
                <w:rFonts w:ascii="宋体" w:eastAsia="宋体" w:hAnsi="宋体" w:cs="宋体" w:hint="eastAsia"/>
                <w:lang w:eastAsia="zh-CN"/>
              </w:rPr>
              <w:t>以上各级各类荣誉均仅限各级党委政府及</w:t>
            </w:r>
            <w:bookmarkStart w:id="25" w:name="OLE_LINK17"/>
            <w:r>
              <w:rPr>
                <w:rFonts w:ascii="宋体" w:eastAsia="宋体" w:hAnsi="宋体" w:cs="宋体" w:hint="eastAsia"/>
                <w:lang w:eastAsia="zh-CN"/>
              </w:rPr>
              <w:t>行业行政主管部门</w:t>
            </w:r>
            <w:bookmarkEnd w:id="25"/>
            <w:r>
              <w:rPr>
                <w:rFonts w:ascii="宋体" w:eastAsia="宋体" w:hAnsi="宋体" w:cs="宋体" w:hint="eastAsia"/>
                <w:lang w:eastAsia="zh-CN"/>
              </w:rPr>
              <w:t>授予的荣誉，其他主体授予的荣誉奖项不得分。同一个项目获得多项荣誉的，可以累计得分。</w:t>
            </w:r>
          </w:p>
          <w:p>
            <w:pPr>
              <w:widowControl/>
              <w:wordWrap w:val="0"/>
              <w:spacing w:line="240" w:lineRule="auto"/>
              <w:jc w:val="left"/>
              <w:textAlignment w:val="top"/>
              <w:rPr>
                <w:rFonts w:ascii="宋体" w:eastAsia="宋体" w:hAnsi="宋体" w:cs="宋体" w:hint="eastAsia"/>
                <w:b/>
                <w:bCs/>
              </w:rPr>
            </w:pPr>
            <w:r>
              <w:rPr>
                <w:rFonts w:ascii="宋体" w:eastAsia="宋体" w:hAnsi="宋体" w:cs="宋体" w:hint="eastAsia"/>
              </w:rPr>
              <w:t>本项累计最高得</w:t>
            </w:r>
            <w:r>
              <w:rPr>
                <w:rFonts w:ascii="宋体" w:eastAsia="宋体" w:hAnsi="宋体" w:cs="宋体" w:hint="eastAsia"/>
                <w:lang w:eastAsia="zh-CN"/>
              </w:rPr>
              <w:t>100</w:t>
            </w:r>
            <w:r>
              <w:rPr>
                <w:rFonts w:ascii="宋体" w:eastAsia="宋体" w:hAnsi="宋体" w:cs="宋体" w:hint="eastAsia"/>
              </w:rPr>
              <w:t>分。</w:t>
            </w:r>
          </w:p>
          <w:p>
            <w:pPr>
              <w:widowControl/>
              <w:wordWrap w:val="0"/>
              <w:spacing w:line="240" w:lineRule="auto"/>
              <w:jc w:val="left"/>
              <w:textAlignment w:val="top"/>
              <w:rPr>
                <w:rFonts w:ascii="宋体" w:eastAsia="宋体" w:hAnsi="宋体" w:cs="宋体"/>
                <w:b/>
                <w:bCs/>
                <w:lang w:eastAsia="zh-CN"/>
              </w:rPr>
            </w:pPr>
            <w:r>
              <w:rPr>
                <w:rFonts w:ascii="宋体" w:eastAsia="宋体" w:hAnsi="宋体" w:cs="宋体" w:hint="eastAsia"/>
                <w:b/>
                <w:bCs/>
              </w:rPr>
              <w:t>（</w:t>
            </w:r>
            <w:r>
              <w:rPr>
                <w:rFonts w:ascii="宋体" w:eastAsia="宋体" w:hAnsi="宋体" w:cs="宋体" w:hint="eastAsia"/>
                <w:b/>
                <w:bCs/>
                <w:lang w:eastAsia="zh-CN"/>
              </w:rPr>
              <w:t>三</w:t>
            </w:r>
            <w:r>
              <w:rPr>
                <w:rFonts w:ascii="宋体" w:eastAsia="宋体" w:hAnsi="宋体" w:cs="宋体" w:hint="eastAsia"/>
                <w:b/>
                <w:bCs/>
              </w:rPr>
              <w:t>）</w:t>
            </w:r>
            <w:r>
              <w:rPr>
                <w:rFonts w:ascii="宋体" w:eastAsia="宋体" w:hAnsi="宋体" w:cs="宋体" w:hint="eastAsia"/>
                <w:b/>
                <w:bCs/>
                <w:lang w:eastAsia="zh-CN"/>
              </w:rPr>
              <w:t>证明文件</w:t>
            </w:r>
          </w:p>
          <w:p>
            <w:pPr>
              <w:widowControl/>
              <w:wordWrap w:val="0"/>
              <w:spacing w:line="240" w:lineRule="auto"/>
              <w:jc w:val="left"/>
              <w:textAlignment w:val="top"/>
              <w:rPr>
                <w:rFonts w:ascii="宋体" w:eastAsia="宋体" w:hAnsi="宋体" w:cs="宋体" w:hint="eastAsia"/>
              </w:rPr>
            </w:pPr>
            <w:r>
              <w:rPr>
                <w:rFonts w:ascii="宋体" w:eastAsia="宋体" w:hAnsi="宋体" w:cs="宋体" w:hint="eastAsia"/>
              </w:rPr>
              <w:t>要求提供相关有效的</w:t>
            </w:r>
            <w:r>
              <w:rPr>
                <w:rFonts w:ascii="宋体" w:eastAsia="宋体" w:hAnsi="宋体" w:cs="宋体" w:hint="eastAsia"/>
                <w:lang w:eastAsia="zh-CN"/>
              </w:rPr>
              <w:t>涉及</w:t>
            </w:r>
            <w:r>
              <w:rPr>
                <w:rFonts w:ascii="宋体" w:eastAsia="宋体" w:hAnsi="宋体" w:cs="宋体" w:hint="eastAsia"/>
              </w:rPr>
              <w:t>荣誉称号、奖项</w:t>
            </w:r>
            <w:r>
              <w:rPr>
                <w:rFonts w:ascii="宋体" w:eastAsia="宋体" w:hAnsi="宋体" w:cs="宋体" w:hint="eastAsia"/>
                <w:lang w:eastAsia="zh-CN"/>
              </w:rPr>
              <w:t>、</w:t>
            </w:r>
            <w:r>
              <w:rPr>
                <w:rFonts w:ascii="宋体" w:eastAsia="宋体" w:hAnsi="宋体" w:cs="宋体" w:hint="eastAsia"/>
              </w:rPr>
              <w:t>示范单位</w:t>
            </w:r>
            <w:r>
              <w:rPr>
                <w:rFonts w:ascii="宋体" w:eastAsia="宋体" w:hAnsi="宋体" w:cs="宋体" w:hint="eastAsia"/>
                <w:lang w:eastAsia="zh-CN"/>
              </w:rPr>
              <w:t>的奖状或</w:t>
            </w:r>
            <w:r>
              <w:rPr>
                <w:rFonts w:ascii="宋体" w:eastAsia="宋体" w:hAnsi="宋体" w:cs="宋体" w:hint="eastAsia"/>
              </w:rPr>
              <w:t>政府部门出具相关证明文件等证明材料作为得分依据。</w:t>
            </w:r>
          </w:p>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kern w:val="2"/>
                <w:lang w:eastAsia="zh-CN"/>
              </w:rPr>
            </w:pPr>
            <w:r>
              <w:rPr>
                <w:rFonts w:ascii="宋体" w:eastAsia="宋体" w:hAnsi="宋体" w:cs="宋体" w:hint="eastAsia"/>
                <w:lang w:eastAsia="zh-CN"/>
              </w:rPr>
              <w:t>备注：</w:t>
            </w:r>
            <w:r>
              <w:rPr>
                <w:rFonts w:ascii="宋体" w:eastAsia="宋体" w:hAnsi="宋体" w:cs="宋体" w:hint="eastAsia"/>
              </w:rPr>
              <w:t>以上资料均要求提供扫描件，评分中出现无证明资料或证书过期或专家无法凭所提供资料判断是否得分的情况，一律作不得分处理。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rHeight w:val="4891"/>
          <w:tblCellSpacing w:w="0" w:type="dxa"/>
          <w:jc w:val="center"/>
        </w:trPr>
        <w:tc>
          <w:tcPr>
            <w:tcW w:w="415" w:type="dxa"/>
            <w:vMerge/>
            <w:noWrap w:val="0"/>
            <w:vAlign w:val="center"/>
          </w:tcPr>
          <w:p>
            <w:pPr>
              <w:pageBreakBefore w:val="0"/>
              <w:widowControl w:val="0"/>
              <w:kinsoku/>
              <w:overflowPunct/>
              <w:topLinePunct w:val="0"/>
              <w:bidi w:val="0"/>
              <w:spacing w:line="240" w:lineRule="auto"/>
              <w:jc w:val="both"/>
              <w:rPr>
                <w:rFonts w:ascii="宋体" w:eastAsia="宋体" w:hAnsi="宋体" w:cs="宋体" w:hint="eastAsia"/>
                <w:b/>
                <w:bCs/>
                <w:kern w:val="2"/>
                <w:lang w:eastAsia="zh-CN"/>
              </w:rPr>
            </w:pPr>
            <w:bookmarkStart w:id="26" w:name="OLE_LINK39" w:colFirst="4" w:colLast="4"/>
          </w:p>
        </w:tc>
        <w:tc>
          <w:tcPr>
            <w:tcW w:w="711"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8</w:t>
            </w:r>
          </w:p>
        </w:tc>
        <w:tc>
          <w:tcPr>
            <w:tcW w:w="1274" w:type="dxa"/>
            <w:noWrap w:val="0"/>
            <w:vAlign w:val="center"/>
          </w:tcPr>
          <w:p>
            <w:pPr>
              <w:pageBreakBefore w:val="0"/>
              <w:widowControl/>
              <w:kinsoku/>
              <w:overflowPunct/>
              <w:topLinePunct w:val="0"/>
              <w:bidi w:val="0"/>
              <w:spacing w:line="240" w:lineRule="auto"/>
              <w:jc w:val="center"/>
              <w:rPr>
                <w:rFonts w:ascii="宋体" w:eastAsia="宋体" w:hAnsi="宋体" w:cs="宋体" w:hint="eastAsia"/>
                <w:spacing w:val="4"/>
                <w:kern w:val="2"/>
                <w:highlight w:val="red"/>
                <w:lang w:eastAsia="zh-CN"/>
              </w:rPr>
            </w:pPr>
            <w:r>
              <w:rPr>
                <w:rFonts w:ascii="宋体" w:eastAsia="宋体" w:hAnsi="宋体" w:cs="宋体" w:hint="eastAsia"/>
              </w:rPr>
              <w:t>智慧</w:t>
            </w:r>
            <w:r>
              <w:rPr>
                <w:rFonts w:ascii="宋体" w:eastAsia="宋体" w:hAnsi="宋体" w:cs="宋体" w:hint="eastAsia"/>
                <w:lang w:eastAsia="zh-CN"/>
              </w:rPr>
              <w:t>运营</w:t>
            </w:r>
            <w:r>
              <w:rPr>
                <w:rFonts w:ascii="宋体" w:eastAsia="宋体" w:hAnsi="宋体" w:cs="宋体" w:hint="eastAsia"/>
              </w:rPr>
              <w:t>服务能力</w:t>
            </w:r>
          </w:p>
        </w:tc>
        <w:tc>
          <w:tcPr>
            <w:tcW w:w="1143" w:type="dxa"/>
            <w:noWrap w:val="0"/>
            <w:vAlign w:val="center"/>
          </w:tcPr>
          <w:p>
            <w:pPr>
              <w:pageBreakBefore w:val="0"/>
              <w:widowControl/>
              <w:kinsoku/>
              <w:overflowPunct/>
              <w:topLinePunct w:val="0"/>
              <w:bidi w:val="0"/>
              <w:spacing w:line="240" w:lineRule="auto"/>
              <w:jc w:val="center"/>
              <w:rPr>
                <w:rFonts w:ascii="宋体" w:eastAsia="宋体" w:hAnsi="宋体" w:cs="宋体" w:hint="eastAsia"/>
                <w:kern w:val="2"/>
                <w:highlight w:val="red"/>
                <w:lang w:eastAsia="zh-CN"/>
              </w:rPr>
            </w:pPr>
            <w:r>
              <w:rPr>
                <w:rFonts w:ascii="宋体" w:eastAsia="宋体" w:hAnsi="宋体" w:cs="宋体" w:hint="eastAsia"/>
                <w:kern w:val="2"/>
                <w:lang w:eastAsia="zh-CN"/>
              </w:rPr>
              <w:t>5</w:t>
            </w:r>
          </w:p>
        </w:tc>
        <w:tc>
          <w:tcPr>
            <w:tcW w:w="4934" w:type="dxa"/>
            <w:noWrap w:val="0"/>
            <w:vAlign w:val="top"/>
          </w:tcPr>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b/>
                <w:bCs/>
                <w:lang w:eastAsia="zh-CN"/>
              </w:rPr>
            </w:pPr>
            <w:r>
              <w:rPr>
                <w:rFonts w:ascii="宋体" w:eastAsia="宋体" w:hAnsi="宋体" w:cs="宋体" w:hint="eastAsia"/>
                <w:b/>
                <w:bCs/>
                <w:lang w:eastAsia="zh-CN"/>
              </w:rPr>
              <w:t>（一）评审内容</w:t>
            </w:r>
          </w:p>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lang w:eastAsia="zh-CN"/>
              </w:rPr>
            </w:pPr>
            <w:r>
              <w:rPr>
                <w:rFonts w:ascii="宋体" w:eastAsia="宋体" w:hAnsi="宋体" w:cs="宋体" w:hint="eastAsia"/>
                <w:lang w:eastAsia="zh-CN"/>
              </w:rPr>
              <w:t>考察投标人运营</w:t>
            </w:r>
            <w:r>
              <w:rPr>
                <w:rFonts w:ascii="宋体" w:eastAsia="宋体" w:hAnsi="宋体" w:cs="宋体" w:hint="eastAsia"/>
                <w:lang w:eastAsia="zh-CN"/>
              </w:rPr>
              <w:t>（</w:t>
            </w:r>
            <w:r>
              <w:rPr>
                <w:rFonts w:ascii="宋体" w:eastAsia="宋体" w:hAnsi="宋体" w:cs="宋体" w:hint="eastAsia"/>
              </w:rPr>
              <w:t>或建设</w:t>
            </w:r>
            <w:r>
              <w:rPr>
                <w:rFonts w:ascii="宋体" w:eastAsia="宋体" w:hAnsi="宋体" w:cs="宋体" w:hint="eastAsia"/>
                <w:lang w:eastAsia="zh-CN"/>
              </w:rPr>
              <w:t>）</w:t>
            </w:r>
            <w:r>
              <w:rPr>
                <w:rFonts w:ascii="宋体" w:eastAsia="宋体" w:hAnsi="宋体" w:cs="宋体" w:hint="eastAsia"/>
                <w:lang w:eastAsia="zh-CN"/>
              </w:rPr>
              <w:t>养老、托育、助残等智慧服务平台有关情况。</w:t>
            </w:r>
          </w:p>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b/>
                <w:bCs/>
                <w:lang w:eastAsia="zh-CN"/>
              </w:rPr>
            </w:pPr>
            <w:r>
              <w:rPr>
                <w:rFonts w:ascii="宋体" w:eastAsia="宋体" w:hAnsi="宋体" w:cs="宋体" w:hint="eastAsia"/>
                <w:b/>
                <w:bCs/>
                <w:lang w:eastAsia="zh-CN"/>
              </w:rPr>
              <w:t>（二）评审标准</w:t>
            </w:r>
          </w:p>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lang w:eastAsia="zh-CN"/>
              </w:rPr>
            </w:pPr>
            <w:r>
              <w:rPr>
                <w:rFonts w:ascii="宋体" w:eastAsia="宋体" w:hAnsi="宋体" w:cs="宋体" w:hint="eastAsia"/>
                <w:lang w:eastAsia="zh-CN"/>
              </w:rPr>
              <w:t>1.投标人具有政府委托的养老、托育、助残等智慧服务平台运营</w:t>
            </w:r>
            <w:r>
              <w:rPr>
                <w:rFonts w:ascii="宋体" w:eastAsia="宋体" w:hAnsi="宋体" w:cs="宋体" w:hint="eastAsia"/>
                <w:lang w:eastAsia="zh-CN"/>
              </w:rPr>
              <w:t>（</w:t>
            </w:r>
            <w:r>
              <w:rPr>
                <w:rFonts w:ascii="宋体" w:eastAsia="宋体" w:hAnsi="宋体" w:cs="宋体" w:hint="eastAsia"/>
              </w:rPr>
              <w:t>或建设</w:t>
            </w:r>
            <w:r>
              <w:rPr>
                <w:rFonts w:ascii="宋体" w:eastAsia="宋体" w:hAnsi="宋体" w:cs="宋体" w:hint="eastAsia"/>
                <w:lang w:eastAsia="zh-CN"/>
              </w:rPr>
              <w:t>）</w:t>
            </w:r>
            <w:r>
              <w:rPr>
                <w:rFonts w:ascii="宋体" w:eastAsia="宋体" w:hAnsi="宋体" w:cs="宋体" w:hint="eastAsia"/>
                <w:lang w:eastAsia="zh-CN"/>
              </w:rPr>
              <w:t>经验的，每提供一个项目经验</w:t>
            </w:r>
            <w:r>
              <w:rPr>
                <w:rFonts w:ascii="宋体" w:eastAsia="宋体" w:hAnsi="宋体" w:cs="宋体" w:hint="eastAsia"/>
              </w:rPr>
              <w:t>得</w:t>
            </w:r>
            <w:r>
              <w:rPr>
                <w:rFonts w:ascii="宋体" w:eastAsia="宋体" w:hAnsi="宋体" w:cs="宋体" w:hint="eastAsia"/>
                <w:lang w:eastAsia="zh-CN"/>
              </w:rPr>
              <w:t>8</w:t>
            </w:r>
            <w:r>
              <w:rPr>
                <w:rFonts w:ascii="宋体" w:eastAsia="宋体" w:hAnsi="宋体" w:cs="宋体" w:hint="eastAsia"/>
              </w:rPr>
              <w:t>分，此项最高得</w:t>
            </w:r>
            <w:r>
              <w:rPr>
                <w:rFonts w:ascii="宋体" w:eastAsia="宋体" w:hAnsi="宋体" w:cs="宋体" w:hint="eastAsia"/>
                <w:lang w:eastAsia="zh-CN"/>
              </w:rPr>
              <w:t>40</w:t>
            </w:r>
            <w:r>
              <w:rPr>
                <w:rFonts w:ascii="宋体" w:eastAsia="宋体" w:hAnsi="宋体" w:cs="宋体" w:hint="eastAsia"/>
              </w:rPr>
              <w:t>分</w:t>
            </w:r>
            <w:r>
              <w:rPr>
                <w:rFonts w:ascii="宋体" w:eastAsia="宋体" w:hAnsi="宋体" w:cs="宋体" w:hint="eastAsia"/>
                <w:lang w:eastAsia="zh-CN"/>
              </w:rPr>
              <w:t>。</w:t>
            </w:r>
          </w:p>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lang w:eastAsia="zh-CN"/>
              </w:rPr>
            </w:pPr>
            <w:r>
              <w:rPr>
                <w:rFonts w:ascii="宋体" w:eastAsia="宋体" w:hAnsi="宋体" w:cs="宋体" w:hint="eastAsia"/>
              </w:rPr>
              <w:t>2.投标人具有独立研发的养老、托育、助残等相关智慧服务系统能力并获取由国家版权局颁发《计算机软件著作权登记证书》或《发明专利证书》或《实用新型专利证书》，提供一个得30分，最高得60分</w:t>
            </w:r>
            <w:r>
              <w:rPr>
                <w:rFonts w:ascii="宋体" w:eastAsia="宋体" w:hAnsi="宋体" w:cs="宋体" w:hint="eastAsia"/>
                <w:lang w:eastAsia="zh-CN"/>
              </w:rPr>
              <w:t>。</w:t>
            </w:r>
          </w:p>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rPr>
            </w:pPr>
            <w:r>
              <w:rPr>
                <w:rFonts w:ascii="宋体" w:eastAsia="宋体" w:hAnsi="宋体" w:cs="宋体" w:hint="eastAsia"/>
                <w:lang w:eastAsia="zh-CN"/>
              </w:rPr>
              <w:t>第1、2</w:t>
            </w:r>
            <w:r>
              <w:rPr>
                <w:rFonts w:ascii="宋体" w:eastAsia="宋体" w:hAnsi="宋体" w:cs="宋体" w:hint="eastAsia"/>
              </w:rPr>
              <w:t>项累计得</w:t>
            </w:r>
            <w:r>
              <w:rPr>
                <w:rFonts w:ascii="宋体" w:eastAsia="宋体" w:hAnsi="宋体" w:cs="宋体" w:hint="eastAsia"/>
                <w:lang w:eastAsia="zh-CN"/>
              </w:rPr>
              <w:t>分</w:t>
            </w:r>
            <w:r>
              <w:rPr>
                <w:rFonts w:ascii="宋体" w:eastAsia="宋体" w:hAnsi="宋体" w:cs="宋体" w:hint="eastAsia"/>
              </w:rPr>
              <w:t>最高</w:t>
            </w:r>
            <w:r>
              <w:rPr>
                <w:rFonts w:ascii="宋体" w:eastAsia="宋体" w:hAnsi="宋体" w:cs="宋体" w:hint="eastAsia"/>
                <w:lang w:eastAsia="zh-CN"/>
              </w:rPr>
              <w:t>100</w:t>
            </w:r>
            <w:r>
              <w:rPr>
                <w:rFonts w:ascii="宋体" w:eastAsia="宋体" w:hAnsi="宋体" w:cs="宋体" w:hint="eastAsia"/>
              </w:rPr>
              <w:t>分。</w:t>
            </w:r>
          </w:p>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b/>
                <w:bCs/>
                <w:lang w:eastAsia="zh-CN"/>
              </w:rPr>
            </w:pPr>
            <w:r>
              <w:rPr>
                <w:rFonts w:ascii="宋体" w:eastAsia="宋体" w:hAnsi="宋体" w:cs="宋体" w:hint="eastAsia"/>
                <w:b/>
                <w:bCs/>
                <w:lang w:eastAsia="zh-CN"/>
              </w:rPr>
              <w:t>（三）证明文件</w:t>
            </w:r>
          </w:p>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lang w:eastAsia="zh-CN"/>
              </w:rPr>
            </w:pPr>
            <w:r>
              <w:rPr>
                <w:rFonts w:ascii="宋体" w:eastAsia="宋体" w:hAnsi="宋体" w:cs="宋体" w:hint="eastAsia"/>
              </w:rPr>
              <w:t>1.</w:t>
            </w:r>
            <w:r>
              <w:rPr>
                <w:rFonts w:ascii="宋体" w:eastAsia="宋体" w:hAnsi="宋体" w:cs="宋体" w:hint="eastAsia"/>
                <w:lang w:eastAsia="zh-CN"/>
              </w:rPr>
              <w:t>第一项</w:t>
            </w:r>
            <w:r>
              <w:rPr>
                <w:rFonts w:ascii="宋体" w:eastAsia="宋体" w:hAnsi="宋体" w:cs="宋体" w:hint="eastAsia"/>
              </w:rPr>
              <w:t>需提供</w:t>
            </w:r>
            <w:r>
              <w:rPr>
                <w:rFonts w:ascii="宋体" w:eastAsia="宋体" w:hAnsi="宋体" w:cs="宋体" w:hint="eastAsia"/>
                <w:lang w:eastAsia="zh-CN"/>
              </w:rPr>
              <w:t>项目合同关键信息（包括但不限于合同标的、签订时间、双方签章页）以及</w:t>
            </w:r>
            <w:r>
              <w:rPr>
                <w:rFonts w:ascii="宋体" w:eastAsia="宋体" w:hAnsi="宋体" w:cs="宋体" w:hint="eastAsia"/>
              </w:rPr>
              <w:t>平台界面截图作为得分依据</w:t>
            </w:r>
            <w:r>
              <w:rPr>
                <w:rFonts w:ascii="宋体" w:eastAsia="宋体" w:hAnsi="宋体" w:cs="宋体" w:hint="eastAsia"/>
                <w:lang w:eastAsia="zh-CN"/>
              </w:rPr>
              <w:t>。</w:t>
            </w:r>
            <w:r>
              <w:rPr>
                <w:rFonts w:ascii="宋体" w:eastAsia="宋体" w:hAnsi="宋体" w:cs="宋体" w:hint="eastAsia"/>
                <w:lang w:eastAsia="zh-CN"/>
              </w:rPr>
              <w:t>通过合同关键信息无法判断是否得分的，还须同时提供能证明得分的其它证明资料，如合同甲方出具的证明文件或项目报告。</w:t>
            </w:r>
          </w:p>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lang w:eastAsia="zh-CN"/>
              </w:rPr>
            </w:pPr>
            <w:r>
              <w:rPr>
                <w:rFonts w:ascii="宋体" w:eastAsia="宋体" w:hAnsi="宋体" w:cs="宋体" w:hint="eastAsia"/>
              </w:rPr>
              <w:t>2.</w:t>
            </w:r>
            <w:r>
              <w:rPr>
                <w:rFonts w:ascii="宋体" w:eastAsia="宋体" w:hAnsi="宋体" w:cs="宋体" w:hint="eastAsia"/>
                <w:lang w:eastAsia="zh-CN"/>
              </w:rPr>
              <w:t>第二项</w:t>
            </w:r>
            <w:r>
              <w:rPr>
                <w:rFonts w:ascii="宋体" w:eastAsia="宋体" w:hAnsi="宋体" w:cs="宋体" w:hint="eastAsia"/>
              </w:rPr>
              <w:t>提供相关著作权或专利证书等相关材料</w:t>
            </w:r>
            <w:r>
              <w:rPr>
                <w:rFonts w:ascii="宋体" w:eastAsia="宋体" w:hAnsi="宋体" w:cs="宋体" w:hint="eastAsia"/>
                <w:lang w:eastAsia="zh-CN"/>
              </w:rPr>
              <w:t>。</w:t>
            </w:r>
          </w:p>
          <w:p>
            <w:pPr>
              <w:pageBreakBefore w:val="0"/>
              <w:widowControl w:val="0"/>
              <w:numPr>
                <w:ilvl w:val="0"/>
                <w:numId w:val="0"/>
              </w:numPr>
              <w:kinsoku/>
              <w:overflowPunct/>
              <w:topLinePunct w:val="0"/>
              <w:bidi w:val="0"/>
              <w:spacing w:after="60" w:line="240" w:lineRule="auto"/>
              <w:ind w:left="0" w:firstLine="0"/>
              <w:jc w:val="left"/>
              <w:rPr>
                <w:rFonts w:ascii="宋体" w:eastAsia="宋体" w:hAnsi="宋体" w:cs="宋体" w:hint="eastAsia"/>
                <w:highlight w:val="red"/>
                <w:lang w:eastAsia="zh-CN"/>
              </w:rPr>
            </w:pPr>
            <w:r>
              <w:rPr>
                <w:rFonts w:ascii="宋体" w:eastAsia="宋体" w:hAnsi="宋体" w:cs="宋体" w:hint="eastAsia"/>
                <w:lang w:eastAsia="zh-CN"/>
              </w:rPr>
              <w:t>备注：以上资料均要求提供扫描件，评分中出现无证明资料或证书过期或专</w:t>
            </w:r>
            <w:r>
              <w:rPr>
                <w:rFonts w:ascii="宋体" w:eastAsia="宋体" w:hAnsi="宋体" w:cs="宋体" w:hint="eastAsia"/>
              </w:rPr>
              <w:t>家无法凭所提供资料判断是否得分的情况，一律作不得分处理。</w:t>
            </w:r>
          </w:p>
        </w:tc>
      </w:tr>
      <w:bookmarkEnd w:id="26"/>
      <w:tr>
        <w:tblPrEx>
          <w:tblW w:w="5000" w:type="pct"/>
          <w:jc w:val="center"/>
          <w:tblCellSpacing w:w="0" w:type="dxa"/>
          <w:tblLayout w:type="fixed"/>
          <w:tblCellMar>
            <w:top w:w="20" w:type="dxa"/>
            <w:left w:w="108" w:type="dxa"/>
            <w:bottom w:w="20" w:type="dxa"/>
            <w:right w:w="108" w:type="dxa"/>
          </w:tblCellMar>
        </w:tblPrEx>
        <w:trPr>
          <w:trHeight w:val="336"/>
          <w:tblCellSpacing w:w="0" w:type="dxa"/>
          <w:jc w:val="center"/>
        </w:trPr>
        <w:tc>
          <w:tcPr>
            <w:tcW w:w="415" w:type="dxa"/>
            <w:noWrap w:val="0"/>
            <w:vAlign w:val="center"/>
          </w:tcPr>
          <w:p>
            <w:pPr>
              <w:pageBreakBefore w:val="0"/>
              <w:widowControl w:val="0"/>
              <w:kinsoku/>
              <w:overflowPunct/>
              <w:topLinePunct w:val="0"/>
              <w:bidi w:val="0"/>
              <w:spacing w:line="240" w:lineRule="auto"/>
              <w:ind w:firstLine="240" w:firstLineChars="100"/>
              <w:jc w:val="both"/>
              <w:rPr>
                <w:rFonts w:ascii="宋体" w:eastAsia="宋体" w:hAnsi="宋体" w:cs="宋体" w:hint="eastAsia"/>
                <w:b/>
                <w:bCs/>
                <w:kern w:val="2"/>
                <w:lang w:eastAsia="zh-CN"/>
              </w:rPr>
            </w:pPr>
          </w:p>
        </w:tc>
        <w:tc>
          <w:tcPr>
            <w:tcW w:w="3128" w:type="dxa"/>
            <w:gridSpan w:val="3"/>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诚信得分</w:t>
            </w:r>
          </w:p>
        </w:tc>
        <w:tc>
          <w:tcPr>
            <w:tcW w:w="4934"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5</w:t>
            </w:r>
          </w:p>
        </w:tc>
      </w:tr>
      <w:tr>
        <w:tblPrEx>
          <w:tblW w:w="5000" w:type="pct"/>
          <w:jc w:val="center"/>
          <w:tblCellSpacing w:w="0" w:type="dxa"/>
          <w:tblLayout w:type="fixed"/>
          <w:tblCellMar>
            <w:top w:w="20" w:type="dxa"/>
            <w:left w:w="108" w:type="dxa"/>
            <w:bottom w:w="20" w:type="dxa"/>
            <w:right w:w="108" w:type="dxa"/>
          </w:tblCellMar>
        </w:tblPrEx>
        <w:trPr>
          <w:trHeight w:val="898"/>
          <w:tblCellSpacing w:w="0" w:type="dxa"/>
          <w:jc w:val="center"/>
        </w:trPr>
        <w:tc>
          <w:tcPr>
            <w:tcW w:w="415" w:type="dxa"/>
            <w:vMerge w:val="restart"/>
            <w:shd w:val="clear" w:color="auto" w:fill="auto"/>
            <w:noWrap w:val="0"/>
            <w:vAlign w:val="center"/>
          </w:tcPr>
          <w:p>
            <w:pPr>
              <w:pageBreakBefore w:val="0"/>
              <w:widowControl w:val="0"/>
              <w:kinsoku/>
              <w:overflowPunct/>
              <w:topLinePunct w:val="0"/>
              <w:bidi w:val="0"/>
              <w:spacing w:line="240"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4</w:t>
            </w:r>
          </w:p>
        </w:tc>
        <w:tc>
          <w:tcPr>
            <w:tcW w:w="711" w:type="dxa"/>
            <w:shd w:val="clear" w:color="auto" w:fill="DCE6F2"/>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1274" w:type="dxa"/>
            <w:shd w:val="clear" w:color="auto" w:fill="DCE6F2"/>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评分因素</w:t>
            </w:r>
          </w:p>
        </w:tc>
        <w:tc>
          <w:tcPr>
            <w:tcW w:w="1143" w:type="dxa"/>
            <w:shd w:val="clear" w:color="auto" w:fill="DCE6F2"/>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权重(%)</w:t>
            </w:r>
          </w:p>
        </w:tc>
        <w:tc>
          <w:tcPr>
            <w:tcW w:w="4934" w:type="dxa"/>
            <w:shd w:val="clear" w:color="auto" w:fill="DCE6F2"/>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15" w:type="dxa"/>
            <w:vMerge/>
            <w:noWrap w:val="0"/>
            <w:vAlign w:val="center"/>
          </w:tcPr>
          <w:p>
            <w:pPr>
              <w:pageBreakBefore w:val="0"/>
              <w:widowControl w:val="0"/>
              <w:kinsoku/>
              <w:overflowPunct/>
              <w:topLinePunct w:val="0"/>
              <w:bidi w:val="0"/>
              <w:spacing w:line="240" w:lineRule="auto"/>
              <w:ind w:firstLine="240" w:firstLineChars="100"/>
              <w:jc w:val="both"/>
              <w:rPr>
                <w:rFonts w:ascii="宋体" w:eastAsia="宋体" w:hAnsi="宋体" w:cs="宋体" w:hint="eastAsia"/>
                <w:b/>
                <w:bCs/>
                <w:kern w:val="2"/>
                <w:lang w:eastAsia="zh-CN"/>
              </w:rPr>
            </w:pPr>
          </w:p>
        </w:tc>
        <w:tc>
          <w:tcPr>
            <w:tcW w:w="711" w:type="dxa"/>
            <w:noWrap w:val="0"/>
            <w:vAlign w:val="center"/>
          </w:tcPr>
          <w:p>
            <w:pPr>
              <w:pageBreakBefore w:val="0"/>
              <w:widowControl w:val="0"/>
              <w:kinsoku/>
              <w:overflowPunct/>
              <w:topLinePunct w:val="0"/>
              <w:bidi w:val="0"/>
              <w:spacing w:before="65" w:line="240" w:lineRule="auto"/>
              <w:jc w:val="center"/>
              <w:rPr>
                <w:rFonts w:ascii="宋体" w:eastAsia="宋体" w:hAnsi="宋体" w:cs="宋体" w:hint="eastAsia"/>
                <w:b/>
                <w:bCs/>
                <w:kern w:val="2"/>
                <w:lang w:eastAsia="zh-CN"/>
              </w:rPr>
            </w:pPr>
            <w:r>
              <w:rPr>
                <w:rFonts w:ascii="宋体" w:eastAsia="宋体" w:hAnsi="宋体" w:cs="宋体" w:hint="eastAsia"/>
                <w:kern w:val="2"/>
                <w:lang w:eastAsia="zh-CN"/>
              </w:rPr>
              <w:t>1</w:t>
            </w:r>
          </w:p>
        </w:tc>
        <w:tc>
          <w:tcPr>
            <w:tcW w:w="1274"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b/>
                <w:bCs/>
                <w:kern w:val="2"/>
              </w:rPr>
            </w:pPr>
            <w:r>
              <w:rPr>
                <w:rFonts w:ascii="宋体" w:eastAsia="宋体" w:hAnsi="宋体" w:cs="宋体" w:hint="eastAsia"/>
                <w:kern w:val="2"/>
                <w:lang w:eastAsia="zh-CN"/>
              </w:rPr>
              <w:t>诚信情况</w:t>
            </w:r>
          </w:p>
        </w:tc>
        <w:tc>
          <w:tcPr>
            <w:tcW w:w="1143" w:type="dxa"/>
            <w:noWrap w:val="0"/>
            <w:vAlign w:val="center"/>
          </w:tcPr>
          <w:p>
            <w:pPr>
              <w:pageBreakBefore w:val="0"/>
              <w:widowControl w:val="0"/>
              <w:kinsoku/>
              <w:wordWrap w:val="0"/>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4934" w:type="dxa"/>
            <w:noWrap w:val="0"/>
            <w:vAlign w:val="top"/>
          </w:tcPr>
          <w:p>
            <w:pPr>
              <w:widowControl w:val="0"/>
              <w:wordWrap w:val="0"/>
              <w:spacing w:line="240" w:lineRule="auto"/>
              <w:ind w:firstLine="480" w:firstLineChars="200"/>
              <w:jc w:val="both"/>
              <w:rPr>
                <w:rFonts w:ascii="宋体" w:eastAsia="宋体" w:hAnsi="宋体" w:cs="宋体" w:hint="eastAsia"/>
                <w:kern w:val="2"/>
                <w:lang w:eastAsia="zh-CN"/>
              </w:rPr>
            </w:pPr>
            <w:bookmarkStart w:id="27" w:name="OLE_LINK40"/>
            <w:r>
              <w:rPr>
                <w:rFonts w:ascii="宋体" w:eastAsia="宋体" w:hAnsi="宋体" w:cs="宋体" w:hint="eastAsia"/>
                <w:kern w:val="2"/>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pageBreakBefore w:val="0"/>
              <w:widowControl w:val="0"/>
              <w:kinsoku/>
              <w:wordWrap w:val="0"/>
              <w:overflowPunct/>
              <w:topLinePunct w:val="0"/>
              <w:bidi w:val="0"/>
              <w:spacing w:line="240" w:lineRule="auto"/>
              <w:jc w:val="both"/>
              <w:rPr>
                <w:rFonts w:ascii="宋体" w:eastAsia="宋体" w:hAnsi="宋体" w:cs="宋体" w:hint="eastAsia"/>
                <w:kern w:val="2"/>
                <w:lang w:eastAsia="zh-CN"/>
              </w:rPr>
            </w:pPr>
            <w:r>
              <w:rPr>
                <w:rFonts w:ascii="宋体" w:eastAsia="宋体" w:hAnsi="宋体" w:cs="宋体" w:hint="eastAsia"/>
                <w:kern w:val="2"/>
                <w:lang w:eastAsia="zh-CN"/>
              </w:rPr>
              <w:t>查询渠道：通过“信用中国”（www.creditchina.gov.cn，下载信用信息报告）、“中国政府采购网”（www.ccgp.gov.cn）、以及“深圳市政府采购监管网”（http://zfcg.sz.gov.cn）查询投标人信用信息，信用信息以开标当日的查询结果为准。</w:t>
            </w:r>
            <w:bookmarkEnd w:id="27"/>
          </w:p>
        </w:tc>
      </w:tr>
    </w:tbl>
    <w:p>
      <w:pPr>
        <w:widowControl w:val="0"/>
        <w:jc w:val="center"/>
        <w:outlineLvl w:val="9"/>
        <w:rPr>
          <w:rFonts w:ascii="Arial" w:eastAsia="宋体" w:hAnsi="Arial" w:hint="eastAsia"/>
          <w:b/>
          <w:bCs/>
          <w:kern w:val="44"/>
          <w:sz w:val="32"/>
          <w:szCs w:val="32"/>
          <w:lang w:eastAsia="zh-CN"/>
        </w:rPr>
      </w:pPr>
    </w:p>
    <w:p>
      <w:pPr>
        <w:widowControl w:val="0"/>
        <w:jc w:val="center"/>
        <w:outlineLvl w:val="9"/>
        <w:rPr>
          <w:rFonts w:ascii="Arial" w:eastAsia="宋体" w:hAnsi="Arial" w:hint="eastAsia"/>
          <w:b/>
          <w:bCs/>
          <w:kern w:val="44"/>
          <w:sz w:val="32"/>
          <w:szCs w:val="32"/>
          <w:lang w:eastAsia="zh-CN"/>
        </w:rPr>
      </w:pPr>
    </w:p>
    <w:p>
      <w:pPr>
        <w:widowControl w:val="0"/>
        <w:jc w:val="center"/>
        <w:outlineLvl w:val="9"/>
        <w:rPr>
          <w:rFonts w:ascii="Arial" w:eastAsia="宋体" w:hAnsi="Arial" w:hint="eastAsia"/>
          <w:b/>
          <w:bCs/>
          <w:kern w:val="44"/>
          <w:sz w:val="32"/>
          <w:szCs w:val="32"/>
          <w:lang w:eastAsia="zh-CN"/>
        </w:rPr>
      </w:pPr>
    </w:p>
    <w:p>
      <w:pPr>
        <w:widowControl w:val="0"/>
        <w:jc w:val="center"/>
        <w:outlineLvl w:val="0"/>
        <w:rPr>
          <w:rFonts w:ascii="Arial" w:eastAsia="宋体" w:hAnsi="Arial" w:hint="eastAsia"/>
          <w:b/>
          <w:bCs/>
          <w:kern w:val="44"/>
          <w:sz w:val="32"/>
          <w:szCs w:val="32"/>
          <w:lang w:eastAsia="zh-CN"/>
        </w:rPr>
      </w:pPr>
      <w:r>
        <w:rPr>
          <w:rFonts w:ascii="Arial" w:eastAsia="宋体" w:hAnsi="Arial" w:hint="eastAsia"/>
          <w:b/>
          <w:bCs/>
          <w:kern w:val="44"/>
          <w:sz w:val="32"/>
          <w:szCs w:val="32"/>
          <w:lang w:eastAsia="zh-CN"/>
        </w:rPr>
        <w:t>目录</w:t>
      </w:r>
    </w:p>
    <w:p>
      <w:pPr>
        <w:widowControl w:val="0"/>
        <w:jc w:val="both"/>
        <w:rPr>
          <w:rFonts w:ascii="Calibri" w:eastAsia="宋体" w:hAnsi="Calibri"/>
          <w:b/>
          <w:kern w:val="2"/>
          <w:lang w:eastAsia="zh-CN"/>
        </w:rPr>
      </w:pPr>
      <w:r>
        <w:rPr>
          <w:rFonts w:ascii="Calibri" w:eastAsia="宋体" w:hAnsi="Calibri" w:hint="eastAsia"/>
          <w:b/>
          <w:kern w:val="2"/>
          <w:lang w:eastAsia="zh-CN"/>
        </w:rPr>
        <w:t>第一册  专用条款</w:t>
      </w:r>
    </w:p>
    <w:p>
      <w:pPr>
        <w:widowControl w:val="0"/>
        <w:ind w:left="720" w:firstLine="470" w:leftChars="300" w:firstLineChars="196"/>
        <w:jc w:val="both"/>
        <w:rPr>
          <w:rFonts w:ascii="Calibri" w:eastAsia="宋体" w:hAnsi="Calibri"/>
          <w:b/>
          <w:kern w:val="2"/>
          <w:lang w:eastAsia="zh-CN"/>
        </w:rPr>
      </w:pPr>
      <w:r>
        <w:rPr>
          <w:rFonts w:ascii="Calibri" w:eastAsia="宋体" w:hAnsi="Calibri" w:hint="eastAsia"/>
          <w:b/>
          <w:kern w:val="2"/>
          <w:lang w:eastAsia="zh-CN"/>
        </w:rPr>
        <w:tab/>
      </w:r>
      <w:r>
        <w:rPr>
          <w:rFonts w:ascii="宋体" w:eastAsia="宋体" w:hAnsi="宋体" w:hint="eastAsia"/>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协议条款及格式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hint="eastAsia"/>
          <w:b/>
          <w:kern w:val="2"/>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协议的授予与备案</w:t>
      </w:r>
    </w:p>
    <w:p>
      <w:pPr>
        <w:widowControl w:val="0"/>
        <w:jc w:val="both"/>
        <w:rPr>
          <w:rFonts w:ascii="宋体" w:eastAsia="黑体" w:hAnsi="宋体"/>
          <w:b/>
          <w:bCs/>
          <w:kern w:val="44"/>
          <w:sz w:val="36"/>
          <w:szCs w:val="44"/>
          <w:lang w:eastAsia="zh-CN"/>
        </w:rPr>
      </w:pPr>
      <w:r>
        <w:rPr>
          <w:rFonts w:ascii="Calibri" w:eastAsia="宋体" w:hAnsi="Calibri" w:hint="eastAsia"/>
          <w:kern w:val="2"/>
          <w:sz w:val="21"/>
          <w:szCs w:val="22"/>
          <w:lang w:eastAsia="zh-CN"/>
        </w:rPr>
        <w:t xml:space="preserve">          </w:t>
      </w:r>
      <w:r>
        <w:rPr>
          <w:rFonts w:ascii="Calibri" w:eastAsia="宋体" w:hAnsi="Calibri" w:hint="eastAsia"/>
          <w:kern w:val="2"/>
          <w:sz w:val="21"/>
          <w:szCs w:val="22"/>
          <w:lang w:eastAsia="zh-CN"/>
        </w:rPr>
        <w:t xml:space="preserve">              </w:t>
      </w:r>
      <w:r>
        <w:rPr>
          <w:rFonts w:ascii="Calibri" w:eastAsia="宋体" w:hAnsi="Calibri" w:hint="eastAsia"/>
          <w:kern w:val="2"/>
          <w:sz w:val="21"/>
          <w:szCs w:val="22"/>
          <w:lang w:eastAsia="zh-CN"/>
        </w:rPr>
        <w:t>第十一章  质疑处理</w:t>
      </w: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pageBreakBefore w:val="0"/>
        <w:widowControl w:val="0"/>
        <w:kinsoku/>
        <w:overflowPunct/>
        <w:topLinePunct w:val="0"/>
        <w:bidi w:val="0"/>
        <w:spacing w:line="240" w:lineRule="auto"/>
        <w:ind w:firstLine="720" w:firstLineChars="300"/>
        <w:jc w:val="both"/>
        <w:rPr>
          <w:rFonts w:ascii="宋体" w:eastAsia="宋体" w:hAnsi="宋体" w:cs="宋体" w:hint="eastAsia"/>
          <w:b/>
          <w:kern w:val="2"/>
          <w:lang w:eastAsia="zh-CN"/>
        </w:rPr>
      </w:pPr>
      <w:r>
        <w:rPr>
          <w:rFonts w:ascii="宋体" w:eastAsia="宋体" w:hAnsi="宋体" w:cs="宋体" w:hint="eastAsia"/>
          <w:b/>
          <w:kern w:val="2"/>
          <w:lang w:eastAsia="zh-CN"/>
        </w:rPr>
        <w:t>申请人的资格要求：</w:t>
      </w:r>
    </w:p>
    <w:p>
      <w:pPr>
        <w:pageBreakBefore w:val="0"/>
        <w:widowControl w:val="0"/>
        <w:kinsoku/>
        <w:overflowPunct/>
        <w:topLinePunct w:val="0"/>
        <w:bidi w:val="0"/>
        <w:spacing w:line="240" w:lineRule="auto"/>
        <w:ind w:firstLine="720" w:firstLineChars="300"/>
        <w:jc w:val="both"/>
        <w:rPr>
          <w:rFonts w:ascii="宋体" w:eastAsia="宋体" w:hAnsi="宋体" w:cs="宋体" w:hint="eastAsia"/>
          <w:bCs/>
          <w:kern w:val="2"/>
          <w:lang w:eastAsia="zh-CN"/>
        </w:rPr>
      </w:pPr>
      <w:r>
        <w:rPr>
          <w:rFonts w:ascii="宋体" w:eastAsia="宋体" w:hAnsi="宋体" w:cs="宋体" w:hint="eastAsia"/>
          <w:lang w:eastAsia="zh-CN"/>
        </w:rPr>
        <w:t>1.</w:t>
      </w:r>
      <w:bookmarkStart w:id="28" w:name="OLE_LINK31"/>
      <w:r>
        <w:rPr>
          <w:rFonts w:ascii="宋体" w:eastAsia="宋体" w:hAnsi="宋体" w:cs="宋体" w:hint="eastAsia"/>
          <w:bCs/>
          <w:kern w:val="2"/>
          <w:lang w:eastAsia="zh-CN"/>
        </w:rPr>
        <w:t>具有独立法人资格或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bookmarkEnd w:id="28"/>
    <w:p>
      <w:pPr>
        <w:pageBreakBefore w:val="0"/>
        <w:widowControl w:val="0"/>
        <w:kinsoku/>
        <w:overflowPunct/>
        <w:topLinePunct w:val="0"/>
        <w:bidi w:val="0"/>
        <w:spacing w:line="240" w:lineRule="auto"/>
        <w:ind w:firstLine="720" w:firstLineChars="300"/>
        <w:jc w:val="both"/>
        <w:rPr>
          <w:rFonts w:ascii="宋体" w:eastAsia="宋体" w:hAnsi="宋体" w:cs="宋体" w:hint="eastAsia"/>
          <w:bCs/>
          <w:kern w:val="2"/>
          <w:lang w:eastAsia="zh-CN"/>
        </w:rPr>
      </w:pPr>
      <w:r>
        <w:rPr>
          <w:rFonts w:ascii="宋体" w:eastAsia="宋体" w:hAnsi="宋体" w:cs="宋体" w:hint="eastAsia"/>
          <w:bCs/>
          <w:kern w:val="2"/>
          <w:lang w:eastAsia="zh-CN"/>
        </w:rPr>
        <w:t>2.本项目不接受联合体投标，不允许转包分包；</w:t>
      </w:r>
    </w:p>
    <w:p>
      <w:pPr>
        <w:pageBreakBefore w:val="0"/>
        <w:widowControl w:val="0"/>
        <w:kinsoku/>
        <w:overflowPunct/>
        <w:topLinePunct w:val="0"/>
        <w:bidi w:val="0"/>
        <w:spacing w:line="240" w:lineRule="auto"/>
        <w:ind w:firstLine="720" w:firstLineChars="300"/>
        <w:jc w:val="both"/>
        <w:rPr>
          <w:rFonts w:ascii="宋体" w:eastAsia="宋体" w:hAnsi="宋体" w:cs="宋体" w:hint="eastAsia"/>
          <w:bCs/>
          <w:kern w:val="2"/>
          <w:lang w:eastAsia="zh-CN"/>
        </w:rPr>
      </w:pPr>
      <w:r>
        <w:rPr>
          <w:rFonts w:ascii="宋体" w:eastAsia="宋体" w:hAnsi="宋体" w:cs="宋体" w:hint="eastAsia"/>
          <w:bCs/>
          <w:kern w:val="2"/>
          <w:lang w:eastAsia="zh-CN"/>
        </w:rPr>
        <w:t>3.参与本项目交易活动时不存在被有关部门禁止参与交易活动且在有效期内的情况（由投标人在《投标及履约承诺函》中作出声明）；</w:t>
      </w:r>
    </w:p>
    <w:p>
      <w:pPr>
        <w:pageBreakBefore w:val="0"/>
        <w:widowControl w:val="0"/>
        <w:kinsoku/>
        <w:overflowPunct/>
        <w:topLinePunct w:val="0"/>
        <w:bidi w:val="0"/>
        <w:spacing w:line="240" w:lineRule="auto"/>
        <w:ind w:firstLine="720" w:firstLineChars="300"/>
        <w:jc w:val="both"/>
        <w:rPr>
          <w:rFonts w:ascii="宋体" w:eastAsia="宋体" w:hAnsi="宋体" w:cs="宋体" w:hint="eastAsia"/>
          <w:bCs/>
          <w:kern w:val="2"/>
          <w:lang w:eastAsia="zh-CN"/>
        </w:rPr>
      </w:pPr>
      <w:r>
        <w:rPr>
          <w:rFonts w:ascii="宋体" w:eastAsia="宋体" w:hAnsi="宋体" w:cs="宋体" w:hint="eastAsia"/>
          <w:bCs/>
          <w:kern w:val="2"/>
          <w:lang w:eastAsia="zh-CN"/>
        </w:rPr>
        <w:t>4.具备《中华人民共和国政府采购法》第二十二条第一款的条件（由投标人在《投标及履约承诺函》中作出声明）；</w:t>
      </w:r>
    </w:p>
    <w:p>
      <w:pPr>
        <w:pageBreakBefore w:val="0"/>
        <w:widowControl w:val="0"/>
        <w:kinsoku/>
        <w:overflowPunct/>
        <w:topLinePunct w:val="0"/>
        <w:bidi w:val="0"/>
        <w:spacing w:line="240" w:lineRule="auto"/>
        <w:ind w:firstLine="720" w:firstLineChars="300"/>
        <w:jc w:val="both"/>
        <w:rPr>
          <w:rFonts w:ascii="宋体" w:eastAsia="宋体" w:hAnsi="宋体" w:cs="宋体" w:hint="eastAsia"/>
          <w:bCs/>
          <w:kern w:val="2"/>
          <w:lang w:eastAsia="zh-CN"/>
        </w:rPr>
      </w:pPr>
      <w:r>
        <w:rPr>
          <w:rFonts w:ascii="宋体" w:eastAsia="宋体" w:hAnsi="宋体" w:cs="宋体" w:hint="eastAsia"/>
          <w:bCs/>
          <w:kern w:val="2"/>
          <w:lang w:eastAsia="zh-CN"/>
        </w:rPr>
        <w:t>5.</w:t>
      </w:r>
      <w:bookmarkStart w:id="29" w:name="OLE_LINK32"/>
      <w:r>
        <w:rPr>
          <w:rFonts w:ascii="宋体" w:eastAsia="宋体" w:hAnsi="宋体" w:cs="宋体" w:hint="eastAsia"/>
          <w:bCs/>
          <w:kern w:val="2"/>
          <w:lang w:eastAsia="zh-CN"/>
        </w:rPr>
        <w:t>未被列入失信被执行人、重大税收违法案件当事人名单、政府采购严重违法失信行为记录名单（由</w:t>
      </w:r>
      <w:bookmarkStart w:id="30" w:name="OLE_LINK22"/>
      <w:r>
        <w:rPr>
          <w:rFonts w:ascii="宋体" w:eastAsia="宋体" w:hAnsi="宋体" w:cs="宋体" w:hint="eastAsia"/>
          <w:bCs/>
          <w:kern w:val="2"/>
          <w:lang w:eastAsia="zh-CN"/>
        </w:rPr>
        <w:t>投标人</w:t>
      </w:r>
      <w:bookmarkEnd w:id="30"/>
      <w:r>
        <w:rPr>
          <w:rFonts w:ascii="宋体" w:eastAsia="宋体" w:hAnsi="宋体" w:cs="宋体" w:hint="eastAsia"/>
          <w:bCs/>
          <w:kern w:val="2"/>
          <w:lang w:eastAsia="zh-CN"/>
        </w:rPr>
        <w:t>在《投标及履约承诺函》中作出声明）；</w:t>
      </w:r>
    </w:p>
    <w:bookmarkEnd w:id="29"/>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both"/>
        <w:textAlignment w:val="auto"/>
        <w:rPr>
          <w:rFonts w:ascii="宋体" w:eastAsia="宋体" w:hAnsi="宋体" w:cs="宋体" w:hint="eastAsia"/>
          <w:b/>
          <w:bCs/>
          <w:kern w:val="2"/>
          <w:lang w:eastAsia="zh-CN"/>
        </w:rPr>
      </w:pP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both"/>
        <w:textAlignment w:val="auto"/>
        <w:rPr>
          <w:rFonts w:ascii="宋体" w:eastAsia="宋体" w:hAnsi="宋体" w:cs="宋体" w:hint="eastAsia"/>
          <w:b/>
          <w:bCs/>
          <w:kern w:val="2"/>
          <w:lang w:eastAsia="zh-CN"/>
        </w:rPr>
      </w:pPr>
      <w:r>
        <w:rPr>
          <w:rFonts w:ascii="宋体" w:eastAsia="宋体" w:hAnsi="宋体" w:cs="宋体" w:hint="eastAsia"/>
          <w:b/>
          <w:bCs/>
          <w:kern w:val="2"/>
          <w:lang w:eastAsia="zh-CN"/>
        </w:rPr>
        <w:t>注：</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w:t>
      </w:r>
      <w:r>
        <w:rPr>
          <w:rFonts w:ascii="宋体" w:eastAsia="宋体" w:hAnsi="宋体" w:cs="宋体" w:hint="eastAsia"/>
          <w:lang w:eastAsia="zh-CN"/>
        </w:rPr>
        <w:t>投标人</w:t>
      </w:r>
      <w:r>
        <w:rPr>
          <w:rFonts w:ascii="宋体" w:eastAsia="宋体" w:hAnsi="宋体" w:cs="宋体" w:hint="eastAsia"/>
          <w:kern w:val="2"/>
          <w:lang w:eastAsia="zh-CN"/>
        </w:rPr>
        <w:t>信用信息的查询渠道，相关信息以开标当日的查询结果为准；</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w:t>
      </w:r>
      <w:r>
        <w:rPr>
          <w:rFonts w:ascii="宋体" w:eastAsia="宋体" w:hAnsi="宋体" w:cs="宋体" w:hint="eastAsia"/>
          <w:lang w:eastAsia="zh-CN"/>
        </w:rPr>
        <w:t>投标人</w:t>
      </w:r>
      <w:r>
        <w:rPr>
          <w:rFonts w:ascii="宋体" w:eastAsia="宋体" w:hAnsi="宋体" w:cs="宋体" w:hint="eastAsia"/>
          <w:kern w:val="2"/>
          <w:lang w:eastAsia="zh-CN"/>
        </w:rPr>
        <w:t>投标（上传投标文件）必须先行办理注册手续。</w:t>
      </w:r>
    </w:p>
    <w:p>
      <w:pPr>
        <w:widowControl w:val="0"/>
        <w:snapToGrid w:val="0"/>
        <w:spacing w:line="300" w:lineRule="auto"/>
        <w:ind w:firstLine="480" w:firstLineChars="200"/>
        <w:jc w:val="both"/>
        <w:rPr>
          <w:rFonts w:ascii="Arial" w:eastAsia="宋体" w:hAnsi="Arial"/>
          <w:kern w:val="2"/>
          <w:lang w:eastAsia="zh-CN"/>
        </w:rPr>
      </w:pPr>
    </w:p>
    <w:p>
      <w:pPr>
        <w:widowControl w:val="0"/>
        <w:ind w:firstLine="420" w:firstLineChars="200"/>
        <w:jc w:val="left"/>
        <w:rPr>
          <w:rFonts w:ascii="Calibri" w:eastAsia="宋体" w:hAnsi="Calibri"/>
          <w:b/>
          <w:kern w:val="2"/>
          <w:sz w:val="20"/>
          <w:szCs w:val="21"/>
          <w:lang w:eastAsia="zh-CN"/>
        </w:rPr>
      </w:pPr>
      <w:r>
        <w:rPr>
          <w:rFonts w:ascii="Calibri" w:eastAsia="宋体" w:hAnsi="Calibri" w:hint="eastAsia"/>
          <w:b/>
          <w:kern w:val="2"/>
          <w:sz w:val="21"/>
          <w:szCs w:val="16"/>
          <w:lang w:eastAsia="zh-CN"/>
        </w:rPr>
        <w:t>完整公告内容详见：深圳交易集团网（</w:t>
      </w:r>
      <w:bookmarkStart w:id="31" w:name="OLE_LINK3"/>
      <w:r>
        <w:rPr>
          <w:rFonts w:ascii="Calibri" w:eastAsia="宋体" w:hAnsi="Calibri" w:hint="eastAsia"/>
          <w:b/>
          <w:kern w:val="2"/>
          <w:sz w:val="21"/>
          <w:szCs w:val="16"/>
          <w:lang w:eastAsia="zh-CN"/>
        </w:rPr>
        <w:t>https://www.szexgrp.com/jyfw/zfcg-view.html?id=zfcg</w:t>
      </w:r>
      <w:bookmarkEnd w:id="31"/>
      <w:r>
        <w:rPr>
          <w:rFonts w:ascii="Calibri" w:eastAsia="宋体" w:hAnsi="Calibri" w:hint="eastAsia"/>
          <w:b/>
          <w:kern w:val="2"/>
          <w:sz w:val="21"/>
          <w:szCs w:val="16"/>
          <w:lang w:eastAsia="zh-CN"/>
        </w:rPr>
        <w:t>）</w:t>
      </w:r>
    </w:p>
    <w:p>
      <w:pPr>
        <w:widowControl/>
        <w:jc w:val="left"/>
        <w:rPr>
          <w:rFonts w:ascii="Arial" w:eastAsia="宋体" w:hAnsi="Arial"/>
          <w:b/>
          <w:kern w:val="2"/>
          <w:sz w:val="32"/>
          <w:szCs w:val="32"/>
          <w:lang w:eastAsia="zh-CN"/>
        </w:rPr>
      </w:pPr>
    </w:p>
    <w:p>
      <w:pPr>
        <w:widowControl w:val="0"/>
        <w:jc w:val="both"/>
        <w:rPr>
          <w:rFonts w:ascii="宋体" w:eastAsia="宋体" w:hAnsi="宋体" w:hint="eastAsia"/>
          <w:b/>
          <w:bCs/>
          <w:sz w:val="28"/>
          <w:szCs w:val="28"/>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32" w:name="_Hlk71926094"/>
      <w:r>
        <w:rPr>
          <w:rFonts w:ascii="宋体" w:eastAsia="宋体" w:hAnsi="宋体" w:hint="eastAsia"/>
          <w:b/>
          <w:bCs/>
          <w:sz w:val="28"/>
          <w:szCs w:val="28"/>
          <w:lang w:eastAsia="zh-CN"/>
        </w:rPr>
        <w:t>对通用条款的补充内容及其他关键信息</w:t>
      </w:r>
      <w:bookmarkEnd w:id="32"/>
    </w:p>
    <w:p>
      <w:pPr>
        <w:keepNext/>
        <w:keepLines/>
        <w:widowControl w:val="0"/>
        <w:adjustRightInd w:val="0"/>
        <w:spacing w:before="156" w:beforeLines="50" w:after="156" w:afterLines="50"/>
        <w:jc w:val="center"/>
        <w:textAlignment w:val="baseline"/>
        <w:outlineLvl w:val="2"/>
        <w:rPr>
          <w:rFonts w:ascii="宋体" w:eastAsia="宋体" w:hAnsi="宋体"/>
          <w:b/>
          <w:bCs/>
          <w:lang w:eastAsia="zh-CN"/>
        </w:rPr>
      </w:pPr>
      <w:bookmarkStart w:id="33" w:name="_Toc100052364"/>
      <w:bookmarkStart w:id="34" w:name="_Toc60560625"/>
      <w:bookmarkStart w:id="35" w:name="_Toc60631620"/>
      <w:bookmarkStart w:id="36" w:name="_Toc73521635"/>
      <w:bookmarkStart w:id="37" w:name="_Toc73521547"/>
      <w:bookmarkStart w:id="38" w:name="_Toc73518117"/>
      <w:bookmarkStart w:id="39" w:name="_Toc101074876"/>
      <w:bookmarkStart w:id="40" w:name="_Toc73517639"/>
      <w:r>
        <w:rPr>
          <w:rFonts w:ascii="宋体" w:eastAsia="宋体" w:hAnsi="宋体" w:hint="eastAsia"/>
          <w:b/>
          <w:bCs/>
          <w:lang w:eastAsia="zh-CN"/>
        </w:rPr>
        <w:t>一、对通用条款的补充内容</w:t>
      </w:r>
    </w:p>
    <w:bookmarkEnd w:id="33"/>
    <w:bookmarkEnd w:id="34"/>
    <w:bookmarkEnd w:id="35"/>
    <w:bookmarkEnd w:id="36"/>
    <w:bookmarkEnd w:id="37"/>
    <w:bookmarkEnd w:id="38"/>
    <w:bookmarkEnd w:id="39"/>
    <w:bookmarkEnd w:id="40"/>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699"/>
        <w:gridCol w:w="1763"/>
        <w:gridCol w:w="648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b/>
                <w:bCs/>
                <w:kern w:val="2"/>
                <w:lang w:eastAsia="zh-CN"/>
              </w:rPr>
            </w:pPr>
            <w:r>
              <w:rPr>
                <w:rFonts w:ascii="宋体" w:eastAsia="宋体" w:hAnsi="宋体" w:cs="宋体" w:hint="eastAsia"/>
                <w:b/>
                <w:bCs/>
                <w:kern w:val="2"/>
                <w:lang w:eastAsia="zh-CN"/>
              </w:rPr>
              <w:t>序号</w:t>
            </w:r>
          </w:p>
        </w:tc>
        <w:tc>
          <w:tcPr>
            <w:tcW w:w="1784"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b/>
                <w:bCs/>
                <w:kern w:val="2"/>
                <w:lang w:eastAsia="zh-CN"/>
              </w:rPr>
            </w:pPr>
            <w:r>
              <w:rPr>
                <w:rFonts w:ascii="宋体" w:eastAsia="宋体" w:hAnsi="宋体" w:cs="宋体" w:hint="eastAsia"/>
                <w:b/>
                <w:bCs/>
                <w:kern w:val="2"/>
                <w:lang w:eastAsia="zh-CN"/>
              </w:rPr>
              <w:t>内   容</w:t>
            </w:r>
          </w:p>
        </w:tc>
        <w:tc>
          <w:tcPr>
            <w:tcW w:w="6572"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b/>
                <w:bCs/>
                <w:kern w:val="2"/>
                <w:lang w:eastAsia="zh-CN"/>
              </w:rPr>
            </w:pPr>
            <w:r>
              <w:rPr>
                <w:rFonts w:ascii="宋体" w:eastAsia="宋体" w:hAnsi="宋体" w:cs="宋体" w:hint="eastAsia"/>
                <w:b/>
                <w:bCs/>
                <w:kern w:val="2"/>
                <w:lang w:eastAsia="zh-CN"/>
              </w:rPr>
              <w:t>规      定</w:t>
            </w:r>
          </w:p>
        </w:tc>
      </w:tr>
      <w:tr>
        <w:tblPrEx>
          <w:tblW w:w="5000" w:type="pct"/>
          <w:jc w:val="center"/>
          <w:tblLayout w:type="fixed"/>
          <w:tblCellMar>
            <w:top w:w="0" w:type="dxa"/>
            <w:left w:w="108" w:type="dxa"/>
            <w:bottom w:w="0" w:type="dxa"/>
            <w:right w:w="108" w:type="dxa"/>
          </w:tblCellMar>
        </w:tblPrEx>
        <w:trPr>
          <w:cantSplit/>
          <w:trHeight w:val="90"/>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1784" w:type="dxa"/>
            <w:noWrap w:val="0"/>
            <w:vAlign w:val="center"/>
          </w:tcPr>
          <w:p>
            <w:pPr>
              <w:pageBreakBefore w:val="0"/>
              <w:widowControl w:val="0"/>
              <w:kinsoku/>
              <w:overflowPunct/>
              <w:topLinePunct w:val="0"/>
              <w:bidi w:val="0"/>
              <w:spacing w:line="240" w:lineRule="auto"/>
              <w:jc w:val="center"/>
              <w:rPr>
                <w:rFonts w:ascii="宋体" w:eastAsia="宋体" w:hAnsi="宋体" w:cs="宋体" w:hint="eastAsia"/>
                <w:kern w:val="2"/>
                <w:lang w:eastAsia="zh-CN"/>
              </w:rPr>
            </w:pPr>
            <w:bookmarkStart w:id="41" w:name="OLE_LINK6"/>
            <w:r>
              <w:rPr>
                <w:rFonts w:ascii="宋体" w:eastAsia="宋体" w:hAnsi="宋体" w:cs="宋体" w:hint="eastAsia"/>
                <w:kern w:val="2"/>
                <w:lang w:eastAsia="zh-CN"/>
              </w:rPr>
              <w:t>招标人</w:t>
            </w:r>
            <w:bookmarkEnd w:id="41"/>
          </w:p>
        </w:tc>
        <w:tc>
          <w:tcPr>
            <w:tcW w:w="6572" w:type="dxa"/>
            <w:noWrap w:val="0"/>
            <w:vAlign w:val="center"/>
          </w:tcPr>
          <w:p>
            <w:pPr>
              <w:pageBreakBefore w:val="0"/>
              <w:widowControl w:val="0"/>
              <w:kinsoku/>
              <w:overflowPunct/>
              <w:topLinePunct w:val="0"/>
              <w:bidi w:val="0"/>
              <w:spacing w:line="240" w:lineRule="auto"/>
              <w:jc w:val="both"/>
              <w:rPr>
                <w:rFonts w:ascii="宋体" w:eastAsia="宋体" w:hAnsi="宋体" w:cs="宋体"/>
                <w:kern w:val="2"/>
                <w:lang w:eastAsia="zh-CN"/>
              </w:rPr>
            </w:pPr>
            <w:r>
              <w:rPr>
                <w:rFonts w:ascii="宋体" w:eastAsia="宋体" w:hAnsi="宋体" w:cs="宋体" w:hint="eastAsia"/>
                <w:kern w:val="2"/>
                <w:lang w:eastAsia="zh-CN"/>
              </w:rPr>
              <w:t>深圳市罗湖区清水河街道</w:t>
            </w:r>
            <w:r>
              <w:rPr>
                <w:rFonts w:ascii="宋体" w:eastAsia="宋体" w:hAnsi="宋体" w:cs="宋体" w:hint="eastAsia"/>
                <w:kern w:val="2"/>
                <w:lang w:eastAsia="zh-CN"/>
              </w:rPr>
              <w:t>办事处</w:t>
            </w:r>
          </w:p>
        </w:tc>
      </w:tr>
      <w:tr>
        <w:tblPrEx>
          <w:tblW w:w="5000" w:type="pct"/>
          <w:jc w:val="center"/>
          <w:tblLayout w:type="fixed"/>
          <w:tblCellMar>
            <w:top w:w="0" w:type="dxa"/>
            <w:left w:w="108" w:type="dxa"/>
            <w:bottom w:w="0" w:type="dxa"/>
            <w:right w:w="108" w:type="dxa"/>
          </w:tblCellMar>
        </w:tblPrEx>
        <w:trPr>
          <w:cantSplit/>
          <w:trHeight w:val="20"/>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2</w:t>
            </w:r>
          </w:p>
        </w:tc>
        <w:tc>
          <w:tcPr>
            <w:tcW w:w="1784" w:type="dxa"/>
            <w:noWrap w:val="0"/>
            <w:vAlign w:val="center"/>
          </w:tcPr>
          <w:p>
            <w:pPr>
              <w:pageBreakBefore w:val="0"/>
              <w:widowControl w:val="0"/>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项目名称</w:t>
            </w:r>
          </w:p>
        </w:tc>
        <w:tc>
          <w:tcPr>
            <w:tcW w:w="6572" w:type="dxa"/>
            <w:noWrap w:val="0"/>
            <w:vAlign w:val="center"/>
          </w:tcPr>
          <w:p>
            <w:pPr>
              <w:pageBreakBefore w:val="0"/>
              <w:widowControl w:val="0"/>
              <w:kinsoku/>
              <w:overflowPunct/>
              <w:topLinePunct w:val="0"/>
              <w:bidi w:val="0"/>
              <w:spacing w:line="240" w:lineRule="auto"/>
              <w:jc w:val="both"/>
              <w:rPr>
                <w:rFonts w:ascii="宋体" w:eastAsia="宋体" w:hAnsi="宋体" w:cs="宋体" w:hint="eastAsia"/>
                <w:kern w:val="2"/>
                <w:lang w:eastAsia="zh-CN"/>
              </w:rPr>
            </w:pPr>
            <w:r>
              <w:rPr>
                <w:rFonts w:ascii="宋体" w:eastAsia="宋体" w:hAnsi="宋体" w:cs="宋体" w:hint="eastAsia"/>
                <w:kern w:val="2"/>
                <w:lang w:eastAsia="zh-CN"/>
              </w:rPr>
              <w:t>清水河街道社区综合服务体公建民营项目</w:t>
            </w:r>
          </w:p>
        </w:tc>
      </w:tr>
      <w:tr>
        <w:tblPrEx>
          <w:tblW w:w="5000" w:type="pct"/>
          <w:jc w:val="center"/>
          <w:tblLayout w:type="fixed"/>
          <w:tblCellMar>
            <w:top w:w="0" w:type="dxa"/>
            <w:left w:w="108" w:type="dxa"/>
            <w:bottom w:w="0" w:type="dxa"/>
            <w:right w:w="108" w:type="dxa"/>
          </w:tblCellMar>
        </w:tblPrEx>
        <w:trPr>
          <w:cantSplit/>
          <w:trHeight w:val="516"/>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1784" w:type="dxa"/>
            <w:noWrap w:val="0"/>
            <w:vAlign w:val="center"/>
          </w:tcPr>
          <w:p>
            <w:pPr>
              <w:pageBreakBefore w:val="0"/>
              <w:widowControl w:val="0"/>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开标一览表填写</w:t>
            </w:r>
          </w:p>
        </w:tc>
        <w:tc>
          <w:tcPr>
            <w:tcW w:w="6572" w:type="dxa"/>
            <w:noWrap w:val="0"/>
            <w:vAlign w:val="center"/>
          </w:tcPr>
          <w:p>
            <w:pPr>
              <w:pageBreakBefore w:val="0"/>
              <w:widowControl w:val="0"/>
              <w:kinsoku/>
              <w:overflowPunct/>
              <w:topLinePunct w:val="0"/>
              <w:bidi w:val="0"/>
              <w:spacing w:line="240" w:lineRule="auto"/>
              <w:jc w:val="both"/>
              <w:rPr>
                <w:rFonts w:ascii="宋体" w:eastAsia="宋体" w:hAnsi="宋体" w:cs="宋体" w:hint="eastAsia"/>
                <w:kern w:val="2"/>
                <w:lang w:eastAsia="zh-CN"/>
              </w:rPr>
            </w:pPr>
            <w:r>
              <w:rPr>
                <w:rFonts w:ascii="宋体" w:eastAsia="宋体" w:hAnsi="宋体" w:cs="宋体" w:hint="eastAsia"/>
                <w:kern w:val="2"/>
                <w:lang w:eastAsia="zh-CN"/>
              </w:rPr>
              <w:t>本项目为运营权招标，</w:t>
            </w:r>
            <w:r>
              <w:rPr>
                <w:rFonts w:ascii="宋体" w:eastAsia="宋体" w:hAnsi="宋体" w:cs="宋体" w:hint="eastAsia"/>
                <w:snapToGrid w:val="0"/>
                <w:lang w:eastAsia="zh-CN"/>
              </w:rPr>
              <w:t>开标一览表的填写不做要求，评审委员会不得以开标一览表的填写问题为由判定投标人投标无效。</w:t>
            </w:r>
          </w:p>
        </w:tc>
      </w:tr>
      <w:tr>
        <w:tblPrEx>
          <w:tblW w:w="5000" w:type="pct"/>
          <w:jc w:val="center"/>
          <w:tblLayout w:type="fixed"/>
          <w:tblCellMar>
            <w:top w:w="0" w:type="dxa"/>
            <w:left w:w="108" w:type="dxa"/>
            <w:bottom w:w="0" w:type="dxa"/>
            <w:right w:w="108" w:type="dxa"/>
          </w:tblCellMar>
        </w:tblPrEx>
        <w:trPr>
          <w:cantSplit/>
          <w:trHeight w:val="516"/>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4</w:t>
            </w:r>
          </w:p>
        </w:tc>
        <w:tc>
          <w:tcPr>
            <w:tcW w:w="1784" w:type="dxa"/>
            <w:noWrap w:val="0"/>
            <w:vAlign w:val="center"/>
          </w:tcPr>
          <w:p>
            <w:pPr>
              <w:pageBreakBefore w:val="0"/>
              <w:widowControl w:val="0"/>
              <w:kinsoku/>
              <w:overflowPunct/>
              <w:topLinePunct w:val="0"/>
              <w:bidi w:val="0"/>
              <w:spacing w:line="240" w:lineRule="auto"/>
              <w:jc w:val="center"/>
              <w:rPr>
                <w:rFonts w:ascii="宋体" w:eastAsia="宋体" w:hAnsi="宋体" w:cs="宋体"/>
                <w:kern w:val="2"/>
                <w:lang w:eastAsia="zh-CN"/>
              </w:rPr>
            </w:pPr>
            <w:r>
              <w:rPr>
                <w:rFonts w:ascii="宋体" w:eastAsia="宋体" w:hAnsi="宋体" w:cs="宋体" w:hint="eastAsia"/>
                <w:kern w:val="2"/>
                <w:lang w:eastAsia="zh-CN"/>
              </w:rPr>
              <w:t>投标保证金</w:t>
            </w:r>
          </w:p>
        </w:tc>
        <w:tc>
          <w:tcPr>
            <w:tcW w:w="6572" w:type="dxa"/>
            <w:noWrap w:val="0"/>
            <w:vAlign w:val="center"/>
          </w:tcPr>
          <w:p>
            <w:pPr>
              <w:pageBreakBefore w:val="0"/>
              <w:widowControl w:val="0"/>
              <w:kinsoku/>
              <w:overflowPunct/>
              <w:topLinePunct w:val="0"/>
              <w:bidi w:val="0"/>
              <w:spacing w:line="240" w:lineRule="auto"/>
              <w:jc w:val="both"/>
              <w:rPr>
                <w:rFonts w:ascii="宋体" w:eastAsia="宋体" w:hAnsi="宋体" w:cs="宋体"/>
                <w:kern w:val="2"/>
                <w:lang w:eastAsia="zh-CN"/>
              </w:rPr>
            </w:pPr>
            <w:r>
              <w:rPr>
                <w:rFonts w:ascii="宋体" w:eastAsia="宋体" w:hAnsi="宋体" w:cs="宋体" w:hint="eastAsia"/>
                <w:kern w:val="2"/>
                <w:lang w:eastAsia="zh-CN"/>
              </w:rPr>
              <w:t>本项目无投标保证金</w:t>
            </w:r>
          </w:p>
        </w:tc>
      </w:tr>
      <w:tr>
        <w:tblPrEx>
          <w:tblW w:w="5000" w:type="pct"/>
          <w:jc w:val="center"/>
          <w:tblLayout w:type="fixed"/>
          <w:tblCellMar>
            <w:top w:w="0" w:type="dxa"/>
            <w:left w:w="108" w:type="dxa"/>
            <w:bottom w:w="0" w:type="dxa"/>
            <w:right w:w="108" w:type="dxa"/>
          </w:tblCellMar>
        </w:tblPrEx>
        <w:trPr>
          <w:cantSplit/>
          <w:trHeight w:val="20"/>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1784" w:type="dxa"/>
            <w:noWrap w:val="0"/>
            <w:vAlign w:val="center"/>
          </w:tcPr>
          <w:p>
            <w:pPr>
              <w:pageBreakBefore w:val="0"/>
              <w:widowControl w:val="0"/>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投标报价</w:t>
            </w:r>
          </w:p>
        </w:tc>
        <w:tc>
          <w:tcPr>
            <w:tcW w:w="6572" w:type="dxa"/>
            <w:noWrap w:val="0"/>
            <w:vAlign w:val="center"/>
          </w:tcPr>
          <w:p>
            <w:pPr>
              <w:pageBreakBefore w:val="0"/>
              <w:widowControl w:val="0"/>
              <w:kinsoku/>
              <w:overflowPunct/>
              <w:topLinePunct w:val="0"/>
              <w:bidi w:val="0"/>
              <w:spacing w:line="240" w:lineRule="auto"/>
              <w:jc w:val="both"/>
              <w:rPr>
                <w:rFonts w:ascii="宋体" w:eastAsia="宋体" w:hAnsi="宋体" w:cs="宋体" w:hint="eastAsia"/>
                <w:kern w:val="2"/>
                <w:lang w:eastAsia="zh-CN"/>
              </w:rPr>
            </w:pPr>
            <w:r>
              <w:rPr>
                <w:rFonts w:ascii="宋体" w:eastAsia="宋体" w:hAnsi="宋体" w:cs="宋体" w:hint="eastAsia"/>
                <w:kern w:val="2"/>
                <w:lang w:eastAsia="zh-CN"/>
              </w:rPr>
              <w:t>投标人为本项目承诺每平方米投入的功能优化资金金额报价不低于3000元/平方米，提供的政策性养老床位数量不少于10张，否则将作为投标无效处理。</w:t>
            </w:r>
          </w:p>
          <w:p>
            <w:pPr>
              <w:pageBreakBefore w:val="0"/>
              <w:widowControl w:val="0"/>
              <w:kinsoku/>
              <w:overflowPunct/>
              <w:topLinePunct w:val="0"/>
              <w:bidi w:val="0"/>
              <w:spacing w:line="240" w:lineRule="auto"/>
              <w:jc w:val="both"/>
              <w:rPr>
                <w:rFonts w:ascii="宋体" w:eastAsia="宋体" w:hAnsi="宋体" w:cs="宋体" w:hint="eastAsia"/>
                <w:kern w:val="2"/>
                <w:lang w:eastAsia="zh-CN"/>
              </w:rPr>
            </w:pPr>
            <w:r>
              <w:rPr>
                <w:rFonts w:ascii="宋体" w:eastAsia="宋体" w:hAnsi="宋体" w:cs="宋体" w:hint="eastAsia"/>
                <w:kern w:val="2"/>
                <w:lang w:eastAsia="zh-CN"/>
              </w:rPr>
              <w:t>具体投标报价详见“项目报价表”。</w:t>
            </w:r>
          </w:p>
        </w:tc>
      </w:tr>
      <w:tr>
        <w:tblPrEx>
          <w:tblW w:w="5000" w:type="pct"/>
          <w:jc w:val="center"/>
          <w:tblLayout w:type="fixed"/>
          <w:tblCellMar>
            <w:top w:w="0" w:type="dxa"/>
            <w:left w:w="108" w:type="dxa"/>
            <w:bottom w:w="0" w:type="dxa"/>
            <w:right w:w="108" w:type="dxa"/>
          </w:tblCellMar>
        </w:tblPrEx>
        <w:trPr>
          <w:cantSplit/>
          <w:trHeight w:val="20"/>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6</w:t>
            </w:r>
          </w:p>
        </w:tc>
        <w:tc>
          <w:tcPr>
            <w:tcW w:w="1784" w:type="dxa"/>
            <w:noWrap w:val="0"/>
            <w:vAlign w:val="center"/>
          </w:tcPr>
          <w:p>
            <w:pPr>
              <w:pageBreakBefore w:val="0"/>
              <w:widowControl w:val="0"/>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投标人的资格要求</w:t>
            </w:r>
          </w:p>
        </w:tc>
        <w:tc>
          <w:tcPr>
            <w:tcW w:w="6572" w:type="dxa"/>
            <w:noWrap w:val="0"/>
            <w:vAlign w:val="center"/>
          </w:tcPr>
          <w:p>
            <w:pPr>
              <w:pageBreakBefore w:val="0"/>
              <w:widowControl w:val="0"/>
              <w:kinsoku/>
              <w:overflowPunct/>
              <w:topLinePunct w:val="0"/>
              <w:bidi w:val="0"/>
              <w:spacing w:line="240" w:lineRule="auto"/>
              <w:jc w:val="both"/>
              <w:rPr>
                <w:rFonts w:ascii="宋体" w:eastAsia="宋体" w:hAnsi="宋体" w:cs="宋体" w:hint="eastAsia"/>
                <w:kern w:val="2"/>
                <w:lang w:eastAsia="zh-CN"/>
              </w:rPr>
            </w:pPr>
            <w:r>
              <w:rPr>
                <w:rFonts w:ascii="宋体" w:eastAsia="宋体" w:hAnsi="宋体" w:cs="宋体" w:hint="eastAsia"/>
                <w:kern w:val="2"/>
                <w:lang w:eastAsia="zh-CN"/>
              </w:rPr>
              <w:t>详见“招标公告”。</w:t>
            </w:r>
          </w:p>
        </w:tc>
      </w:tr>
      <w:tr>
        <w:tblPrEx>
          <w:tblW w:w="5000" w:type="pct"/>
          <w:jc w:val="center"/>
          <w:tblLayout w:type="fixed"/>
          <w:tblCellMar>
            <w:top w:w="0" w:type="dxa"/>
            <w:left w:w="108" w:type="dxa"/>
            <w:bottom w:w="0" w:type="dxa"/>
            <w:right w:w="108" w:type="dxa"/>
          </w:tblCellMar>
        </w:tblPrEx>
        <w:trPr>
          <w:cantSplit/>
          <w:trHeight w:val="20"/>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7</w:t>
            </w:r>
          </w:p>
        </w:tc>
        <w:tc>
          <w:tcPr>
            <w:tcW w:w="1784" w:type="dxa"/>
            <w:noWrap w:val="0"/>
            <w:vAlign w:val="center"/>
          </w:tcPr>
          <w:p>
            <w:pPr>
              <w:pageBreakBefore w:val="0"/>
              <w:widowControl w:val="0"/>
              <w:kinsoku/>
              <w:overflowPunct/>
              <w:topLinePunct w:val="0"/>
              <w:bidi w:val="0"/>
              <w:spacing w:line="240" w:lineRule="auto"/>
              <w:jc w:val="center"/>
              <w:rPr>
                <w:rFonts w:ascii="宋体" w:eastAsia="宋体" w:hAnsi="宋体" w:cs="宋体" w:hint="eastAsia"/>
                <w:kern w:val="2"/>
                <w:lang w:eastAsia="zh-CN"/>
              </w:rPr>
            </w:pPr>
            <w:r>
              <w:rPr>
                <w:rFonts w:ascii="宋体" w:eastAsia="宋体" w:hAnsi="宋体" w:cs="宋体" w:hint="eastAsia"/>
                <w:kern w:val="2"/>
                <w:lang w:eastAsia="zh-CN"/>
              </w:rPr>
              <w:t>联合体投标</w:t>
            </w:r>
          </w:p>
        </w:tc>
        <w:tc>
          <w:tcPr>
            <w:tcW w:w="6572" w:type="dxa"/>
            <w:noWrap w:val="0"/>
            <w:vAlign w:val="center"/>
          </w:tcPr>
          <w:p>
            <w:pPr>
              <w:pageBreakBefore w:val="0"/>
              <w:widowControl w:val="0"/>
              <w:kinsoku/>
              <w:overflowPunct/>
              <w:topLinePunct w:val="0"/>
              <w:bidi w:val="0"/>
              <w:spacing w:before="78" w:beforeLines="25" w:after="78" w:afterLines="25" w:line="240" w:lineRule="auto"/>
              <w:ind w:firstLine="0"/>
              <w:jc w:val="both"/>
              <w:rPr>
                <w:rFonts w:ascii="宋体" w:eastAsia="宋体" w:hAnsi="宋体" w:cs="宋体" w:hint="eastAsia"/>
                <w:kern w:val="2"/>
                <w:lang w:eastAsia="zh-CN"/>
              </w:rPr>
            </w:pPr>
            <w:r>
              <w:rPr>
                <w:rFonts w:ascii="宋体" w:eastAsia="宋体" w:hAnsi="宋体" w:cs="宋体" w:hint="eastAsia"/>
                <w:kern w:val="2"/>
                <w:lang w:eastAsia="zh-CN"/>
              </w:rPr>
              <w:t>本项目</w:t>
            </w:r>
            <w:r>
              <w:rPr>
                <w:rFonts w:ascii="宋体" w:eastAsia="宋体" w:hAnsi="宋体" w:cs="宋体" w:hint="eastAsia"/>
                <w:lang w:eastAsia="zh-CN"/>
              </w:rPr>
              <w:t>不接受</w:t>
            </w:r>
            <w:r>
              <w:rPr>
                <w:rFonts w:ascii="宋体" w:eastAsia="宋体" w:hAnsi="宋体" w:cs="宋体" w:hint="eastAsia"/>
                <w:kern w:val="2"/>
                <w:lang w:eastAsia="zh-CN"/>
              </w:rPr>
              <w:t>联合体投标。</w:t>
            </w:r>
          </w:p>
        </w:tc>
      </w:tr>
      <w:tr>
        <w:tblPrEx>
          <w:tblW w:w="5000" w:type="pct"/>
          <w:jc w:val="center"/>
          <w:tblLayout w:type="fixed"/>
          <w:tblCellMar>
            <w:top w:w="0" w:type="dxa"/>
            <w:left w:w="108" w:type="dxa"/>
            <w:bottom w:w="0" w:type="dxa"/>
            <w:right w:w="108" w:type="dxa"/>
          </w:tblCellMar>
        </w:tblPrEx>
        <w:trPr>
          <w:cantSplit/>
          <w:trHeight w:val="20"/>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8</w:t>
            </w:r>
          </w:p>
        </w:tc>
        <w:tc>
          <w:tcPr>
            <w:tcW w:w="1784"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投标有效期</w:t>
            </w:r>
          </w:p>
        </w:tc>
        <w:tc>
          <w:tcPr>
            <w:tcW w:w="6572" w:type="dxa"/>
            <w:noWrap w:val="0"/>
            <w:vAlign w:val="center"/>
          </w:tcPr>
          <w:p>
            <w:pPr>
              <w:pageBreakBefore w:val="0"/>
              <w:widowControl w:val="0"/>
              <w:kinsoku/>
              <w:overflowPunct/>
              <w:topLinePunct w:val="0"/>
              <w:bidi w:val="0"/>
              <w:spacing w:line="240" w:lineRule="auto"/>
              <w:ind w:right="2" w:rightChars="1"/>
              <w:jc w:val="both"/>
              <w:rPr>
                <w:rFonts w:ascii="宋体" w:eastAsia="宋体" w:hAnsi="宋体" w:cs="宋体" w:hint="eastAsia"/>
                <w:kern w:val="2"/>
                <w:lang w:eastAsia="zh-CN"/>
              </w:rPr>
            </w:pPr>
            <w:r>
              <w:rPr>
                <w:rFonts w:ascii="宋体" w:eastAsia="宋体" w:hAnsi="宋体" w:cs="宋体" w:hint="eastAsia"/>
                <w:kern w:val="2"/>
                <w:u w:val="single"/>
                <w:lang w:eastAsia="zh-CN"/>
              </w:rPr>
              <w:t>120日历天</w:t>
            </w:r>
            <w:r>
              <w:rPr>
                <w:rFonts w:ascii="宋体" w:eastAsia="宋体" w:hAnsi="宋体" w:cs="宋体" w:hint="eastAsia"/>
                <w:kern w:val="2"/>
                <w:lang w:eastAsia="zh-CN"/>
              </w:rPr>
              <w:t>（从投标截止之日算起）。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9</w:t>
            </w:r>
          </w:p>
        </w:tc>
        <w:tc>
          <w:tcPr>
            <w:tcW w:w="1784"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投标人的替代方案</w:t>
            </w:r>
          </w:p>
        </w:tc>
        <w:tc>
          <w:tcPr>
            <w:tcW w:w="6572" w:type="dxa"/>
            <w:noWrap w:val="0"/>
            <w:vAlign w:val="center"/>
          </w:tcPr>
          <w:p>
            <w:pPr>
              <w:pageBreakBefore w:val="0"/>
              <w:widowControl w:val="0"/>
              <w:kinsoku/>
              <w:overflowPunct/>
              <w:topLinePunct w:val="0"/>
              <w:bidi w:val="0"/>
              <w:spacing w:line="240" w:lineRule="auto"/>
              <w:ind w:right="2" w:rightChars="1"/>
              <w:jc w:val="both"/>
              <w:rPr>
                <w:rFonts w:ascii="宋体" w:eastAsia="宋体" w:hAnsi="宋体" w:cs="宋体" w:hint="eastAsia"/>
                <w:kern w:val="2"/>
                <w:lang w:eastAsia="zh-CN"/>
              </w:rPr>
            </w:pPr>
            <w:r>
              <w:rPr>
                <w:rFonts w:ascii="宋体" w:eastAsia="宋体" w:hAnsi="宋体" w:cs="宋体" w:hint="eastAsia"/>
                <w:kern w:val="2"/>
                <w:lang w:eastAsia="zh-CN"/>
              </w:rPr>
              <w:t>不允许。</w:t>
            </w:r>
          </w:p>
        </w:tc>
      </w:tr>
      <w:tr>
        <w:tblPrEx>
          <w:tblW w:w="5000" w:type="pct"/>
          <w:jc w:val="center"/>
          <w:tblLayout w:type="fixed"/>
          <w:tblCellMar>
            <w:top w:w="0" w:type="dxa"/>
            <w:left w:w="108" w:type="dxa"/>
            <w:bottom w:w="0" w:type="dxa"/>
            <w:right w:w="108" w:type="dxa"/>
          </w:tblCellMar>
        </w:tblPrEx>
        <w:trPr>
          <w:cantSplit/>
          <w:trHeight w:val="326"/>
          <w:jc w:val="center"/>
        </w:trPr>
        <w:tc>
          <w:tcPr>
            <w:tcW w:w="705" w:type="dxa"/>
            <w:tcBorders>
              <w:bottom w:val="single" w:sz="4" w:space="0" w:color="auto"/>
            </w:tcBorders>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10</w:t>
            </w:r>
          </w:p>
        </w:tc>
        <w:tc>
          <w:tcPr>
            <w:tcW w:w="1784" w:type="dxa"/>
            <w:tcBorders>
              <w:bottom w:val="single" w:sz="4" w:space="0" w:color="auto"/>
            </w:tcBorders>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投标文件的投递</w:t>
            </w:r>
          </w:p>
        </w:tc>
        <w:tc>
          <w:tcPr>
            <w:tcW w:w="6572" w:type="dxa"/>
            <w:tcBorders>
              <w:bottom w:val="single" w:sz="4" w:space="0" w:color="auto"/>
            </w:tcBorders>
            <w:noWrap w:val="0"/>
            <w:vAlign w:val="center"/>
          </w:tcPr>
          <w:p>
            <w:pPr>
              <w:pageBreakBefore w:val="0"/>
              <w:widowControl w:val="0"/>
              <w:kinsoku/>
              <w:overflowPunct/>
              <w:topLinePunct w:val="0"/>
              <w:bidi w:val="0"/>
              <w:spacing w:line="240" w:lineRule="auto"/>
              <w:ind w:right="2" w:rightChars="1"/>
              <w:jc w:val="both"/>
              <w:rPr>
                <w:rFonts w:ascii="宋体" w:eastAsia="宋体" w:hAnsi="宋体" w:cs="宋体" w:hint="eastAsia"/>
                <w:kern w:val="2"/>
                <w:lang w:eastAsia="zh-CN"/>
              </w:rPr>
            </w:pPr>
            <w:r>
              <w:rPr>
                <w:rFonts w:ascii="宋体" w:eastAsia="宋体" w:hAnsi="宋体" w:cs="宋体" w:hint="eastAsia"/>
                <w:kern w:val="2"/>
                <w:lang w:eastAsia="zh-CN"/>
              </w:rPr>
              <w:t>本项目实行网上投标，投标人必须在招标文件规定的投标截止时间前将编制好的电子投标文件上传，投标文件大小不得超过100MB。</w:t>
            </w:r>
          </w:p>
        </w:tc>
      </w:tr>
      <w:tr>
        <w:tblPrEx>
          <w:tblW w:w="5000" w:type="pct"/>
          <w:jc w:val="center"/>
          <w:tblLayout w:type="fixed"/>
          <w:tblCellMar>
            <w:top w:w="0" w:type="dxa"/>
            <w:left w:w="108" w:type="dxa"/>
            <w:bottom w:w="0" w:type="dxa"/>
            <w:right w:w="108" w:type="dxa"/>
          </w:tblCellMar>
        </w:tblPrEx>
        <w:trPr>
          <w:cantSplit/>
          <w:trHeight w:val="326"/>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kern w:val="2"/>
                <w:lang w:eastAsia="zh-CN"/>
              </w:rPr>
            </w:pPr>
            <w:r>
              <w:rPr>
                <w:rFonts w:ascii="宋体" w:eastAsia="宋体" w:hAnsi="宋体" w:cs="宋体" w:hint="eastAsia"/>
                <w:kern w:val="2"/>
                <w:lang w:eastAsia="zh-CN"/>
              </w:rPr>
              <w:t>11</w:t>
            </w:r>
          </w:p>
        </w:tc>
        <w:tc>
          <w:tcPr>
            <w:tcW w:w="1784"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项目类型及参照法规</w:t>
            </w:r>
          </w:p>
        </w:tc>
        <w:tc>
          <w:tcPr>
            <w:tcW w:w="6572" w:type="dxa"/>
            <w:noWrap w:val="0"/>
            <w:vAlign w:val="center"/>
          </w:tcPr>
          <w:p>
            <w:pPr>
              <w:pageBreakBefore w:val="0"/>
              <w:widowControl w:val="0"/>
              <w:kinsoku/>
              <w:overflowPunct/>
              <w:topLinePunct w:val="0"/>
              <w:bidi w:val="0"/>
              <w:spacing w:line="240" w:lineRule="auto"/>
              <w:ind w:right="2" w:rightChars="1"/>
              <w:jc w:val="both"/>
              <w:rPr>
                <w:rFonts w:ascii="宋体" w:eastAsia="宋体" w:hAnsi="宋体" w:cs="宋体" w:hint="eastAsia"/>
                <w:kern w:val="2"/>
                <w:lang w:eastAsia="zh-CN"/>
              </w:rPr>
            </w:pPr>
            <w:r>
              <w:rPr>
                <w:rFonts w:ascii="宋体" w:eastAsia="宋体" w:hAnsi="宋体" w:cs="宋体" w:hint="eastAsia"/>
                <w:kern w:val="2"/>
                <w:lang w:eastAsia="zh-CN"/>
              </w:rPr>
              <w:t>本项目为运营权项目，参照《中华人民共和国招标投标法》《中华人民共和国政府采购法》《</w:t>
            </w:r>
            <w:hyperlink r:id="rId4" w:tgtFrame="https://www.baidu.com/_blank" w:history="1">
              <w:r>
                <w:rPr>
                  <w:rFonts w:ascii="宋体" w:eastAsia="宋体" w:hAnsi="宋体" w:cs="宋体" w:hint="eastAsia"/>
                  <w:kern w:val="2"/>
                  <w:lang w:eastAsia="zh-CN"/>
                </w:rPr>
                <w:t>中华人民共和国民法典</w:t>
              </w:r>
            </w:hyperlink>
            <w:r>
              <w:rPr>
                <w:rFonts w:ascii="宋体" w:eastAsia="宋体" w:hAnsi="宋体" w:cs="宋体" w:hint="eastAsia"/>
                <w:kern w:val="2"/>
                <w:lang w:eastAsia="zh-CN"/>
              </w:rPr>
              <w:t>》，并参照有关法规、政策、规章、规定通过公开招标择优选定运营方。</w:t>
            </w:r>
          </w:p>
        </w:tc>
      </w:tr>
      <w:tr>
        <w:tblPrEx>
          <w:tblW w:w="5000" w:type="pct"/>
          <w:jc w:val="center"/>
          <w:tblLayout w:type="fixed"/>
          <w:tblCellMar>
            <w:top w:w="0" w:type="dxa"/>
            <w:left w:w="108" w:type="dxa"/>
            <w:bottom w:w="0" w:type="dxa"/>
            <w:right w:w="108" w:type="dxa"/>
          </w:tblCellMar>
        </w:tblPrEx>
        <w:trPr>
          <w:cantSplit/>
          <w:trHeight w:val="326"/>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kern w:val="2"/>
                <w:lang w:eastAsia="zh-CN"/>
              </w:rPr>
            </w:pPr>
            <w:r>
              <w:rPr>
                <w:rFonts w:ascii="宋体" w:eastAsia="宋体" w:hAnsi="宋体" w:cs="宋体" w:hint="eastAsia"/>
                <w:kern w:val="2"/>
                <w:lang w:eastAsia="zh-CN"/>
              </w:rPr>
              <w:t>12</w:t>
            </w:r>
          </w:p>
        </w:tc>
        <w:tc>
          <w:tcPr>
            <w:tcW w:w="1784"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b/>
                <w:bCs/>
                <w:kern w:val="2"/>
                <w:lang w:eastAsia="zh-CN"/>
              </w:rPr>
              <w:t>招标代理服务费</w:t>
            </w:r>
          </w:p>
        </w:tc>
        <w:tc>
          <w:tcPr>
            <w:tcW w:w="6572" w:type="dxa"/>
            <w:noWrap w:val="0"/>
            <w:vAlign w:val="center"/>
          </w:tcPr>
          <w:p>
            <w:pPr>
              <w:pageBreakBefore w:val="0"/>
              <w:widowControl w:val="0"/>
              <w:kinsoku/>
              <w:overflowPunct/>
              <w:topLinePunct w:val="0"/>
              <w:bidi w:val="0"/>
              <w:spacing w:line="240" w:lineRule="auto"/>
              <w:jc w:val="left"/>
              <w:rPr>
                <w:rFonts w:ascii="宋体" w:eastAsia="宋体" w:hAnsi="宋体" w:cs="宋体" w:hint="eastAsia"/>
                <w:bCs/>
                <w:kern w:val="2"/>
                <w:lang w:eastAsia="zh-CN"/>
              </w:rPr>
            </w:pPr>
            <w:r>
              <w:rPr>
                <w:rFonts w:ascii="宋体" w:eastAsia="宋体" w:hAnsi="宋体" w:cs="宋体" w:hint="eastAsia"/>
                <w:bCs/>
                <w:kern w:val="2"/>
                <w:lang w:eastAsia="zh-CN"/>
              </w:rPr>
              <w:t>本项目为运营权招标，招标代理费以</w:t>
            </w:r>
            <w:r>
              <w:rPr>
                <w:rFonts w:ascii="宋体" w:eastAsia="宋体" w:hAnsi="宋体" w:cs="宋体" w:hint="eastAsia"/>
                <w:bCs/>
                <w:kern w:val="2"/>
                <w:u w:val="single"/>
                <w:lang w:eastAsia="zh-CN"/>
              </w:rPr>
              <w:t>16644.8万元</w:t>
            </w:r>
            <w:r>
              <w:rPr>
                <w:rFonts w:ascii="宋体" w:eastAsia="宋体" w:hAnsi="宋体" w:cs="宋体" w:hint="eastAsia"/>
                <w:bCs/>
                <w:kern w:val="2"/>
                <w:lang w:eastAsia="zh-CN"/>
              </w:rPr>
              <w:t>为计费基数，根据《关于印发深圳交易集团有限公司（深圳公共资源交易中心）业务收费标准的通知》（深交易〔2023〕69号），按“经营权交易业务”计算，为</w:t>
            </w:r>
            <w:r>
              <w:rPr>
                <w:rFonts w:ascii="宋体" w:eastAsia="宋体" w:hAnsi="宋体" w:cs="宋体" w:hint="eastAsia"/>
                <w:bCs/>
                <w:kern w:val="2"/>
                <w:lang w:eastAsia="zh-CN"/>
              </w:rPr>
              <w:t>人民币</w:t>
            </w:r>
            <w:r>
              <w:rPr>
                <w:rFonts w:ascii="宋体" w:eastAsia="宋体" w:hAnsi="宋体" w:cs="宋体" w:hint="eastAsia"/>
                <w:bCs/>
                <w:kern w:val="2"/>
                <w:u w:val="single"/>
                <w:lang w:eastAsia="zh-CN"/>
              </w:rPr>
              <w:t>贰拾伍万贰仟柒佰贰拾肆元</w:t>
            </w:r>
            <w:r>
              <w:rPr>
                <w:rFonts w:ascii="宋体" w:eastAsia="宋体" w:hAnsi="宋体" w:cs="宋体" w:hint="eastAsia"/>
                <w:bCs/>
                <w:kern w:val="2"/>
                <w:lang w:eastAsia="zh-CN"/>
              </w:rPr>
              <w:t>（￥252724.00元），由中标人向招标代理机构支付。</w:t>
            </w:r>
          </w:p>
        </w:tc>
      </w:tr>
      <w:tr>
        <w:tblPrEx>
          <w:tblW w:w="5000" w:type="pct"/>
          <w:jc w:val="center"/>
          <w:tblLayout w:type="fixed"/>
          <w:tblCellMar>
            <w:top w:w="0" w:type="dxa"/>
            <w:left w:w="108" w:type="dxa"/>
            <w:bottom w:w="0" w:type="dxa"/>
            <w:right w:w="108" w:type="dxa"/>
          </w:tblCellMar>
        </w:tblPrEx>
        <w:trPr>
          <w:cantSplit/>
          <w:trHeight w:val="326"/>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kern w:val="2"/>
                <w:lang w:eastAsia="zh-CN"/>
              </w:rPr>
            </w:pPr>
            <w:r>
              <w:rPr>
                <w:rFonts w:ascii="宋体" w:eastAsia="宋体" w:hAnsi="宋体" w:cs="宋体" w:hint="eastAsia"/>
                <w:kern w:val="2"/>
                <w:lang w:eastAsia="zh-CN"/>
              </w:rPr>
              <w:t>13</w:t>
            </w:r>
          </w:p>
        </w:tc>
        <w:tc>
          <w:tcPr>
            <w:tcW w:w="1784"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b/>
                <w:bCs/>
                <w:kern w:val="2"/>
                <w:lang w:eastAsia="zh-CN"/>
              </w:rPr>
              <w:t>是否</w:t>
            </w:r>
            <w:bookmarkStart w:id="42" w:name="OLE_LINK12"/>
            <w:r>
              <w:rPr>
                <w:rFonts w:ascii="宋体" w:eastAsia="宋体" w:hAnsi="宋体" w:cs="宋体" w:hint="eastAsia"/>
                <w:b/>
                <w:bCs/>
                <w:kern w:val="2"/>
                <w:lang w:eastAsia="zh-CN"/>
              </w:rPr>
              <w:t>评定分离</w:t>
            </w:r>
            <w:bookmarkEnd w:id="42"/>
          </w:p>
        </w:tc>
        <w:tc>
          <w:tcPr>
            <w:tcW w:w="6572" w:type="dxa"/>
            <w:noWrap w:val="0"/>
            <w:vAlign w:val="center"/>
          </w:tcPr>
          <w:p>
            <w:pPr>
              <w:widowControl w:val="0"/>
              <w:jc w:val="both"/>
              <w:rPr>
                <w:rFonts w:ascii="宋体" w:eastAsia="宋体" w:hAnsi="宋体" w:cs="宋体"/>
                <w:b/>
                <w:kern w:val="2"/>
                <w:lang w:eastAsia="zh-CN"/>
              </w:rPr>
            </w:pPr>
            <w:r>
              <w:rPr>
                <w:rFonts w:ascii="宋体" w:eastAsia="宋体" w:hAnsi="宋体" w:cs="宋体" w:hint="eastAsia"/>
                <w:lang w:eastAsia="zh-CN"/>
              </w:rPr>
              <w:t>是</w:t>
            </w:r>
          </w:p>
        </w:tc>
      </w:tr>
      <w:tr>
        <w:tblPrEx>
          <w:tblW w:w="5000" w:type="pct"/>
          <w:jc w:val="center"/>
          <w:tblLayout w:type="fixed"/>
          <w:tblCellMar>
            <w:top w:w="0" w:type="dxa"/>
            <w:left w:w="108" w:type="dxa"/>
            <w:bottom w:w="0" w:type="dxa"/>
            <w:right w:w="108" w:type="dxa"/>
          </w:tblCellMar>
        </w:tblPrEx>
        <w:trPr>
          <w:cantSplit/>
          <w:trHeight w:val="596"/>
          <w:jc w:val="center"/>
        </w:trPr>
        <w:tc>
          <w:tcPr>
            <w:tcW w:w="705"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kern w:val="2"/>
                <w:lang w:eastAsia="zh-CN"/>
              </w:rPr>
            </w:pPr>
            <w:r>
              <w:rPr>
                <w:rFonts w:ascii="宋体" w:eastAsia="宋体" w:hAnsi="宋体" w:cs="宋体" w:hint="eastAsia"/>
                <w:kern w:val="2"/>
                <w:lang w:eastAsia="zh-CN"/>
              </w:rPr>
              <w:t>14</w:t>
            </w:r>
          </w:p>
        </w:tc>
        <w:tc>
          <w:tcPr>
            <w:tcW w:w="1784" w:type="dxa"/>
            <w:noWrap w:val="0"/>
            <w:vAlign w:val="center"/>
          </w:tcPr>
          <w:p>
            <w:pPr>
              <w:pageBreakBefore w:val="0"/>
              <w:widowControl w:val="0"/>
              <w:kinsoku/>
              <w:overflowPunct/>
              <w:topLinePunct w:val="0"/>
              <w:bidi w:val="0"/>
              <w:spacing w:line="240" w:lineRule="auto"/>
              <w:ind w:right="2" w:rightChars="1"/>
              <w:jc w:val="center"/>
              <w:rPr>
                <w:rFonts w:ascii="宋体" w:eastAsia="宋体" w:hAnsi="宋体" w:cs="宋体" w:hint="eastAsia"/>
                <w:kern w:val="2"/>
                <w:lang w:eastAsia="zh-CN"/>
              </w:rPr>
            </w:pPr>
            <w:r>
              <w:rPr>
                <w:rFonts w:ascii="宋体" w:eastAsia="宋体" w:hAnsi="宋体" w:cs="宋体" w:hint="eastAsia"/>
                <w:b/>
                <w:bCs/>
                <w:kern w:val="2"/>
                <w:lang w:eastAsia="zh-CN"/>
              </w:rPr>
              <w:t>履约担保</w:t>
            </w:r>
          </w:p>
        </w:tc>
        <w:tc>
          <w:tcPr>
            <w:tcW w:w="6572" w:type="dxa"/>
            <w:noWrap w:val="0"/>
            <w:vAlign w:val="center"/>
          </w:tcPr>
          <w:p>
            <w:pPr>
              <w:pageBreakBefore w:val="0"/>
              <w:widowControl w:val="0"/>
              <w:kinsoku/>
              <w:overflowPunct/>
              <w:topLinePunct w:val="0"/>
              <w:bidi w:val="0"/>
              <w:spacing w:line="240" w:lineRule="auto"/>
              <w:ind w:right="2" w:rightChars="1"/>
              <w:jc w:val="both"/>
              <w:rPr>
                <w:rFonts w:ascii="宋体" w:eastAsia="宋体" w:hAnsi="宋体" w:cs="宋体" w:hint="eastAsia"/>
                <w:lang w:eastAsia="zh-CN"/>
              </w:rPr>
            </w:pPr>
            <w:r>
              <w:rPr>
                <w:rFonts w:ascii="宋体" w:eastAsia="宋体" w:hAnsi="宋体" w:cs="宋体" w:hint="eastAsia"/>
                <w:kern w:val="2"/>
                <w:lang w:eastAsia="zh-CN"/>
              </w:rPr>
              <w:t>需要，（具体安排见“二、其他关键信息”章节）</w:t>
            </w:r>
          </w:p>
        </w:tc>
      </w:tr>
    </w:tbl>
    <w:p>
      <w:pPr>
        <w:widowControl/>
        <w:jc w:val="center"/>
        <w:rPr>
          <w:rFonts w:ascii="Calibri" w:eastAsia="宋体" w:hAnsi="Calibri" w:hint="eastAsia"/>
          <w:kern w:val="2"/>
          <w:sz w:val="21"/>
          <w:szCs w:val="21"/>
          <w:lang w:eastAsia="zh-CN"/>
        </w:rPr>
      </w:pPr>
    </w:p>
    <w:p>
      <w:pPr>
        <w:keepNext/>
        <w:keepLines/>
        <w:widowControl w:val="0"/>
        <w:adjustRightInd w:val="0"/>
        <w:spacing w:before="156" w:beforeLines="50" w:after="156"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kern w:val="2"/>
          <w:szCs w:val="22"/>
          <w:lang w:eastAsia="zh-CN"/>
        </w:rPr>
      </w:pPr>
      <w:r>
        <w:rPr>
          <w:rFonts w:ascii="黑体" w:eastAsia="黑体" w:hAnsi="宋体" w:hint="eastAsia"/>
          <w:kern w:val="2"/>
          <w:szCs w:val="22"/>
          <w:lang w:eastAsia="zh-CN"/>
        </w:rPr>
        <w:t>（一）</w:t>
      </w:r>
      <w:r>
        <w:rPr>
          <w:rFonts w:ascii="黑体" w:eastAsia="黑体" w:hAnsi="宋体" w:hint="eastAsia"/>
          <w:bCs/>
          <w:kern w:val="2"/>
          <w:szCs w:val="22"/>
          <w:lang w:eastAsia="zh-CN"/>
        </w:rPr>
        <w:t>与“对通用条款的补充内容”章节相关的事项</w:t>
      </w:r>
    </w:p>
    <w:p>
      <w:pPr>
        <w:widowControl w:val="0"/>
        <w:tabs>
          <w:tab w:val="left" w:pos="720"/>
        </w:tabs>
        <w:ind w:firstLine="480" w:firstLineChars="200"/>
        <w:jc w:val="both"/>
        <w:rPr>
          <w:rFonts w:ascii="宋体" w:eastAsia="宋体" w:hAnsi="宋体" w:cs="宋体" w:hint="eastAsia"/>
          <w:b/>
          <w:bCs/>
          <w:kern w:val="2"/>
          <w:lang w:eastAsia="zh-CN"/>
        </w:rPr>
      </w:pPr>
    </w:p>
    <w:p>
      <w:pPr>
        <w:widowControl w:val="0"/>
        <w:tabs>
          <w:tab w:val="left" w:pos="720"/>
        </w:tabs>
        <w:ind w:firstLine="480" w:firstLineChars="200"/>
        <w:jc w:val="both"/>
        <w:rPr>
          <w:rFonts w:ascii="Calibri" w:eastAsia="宋体" w:hAnsi="Calibri"/>
          <w:kern w:val="2"/>
          <w:sz w:val="21"/>
          <w:szCs w:val="22"/>
          <w:lang w:eastAsia="zh-CN"/>
        </w:rPr>
      </w:pPr>
      <w:r>
        <w:rPr>
          <w:rFonts w:ascii="宋体" w:eastAsia="宋体" w:hAnsi="宋体" w:cs="宋体" w:hint="eastAsia"/>
          <w:b/>
          <w:bCs/>
          <w:kern w:val="2"/>
          <w:lang w:eastAsia="zh-CN"/>
        </w:rPr>
        <w:t>1、</w:t>
      </w:r>
      <w:r>
        <w:rPr>
          <w:rFonts w:ascii="黑体" w:eastAsia="黑体" w:hAnsi="宋体" w:hint="eastAsia"/>
          <w:bCs/>
          <w:kern w:val="2"/>
          <w:szCs w:val="22"/>
          <w:lang w:eastAsia="zh-CN"/>
        </w:rPr>
        <w:t>评标定标信息</w:t>
      </w:r>
    </w:p>
    <w:p>
      <w:pPr>
        <w:widowControl w:val="0"/>
        <w:jc w:val="center"/>
        <w:rPr>
          <w:rFonts w:ascii="Calibri" w:eastAsia="宋体" w:hAnsi="Calibri"/>
          <w:b/>
          <w:kern w:val="2"/>
          <w:sz w:val="21"/>
          <w:szCs w:val="22"/>
          <w:lang w:eastAsia="zh-CN"/>
        </w:rPr>
      </w:pPr>
      <w:r>
        <w:rPr>
          <w:rFonts w:ascii="Calibri" w:eastAsia="宋体" w:hAnsi="Calibri" w:hint="eastAsia"/>
          <w:b/>
          <w:kern w:val="2"/>
          <w:sz w:val="21"/>
          <w:szCs w:val="22"/>
          <w:lang w:eastAsia="zh-CN"/>
        </w:rPr>
        <w:t>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73"/>
        <w:gridCol w:w="447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noWrap w:val="0"/>
            <w:vAlign w:val="top"/>
          </w:tcPr>
          <w:p>
            <w:pPr>
              <w:jc w:val="center"/>
              <w:rPr>
                <w:rFonts w:ascii="Calibri" w:hAnsi="Calibri"/>
                <w:b/>
                <w:bCs/>
                <w:kern w:val="2"/>
                <w:sz w:val="21"/>
                <w:szCs w:val="22"/>
                <w:lang w:eastAsia="zh-CN"/>
              </w:rPr>
            </w:pPr>
            <w:r>
              <w:rPr>
                <w:rFonts w:ascii="Calibri" w:hAnsi="Calibri" w:hint="eastAsia"/>
                <w:b/>
                <w:bCs/>
                <w:kern w:val="2"/>
                <w:sz w:val="21"/>
                <w:szCs w:val="22"/>
                <w:lang w:eastAsia="zh-CN"/>
              </w:rPr>
              <w:t>评标方法</w:t>
            </w:r>
          </w:p>
        </w:tc>
        <w:tc>
          <w:tcPr>
            <w:tcW w:w="4265" w:type="dxa"/>
            <w:noWrap w:val="0"/>
            <w:vAlign w:val="top"/>
          </w:tcPr>
          <w:p>
            <w:pPr>
              <w:jc w:val="center"/>
              <w:rPr>
                <w:rFonts w:ascii="Calibri" w:hAnsi="Calibri"/>
                <w:kern w:val="2"/>
                <w:sz w:val="21"/>
                <w:szCs w:val="22"/>
                <w:lang w:eastAsia="zh-CN"/>
              </w:rPr>
            </w:pPr>
            <w:r>
              <w:rPr>
                <w:rFonts w:ascii="Calibri" w:hAnsi="Calibr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rFonts w:ascii="Calibri" w:hAnsi="Calibri"/>
                <w:b/>
                <w:bCs/>
                <w:kern w:val="2"/>
                <w:sz w:val="21"/>
                <w:szCs w:val="22"/>
                <w:lang w:eastAsia="zh-CN"/>
              </w:rPr>
            </w:pPr>
            <w:r>
              <w:rPr>
                <w:rFonts w:ascii="Calibri" w:hAnsi="Calibri" w:hint="eastAsia"/>
                <w:b/>
                <w:bCs/>
                <w:kern w:val="2"/>
                <w:sz w:val="21"/>
                <w:szCs w:val="22"/>
                <w:lang w:eastAsia="zh-CN"/>
              </w:rPr>
              <w:t>定标方法</w:t>
            </w:r>
          </w:p>
        </w:tc>
        <w:tc>
          <w:tcPr>
            <w:tcW w:w="4265" w:type="dxa"/>
            <w:noWrap w:val="0"/>
            <w:vAlign w:val="top"/>
          </w:tcPr>
          <w:p>
            <w:pPr>
              <w:jc w:val="center"/>
              <w:rPr>
                <w:rFonts w:ascii="Calibri" w:hAnsi="Calibri"/>
                <w:kern w:val="2"/>
                <w:sz w:val="21"/>
                <w:szCs w:val="22"/>
                <w:lang w:eastAsia="zh-CN"/>
              </w:rPr>
            </w:pPr>
            <w:r>
              <w:rPr>
                <w:rFonts w:ascii="Calibri" w:hAnsi="Calibri" w:hint="eastAsia"/>
                <w:kern w:val="2"/>
                <w:sz w:val="21"/>
                <w:szCs w:val="22"/>
                <w:lang w:eastAsia="zh-CN"/>
              </w:rPr>
              <w:t>自定法</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rFonts w:ascii="Calibri" w:hAnsi="Calibri"/>
                <w:b/>
                <w:bCs/>
                <w:kern w:val="2"/>
                <w:sz w:val="21"/>
                <w:szCs w:val="22"/>
                <w:lang w:eastAsia="zh-CN"/>
              </w:rPr>
            </w:pPr>
            <w:r>
              <w:rPr>
                <w:rFonts w:ascii="Calibri" w:hAnsi="Calibri" w:hint="eastAsia"/>
                <w:b/>
                <w:bCs/>
                <w:kern w:val="2"/>
                <w:sz w:val="21"/>
                <w:szCs w:val="22"/>
                <w:lang w:eastAsia="zh-CN"/>
              </w:rPr>
              <w:t>推荐候选中标人家数</w:t>
            </w:r>
          </w:p>
        </w:tc>
        <w:tc>
          <w:tcPr>
            <w:tcW w:w="4265" w:type="dxa"/>
            <w:noWrap w:val="0"/>
            <w:vAlign w:val="top"/>
          </w:tcPr>
          <w:p>
            <w:pPr>
              <w:jc w:val="center"/>
              <w:rPr>
                <w:rFonts w:ascii="Calibri" w:hAnsi="Calibri"/>
                <w:kern w:val="2"/>
                <w:sz w:val="21"/>
                <w:szCs w:val="22"/>
                <w:lang w:eastAsia="zh-CN"/>
              </w:rPr>
            </w:pPr>
            <w:r>
              <w:rPr>
                <w:rFonts w:ascii="Calibri" w:hAnsi="Calibr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rFonts w:ascii="Calibri" w:hAnsi="Calibri"/>
                <w:b/>
                <w:bCs/>
                <w:kern w:val="2"/>
                <w:sz w:val="21"/>
                <w:szCs w:val="22"/>
                <w:lang w:eastAsia="zh-CN"/>
              </w:rPr>
            </w:pPr>
            <w:r>
              <w:rPr>
                <w:rFonts w:ascii="Calibri" w:hAnsi="Calibri" w:hint="eastAsia"/>
                <w:b/>
                <w:bCs/>
                <w:kern w:val="2"/>
                <w:sz w:val="21"/>
                <w:szCs w:val="22"/>
                <w:lang w:eastAsia="zh-CN"/>
              </w:rPr>
              <w:t>中标人家数</w:t>
            </w:r>
          </w:p>
        </w:tc>
        <w:tc>
          <w:tcPr>
            <w:tcW w:w="4265" w:type="dxa"/>
            <w:noWrap w:val="0"/>
            <w:vAlign w:val="top"/>
          </w:tcPr>
          <w:p>
            <w:pPr>
              <w:jc w:val="center"/>
              <w:rPr>
                <w:rFonts w:ascii="Calibri" w:hAnsi="Calibri"/>
                <w:kern w:val="2"/>
                <w:sz w:val="21"/>
                <w:szCs w:val="22"/>
                <w:lang w:eastAsia="zh-CN"/>
              </w:rPr>
            </w:pPr>
            <w:r>
              <w:rPr>
                <w:rFonts w:ascii="Calibri" w:hAnsi="Calibri" w:hint="eastAsia"/>
                <w:kern w:val="2"/>
                <w:sz w:val="21"/>
                <w:szCs w:val="22"/>
                <w:lang w:eastAsia="zh-CN"/>
              </w:rPr>
              <w:t>1</w:t>
            </w:r>
          </w:p>
        </w:tc>
      </w:tr>
    </w:tbl>
    <w:p>
      <w:pPr>
        <w:widowControl w:val="0"/>
        <w:tabs>
          <w:tab w:val="left" w:pos="720"/>
        </w:tabs>
        <w:jc w:val="both"/>
        <w:rPr>
          <w:rFonts w:ascii="黑体" w:eastAsia="黑体" w:hAnsi="宋体" w:hint="eastAsia"/>
          <w:bCs/>
          <w:kern w:val="2"/>
          <w:szCs w:val="22"/>
          <w:lang w:eastAsia="zh-CN"/>
        </w:rPr>
      </w:pPr>
    </w:p>
    <w:p>
      <w:pPr>
        <w:pageBreakBefore w:val="0"/>
        <w:widowControl w:val="0"/>
        <w:kinsoku/>
        <w:overflowPunct/>
        <w:topLinePunct w:val="0"/>
        <w:autoSpaceDE/>
        <w:autoSpaceDN/>
        <w:bidi w:val="0"/>
        <w:spacing w:line="400" w:lineRule="exact"/>
        <w:ind w:firstLine="480" w:firstLineChars="200"/>
        <w:jc w:val="both"/>
        <w:rPr>
          <w:rFonts w:ascii="宋体" w:eastAsia="宋体" w:hAnsi="宋体" w:cs="宋体" w:hint="eastAsia"/>
          <w:b/>
          <w:bCs/>
          <w:kern w:val="2"/>
          <w:lang w:eastAsia="zh-CN"/>
        </w:rPr>
      </w:pPr>
      <w:r>
        <w:rPr>
          <w:rFonts w:ascii="宋体" w:eastAsia="宋体" w:hAnsi="宋体" w:cs="宋体" w:hint="eastAsia"/>
          <w:b/>
          <w:kern w:val="2"/>
          <w:lang w:eastAsia="zh-CN"/>
        </w:rPr>
        <w:t>2、履约担保</w:t>
      </w:r>
    </w:p>
    <w:p>
      <w:pPr>
        <w:pageBreakBefore w:val="0"/>
        <w:widowControl/>
        <w:numPr>
          <w:ilvl w:val="0"/>
          <w:numId w:val="0"/>
        </w:numPr>
        <w:shd w:val="clear" w:color="000000" w:fill="auto"/>
        <w:kinsoku/>
        <w:overflowPunct/>
        <w:topLinePunct/>
        <w:autoSpaceDE/>
        <w:autoSpaceDN/>
        <w:bidi w:val="0"/>
        <w:spacing w:before="31" w:after="31" w:line="240" w:lineRule="auto"/>
        <w:ind w:left="0" w:firstLine="480" w:firstLineChars="200"/>
        <w:jc w:val="both"/>
        <w:rPr>
          <w:rFonts w:ascii="宋体" w:eastAsia="宋体" w:hAnsi="宋体" w:cs="宋体"/>
          <w:b/>
          <w:kern w:val="2"/>
          <w:lang w:eastAsia="zh-CN"/>
        </w:rPr>
      </w:pPr>
      <w:r>
        <w:rPr>
          <w:rFonts w:ascii="宋体" w:eastAsia="宋体" w:hAnsi="宋体" w:cs="宋体" w:hint="eastAsia"/>
          <w:kern w:val="2"/>
          <w:szCs w:val="22"/>
          <w:lang w:eastAsia="zh-CN"/>
        </w:rPr>
        <w:t>本项目的履约担保体系主要包括运营维护保函及移交维修保函，具体的提供、担保事项及解除，详见</w:t>
      </w:r>
      <w:r>
        <w:rPr>
          <w:rFonts w:ascii="宋体" w:eastAsia="宋体" w:hAnsi="宋体" w:cs="宋体" w:hint="eastAsia"/>
          <w:kern w:val="2"/>
          <w:szCs w:val="22"/>
          <w:lang w:eastAsia="zh-CN"/>
        </w:rPr>
        <w:t>招标文件</w:t>
      </w:r>
      <w:r>
        <w:rPr>
          <w:rFonts w:ascii="宋体" w:eastAsia="宋体" w:hAnsi="宋体" w:cs="宋体" w:hint="eastAsia"/>
          <w:kern w:val="2"/>
          <w:szCs w:val="22"/>
          <w:lang w:eastAsia="zh-CN"/>
        </w:rPr>
        <w:t>7.3履约保障边界</w:t>
      </w:r>
      <w:r>
        <w:rPr>
          <w:rFonts w:ascii="宋体" w:eastAsia="宋体" w:hAnsi="宋体" w:cs="宋体" w:hint="eastAsia"/>
          <w:kern w:val="2"/>
          <w:szCs w:val="22"/>
          <w:lang w:eastAsia="zh-CN"/>
        </w:rPr>
        <w:t>以及附件</w:t>
      </w:r>
      <w:r>
        <w:rPr>
          <w:rFonts w:ascii="宋体" w:eastAsia="宋体" w:hAnsi="宋体" w:cs="宋体" w:hint="eastAsia"/>
          <w:kern w:val="2"/>
          <w:szCs w:val="22"/>
          <w:lang w:eastAsia="zh-CN"/>
        </w:rPr>
        <w:t>《清水河街道社区综合服务体公建民营项目运营合同（草案）》</w:t>
      </w:r>
      <w:r>
        <w:rPr>
          <w:rFonts w:ascii="宋体" w:eastAsia="宋体" w:hAnsi="宋体" w:cs="宋体" w:hint="eastAsia"/>
          <w:kern w:val="2"/>
          <w:szCs w:val="22"/>
          <w:lang w:eastAsia="zh-CN"/>
        </w:rPr>
        <w:t>相关条款。</w:t>
      </w:r>
    </w:p>
    <w:p>
      <w:pPr>
        <w:pageBreakBefore w:val="0"/>
        <w:widowControl w:val="0"/>
        <w:numPr>
          <w:ilvl w:val="0"/>
          <w:numId w:val="0"/>
        </w:numPr>
        <w:kinsoku/>
        <w:overflowPunct/>
        <w:topLinePunct w:val="0"/>
        <w:autoSpaceDE/>
        <w:autoSpaceDN/>
        <w:bidi w:val="0"/>
        <w:spacing w:line="400" w:lineRule="exact"/>
        <w:ind w:left="0"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3、本项目为代理服务项目，将向中标（成交）人收取代理服务费。</w:t>
      </w:r>
    </w:p>
    <w:p>
      <w:pPr>
        <w:pageBreakBefore w:val="0"/>
        <w:widowControl w:val="0"/>
        <w:numPr>
          <w:ilvl w:val="0"/>
          <w:numId w:val="0"/>
        </w:numPr>
        <w:kinsoku/>
        <w:overflowPunct/>
        <w:topLinePunct w:val="0"/>
        <w:autoSpaceDE/>
        <w:autoSpaceDN/>
        <w:bidi w:val="0"/>
        <w:spacing w:line="400" w:lineRule="exact"/>
        <w:ind w:left="0"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（1）本项目招标代理服务费由中标人支付。中标人须以银行转账方式向深圳交易集团有限公司罗湖分公司缴纳代理费，具体要求以缴费通知书为准。</w:t>
      </w:r>
    </w:p>
    <w:p>
      <w:pPr>
        <w:pageBreakBefore w:val="0"/>
        <w:widowControl w:val="0"/>
        <w:kinsoku/>
        <w:overflowPunct/>
        <w:topLinePunct w:val="0"/>
        <w:autoSpaceDE/>
        <w:autoSpaceDN/>
        <w:bidi w:val="0"/>
        <w:spacing w:line="40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（2）本项目招标代理服务费按照</w:t>
      </w:r>
      <w:r>
        <w:rPr>
          <w:rFonts w:ascii="宋体" w:eastAsia="宋体" w:hAnsi="宋体" w:cs="宋体" w:hint="eastAsia"/>
          <w:bCs/>
          <w:kern w:val="2"/>
          <w:lang w:eastAsia="zh-CN"/>
        </w:rPr>
        <w:t>《关于印发深圳交易集团有限公司（深圳公共资源交易中心）业务收费标准的通知》（深交易〔2023〕69号）</w:t>
      </w:r>
      <w:r>
        <w:rPr>
          <w:rFonts w:ascii="宋体" w:eastAsia="宋体" w:hAnsi="宋体" w:cs="宋体" w:hint="eastAsia"/>
          <w:kern w:val="2"/>
          <w:lang w:eastAsia="zh-CN"/>
        </w:rPr>
        <w:t>中“经营权交易业务”的收费标准，以差额定率累进法计算收取。</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99"/>
        <w:gridCol w:w="464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noWrap w:val="0"/>
            <w:vAlign w:val="center"/>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计费基数（万元）</w:t>
            </w:r>
          </w:p>
        </w:tc>
        <w:tc>
          <w:tcPr>
            <w:tcW w:w="4166" w:type="dxa"/>
            <w:tcBorders>
              <w:top w:val="single" w:sz="4" w:space="0" w:color="auto"/>
              <w:left w:val="single" w:sz="4" w:space="0" w:color="auto"/>
              <w:bottom w:val="single" w:sz="4" w:space="0" w:color="auto"/>
              <w:right w:val="single" w:sz="4" w:space="0" w:color="auto"/>
            </w:tcBorders>
            <w:noWrap w:val="0"/>
            <w:vAlign w:val="center"/>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服务招标收费费率</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100以下</w:t>
            </w:r>
          </w:p>
        </w:tc>
        <w:tc>
          <w:tcPr>
            <w:tcW w:w="4166"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1.50%</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100-500</w:t>
            </w:r>
          </w:p>
        </w:tc>
        <w:tc>
          <w:tcPr>
            <w:tcW w:w="4166"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0.80%</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500-1000</w:t>
            </w:r>
          </w:p>
        </w:tc>
        <w:tc>
          <w:tcPr>
            <w:tcW w:w="4166"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0.45%</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1000-5000</w:t>
            </w:r>
          </w:p>
        </w:tc>
        <w:tc>
          <w:tcPr>
            <w:tcW w:w="4166"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0.25%</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5000-10000</w:t>
            </w:r>
          </w:p>
        </w:tc>
        <w:tc>
          <w:tcPr>
            <w:tcW w:w="4166"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0.10%</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10000-50000</w:t>
            </w:r>
          </w:p>
        </w:tc>
        <w:tc>
          <w:tcPr>
            <w:tcW w:w="4166"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0.05%</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50000-100000</w:t>
            </w:r>
          </w:p>
        </w:tc>
        <w:tc>
          <w:tcPr>
            <w:tcW w:w="4166"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0.035%</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100000-500000</w:t>
            </w:r>
          </w:p>
        </w:tc>
        <w:tc>
          <w:tcPr>
            <w:tcW w:w="4166"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0.008%</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500000-1000000</w:t>
            </w:r>
          </w:p>
        </w:tc>
        <w:tc>
          <w:tcPr>
            <w:tcW w:w="4166"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0.006%</w:t>
            </w:r>
          </w:p>
        </w:tc>
      </w:tr>
      <w:tr>
        <w:tblPrEx>
          <w:tblW w:w="5000" w:type="pct"/>
          <w:jc w:val="center"/>
          <w:tblLayout w:type="fixed"/>
          <w:tblCellMar>
            <w:top w:w="0" w:type="dxa"/>
            <w:left w:w="108" w:type="dxa"/>
            <w:bottom w:w="0" w:type="dxa"/>
            <w:right w:w="108" w:type="dxa"/>
          </w:tblCellMar>
        </w:tblPrEx>
        <w:trPr>
          <w:trHeight w:val="453"/>
          <w:jc w:val="center"/>
        </w:trPr>
        <w:tc>
          <w:tcPr>
            <w:tcW w:w="3853"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1000000以上</w:t>
            </w:r>
          </w:p>
        </w:tc>
        <w:tc>
          <w:tcPr>
            <w:tcW w:w="4166" w:type="dxa"/>
            <w:tcBorders>
              <w:top w:val="single" w:sz="4" w:space="0" w:color="auto"/>
              <w:left w:val="single" w:sz="4" w:space="0" w:color="auto"/>
              <w:bottom w:val="single" w:sz="4" w:space="0" w:color="auto"/>
              <w:right w:val="single" w:sz="4" w:space="0" w:color="auto"/>
            </w:tcBorders>
            <w:noWrap w:val="0"/>
            <w:vAlign w:val="top"/>
          </w:tcPr>
          <w:p>
            <w:pPr>
              <w:pageBreakBefore w:val="0"/>
              <w:widowControl w:val="0"/>
              <w:kinsoku/>
              <w:overflowPunct/>
              <w:topLinePunct w:val="0"/>
              <w:autoSpaceDE/>
              <w:autoSpaceDN/>
              <w:bidi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0.004%</w:t>
            </w:r>
          </w:p>
        </w:tc>
      </w:tr>
    </w:tbl>
    <w:p>
      <w:pPr>
        <w:pageBreakBefore w:val="0"/>
        <w:widowControl w:val="0"/>
        <w:numPr>
          <w:ilvl w:val="0"/>
          <w:numId w:val="0"/>
        </w:numPr>
        <w:kinsoku/>
        <w:overflowPunct/>
        <w:topLinePunct w:val="0"/>
        <w:autoSpaceDE/>
        <w:autoSpaceDN/>
        <w:bidi w:val="0"/>
        <w:spacing w:line="400" w:lineRule="exact"/>
        <w:ind w:left="0"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本项目为运营资格招标，招标代理费以</w:t>
      </w:r>
      <w:r>
        <w:rPr>
          <w:rFonts w:ascii="宋体" w:eastAsia="宋体" w:hAnsi="宋体" w:cs="宋体" w:hint="eastAsia"/>
          <w:b/>
          <w:kern w:val="2"/>
          <w:u w:val="single"/>
          <w:lang w:eastAsia="zh-CN"/>
        </w:rPr>
        <w:t>16644.8万元</w:t>
      </w:r>
      <w:r>
        <w:rPr>
          <w:rFonts w:ascii="宋体" w:eastAsia="宋体" w:hAnsi="宋体" w:cs="宋体" w:hint="eastAsia"/>
          <w:b/>
          <w:kern w:val="2"/>
          <w:lang w:eastAsia="zh-CN"/>
        </w:rPr>
        <w:t>为计费基数，根据《关于印发深圳交易集团有限公司（深圳公共资源交易中心）业务收费标准的通知》（深交易〔2023〕69号），按“经营权交易业务”计算，为人民币</w:t>
      </w:r>
      <w:r>
        <w:rPr>
          <w:rFonts w:ascii="宋体" w:eastAsia="宋体" w:hAnsi="宋体" w:cs="宋体" w:hint="eastAsia"/>
          <w:b/>
          <w:kern w:val="2"/>
          <w:u w:val="single"/>
          <w:lang w:eastAsia="zh-CN"/>
        </w:rPr>
        <w:t>贰拾伍万贰仟柒佰贰拾肆</w:t>
      </w:r>
      <w:r>
        <w:rPr>
          <w:rFonts w:ascii="宋体" w:eastAsia="宋体" w:hAnsi="宋体" w:cs="宋体" w:hint="eastAsia"/>
          <w:b/>
          <w:kern w:val="2"/>
          <w:u w:val="single"/>
          <w:lang w:eastAsia="zh-CN"/>
        </w:rPr>
        <w:t>元</w:t>
      </w:r>
      <w:r>
        <w:rPr>
          <w:rFonts w:ascii="宋体" w:eastAsia="宋体" w:hAnsi="宋体" w:cs="宋体" w:hint="eastAsia"/>
          <w:b/>
          <w:kern w:val="2"/>
          <w:lang w:eastAsia="zh-CN"/>
        </w:rPr>
        <w:t>（￥252724</w:t>
      </w:r>
      <w:r>
        <w:rPr>
          <w:rFonts w:ascii="宋体" w:eastAsia="宋体" w:hAnsi="宋体" w:cs="宋体" w:hint="eastAsia"/>
          <w:b/>
          <w:kern w:val="2"/>
          <w:lang w:eastAsia="zh-CN"/>
        </w:rPr>
        <w:t>.00</w:t>
      </w:r>
      <w:r>
        <w:rPr>
          <w:rFonts w:ascii="宋体" w:eastAsia="宋体" w:hAnsi="宋体" w:cs="宋体" w:hint="eastAsia"/>
          <w:b/>
          <w:kern w:val="2"/>
          <w:lang w:eastAsia="zh-CN"/>
        </w:rPr>
        <w:t>元），由中标人向招标代理机构支付。</w:t>
      </w:r>
    </w:p>
    <w:p>
      <w:pPr>
        <w:widowControl w:val="0"/>
        <w:spacing w:line="360" w:lineRule="auto"/>
        <w:jc w:val="both"/>
        <w:rPr>
          <w:rFonts w:ascii="宋体" w:eastAsia="宋体" w:hAnsi="宋体" w:hint="eastAsia"/>
          <w:kern w:val="2"/>
          <w:szCs w:val="21"/>
          <w:lang w:eastAsia="zh-CN"/>
        </w:rPr>
      </w:pPr>
    </w:p>
    <w:p>
      <w:pPr>
        <w:widowControl w:val="0"/>
        <w:spacing w:line="360" w:lineRule="auto"/>
        <w:jc w:val="both"/>
        <w:rPr>
          <w:rFonts w:ascii="宋体" w:eastAsia="宋体" w:hAnsi="宋体" w:hint="eastAsia"/>
          <w:kern w:val="2"/>
          <w:szCs w:val="21"/>
          <w:lang w:eastAsia="zh-CN"/>
        </w:rPr>
      </w:pPr>
    </w:p>
    <w:p>
      <w:pPr>
        <w:widowControl w:val="0"/>
        <w:spacing w:line="360" w:lineRule="auto"/>
        <w:jc w:val="both"/>
        <w:rPr>
          <w:rFonts w:ascii="宋体" w:eastAsia="宋体" w:hAnsi="宋体" w:hint="eastAsia"/>
          <w:kern w:val="2"/>
          <w:szCs w:val="21"/>
          <w:lang w:eastAsia="zh-CN"/>
        </w:rPr>
      </w:pPr>
    </w:p>
    <w:p>
      <w:pPr>
        <w:widowControl w:val="0"/>
        <w:spacing w:line="360" w:lineRule="auto"/>
        <w:jc w:val="both"/>
        <w:rPr>
          <w:rFonts w:ascii="宋体" w:eastAsia="宋体" w:hAnsi="宋体" w:hint="eastAsia"/>
          <w:kern w:val="2"/>
          <w:szCs w:val="21"/>
          <w:lang w:eastAsia="zh-CN"/>
        </w:rPr>
      </w:pPr>
    </w:p>
    <w:p>
      <w:pPr>
        <w:widowControl w:val="0"/>
        <w:spacing w:line="360" w:lineRule="auto"/>
        <w:jc w:val="both"/>
        <w:rPr>
          <w:rFonts w:ascii="宋体" w:eastAsia="宋体" w:hAnsi="宋体" w:hint="eastAsia"/>
          <w:kern w:val="2"/>
          <w:szCs w:val="21"/>
          <w:lang w:eastAsia="zh-CN"/>
        </w:rPr>
      </w:pPr>
    </w:p>
    <w:p>
      <w:pPr>
        <w:widowControl w:val="0"/>
        <w:spacing w:line="360" w:lineRule="auto"/>
        <w:jc w:val="both"/>
        <w:rPr>
          <w:rFonts w:ascii="宋体" w:eastAsia="宋体" w:hAnsi="宋体" w:hint="eastAsia"/>
          <w:kern w:val="2"/>
          <w:szCs w:val="21"/>
          <w:lang w:eastAsia="zh-CN"/>
        </w:rPr>
      </w:pPr>
    </w:p>
    <w:p>
      <w:pPr>
        <w:widowControl w:val="0"/>
        <w:spacing w:line="360" w:lineRule="auto"/>
        <w:jc w:val="both"/>
        <w:rPr>
          <w:rFonts w:ascii="宋体" w:eastAsia="宋体" w:hAnsi="宋体" w:hint="eastAsia"/>
          <w:kern w:val="2"/>
          <w:szCs w:val="21"/>
          <w:lang w:eastAsia="zh-CN"/>
        </w:rPr>
      </w:pPr>
    </w:p>
    <w:p>
      <w:pPr>
        <w:widowControl w:val="0"/>
        <w:jc w:val="both"/>
        <w:rPr>
          <w:rFonts w:ascii="宋体" w:eastAsia="宋体" w:hAnsi="宋体" w:hint="eastAsia"/>
          <w:b/>
          <w:bCs/>
          <w:sz w:val="28"/>
          <w:szCs w:val="28"/>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br w:type="page"/>
      </w:r>
      <w:r>
        <w:rPr>
          <w:rFonts w:ascii="宋体" w:eastAsia="宋体" w:hAnsi="宋体" w:hint="eastAsia"/>
          <w:b/>
          <w:bCs/>
          <w:sz w:val="28"/>
          <w:szCs w:val="28"/>
          <w:lang w:eastAsia="zh-CN"/>
        </w:rPr>
        <w:t>第三章 用户需求书</w:t>
      </w:r>
    </w:p>
    <w:p>
      <w:pPr>
        <w:pageBreakBefore w:val="0"/>
        <w:widowControl w:val="0"/>
        <w:kinsoku/>
        <w:overflowPunct/>
        <w:topLinePunct w:val="0"/>
        <w:autoSpaceDE/>
        <w:autoSpaceDN/>
        <w:bidi w:val="0"/>
        <w:spacing w:before="260" w:after="260" w:line="400" w:lineRule="exact"/>
        <w:jc w:val="center"/>
        <w:outlineLvl w:val="2"/>
        <w:rPr>
          <w:rFonts w:ascii="宋体" w:eastAsia="宋体" w:hAnsi="宋体" w:cs="宋体" w:hint="eastAsia"/>
          <w:b/>
          <w:bCs/>
          <w:kern w:val="2"/>
          <w:lang w:eastAsia="zh-CN"/>
        </w:rPr>
      </w:pPr>
      <w:r>
        <w:rPr>
          <w:rFonts w:ascii="宋体" w:eastAsia="宋体" w:hAnsi="宋体" w:cs="宋体" w:hint="eastAsia"/>
          <w:b/>
          <w:bCs/>
          <w:kern w:val="2"/>
          <w:lang w:eastAsia="zh-CN"/>
        </w:rPr>
        <w:t>一、项目基本信息</w:t>
      </w:r>
    </w:p>
    <w:p>
      <w:pPr>
        <w:keepNext/>
        <w:keepLines/>
        <w:pageBreakBefore w:val="0"/>
        <w:kinsoku/>
        <w:wordWrap/>
        <w:overflowPunct/>
        <w:topLinePunct w:val="0"/>
        <w:autoSpaceDE/>
        <w:autoSpaceDN/>
        <w:bidi w:val="0"/>
        <w:adjustRightInd/>
        <w:snapToGrid/>
        <w:spacing w:before="0" w:after="0" w:line="140" w:lineRule="auto"/>
        <w:ind w:firstLine="420" w:firstLineChars="200"/>
        <w:jc w:val="both"/>
        <w:textAlignment w:val="auto"/>
        <w:outlineLvl w:val="3"/>
        <w:rPr>
          <w:rFonts w:ascii="宋体" w:eastAsia="宋体" w:hAnsi="宋体" w:cs="宋体" w:hint="eastAsia"/>
          <w:b/>
          <w:bCs/>
          <w:kern w:val="44"/>
          <w:sz w:val="21"/>
          <w:szCs w:val="21"/>
        </w:rPr>
      </w:pPr>
      <w:bookmarkStart w:id="43" w:name="_Toc460976724"/>
      <w:bookmarkStart w:id="44" w:name="_Toc181310751"/>
      <w:bookmarkStart w:id="45" w:name="_Toc469658402"/>
      <w:bookmarkStart w:id="46" w:name="_Toc108531493"/>
      <w:bookmarkStart w:id="47" w:name="_Toc457474997"/>
      <w:bookmarkStart w:id="48" w:name="_Toc256000017"/>
      <w:r>
        <w:rPr>
          <w:rFonts w:ascii="宋体" w:eastAsia="宋体" w:hAnsi="宋体" w:cs="宋体" w:hint="eastAsia"/>
          <w:b/>
          <w:bCs/>
          <w:sz w:val="21"/>
          <w:szCs w:val="21"/>
          <w:lang w:eastAsia="zh-CN"/>
        </w:rPr>
        <w:t>1</w:t>
      </w:r>
      <w:r>
        <w:rPr>
          <w:rFonts w:ascii="宋体" w:eastAsia="宋体" w:hAnsi="宋体" w:cs="宋体" w:hint="eastAsia"/>
          <w:b/>
          <w:bCs/>
          <w:sz w:val="21"/>
          <w:szCs w:val="21"/>
        </w:rPr>
        <w:t>.1项目</w:t>
      </w:r>
      <w:bookmarkEnd w:id="43"/>
      <w:r>
        <w:rPr>
          <w:rFonts w:ascii="宋体" w:eastAsia="宋体" w:hAnsi="宋体" w:cs="宋体" w:hint="eastAsia"/>
          <w:b/>
          <w:bCs/>
          <w:sz w:val="21"/>
          <w:szCs w:val="21"/>
        </w:rPr>
        <w:t>背景</w:t>
      </w:r>
      <w:bookmarkEnd w:id="44"/>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为落实二十届三中全会关于“加强财政资源和预算统筹”“健全社会力量参与……加强普惠育幼服务体系建设”“优化基本养老服务供给”等精神，进一步牢固树立“大财政、大预算、大资产”理念，高效利用区属社区配套和公共服务用房（以下简称“社区公配物业”），减少财政对社区公配物业的投入，降低行政运行成本，提升社区公配物业的使用效益，更好发挥社区公配物业的公益性，在区委区政府的领导下，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计划高效利用缙山府小区社区公配物业建设社区综合服务体。</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计划高效利用缙山府小区社区公配物业建设，打造全覆盖、多层次“医、康、养、托、体、教、游”七位一体高度融合新模式于一体社区综合服务体，打造罗湖区社区嵌入式服务设施示范标杆项目。</w:t>
      </w:r>
    </w:p>
    <w:p>
      <w:pPr>
        <w:keepNext/>
        <w:keepLines/>
        <w:pageBreakBefore w:val="0"/>
        <w:kinsoku/>
        <w:wordWrap/>
        <w:overflowPunct/>
        <w:topLinePunct w:val="0"/>
        <w:autoSpaceDE/>
        <w:autoSpaceDN/>
        <w:bidi w:val="0"/>
        <w:adjustRightInd/>
        <w:snapToGrid/>
        <w:spacing w:before="0" w:after="0" w:line="140" w:lineRule="auto"/>
        <w:ind w:firstLine="420" w:firstLineChars="200"/>
        <w:jc w:val="both"/>
        <w:textAlignment w:val="auto"/>
        <w:outlineLvl w:val="3"/>
        <w:rPr>
          <w:rFonts w:ascii="宋体" w:eastAsia="宋体" w:hAnsi="宋体" w:cs="宋体" w:hint="eastAsia"/>
          <w:b/>
          <w:bCs/>
          <w:sz w:val="21"/>
          <w:szCs w:val="21"/>
        </w:rPr>
      </w:pPr>
      <w:bookmarkStart w:id="49" w:name="_Toc181310752"/>
      <w:r>
        <w:rPr>
          <w:rFonts w:ascii="宋体" w:eastAsia="宋体" w:hAnsi="宋体" w:cs="宋体" w:hint="eastAsia"/>
          <w:b/>
          <w:bCs/>
          <w:sz w:val="21"/>
          <w:szCs w:val="21"/>
          <w:lang w:eastAsia="zh-CN"/>
        </w:rPr>
        <w:t>1</w:t>
      </w:r>
      <w:r>
        <w:rPr>
          <w:rFonts w:ascii="宋体" w:eastAsia="宋体" w:hAnsi="宋体" w:cs="宋体" w:hint="eastAsia"/>
          <w:b/>
          <w:bCs/>
          <w:sz w:val="21"/>
          <w:szCs w:val="21"/>
        </w:rPr>
        <w:t>.2项目服务范围</w:t>
      </w:r>
      <w:bookmarkEnd w:id="49"/>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为促进政府职能转变，发挥社会力量运营经验等优势，实现社区综合服务可持续发展，在项目合作期限内，由运营主体负责本项目的经营及运营维护任务。具体合作范围如下：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（1）功能优化</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运营主体须在运营合同生效后1个月内制定项目功能优化升级方案报</w:t>
      </w:r>
      <w:r>
        <w:rPr>
          <w:rFonts w:ascii="宋体" w:eastAsia="宋体" w:hAnsi="宋体" w:cs="宋体" w:hint="eastAsia"/>
          <w:sz w:val="21"/>
          <w:szCs w:val="21"/>
          <w:lang w:eastAsia="zh-CN"/>
        </w:rPr>
        <w:t>清水河街道办事处</w:t>
      </w:r>
      <w:r>
        <w:rPr>
          <w:rFonts w:ascii="宋体" w:eastAsia="宋体" w:hAnsi="宋体" w:cs="宋体" w:hint="eastAsia"/>
          <w:sz w:val="21"/>
          <w:szCs w:val="21"/>
        </w:rPr>
        <w:t>审核，主要对项目总平面功能、设施设备及装修装饰进行优化提升，方案需经</w:t>
      </w:r>
      <w:r>
        <w:rPr>
          <w:rFonts w:ascii="宋体" w:eastAsia="宋体" w:hAnsi="宋体" w:cs="宋体" w:hint="eastAsia"/>
          <w:sz w:val="21"/>
          <w:szCs w:val="21"/>
          <w:lang w:eastAsia="zh-CN"/>
        </w:rPr>
        <w:t>清水河街道办事处</w:t>
      </w:r>
      <w:r>
        <w:rPr>
          <w:rFonts w:ascii="宋体" w:eastAsia="宋体" w:hAnsi="宋体" w:cs="宋体" w:hint="eastAsia"/>
          <w:sz w:val="21"/>
          <w:szCs w:val="21"/>
        </w:rPr>
        <w:t>审核同意后方可执行。优化升级</w:t>
      </w:r>
      <w:r>
        <w:rPr>
          <w:rFonts w:ascii="宋体" w:eastAsia="宋体" w:hAnsi="宋体" w:cs="宋体" w:hint="eastAsia"/>
          <w:sz w:val="21"/>
          <w:szCs w:val="21"/>
          <w:lang w:eastAsia="zh-CN"/>
        </w:rPr>
        <w:t>时间</w:t>
      </w:r>
      <w:r>
        <w:rPr>
          <w:rFonts w:ascii="宋体" w:eastAsia="宋体" w:hAnsi="宋体" w:cs="宋体" w:hint="eastAsia"/>
          <w:sz w:val="21"/>
          <w:szCs w:val="21"/>
          <w:lang w:eastAsia="zh-CN"/>
        </w:rPr>
        <w:t>从双方签订建设运营合同次日起不超过</w:t>
      </w:r>
      <w:r>
        <w:rPr>
          <w:rFonts w:ascii="宋体" w:eastAsia="宋体" w:hAnsi="宋体" w:cs="宋体" w:hint="eastAsia"/>
          <w:sz w:val="21"/>
          <w:szCs w:val="21"/>
          <w:lang w:eastAsia="zh-CN"/>
        </w:rPr>
        <w:t>12个月</w:t>
      </w:r>
      <w:r>
        <w:rPr>
          <w:rFonts w:ascii="宋体" w:eastAsia="宋体" w:hAnsi="宋体" w:cs="宋体" w:hint="eastAsia"/>
          <w:sz w:val="21"/>
          <w:szCs w:val="21"/>
        </w:rPr>
        <w:t>。优化升级资金投入按不</w:t>
      </w:r>
      <w:r>
        <w:rPr>
          <w:rFonts w:ascii="宋体" w:eastAsia="宋体" w:hAnsi="宋体" w:cs="宋体" w:hint="eastAsia"/>
          <w:sz w:val="21"/>
          <w:szCs w:val="21"/>
          <w:lang w:eastAsia="zh-CN"/>
        </w:rPr>
        <w:t>低</w:t>
      </w:r>
      <w:r>
        <w:rPr>
          <w:rFonts w:ascii="宋体" w:eastAsia="宋体" w:hAnsi="宋体" w:cs="宋体" w:hint="eastAsia"/>
          <w:sz w:val="21"/>
          <w:szCs w:val="21"/>
        </w:rPr>
        <w:t>于3000元每平方米确定，投入情况需提供佐证材料。</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（2）运营维护移交</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运营主体负责本项目的运营及维护。运营维护范围包括：</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eq \o\ac(○,1)</w:instrText>
      </w:r>
      <w:r>
        <w:rPr>
          <w:rFonts w:ascii="宋体" w:eastAsia="宋体" w:hAnsi="宋体" w:cs="宋体" w:hint="eastAsia"/>
          <w:sz w:val="21"/>
          <w:szCs w:val="21"/>
        </w:rPr>
        <w:fldChar w:fldCharType="separate"/>
      </w:r>
      <w:r>
        <w:rPr>
          <w:rFonts w:ascii="宋体" w:eastAsia="宋体" w:hAnsi="宋体" w:cs="宋体" w:hint="eastAsia"/>
          <w:sz w:val="21"/>
          <w:szCs w:val="21"/>
        </w:rPr>
        <w:fldChar w:fldCharType="end"/>
      </w:r>
      <w:r>
        <w:rPr>
          <w:rFonts w:ascii="宋体" w:eastAsia="宋体" w:hAnsi="宋体" w:cs="宋体" w:hint="eastAsia"/>
          <w:sz w:val="21"/>
          <w:szCs w:val="21"/>
        </w:rPr>
        <w:t>对政府提供物业按要求进行功能优化升级；</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eq \o\ac(○,2)</w:instrText>
      </w:r>
      <w:r>
        <w:rPr>
          <w:rFonts w:ascii="宋体" w:eastAsia="宋体" w:hAnsi="宋体" w:cs="宋体" w:hint="eastAsia"/>
          <w:sz w:val="21"/>
          <w:szCs w:val="21"/>
        </w:rPr>
        <w:fldChar w:fldCharType="separate"/>
      </w:r>
      <w:r>
        <w:rPr>
          <w:rFonts w:ascii="宋体" w:eastAsia="宋体" w:hAnsi="宋体" w:cs="宋体" w:hint="eastAsia"/>
          <w:sz w:val="21"/>
          <w:szCs w:val="21"/>
        </w:rPr>
        <w:fldChar w:fldCharType="end"/>
      </w:r>
      <w:r>
        <w:rPr>
          <w:rFonts w:ascii="宋体" w:eastAsia="宋体" w:hAnsi="宋体" w:cs="宋体" w:hint="eastAsia"/>
          <w:sz w:val="21"/>
          <w:szCs w:val="21"/>
        </w:rPr>
        <w:t>负责对政府提供物业的建筑物及附属设施，以及功能升级及运营过程中所形成的资产及设施的日常维护、大修、重置等。</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运营期满后，</w:t>
      </w:r>
      <w:r>
        <w:rPr>
          <w:rFonts w:ascii="宋体" w:eastAsia="宋体" w:hAnsi="宋体" w:cs="宋体" w:hint="eastAsia"/>
          <w:sz w:val="21"/>
          <w:szCs w:val="21"/>
          <w:lang w:eastAsia="zh-CN"/>
        </w:rPr>
        <w:t>乙方</w:t>
      </w:r>
      <w:r>
        <w:rPr>
          <w:rFonts w:ascii="宋体" w:eastAsia="宋体" w:hAnsi="宋体" w:cs="宋体" w:hint="eastAsia"/>
          <w:sz w:val="21"/>
          <w:szCs w:val="21"/>
        </w:rPr>
        <w:t>将本项目运营维护范围内的资产设施无偿移交给政府</w:t>
      </w:r>
      <w:r>
        <w:rPr>
          <w:rFonts w:ascii="宋体" w:eastAsia="宋体" w:hAnsi="宋体" w:cs="宋体" w:hint="eastAsia"/>
          <w:sz w:val="21"/>
          <w:szCs w:val="21"/>
          <w:lang w:eastAsia="zh-CN"/>
        </w:rPr>
        <w:t>，档案资料应及时归档，档案所有权归甲方所有，乙方仅在合同履行期内享有使用权，合同终止时应全部移交给甲方。</w:t>
      </w:r>
      <w:r>
        <w:rPr>
          <w:rFonts w:ascii="宋体" w:eastAsia="宋体" w:hAnsi="宋体" w:cs="宋体" w:hint="eastAsia"/>
          <w:sz w:val="21"/>
          <w:szCs w:val="21"/>
        </w:rPr>
        <w:t>在服务合同终止时，乙方应当将其设备设施和剩余的物品库存清单</w:t>
      </w:r>
      <w:r>
        <w:rPr>
          <w:rFonts w:ascii="宋体" w:eastAsia="宋体" w:hAnsi="宋体" w:cs="宋体" w:hint="eastAsia"/>
          <w:sz w:val="21"/>
          <w:szCs w:val="21"/>
          <w:lang w:eastAsia="zh-CN"/>
        </w:rPr>
        <w:t>移</w:t>
      </w:r>
      <w:r>
        <w:rPr>
          <w:rFonts w:ascii="宋体" w:eastAsia="宋体" w:hAnsi="宋体" w:cs="宋体" w:hint="eastAsia"/>
          <w:sz w:val="21"/>
          <w:szCs w:val="21"/>
        </w:rPr>
        <w:t>交给甲方，并在撤出前</w:t>
      </w:r>
      <w:r>
        <w:rPr>
          <w:rFonts w:ascii="宋体" w:eastAsia="宋体" w:hAnsi="宋体" w:cs="宋体" w:hint="eastAsia"/>
          <w:sz w:val="21"/>
          <w:szCs w:val="21"/>
          <w:lang w:eastAsia="zh-CN"/>
        </w:rPr>
        <w:t>做好移交工作</w:t>
      </w:r>
      <w:r>
        <w:rPr>
          <w:rFonts w:ascii="宋体" w:eastAsia="宋体" w:hAnsi="宋体" w:cs="宋体" w:hint="eastAsia"/>
          <w:sz w:val="21"/>
          <w:szCs w:val="21"/>
        </w:rPr>
        <w:t>。</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（3）经营性内容</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运营主体负责本项目内经营性项目的运营，并获取经营收入。经营性内容包括：利用社区综合服务体提供政府要求免费的服务之外的婴幼儿托育、养老托管、健康服务、便民服务、社区食堂等服务以及经政府许可的其他经营性内容。</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rPr>
        <w:t>运营主体以保本微利为原则，合理确定居民可承受的服务价格，提供价格普惠的社区服务以及其他公益性服务。</w:t>
      </w:r>
      <w:r>
        <w:rPr>
          <w:rFonts w:ascii="宋体" w:eastAsia="宋体" w:hAnsi="宋体" w:cs="宋体"/>
          <w:sz w:val="21"/>
          <w:szCs w:val="21"/>
          <w:lang w:eastAsia="zh-CN"/>
        </w:rPr>
        <w:t>收费类项目按普惠定价原则报请清水河街道</w:t>
      </w:r>
      <w:r>
        <w:rPr>
          <w:rFonts w:ascii="宋体" w:eastAsia="宋体" w:hAnsi="宋体" w:cs="宋体" w:hint="eastAsia"/>
          <w:sz w:val="21"/>
          <w:szCs w:val="21"/>
          <w:lang w:eastAsia="zh-CN"/>
        </w:rPr>
        <w:t>办事处</w:t>
      </w:r>
      <w:r>
        <w:rPr>
          <w:rFonts w:ascii="宋体" w:eastAsia="宋体" w:hAnsi="宋体" w:cs="宋体"/>
          <w:sz w:val="21"/>
          <w:szCs w:val="21"/>
          <w:lang w:eastAsia="zh-CN"/>
        </w:rPr>
        <w:t>审批，审批通过后运营机构需在场地内进行收费价格公示，公示三天无异议后，可正常开展收费类项目。</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（4）项目建设规范和技术标准</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社区养老服务设施建设须执行相应的规范和技术标准，建设运营方在后期建设过程中应注重建筑、消防、环境、卫生等方面是否符合法律、法规及强制性标准要求。重点落实下列政策文件要求：</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1.《老年人照料设施建筑设计标准》（JGJ 450-2018）</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2.《长者服务中心（站、点）建设规范》（DB4403/T 398-2023）</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3.《社区老年人日间照料中心设施设备配置》（GB/T33169-2016）</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4.《无障碍设计规范》（GB 50763-2012）</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5.《建筑设计防火规范》（GB 50016-2014）（2018年版）</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6.《建设防火通用规范》（GB55037-2022）</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7.其他</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（5）装修审核</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建设运营方在装饰装修工程所用材料需符合国家有关建筑装饰装修材料有害物质限量标准的规定，品种规格和质量符合设计要求和国家现行标准规定，由建设运营机构向</w:t>
      </w:r>
      <w:r>
        <w:rPr>
          <w:rFonts w:ascii="宋体" w:eastAsia="宋体" w:hAnsi="宋体" w:cs="宋体" w:hint="eastAsia"/>
          <w:sz w:val="21"/>
          <w:szCs w:val="21"/>
          <w:lang w:eastAsia="zh-CN"/>
        </w:rPr>
        <w:t>清水河街道办事处</w:t>
      </w:r>
      <w:r>
        <w:rPr>
          <w:rFonts w:ascii="宋体" w:eastAsia="宋体" w:hAnsi="宋体" w:cs="宋体"/>
          <w:sz w:val="21"/>
          <w:szCs w:val="21"/>
          <w:lang w:eastAsia="zh-CN"/>
        </w:rPr>
        <w:t>出具相关证明。</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(6)运营资质</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运营机构应当为依法设立登记的企、事业单位或社会组织。社区养老服务设施为老年人提供全日集中住宿和照料护理服务的应按相关规定到区民政局办理养老机构备案。</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（7）应急安置</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sz w:val="21"/>
          <w:szCs w:val="21"/>
          <w:lang w:eastAsia="zh-CN"/>
        </w:rPr>
        <w:t>运营机构因变更或终止</w:t>
      </w:r>
      <w:r>
        <w:rPr>
          <w:rFonts w:ascii="宋体" w:eastAsia="宋体" w:hAnsi="宋体" w:cs="宋体"/>
          <w:sz w:val="21"/>
          <w:szCs w:val="21"/>
          <w:lang w:eastAsia="zh-CN"/>
        </w:rPr>
        <w:t>等原因暂停、终止服务的，</w:t>
      </w:r>
      <w:r>
        <w:rPr>
          <w:rFonts w:ascii="宋体" w:eastAsia="宋体" w:hAnsi="宋体" w:cs="宋体"/>
          <w:sz w:val="21"/>
          <w:szCs w:val="21"/>
          <w:lang w:eastAsia="zh-CN"/>
        </w:rPr>
        <w:t>应当于暂停或终止服务60日前通知老年人或其代理人，并</w:t>
      </w:r>
      <w:r>
        <w:rPr>
          <w:rFonts w:ascii="宋体" w:eastAsia="宋体" w:hAnsi="宋体" w:cs="宋体"/>
          <w:sz w:val="21"/>
          <w:szCs w:val="21"/>
          <w:lang w:eastAsia="zh-CN"/>
        </w:rPr>
        <w:t>向</w:t>
      </w:r>
      <w:r>
        <w:rPr>
          <w:rFonts w:ascii="宋体" w:eastAsia="宋体" w:hAnsi="宋体" w:cs="宋体" w:hint="eastAsia"/>
          <w:sz w:val="21"/>
          <w:szCs w:val="21"/>
          <w:lang w:eastAsia="zh-CN"/>
        </w:rPr>
        <w:t>清水河</w:t>
      </w:r>
      <w:r>
        <w:rPr>
          <w:rFonts w:ascii="宋体" w:eastAsia="宋体" w:hAnsi="宋体" w:cs="宋体"/>
          <w:sz w:val="21"/>
          <w:szCs w:val="21"/>
          <w:lang w:eastAsia="zh-CN"/>
        </w:rPr>
        <w:t>街道办事处提交安置方案，方案中应明确服务老年人的数量、安置计划及实施日期等事项；</w:t>
      </w:r>
      <w:r>
        <w:rPr>
          <w:rFonts w:ascii="宋体" w:eastAsia="宋体" w:hAnsi="宋体" w:cs="宋体" w:hint="eastAsia"/>
          <w:sz w:val="21"/>
          <w:szCs w:val="21"/>
          <w:lang w:eastAsia="zh-CN"/>
        </w:rPr>
        <w:t>清水河</w:t>
      </w:r>
      <w:r>
        <w:rPr>
          <w:rFonts w:ascii="宋体" w:eastAsia="宋体" w:hAnsi="宋体" w:cs="宋体"/>
          <w:sz w:val="21"/>
          <w:szCs w:val="21"/>
          <w:lang w:eastAsia="zh-CN"/>
        </w:rPr>
        <w:t>街道办事处应自接到安置方案之日起20日内完成审核工作，将相关情况报送区民政局。</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消防设备与智能系统</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在养老服务场地，应配置消防喷淋系统与智能监控系统。</w:t>
      </w:r>
    </w:p>
    <w:p>
      <w:pPr>
        <w:keepNext/>
        <w:keepLines/>
        <w:pageBreakBefore w:val="0"/>
        <w:kinsoku/>
        <w:wordWrap/>
        <w:overflowPunct/>
        <w:topLinePunct w:val="0"/>
        <w:autoSpaceDE/>
        <w:autoSpaceDN/>
        <w:bidi w:val="0"/>
        <w:adjustRightInd/>
        <w:snapToGrid/>
        <w:spacing w:before="0" w:after="0" w:line="140" w:lineRule="auto"/>
        <w:ind w:firstLine="420" w:firstLineChars="200"/>
        <w:jc w:val="both"/>
        <w:textAlignment w:val="auto"/>
        <w:outlineLvl w:val="3"/>
        <w:rPr>
          <w:rFonts w:ascii="宋体" w:eastAsia="宋体" w:hAnsi="宋体" w:cs="宋体" w:hint="eastAsia"/>
          <w:b/>
          <w:bCs/>
          <w:sz w:val="21"/>
          <w:szCs w:val="21"/>
          <w:lang w:eastAsia="zh-CN"/>
        </w:rPr>
      </w:pPr>
      <w:bookmarkStart w:id="50" w:name="_Toc181310753"/>
      <w:r>
        <w:rPr>
          <w:rFonts w:ascii="宋体" w:eastAsia="宋体" w:hAnsi="宋体" w:cs="宋体" w:hint="eastAsia"/>
          <w:b/>
          <w:bCs/>
          <w:sz w:val="21"/>
          <w:szCs w:val="21"/>
          <w:lang w:eastAsia="zh-CN"/>
        </w:rPr>
        <w:t>1.3项目服务人口规模</w:t>
      </w:r>
      <w:bookmarkEnd w:id="50"/>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根据罗湖区第七次全国人口普查公报，截至2020年11月1日，清水河街道办事处常住人口数为117884人。据统计，截至2024年底，清水河街道办事处辖区总服务含括13596位长者（户籍7307人，非户籍6289人）。</w:t>
      </w:r>
    </w:p>
    <w:p>
      <w:pPr>
        <w:keepNext/>
        <w:keepLines/>
        <w:pageBreakBefore w:val="0"/>
        <w:kinsoku/>
        <w:wordWrap/>
        <w:overflowPunct/>
        <w:topLinePunct w:val="0"/>
        <w:autoSpaceDE/>
        <w:autoSpaceDN/>
        <w:bidi w:val="0"/>
        <w:adjustRightInd/>
        <w:snapToGrid/>
        <w:spacing w:before="0" w:after="0" w:line="140" w:lineRule="auto"/>
        <w:ind w:firstLine="420" w:firstLineChars="200"/>
        <w:jc w:val="both"/>
        <w:textAlignment w:val="auto"/>
        <w:outlineLvl w:val="3"/>
        <w:rPr>
          <w:rFonts w:ascii="宋体" w:eastAsia="宋体" w:hAnsi="宋体" w:cs="宋体" w:hint="eastAsia"/>
          <w:b/>
          <w:bCs/>
          <w:sz w:val="21"/>
          <w:szCs w:val="21"/>
        </w:rPr>
      </w:pPr>
      <w:bookmarkStart w:id="51" w:name="_Toc181310754"/>
      <w:r>
        <w:rPr>
          <w:rFonts w:ascii="宋体" w:eastAsia="宋体" w:hAnsi="宋体" w:cs="宋体" w:hint="eastAsia"/>
          <w:b/>
          <w:bCs/>
          <w:sz w:val="21"/>
          <w:szCs w:val="21"/>
          <w:lang w:eastAsia="zh-CN"/>
        </w:rPr>
        <w:t>1</w:t>
      </w:r>
      <w:r>
        <w:rPr>
          <w:rFonts w:ascii="宋体" w:eastAsia="宋体" w:hAnsi="宋体" w:cs="宋体" w:hint="eastAsia"/>
          <w:b/>
          <w:bCs/>
          <w:sz w:val="21"/>
          <w:szCs w:val="21"/>
        </w:rPr>
        <w:t>.4项目预期成效</w:t>
      </w:r>
      <w:bookmarkEnd w:id="51"/>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打造全覆盖、多层次“医、康、养、托、体、教、游”七位一体高度融合新模式于一体社区综合服务体，打造罗湖区社区嵌入式服务设施示范标杆项目。</w:t>
      </w:r>
    </w:p>
    <w:p>
      <w:pPr>
        <w:keepNext/>
        <w:keepLines/>
        <w:pageBreakBefore w:val="0"/>
        <w:kinsoku/>
        <w:wordWrap/>
        <w:overflowPunct/>
        <w:topLinePunct w:val="0"/>
        <w:autoSpaceDE/>
        <w:autoSpaceDN/>
        <w:bidi w:val="0"/>
        <w:adjustRightInd/>
        <w:snapToGrid/>
        <w:spacing w:before="0" w:after="0" w:line="140" w:lineRule="auto"/>
        <w:ind w:firstLine="480" w:firstLineChars="200"/>
        <w:jc w:val="both"/>
        <w:textAlignment w:val="auto"/>
        <w:outlineLvl w:val="3"/>
        <w:rPr>
          <w:rFonts w:ascii="宋体" w:eastAsia="宋体" w:hAnsi="宋体" w:cs="宋体" w:hint="eastAsia"/>
          <w:b/>
          <w:bCs/>
          <w:color w:val="FF0000"/>
          <w:sz w:val="21"/>
          <w:szCs w:val="21"/>
        </w:rPr>
      </w:pPr>
      <w:bookmarkStart w:id="52" w:name="_Toc181310755"/>
      <w:r>
        <w:rPr>
          <w:rFonts w:ascii="宋体" w:eastAsia="宋体" w:hAnsi="宋体" w:cs="宋体" w:hint="eastAsia"/>
          <w:b/>
          <w:bCs/>
          <w:color w:val="FF0000"/>
          <w:kern w:val="2"/>
          <w:lang w:eastAsia="zh-CN"/>
        </w:rPr>
        <w:t>★</w:t>
      </w:r>
      <w:r>
        <w:rPr>
          <w:rFonts w:ascii="宋体" w:eastAsia="宋体" w:hAnsi="宋体" w:cs="宋体" w:hint="eastAsia"/>
          <w:b/>
          <w:bCs/>
          <w:color w:val="FF0000"/>
          <w:sz w:val="21"/>
          <w:szCs w:val="21"/>
          <w:lang w:eastAsia="zh-CN"/>
        </w:rPr>
        <w:t>1</w:t>
      </w:r>
      <w:r>
        <w:rPr>
          <w:rFonts w:ascii="宋体" w:eastAsia="宋体" w:hAnsi="宋体" w:cs="宋体" w:hint="eastAsia"/>
          <w:b/>
          <w:bCs/>
          <w:color w:val="FF0000"/>
          <w:sz w:val="21"/>
          <w:szCs w:val="21"/>
        </w:rPr>
        <w:t>.5项目合作时限</w:t>
      </w:r>
      <w:bookmarkEnd w:id="52"/>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color w:val="FF0000"/>
          <w:sz w:val="21"/>
          <w:szCs w:val="21"/>
        </w:rPr>
      </w:pPr>
      <w:r>
        <w:rPr>
          <w:rFonts w:ascii="宋体" w:eastAsia="宋体" w:hAnsi="宋体" w:cs="宋体" w:hint="eastAsia"/>
          <w:color w:val="FF0000"/>
          <w:sz w:val="21"/>
          <w:szCs w:val="21"/>
        </w:rPr>
        <w:t>本项目合作年限拟定为15年（包括功能优化</w:t>
      </w:r>
      <w:r>
        <w:rPr>
          <w:rFonts w:ascii="宋体" w:eastAsia="宋体" w:hAnsi="宋体" w:cs="宋体" w:hint="eastAsia"/>
          <w:color w:val="FF0000"/>
          <w:sz w:val="21"/>
          <w:szCs w:val="21"/>
          <w:lang w:eastAsia="zh-CN"/>
        </w:rPr>
        <w:t>建设</w:t>
      </w:r>
      <w:r>
        <w:rPr>
          <w:rFonts w:ascii="宋体" w:eastAsia="宋体" w:hAnsi="宋体" w:cs="宋体" w:hint="eastAsia"/>
          <w:color w:val="FF0000"/>
          <w:sz w:val="21"/>
          <w:szCs w:val="21"/>
        </w:rPr>
        <w:t>时间不超过12个月</w:t>
      </w:r>
      <w:r>
        <w:rPr>
          <w:rFonts w:ascii="宋体" w:eastAsia="宋体" w:hAnsi="宋体" w:cs="宋体" w:hint="eastAsia"/>
          <w:color w:val="FF0000"/>
          <w:sz w:val="21"/>
          <w:szCs w:val="21"/>
          <w:lang w:eastAsia="zh-CN"/>
        </w:rPr>
        <w:t>在内</w:t>
      </w:r>
      <w:r>
        <w:rPr>
          <w:rFonts w:ascii="宋体" w:eastAsia="宋体" w:hAnsi="宋体" w:cs="宋体" w:hint="eastAsia"/>
          <w:color w:val="FF0000"/>
          <w:sz w:val="21"/>
          <w:szCs w:val="21"/>
        </w:rPr>
        <w:t>），自</w:t>
      </w:r>
      <w:r>
        <w:rPr>
          <w:rFonts w:ascii="宋体" w:eastAsia="宋体" w:hAnsi="宋体" w:cs="宋体" w:hint="eastAsia"/>
          <w:color w:val="FF0000"/>
          <w:sz w:val="21"/>
          <w:szCs w:val="21"/>
          <w:lang w:eastAsia="zh-CN"/>
        </w:rPr>
        <w:t>建设</w:t>
      </w:r>
      <w:r>
        <w:rPr>
          <w:rFonts w:ascii="宋体" w:eastAsia="宋体" w:hAnsi="宋体" w:cs="宋体" w:hint="eastAsia"/>
          <w:color w:val="FF0000"/>
          <w:sz w:val="21"/>
          <w:szCs w:val="21"/>
        </w:rPr>
        <w:t>运营合同生效之日起</w:t>
      </w:r>
      <w:r>
        <w:rPr>
          <w:rFonts w:ascii="宋体" w:eastAsia="宋体" w:hAnsi="宋体" w:cs="宋体" w:hint="eastAsia"/>
          <w:color w:val="FF0000"/>
          <w:sz w:val="21"/>
          <w:szCs w:val="21"/>
          <w:lang w:eastAsia="zh-CN"/>
        </w:rPr>
        <w:t>计算</w:t>
      </w:r>
      <w:r>
        <w:rPr>
          <w:rFonts w:ascii="宋体" w:eastAsia="宋体" w:hAnsi="宋体" w:cs="宋体" w:hint="eastAsia"/>
          <w:color w:val="FF0000"/>
          <w:sz w:val="21"/>
          <w:szCs w:val="21"/>
        </w:rPr>
        <w:t>。</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lang w:eastAsia="zh-CN"/>
        </w:rPr>
      </w:pPr>
      <w:r>
        <w:rPr>
          <w:rFonts w:cs="宋体" w:hint="eastAsia"/>
          <w:sz w:val="21"/>
          <w:szCs w:val="21"/>
          <w:lang w:eastAsia="zh-CN"/>
        </w:rPr>
        <w:t xml:space="preserve">1.6 </w:t>
      </w:r>
      <w:r>
        <w:rPr>
          <w:rFonts w:ascii="宋体" w:eastAsia="宋体" w:hAnsi="宋体" w:cs="宋体" w:hint="eastAsia"/>
          <w:sz w:val="21"/>
          <w:szCs w:val="21"/>
        </w:rPr>
        <w:t>经</w:t>
      </w:r>
      <w:r>
        <w:rPr>
          <w:rFonts w:ascii="宋体" w:eastAsia="宋体" w:hAnsi="宋体" w:cs="宋体" w:hint="eastAsia"/>
          <w:sz w:val="21"/>
          <w:szCs w:val="21"/>
          <w:lang w:eastAsia="zh-CN"/>
        </w:rPr>
        <w:t>甲方聘请专业第三方评估测算，15年内</w:t>
      </w:r>
      <w:bookmarkStart w:id="53" w:name="OLE_LINK19"/>
      <w:r>
        <w:rPr>
          <w:rFonts w:ascii="宋体" w:eastAsia="宋体" w:hAnsi="宋体" w:cs="宋体" w:hint="eastAsia"/>
          <w:sz w:val="21"/>
          <w:szCs w:val="21"/>
          <w:lang w:eastAsia="zh-CN"/>
        </w:rPr>
        <w:t>预估经营性收益</w:t>
      </w:r>
      <w:bookmarkEnd w:id="53"/>
      <w:r>
        <w:rPr>
          <w:rFonts w:ascii="宋体" w:eastAsia="宋体" w:hAnsi="宋体" w:cs="宋体" w:hint="eastAsia"/>
          <w:sz w:val="21"/>
          <w:szCs w:val="21"/>
          <w:lang w:eastAsia="zh-CN"/>
        </w:rPr>
        <w:t>16644.8万元。</w:t>
      </w:r>
    </w:p>
    <w:p>
      <w:pPr>
        <w:keepNext/>
        <w:keepLines/>
        <w:widowControl w:val="0"/>
        <w:spacing w:before="0" w:beforeLines="0" w:after="0" w:afterLines="0" w:line="360" w:lineRule="auto"/>
        <w:ind w:firstLine="420" w:firstLineChars="200"/>
        <w:jc w:val="center"/>
        <w:outlineLvl w:val="2"/>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br w:type="page"/>
      </w:r>
      <w:r>
        <w:rPr>
          <w:rFonts w:ascii="宋体" w:eastAsia="宋体" w:hAnsi="宋体" w:cs="宋体" w:hint="eastAsia"/>
          <w:b/>
          <w:bCs/>
          <w:kern w:val="44"/>
          <w:sz w:val="21"/>
          <w:szCs w:val="21"/>
          <w:lang w:eastAsia="zh-CN"/>
        </w:rPr>
        <w:t>二、</w:t>
      </w:r>
      <w:r>
        <w:rPr>
          <w:rFonts w:ascii="宋体" w:eastAsia="宋体" w:hAnsi="宋体" w:cs="宋体" w:hint="eastAsia"/>
          <w:b/>
          <w:bCs/>
          <w:kern w:val="44"/>
          <w:sz w:val="21"/>
          <w:szCs w:val="21"/>
          <w:lang w:eastAsia="zh-CN"/>
        </w:rPr>
        <w:t>实施内容</w:t>
      </w:r>
    </w:p>
    <w:p>
      <w:pPr>
        <w:keepNext/>
        <w:keepLines/>
        <w:spacing w:before="0" w:after="0" w:line="360" w:lineRule="auto"/>
        <w:ind w:firstLine="420" w:firstLineChars="200"/>
        <w:outlineLvl w:val="3"/>
        <w:rPr>
          <w:rFonts w:ascii="宋体" w:eastAsia="宋体" w:hAnsi="宋体" w:cs="宋体" w:hint="eastAsia"/>
          <w:b/>
          <w:bCs/>
          <w:sz w:val="21"/>
          <w:szCs w:val="21"/>
        </w:rPr>
      </w:pPr>
      <w:bookmarkStart w:id="54" w:name="_Toc181310757"/>
      <w:r>
        <w:rPr>
          <w:rFonts w:ascii="宋体" w:eastAsia="宋体" w:hAnsi="宋体" w:cs="宋体" w:hint="eastAsia"/>
          <w:b/>
          <w:bCs/>
          <w:sz w:val="21"/>
          <w:szCs w:val="21"/>
          <w:lang w:eastAsia="zh-CN"/>
        </w:rPr>
        <w:t>2</w:t>
      </w:r>
      <w:r>
        <w:rPr>
          <w:rFonts w:ascii="宋体" w:eastAsia="宋体" w:hAnsi="宋体" w:cs="宋体" w:hint="eastAsia"/>
          <w:b/>
          <w:bCs/>
          <w:sz w:val="21"/>
          <w:szCs w:val="21"/>
        </w:rPr>
        <w:t>.1项目设施类型</w:t>
      </w:r>
      <w:bookmarkEnd w:id="54"/>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利用清水河街道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内社区公配物业。</w:t>
      </w:r>
    </w:p>
    <w:p>
      <w:pPr>
        <w:keepNext/>
        <w:keepLines/>
        <w:spacing w:before="0" w:after="0" w:line="360" w:lineRule="auto"/>
        <w:ind w:firstLine="420" w:firstLineChars="200"/>
        <w:outlineLvl w:val="3"/>
        <w:rPr>
          <w:rFonts w:ascii="宋体" w:eastAsia="宋体" w:hAnsi="宋体" w:cs="宋体" w:hint="eastAsia"/>
          <w:b/>
          <w:bCs/>
          <w:sz w:val="21"/>
          <w:szCs w:val="21"/>
        </w:rPr>
      </w:pPr>
      <w:bookmarkStart w:id="55" w:name="_Toc181310758"/>
      <w:r>
        <w:rPr>
          <w:rFonts w:ascii="宋体" w:eastAsia="宋体" w:hAnsi="宋体" w:cs="宋体" w:hint="eastAsia"/>
          <w:b/>
          <w:bCs/>
          <w:sz w:val="21"/>
          <w:szCs w:val="21"/>
          <w:lang w:eastAsia="zh-CN"/>
        </w:rPr>
        <w:t>2</w:t>
      </w:r>
      <w:r>
        <w:rPr>
          <w:rFonts w:ascii="宋体" w:eastAsia="宋体" w:hAnsi="宋体" w:cs="宋体" w:hint="eastAsia"/>
          <w:b/>
          <w:bCs/>
          <w:sz w:val="21"/>
          <w:szCs w:val="21"/>
        </w:rPr>
        <w:t>.2项目建设方式</w:t>
      </w:r>
      <w:bookmarkEnd w:id="55"/>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本项目按公建民营模式引入社会力量运营，由其负责社区综合服务体的功能优化升级及运营维护等，为居民提供复合型社区服务。</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运营主体以保本微利为原则，根据服务成本、合理利润等，合理确定居民可承受的服务价格，提供价格普惠的社区服务以及其他公益性服务。</w:t>
      </w:r>
    </w:p>
    <w:p>
      <w:pPr>
        <w:keepNext/>
        <w:keepLines/>
        <w:spacing w:before="0" w:after="0" w:line="360" w:lineRule="auto"/>
        <w:ind w:firstLine="420" w:firstLineChars="200"/>
        <w:outlineLvl w:val="3"/>
        <w:rPr>
          <w:rFonts w:ascii="宋体" w:eastAsia="宋体" w:hAnsi="宋体" w:cs="宋体" w:hint="eastAsia"/>
          <w:b/>
          <w:bCs/>
          <w:sz w:val="21"/>
          <w:szCs w:val="21"/>
        </w:rPr>
      </w:pPr>
      <w:bookmarkStart w:id="56" w:name="_Toc181310759"/>
      <w:r>
        <w:rPr>
          <w:rFonts w:ascii="宋体" w:eastAsia="宋体" w:hAnsi="宋体" w:cs="宋体" w:hint="eastAsia"/>
          <w:b/>
          <w:bCs/>
          <w:sz w:val="21"/>
          <w:szCs w:val="21"/>
          <w:lang w:eastAsia="zh-CN"/>
        </w:rPr>
        <w:t>2</w:t>
      </w:r>
      <w:r>
        <w:rPr>
          <w:rFonts w:ascii="宋体" w:eastAsia="宋体" w:hAnsi="宋体" w:cs="宋体" w:hint="eastAsia"/>
          <w:b/>
          <w:bCs/>
          <w:sz w:val="21"/>
          <w:szCs w:val="21"/>
        </w:rPr>
        <w:t>.3项目的选址布局</w:t>
      </w:r>
      <w:bookmarkEnd w:id="56"/>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本项目选址位于罗湖区北环大道与金碧路交界处缙山府小区，项目建设面积约3413</w:t>
      </w:r>
      <w:r>
        <w:rPr>
          <w:rFonts w:ascii="宋体" w:eastAsia="宋体" w:hAnsi="宋体" w:cs="宋体" w:hint="eastAsia"/>
          <w:sz w:val="21"/>
          <w:szCs w:val="21"/>
          <w:lang w:eastAsia="zh-CN"/>
        </w:rPr>
        <w:t>平方米</w:t>
      </w:r>
      <w:r>
        <w:rPr>
          <w:rFonts w:ascii="宋体" w:eastAsia="宋体" w:hAnsi="宋体" w:cs="宋体" w:hint="eastAsia"/>
          <w:sz w:val="21"/>
          <w:szCs w:val="21"/>
        </w:rPr>
        <w:t>（最终以清水河街道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移交的数据为准）。</w:t>
      </w:r>
    </w:p>
    <w:p>
      <w:pPr>
        <w:keepNext/>
        <w:keepLines/>
        <w:spacing w:before="0" w:after="0" w:line="360" w:lineRule="auto"/>
        <w:ind w:firstLine="420" w:firstLineChars="200"/>
        <w:outlineLvl w:val="3"/>
        <w:rPr>
          <w:rFonts w:ascii="宋体" w:eastAsia="宋体" w:hAnsi="宋体" w:cs="宋体" w:hint="eastAsia"/>
          <w:b/>
          <w:bCs/>
          <w:sz w:val="21"/>
          <w:szCs w:val="21"/>
        </w:rPr>
      </w:pPr>
      <w:bookmarkStart w:id="57" w:name="_Toc181310760"/>
      <w:r>
        <w:rPr>
          <w:rFonts w:ascii="宋体" w:eastAsia="宋体" w:hAnsi="宋体" w:cs="宋体" w:hint="eastAsia"/>
          <w:b/>
          <w:bCs/>
          <w:sz w:val="21"/>
          <w:szCs w:val="21"/>
          <w:lang w:eastAsia="zh-CN"/>
        </w:rPr>
        <w:t>2</w:t>
      </w:r>
      <w:r>
        <w:rPr>
          <w:rFonts w:ascii="宋体" w:eastAsia="宋体" w:hAnsi="宋体" w:cs="宋体" w:hint="eastAsia"/>
          <w:b/>
          <w:bCs/>
          <w:sz w:val="21"/>
          <w:szCs w:val="21"/>
        </w:rPr>
        <w:t>.4项目服务功能</w:t>
      </w:r>
      <w:bookmarkEnd w:id="57"/>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本项目暂定各主要功能分区及面积见下表。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1"/>
        <w:gridCol w:w="539"/>
        <w:gridCol w:w="632"/>
        <w:gridCol w:w="882"/>
        <w:gridCol w:w="1031"/>
        <w:gridCol w:w="523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9"/>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序号</w:t>
            </w:r>
          </w:p>
        </w:tc>
        <w:tc>
          <w:tcPr>
            <w:tcW w:w="1147" w:type="pct"/>
            <w:gridSpan w:val="3"/>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功能</w:t>
            </w:r>
          </w:p>
        </w:tc>
        <w:tc>
          <w:tcPr>
            <w:tcW w:w="576"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面积（</w:t>
            </w:r>
            <w:r>
              <w:rPr>
                <w:rFonts w:ascii="宋体" w:eastAsia="宋体" w:hAnsi="宋体" w:cs="宋体" w:hint="eastAsia"/>
                <w:sz w:val="21"/>
                <w:szCs w:val="21"/>
              </w:rPr>
              <w:t>㎡</w:t>
            </w:r>
            <w:r>
              <w:rPr>
                <w:rFonts w:ascii="宋体" w:eastAsia="宋体" w:hAnsi="宋体" w:cs="宋体" w:hint="eastAsia"/>
                <w:bCs/>
                <w:sz w:val="21"/>
                <w:szCs w:val="21"/>
              </w:rPr>
              <w:t>）</w:t>
            </w:r>
          </w:p>
        </w:tc>
        <w:tc>
          <w:tcPr>
            <w:tcW w:w="2924"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功能说明</w:t>
            </w:r>
          </w:p>
        </w:tc>
      </w:tr>
      <w:tr>
        <w:tblPrEx>
          <w:tblW w:w="5000" w:type="pct"/>
          <w:tblInd w:w="0" w:type="dxa"/>
          <w:tblLayout w:type="fixed"/>
          <w:tblCellMar>
            <w:top w:w="0" w:type="dxa"/>
            <w:left w:w="108" w:type="dxa"/>
            <w:bottom w:w="0" w:type="dxa"/>
            <w:right w:w="108" w:type="dxa"/>
          </w:tblCellMar>
        </w:tblPrEx>
        <w:trPr>
          <w:trHeight w:val="1305"/>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301" w:type="pct"/>
            <w:vMerge w:val="restar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第一层</w:t>
            </w:r>
          </w:p>
        </w:tc>
        <w:tc>
          <w:tcPr>
            <w:tcW w:w="353" w:type="pct"/>
            <w:vMerge w:val="restar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837</w:t>
            </w: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社区食堂</w:t>
            </w:r>
          </w:p>
        </w:tc>
        <w:tc>
          <w:tcPr>
            <w:tcW w:w="576" w:type="pct"/>
            <w:noWrap/>
            <w:vAlign w:val="center"/>
          </w:tcPr>
          <w:p>
            <w:pPr>
              <w:widowControl/>
              <w:jc w:val="center"/>
              <w:rPr>
                <w:rFonts w:ascii="宋体" w:eastAsia="宋体" w:hAnsi="宋体" w:cs="宋体" w:hint="eastAsia"/>
                <w:sz w:val="21"/>
                <w:szCs w:val="21"/>
              </w:rPr>
            </w:pPr>
            <w:r>
              <w:rPr>
                <w:rFonts w:ascii="宋体" w:eastAsia="宋体" w:hAnsi="宋体" w:cs="宋体" w:hint="eastAsia"/>
                <w:sz w:val="21"/>
                <w:szCs w:val="21"/>
              </w:rPr>
              <w:t>200-250</w:t>
            </w:r>
          </w:p>
        </w:tc>
        <w:tc>
          <w:tcPr>
            <w:tcW w:w="2924" w:type="pct"/>
            <w:noWrap w:val="0"/>
            <w:vAlign w:val="center"/>
          </w:tcPr>
          <w:p>
            <w:pPr>
              <w:widowControl/>
              <w:jc w:val="left"/>
              <w:rPr>
                <w:rFonts w:ascii="宋体" w:eastAsia="宋体" w:hAnsi="宋体" w:cs="宋体" w:hint="eastAsia"/>
                <w:bCs/>
                <w:sz w:val="21"/>
                <w:szCs w:val="21"/>
              </w:rPr>
            </w:pPr>
            <w:r>
              <w:rPr>
                <w:rFonts w:ascii="宋体" w:eastAsia="宋体" w:hAnsi="宋体" w:cs="宋体" w:hint="eastAsia"/>
                <w:bCs/>
                <w:sz w:val="21"/>
                <w:szCs w:val="21"/>
              </w:rPr>
              <w:t>社区助餐用房应符合《饮食业环境保护技术规范》（HJ 554-2010）要求。配备厨房；提供社区就餐，配备一定数量的不同规格就餐台面与座椅，配备防火、防毒、防盗设备及</w:t>
            </w:r>
            <w:r>
              <w:rPr>
                <w:rFonts w:ascii="宋体" w:eastAsia="宋体" w:hAnsi="宋体" w:cs="宋体" w:hint="eastAsia"/>
                <w:bCs/>
                <w:sz w:val="21"/>
                <w:szCs w:val="21"/>
                <w:lang w:eastAsia="zh-CN"/>
              </w:rPr>
              <w:t>消毒杀菌</w:t>
            </w:r>
            <w:r>
              <w:rPr>
                <w:rFonts w:ascii="宋体" w:eastAsia="宋体" w:hAnsi="宋体" w:cs="宋体" w:hint="eastAsia"/>
                <w:bCs/>
                <w:sz w:val="21"/>
                <w:szCs w:val="21"/>
              </w:rPr>
              <w:t>药剂。</w:t>
            </w:r>
          </w:p>
        </w:tc>
      </w:tr>
      <w:tr>
        <w:tblPrEx>
          <w:tblW w:w="5000" w:type="pct"/>
          <w:tblInd w:w="0" w:type="dxa"/>
          <w:tblLayout w:type="fixed"/>
          <w:tblCellMar>
            <w:top w:w="0" w:type="dxa"/>
            <w:left w:w="108" w:type="dxa"/>
            <w:bottom w:w="0" w:type="dxa"/>
            <w:right w:w="108" w:type="dxa"/>
          </w:tblCellMar>
        </w:tblPrEx>
        <w:trPr>
          <w:trHeight w:val="729"/>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2</w:t>
            </w:r>
          </w:p>
        </w:tc>
        <w:tc>
          <w:tcPr>
            <w:tcW w:w="301" w:type="pct"/>
            <w:vMerge/>
            <w:noWrap w:val="0"/>
            <w:vAlign w:val="center"/>
          </w:tcPr>
          <w:p>
            <w:pPr>
              <w:widowControl/>
              <w:jc w:val="left"/>
              <w:rPr>
                <w:rFonts w:ascii="宋体" w:eastAsia="宋体" w:hAnsi="宋体" w:cs="宋体" w:hint="eastAsia"/>
                <w:bCs/>
                <w:sz w:val="21"/>
                <w:szCs w:val="21"/>
              </w:rPr>
            </w:pPr>
          </w:p>
        </w:tc>
        <w:tc>
          <w:tcPr>
            <w:tcW w:w="353" w:type="pct"/>
            <w:vMerge/>
            <w:noWrap w:val="0"/>
            <w:vAlign w:val="center"/>
          </w:tcPr>
          <w:p>
            <w:pPr>
              <w:widowControl/>
              <w:jc w:val="left"/>
              <w:rPr>
                <w:rFonts w:ascii="宋体" w:eastAsia="宋体" w:hAnsi="宋体" w:cs="宋体" w:hint="eastAsia"/>
                <w:bCs/>
                <w:sz w:val="21"/>
                <w:szCs w:val="21"/>
              </w:rPr>
            </w:pP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婴幼儿托育</w:t>
            </w:r>
          </w:p>
        </w:tc>
        <w:tc>
          <w:tcPr>
            <w:tcW w:w="576" w:type="pct"/>
            <w:noWrap/>
            <w:vAlign w:val="center"/>
          </w:tcPr>
          <w:p>
            <w:pPr>
              <w:widowControl/>
              <w:jc w:val="center"/>
              <w:rPr>
                <w:rFonts w:ascii="宋体" w:eastAsia="宋体" w:hAnsi="宋体" w:cs="宋体" w:hint="eastAsia"/>
                <w:sz w:val="21"/>
                <w:szCs w:val="21"/>
              </w:rPr>
            </w:pPr>
            <w:r>
              <w:rPr>
                <w:rFonts w:ascii="宋体" w:eastAsia="宋体" w:hAnsi="宋体" w:cs="宋体" w:hint="eastAsia"/>
                <w:sz w:val="21"/>
                <w:szCs w:val="21"/>
              </w:rPr>
              <w:t>400-500</w:t>
            </w:r>
          </w:p>
        </w:tc>
        <w:tc>
          <w:tcPr>
            <w:tcW w:w="2924" w:type="pct"/>
            <w:noWrap w:val="0"/>
            <w:vAlign w:val="center"/>
          </w:tcPr>
          <w:p>
            <w:pPr>
              <w:widowControl/>
              <w:jc w:val="left"/>
              <w:rPr>
                <w:rFonts w:ascii="宋体" w:eastAsia="宋体" w:hAnsi="宋体" w:cs="宋体" w:hint="eastAsia"/>
                <w:bCs/>
                <w:sz w:val="21"/>
                <w:szCs w:val="21"/>
              </w:rPr>
            </w:pPr>
            <w:r>
              <w:rPr>
                <w:rFonts w:ascii="宋体" w:eastAsia="宋体" w:hAnsi="宋体" w:cs="宋体" w:hint="eastAsia"/>
                <w:bCs/>
                <w:sz w:val="21"/>
                <w:szCs w:val="21"/>
              </w:rPr>
              <w:t>可根据居民实际需要结合社区服务功能要求，选择其中一项或多项。</w:t>
            </w:r>
          </w:p>
          <w:p>
            <w:pPr>
              <w:widowControl/>
              <w:jc w:val="left"/>
            </w:pPr>
            <w:r>
              <w:rPr>
                <w:rFonts w:ascii="宋体" w:eastAsia="宋体" w:hAnsi="宋体" w:cs="宋体" w:hint="eastAsia"/>
                <w:bCs/>
                <w:color w:val="FF0000"/>
                <w:sz w:val="21"/>
                <w:szCs w:val="21"/>
                <w:lang w:eastAsia="zh-CN"/>
              </w:rPr>
              <w:t>★</w:t>
            </w:r>
            <w:r>
              <w:rPr>
                <w:rFonts w:ascii="宋体" w:eastAsia="宋体" w:hAnsi="宋体" w:cs="宋体" w:hint="eastAsia"/>
                <w:bCs/>
                <w:color w:val="FF0000"/>
                <w:sz w:val="21"/>
                <w:szCs w:val="21"/>
                <w:lang w:eastAsia="zh-CN"/>
              </w:rPr>
              <w:t>根据</w:t>
            </w:r>
            <w:r>
              <w:rPr>
                <w:rFonts w:ascii="宋体" w:eastAsia="宋体" w:hAnsi="宋体" w:cs="宋体" w:hint="eastAsia"/>
                <w:bCs/>
                <w:color w:val="FF0000"/>
                <w:sz w:val="21"/>
                <w:szCs w:val="21"/>
              </w:rPr>
              <w:t>《深圳市托育机构设置指南》要求</w:t>
            </w:r>
            <w:r>
              <w:rPr>
                <w:rFonts w:ascii="宋体" w:eastAsia="宋体" w:hAnsi="宋体" w:cs="宋体" w:hint="eastAsia"/>
                <w:bCs/>
                <w:color w:val="FF0000"/>
                <w:sz w:val="21"/>
                <w:szCs w:val="21"/>
                <w:lang w:eastAsia="zh-CN"/>
              </w:rPr>
              <w:t>，</w:t>
            </w:r>
            <w:r>
              <w:rPr>
                <w:rFonts w:ascii="宋体" w:eastAsia="宋体" w:hAnsi="宋体" w:cs="宋体" w:hint="eastAsia"/>
                <w:bCs/>
                <w:color w:val="FF0000"/>
                <w:sz w:val="21"/>
                <w:szCs w:val="21"/>
                <w:lang w:eastAsia="zh-CN"/>
              </w:rPr>
              <w:t>设置</w:t>
            </w:r>
            <w:r>
              <w:rPr>
                <w:rFonts w:ascii="宋体" w:eastAsia="宋体" w:hAnsi="宋体" w:cs="宋体" w:hint="eastAsia"/>
                <w:bCs/>
                <w:color w:val="FF0000"/>
                <w:sz w:val="21"/>
                <w:szCs w:val="21"/>
              </w:rPr>
              <w:t>托位数</w:t>
            </w:r>
            <w:r>
              <w:rPr>
                <w:rFonts w:ascii="宋体" w:eastAsia="宋体" w:hAnsi="宋体" w:cs="宋体" w:hint="eastAsia"/>
                <w:bCs/>
                <w:color w:val="FF0000"/>
                <w:sz w:val="21"/>
                <w:szCs w:val="21"/>
                <w:lang w:eastAsia="zh-CN"/>
              </w:rPr>
              <w:t>68</w:t>
            </w:r>
            <w:r>
              <w:rPr>
                <w:rFonts w:ascii="宋体" w:eastAsia="宋体" w:hAnsi="宋体" w:cs="宋体" w:hint="eastAsia"/>
                <w:bCs/>
                <w:color w:val="FF0000"/>
                <w:sz w:val="21"/>
                <w:szCs w:val="21"/>
              </w:rPr>
              <w:t>个</w:t>
            </w:r>
            <w:r>
              <w:rPr>
                <w:rFonts w:ascii="宋体" w:eastAsia="宋体" w:hAnsi="宋体" w:cs="宋体" w:hint="eastAsia"/>
                <w:bCs/>
                <w:color w:val="FF0000"/>
                <w:sz w:val="21"/>
                <w:szCs w:val="21"/>
                <w:lang w:eastAsia="zh-CN"/>
              </w:rPr>
              <w:t>，</w:t>
            </w:r>
            <w:r>
              <w:rPr>
                <w:rFonts w:ascii="宋体" w:eastAsia="宋体" w:hAnsi="宋体" w:cs="宋体" w:hint="eastAsia"/>
                <w:bCs/>
                <w:color w:val="FF0000"/>
                <w:sz w:val="21"/>
                <w:szCs w:val="21"/>
                <w:lang w:eastAsia="zh-CN"/>
              </w:rPr>
              <w:t>以备案数为准</w:t>
            </w:r>
            <w:r>
              <w:rPr>
                <w:rFonts w:ascii="宋体" w:eastAsia="宋体" w:hAnsi="宋体" w:cs="宋体" w:hint="eastAsia"/>
                <w:bCs/>
                <w:color w:val="FF0000"/>
                <w:sz w:val="21"/>
                <w:szCs w:val="21"/>
              </w:rPr>
              <w:t>。</w:t>
            </w:r>
            <w:r>
              <w:rPr>
                <w:rFonts w:ascii="宋体" w:eastAsia="宋体" w:hAnsi="宋体" w:cs="宋体" w:hint="eastAsia"/>
                <w:bCs/>
                <w:color w:val="FF0000"/>
                <w:sz w:val="21"/>
                <w:szCs w:val="21"/>
                <w:lang w:eastAsia="zh-CN"/>
              </w:rPr>
              <w:t>根据《深圳市普惠托育机构补助暂行办法》，如需申请相关政策性补贴，保育服务费收费标准须符合相关要求。</w:t>
            </w:r>
          </w:p>
        </w:tc>
      </w:tr>
      <w:tr>
        <w:tblPrEx>
          <w:tblW w:w="5000" w:type="pct"/>
          <w:tblInd w:w="0" w:type="dxa"/>
          <w:tblLayout w:type="fixed"/>
          <w:tblCellMar>
            <w:top w:w="0" w:type="dxa"/>
            <w:left w:w="108" w:type="dxa"/>
            <w:bottom w:w="0" w:type="dxa"/>
            <w:right w:w="108" w:type="dxa"/>
          </w:tblCellMar>
        </w:tblPrEx>
        <w:trPr>
          <w:trHeight w:val="2185"/>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301" w:type="pct"/>
            <w:vMerge/>
            <w:noWrap w:val="0"/>
            <w:vAlign w:val="center"/>
          </w:tcPr>
          <w:p>
            <w:pPr>
              <w:widowControl/>
              <w:jc w:val="left"/>
              <w:rPr>
                <w:rFonts w:ascii="宋体" w:eastAsia="宋体" w:hAnsi="宋体" w:cs="宋体" w:hint="eastAsia"/>
                <w:bCs/>
                <w:sz w:val="21"/>
                <w:szCs w:val="21"/>
              </w:rPr>
            </w:pPr>
          </w:p>
        </w:tc>
        <w:tc>
          <w:tcPr>
            <w:tcW w:w="353" w:type="pct"/>
            <w:vMerge/>
            <w:noWrap w:val="0"/>
            <w:vAlign w:val="center"/>
          </w:tcPr>
          <w:p>
            <w:pPr>
              <w:widowControl/>
              <w:jc w:val="left"/>
              <w:rPr>
                <w:rFonts w:ascii="宋体" w:eastAsia="宋体" w:hAnsi="宋体" w:cs="宋体" w:hint="eastAsia"/>
                <w:bCs/>
                <w:sz w:val="21"/>
                <w:szCs w:val="21"/>
              </w:rPr>
            </w:pP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街道残疾人综合(职</w:t>
            </w:r>
          </w:p>
          <w:p>
            <w:pPr>
              <w:widowControl/>
              <w:jc w:val="center"/>
              <w:rPr>
                <w:rFonts w:ascii="宋体" w:eastAsia="宋体" w:hAnsi="宋体" w:cs="宋体" w:hint="eastAsia"/>
                <w:bCs/>
                <w:sz w:val="21"/>
                <w:szCs w:val="21"/>
              </w:rPr>
            </w:pPr>
            <w:r>
              <w:rPr>
                <w:rFonts w:ascii="宋体" w:eastAsia="宋体" w:hAnsi="宋体" w:cs="宋体" w:hint="eastAsia"/>
                <w:bCs/>
                <w:sz w:val="21"/>
                <w:szCs w:val="21"/>
              </w:rPr>
              <w:t>业)康复服务中心</w:t>
            </w:r>
          </w:p>
        </w:tc>
        <w:tc>
          <w:tcPr>
            <w:tcW w:w="576" w:type="pct"/>
            <w:vMerge w:val="restart"/>
            <w:noWrap/>
            <w:vAlign w:val="center"/>
          </w:tcPr>
          <w:p>
            <w:pPr>
              <w:widowControl/>
              <w:jc w:val="center"/>
              <w:rPr>
                <w:rFonts w:ascii="宋体" w:eastAsia="宋体" w:hAnsi="宋体" w:cs="宋体" w:hint="eastAsia"/>
                <w:sz w:val="21"/>
                <w:szCs w:val="21"/>
              </w:rPr>
            </w:pPr>
            <w:r>
              <w:rPr>
                <w:rFonts w:ascii="宋体" w:eastAsia="宋体" w:hAnsi="宋体" w:cs="宋体" w:hint="eastAsia"/>
                <w:sz w:val="21"/>
                <w:szCs w:val="21"/>
              </w:rPr>
              <w:t>87-237</w:t>
            </w:r>
          </w:p>
        </w:tc>
        <w:tc>
          <w:tcPr>
            <w:tcW w:w="2924" w:type="pct"/>
            <w:noWrap w:val="0"/>
            <w:vAlign w:val="center"/>
          </w:tcPr>
          <w:p>
            <w:pPr>
              <w:widowControl/>
              <w:jc w:val="left"/>
              <w:rPr>
                <w:rFonts w:ascii="宋体" w:eastAsia="宋体" w:hAnsi="宋体" w:cs="宋体" w:hint="eastAsia"/>
                <w:bCs/>
                <w:sz w:val="21"/>
                <w:szCs w:val="21"/>
              </w:rPr>
            </w:pPr>
            <w:r>
              <w:rPr>
                <w:rFonts w:ascii="宋体" w:eastAsia="宋体" w:hAnsi="宋体" w:cs="宋体" w:hint="eastAsia"/>
                <w:bCs/>
                <w:sz w:val="21"/>
                <w:szCs w:val="21"/>
              </w:rPr>
              <w:t>为本街道辖区残疾人提供以日间照料、辅助性就业、康复与技能训练、文体活动等为基础的各项服务,为残疾人及家属提供心理辅导、康复知识宣导、残健联谊等支援服务,以及开展扶残助残宣传活动,营造社会氛围,维护残疾人合法权益等。</w:t>
            </w:r>
          </w:p>
          <w:p>
            <w:pPr>
              <w:widowControl/>
              <w:jc w:val="left"/>
              <w:rPr>
                <w:rFonts w:hint="eastAsia"/>
              </w:rPr>
            </w:pPr>
            <w:r>
              <w:rPr>
                <w:rFonts w:ascii="宋体" w:eastAsia="宋体" w:hAnsi="宋体" w:cs="宋体" w:hint="eastAsia"/>
                <w:color w:val="FF0000"/>
                <w:kern w:val="2"/>
                <w:lang w:eastAsia="zh-CN"/>
              </w:rPr>
              <w:t>★</w:t>
            </w:r>
            <w:r>
              <w:rPr>
                <w:rFonts w:ascii="宋体" w:eastAsia="宋体" w:hAnsi="宋体" w:cs="宋体" w:hint="eastAsia"/>
                <w:color w:val="FF0000"/>
                <w:sz w:val="21"/>
                <w:szCs w:val="21"/>
              </w:rPr>
              <w:t>按照《深圳市残疾人街道综合（职业）康复服务中心管理办法》要求，按规定配备持有相应职业资格的专业人员及管理人员，为辖区残疾人提供政策性服务。</w:t>
            </w:r>
          </w:p>
        </w:tc>
      </w:tr>
      <w:tr>
        <w:tblPrEx>
          <w:tblW w:w="5000" w:type="pct"/>
          <w:tblInd w:w="0" w:type="dxa"/>
          <w:tblLayout w:type="fixed"/>
          <w:tblCellMar>
            <w:top w:w="0" w:type="dxa"/>
            <w:left w:w="108" w:type="dxa"/>
            <w:bottom w:w="0" w:type="dxa"/>
            <w:right w:w="108" w:type="dxa"/>
          </w:tblCellMar>
        </w:tblPrEx>
        <w:trPr>
          <w:trHeight w:val="571"/>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4</w:t>
            </w:r>
          </w:p>
        </w:tc>
        <w:tc>
          <w:tcPr>
            <w:tcW w:w="301" w:type="pct"/>
            <w:vMerge/>
            <w:noWrap w:val="0"/>
            <w:vAlign w:val="center"/>
          </w:tcPr>
          <w:p>
            <w:pPr>
              <w:widowControl/>
              <w:jc w:val="left"/>
              <w:rPr>
                <w:rFonts w:ascii="宋体" w:eastAsia="宋体" w:hAnsi="宋体" w:cs="宋体" w:hint="eastAsia"/>
                <w:bCs/>
                <w:sz w:val="21"/>
                <w:szCs w:val="21"/>
              </w:rPr>
            </w:pPr>
          </w:p>
        </w:tc>
        <w:tc>
          <w:tcPr>
            <w:tcW w:w="353" w:type="pct"/>
            <w:vMerge/>
            <w:noWrap w:val="0"/>
            <w:vAlign w:val="center"/>
          </w:tcPr>
          <w:p>
            <w:pPr>
              <w:widowControl/>
              <w:jc w:val="left"/>
              <w:rPr>
                <w:rFonts w:ascii="宋体" w:eastAsia="宋体" w:hAnsi="宋体" w:cs="宋体" w:hint="eastAsia"/>
                <w:bCs/>
                <w:sz w:val="21"/>
                <w:szCs w:val="21"/>
              </w:rPr>
            </w:pP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便民服务中心</w:t>
            </w:r>
          </w:p>
        </w:tc>
        <w:tc>
          <w:tcPr>
            <w:tcW w:w="576" w:type="pct"/>
            <w:vMerge/>
            <w:noWrap w:val="0"/>
            <w:vAlign w:val="center"/>
          </w:tcPr>
          <w:p>
            <w:pPr>
              <w:widowControl/>
              <w:jc w:val="left"/>
              <w:rPr>
                <w:rFonts w:ascii="宋体" w:eastAsia="宋体" w:hAnsi="宋体" w:cs="宋体" w:hint="eastAsia"/>
                <w:sz w:val="21"/>
                <w:szCs w:val="21"/>
              </w:rPr>
            </w:pPr>
          </w:p>
        </w:tc>
        <w:tc>
          <w:tcPr>
            <w:tcW w:w="2924" w:type="pct"/>
            <w:noWrap w:val="0"/>
            <w:vAlign w:val="center"/>
          </w:tcPr>
          <w:p>
            <w:pPr>
              <w:widowControl/>
              <w:jc w:val="left"/>
              <w:rPr>
                <w:rFonts w:ascii="宋体" w:eastAsia="宋体" w:hAnsi="宋体" w:cs="宋体" w:hint="eastAsia"/>
                <w:bCs/>
                <w:sz w:val="21"/>
                <w:szCs w:val="21"/>
              </w:rPr>
            </w:pPr>
            <w:r>
              <w:rPr>
                <w:rFonts w:ascii="宋体" w:eastAsia="宋体" w:hAnsi="宋体" w:cs="宋体" w:hint="eastAsia"/>
                <w:bCs/>
                <w:sz w:val="21"/>
                <w:szCs w:val="21"/>
              </w:rPr>
              <w:t>免费提供居民休息区，提供免费饮水等；为退役军人服务；智慧展厅、公益宣传。</w:t>
            </w:r>
          </w:p>
        </w:tc>
      </w:tr>
      <w:tr>
        <w:tblPrEx>
          <w:tblW w:w="5000" w:type="pct"/>
          <w:tblInd w:w="0" w:type="dxa"/>
          <w:tblLayout w:type="fixed"/>
          <w:tblCellMar>
            <w:top w:w="0" w:type="dxa"/>
            <w:left w:w="108" w:type="dxa"/>
            <w:bottom w:w="0" w:type="dxa"/>
            <w:right w:w="108" w:type="dxa"/>
          </w:tblCellMar>
        </w:tblPrEx>
        <w:trPr>
          <w:trHeight w:val="274"/>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5</w:t>
            </w:r>
          </w:p>
        </w:tc>
        <w:tc>
          <w:tcPr>
            <w:tcW w:w="301" w:type="pct"/>
            <w:vMerge/>
            <w:noWrap w:val="0"/>
            <w:vAlign w:val="center"/>
          </w:tcPr>
          <w:p>
            <w:pPr>
              <w:widowControl/>
              <w:jc w:val="left"/>
              <w:rPr>
                <w:rFonts w:ascii="宋体" w:eastAsia="宋体" w:hAnsi="宋体" w:cs="宋体" w:hint="eastAsia"/>
                <w:bCs/>
                <w:sz w:val="21"/>
                <w:szCs w:val="21"/>
              </w:rPr>
            </w:pPr>
          </w:p>
        </w:tc>
        <w:tc>
          <w:tcPr>
            <w:tcW w:w="353" w:type="pct"/>
            <w:vMerge/>
            <w:noWrap w:val="0"/>
            <w:vAlign w:val="center"/>
          </w:tcPr>
          <w:p>
            <w:pPr>
              <w:widowControl/>
              <w:jc w:val="left"/>
              <w:rPr>
                <w:rFonts w:ascii="宋体" w:eastAsia="宋体" w:hAnsi="宋体" w:cs="宋体" w:hint="eastAsia"/>
                <w:bCs/>
                <w:sz w:val="21"/>
                <w:szCs w:val="21"/>
              </w:rPr>
            </w:pP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其他</w:t>
            </w:r>
          </w:p>
        </w:tc>
        <w:tc>
          <w:tcPr>
            <w:tcW w:w="576" w:type="pct"/>
            <w:vMerge/>
            <w:noWrap w:val="0"/>
            <w:vAlign w:val="center"/>
          </w:tcPr>
          <w:p>
            <w:pPr>
              <w:widowControl/>
              <w:jc w:val="left"/>
              <w:rPr>
                <w:rFonts w:ascii="宋体" w:eastAsia="宋体" w:hAnsi="宋体" w:cs="宋体" w:hint="eastAsia"/>
                <w:sz w:val="21"/>
                <w:szCs w:val="21"/>
              </w:rPr>
            </w:pPr>
          </w:p>
        </w:tc>
        <w:tc>
          <w:tcPr>
            <w:tcW w:w="2924" w:type="pct"/>
            <w:noWrap w:val="0"/>
            <w:vAlign w:val="center"/>
          </w:tcPr>
          <w:p>
            <w:pPr>
              <w:widowControl/>
              <w:jc w:val="left"/>
              <w:rPr>
                <w:rFonts w:ascii="宋体" w:eastAsia="宋体" w:hAnsi="宋体" w:cs="宋体" w:hint="eastAsia"/>
                <w:bCs/>
                <w:sz w:val="21"/>
                <w:szCs w:val="21"/>
              </w:rPr>
            </w:pPr>
            <w:r>
              <w:rPr>
                <w:rFonts w:ascii="宋体" w:eastAsia="宋体" w:hAnsi="宋体" w:cs="宋体" w:hint="eastAsia"/>
                <w:bCs/>
                <w:sz w:val="21"/>
                <w:szCs w:val="21"/>
              </w:rPr>
              <w:t>经政府方同意的其他社区服务功能。</w:t>
            </w:r>
          </w:p>
        </w:tc>
      </w:tr>
      <w:tr>
        <w:tblPrEx>
          <w:tblW w:w="5000" w:type="pct"/>
          <w:tblInd w:w="0" w:type="dxa"/>
          <w:tblLayout w:type="fixed"/>
          <w:tblCellMar>
            <w:top w:w="0" w:type="dxa"/>
            <w:left w:w="108" w:type="dxa"/>
            <w:bottom w:w="0" w:type="dxa"/>
            <w:right w:w="108" w:type="dxa"/>
          </w:tblCellMar>
        </w:tblPrEx>
        <w:trPr>
          <w:trHeight w:val="841"/>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6</w:t>
            </w:r>
          </w:p>
        </w:tc>
        <w:tc>
          <w:tcPr>
            <w:tcW w:w="301" w:type="pct"/>
            <w:vMerge w:val="restar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第二层</w:t>
            </w:r>
          </w:p>
        </w:tc>
        <w:tc>
          <w:tcPr>
            <w:tcW w:w="353" w:type="pct"/>
            <w:vMerge w:val="restar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974</w:t>
            </w: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文化休闲</w:t>
            </w:r>
          </w:p>
        </w:tc>
        <w:tc>
          <w:tcPr>
            <w:tcW w:w="576" w:type="pct"/>
            <w:noWrap/>
            <w:vAlign w:val="center"/>
          </w:tcPr>
          <w:p>
            <w:pPr>
              <w:widowControl/>
              <w:jc w:val="center"/>
              <w:rPr>
                <w:rFonts w:ascii="宋体" w:eastAsia="宋体" w:hAnsi="宋体" w:cs="宋体" w:hint="eastAsia"/>
                <w:sz w:val="21"/>
                <w:szCs w:val="21"/>
              </w:rPr>
            </w:pPr>
            <w:r>
              <w:rPr>
                <w:rFonts w:ascii="宋体" w:eastAsia="宋体" w:hAnsi="宋体" w:cs="宋体" w:hint="eastAsia"/>
                <w:sz w:val="21"/>
                <w:szCs w:val="21"/>
              </w:rPr>
              <w:t>300-400</w:t>
            </w:r>
          </w:p>
        </w:tc>
        <w:tc>
          <w:tcPr>
            <w:tcW w:w="2924" w:type="pct"/>
            <w:noWrap w:val="0"/>
            <w:vAlign w:val="center"/>
          </w:tcPr>
          <w:p>
            <w:pPr>
              <w:widowControl/>
              <w:jc w:val="left"/>
              <w:rPr>
                <w:rFonts w:ascii="宋体" w:eastAsia="宋体" w:hAnsi="宋体" w:cs="宋体" w:hint="eastAsia"/>
                <w:bCs/>
                <w:sz w:val="21"/>
                <w:szCs w:val="21"/>
              </w:rPr>
            </w:pPr>
            <w:r>
              <w:rPr>
                <w:rFonts w:ascii="宋体" w:eastAsia="宋体" w:hAnsi="宋体" w:cs="宋体" w:hint="eastAsia"/>
                <w:bCs/>
                <w:sz w:val="21"/>
                <w:szCs w:val="21"/>
              </w:rPr>
              <w:t>可选择提供图书、书画、音乐、舞蹈、棋牌、展览等服务，满足居民书报阅览、文化活动、休闲娱乐等需求。</w:t>
            </w:r>
          </w:p>
        </w:tc>
      </w:tr>
      <w:tr>
        <w:tblPrEx>
          <w:tblW w:w="5000" w:type="pct"/>
          <w:tblInd w:w="0" w:type="dxa"/>
          <w:tblLayout w:type="fixed"/>
          <w:tblCellMar>
            <w:top w:w="0" w:type="dxa"/>
            <w:left w:w="108" w:type="dxa"/>
            <w:bottom w:w="0" w:type="dxa"/>
            <w:right w:w="108" w:type="dxa"/>
          </w:tblCellMar>
        </w:tblPrEx>
        <w:trPr>
          <w:trHeight w:val="997"/>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7</w:t>
            </w:r>
          </w:p>
        </w:tc>
        <w:tc>
          <w:tcPr>
            <w:tcW w:w="301" w:type="pct"/>
            <w:vMerge/>
            <w:noWrap w:val="0"/>
            <w:vAlign w:val="center"/>
          </w:tcPr>
          <w:p>
            <w:pPr>
              <w:widowControl/>
              <w:jc w:val="left"/>
              <w:rPr>
                <w:rFonts w:ascii="宋体" w:eastAsia="宋体" w:hAnsi="宋体" w:cs="宋体" w:hint="eastAsia"/>
                <w:bCs/>
                <w:sz w:val="21"/>
                <w:szCs w:val="21"/>
              </w:rPr>
            </w:pPr>
          </w:p>
        </w:tc>
        <w:tc>
          <w:tcPr>
            <w:tcW w:w="353" w:type="pct"/>
            <w:vMerge/>
            <w:noWrap w:val="0"/>
            <w:vAlign w:val="center"/>
          </w:tcPr>
          <w:p>
            <w:pPr>
              <w:widowControl/>
              <w:jc w:val="left"/>
              <w:rPr>
                <w:rFonts w:ascii="宋体" w:eastAsia="宋体" w:hAnsi="宋体" w:cs="宋体" w:hint="eastAsia"/>
                <w:bCs/>
                <w:sz w:val="21"/>
                <w:szCs w:val="21"/>
              </w:rPr>
            </w:pP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健康服务</w:t>
            </w:r>
          </w:p>
        </w:tc>
        <w:tc>
          <w:tcPr>
            <w:tcW w:w="576" w:type="pct"/>
            <w:vMerge w:val="restart"/>
            <w:noWrap/>
            <w:vAlign w:val="center"/>
          </w:tcPr>
          <w:p>
            <w:pPr>
              <w:widowControl/>
              <w:jc w:val="center"/>
              <w:rPr>
                <w:rFonts w:ascii="宋体" w:eastAsia="宋体" w:hAnsi="宋体" w:cs="宋体" w:hint="eastAsia"/>
                <w:sz w:val="21"/>
                <w:szCs w:val="21"/>
              </w:rPr>
            </w:pPr>
            <w:r>
              <w:rPr>
                <w:rFonts w:ascii="宋体" w:eastAsia="宋体" w:hAnsi="宋体" w:cs="宋体" w:hint="eastAsia"/>
                <w:sz w:val="21"/>
                <w:szCs w:val="21"/>
              </w:rPr>
              <w:t>574-674</w:t>
            </w:r>
          </w:p>
        </w:tc>
        <w:tc>
          <w:tcPr>
            <w:tcW w:w="2924" w:type="pct"/>
            <w:noWrap w:val="0"/>
            <w:vAlign w:val="center"/>
          </w:tcPr>
          <w:p>
            <w:pPr>
              <w:widowControl/>
              <w:jc w:val="left"/>
              <w:rPr>
                <w:rFonts w:ascii="宋体" w:eastAsia="宋体" w:hAnsi="宋体" w:cs="宋体" w:hint="eastAsia"/>
                <w:bCs/>
                <w:sz w:val="21"/>
                <w:szCs w:val="21"/>
              </w:rPr>
            </w:pPr>
            <w:r>
              <w:rPr>
                <w:rFonts w:ascii="宋体" w:eastAsia="宋体" w:hAnsi="宋体" w:cs="宋体" w:hint="eastAsia"/>
                <w:bCs/>
                <w:sz w:val="21"/>
                <w:szCs w:val="21"/>
              </w:rPr>
              <w:t>为老人、儿童及其他居民开展健康咨询，中医理疗，康复保健等服务。</w:t>
            </w:r>
          </w:p>
        </w:tc>
      </w:tr>
      <w:tr>
        <w:tblPrEx>
          <w:tblW w:w="5000" w:type="pct"/>
          <w:tblInd w:w="0" w:type="dxa"/>
          <w:tblLayout w:type="fixed"/>
          <w:tblCellMar>
            <w:top w:w="0" w:type="dxa"/>
            <w:left w:w="108" w:type="dxa"/>
            <w:bottom w:w="0" w:type="dxa"/>
            <w:right w:w="108" w:type="dxa"/>
          </w:tblCellMar>
        </w:tblPrEx>
        <w:trPr>
          <w:trHeight w:val="997"/>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8</w:t>
            </w:r>
          </w:p>
        </w:tc>
        <w:tc>
          <w:tcPr>
            <w:tcW w:w="301" w:type="pct"/>
            <w:vMerge/>
            <w:noWrap w:val="0"/>
            <w:vAlign w:val="center"/>
          </w:tcPr>
          <w:p>
            <w:pPr>
              <w:widowControl/>
              <w:jc w:val="left"/>
              <w:rPr>
                <w:rFonts w:ascii="宋体" w:eastAsia="宋体" w:hAnsi="宋体" w:cs="宋体" w:hint="eastAsia"/>
                <w:bCs/>
                <w:sz w:val="21"/>
                <w:szCs w:val="21"/>
              </w:rPr>
            </w:pPr>
          </w:p>
        </w:tc>
        <w:tc>
          <w:tcPr>
            <w:tcW w:w="353" w:type="pct"/>
            <w:vMerge/>
            <w:noWrap w:val="0"/>
            <w:vAlign w:val="center"/>
          </w:tcPr>
          <w:p>
            <w:pPr>
              <w:widowControl/>
              <w:jc w:val="left"/>
              <w:rPr>
                <w:rFonts w:ascii="宋体" w:eastAsia="宋体" w:hAnsi="宋体" w:cs="宋体" w:hint="eastAsia"/>
                <w:bCs/>
                <w:sz w:val="21"/>
                <w:szCs w:val="21"/>
              </w:rPr>
            </w:pP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未成年人保护工作站</w:t>
            </w:r>
          </w:p>
        </w:tc>
        <w:tc>
          <w:tcPr>
            <w:tcW w:w="576" w:type="pct"/>
            <w:vMerge/>
            <w:noWrap/>
            <w:vAlign w:val="center"/>
          </w:tcPr>
          <w:p>
            <w:pPr>
              <w:widowControl/>
              <w:jc w:val="center"/>
              <w:rPr>
                <w:rFonts w:ascii="宋体" w:eastAsia="宋体" w:hAnsi="宋体" w:cs="宋体" w:hint="eastAsia"/>
                <w:sz w:val="21"/>
                <w:szCs w:val="21"/>
              </w:rPr>
            </w:pPr>
          </w:p>
        </w:tc>
        <w:tc>
          <w:tcPr>
            <w:tcW w:w="2924" w:type="pct"/>
            <w:noWrap w:val="0"/>
            <w:vAlign w:val="center"/>
          </w:tcPr>
          <w:p>
            <w:pPr>
              <w:widowControl/>
              <w:jc w:val="left"/>
              <w:rPr>
                <w:rFonts w:ascii="宋体" w:eastAsia="宋体" w:hAnsi="宋体" w:cs="宋体" w:hint="eastAsia"/>
                <w:bCs/>
                <w:sz w:val="21"/>
                <w:szCs w:val="21"/>
              </w:rPr>
            </w:pPr>
            <w:r>
              <w:rPr>
                <w:rFonts w:ascii="宋体" w:eastAsia="宋体" w:hAnsi="宋体" w:cs="宋体" w:hint="eastAsia"/>
                <w:bCs/>
                <w:sz w:val="21"/>
                <w:szCs w:val="21"/>
              </w:rPr>
              <w:t>按照深圳市《未成年人保护工作站建设指南》及其他相关文件规定进行建设运营。</w:t>
            </w:r>
          </w:p>
        </w:tc>
      </w:tr>
      <w:tr>
        <w:tblPrEx>
          <w:tblW w:w="5000" w:type="pct"/>
          <w:tblInd w:w="0" w:type="dxa"/>
          <w:tblLayout w:type="fixed"/>
          <w:tblCellMar>
            <w:top w:w="0" w:type="dxa"/>
            <w:left w:w="108" w:type="dxa"/>
            <w:bottom w:w="0" w:type="dxa"/>
            <w:right w:w="108" w:type="dxa"/>
          </w:tblCellMar>
        </w:tblPrEx>
        <w:trPr>
          <w:trHeight w:val="529"/>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9</w:t>
            </w:r>
          </w:p>
        </w:tc>
        <w:tc>
          <w:tcPr>
            <w:tcW w:w="301" w:type="pct"/>
            <w:vMerge/>
            <w:noWrap w:val="0"/>
            <w:vAlign w:val="center"/>
          </w:tcPr>
          <w:p>
            <w:pPr>
              <w:widowControl/>
              <w:jc w:val="left"/>
              <w:rPr>
                <w:rFonts w:ascii="宋体" w:eastAsia="宋体" w:hAnsi="宋体" w:cs="宋体" w:hint="eastAsia"/>
                <w:bCs/>
                <w:sz w:val="21"/>
                <w:szCs w:val="21"/>
              </w:rPr>
            </w:pPr>
          </w:p>
        </w:tc>
        <w:tc>
          <w:tcPr>
            <w:tcW w:w="353" w:type="pct"/>
            <w:vMerge/>
            <w:noWrap w:val="0"/>
            <w:vAlign w:val="center"/>
          </w:tcPr>
          <w:p>
            <w:pPr>
              <w:widowControl/>
              <w:jc w:val="left"/>
              <w:rPr>
                <w:rFonts w:ascii="宋体" w:eastAsia="宋体" w:hAnsi="宋体" w:cs="宋体" w:hint="eastAsia"/>
                <w:bCs/>
                <w:sz w:val="21"/>
                <w:szCs w:val="21"/>
              </w:rPr>
            </w:pP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其他</w:t>
            </w:r>
          </w:p>
        </w:tc>
        <w:tc>
          <w:tcPr>
            <w:tcW w:w="576" w:type="pct"/>
            <w:vMerge/>
            <w:noWrap w:val="0"/>
            <w:vAlign w:val="center"/>
          </w:tcPr>
          <w:p>
            <w:pPr>
              <w:widowControl/>
              <w:jc w:val="left"/>
              <w:rPr>
                <w:rFonts w:ascii="宋体" w:eastAsia="宋体" w:hAnsi="宋体" w:cs="宋体" w:hint="eastAsia"/>
                <w:sz w:val="21"/>
                <w:szCs w:val="21"/>
              </w:rPr>
            </w:pPr>
          </w:p>
        </w:tc>
        <w:tc>
          <w:tcPr>
            <w:tcW w:w="2924" w:type="pct"/>
            <w:noWrap w:val="0"/>
            <w:vAlign w:val="center"/>
          </w:tcPr>
          <w:p>
            <w:pPr>
              <w:widowControl/>
              <w:jc w:val="left"/>
              <w:rPr>
                <w:rFonts w:ascii="宋体" w:eastAsia="宋体" w:hAnsi="宋体" w:cs="宋体" w:hint="eastAsia"/>
                <w:bCs/>
                <w:sz w:val="21"/>
                <w:szCs w:val="21"/>
              </w:rPr>
            </w:pPr>
            <w:r>
              <w:rPr>
                <w:rFonts w:ascii="宋体" w:eastAsia="宋体" w:hAnsi="宋体" w:cs="宋体" w:hint="eastAsia"/>
                <w:bCs/>
                <w:sz w:val="21"/>
                <w:szCs w:val="21"/>
              </w:rPr>
              <w:t>经政府方同意的其他社区服务功能。</w:t>
            </w:r>
          </w:p>
        </w:tc>
      </w:tr>
      <w:tr>
        <w:tblPrEx>
          <w:tblW w:w="5000" w:type="pct"/>
          <w:tblInd w:w="0" w:type="dxa"/>
          <w:tblLayout w:type="fixed"/>
          <w:tblCellMar>
            <w:top w:w="0" w:type="dxa"/>
            <w:left w:w="108" w:type="dxa"/>
            <w:bottom w:w="0" w:type="dxa"/>
            <w:right w:w="108" w:type="dxa"/>
          </w:tblCellMar>
        </w:tblPrEx>
        <w:trPr>
          <w:trHeight w:val="862"/>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10</w:t>
            </w:r>
          </w:p>
        </w:tc>
        <w:tc>
          <w:tcPr>
            <w:tcW w:w="301"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第三层</w:t>
            </w:r>
          </w:p>
        </w:tc>
        <w:tc>
          <w:tcPr>
            <w:tcW w:w="353" w:type="pct"/>
            <w:noWrap/>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801</w:t>
            </w: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养老用房</w:t>
            </w:r>
          </w:p>
        </w:tc>
        <w:tc>
          <w:tcPr>
            <w:tcW w:w="576" w:type="pct"/>
            <w:vMerge w:val="restart"/>
            <w:noWrap w:val="0"/>
            <w:vAlign w:val="center"/>
          </w:tcPr>
          <w:p>
            <w:pPr>
              <w:widowControl/>
              <w:jc w:val="center"/>
              <w:rPr>
                <w:rFonts w:ascii="宋体" w:eastAsia="宋体" w:hAnsi="宋体" w:cs="宋体" w:hint="eastAsia"/>
                <w:sz w:val="21"/>
                <w:szCs w:val="21"/>
              </w:rPr>
            </w:pPr>
            <w:r>
              <w:rPr>
                <w:rFonts w:ascii="宋体" w:eastAsia="宋体" w:hAnsi="宋体" w:cs="宋体" w:hint="eastAsia"/>
                <w:sz w:val="21"/>
                <w:szCs w:val="21"/>
              </w:rPr>
              <w:t>1602</w:t>
            </w:r>
          </w:p>
        </w:tc>
        <w:tc>
          <w:tcPr>
            <w:tcW w:w="2924" w:type="pct"/>
            <w:vMerge w:val="restart"/>
            <w:noWrap w:val="0"/>
            <w:vAlign w:val="center"/>
          </w:tcPr>
          <w:p>
            <w:pPr>
              <w:widowControl/>
              <w:rPr>
                <w:rFonts w:ascii="宋体" w:eastAsia="宋体" w:hAnsi="宋体" w:cs="宋体" w:hint="eastAsia"/>
                <w:sz w:val="21"/>
                <w:szCs w:val="21"/>
              </w:rPr>
            </w:pPr>
            <w:r>
              <w:rPr>
                <w:rFonts w:ascii="宋体" w:eastAsia="宋体" w:hAnsi="宋体" w:cs="宋体" w:hint="eastAsia"/>
                <w:sz w:val="21"/>
                <w:szCs w:val="21"/>
              </w:rPr>
              <w:t>统筹考虑项目空间，符合深圳市《长者服务中心（站、点）建设规范》长者服务中心以及《深圳市深入推进老有颐养“907”幸福康养惠民工程 健全完善居家和社区养老服务体系行动方案（2023—2025年）》示范性街道长者服务中心的要求，并设置长者标识标牌。</w:t>
            </w:r>
          </w:p>
          <w:p>
            <w:pPr>
              <w:widowControl/>
              <w:rPr>
                <w:rFonts w:ascii="宋体" w:eastAsia="宋体" w:hAnsi="宋体" w:cs="宋体"/>
                <w:sz w:val="21"/>
                <w:szCs w:val="21"/>
                <w:lang w:eastAsia="zh-CN"/>
              </w:rPr>
            </w:pPr>
            <w:r>
              <w:rPr>
                <w:rFonts w:ascii="宋体" w:eastAsia="宋体" w:hAnsi="宋体" w:cs="宋体" w:hint="eastAsia"/>
                <w:color w:val="FF0000"/>
                <w:kern w:val="2"/>
                <w:lang w:eastAsia="zh-CN"/>
              </w:rPr>
              <w:t>★</w:t>
            </w:r>
            <w:r>
              <w:rPr>
                <w:rFonts w:ascii="宋体" w:eastAsia="宋体" w:hAnsi="宋体" w:cs="宋体" w:hint="eastAsia"/>
                <w:color w:val="FF0000"/>
                <w:sz w:val="21"/>
                <w:szCs w:val="21"/>
              </w:rPr>
              <w:t>养老床位不少于50张，其中</w:t>
            </w:r>
            <w:r>
              <w:rPr>
                <w:rFonts w:ascii="宋体" w:eastAsia="宋体" w:hAnsi="宋体" w:cs="宋体" w:hint="eastAsia"/>
                <w:color w:val="FF0000"/>
                <w:sz w:val="21"/>
                <w:szCs w:val="21"/>
                <w:lang w:eastAsia="zh-CN"/>
              </w:rPr>
              <w:t>政策性养老</w:t>
            </w:r>
            <w:r>
              <w:rPr>
                <w:rFonts w:ascii="宋体" w:eastAsia="宋体" w:hAnsi="宋体" w:cs="宋体" w:hint="eastAsia"/>
                <w:color w:val="FF0000"/>
                <w:sz w:val="21"/>
                <w:szCs w:val="21"/>
              </w:rPr>
              <w:t>床位不少于10张</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rPr>
              <w:t>收费标准参考《深圳市公立养老机构项目收费标准》；剩余床位由运营主体按普惠原则自主定价，报</w:t>
            </w:r>
            <w:r>
              <w:rPr>
                <w:rFonts w:ascii="宋体" w:eastAsia="宋体" w:hAnsi="宋体" w:cs="宋体" w:hint="eastAsia"/>
                <w:color w:val="FF0000"/>
                <w:sz w:val="21"/>
                <w:szCs w:val="21"/>
                <w:lang w:eastAsia="zh-CN"/>
              </w:rPr>
              <w:t>甲</w:t>
            </w:r>
            <w:r>
              <w:rPr>
                <w:rFonts w:ascii="宋体" w:eastAsia="宋体" w:hAnsi="宋体" w:cs="宋体" w:hint="eastAsia"/>
                <w:color w:val="FF0000"/>
                <w:sz w:val="21"/>
                <w:szCs w:val="21"/>
              </w:rPr>
              <w:t>方备案后实施。</w:t>
            </w:r>
            <w:r>
              <w:rPr>
                <w:rFonts w:ascii="宋体" w:eastAsia="宋体" w:hAnsi="宋体" w:cs="宋体" w:hint="eastAsia"/>
                <w:color w:val="FF0000"/>
                <w:sz w:val="21"/>
                <w:szCs w:val="21"/>
                <w:lang w:eastAsia="zh-CN"/>
              </w:rPr>
              <w:t>养老床位服务标准均按照民政部《</w:t>
            </w:r>
            <w:r>
              <w:rPr>
                <w:rFonts w:ascii="宋体" w:eastAsia="宋体" w:hAnsi="宋体" w:cs="宋体" w:hint="eastAsia"/>
                <w:color w:val="FF0000"/>
                <w:sz w:val="21"/>
                <w:szCs w:val="21"/>
                <w:lang w:eastAsia="zh-CN" w:bidi="ar"/>
              </w:rPr>
              <w:t>养老机构生活照料服务规范</w:t>
            </w:r>
            <w:r>
              <w:rPr>
                <w:rFonts w:ascii="宋体" w:eastAsia="宋体" w:hAnsi="宋体" w:cs="宋体" w:hint="eastAsia"/>
                <w:color w:val="FF0000"/>
                <w:sz w:val="21"/>
                <w:szCs w:val="21"/>
                <w:lang w:eastAsia="zh-CN"/>
              </w:rPr>
              <w:t>》执行。</w:t>
            </w:r>
          </w:p>
        </w:tc>
      </w:tr>
      <w:tr>
        <w:tblPrEx>
          <w:tblW w:w="5000" w:type="pct"/>
          <w:tblInd w:w="0" w:type="dxa"/>
          <w:tblLayout w:type="fixed"/>
          <w:tblCellMar>
            <w:top w:w="0" w:type="dxa"/>
            <w:left w:w="108" w:type="dxa"/>
            <w:bottom w:w="0" w:type="dxa"/>
            <w:right w:w="108" w:type="dxa"/>
          </w:tblCellMar>
        </w:tblPrEx>
        <w:trPr>
          <w:trHeight w:val="642"/>
        </w:trPr>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11</w:t>
            </w:r>
          </w:p>
        </w:tc>
        <w:tc>
          <w:tcPr>
            <w:tcW w:w="301"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第四层</w:t>
            </w:r>
          </w:p>
        </w:tc>
        <w:tc>
          <w:tcPr>
            <w:tcW w:w="35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801</w:t>
            </w:r>
          </w:p>
        </w:tc>
        <w:tc>
          <w:tcPr>
            <w:tcW w:w="493" w:type="pct"/>
            <w:noWrap w:val="0"/>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养老用房</w:t>
            </w:r>
          </w:p>
        </w:tc>
        <w:tc>
          <w:tcPr>
            <w:tcW w:w="576" w:type="pct"/>
            <w:vMerge/>
            <w:noWrap w:val="0"/>
            <w:vAlign w:val="center"/>
          </w:tcPr>
          <w:p>
            <w:pPr>
              <w:widowControl/>
              <w:jc w:val="left"/>
              <w:rPr>
                <w:rFonts w:ascii="宋体" w:eastAsia="宋体" w:hAnsi="宋体" w:cs="宋体" w:hint="eastAsia"/>
                <w:sz w:val="21"/>
                <w:szCs w:val="21"/>
              </w:rPr>
            </w:pPr>
          </w:p>
        </w:tc>
        <w:tc>
          <w:tcPr>
            <w:tcW w:w="2924" w:type="pct"/>
            <w:vMerge/>
            <w:noWrap w:val="0"/>
            <w:vAlign w:val="center"/>
          </w:tcPr>
          <w:p>
            <w:pPr>
              <w:widowControl/>
              <w:jc w:val="left"/>
              <w:rPr>
                <w:rFonts w:ascii="宋体" w:eastAsia="宋体" w:hAnsi="宋体" w:cs="宋体" w:hint="eastAsia"/>
                <w:sz w:val="21"/>
                <w:szCs w:val="21"/>
              </w:rPr>
            </w:pPr>
          </w:p>
        </w:tc>
      </w:tr>
      <w:tr>
        <w:tblPrEx>
          <w:tblW w:w="5000" w:type="pct"/>
          <w:tblInd w:w="0" w:type="dxa"/>
          <w:tblLayout w:type="fixed"/>
          <w:tblCellMar>
            <w:top w:w="0" w:type="dxa"/>
            <w:left w:w="108" w:type="dxa"/>
            <w:bottom w:w="0" w:type="dxa"/>
            <w:right w:w="108" w:type="dxa"/>
          </w:tblCellMar>
        </w:tblPrEx>
        <w:trPr>
          <w:trHeight w:val="489"/>
        </w:trPr>
        <w:tc>
          <w:tcPr>
            <w:tcW w:w="353" w:type="pct"/>
            <w:noWrap/>
            <w:vAlign w:val="center"/>
          </w:tcPr>
          <w:p>
            <w:pPr>
              <w:widowControl/>
              <w:jc w:val="left"/>
              <w:rPr>
                <w:rFonts w:ascii="宋体" w:eastAsia="宋体" w:hAnsi="宋体" w:cs="宋体" w:hint="eastAsia"/>
                <w:sz w:val="21"/>
                <w:szCs w:val="21"/>
              </w:rPr>
            </w:pPr>
            <w:r>
              <w:rPr>
                <w:rFonts w:ascii="宋体" w:eastAsia="宋体" w:hAnsi="宋体" w:cs="宋体" w:hint="eastAsia"/>
                <w:sz w:val="21"/>
                <w:szCs w:val="21"/>
              </w:rPr>
              <w:t>合计</w:t>
            </w:r>
          </w:p>
        </w:tc>
        <w:tc>
          <w:tcPr>
            <w:tcW w:w="301" w:type="pct"/>
            <w:noWrap/>
            <w:vAlign w:val="center"/>
          </w:tcPr>
          <w:p>
            <w:pPr>
              <w:widowControl/>
              <w:jc w:val="left"/>
              <w:rPr>
                <w:rFonts w:ascii="宋体" w:eastAsia="宋体" w:hAnsi="宋体" w:cs="宋体" w:hint="eastAsia"/>
                <w:sz w:val="21"/>
                <w:szCs w:val="21"/>
              </w:rPr>
            </w:pPr>
            <w:r>
              <w:rPr>
                <w:rFonts w:ascii="宋体" w:eastAsia="宋体" w:hAnsi="宋体" w:cs="宋体" w:hint="eastAsia"/>
                <w:sz w:val="21"/>
                <w:szCs w:val="21"/>
              </w:rPr>
              <w:t>　</w:t>
            </w:r>
          </w:p>
        </w:tc>
        <w:tc>
          <w:tcPr>
            <w:tcW w:w="353" w:type="pct"/>
            <w:noWrap/>
            <w:vAlign w:val="center"/>
          </w:tcPr>
          <w:p>
            <w:pPr>
              <w:widowControl/>
              <w:jc w:val="center"/>
              <w:rPr>
                <w:rFonts w:ascii="宋体" w:eastAsia="宋体" w:hAnsi="宋体" w:cs="宋体" w:hint="eastAsia"/>
                <w:sz w:val="21"/>
                <w:szCs w:val="21"/>
              </w:rPr>
            </w:pPr>
            <w:r>
              <w:rPr>
                <w:rFonts w:ascii="宋体" w:eastAsia="宋体" w:hAnsi="宋体" w:cs="宋体" w:hint="eastAsia"/>
                <w:sz w:val="21"/>
                <w:szCs w:val="21"/>
              </w:rPr>
              <w:t>3413</w:t>
            </w:r>
          </w:p>
        </w:tc>
        <w:tc>
          <w:tcPr>
            <w:tcW w:w="493" w:type="pct"/>
            <w:noWrap/>
            <w:vAlign w:val="center"/>
          </w:tcPr>
          <w:p>
            <w:pPr>
              <w:widowControl/>
              <w:jc w:val="center"/>
              <w:rPr>
                <w:rFonts w:ascii="宋体" w:eastAsia="宋体" w:hAnsi="宋体" w:cs="宋体" w:hint="eastAsia"/>
                <w:sz w:val="21"/>
                <w:szCs w:val="21"/>
              </w:rPr>
            </w:pPr>
          </w:p>
        </w:tc>
        <w:tc>
          <w:tcPr>
            <w:tcW w:w="576" w:type="pct"/>
            <w:noWrap/>
            <w:vAlign w:val="center"/>
          </w:tcPr>
          <w:p>
            <w:pPr>
              <w:widowControl/>
              <w:jc w:val="center"/>
              <w:rPr>
                <w:rFonts w:ascii="宋体" w:eastAsia="宋体" w:hAnsi="宋体" w:cs="宋体" w:hint="eastAsia"/>
                <w:bCs/>
                <w:sz w:val="21"/>
                <w:szCs w:val="21"/>
              </w:rPr>
            </w:pPr>
            <w:r>
              <w:rPr>
                <w:rFonts w:ascii="宋体" w:eastAsia="宋体" w:hAnsi="宋体" w:cs="宋体" w:hint="eastAsia"/>
                <w:bCs/>
                <w:sz w:val="21"/>
                <w:szCs w:val="21"/>
              </w:rPr>
              <w:t>3413</w:t>
            </w:r>
          </w:p>
        </w:tc>
        <w:tc>
          <w:tcPr>
            <w:tcW w:w="2924" w:type="pct"/>
            <w:noWrap/>
            <w:vAlign w:val="center"/>
          </w:tcPr>
          <w:p>
            <w:pPr>
              <w:widowControl/>
              <w:jc w:val="center"/>
              <w:rPr>
                <w:rFonts w:ascii="宋体" w:eastAsia="宋体" w:hAnsi="宋体" w:cs="宋体" w:hint="eastAsia"/>
                <w:sz w:val="21"/>
                <w:szCs w:val="21"/>
              </w:rPr>
            </w:pPr>
          </w:p>
        </w:tc>
      </w:tr>
    </w:tbl>
    <w:p>
      <w:pPr>
        <w:widowControl w:val="0"/>
        <w:autoSpaceDE w:val="0"/>
        <w:autoSpaceDN w:val="0"/>
        <w:adjustRightInd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注：方案中所称面积均指建筑面积；项目应按照（DB4403-T398-2023）《长者服务中心（站、点）建设规范》中长者服务中心的要求，统筹项目空间，设置老年人用房和管理服务用房，其中老年人用房包含生活用房、文娱与健身用房、康复与医疗用房，管理服务用房包含办公用房和后勤服务用房， 并按照（DB4403-T398-2023）长者服务中心（站、点）建设规范设置长者标识标牌。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本项目由中标的运营主体负责整体统筹优化设计，优化设计方案应报实施机构审核同意后执行。各空间功能服务配置须兼顾公益性服务内容。</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本项目由运营主体自营，未经实施机构书面同意，运营主体不得将本项目整体或部分分包或转包给第三方。</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项目中养老用房，运营主体应根据深圳市《长者服务中心（站、点）建设规范》长者服务中心以及《深圳市深入推进老有颐养“907”幸福康养惠民工程 健全完善居家和社区养老服务体系行动方案（2023—2025年）的通知》中示范性街道长者服务中心的要求，建设示范性街道长者服务中心,应获评深圳市社区养老服务机构质量评价4A级以上</w:t>
      </w:r>
      <w:r>
        <w:rPr>
          <w:rFonts w:ascii="宋体" w:eastAsia="宋体" w:hAnsi="宋体" w:cs="宋体" w:hint="eastAsia"/>
          <w:sz w:val="21"/>
          <w:szCs w:val="21"/>
          <w:lang w:eastAsia="zh-CN"/>
        </w:rPr>
        <w:t>，</w:t>
      </w:r>
      <w:r>
        <w:rPr>
          <w:rFonts w:ascii="宋体" w:eastAsia="宋体" w:hAnsi="宋体" w:cs="宋体" w:hint="eastAsia"/>
          <w:sz w:val="21"/>
          <w:szCs w:val="21"/>
        </w:rPr>
        <w:t>建筑面积不少于 1500 平方米,托养床位不少于 30 张且护理型占比 80%以上,并建设或使用智慧养老院系统,实现“智慧养老”服务管理,构建街道、社区、小区、家庭四级养老服务网络。</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在运营过程中，运营主体可根据便民服务需求情况进行功能调整，但调整需符合届时的相关规定，且应事先征得实施机构同意。</w:t>
      </w:r>
      <w:bookmarkStart w:id="58" w:name="_Toc181310761"/>
    </w:p>
    <w:p>
      <w:pPr>
        <w:keepNext/>
        <w:keepLines/>
        <w:spacing w:before="0" w:after="0" w:line="360" w:lineRule="auto"/>
        <w:ind w:firstLine="420" w:firstLineChars="200"/>
        <w:outlineLvl w:val="3"/>
        <w:rPr>
          <w:rFonts w:ascii="宋体" w:eastAsia="宋体" w:hAnsi="宋体" w:cs="宋体" w:hint="eastAsia"/>
          <w:b/>
          <w:bCs/>
          <w:sz w:val="21"/>
          <w:szCs w:val="21"/>
        </w:rPr>
      </w:pPr>
      <w:r>
        <w:rPr>
          <w:rFonts w:ascii="宋体" w:eastAsia="宋体" w:hAnsi="宋体" w:cs="宋体" w:hint="eastAsia"/>
          <w:b/>
          <w:bCs/>
          <w:sz w:val="21"/>
          <w:szCs w:val="21"/>
          <w:lang w:eastAsia="zh-CN"/>
        </w:rPr>
        <w:t>2</w:t>
      </w:r>
      <w:r>
        <w:rPr>
          <w:rFonts w:ascii="宋体" w:eastAsia="宋体" w:hAnsi="宋体" w:cs="宋体" w:hint="eastAsia"/>
          <w:b/>
          <w:bCs/>
          <w:sz w:val="21"/>
          <w:szCs w:val="21"/>
        </w:rPr>
        <w:t>.5项目场地组织、日常维护、管理运营</w:t>
      </w:r>
      <w:bookmarkEnd w:id="58"/>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本项目按公建民营模式引入社会力量运营，由其负责清水河街道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社区综合服务体的功能优化升级及场地组织、日常维护、管理运营等，为居民提供复合型社区服务。</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b/>
          <w:bCs/>
          <w:sz w:val="21"/>
          <w:szCs w:val="21"/>
          <w:lang w:eastAsia="zh-CN"/>
        </w:rPr>
        <w:t>2</w:t>
      </w:r>
      <w:r>
        <w:rPr>
          <w:rFonts w:ascii="宋体" w:eastAsia="宋体" w:hAnsi="宋体" w:cs="宋体" w:hint="eastAsia"/>
          <w:b/>
          <w:bCs/>
          <w:sz w:val="21"/>
          <w:szCs w:val="21"/>
        </w:rPr>
        <w:t>.5.1</w:t>
      </w:r>
      <w:r>
        <w:rPr>
          <w:rFonts w:ascii="宋体" w:eastAsia="宋体" w:hAnsi="宋体" w:cs="宋体" w:hint="eastAsia"/>
          <w:sz w:val="21"/>
          <w:szCs w:val="21"/>
        </w:rPr>
        <w:t>本项目运营阶段主要由运营主体负责，其具体工作如下：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（1）运营主体负责本项目的运营及维护，在运营期主要通过取得使用者付费收入收回投资并取得合理回报；</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（2）运营主体在运营期内严格按照法律及运营合同规定进行运营，并确保项目达到合同约定的标准；</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（3）在满足公益性功能要求及活动的前提下，运营主体按照社区综合服务体的定位进行运营；</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rPr>
        <w:t>（4）运营期满，将项目资产完好无偿移交给政府，并向政府提供一年的无偿保修服务。</w:t>
      </w:r>
      <w:r>
        <w:rPr>
          <w:rFonts w:ascii="宋体" w:eastAsia="宋体" w:hAnsi="宋体" w:cs="宋体" w:hint="eastAsia"/>
          <w:sz w:val="21"/>
          <w:szCs w:val="21"/>
          <w:lang w:eastAsia="zh-CN"/>
        </w:rPr>
        <w:t>一年保修期自</w:t>
      </w:r>
      <w:r>
        <w:rPr>
          <w:rFonts w:ascii="宋体" w:eastAsia="宋体" w:hAnsi="宋体" w:cs="宋体" w:hint="eastAsia"/>
          <w:sz w:val="21"/>
          <w:szCs w:val="21"/>
        </w:rPr>
        <w:t>甲乙双方书面确认移交完成</w:t>
      </w:r>
      <w:r>
        <w:rPr>
          <w:rFonts w:ascii="宋体" w:eastAsia="宋体" w:hAnsi="宋体" w:cs="宋体" w:hint="eastAsia"/>
          <w:sz w:val="21"/>
          <w:szCs w:val="21"/>
          <w:lang w:eastAsia="zh-CN"/>
        </w:rPr>
        <w:t>之</w:t>
      </w:r>
      <w:r>
        <w:rPr>
          <w:rFonts w:ascii="宋体" w:eastAsia="宋体" w:hAnsi="宋体" w:cs="宋体" w:hint="eastAsia"/>
          <w:sz w:val="21"/>
          <w:szCs w:val="21"/>
        </w:rPr>
        <w:t>日</w:t>
      </w:r>
      <w:r>
        <w:rPr>
          <w:rFonts w:ascii="宋体" w:eastAsia="宋体" w:hAnsi="宋体" w:cs="宋体" w:hint="eastAsia"/>
          <w:sz w:val="21"/>
          <w:szCs w:val="21"/>
          <w:lang w:eastAsia="zh-CN"/>
        </w:rPr>
        <w:t>起计算</w:t>
      </w:r>
      <w:r>
        <w:rPr>
          <w:rFonts w:ascii="宋体" w:eastAsia="宋体" w:hAnsi="宋体" w:cs="宋体" w:hint="eastAsia"/>
          <w:sz w:val="21"/>
          <w:szCs w:val="21"/>
          <w:lang w:eastAsia="zh-CN"/>
        </w:rPr>
        <w:t>。</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在项目运营阶段，政府主要负责开展对运营主体的绩效考核和监督管理工作。</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sz w:val="21"/>
          <w:szCs w:val="21"/>
        </w:rPr>
      </w:pPr>
      <w:r>
        <w:rPr>
          <w:rFonts w:ascii="宋体" w:eastAsia="宋体" w:hAnsi="宋体" w:cs="宋体" w:hint="eastAsia"/>
          <w:b/>
          <w:bCs/>
          <w:sz w:val="21"/>
          <w:szCs w:val="21"/>
          <w:lang w:eastAsia="zh-CN"/>
        </w:rPr>
        <w:t>2</w:t>
      </w:r>
      <w:r>
        <w:rPr>
          <w:rFonts w:ascii="宋体" w:eastAsia="宋体" w:hAnsi="宋体" w:cs="宋体" w:hint="eastAsia"/>
          <w:b/>
          <w:bCs/>
          <w:sz w:val="21"/>
          <w:szCs w:val="21"/>
        </w:rPr>
        <w:t>.5.2本项目运营主体的运营范围主要包括：</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sz w:val="21"/>
          <w:szCs w:val="21"/>
        </w:rPr>
      </w:pPr>
      <w:r>
        <w:rPr>
          <w:rFonts w:ascii="宋体" w:eastAsia="宋体" w:hAnsi="宋体" w:cs="宋体" w:hint="eastAsia"/>
          <w:b/>
          <w:bCs/>
          <w:sz w:val="21"/>
          <w:szCs w:val="21"/>
        </w:rPr>
        <w:t>（1）运营主体的设施维护范围：</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运营主体负责项目所有资产的运营维护工作。运营维护内容包括主体形成的资产、室内装修工程形成的资产、与项目经营有关的设备器具等。具体如下：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eq \o\ac(○,1)</w:instrText>
      </w:r>
      <w:r>
        <w:rPr>
          <w:rFonts w:ascii="宋体" w:eastAsia="宋体" w:hAnsi="宋体" w:cs="宋体" w:hint="eastAsia"/>
          <w:sz w:val="21"/>
          <w:szCs w:val="21"/>
        </w:rPr>
        <w:fldChar w:fldCharType="separate"/>
      </w:r>
      <w:r>
        <w:rPr>
          <w:rFonts w:ascii="宋体" w:eastAsia="宋体" w:hAnsi="宋体" w:cs="宋体" w:hint="eastAsia"/>
          <w:sz w:val="21"/>
          <w:szCs w:val="21"/>
        </w:rPr>
        <w:fldChar w:fldCharType="end"/>
      </w:r>
      <w:r>
        <w:rPr>
          <w:rFonts w:ascii="宋体" w:eastAsia="宋体" w:hAnsi="宋体" w:cs="宋体" w:hint="eastAsia"/>
          <w:sz w:val="21"/>
          <w:szCs w:val="21"/>
        </w:rPr>
        <w:t>项目范围内房屋建筑、内部装饰装修、外立面维修维护；</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eq \o\ac(○,2)</w:instrText>
      </w:r>
      <w:r>
        <w:rPr>
          <w:rFonts w:ascii="宋体" w:eastAsia="宋体" w:hAnsi="宋体" w:cs="宋体" w:hint="eastAsia"/>
          <w:sz w:val="21"/>
          <w:szCs w:val="21"/>
        </w:rPr>
        <w:fldChar w:fldCharType="separate"/>
      </w:r>
      <w:r>
        <w:rPr>
          <w:rFonts w:ascii="宋体" w:eastAsia="宋体" w:hAnsi="宋体" w:cs="宋体" w:hint="eastAsia"/>
          <w:sz w:val="21"/>
          <w:szCs w:val="21"/>
        </w:rPr>
        <w:fldChar w:fldCharType="end"/>
      </w:r>
      <w:r>
        <w:rPr>
          <w:rFonts w:ascii="宋体" w:eastAsia="宋体" w:hAnsi="宋体" w:cs="宋体" w:hint="eastAsia"/>
          <w:sz w:val="21"/>
          <w:szCs w:val="21"/>
        </w:rPr>
        <w:t>房屋建筑内附属公共设施维修维护，包括供排水系统、强弱电系统、空调通风系统、消防系统、防盗监控系统、电梯、防雷、照明等；</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eq \o\ac(○,3)</w:instrText>
      </w:r>
      <w:r>
        <w:rPr>
          <w:rFonts w:ascii="宋体" w:eastAsia="宋体" w:hAnsi="宋体" w:cs="宋体" w:hint="eastAsia"/>
          <w:sz w:val="21"/>
          <w:szCs w:val="21"/>
        </w:rPr>
        <w:fldChar w:fldCharType="separate"/>
      </w:r>
      <w:r>
        <w:rPr>
          <w:rFonts w:ascii="宋体" w:eastAsia="宋体" w:hAnsi="宋体" w:cs="宋体" w:hint="eastAsia"/>
          <w:sz w:val="21"/>
          <w:szCs w:val="21"/>
        </w:rPr>
        <w:fldChar w:fldCharType="end"/>
      </w:r>
      <w:r>
        <w:rPr>
          <w:rFonts w:ascii="宋体" w:eastAsia="宋体" w:hAnsi="宋体" w:cs="宋体" w:hint="eastAsia"/>
          <w:sz w:val="21"/>
          <w:szCs w:val="21"/>
        </w:rPr>
        <w:t>室内设施设备、公共配套设施等的管养与维护和物业管理服务。</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sz w:val="21"/>
          <w:szCs w:val="21"/>
        </w:rPr>
      </w:pPr>
      <w:r>
        <w:rPr>
          <w:rFonts w:ascii="宋体" w:eastAsia="宋体" w:hAnsi="宋体" w:cs="宋体" w:hint="eastAsia"/>
          <w:b/>
          <w:bCs/>
          <w:sz w:val="21"/>
          <w:szCs w:val="21"/>
        </w:rPr>
        <w:t>（2）运营维护成本承担：</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运营主体承担合作范围内的工程及设备设施的日常运营维护成本及大修与重置成本。</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sz w:val="21"/>
          <w:szCs w:val="21"/>
        </w:rPr>
      </w:pPr>
      <w:r>
        <w:rPr>
          <w:rFonts w:ascii="宋体" w:eastAsia="宋体" w:hAnsi="宋体" w:cs="宋体" w:hint="eastAsia"/>
          <w:b/>
          <w:bCs/>
          <w:sz w:val="21"/>
          <w:szCs w:val="21"/>
        </w:rPr>
        <w:t>（3）运营主体经营内容</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运营主体可通过项目范围内可经营的内容获取收益。涉及向使用者收费的项目，收费标准以不高于同类项目市场价为原则，须向</w:t>
      </w:r>
      <w:r>
        <w:rPr>
          <w:rFonts w:ascii="宋体" w:eastAsia="宋体" w:hAnsi="宋体" w:cs="宋体" w:hint="eastAsia"/>
          <w:sz w:val="21"/>
          <w:szCs w:val="21"/>
          <w:lang w:eastAsia="zh-CN"/>
        </w:rPr>
        <w:t>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备案后执行。具体内容以运营主体提交并经</w:t>
      </w:r>
      <w:r>
        <w:rPr>
          <w:rFonts w:ascii="宋体" w:eastAsia="宋体" w:hAnsi="宋体" w:cs="宋体" w:hint="eastAsia"/>
          <w:sz w:val="21"/>
          <w:szCs w:val="21"/>
          <w:lang w:eastAsia="zh-CN"/>
        </w:rPr>
        <w:t>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审核同意的方案为准。</w:t>
      </w:r>
    </w:p>
    <w:p>
      <w:pPr>
        <w:keepNext/>
        <w:keepLines/>
        <w:spacing w:before="0" w:after="0" w:line="360" w:lineRule="auto"/>
        <w:ind w:firstLine="420" w:firstLineChars="200"/>
        <w:outlineLvl w:val="3"/>
        <w:rPr>
          <w:rFonts w:ascii="宋体" w:eastAsia="宋体" w:hAnsi="宋体" w:cs="宋体" w:hint="eastAsia"/>
          <w:b/>
          <w:bCs/>
          <w:sz w:val="21"/>
          <w:szCs w:val="21"/>
        </w:rPr>
      </w:pPr>
      <w:bookmarkStart w:id="59" w:name="_Toc181310762"/>
      <w:r>
        <w:rPr>
          <w:rFonts w:ascii="宋体" w:eastAsia="宋体" w:hAnsi="宋体" w:cs="宋体" w:hint="eastAsia"/>
          <w:b/>
          <w:bCs/>
          <w:sz w:val="21"/>
          <w:szCs w:val="21"/>
          <w:lang w:eastAsia="zh-CN"/>
        </w:rPr>
        <w:t>2</w:t>
      </w:r>
      <w:r>
        <w:rPr>
          <w:rFonts w:ascii="宋体" w:eastAsia="宋体" w:hAnsi="宋体" w:cs="宋体" w:hint="eastAsia"/>
          <w:b/>
          <w:bCs/>
          <w:sz w:val="21"/>
          <w:szCs w:val="21"/>
        </w:rPr>
        <w:t>.6项目公益性说明</w:t>
      </w:r>
      <w:bookmarkEnd w:id="59"/>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本项目的产出中对项目公益性服务提出了要求，并通过设置与产出要求相匹配绩效考核指标，对项目公益性服务的提供进行考核，以提高上述要求的约束力，鼓励运营主体积极参与公益性服务的提供。</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b/>
          <w:bCs/>
          <w:sz w:val="21"/>
          <w:szCs w:val="21"/>
          <w:lang w:eastAsia="zh-CN"/>
        </w:rPr>
        <w:t>2</w:t>
      </w:r>
      <w:r>
        <w:rPr>
          <w:rFonts w:ascii="宋体" w:eastAsia="宋体" w:hAnsi="宋体" w:cs="宋体" w:hint="eastAsia"/>
          <w:b/>
          <w:bCs/>
          <w:sz w:val="21"/>
          <w:szCs w:val="21"/>
        </w:rPr>
        <w:t>.6.1</w:t>
      </w:r>
      <w:r>
        <w:rPr>
          <w:rFonts w:ascii="宋体" w:eastAsia="宋体" w:hAnsi="宋体" w:cs="宋体" w:hint="eastAsia"/>
          <w:sz w:val="21"/>
          <w:szCs w:val="21"/>
        </w:rPr>
        <w:t>全免费类服务包括：</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（1）文体娱乐服务：图书阅览；</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eastAsia="zh-CN"/>
        </w:rPr>
        <w:t>残疾人职业</w:t>
      </w:r>
      <w:r>
        <w:rPr>
          <w:rFonts w:ascii="宋体" w:eastAsia="宋体" w:hAnsi="宋体" w:cs="宋体" w:hint="eastAsia"/>
          <w:sz w:val="21"/>
          <w:szCs w:val="21"/>
        </w:rPr>
        <w:t>康复服务：为残疾人提供</w:t>
      </w:r>
      <w:r>
        <w:rPr>
          <w:rFonts w:ascii="宋体" w:eastAsia="宋体" w:hAnsi="宋体" w:cs="宋体" w:hint="eastAsia"/>
          <w:sz w:val="21"/>
          <w:szCs w:val="21"/>
          <w:lang w:eastAsia="zh-CN"/>
        </w:rPr>
        <w:t>日间照料、辅助性就业、康复与技能训练、文体活动服务</w:t>
      </w:r>
      <w:r>
        <w:rPr>
          <w:rFonts w:ascii="宋体" w:eastAsia="宋体" w:hAnsi="宋体" w:cs="宋体" w:hint="eastAsia"/>
          <w:sz w:val="21"/>
          <w:szCs w:val="21"/>
        </w:rPr>
        <w:t>等；</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）志愿者服务：协助组织建立一支稳定的社区志愿者队伍；</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）智慧平台：协助政府对接社区人群的各类服务需求，整合链接民政、文体、卫健服务资源，提供全面、精准、便捷、智能的社区综合服务；</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）为居民提供休憩、如厕、饮水等便民服务。</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b/>
          <w:bCs/>
          <w:sz w:val="21"/>
          <w:szCs w:val="21"/>
          <w:lang w:eastAsia="zh-CN"/>
        </w:rPr>
        <w:t>2</w:t>
      </w:r>
      <w:r>
        <w:rPr>
          <w:rFonts w:ascii="宋体" w:eastAsia="宋体" w:hAnsi="宋体" w:cs="宋体" w:hint="eastAsia"/>
          <w:b/>
          <w:bCs/>
          <w:sz w:val="21"/>
          <w:szCs w:val="21"/>
        </w:rPr>
        <w:t>.6.2</w:t>
      </w:r>
      <w:r>
        <w:rPr>
          <w:rFonts w:ascii="宋体" w:eastAsia="宋体" w:hAnsi="宋体" w:cs="宋体" w:hint="eastAsia"/>
          <w:sz w:val="21"/>
          <w:szCs w:val="21"/>
        </w:rPr>
        <w:t>普惠收费标准</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合作期内，在满足公益性内容基础上，运营主体可提供价格普惠的社区服务，如养老服务类、社区食堂类、健康服务类、家政便民类、托育托管类以及其他便民服务等，但收费服务项目必须符合相关规定及要求。收费标准应以普惠惠民为原则，不得高于深圳市同类项目服务收费标准平均水平，收费标准需经</w:t>
      </w:r>
      <w:r>
        <w:rPr>
          <w:rFonts w:ascii="宋体" w:eastAsia="宋体" w:hAnsi="宋体" w:cs="宋体" w:hint="eastAsia"/>
          <w:sz w:val="21"/>
          <w:szCs w:val="21"/>
          <w:lang w:eastAsia="zh-CN"/>
        </w:rPr>
        <w:t>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备案同意后方可执行。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b/>
          <w:bCs/>
          <w:sz w:val="21"/>
          <w:szCs w:val="21"/>
          <w:lang w:eastAsia="zh-CN"/>
        </w:rPr>
        <w:t>2</w:t>
      </w:r>
      <w:r>
        <w:rPr>
          <w:rFonts w:ascii="宋体" w:eastAsia="宋体" w:hAnsi="宋体" w:cs="宋体" w:hint="eastAsia"/>
          <w:b/>
          <w:bCs/>
          <w:sz w:val="21"/>
          <w:szCs w:val="21"/>
        </w:rPr>
        <w:t>.6.3</w:t>
      </w:r>
      <w:r>
        <w:rPr>
          <w:rFonts w:ascii="宋体" w:eastAsia="宋体" w:hAnsi="宋体" w:cs="宋体" w:hint="eastAsia"/>
          <w:sz w:val="21"/>
          <w:szCs w:val="21"/>
        </w:rPr>
        <w:t>经营业态负面清单</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在项目所有场所不得从事“项目经营业态负面清单”所列的下述内容：</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酒吧、夜总会、歌舞厅娱乐活动。</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高度危险的室内外体育活动。</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产生高噪音的活动，如迪厅、卡拉OK厅、量贩式KTV。</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涉及“脏、散、乱”的小吃店。</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不符合社区服务功能定位的经营或者活动。</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其他符合以下任意一项原则的经营或者活动：</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eq \o\ac(○,1)</w:instrText>
      </w:r>
      <w:r>
        <w:rPr>
          <w:rFonts w:ascii="宋体" w:eastAsia="宋体" w:hAnsi="宋体" w:cs="宋体" w:hint="eastAsia"/>
          <w:sz w:val="21"/>
          <w:szCs w:val="21"/>
        </w:rPr>
        <w:fldChar w:fldCharType="separate"/>
      </w:r>
      <w:r>
        <w:rPr>
          <w:rFonts w:ascii="宋体" w:eastAsia="宋体" w:hAnsi="宋体" w:cs="宋体" w:hint="eastAsia"/>
          <w:sz w:val="21"/>
          <w:szCs w:val="21"/>
        </w:rPr>
        <w:fldChar w:fldCharType="end"/>
      </w:r>
      <w:r>
        <w:rPr>
          <w:rFonts w:ascii="宋体" w:eastAsia="宋体" w:hAnsi="宋体" w:cs="宋体" w:hint="eastAsia"/>
          <w:sz w:val="21"/>
          <w:szCs w:val="21"/>
        </w:rPr>
        <w:t>违法以及违背公序良俗。</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eq \o\ac(○,2)</w:instrText>
      </w:r>
      <w:r>
        <w:rPr>
          <w:rFonts w:ascii="宋体" w:eastAsia="宋体" w:hAnsi="宋体" w:cs="宋体" w:hint="eastAsia"/>
          <w:sz w:val="21"/>
          <w:szCs w:val="21"/>
        </w:rPr>
        <w:fldChar w:fldCharType="separate"/>
      </w:r>
      <w:r>
        <w:rPr>
          <w:rFonts w:ascii="宋体" w:eastAsia="宋体" w:hAnsi="宋体" w:cs="宋体" w:hint="eastAsia"/>
          <w:sz w:val="21"/>
          <w:szCs w:val="21"/>
        </w:rPr>
        <w:fldChar w:fldCharType="end"/>
      </w:r>
      <w:r>
        <w:rPr>
          <w:rFonts w:ascii="宋体" w:eastAsia="宋体" w:hAnsi="宋体" w:cs="宋体" w:hint="eastAsia"/>
          <w:sz w:val="21"/>
          <w:szCs w:val="21"/>
        </w:rPr>
        <w:t>对运营效果或项目形象产生不良影响。</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eq \o\ac(○,3)</w:instrText>
      </w:r>
      <w:r>
        <w:rPr>
          <w:rFonts w:ascii="宋体" w:eastAsia="宋体" w:hAnsi="宋体" w:cs="宋体" w:hint="eastAsia"/>
          <w:sz w:val="21"/>
          <w:szCs w:val="21"/>
        </w:rPr>
        <w:fldChar w:fldCharType="separate"/>
      </w:r>
      <w:r>
        <w:rPr>
          <w:rFonts w:ascii="宋体" w:eastAsia="宋体" w:hAnsi="宋体" w:cs="宋体" w:hint="eastAsia"/>
          <w:sz w:val="21"/>
          <w:szCs w:val="21"/>
        </w:rPr>
        <w:fldChar w:fldCharType="end"/>
      </w:r>
      <w:r>
        <w:rPr>
          <w:rFonts w:ascii="宋体" w:eastAsia="宋体" w:hAnsi="宋体" w:cs="宋体" w:hint="eastAsia"/>
          <w:sz w:val="21"/>
          <w:szCs w:val="21"/>
        </w:rPr>
        <w:t>有可能招致较大公众批评或反对，经过解释与补救之后仍然无法消除影响。</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政府方基于合理理由限制引入的其他经营或者活动。</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本项目功能区及面积最终以优化升级竣工验收确定的功能及面积为准。合作期内，如国家、广东省、深圳市、罗湖区出台新的相关规定，运营主体应按新规定执行，具体事宜协商处理。</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在合作期内，运营主体可根据周边市民群众及市场需求，经实施机构同意，可局部调整功能布局设置。</w:t>
      </w:r>
    </w:p>
    <w:p>
      <w:pPr>
        <w:keepNext/>
        <w:keepLines/>
        <w:pageBreakBefore w:val="0"/>
        <w:widowControl w:val="0"/>
        <w:kinsoku/>
        <w:wordWrap/>
        <w:overflowPunct/>
        <w:bidi w:val="0"/>
        <w:adjustRightInd/>
        <w:snapToGrid/>
        <w:spacing w:before="0" w:beforeLines="0" w:after="0" w:afterLines="0" w:line="140" w:lineRule="auto"/>
        <w:jc w:val="center"/>
        <w:textAlignment w:val="auto"/>
        <w:outlineLvl w:val="2"/>
        <w:rPr>
          <w:rFonts w:ascii="宋体" w:eastAsia="宋体" w:hAnsi="宋体" w:cs="宋体" w:hint="eastAsia"/>
          <w:b/>
          <w:bCs/>
          <w:kern w:val="44"/>
          <w:sz w:val="21"/>
          <w:szCs w:val="21"/>
          <w:lang w:eastAsia="zh-CN"/>
        </w:rPr>
      </w:pPr>
      <w:bookmarkStart w:id="60" w:name="_Toc181310763"/>
      <w:r>
        <w:rPr>
          <w:rFonts w:ascii="宋体" w:eastAsia="宋体" w:hAnsi="宋体" w:cs="宋体" w:hint="eastAsia"/>
          <w:b/>
          <w:bCs/>
          <w:kern w:val="44"/>
          <w:sz w:val="21"/>
          <w:szCs w:val="21"/>
          <w:lang w:eastAsia="zh-CN"/>
        </w:rPr>
        <w:t>三、</w:t>
      </w:r>
      <w:r>
        <w:rPr>
          <w:rFonts w:ascii="宋体" w:eastAsia="宋体" w:hAnsi="宋体" w:cs="宋体" w:hint="eastAsia"/>
          <w:b/>
          <w:bCs/>
          <w:kern w:val="44"/>
          <w:sz w:val="21"/>
          <w:szCs w:val="21"/>
          <w:lang w:eastAsia="zh-CN"/>
        </w:rPr>
        <w:t>行动策略</w:t>
      </w:r>
      <w:bookmarkEnd w:id="60"/>
    </w:p>
    <w:p>
      <w:pPr>
        <w:keepNext/>
        <w:keepLines/>
        <w:pageBreakBefore w:val="0"/>
        <w:kinsoku/>
        <w:wordWrap/>
        <w:overflowPunct/>
        <w:bidi w:val="0"/>
        <w:adjustRightInd/>
        <w:snapToGrid/>
        <w:spacing w:before="0" w:after="0" w:line="140" w:lineRule="auto"/>
        <w:ind w:firstLine="420" w:firstLineChars="200"/>
        <w:textAlignment w:val="auto"/>
        <w:outlineLvl w:val="3"/>
        <w:rPr>
          <w:rFonts w:ascii="宋体" w:eastAsia="宋体" w:hAnsi="宋体" w:cs="宋体" w:hint="eastAsia"/>
          <w:b/>
          <w:bCs/>
          <w:sz w:val="21"/>
          <w:szCs w:val="21"/>
        </w:rPr>
      </w:pPr>
      <w:bookmarkStart w:id="61" w:name="_Toc181310764"/>
      <w:r>
        <w:rPr>
          <w:rFonts w:ascii="宋体" w:eastAsia="宋体" w:hAnsi="宋体" w:cs="宋体" w:hint="eastAsia"/>
          <w:b/>
          <w:bCs/>
          <w:sz w:val="21"/>
          <w:szCs w:val="21"/>
          <w:lang w:eastAsia="zh-CN"/>
        </w:rPr>
        <w:t>3</w:t>
      </w:r>
      <w:r>
        <w:rPr>
          <w:rFonts w:ascii="宋体" w:eastAsia="宋体" w:hAnsi="宋体" w:cs="宋体" w:hint="eastAsia"/>
          <w:b/>
          <w:bCs/>
          <w:sz w:val="21"/>
          <w:szCs w:val="21"/>
        </w:rPr>
        <w:t>.1公众参与</w:t>
      </w:r>
      <w:bookmarkEnd w:id="61"/>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运营主体应主动建立一套有效的公众沟通机制，建立通畅的公众意见反馈的渠道。如设立投诉热线、开通具有信息反馈功能的官方微博、微信号等，并指定专门的部门或人员负责，做好项目信息、服务效果、舆情处理以及媒体关系的处理、公众信息的搜集和反馈等工作。</w:t>
      </w:r>
    </w:p>
    <w:p>
      <w:pPr>
        <w:keepNext/>
        <w:keepLines/>
        <w:pageBreakBefore w:val="0"/>
        <w:kinsoku/>
        <w:wordWrap/>
        <w:overflowPunct/>
        <w:bidi w:val="0"/>
        <w:adjustRightInd/>
        <w:snapToGrid/>
        <w:spacing w:before="0" w:after="0" w:line="140" w:lineRule="auto"/>
        <w:ind w:firstLine="420" w:firstLineChars="200"/>
        <w:textAlignment w:val="auto"/>
        <w:outlineLvl w:val="3"/>
        <w:rPr>
          <w:rFonts w:ascii="宋体" w:eastAsia="宋体" w:hAnsi="宋体" w:cs="宋体" w:hint="eastAsia"/>
          <w:b/>
          <w:bCs/>
          <w:sz w:val="21"/>
          <w:szCs w:val="21"/>
        </w:rPr>
      </w:pPr>
      <w:bookmarkStart w:id="62" w:name="_Toc181310765"/>
      <w:r>
        <w:rPr>
          <w:rFonts w:ascii="宋体" w:eastAsia="宋体" w:hAnsi="宋体" w:cs="宋体" w:hint="eastAsia"/>
          <w:b/>
          <w:bCs/>
          <w:sz w:val="21"/>
          <w:szCs w:val="21"/>
          <w:lang w:eastAsia="zh-CN"/>
        </w:rPr>
        <w:t>3</w:t>
      </w:r>
      <w:r>
        <w:rPr>
          <w:rFonts w:ascii="宋体" w:eastAsia="宋体" w:hAnsi="宋体" w:cs="宋体" w:hint="eastAsia"/>
          <w:b/>
          <w:bCs/>
          <w:sz w:val="21"/>
          <w:szCs w:val="21"/>
        </w:rPr>
        <w:t>.2资金筹措</w:t>
      </w:r>
      <w:bookmarkEnd w:id="62"/>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社区综合服务体纳入的公配物业,其工程建设由开发商负责，验收合格后移交政府方。</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社区综合服务体以竣工验收后现状交付给运营主体无偿使用，此后所有费用均由运营主体承担。</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★本项目要求功能优化的资金投入应不少于3000元/平方米，中标方在甲乙双方签订建设运营合同次日起不超过12个月内将建设资金投入到位。</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项目所需投入资金，全部由</w:t>
      </w:r>
      <w:r>
        <w:rPr>
          <w:rFonts w:ascii="宋体" w:eastAsia="宋体" w:hAnsi="宋体" w:cs="宋体" w:hint="eastAsia"/>
          <w:sz w:val="21"/>
          <w:szCs w:val="21"/>
          <w:lang w:eastAsia="zh-CN"/>
        </w:rPr>
        <w:t>建设</w:t>
      </w:r>
      <w:r>
        <w:rPr>
          <w:rFonts w:ascii="宋体" w:eastAsia="宋体" w:hAnsi="宋体" w:cs="宋体" w:hint="eastAsia"/>
          <w:sz w:val="21"/>
          <w:szCs w:val="21"/>
        </w:rPr>
        <w:t>运营主体负责筹措，政府方不提供任何担保。</w:t>
      </w:r>
    </w:p>
    <w:p>
      <w:pPr>
        <w:keepNext/>
        <w:keepLines/>
        <w:pageBreakBefore w:val="0"/>
        <w:kinsoku/>
        <w:wordWrap/>
        <w:overflowPunct/>
        <w:bidi w:val="0"/>
        <w:adjustRightInd/>
        <w:snapToGrid/>
        <w:spacing w:before="0" w:after="0" w:line="140" w:lineRule="auto"/>
        <w:ind w:firstLine="420" w:firstLineChars="200"/>
        <w:textAlignment w:val="auto"/>
        <w:outlineLvl w:val="3"/>
        <w:rPr>
          <w:rFonts w:ascii="宋体" w:eastAsia="宋体" w:hAnsi="宋体" w:cs="宋体" w:hint="eastAsia"/>
          <w:b/>
          <w:bCs/>
          <w:sz w:val="21"/>
          <w:szCs w:val="21"/>
        </w:rPr>
      </w:pPr>
      <w:bookmarkStart w:id="63" w:name="_Toc181310766"/>
      <w:r>
        <w:rPr>
          <w:rFonts w:ascii="宋体" w:eastAsia="宋体" w:hAnsi="宋体" w:cs="宋体" w:hint="eastAsia"/>
          <w:b/>
          <w:bCs/>
          <w:sz w:val="21"/>
          <w:szCs w:val="21"/>
          <w:lang w:eastAsia="zh-CN"/>
        </w:rPr>
        <w:t>3</w:t>
      </w:r>
      <w:r>
        <w:rPr>
          <w:rFonts w:ascii="宋体" w:eastAsia="宋体" w:hAnsi="宋体" w:cs="宋体" w:hint="eastAsia"/>
          <w:b/>
          <w:bCs/>
          <w:sz w:val="21"/>
          <w:szCs w:val="21"/>
        </w:rPr>
        <w:t>.3建设施工、建设时序</w:t>
      </w:r>
      <w:bookmarkEnd w:id="63"/>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本项目由</w:t>
      </w:r>
      <w:r>
        <w:rPr>
          <w:rFonts w:ascii="宋体" w:eastAsia="宋体" w:hAnsi="宋体" w:cs="宋体" w:hint="eastAsia"/>
          <w:sz w:val="21"/>
          <w:szCs w:val="21"/>
          <w:lang w:eastAsia="zh-CN"/>
        </w:rPr>
        <w:t>建设</w:t>
      </w:r>
      <w:r>
        <w:rPr>
          <w:rFonts w:ascii="宋体" w:eastAsia="宋体" w:hAnsi="宋体" w:cs="宋体" w:hint="eastAsia"/>
          <w:sz w:val="21"/>
          <w:szCs w:val="21"/>
        </w:rPr>
        <w:t>运营主体负责整体统筹优化设计及建设施工，优化设计方案应报</w:t>
      </w:r>
      <w:r>
        <w:rPr>
          <w:rFonts w:ascii="宋体" w:eastAsia="宋体" w:hAnsi="宋体" w:cs="宋体" w:hint="eastAsia"/>
          <w:sz w:val="21"/>
          <w:szCs w:val="21"/>
          <w:lang w:eastAsia="zh-CN"/>
        </w:rPr>
        <w:t>清水河街道</w:t>
      </w:r>
      <w:r>
        <w:rPr>
          <w:rFonts w:ascii="宋体" w:eastAsia="宋体" w:hAnsi="宋体" w:cs="宋体" w:hint="eastAsia"/>
          <w:sz w:val="21"/>
          <w:szCs w:val="21"/>
          <w:lang w:eastAsia="zh-CN"/>
        </w:rPr>
        <w:t>办事处</w:t>
      </w:r>
      <w:r>
        <w:rPr>
          <w:rFonts w:ascii="宋体" w:eastAsia="宋体" w:hAnsi="宋体" w:cs="宋体" w:hint="eastAsia"/>
          <w:sz w:val="21"/>
          <w:szCs w:val="21"/>
        </w:rPr>
        <w:t>审核同意后执行。本项目要求</w:t>
      </w:r>
      <w:r>
        <w:rPr>
          <w:rFonts w:ascii="宋体" w:eastAsia="宋体" w:hAnsi="宋体" w:cs="宋体" w:hint="eastAsia"/>
          <w:sz w:val="21"/>
          <w:szCs w:val="21"/>
          <w:lang w:eastAsia="zh-CN"/>
        </w:rPr>
        <w:t>建设</w:t>
      </w:r>
      <w:r>
        <w:rPr>
          <w:rFonts w:ascii="宋体" w:eastAsia="宋体" w:hAnsi="宋体" w:cs="宋体" w:hint="eastAsia"/>
          <w:sz w:val="21"/>
          <w:szCs w:val="21"/>
        </w:rPr>
        <w:t>运营主体在</w:t>
      </w:r>
      <w:r>
        <w:rPr>
          <w:rFonts w:ascii="宋体" w:eastAsia="宋体" w:hAnsi="宋体" w:cs="宋体" w:hint="eastAsia"/>
          <w:sz w:val="21"/>
          <w:szCs w:val="21"/>
          <w:lang w:eastAsia="zh-CN"/>
        </w:rPr>
        <w:t>甲乙双方签订</w:t>
      </w:r>
      <w:r>
        <w:rPr>
          <w:rFonts w:ascii="宋体" w:eastAsia="宋体" w:hAnsi="宋体" w:cs="宋体" w:hint="eastAsia"/>
          <w:sz w:val="21"/>
          <w:szCs w:val="21"/>
          <w:lang w:eastAsia="zh-CN"/>
        </w:rPr>
        <w:t>建设运营合同次日起不超过</w:t>
      </w:r>
      <w:r>
        <w:rPr>
          <w:rFonts w:ascii="宋体" w:eastAsia="宋体" w:hAnsi="宋体" w:cs="宋体" w:hint="eastAsia"/>
          <w:sz w:val="21"/>
          <w:szCs w:val="21"/>
        </w:rPr>
        <w:t>12个月内完成建设施工。</w:t>
      </w:r>
    </w:p>
    <w:p>
      <w:pPr>
        <w:keepNext/>
        <w:keepLines/>
        <w:pageBreakBefore w:val="0"/>
        <w:kinsoku/>
        <w:wordWrap/>
        <w:overflowPunct/>
        <w:bidi w:val="0"/>
        <w:adjustRightInd/>
        <w:snapToGrid/>
        <w:spacing w:before="0" w:after="0" w:line="140" w:lineRule="auto"/>
        <w:ind w:firstLine="420" w:firstLineChars="200"/>
        <w:textAlignment w:val="auto"/>
        <w:outlineLvl w:val="3"/>
        <w:rPr>
          <w:rFonts w:ascii="宋体" w:eastAsia="宋体" w:hAnsi="宋体" w:cs="宋体" w:hint="eastAsia"/>
          <w:b/>
          <w:bCs/>
          <w:sz w:val="21"/>
          <w:szCs w:val="21"/>
        </w:rPr>
      </w:pPr>
      <w:r>
        <w:rPr>
          <w:rFonts w:ascii="宋体" w:eastAsia="宋体" w:hAnsi="宋体" w:cs="宋体" w:hint="eastAsia"/>
          <w:b/>
          <w:bCs/>
          <w:sz w:val="21"/>
          <w:szCs w:val="21"/>
          <w:lang w:eastAsia="zh-CN"/>
        </w:rPr>
        <w:t>3</w:t>
      </w:r>
      <w:r>
        <w:rPr>
          <w:rFonts w:ascii="宋体" w:eastAsia="宋体" w:hAnsi="宋体" w:cs="宋体" w:hint="eastAsia"/>
          <w:b/>
          <w:bCs/>
          <w:sz w:val="21"/>
          <w:szCs w:val="21"/>
        </w:rPr>
        <w:t>.</w:t>
      </w:r>
      <w:r>
        <w:rPr>
          <w:rFonts w:ascii="宋体" w:eastAsia="宋体" w:hAnsi="宋体" w:cs="宋体" w:hint="eastAsia"/>
          <w:b/>
          <w:bCs/>
          <w:sz w:val="21"/>
          <w:szCs w:val="21"/>
          <w:lang w:eastAsia="zh-CN"/>
        </w:rPr>
        <w:t xml:space="preserve">4 </w:t>
      </w:r>
      <w:r>
        <w:rPr>
          <w:rFonts w:ascii="宋体" w:eastAsia="宋体" w:hAnsi="宋体" w:cs="宋体" w:hint="eastAsia"/>
          <w:b/>
          <w:bCs/>
          <w:sz w:val="21"/>
          <w:szCs w:val="21"/>
        </w:rPr>
        <w:t>特殊建设工程消防验收意见书</w:t>
      </w:r>
    </w:p>
    <w:p>
      <w:pPr>
        <w:keepNext w:val="0"/>
        <w:keepLines w:val="0"/>
        <w:pageBreakBefore w:val="0"/>
        <w:kinsoku/>
        <w:wordWrap/>
        <w:overflowPunct/>
        <w:bidi w:val="0"/>
        <w:adjustRightInd/>
        <w:snapToGrid/>
        <w:spacing w:before="100" w:beforeAutospacing="0" w:afterAutospacing="0" w:line="140" w:lineRule="auto"/>
        <w:ind w:firstLine="420" w:firstLineChars="200"/>
        <w:textAlignment w:val="auto"/>
        <w:rPr>
          <w:rFonts w:ascii="宋体" w:eastAsia="宋体" w:hAnsi="宋体" w:cs="宋体"/>
          <w:sz w:val="21"/>
          <w:szCs w:val="21"/>
        </w:rPr>
      </w:pPr>
      <w:r>
        <w:rPr>
          <w:rFonts w:ascii="宋体" w:eastAsia="宋体" w:hAnsi="宋体" w:cs="宋体" w:hint="eastAsia"/>
          <w:sz w:val="21"/>
          <w:szCs w:val="21"/>
          <w:lang w:eastAsia="zh-CN"/>
        </w:rPr>
        <w:t>本项目后期预计备案成养老机构，在通过罗湖区住房和建设局的二次消防验收后，可获得</w:t>
      </w:r>
      <w:r>
        <w:rPr>
          <w:rFonts w:ascii="宋体" w:eastAsia="宋体" w:hAnsi="宋体" w:cs="宋体" w:hint="eastAsia"/>
          <w:sz w:val="21"/>
          <w:szCs w:val="21"/>
        </w:rPr>
        <w:t>特殊建设工程消防验收意见书</w:t>
      </w:r>
      <w:r>
        <w:rPr>
          <w:rFonts w:ascii="宋体" w:eastAsia="宋体" w:hAnsi="宋体" w:cs="宋体" w:hint="eastAsia"/>
          <w:sz w:val="21"/>
          <w:szCs w:val="21"/>
          <w:lang w:eastAsia="zh-CN"/>
        </w:rPr>
        <w:t>；建设运营方可将</w:t>
      </w:r>
      <w:r>
        <w:rPr>
          <w:rFonts w:ascii="宋体" w:eastAsia="宋体" w:hAnsi="宋体" w:cs="宋体" w:hint="eastAsia"/>
          <w:sz w:val="21"/>
          <w:szCs w:val="21"/>
        </w:rPr>
        <w:t>特殊建设工程</w:t>
      </w:r>
      <w:r>
        <w:rPr>
          <w:rFonts w:ascii="宋体" w:eastAsia="宋体" w:hAnsi="宋体" w:cs="宋体" w:hint="eastAsia"/>
          <w:sz w:val="21"/>
          <w:szCs w:val="21"/>
          <w:lang w:eastAsia="zh-CN"/>
        </w:rPr>
        <w:t>消防意见书、特殊建设工程消防设计审查意见书、法人身份证正反面、设置养老机构备案书、营业执照/民办非企业单位登记证书、养老机构备案承诺书等材料发罗湖区民政局养老科申请养老机构备案流程。</w:t>
      </w:r>
    </w:p>
    <w:p>
      <w:pPr>
        <w:keepNext/>
        <w:keepLines/>
        <w:pageBreakBefore w:val="0"/>
        <w:kinsoku/>
        <w:wordWrap/>
        <w:overflowPunct/>
        <w:bidi w:val="0"/>
        <w:adjustRightInd/>
        <w:snapToGrid/>
        <w:spacing w:before="0" w:after="0" w:line="140" w:lineRule="auto"/>
        <w:ind w:firstLine="420" w:firstLineChars="200"/>
        <w:textAlignment w:val="auto"/>
        <w:outlineLvl w:val="3"/>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3</w:t>
      </w:r>
      <w:r>
        <w:rPr>
          <w:rFonts w:ascii="宋体" w:eastAsia="宋体" w:hAnsi="宋体" w:cs="宋体" w:hint="eastAsia"/>
          <w:b/>
          <w:bCs/>
          <w:sz w:val="21"/>
          <w:szCs w:val="21"/>
        </w:rPr>
        <w:t>.</w:t>
      </w:r>
      <w:r>
        <w:rPr>
          <w:rFonts w:ascii="宋体" w:eastAsia="宋体" w:hAnsi="宋体" w:cs="宋体" w:hint="eastAsia"/>
          <w:b/>
          <w:bCs/>
          <w:sz w:val="21"/>
          <w:szCs w:val="21"/>
          <w:lang w:eastAsia="zh-CN"/>
        </w:rPr>
        <w:t>5 食品经营许可证</w:t>
      </w:r>
    </w:p>
    <w:p>
      <w:pPr>
        <w:keepNext w:val="0"/>
        <w:keepLines w:val="0"/>
        <w:pageBreakBefore w:val="0"/>
        <w:kinsoku/>
        <w:wordWrap/>
        <w:overflowPunct/>
        <w:bidi w:val="0"/>
        <w:adjustRightInd/>
        <w:snapToGrid/>
        <w:spacing w:before="100" w:beforeAutospacing="0" w:afterAutospacing="0" w:line="14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该项目在实施方案阶段已规划长者饭堂，项目建设运营方在饭堂的设计方案阶段应提前征求深圳市市场监督管理局罗湖监管局食品科关于“社区食堂”设计方案的意见，提前对接饭堂建设标准，便于后期申请评定食堂安全量化分级。</w:t>
      </w:r>
    </w:p>
    <w:p>
      <w:pPr>
        <w:keepNext/>
        <w:keepLines/>
        <w:pageBreakBefore w:val="0"/>
        <w:kinsoku/>
        <w:wordWrap/>
        <w:overflowPunct/>
        <w:bidi w:val="0"/>
        <w:adjustRightInd/>
        <w:snapToGrid/>
        <w:spacing w:before="0" w:after="0" w:line="140" w:lineRule="auto"/>
        <w:ind w:firstLine="420" w:firstLineChars="200"/>
        <w:textAlignment w:val="auto"/>
        <w:outlineLvl w:val="3"/>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3.6 组织验收</w:t>
      </w:r>
    </w:p>
    <w:p>
      <w:pPr>
        <w:keepNext w:val="0"/>
        <w:keepLines w:val="0"/>
        <w:pageBreakBefore w:val="0"/>
        <w:kinsoku/>
        <w:wordWrap/>
        <w:overflowPunct/>
        <w:bidi w:val="0"/>
        <w:adjustRightInd/>
        <w:snapToGrid/>
        <w:spacing w:before="100" w:beforeAutospacing="0" w:afterAutospacing="0" w:line="14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在清水河街道办事处组织验收期间，建设运营方应提供竣工验收合格证明、资金投入材料、装修工程验收报告表、建设项目环境影响登记表、特殊建设工程消防验收意见书等材料。</w:t>
      </w:r>
    </w:p>
    <w:p>
      <w:pPr>
        <w:keepNext/>
        <w:keepLines/>
        <w:pageBreakBefore w:val="0"/>
        <w:kinsoku/>
        <w:wordWrap/>
        <w:overflowPunct/>
        <w:bidi w:val="0"/>
        <w:adjustRightInd/>
        <w:snapToGrid/>
        <w:spacing w:before="0" w:after="0" w:line="140" w:lineRule="auto"/>
        <w:ind w:firstLine="420" w:firstLineChars="200"/>
        <w:textAlignment w:val="auto"/>
        <w:outlineLvl w:val="3"/>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3.7 退出机制</w:t>
      </w:r>
      <w:bookmarkStart w:id="64" w:name="_Toc14821"/>
      <w:bookmarkStart w:id="65" w:name="_Toc173853877"/>
      <w:bookmarkStart w:id="66" w:name="_Toc523161363"/>
      <w:bookmarkStart w:id="67" w:name="_Toc171018677"/>
      <w:bookmarkStart w:id="68" w:name="_Toc74232936"/>
      <w:bookmarkStart w:id="69" w:name="_Toc167797938"/>
      <w:bookmarkStart w:id="70" w:name="_Toc15480823"/>
      <w:bookmarkStart w:id="71" w:name="_Toc167814635"/>
      <w:bookmarkStart w:id="72" w:name="_Toc514704725"/>
      <w:bookmarkStart w:id="73" w:name="_Toc70295159"/>
      <w:bookmarkStart w:id="74" w:name="_Toc184221871"/>
      <w:bookmarkStart w:id="75" w:name="_Toc70360715"/>
      <w:bookmarkStart w:id="76" w:name="_Toc70361305"/>
      <w:bookmarkStart w:id="77" w:name="_Toc205232013"/>
      <w:bookmarkStart w:id="78" w:name="_Toc514704566"/>
      <w:bookmarkStart w:id="79" w:name="_Toc191315244"/>
      <w:bookmarkStart w:id="80" w:name="_Toc514865312"/>
      <w:bookmarkStart w:id="81" w:name="_Toc70417398"/>
    </w:p>
    <w:p>
      <w:pPr>
        <w:pageBreakBefore w:val="0"/>
        <w:kinsoku/>
        <w:wordWrap/>
        <w:overflowPunct/>
        <w:bidi w:val="0"/>
        <w:adjustRightInd/>
        <w:snapToGrid/>
        <w:spacing w:before="0" w:beforeLines="0" w:beforeAutospacing="0" w:afterLines="0" w:afterAutospacing="0" w:line="140" w:lineRule="auto"/>
        <w:ind w:firstLine="42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乙方在本项目合作期内</w:t>
      </w:r>
      <w:r>
        <w:rPr>
          <w:rFonts w:ascii="宋体" w:eastAsia="宋体" w:hAnsi="宋体" w:cs="宋体"/>
          <w:kern w:val="2"/>
          <w:sz w:val="21"/>
          <w:szCs w:val="21"/>
          <w:lang w:eastAsia="zh-CN"/>
        </w:rPr>
        <w:t>有</w:t>
      </w:r>
      <w:r>
        <w:rPr>
          <w:rFonts w:ascii="宋体" w:eastAsia="宋体" w:hAnsi="宋体" w:cs="宋体" w:hint="eastAsia"/>
          <w:kern w:val="2"/>
          <w:sz w:val="21"/>
          <w:szCs w:val="21"/>
          <w:lang w:eastAsia="zh-CN"/>
        </w:rPr>
        <w:t>下列行为之一的，甲方有权责令其限期改正，逾期不改的，甲方有权选择对本项目实施临时接管，或选择提前终止本合同并要求乙方按本合同第15.8.1条序号1承担违约责任：</w:t>
      </w:r>
      <w:bookmarkEnd w:id="64"/>
    </w:p>
    <w:p>
      <w:pPr>
        <w:pageBreakBefore w:val="0"/>
        <w:numPr>
          <w:ilvl w:val="0"/>
          <w:numId w:val="1"/>
        </w:numPr>
        <w:kinsoku/>
        <w:wordWrap/>
        <w:overflowPunct/>
        <w:bidi w:val="0"/>
        <w:adjustRightInd/>
        <w:snapToGrid/>
        <w:spacing w:before="0" w:beforeLines="0" w:beforeAutospacing="0" w:afterLines="0" w:afterAutospacing="0" w:line="140" w:lineRule="auto"/>
        <w:ind w:firstLine="42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擅自调整主要功能板块及主要业态；</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擅自改变建筑物、构筑物主体结构及形态；</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未合理利用项目场地提供便民服务且拒不整改；</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擅自关闭社区综合服务体，无合理理由，连续暂停服务超过10天以上或年度累计计划外暂停服务超过20天；</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经核实乙方及其工作人员存在侮辱、虐待老人、儿童的事实；</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乙方不配合或阻碍或故意设置障碍阻碍甲方或甲方的上级政府部门的监管、考核或评估，或根据甲方或甲方上级政府部门的考核或评估结果要求乙方整改，乙方拒不整改或限期整改不到位；</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根据绩效考核结果，乙方年度绩效考核得分符合甲方有权提前终止情形的；</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乙方利用本项目场所实施非法活动，违法经营或损害公共利益或违反本合同相关约定的;</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未经甲方同意，擅自变更法定代表人或运营方主体的;</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乙方擅自改变项目运营范围的;</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由于运营管理过失造成事故或者恶劣影响事件的，甲方有权提前终止合同，乙方还需对事故承担全部责任;</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因工作过错原因造成社会舆情负面影响，又不能及时纠正妥善解决，影响甲方正常监管的;</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运营期间，乙方因经营不善或其他各类因素，被列入经营异常名录或违法失信企业名单(黑名单)的;</w:t>
      </w:r>
    </w:p>
    <w:p>
      <w:pPr>
        <w:pageBreakBefore w:val="0"/>
        <w:numPr>
          <w:ilvl w:val="0"/>
          <w:numId w:val="1"/>
        </w:numPr>
        <w:kinsoku/>
        <w:wordWrap/>
        <w:overflowPunct/>
        <w:bidi w:val="0"/>
        <w:adjustRightInd/>
        <w:snapToGrid/>
        <w:spacing w:before="0" w:beforeLines="0" w:beforeAutospacing="0" w:afterLines="0" w:afterAutospacing="0" w:line="140" w:lineRule="auto"/>
        <w:ind w:left="0" w:firstLine="420" w:leftChars="0" w:firstLineChars="200"/>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乙方在本合同中所作出的声明被证明在作出时不属实或有错误，或者乙方违反本合同中做出的任何保证；</w:t>
      </w:r>
    </w:p>
    <w:p>
      <w:pPr>
        <w:pageBreakBefore w:val="0"/>
        <w:kinsoku/>
        <w:wordWrap/>
        <w:overflowPunct/>
        <w:bidi w:val="0"/>
        <w:adjustRightInd/>
        <w:snapToGrid/>
        <w:spacing w:before="0" w:after="0" w:line="140" w:lineRule="auto"/>
        <w:ind w:firstLine="420" w:firstLineChars="2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（15）乙方违规抽撤项目资本金的；</w:t>
      </w:r>
    </w:p>
    <w:p>
      <w:pPr>
        <w:pageBreakBefore w:val="0"/>
        <w:kinsoku/>
        <w:wordWrap/>
        <w:overflowPunct/>
        <w:bidi w:val="0"/>
        <w:adjustRightInd/>
        <w:snapToGrid/>
        <w:spacing w:before="0" w:after="0" w:line="140" w:lineRule="auto"/>
        <w:ind w:firstLine="420" w:firstLineChars="2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（16）乙方进入清算或者资不抵债，且无能力继续经营项目；</w:t>
      </w:r>
    </w:p>
    <w:p>
      <w:pPr>
        <w:pageBreakBefore w:val="0"/>
        <w:kinsoku/>
        <w:wordWrap/>
        <w:overflowPunct/>
        <w:bidi w:val="0"/>
        <w:adjustRightInd/>
        <w:snapToGrid/>
        <w:spacing w:before="0" w:after="0" w:line="140" w:lineRule="auto"/>
        <w:ind w:firstLine="420" w:firstLineChars="2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（17）乙方损坏项目设施任何部分，并造成项目损失的；</w:t>
      </w:r>
    </w:p>
    <w:p>
      <w:pPr>
        <w:pageBreakBefore w:val="0"/>
        <w:kinsoku/>
        <w:wordWrap/>
        <w:overflowPunct/>
        <w:bidi w:val="0"/>
        <w:adjustRightInd/>
        <w:snapToGrid/>
        <w:spacing w:before="0" w:after="0" w:line="140" w:lineRule="auto"/>
        <w:ind w:firstLine="420" w:firstLineChars="2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（18）乙方违反法律而被相关政府部门依法吊销营业执照、责令停业、清算或宣布破产、责令关闭；</w:t>
      </w:r>
    </w:p>
    <w:p>
      <w:pPr>
        <w:pageBreakBefore w:val="0"/>
        <w:kinsoku/>
        <w:wordWrap/>
        <w:overflowPunct/>
        <w:bidi w:val="0"/>
        <w:adjustRightInd/>
        <w:snapToGrid/>
        <w:spacing w:before="0" w:after="0" w:line="140" w:lineRule="auto"/>
        <w:ind w:firstLine="420" w:firstLineChars="2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（19）乙方违反本合同的规定，擅自出租、质押、转让或以其他形式处分项目设施、项目经营权；</w:t>
      </w:r>
    </w:p>
    <w:p>
      <w:pPr>
        <w:pageBreakBefore w:val="0"/>
        <w:kinsoku/>
        <w:wordWrap/>
        <w:overflowPunct/>
        <w:bidi w:val="0"/>
        <w:adjustRightInd/>
        <w:snapToGrid/>
        <w:spacing w:before="0" w:after="0" w:line="140" w:lineRule="auto"/>
        <w:ind w:firstLine="420" w:firstLineChars="2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（20）乙方未按照本合同的约定运营维护本项目，并在甲方限期内未完成整改或者整改不到位的；</w:t>
      </w:r>
    </w:p>
    <w:p>
      <w:pPr>
        <w:pageBreakBefore w:val="0"/>
        <w:kinsoku/>
        <w:wordWrap/>
        <w:overflowPunct/>
        <w:bidi w:val="0"/>
        <w:adjustRightInd/>
        <w:snapToGrid/>
        <w:spacing w:before="0" w:after="0" w:line="140" w:lineRule="auto"/>
        <w:ind w:firstLine="420" w:firstLineChars="2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（21）乙方法人主体资格终止或撤销的；</w:t>
      </w:r>
    </w:p>
    <w:p>
      <w:pPr>
        <w:pageBreakBefore w:val="0"/>
        <w:kinsoku/>
        <w:wordWrap/>
        <w:overflowPunct/>
        <w:bidi w:val="0"/>
        <w:adjustRightInd/>
        <w:snapToGrid/>
        <w:spacing w:before="0" w:after="0" w:line="140" w:lineRule="auto"/>
        <w:ind w:firstLine="420" w:firstLineChars="2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（22）乙方未履行本合同项下的义务且收到甲方要求说明其违约并予以整改或补救的通知后六十日内仍未能整改或补救妥当的；</w:t>
      </w:r>
    </w:p>
    <w:p>
      <w:pPr>
        <w:pageBreakBefore w:val="0"/>
        <w:kinsoku/>
        <w:wordWrap/>
        <w:overflowPunct/>
        <w:bidi w:val="0"/>
        <w:adjustRightInd/>
        <w:snapToGrid/>
        <w:spacing w:before="0" w:after="0" w:line="140" w:lineRule="auto"/>
        <w:ind w:firstLine="420" w:firstLineChars="2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（23）出现违反国家法律法规行为或与本合同要求不符的情形。</w:t>
      </w:r>
    </w:p>
    <w:p>
      <w:pPr>
        <w:pageBreakBefore w:val="0"/>
        <w:kinsoku/>
        <w:wordWrap/>
        <w:overflowPunct/>
        <w:bidi w:val="0"/>
        <w:adjustRightInd/>
        <w:snapToGrid/>
        <w:spacing w:before="0" w:after="0" w:line="140" w:lineRule="auto"/>
        <w:ind w:firstLine="420" w:firstLineChars="200"/>
        <w:textAlignment w:val="auto"/>
        <w:outlineLvl w:val="9"/>
        <w:rPr>
          <w:rFonts w:ascii="宋体" w:eastAsia="宋体" w:hAnsi="宋体" w:cs="宋体" w:hint="eastAsia"/>
          <w:sz w:val="21"/>
          <w:szCs w:val="21"/>
          <w:lang w:eastAsia="zh-CN"/>
        </w:rPr>
      </w:pPr>
      <w:bookmarkStart w:id="82" w:name="_Toc21744"/>
      <w:r>
        <w:rPr>
          <w:rFonts w:ascii="宋体" w:eastAsia="宋体" w:hAnsi="宋体" w:cs="宋体" w:hint="eastAsia"/>
          <w:sz w:val="21"/>
          <w:szCs w:val="21"/>
          <w:lang w:eastAsia="zh-CN"/>
        </w:rPr>
        <w:t>（24）法律、法规、规章规定的其他情形或其他事项。</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keepNext/>
        <w:keepLines/>
        <w:pageBreakBefore w:val="0"/>
        <w:kinsoku/>
        <w:wordWrap/>
        <w:overflowPunct/>
        <w:bidi w:val="0"/>
        <w:adjustRightInd/>
        <w:snapToGrid/>
        <w:spacing w:before="0" w:after="0" w:line="140" w:lineRule="auto"/>
        <w:ind w:firstLine="420" w:firstLineChars="200"/>
        <w:textAlignment w:val="auto"/>
        <w:outlineLvl w:val="3"/>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3.8建设期间人员配备</w:t>
      </w:r>
    </w:p>
    <w:p>
      <w:pPr>
        <w:pageBreakBefore w:val="0"/>
        <w:kinsoku/>
        <w:wordWrap/>
        <w:overflowPunct/>
        <w:bidi w:val="0"/>
        <w:adjustRightInd/>
        <w:snapToGrid/>
        <w:spacing w:before="0" w:beforeLines="0" w:beforeAutospacing="0" w:afterLines="0" w:afterAutospacing="0" w:line="140" w:lineRule="auto"/>
        <w:ind w:firstLine="420" w:firstLineChars="2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建设运营方需安排1-2名熟悉清水河街道社区综合服务体公建民营项目建设全流程的资深养老建设项目负责人。未经清水河街道办事处同意，不得随意调动项目负责人。如原建设项目负责人不熟悉业务流程，甲方有权要求更换。</w:t>
      </w:r>
    </w:p>
    <w:p>
      <w:pPr>
        <w:keepNext/>
        <w:keepLines/>
        <w:pageBreakBefore w:val="0"/>
        <w:widowControl w:val="0"/>
        <w:kinsoku/>
        <w:wordWrap/>
        <w:overflowPunct/>
        <w:bidi w:val="0"/>
        <w:adjustRightInd/>
        <w:snapToGrid/>
        <w:spacing w:before="0" w:beforeLines="0" w:after="0" w:afterLines="0" w:line="140" w:lineRule="auto"/>
        <w:jc w:val="center"/>
        <w:textAlignment w:val="auto"/>
        <w:outlineLvl w:val="9"/>
        <w:rPr>
          <w:rFonts w:ascii="宋体" w:eastAsia="宋体" w:hAnsi="宋体" w:cs="宋体" w:hint="eastAsia"/>
          <w:b/>
          <w:bCs/>
          <w:kern w:val="44"/>
          <w:sz w:val="21"/>
          <w:szCs w:val="21"/>
          <w:lang w:eastAsia="zh-CN"/>
        </w:rPr>
      </w:pPr>
      <w:bookmarkStart w:id="83" w:name="_Toc181310772"/>
      <w:bookmarkStart w:id="84" w:name="_Toc453261013"/>
      <w:bookmarkStart w:id="85" w:name="_Toc460976729"/>
    </w:p>
    <w:p>
      <w:pPr>
        <w:keepNext/>
        <w:keepLines/>
        <w:pageBreakBefore w:val="0"/>
        <w:widowControl w:val="0"/>
        <w:kinsoku/>
        <w:wordWrap/>
        <w:overflowPunct/>
        <w:bidi w:val="0"/>
        <w:adjustRightInd/>
        <w:snapToGrid/>
        <w:spacing w:before="0" w:beforeLines="0" w:after="0" w:afterLines="0" w:line="140" w:lineRule="auto"/>
        <w:jc w:val="center"/>
        <w:textAlignment w:val="auto"/>
        <w:outlineLvl w:val="2"/>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四、风险分配框架</w:t>
      </w:r>
      <w:bookmarkEnd w:id="83"/>
      <w:bookmarkEnd w:id="84"/>
      <w:bookmarkEnd w:id="85"/>
    </w:p>
    <w:p>
      <w:pPr>
        <w:keepNext/>
        <w:keepLines/>
        <w:pageBreakBefore w:val="0"/>
        <w:kinsoku/>
        <w:wordWrap/>
        <w:overflowPunct/>
        <w:bidi w:val="0"/>
        <w:adjustRightInd/>
        <w:snapToGrid/>
        <w:spacing w:before="0" w:after="0" w:line="140" w:lineRule="auto"/>
        <w:ind w:firstLine="420" w:firstLineChars="200"/>
        <w:textAlignment w:val="auto"/>
        <w:outlineLvl w:val="3"/>
        <w:rPr>
          <w:rFonts w:ascii="宋体" w:eastAsia="宋体" w:hAnsi="宋体" w:cs="宋体" w:hint="eastAsia"/>
          <w:b/>
          <w:bCs/>
          <w:kern w:val="44"/>
          <w:sz w:val="21"/>
          <w:szCs w:val="21"/>
        </w:rPr>
      </w:pPr>
      <w:bookmarkStart w:id="86" w:name="_Toc181310773"/>
      <w:r>
        <w:rPr>
          <w:rFonts w:ascii="宋体" w:eastAsia="宋体" w:hAnsi="宋体" w:cs="宋体" w:hint="eastAsia"/>
          <w:b/>
          <w:bCs/>
          <w:sz w:val="21"/>
          <w:szCs w:val="21"/>
          <w:lang w:eastAsia="zh-CN"/>
        </w:rPr>
        <w:t>4</w:t>
      </w:r>
      <w:r>
        <w:rPr>
          <w:rFonts w:ascii="宋体" w:eastAsia="宋体" w:hAnsi="宋体" w:cs="宋体" w:hint="eastAsia"/>
          <w:b/>
          <w:bCs/>
          <w:sz w:val="21"/>
          <w:szCs w:val="21"/>
        </w:rPr>
        <w:t>.1风险分配原则</w:t>
      </w:r>
      <w:bookmarkEnd w:id="86"/>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本项目风险分配遵循公建民营项目的风险分配三项原则：</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（1）最优风险分配原则。在受制于法律约束和公共利益考虑的前提下，风险应分配给能够以最小成本（对政府而言）、最有效管理它的一方承担，并且给予风险承担方选择如何处理和最小化该等风险的权利。</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（2）风险收益对等原则。既关注运营主体对于风险管理成本和风险损失的承担，又尊重其获得与承担风险相匹配的收益水平的权利。</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3）风险上限原则。应按项目参与方的财务实力、技术能力、管理能力等因素设定风险损失承担上限，不能由任何一方单独承担超过其承受能力的风险，以保证双方合作关系的长期持续稳定。否则，运营主体可能无法保证公共产品和服务的供给效率，政府方则可能拒绝履约，最终影响双方维持合作伙伴关系的积极性。</w:t>
      </w:r>
    </w:p>
    <w:p>
      <w:pPr>
        <w:keepNext/>
        <w:keepLines/>
        <w:pageBreakBefore w:val="0"/>
        <w:kinsoku/>
        <w:wordWrap/>
        <w:overflowPunct/>
        <w:bidi w:val="0"/>
        <w:adjustRightInd/>
        <w:snapToGrid/>
        <w:spacing w:before="0" w:after="0" w:line="140" w:lineRule="auto"/>
        <w:ind w:firstLine="420" w:firstLineChars="200"/>
        <w:textAlignment w:val="auto"/>
        <w:outlineLvl w:val="3"/>
        <w:rPr>
          <w:rFonts w:ascii="宋体" w:eastAsia="宋体" w:hAnsi="宋体" w:cs="宋体" w:hint="eastAsia"/>
          <w:kern w:val="2"/>
          <w:sz w:val="21"/>
          <w:szCs w:val="21"/>
        </w:rPr>
      </w:pPr>
      <w:bookmarkStart w:id="87" w:name="_Toc181310774"/>
      <w:r>
        <w:rPr>
          <w:rFonts w:ascii="宋体" w:eastAsia="宋体" w:hAnsi="宋体" w:cs="宋体" w:hint="eastAsia"/>
          <w:b/>
          <w:bCs/>
          <w:sz w:val="21"/>
          <w:szCs w:val="21"/>
          <w:lang w:eastAsia="zh-CN"/>
        </w:rPr>
        <w:t>4</w:t>
      </w:r>
      <w:r>
        <w:rPr>
          <w:rFonts w:ascii="宋体" w:eastAsia="宋体" w:hAnsi="宋体" w:cs="宋体" w:hint="eastAsia"/>
          <w:b/>
          <w:bCs/>
          <w:sz w:val="21"/>
          <w:szCs w:val="21"/>
        </w:rPr>
        <w:t>.2风险分配机制</w:t>
      </w:r>
      <w:bookmarkEnd w:id="87"/>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遵循以上三项风险分配基本原则，本项目核心风险的分配框架和分配机制如下：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（1）功能优化、运营维护等风险主要由运营主体承担；</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（2）政策、法律变更等风险主要由政府承担；</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（3）不可抗力风险等由政府和运营主体合理共担。</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项目主要风险分配机制如下：</w:t>
      </w:r>
    </w:p>
    <w:p>
      <w:pPr>
        <w:pageBreakBefore w:val="0"/>
        <w:widowControl w:val="0"/>
        <w:kinsoku/>
        <w:wordWrap/>
        <w:overflowPunct/>
        <w:bidi w:val="0"/>
        <w:adjustRightInd/>
        <w:snapToGrid/>
        <w:spacing w:before="156" w:beforeLines="0" w:after="156" w:afterLines="0" w:line="140" w:lineRule="auto"/>
        <w:ind w:firstLine="0" w:firstLineChars="0"/>
        <w:jc w:val="both"/>
        <w:textAlignment w:val="auto"/>
        <w:rPr>
          <w:rFonts w:ascii="宋体" w:eastAsia="宋体" w:hAnsi="宋体" w:cs="宋体" w:hint="eastAsia"/>
          <w:kern w:val="2"/>
          <w:sz w:val="21"/>
          <w:szCs w:val="21"/>
          <w:lang w:eastAsia="zh-CN"/>
        </w:rPr>
        <w:sectPr>
          <w:footerReference w:type="default" r:id="rId5"/>
          <w:pgSz w:w="11906" w:h="16838"/>
          <w:pgMar w:top="2098" w:right="1587" w:bottom="1984" w:left="1587" w:header="851" w:footer="992" w:gutter="0"/>
          <w:pgNumType w:fmt="decimal" w:start="1"/>
          <w:cols w:num="1" w:space="720"/>
          <w:docGrid w:type="lines" w:linePitch="312" w:charSpace="0"/>
        </w:sectPr>
      </w:pPr>
    </w:p>
    <w:tbl>
      <w:tblPr>
        <w:tblStyle w:val="1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74"/>
        <w:gridCol w:w="1158"/>
        <w:gridCol w:w="567"/>
        <w:gridCol w:w="565"/>
        <w:gridCol w:w="632"/>
        <w:gridCol w:w="556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955" w:type="pct"/>
            <w:gridSpan w:val="2"/>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风险类别</w:t>
            </w:r>
          </w:p>
        </w:tc>
        <w:tc>
          <w:tcPr>
            <w:tcW w:w="313" w:type="pct"/>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共同承担</w:t>
            </w:r>
          </w:p>
        </w:tc>
        <w:tc>
          <w:tcPr>
            <w:tcW w:w="312" w:type="pct"/>
            <w:noWrap w:val="0"/>
            <w:vAlign w:val="center"/>
          </w:tcPr>
          <w:p>
            <w:pPr>
              <w:adjustRightInd w:val="0"/>
              <w:snapToGrid w:val="0"/>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政府承担</w:t>
            </w:r>
          </w:p>
        </w:tc>
        <w:tc>
          <w:tcPr>
            <w:tcW w:w="349" w:type="pct"/>
            <w:noWrap w:val="0"/>
            <w:vAlign w:val="center"/>
          </w:tcPr>
          <w:p>
            <w:pPr>
              <w:adjustRightInd w:val="0"/>
              <w:snapToGrid w:val="0"/>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运营主体承担</w:t>
            </w:r>
          </w:p>
        </w:tc>
        <w:tc>
          <w:tcPr>
            <w:tcW w:w="3071" w:type="pct"/>
            <w:noWrap w:val="0"/>
            <w:vAlign w:val="center"/>
          </w:tcPr>
          <w:p>
            <w:pPr>
              <w:adjustRightInd w:val="0"/>
              <w:snapToGrid w:val="0"/>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承担方式</w:t>
            </w:r>
          </w:p>
        </w:tc>
      </w:tr>
      <w:tr>
        <w:tblPrEx>
          <w:tblW w:w="5000" w:type="pct"/>
          <w:jc w:val="center"/>
          <w:tblLayout w:type="fixed"/>
          <w:tblCellMar>
            <w:top w:w="0" w:type="dxa"/>
            <w:left w:w="108" w:type="dxa"/>
            <w:bottom w:w="0" w:type="dxa"/>
            <w:right w:w="108" w:type="dxa"/>
          </w:tblCellMar>
        </w:tblPrEx>
        <w:trPr>
          <w:jc w:val="center"/>
        </w:trPr>
        <w:tc>
          <w:tcPr>
            <w:tcW w:w="316" w:type="pct"/>
            <w:vMerge w:val="restart"/>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功能优化风险</w:t>
            </w: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设计风险</w:t>
            </w:r>
          </w:p>
        </w:tc>
        <w:tc>
          <w:tcPr>
            <w:tcW w:w="313"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noWrap w:val="0"/>
            <w:vAlign w:val="center"/>
          </w:tcPr>
          <w:p>
            <w:pPr>
              <w:adjustRightInd w:val="0"/>
              <w:snapToGrid w:val="0"/>
              <w:jc w:val="left"/>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由运营主体承担。本项目设计由运营主体聘请专业机构负责。</w:t>
            </w: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技术风险</w:t>
            </w:r>
          </w:p>
        </w:tc>
        <w:tc>
          <w:tcPr>
            <w:tcW w:w="313"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noWrap w:val="0"/>
            <w:vAlign w:val="center"/>
          </w:tcPr>
          <w:p>
            <w:pPr>
              <w:adjustRightInd w:val="0"/>
              <w:snapToGrid w:val="0"/>
              <w:jc w:val="left"/>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由运营主体承担。运营主体应按设计文件要求的技术路线及指标进行项目建设。运营主体技术能力不足风险由运营主体承担。</w:t>
            </w: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建设成本超支</w:t>
            </w:r>
          </w:p>
        </w:tc>
        <w:tc>
          <w:tcPr>
            <w:tcW w:w="313"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noWrap w:val="0"/>
            <w:vAlign w:val="center"/>
          </w:tcPr>
          <w:p>
            <w:pPr>
              <w:adjustRightInd w:val="0"/>
              <w:snapToGrid w:val="0"/>
              <w:jc w:val="left"/>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由运营主体承担。运营主体应加强工程管理及成本控制。</w:t>
            </w: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p>
        </w:tc>
        <w:tc>
          <w:tcPr>
            <w:tcW w:w="63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工期延误</w:t>
            </w:r>
          </w:p>
        </w:tc>
        <w:tc>
          <w:tcPr>
            <w:tcW w:w="313"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noWrap w:val="0"/>
            <w:vAlign w:val="center"/>
          </w:tcPr>
          <w:p>
            <w:pPr>
              <w:adjustRightInd w:val="0"/>
              <w:snapToGrid w:val="0"/>
              <w:jc w:val="left"/>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因政府方原因导致工期延误的，由政府方承担，给予顺延延长；因运营主体原因造成的工期延误风险，由运营主体承担。</w:t>
            </w: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p>
        </w:tc>
        <w:tc>
          <w:tcPr>
            <w:tcW w:w="63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工程质量</w:t>
            </w:r>
          </w:p>
        </w:tc>
        <w:tc>
          <w:tcPr>
            <w:tcW w:w="313"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noWrap w:val="0"/>
            <w:vAlign w:val="center"/>
          </w:tcPr>
          <w:p>
            <w:pPr>
              <w:adjustRightInd w:val="0"/>
              <w:snapToGrid w:val="0"/>
              <w:jc w:val="left"/>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由运营主体承担。工程质量与后续运营成本相关，这将促使运营主体高质量完成建设，以减少日后的运营成本。另一方面，实施机构针对工程质量问题设计惩罚措施。</w:t>
            </w:r>
          </w:p>
        </w:tc>
      </w:tr>
      <w:tr>
        <w:tblPrEx>
          <w:tblW w:w="5000" w:type="pct"/>
          <w:jc w:val="center"/>
          <w:tblLayout w:type="fixed"/>
          <w:tblCellMar>
            <w:top w:w="0" w:type="dxa"/>
            <w:left w:w="108" w:type="dxa"/>
            <w:bottom w:w="0" w:type="dxa"/>
            <w:right w:w="108" w:type="dxa"/>
          </w:tblCellMar>
        </w:tblPrEx>
        <w:trPr>
          <w:jc w:val="center"/>
        </w:trPr>
        <w:tc>
          <w:tcPr>
            <w:tcW w:w="316" w:type="pct"/>
            <w:vMerge w:val="restart"/>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运营维护风险</w:t>
            </w: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运营维护技术缺陷</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val="restart"/>
            <w:noWrap w:val="0"/>
            <w:vAlign w:val="top"/>
          </w:tcPr>
          <w:p>
            <w:pPr>
              <w:adjustRightInd w:val="0"/>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主体承担项目运营维护责任，运营过程中的一系列风险由运营主体承担，包括承担项目设施资产的全部运营维护风险，运营过程中的安全管理、环境保护、运营维护技术缺陷风险、设备故障风险、运营维护绩效不达标、运营主体违约提前终止等。具体风险承担后果包括扣除运营维护期履约保函、行政罚款、运营成本提高、提前终止等。</w:t>
            </w: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设施设备故障</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运营维护成本超支</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运营维护绩效不达标</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运营主体违约/提前终止</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恢复性大修</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安全管理</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环境保护</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财务风险</w:t>
            </w: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运营主体破产</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noWrap w:val="0"/>
            <w:vAlign w:val="center"/>
          </w:tcPr>
          <w:p>
            <w:pPr>
              <w:adjustRightInd w:val="0"/>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运营主体承担财务结构失调、持续经营、运营主体破产等风险。应对措施包括运营主体对于项目的收入成本状况进行充分合理的预测。</w:t>
            </w:r>
          </w:p>
        </w:tc>
      </w:tr>
      <w:tr>
        <w:tblPrEx>
          <w:tblW w:w="5000" w:type="pct"/>
          <w:jc w:val="center"/>
          <w:tblLayout w:type="fixed"/>
          <w:tblCellMar>
            <w:top w:w="0" w:type="dxa"/>
            <w:left w:w="108" w:type="dxa"/>
            <w:bottom w:w="0" w:type="dxa"/>
            <w:right w:w="108" w:type="dxa"/>
          </w:tblCellMar>
        </w:tblPrEx>
        <w:trPr>
          <w:jc w:val="center"/>
        </w:trPr>
        <w:tc>
          <w:tcPr>
            <w:tcW w:w="316" w:type="pct"/>
            <w:vMerge w:val="restart"/>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收入风险</w:t>
            </w: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通货膨胀</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val="restart"/>
            <w:noWrap w:val="0"/>
            <w:vAlign w:val="center"/>
          </w:tcPr>
          <w:p>
            <w:pPr>
              <w:adjustRightInd w:val="0"/>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本项目的回报机制为使用者付费，风险由运营主体承担。风险承担后果为收入降低、运营主体收益下降等。应对措施包括运营主体在保障项目公益性及符合相关规定的前提下，合理控制成本，获得合理回报。</w:t>
            </w: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经营性收益不足</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center"/>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val="restart"/>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法律风险</w:t>
            </w: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运营合同与政府签订的其他合同冲突</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071" w:type="pct"/>
            <w:vMerge w:val="restart"/>
            <w:noWrap w:val="0"/>
            <w:vAlign w:val="center"/>
          </w:tcPr>
          <w:p>
            <w:pPr>
              <w:adjustRightInd w:val="0"/>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对于运营合同与政府签订的其他合同文件冲突，由政府承担。政府应梳理在运营主体采购之前与其他方签订的与本项目相关合同，对于影响项目采购及后续项目的运营的内容，在实施方案、运营合同及采购文件中进行明示；在签署运营合同之后，政府在与其他方签订与本项目相关合同时，须与运营主体进行协商，如合同内容对运营主体在运营合同项下权益造成影响，政府应给予运营主体适当补偿。</w:t>
            </w:r>
          </w:p>
          <w:p>
            <w:pPr>
              <w:adjustRightInd w:val="0"/>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其他第三方合同由运营主体自行签署，相关法律风险由运营主体自担，涉及违约影响本项目实施的，责任由运营主体承担。风险承担后果包括项目运营绩效不达标、运营主体收入降低、运营成本提高等。因上述原因对政府造成损失的，运营主体应进行赔偿。运营主体负责项目的运营维护，运营主体与其雇员或其他相关人员发生劳工争端的风险由运营主体承担。</w:t>
            </w: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劳工争端</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第三方违约</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val="restart"/>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政府行为</w:t>
            </w: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政府违约/提前终止</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071" w:type="pct"/>
            <w:vMerge w:val="restart"/>
            <w:noWrap w:val="0"/>
            <w:vAlign w:val="center"/>
          </w:tcPr>
          <w:p>
            <w:pPr>
              <w:adjustRightInd w:val="0"/>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政府行为风险主要由政府承担。风险承担后果包括合同提前终止等。由政府行为造成运营主体发生损失时，将由政府给予运营主体一定补偿。风险应对措施包括提升政府工作效率，为运营主体营造良好的经营环境。</w:t>
            </w:r>
          </w:p>
          <w:p>
            <w:pPr>
              <w:adjustRightInd w:val="0"/>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税费风险应投标报价时予以考虑，该风险由运营主体承担。</w:t>
            </w:r>
          </w:p>
          <w:p>
            <w:pPr>
              <w:adjustRightInd w:val="0"/>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合作期内，如国家、广东省、深圳市出台新的相关规定，运营主体应按新规定执行，具体事宜双方协商处理。</w:t>
            </w: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税费</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行业标准变更</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071" w:type="pct"/>
            <w:vMerge/>
            <w:noWrap w:val="0"/>
            <w:vAlign w:val="top"/>
          </w:tcPr>
          <w:p>
            <w:pPr>
              <w:adjustRightInd w:val="0"/>
              <w:snapToGrid w:val="0"/>
              <w:rPr>
                <w:rFonts w:ascii="宋体" w:eastAsia="宋体" w:hAnsi="宋体" w:cs="宋体" w:hint="eastAsia"/>
                <w:color w:val="auto"/>
                <w:sz w:val="21"/>
                <w:szCs w:val="21"/>
                <w:highlight w:val="none"/>
              </w:rPr>
            </w:pPr>
          </w:p>
        </w:tc>
      </w:tr>
      <w:tr>
        <w:tblPrEx>
          <w:tblW w:w="5000" w:type="pct"/>
          <w:jc w:val="center"/>
          <w:tblLayout w:type="fixed"/>
          <w:tblCellMar>
            <w:top w:w="0" w:type="dxa"/>
            <w:left w:w="108" w:type="dxa"/>
            <w:bottom w:w="0" w:type="dxa"/>
            <w:right w:w="108" w:type="dxa"/>
          </w:tblCellMar>
        </w:tblPrEx>
        <w:trPr>
          <w:jc w:val="center"/>
        </w:trPr>
        <w:tc>
          <w:tcPr>
            <w:tcW w:w="316" w:type="pct"/>
            <w:vMerge w:val="restart"/>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其他风险</w:t>
            </w: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不可抗力（可保险）</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071" w:type="pct"/>
            <w:noWrap w:val="0"/>
            <w:vAlign w:val="top"/>
          </w:tcPr>
          <w:p>
            <w:pPr>
              <w:adjustRightInd w:val="0"/>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可要求运营主体购买商业保险转移风险，同时约定应急处置程序，将损失控制到最小范围。</w:t>
            </w:r>
          </w:p>
        </w:tc>
      </w:tr>
      <w:tr>
        <w:tblPrEx>
          <w:tblW w:w="5000" w:type="pct"/>
          <w:jc w:val="center"/>
          <w:tblLayout w:type="fixed"/>
          <w:tblCellMar>
            <w:top w:w="0" w:type="dxa"/>
            <w:left w:w="108" w:type="dxa"/>
            <w:bottom w:w="0" w:type="dxa"/>
            <w:right w:w="108" w:type="dxa"/>
          </w:tblCellMar>
        </w:tblPrEx>
        <w:trPr>
          <w:jc w:val="center"/>
        </w:trPr>
        <w:tc>
          <w:tcPr>
            <w:tcW w:w="316" w:type="pct"/>
            <w:vMerge/>
            <w:noWrap w:val="0"/>
            <w:vAlign w:val="center"/>
          </w:tcPr>
          <w:p>
            <w:pPr>
              <w:adjustRightInd w:val="0"/>
              <w:snapToGrid w:val="0"/>
              <w:ind w:firstLine="2" w:firstLineChars="1"/>
              <w:jc w:val="center"/>
              <w:rPr>
                <w:rFonts w:ascii="宋体" w:eastAsia="宋体" w:hAnsi="宋体" w:cs="宋体" w:hint="eastAsia"/>
                <w:b/>
                <w:color w:val="auto"/>
                <w:sz w:val="21"/>
                <w:szCs w:val="21"/>
                <w:highlight w:val="none"/>
              </w:rPr>
            </w:pPr>
          </w:p>
        </w:tc>
        <w:tc>
          <w:tcPr>
            <w:tcW w:w="639"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不可抗力（不可保险）</w:t>
            </w:r>
          </w:p>
        </w:tc>
        <w:tc>
          <w:tcPr>
            <w:tcW w:w="313" w:type="pct"/>
            <w:noWrap w:val="0"/>
            <w:vAlign w:val="center"/>
          </w:tcPr>
          <w:p>
            <w:pPr>
              <w:adjustRightInd w:val="0"/>
              <w:snapToGrid w:val="0"/>
              <w:ind w:firstLine="2" w:firstLineChars="1"/>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w:t>
            </w:r>
          </w:p>
        </w:tc>
        <w:tc>
          <w:tcPr>
            <w:tcW w:w="312"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49" w:type="pct"/>
            <w:noWrap w:val="0"/>
            <w:vAlign w:val="center"/>
          </w:tcPr>
          <w:p>
            <w:pPr>
              <w:adjustRightInd w:val="0"/>
              <w:snapToGrid w:val="0"/>
              <w:jc w:val="center"/>
              <w:rPr>
                <w:rFonts w:ascii="宋体" w:eastAsia="宋体" w:hAnsi="宋体" w:cs="宋体" w:hint="eastAsia"/>
                <w:color w:val="auto"/>
                <w:sz w:val="21"/>
                <w:szCs w:val="21"/>
                <w:highlight w:val="none"/>
              </w:rPr>
            </w:pPr>
          </w:p>
        </w:tc>
        <w:tc>
          <w:tcPr>
            <w:tcW w:w="3071" w:type="pct"/>
            <w:noWrap w:val="0"/>
            <w:vAlign w:val="top"/>
          </w:tcPr>
          <w:p>
            <w:pPr>
              <w:adjustRightInd w:val="0"/>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政府与运营主体共同承担无法预见、避免和控制事件带来的风险。</w:t>
            </w:r>
          </w:p>
        </w:tc>
      </w:tr>
    </w:tbl>
    <w:p>
      <w:pPr>
        <w:pStyle w:val="Heading4"/>
        <w:spacing w:before="0" w:after="0" w:line="360" w:lineRule="auto"/>
        <w:ind w:firstLine="420" w:firstLineChars="200"/>
        <w:rPr>
          <w:rStyle w:val="font21"/>
          <w:rFonts w:ascii="宋体" w:eastAsia="宋体" w:hAnsi="宋体" w:cs="宋体" w:hint="eastAsia"/>
          <w:b w:val="0"/>
          <w:bCs w:val="0"/>
          <w:color w:val="auto"/>
          <w:kern w:val="2"/>
          <w:sz w:val="21"/>
          <w:szCs w:val="21"/>
          <w:highlight w:val="none"/>
        </w:rPr>
      </w:pPr>
      <w:bookmarkStart w:id="88" w:name="_Toc480563340"/>
      <w:bookmarkStart w:id="89" w:name="_Toc181310775"/>
      <w:bookmarkStart w:id="90" w:name="_Toc517685734"/>
      <w:r>
        <w:rPr>
          <w:rStyle w:val="font21"/>
          <w:rFonts w:ascii="宋体" w:eastAsia="宋体" w:hAnsi="宋体" w:cs="宋体" w:hint="eastAsia"/>
          <w:color w:val="auto"/>
          <w:sz w:val="21"/>
          <w:szCs w:val="21"/>
          <w:highlight w:val="none"/>
          <w:lang w:val="en-US" w:eastAsia="zh-CN"/>
        </w:rPr>
        <w:t>4</w:t>
      </w:r>
      <w:r>
        <w:rPr>
          <w:rStyle w:val="font21"/>
          <w:rFonts w:ascii="宋体" w:eastAsia="宋体" w:hAnsi="宋体" w:cs="宋体" w:hint="eastAsia"/>
          <w:color w:val="auto"/>
          <w:sz w:val="21"/>
          <w:szCs w:val="21"/>
          <w:highlight w:val="none"/>
        </w:rPr>
        <w:t>.3项目具体风险分析</w:t>
      </w:r>
      <w:bookmarkEnd w:id="88"/>
      <w:bookmarkEnd w:id="89"/>
      <w:bookmarkEnd w:id="90"/>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本项目在全生命周期阶段可能面临的风险主要包括功能优化风险、运营维护风险、财务风险、收入风险、法律风险、政府行为和其他风险等，具体识别和分析如下：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（1）功能优化风险</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功能优化风险主要包括设计风险、技术风险、建设成本超支、工期延误、工程质量等，除因政府方原因导致工期延误的，由政府方承担顺延工期外，其他由运营主体承担。</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（2）运营维护风险</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运营维护风险指由于物料成本、人工成本增加而造成的运营维护成本超支、对服务设施运营维护不到位导致对服务设施运营产生不良影响、安全管理风险等。本项目中，项目设施资产的大修及重置风险由运营主体承担。</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（3）财务风险</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财务风险主要包括财务结构失调、持续经营、运营主体破产等，由运营主体承担。应对措施包括运营主体对于项目的收入成本状况进行充分合理的预测。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（4）收入风险</w:t>
      </w:r>
      <w:r>
        <w:rPr>
          <w:rFonts w:ascii="宋体" w:eastAsia="宋体" w:hAnsi="宋体" w:cs="宋体" w:hint="eastAsia"/>
          <w:b w:val="0"/>
          <w:bCs w:val="0"/>
          <w:color w:val="auto"/>
          <w:sz w:val="21"/>
          <w:szCs w:val="21"/>
          <w:highlight w:val="none"/>
        </w:rPr>
        <w:tab/>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收入风险主要包括通货膨胀、经营性收益不足等。本项目的回报机制为使用者付费，风险主要由运营主体承担。风险承担后果为收入降低、运营主体收益下降等。应对措施包括运营主体在保障项目公益性前提下充分挖掘项目的经营性收入来源，合理控制成本。</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（5）法律风险</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法律风险主要包括第三方违约及合同文件冲突等。本项目的各类合同由运营主体自行签署，第三方违约的法律风险由运营主体承担。但对于运营合同与政府签订的其他合同文件（政府与其他第三方签订的合同）冲突，需由政府承担，对运营主体造成损失的，政府应给予协调及一定补偿。</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（6）政府行为</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政府行为风险主要包括政府违约、税费及行业标准变更等。其中，税收政策风险由运营主体自行承担，其余风险由政府承担。</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（7）其他风险</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其他风险主要包括不可抗力风险，通常分为两类：一类是因自然因素导致的不可抗力风险，即由于不能合理预见的自然灾害（如地震、洪水、台风、病疫等事件）导致项目损失或收益大幅减少的风险。另一类是因非自然因素导致的不可抗力风险，即由于不可合理预见的战争、暴乱、罢工等事件发生导致项目失败或收益大幅减少的风险。通常不可抗力风险由运营主体和政府共同承担。</w:t>
      </w:r>
    </w:p>
    <w:p>
      <w:pPr>
        <w:spacing w:before="0" w:after="0" w:line="360" w:lineRule="auto"/>
        <w:jc w:val="center"/>
        <w:outlineLvl w:val="9"/>
        <w:rPr>
          <w:rFonts w:ascii="宋体" w:eastAsia="宋体" w:hAnsi="宋体" w:cs="宋体" w:hint="eastAsia"/>
          <w:b/>
          <w:bCs/>
          <w:color w:val="auto"/>
          <w:sz w:val="21"/>
          <w:szCs w:val="21"/>
          <w:highlight w:val="none"/>
          <w:lang w:val="en-US" w:eastAsia="zh-CN"/>
        </w:rPr>
      </w:pPr>
      <w:bookmarkStart w:id="91" w:name="_Toc436293550"/>
      <w:bookmarkStart w:id="92" w:name="_Toc460976734"/>
      <w:bookmarkStart w:id="93" w:name="_Toc181310776"/>
    </w:p>
    <w:p>
      <w:pPr>
        <w:pStyle w:val="Heading3"/>
        <w:spacing w:before="0" w:after="0" w:line="360" w:lineRule="auto"/>
        <w:jc w:val="center"/>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lang w:val="en-US" w:eastAsia="zh-CN"/>
        </w:rPr>
        <w:t>五</w:t>
      </w:r>
      <w:r>
        <w:rPr>
          <w:rFonts w:ascii="宋体" w:eastAsia="宋体" w:hAnsi="宋体" w:cs="宋体" w:hint="eastAsia"/>
          <w:b/>
          <w:bCs/>
          <w:color w:val="auto"/>
          <w:sz w:val="21"/>
          <w:szCs w:val="21"/>
          <w:highlight w:val="none"/>
          <w:lang w:eastAsia="zh-CN"/>
        </w:rPr>
        <w:t>、</w:t>
      </w:r>
      <w:r>
        <w:rPr>
          <w:rFonts w:ascii="宋体" w:eastAsia="宋体" w:hAnsi="宋体" w:cs="宋体" w:hint="eastAsia"/>
          <w:b/>
          <w:bCs/>
          <w:color w:val="auto"/>
          <w:sz w:val="21"/>
          <w:szCs w:val="21"/>
          <w:highlight w:val="none"/>
        </w:rPr>
        <w:t>合作运营</w:t>
      </w:r>
      <w:bookmarkEnd w:id="91"/>
      <w:bookmarkEnd w:id="92"/>
      <w:r>
        <w:rPr>
          <w:rFonts w:ascii="宋体" w:eastAsia="宋体" w:hAnsi="宋体" w:cs="宋体" w:hint="eastAsia"/>
          <w:b/>
          <w:bCs/>
          <w:color w:val="auto"/>
          <w:sz w:val="21"/>
          <w:szCs w:val="21"/>
          <w:highlight w:val="none"/>
        </w:rPr>
        <w:t>模式</w:t>
      </w:r>
      <w:bookmarkEnd w:id="93"/>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bookmarkStart w:id="94" w:name="_Hlk58532987"/>
      <w:r>
        <w:rPr>
          <w:rFonts w:ascii="宋体" w:eastAsia="宋体" w:hAnsi="宋体" w:cs="宋体" w:hint="eastAsia"/>
          <w:b w:val="0"/>
          <w:bCs w:val="0"/>
          <w:color w:val="auto"/>
          <w:sz w:val="21"/>
          <w:szCs w:val="21"/>
          <w:highlight w:val="none"/>
        </w:rPr>
        <w:t>本项目主体是利用已经完工的社区公配物业，属于存量项目，基于项目的实际情况考虑，未来运营主体主要负责项目的功能优化、运营维护及移交等任务，本项目适宜采取公建民营模式运作。</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清水河街道</w:t>
      </w:r>
      <w:r>
        <w:rPr>
          <w:rFonts w:ascii="宋体" w:eastAsia="宋体" w:hAnsi="宋体" w:cs="宋体" w:hint="eastAsia"/>
          <w:b w:val="0"/>
          <w:bCs w:val="0"/>
          <w:color w:val="auto"/>
          <w:sz w:val="21"/>
          <w:szCs w:val="21"/>
          <w:highlight w:val="none"/>
          <w:lang w:val="en-US" w:eastAsia="zh-CN"/>
        </w:rPr>
        <w:t>办事处</w:t>
      </w:r>
      <w:r>
        <w:rPr>
          <w:rFonts w:ascii="宋体" w:eastAsia="宋体" w:hAnsi="宋体" w:cs="宋体" w:hint="eastAsia"/>
          <w:b w:val="0"/>
          <w:bCs w:val="0"/>
          <w:color w:val="auto"/>
          <w:sz w:val="21"/>
          <w:szCs w:val="21"/>
          <w:highlight w:val="none"/>
        </w:rPr>
        <w:t>通过公开招标程序选择运营主体，通过签订运营合同，明确将纳入项目的物业无偿提供给运营主体，由其承担项目的功能优化升级以及在合作期内负责项目资产的运营维护责任。</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本项目不要求运营主体必须成立项目公司，</w:t>
      </w:r>
      <w:bookmarkStart w:id="95" w:name="_Hlk117002089"/>
      <w:r>
        <w:rPr>
          <w:rFonts w:ascii="宋体" w:eastAsia="宋体" w:hAnsi="宋体" w:cs="宋体" w:hint="eastAsia"/>
          <w:b/>
          <w:bCs/>
          <w:color w:val="auto"/>
          <w:sz w:val="21"/>
          <w:szCs w:val="21"/>
          <w:highlight w:val="none"/>
        </w:rPr>
        <w:t>可根据实施情况决定是否设立项目公司，</w:t>
      </w:r>
      <w:bookmarkEnd w:id="95"/>
      <w:r>
        <w:rPr>
          <w:rFonts w:ascii="宋体" w:eastAsia="宋体" w:hAnsi="宋体" w:cs="宋体" w:hint="eastAsia"/>
          <w:b/>
          <w:bCs/>
          <w:color w:val="auto"/>
          <w:sz w:val="21"/>
          <w:szCs w:val="21"/>
          <w:highlight w:val="none"/>
        </w:rPr>
        <w:t>政府方也不参股，但项目必须独立核算。</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项目合作期内，政府持有项目土地和资产所有权，运营主体享有本项目经营权，负责项目物业及设施的运营管理。运营主体以保本微利为原则，合理确定居民可承受的服务价格，提供价格普惠的社区服务以及其他公益性服务。</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合作期满，运营主体应将本项目所有资产无偿移交给政府或其指定机构，并确保项目建（构）筑物和配套设施完好，运营状况良好。</w:t>
      </w:r>
    </w:p>
    <w:bookmarkEnd w:id="94"/>
    <w:p>
      <w:pPr>
        <w:spacing w:before="0" w:after="0" w:line="360" w:lineRule="auto"/>
        <w:jc w:val="center"/>
        <w:outlineLvl w:val="9"/>
        <w:rPr>
          <w:rFonts w:ascii="宋体" w:eastAsia="宋体" w:hAnsi="宋体" w:cs="宋体" w:hint="eastAsia"/>
          <w:color w:val="auto"/>
          <w:sz w:val="21"/>
          <w:szCs w:val="21"/>
          <w:highlight w:val="none"/>
        </w:rPr>
      </w:pPr>
      <w:bookmarkStart w:id="96" w:name="_Toc181310777"/>
    </w:p>
    <w:p>
      <w:pPr>
        <w:pStyle w:val="Heading3"/>
        <w:spacing w:before="0" w:after="0" w:line="360" w:lineRule="auto"/>
        <w:jc w:val="center"/>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lang w:val="en-US" w:eastAsia="zh-CN"/>
        </w:rPr>
        <w:t>六、</w:t>
      </w:r>
      <w:r>
        <w:rPr>
          <w:rFonts w:ascii="宋体" w:eastAsia="宋体" w:hAnsi="宋体" w:cs="宋体" w:hint="eastAsia"/>
          <w:b/>
          <w:bCs/>
          <w:color w:val="auto"/>
          <w:sz w:val="21"/>
          <w:szCs w:val="21"/>
          <w:highlight w:val="none"/>
        </w:rPr>
        <w:t>项目交易结构</w:t>
      </w:r>
      <w:bookmarkEnd w:id="96"/>
    </w:p>
    <w:p>
      <w:pPr>
        <w:pStyle w:val="Heading4"/>
        <w:spacing w:before="0" w:after="0" w:line="360" w:lineRule="auto"/>
        <w:ind w:firstLine="420" w:firstLineChars="200"/>
        <w:rPr>
          <w:rFonts w:ascii="宋体" w:eastAsia="宋体" w:hAnsi="宋体" w:cs="宋体" w:hint="eastAsia"/>
          <w:color w:val="auto"/>
          <w:sz w:val="21"/>
          <w:szCs w:val="21"/>
          <w:highlight w:val="none"/>
        </w:rPr>
      </w:pPr>
      <w:bookmarkStart w:id="97" w:name="_Toc181310778"/>
      <w:bookmarkStart w:id="98" w:name="_Toc436293553"/>
      <w:bookmarkStart w:id="99" w:name="_Toc460976736"/>
      <w:bookmarkStart w:id="100" w:name="_Hlk525387742"/>
      <w:r>
        <w:rPr>
          <w:rFonts w:ascii="宋体" w:eastAsia="宋体" w:hAnsi="宋体" w:cs="宋体" w:hint="eastAsia"/>
          <w:color w:val="auto"/>
          <w:sz w:val="21"/>
          <w:szCs w:val="21"/>
          <w:highlight w:val="none"/>
          <w:lang w:val="en-US" w:eastAsia="zh-CN"/>
        </w:rPr>
        <w:t>6</w:t>
      </w:r>
      <w:r>
        <w:rPr>
          <w:rFonts w:ascii="宋体" w:eastAsia="宋体" w:hAnsi="宋体" w:cs="宋体" w:hint="eastAsia"/>
          <w:color w:val="auto"/>
          <w:sz w:val="21"/>
          <w:szCs w:val="21"/>
          <w:highlight w:val="none"/>
        </w:rPr>
        <w:t>.1交易结构</w:t>
      </w:r>
      <w:bookmarkEnd w:id="97"/>
      <w:bookmarkEnd w:id="98"/>
      <w:bookmarkEnd w:id="99"/>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由清水河街道</w:t>
      </w:r>
      <w:r>
        <w:rPr>
          <w:rFonts w:ascii="宋体" w:eastAsia="宋体" w:hAnsi="宋体" w:cs="宋体" w:hint="eastAsia"/>
          <w:b w:val="0"/>
          <w:bCs w:val="0"/>
          <w:color w:val="auto"/>
          <w:sz w:val="21"/>
          <w:szCs w:val="21"/>
          <w:highlight w:val="none"/>
          <w:lang w:val="en-US" w:eastAsia="zh-CN"/>
        </w:rPr>
        <w:t>办事处</w:t>
      </w:r>
      <w:r>
        <w:rPr>
          <w:rFonts w:ascii="宋体" w:eastAsia="宋体" w:hAnsi="宋体" w:cs="宋体" w:hint="eastAsia"/>
          <w:b w:val="0"/>
          <w:bCs w:val="0"/>
          <w:color w:val="auto"/>
          <w:sz w:val="21"/>
          <w:szCs w:val="21"/>
          <w:highlight w:val="none"/>
        </w:rPr>
        <w:t>按照“一项目一方案”要求，制定具体实施方案，明确实施机构、实施目标、实施内容、行动策略、必要性及可行性、风险分配框架、合作运营模式、项目交易结构、合同结构、监督管理及各方责任义务、运营主体采购、项目公共监管体系、项目绩效考核等，通过公开招标程序择优选择运营主体，由清水河街道</w:t>
      </w:r>
      <w:r>
        <w:rPr>
          <w:rFonts w:ascii="宋体" w:eastAsia="宋体" w:hAnsi="宋体" w:cs="宋体" w:hint="eastAsia"/>
          <w:b w:val="0"/>
          <w:bCs w:val="0"/>
          <w:color w:val="auto"/>
          <w:sz w:val="21"/>
          <w:szCs w:val="21"/>
          <w:highlight w:val="none"/>
          <w:lang w:val="en-US" w:eastAsia="zh-CN"/>
        </w:rPr>
        <w:t>办事处</w:t>
      </w:r>
      <w:r>
        <w:rPr>
          <w:rFonts w:ascii="宋体" w:eastAsia="宋体" w:hAnsi="宋体" w:cs="宋体" w:hint="eastAsia"/>
          <w:b w:val="0"/>
          <w:bCs w:val="0"/>
          <w:color w:val="auto"/>
          <w:sz w:val="21"/>
          <w:szCs w:val="21"/>
          <w:highlight w:val="none"/>
        </w:rPr>
        <w:t>与运营主体签订运营合同，明确权责义务，建立准入和退出机制。</w:t>
      </w:r>
    </w:p>
    <w:p>
      <w:pPr>
        <w:pStyle w:val="Heading4"/>
        <w:spacing w:before="0" w:after="0" w:line="360" w:lineRule="auto"/>
        <w:ind w:firstLine="420" w:firstLineChars="200"/>
        <w:rPr>
          <w:rFonts w:ascii="宋体" w:eastAsia="宋体" w:hAnsi="宋体" w:cs="宋体" w:hint="eastAsia"/>
          <w:color w:val="auto"/>
          <w:sz w:val="21"/>
          <w:szCs w:val="21"/>
          <w:highlight w:val="none"/>
        </w:rPr>
      </w:pPr>
      <w:bookmarkStart w:id="101" w:name="_Toc460976737"/>
      <w:bookmarkStart w:id="102" w:name="_Toc436293554"/>
      <w:bookmarkStart w:id="103" w:name="_Toc181310779"/>
      <w:r>
        <w:rPr>
          <w:rFonts w:ascii="宋体" w:eastAsia="宋体" w:hAnsi="宋体" w:cs="宋体" w:hint="eastAsia"/>
          <w:color w:val="auto"/>
          <w:sz w:val="21"/>
          <w:szCs w:val="21"/>
          <w:highlight w:val="none"/>
          <w:lang w:val="en-US" w:eastAsia="zh-CN"/>
        </w:rPr>
        <w:t>6</w:t>
      </w:r>
      <w:r>
        <w:rPr>
          <w:rFonts w:ascii="宋体" w:eastAsia="宋体" w:hAnsi="宋体" w:cs="宋体" w:hint="eastAsia"/>
          <w:color w:val="auto"/>
          <w:sz w:val="21"/>
          <w:szCs w:val="21"/>
          <w:highlight w:val="none"/>
        </w:rPr>
        <w:t>.2回报机制</w:t>
      </w:r>
      <w:bookmarkEnd w:id="101"/>
      <w:bookmarkEnd w:id="102"/>
      <w:bookmarkEnd w:id="103"/>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bookmarkStart w:id="104" w:name="_Hlk58533199"/>
      <w:bookmarkStart w:id="105" w:name="_Hlk53434049"/>
      <w:r>
        <w:rPr>
          <w:rFonts w:ascii="宋体" w:eastAsia="宋体" w:hAnsi="宋体" w:cs="宋体" w:hint="eastAsia"/>
          <w:b w:val="0"/>
          <w:bCs w:val="0"/>
          <w:color w:val="auto"/>
          <w:sz w:val="21"/>
          <w:szCs w:val="21"/>
          <w:highlight w:val="none"/>
        </w:rPr>
        <w:t>政府无偿提供社区公配物业，运营主体负责项目的功能优化升级，以及后续运营维护，以保本微利为原则，合理确定居民可承受的服务价格，提供价格普惠的社区服务以及其他公益性服务，运营主体通过普惠性服务收费获得收益，以收回投资、运营成本及并获得合理回报。</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bookmarkStart w:id="106" w:name="_Hlk58533566"/>
      <w:r>
        <w:rPr>
          <w:rFonts w:ascii="宋体" w:eastAsia="宋体" w:hAnsi="宋体" w:cs="宋体" w:hint="eastAsia"/>
          <w:b w:val="0"/>
          <w:bCs w:val="0"/>
          <w:color w:val="auto"/>
          <w:sz w:val="21"/>
          <w:szCs w:val="21"/>
          <w:highlight w:val="none"/>
        </w:rPr>
        <w:t>政府方不对项目提供额外补贴，符合各级政府一视同仁的行业奖补政策的，可由运营主体按规定进行申报。若项目在后期建设运营与运营过程中涉及资助补贴申请的，应以市区最新有效的资助办法为准。需注意相关资助办法的适用范围，如要求民办非企业单位性质等。</w:t>
      </w:r>
    </w:p>
    <w:bookmarkEnd w:id="104"/>
    <w:bookmarkEnd w:id="105"/>
    <w:bookmarkEnd w:id="106"/>
    <w:p>
      <w:pPr>
        <w:pStyle w:val="Heading4"/>
        <w:spacing w:before="0" w:after="0" w:line="360" w:lineRule="auto"/>
        <w:ind w:firstLine="420" w:firstLineChars="200"/>
        <w:rPr>
          <w:rFonts w:ascii="宋体" w:eastAsia="宋体" w:hAnsi="宋体" w:cs="宋体" w:hint="eastAsia"/>
          <w:color w:val="auto"/>
          <w:sz w:val="21"/>
          <w:szCs w:val="21"/>
          <w:highlight w:val="none"/>
        </w:rPr>
      </w:pPr>
      <w:bookmarkStart w:id="107" w:name="_Toc181310780"/>
      <w:r>
        <w:rPr>
          <w:rFonts w:ascii="宋体" w:eastAsia="宋体" w:hAnsi="宋体" w:cs="宋体" w:hint="eastAsia"/>
          <w:color w:val="auto"/>
          <w:sz w:val="21"/>
          <w:szCs w:val="21"/>
          <w:highlight w:val="none"/>
          <w:lang w:val="en-US" w:eastAsia="zh-CN"/>
        </w:rPr>
        <w:t>6</w:t>
      </w:r>
      <w:r>
        <w:rPr>
          <w:rFonts w:ascii="宋体" w:eastAsia="宋体" w:hAnsi="宋体" w:cs="宋体" w:hint="eastAsia"/>
          <w:color w:val="auto"/>
          <w:sz w:val="21"/>
          <w:szCs w:val="21"/>
          <w:highlight w:val="none"/>
        </w:rPr>
        <w:t>.3合作年限</w:t>
      </w:r>
      <w:bookmarkEnd w:id="107"/>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本项目合作年限拟定为15年（包括功能优化时间不超过12个月），自运营合同生效之日起计。</w:t>
      </w:r>
      <w:bookmarkEnd w:id="100"/>
      <w:bookmarkStart w:id="108" w:name="_Toc460976738"/>
      <w:bookmarkStart w:id="109" w:name="_Toc436293560"/>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本项目功能优化升级完成后，并经实施机构同意确认的开始正式运营之日为运营起始日。</w:t>
      </w:r>
      <w:bookmarkEnd w:id="108"/>
      <w:bookmarkEnd w:id="109"/>
      <w:bookmarkStart w:id="110" w:name="_Toc436293563"/>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p>
    <w:p>
      <w:pPr>
        <w:pStyle w:val="Heading3"/>
        <w:spacing w:before="0" w:after="0" w:line="360" w:lineRule="auto"/>
        <w:jc w:val="center"/>
        <w:rPr>
          <w:rFonts w:ascii="宋体" w:eastAsia="宋体" w:hAnsi="宋体" w:cs="宋体" w:hint="eastAsia"/>
          <w:b/>
          <w:bCs/>
          <w:color w:val="auto"/>
          <w:sz w:val="21"/>
          <w:szCs w:val="21"/>
          <w:highlight w:val="none"/>
        </w:rPr>
      </w:pPr>
      <w:bookmarkStart w:id="111" w:name="_Toc181310782"/>
      <w:bookmarkStart w:id="112" w:name="_Toc460976739"/>
      <w:bookmarkStart w:id="113" w:name="OLE_LINK15"/>
      <w:r>
        <w:rPr>
          <w:rFonts w:ascii="宋体" w:eastAsia="宋体" w:hAnsi="宋体" w:cs="宋体" w:hint="eastAsia"/>
          <w:b/>
          <w:bCs/>
          <w:color w:val="auto"/>
          <w:sz w:val="21"/>
          <w:szCs w:val="21"/>
          <w:highlight w:val="none"/>
          <w:lang w:val="en-US" w:eastAsia="zh-CN"/>
        </w:rPr>
        <w:t>七</w:t>
      </w:r>
      <w:r>
        <w:rPr>
          <w:rFonts w:ascii="宋体" w:eastAsia="宋体" w:hAnsi="宋体" w:cs="宋体" w:hint="eastAsia"/>
          <w:b/>
          <w:bCs/>
          <w:color w:val="auto"/>
          <w:sz w:val="21"/>
          <w:szCs w:val="21"/>
          <w:highlight w:val="none"/>
          <w:lang w:eastAsia="zh-CN"/>
        </w:rPr>
        <w:t>、</w:t>
      </w:r>
      <w:r>
        <w:rPr>
          <w:rFonts w:ascii="宋体" w:eastAsia="宋体" w:hAnsi="宋体" w:cs="宋体" w:hint="eastAsia"/>
          <w:b/>
          <w:bCs/>
          <w:color w:val="auto"/>
          <w:sz w:val="21"/>
          <w:szCs w:val="21"/>
          <w:highlight w:val="none"/>
        </w:rPr>
        <w:t>监督管理及各方责任义务</w:t>
      </w:r>
      <w:bookmarkEnd w:id="110"/>
      <w:bookmarkEnd w:id="111"/>
      <w:bookmarkEnd w:id="112"/>
    </w:p>
    <w:bookmarkEnd w:id="113"/>
    <w:p>
      <w:pPr>
        <w:pStyle w:val="Heading4"/>
        <w:spacing w:before="0" w:after="0" w:line="360" w:lineRule="auto"/>
        <w:ind w:firstLine="420" w:firstLineChars="200"/>
        <w:rPr>
          <w:rFonts w:ascii="宋体" w:eastAsia="宋体" w:hAnsi="宋体" w:cs="宋体" w:hint="eastAsia"/>
          <w:color w:val="auto"/>
          <w:sz w:val="21"/>
          <w:szCs w:val="21"/>
          <w:highlight w:val="none"/>
        </w:rPr>
      </w:pPr>
      <w:bookmarkStart w:id="114" w:name="_Toc181310783"/>
      <w:bookmarkStart w:id="115" w:name="_Toc460976740"/>
      <w:r>
        <w:rPr>
          <w:rFonts w:ascii="宋体" w:eastAsia="宋体" w:hAnsi="宋体" w:cs="宋体" w:hint="eastAsia"/>
          <w:color w:val="auto"/>
          <w:sz w:val="21"/>
          <w:szCs w:val="21"/>
          <w:highlight w:val="none"/>
          <w:lang w:val="en-US" w:eastAsia="zh-CN"/>
        </w:rPr>
        <w:t>7</w:t>
      </w:r>
      <w:r>
        <w:rPr>
          <w:rFonts w:ascii="宋体" w:eastAsia="宋体" w:hAnsi="宋体" w:cs="宋体" w:hint="eastAsia"/>
          <w:color w:val="auto"/>
          <w:sz w:val="21"/>
          <w:szCs w:val="21"/>
          <w:highlight w:val="none"/>
        </w:rPr>
        <w:t>.1各方责任义务</w:t>
      </w:r>
      <w:bookmarkEnd w:id="114"/>
      <w:bookmarkEnd w:id="115"/>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lang w:val="en-US" w:eastAsia="zh-CN"/>
        </w:rPr>
        <w:t>7</w:t>
      </w:r>
      <w:r>
        <w:rPr>
          <w:rFonts w:ascii="宋体" w:eastAsia="宋体" w:hAnsi="宋体" w:cs="宋体" w:hint="eastAsia"/>
          <w:b/>
          <w:bCs/>
          <w:color w:val="auto"/>
          <w:sz w:val="21"/>
          <w:szCs w:val="21"/>
          <w:highlight w:val="none"/>
        </w:rPr>
        <w:t>.1.1</w:t>
      </w:r>
      <w:r>
        <w:rPr>
          <w:rFonts w:ascii="宋体" w:eastAsia="宋体" w:hAnsi="宋体" w:cs="宋体" w:hint="eastAsia"/>
          <w:b w:val="0"/>
          <w:bCs w:val="0"/>
          <w:color w:val="auto"/>
          <w:sz w:val="21"/>
          <w:szCs w:val="21"/>
          <w:highlight w:val="none"/>
        </w:rPr>
        <w:t>项目授权</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清水河街道</w:t>
      </w:r>
      <w:r>
        <w:rPr>
          <w:rFonts w:ascii="宋体" w:eastAsia="宋体" w:hAnsi="宋体" w:cs="宋体" w:hint="eastAsia"/>
          <w:b w:val="0"/>
          <w:bCs w:val="0"/>
          <w:color w:val="auto"/>
          <w:sz w:val="21"/>
          <w:szCs w:val="21"/>
          <w:highlight w:val="none"/>
          <w:lang w:val="en-US" w:eastAsia="zh-CN"/>
        </w:rPr>
        <w:t>办事处</w:t>
      </w:r>
      <w:r>
        <w:rPr>
          <w:rFonts w:ascii="宋体" w:eastAsia="宋体" w:hAnsi="宋体" w:cs="宋体" w:hint="eastAsia"/>
          <w:b w:val="0"/>
          <w:bCs w:val="0"/>
          <w:color w:val="auto"/>
          <w:sz w:val="21"/>
          <w:szCs w:val="21"/>
          <w:highlight w:val="none"/>
        </w:rPr>
        <w:t>作为本项目的实施机构，未来由实施机构以和运营主体签署运营合同的方式授予运营主体对项目的投资、运营维护的权利。</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7.1.2</w:t>
      </w:r>
      <w:r>
        <w:rPr>
          <w:rFonts w:ascii="宋体" w:eastAsia="宋体" w:hAnsi="宋体" w:cs="宋体" w:hint="eastAsia"/>
          <w:b w:val="0"/>
          <w:bCs w:val="0"/>
          <w:color w:val="auto"/>
          <w:sz w:val="21"/>
          <w:szCs w:val="21"/>
          <w:highlight w:val="none"/>
          <w:lang w:val="en-US" w:eastAsia="zh-CN"/>
        </w:rPr>
        <w:t>土地使用权及资产权属</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本项目的土地使用权及资产归属政府所有，运营主体仅拥有项目资产经营权，并负责相应的管理和维护。政府将项目场地无偿提供给运营主体使用。</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未经政府方书面同意，运营主体不得对上述资产进行任何处置，项目合作期满或终止时须无偿移交给实施机构或政府指定机构。</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7.1.3</w:t>
      </w:r>
      <w:r>
        <w:rPr>
          <w:rFonts w:ascii="宋体" w:eastAsia="宋体" w:hAnsi="宋体" w:cs="宋体" w:hint="eastAsia"/>
          <w:b w:val="0"/>
          <w:bCs w:val="0"/>
          <w:color w:val="auto"/>
          <w:sz w:val="21"/>
          <w:szCs w:val="21"/>
          <w:highlight w:val="none"/>
          <w:lang w:val="en-US" w:eastAsia="zh-CN"/>
        </w:rPr>
        <w:t>前期工作</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本项目前期工作由政府方负责，具体工作如下：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负责编制项目实施方案、运营合同工作，开展项目相关文件报批工作、运营主体采购工作。</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7.1.4</w:t>
      </w:r>
      <w:r>
        <w:rPr>
          <w:rFonts w:ascii="宋体" w:eastAsia="宋体" w:hAnsi="宋体" w:cs="宋体" w:hint="eastAsia"/>
          <w:b w:val="0"/>
          <w:bCs w:val="0"/>
          <w:color w:val="auto"/>
          <w:sz w:val="21"/>
          <w:szCs w:val="21"/>
          <w:highlight w:val="none"/>
          <w:lang w:val="en-US" w:eastAsia="zh-CN"/>
        </w:rPr>
        <w:t>超额收益分享机制</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要求项目进行独立财务核算，政府有权对项目进行审计。暂定每5年审计一次，政府可根据情况进行调整。当项目平均净利润率超过8%（年平均净利润/年平均总收入）时，运营主体应按实施机构要求将8%以上部分净利润的50%捐赠给罗湖区慈善会或实施机构指定的其他机构，用于公共慈善事业或其他公益事业的发展。</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hAnsi="宋体" w:cs="宋体" w:hint="eastAsia"/>
          <w:b/>
          <w:bCs w:val="0"/>
          <w:color w:val="auto"/>
          <w:sz w:val="21"/>
          <w:szCs w:val="21"/>
          <w:highlight w:val="none"/>
          <w:lang w:val="en-US" w:eastAsia="zh-CN"/>
        </w:rPr>
        <w:t>7</w:t>
      </w:r>
      <w:r>
        <w:rPr>
          <w:rFonts w:ascii="宋体" w:eastAsia="宋体" w:hAnsi="宋体" w:cs="宋体" w:hint="eastAsia"/>
          <w:b/>
          <w:bCs w:val="0"/>
          <w:color w:val="auto"/>
          <w:sz w:val="21"/>
          <w:szCs w:val="21"/>
          <w:highlight w:val="none"/>
        </w:rPr>
        <w:t>.1.</w:t>
      </w:r>
      <w:r>
        <w:rPr>
          <w:rFonts w:ascii="宋体" w:eastAsia="宋体" w:hAnsi="宋体" w:cs="宋体" w:hint="eastAsia"/>
          <w:b/>
          <w:bCs w:val="0"/>
          <w:color w:val="auto"/>
          <w:sz w:val="21"/>
          <w:szCs w:val="21"/>
          <w:highlight w:val="none"/>
          <w:lang w:val="en-US" w:eastAsia="zh-CN"/>
        </w:rPr>
        <w:t>5</w:t>
      </w:r>
      <w:r>
        <w:rPr>
          <w:rFonts w:ascii="宋体" w:eastAsia="宋体" w:hAnsi="宋体" w:cs="宋体" w:hint="eastAsia"/>
          <w:b w:val="0"/>
          <w:bCs w:val="0"/>
          <w:color w:val="auto"/>
          <w:sz w:val="21"/>
          <w:szCs w:val="21"/>
          <w:highlight w:val="none"/>
          <w:lang w:val="en-US" w:eastAsia="zh-CN"/>
        </w:rPr>
        <w:t>项目移交</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项目合作期满或者运营合同提前终止后，运营主体应将本项目资产无偿移交给实施机构或政府指定机构。在运营主体移交资产日12个月前，由政府方和运营主体联合成立移交工作组（组长由政府方人员担任），负责项目移交过程的相关事项，包括但不限于确定资产移交的范围、移交标准、移交程序等。具体如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（1）资产的移交范围</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\o\ac(○,1)</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纳入项目合作范围和总投资范围的项目建筑、设施、专业设备及与之相关的零部件、备品备件；</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\o\ac(○,2)</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项目运营管理和维护的档案资料、手册、图纸等；</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\o\ac(○,3)</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与项目运营维护相关的技术、知识产权等；</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\o\ac(○,4)</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与持续运营相关的资产；</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\o\ac(○,5)</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与项目有关的未到期的保险受益权、保修权益（如有）；</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\o\ac(○,5)</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移交工作组认为为保证项目的产出质量相较移交之前不降低而应纳入资产移交范围的其他资产、文件资料、权益或权利。</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（2）移交的条件和标准</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\o\ac(○,1)</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运营主体应确保移交的项目全部资产不存在任何抵押、质押等担保权益或所有权约束，亦不得存在任何源自本项目的投资、管理和维护的由运营主体引起的环境污染及其他性质的请求权。</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\o\ac(○,2)</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项目设施应符合移交工作组确定的技术、安全和环保标准，并处于良好的运营状况。</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（3）移交程序</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在确定资产移交范围内和标准后，运营主体按照移交程序进行资产移交。移交程序如下：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\o\ac(○,1)</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评估和测试</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项目移交日前6个月，移交工作组可自行或聘请具有相应能力和资质的第三方检测机构对项目的资产能否达到约定的移交条件和标准进行评估测试。</w:t>
      </w:r>
      <w:bookmarkStart w:id="116" w:name="_Hlk80134291"/>
      <w:r>
        <w:rPr>
          <w:rFonts w:ascii="宋体" w:eastAsia="宋体" w:hAnsi="宋体" w:cs="宋体" w:hint="eastAsia"/>
          <w:b w:val="0"/>
          <w:bCs w:val="0"/>
          <w:color w:val="auto"/>
          <w:sz w:val="21"/>
          <w:szCs w:val="21"/>
          <w:highlight w:val="none"/>
          <w:lang w:val="en-US" w:eastAsia="zh-CN"/>
        </w:rPr>
        <w:t>如聘请第三方检测机构的，费用由双方平均分担</w:t>
      </w:r>
      <w:bookmarkEnd w:id="116"/>
      <w:r>
        <w:rPr>
          <w:rFonts w:ascii="宋体" w:eastAsia="宋体" w:hAnsi="宋体" w:cs="宋体" w:hint="eastAsia"/>
          <w:b w:val="0"/>
          <w:bCs w:val="0"/>
          <w:color w:val="auto"/>
          <w:sz w:val="21"/>
          <w:szCs w:val="21"/>
          <w:highlight w:val="none"/>
          <w:lang w:val="en-US" w:eastAsia="zh-CN"/>
        </w:rPr>
        <w:t>。</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\o\ac(○,2)</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资产修复</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若评估和测试结果表明项目状况不符合约定的移交条件和标准，政府方有权要求运营主体在移交前对项目设施进行相应的恢复性修理、更新重置，以确保项目资产在移交时满足约定要求。由此产生的费用由运营主体承担。</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\o\ac(○,3)</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资产移交</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运营主体负责移交范围内的资产清点、移交工作，并办理资产过户（如有）手续。运营主体应在移交日后1个月内将项目现场不属于移交范围内的物品、资产从项目现场移走。由此产生的费用由运营主体承担。但如果因一方违约事件导致项目终止而需要提前移交，则上述费用由违约方承担。</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政府方应配合运营主体办理各项资产移交手续，并按约定接受运营主体移交的相关资产。</w:t>
      </w:r>
    </w:p>
    <w:p>
      <w:pPr>
        <w:pStyle w:val="Heading4"/>
        <w:spacing w:before="0" w:after="0" w:line="360" w:lineRule="auto"/>
        <w:ind w:firstLine="420" w:firstLineChars="200"/>
        <w:rPr>
          <w:rFonts w:ascii="宋体" w:eastAsia="宋体" w:hAnsi="宋体" w:cs="宋体" w:hint="eastAsia"/>
          <w:color w:val="auto"/>
          <w:sz w:val="21"/>
          <w:szCs w:val="21"/>
          <w:highlight w:val="none"/>
        </w:rPr>
      </w:pPr>
      <w:bookmarkStart w:id="117" w:name="_Toc453261028"/>
      <w:bookmarkStart w:id="118" w:name="_Toc460976741"/>
      <w:bookmarkStart w:id="119" w:name="_Toc181310784"/>
      <w:r>
        <w:rPr>
          <w:rFonts w:ascii="宋体" w:eastAsia="宋体" w:hAnsi="宋体" w:cs="宋体" w:hint="eastAsia"/>
          <w:color w:val="auto"/>
          <w:sz w:val="21"/>
          <w:szCs w:val="21"/>
          <w:highlight w:val="none"/>
          <w:lang w:val="en-US" w:eastAsia="zh-CN"/>
        </w:rPr>
        <w:t>7</w:t>
      </w:r>
      <w:r>
        <w:rPr>
          <w:rFonts w:ascii="宋体" w:eastAsia="宋体" w:hAnsi="宋体" w:cs="宋体" w:hint="eastAsia"/>
          <w:color w:val="auto"/>
          <w:sz w:val="21"/>
          <w:szCs w:val="21"/>
          <w:highlight w:val="none"/>
        </w:rPr>
        <w:t>.2项目绩效考核</w:t>
      </w:r>
      <w:bookmarkEnd w:id="117"/>
      <w:bookmarkEnd w:id="118"/>
      <w:bookmarkEnd w:id="119"/>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bookmarkStart w:id="120" w:name="_Toc453261029"/>
      <w:r>
        <w:rPr>
          <w:rFonts w:ascii="宋体" w:eastAsia="宋体" w:hAnsi="宋体" w:cs="宋体" w:hint="eastAsia"/>
          <w:b w:val="0"/>
          <w:bCs w:val="0"/>
          <w:color w:val="auto"/>
          <w:sz w:val="21"/>
          <w:szCs w:val="21"/>
          <w:highlight w:val="none"/>
          <w:lang w:val="en-US" w:eastAsia="zh-CN"/>
        </w:rPr>
        <w:t>本项目的绩效考核由实施机构自行组织实施或聘请第三方机构开展，实施机构根据考核评分结果相应提取履约保函。</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本项目要求功能优化提升首次投入（合同生效内之日12个月内）不少于3000元/平方米，功能优化升级方案需报实施机构审核同意后方可执行。实施机构对运营主体功能优化升级实际投入进行审核确认，若实际投入低于上述要求的，运营主体应在政府限期内进行整改。未按要求整改的或者整改不到位的，政府有权追究违约责任，并有权单方提前终止合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在项目功能优化升级完成后，实施机构或实施机构委托的第三方机构将对功能优化升级实际投入进行审核确认，运营主体应当在功能优化升级完成后30日内提供审核所需资料。</w:t>
      </w:r>
    </w:p>
    <w:p>
      <w:pPr>
        <w:pStyle w:val="Heading4"/>
        <w:spacing w:before="0" w:after="0" w:line="360" w:lineRule="auto"/>
        <w:ind w:firstLine="420" w:firstLineChars="200"/>
        <w:rPr>
          <w:rFonts w:ascii="宋体" w:eastAsia="宋体" w:hAnsi="宋体" w:cs="宋体" w:hint="eastAsia"/>
          <w:color w:val="auto"/>
          <w:sz w:val="21"/>
          <w:szCs w:val="21"/>
          <w:highlight w:val="none"/>
        </w:rPr>
      </w:pPr>
      <w:bookmarkStart w:id="121" w:name="_Toc181310785"/>
      <w:bookmarkStart w:id="122" w:name="_Toc460976742"/>
      <w:r>
        <w:rPr>
          <w:rFonts w:ascii="宋体" w:eastAsia="宋体" w:hAnsi="宋体" w:cs="宋体" w:hint="eastAsia"/>
          <w:color w:val="auto"/>
          <w:sz w:val="21"/>
          <w:szCs w:val="21"/>
          <w:highlight w:val="none"/>
          <w:lang w:val="en-US" w:eastAsia="zh-CN"/>
        </w:rPr>
        <w:t>7</w:t>
      </w:r>
      <w:r>
        <w:rPr>
          <w:rFonts w:ascii="宋体" w:eastAsia="宋体" w:hAnsi="宋体" w:cs="宋体" w:hint="eastAsia"/>
          <w:color w:val="auto"/>
          <w:sz w:val="21"/>
          <w:szCs w:val="21"/>
          <w:highlight w:val="none"/>
        </w:rPr>
        <w:t>.3履约保障边界</w:t>
      </w:r>
      <w:bookmarkEnd w:id="120"/>
      <w:bookmarkEnd w:id="121"/>
      <w:bookmarkEnd w:id="122"/>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（1）保险方案</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项目运营维护期间可能遇到不可预期或不可控制的风险，合作期内，运营主体应按相关国家和行业的相关规定办理和维持合理保险。运营主体应根据项目的投资和运营情况及时足额投保，其中依据入住老年人数量或设置床位数购买保额不低于10万元/人/年的场地综合责任险、公众责任险（含意外险）、第三者责任险、财产一切险以及根据相关规定和谨慎运营惯例应该购买的相应险种，并始终使保险单保持有效。</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（2）履约担保体系</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履约担保体系主要包括运营维护保函及移交维修保函。任一保函被提取任意金额后，运营主体应在运营合同约定期限内将保函担保金额恢复至原始金额。</w:t>
      </w:r>
    </w:p>
    <w:p>
      <w:pPr>
        <w:pageBreakBefore w:val="0"/>
        <w:kinsoku/>
        <w:wordWrap/>
        <w:overflowPunct/>
        <w:topLinePunct w:val="0"/>
        <w:autoSpaceDE/>
        <w:autoSpaceDN/>
        <w:bidi w:val="0"/>
        <w:adjustRightInd/>
        <w:snapToGrid/>
        <w:spacing w:line="140" w:lineRule="auto"/>
        <w:jc w:val="both"/>
        <w:textAlignment w:val="auto"/>
        <w:rPr>
          <w:rFonts w:ascii="宋体" w:eastAsia="宋体" w:hAnsi="宋体" w:cs="宋体" w:hint="eastAsia"/>
          <w:b w:val="0"/>
          <w:bCs w:val="0"/>
          <w:color w:val="auto"/>
          <w:sz w:val="21"/>
          <w:szCs w:val="21"/>
          <w:highlight w:val="none"/>
          <w:lang w:val="en-US" w:eastAsia="zh-CN"/>
        </w:rPr>
      </w:pPr>
    </w:p>
    <w:p>
      <w:pPr>
        <w:spacing w:line="360" w:lineRule="auto"/>
        <w:ind w:firstLine="420" w:firstLineChars="200"/>
        <w:jc w:val="center"/>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表</w:t>
      </w:r>
      <w:r>
        <w:rPr>
          <w:rFonts w:ascii="宋体" w:eastAsia="宋体" w:hAnsi="宋体" w:cs="宋体" w:hint="eastAsia"/>
          <w:b/>
          <w:bCs/>
          <w:color w:val="auto"/>
          <w:sz w:val="21"/>
          <w:szCs w:val="21"/>
          <w:highlight w:val="none"/>
          <w:lang w:val="en-US" w:eastAsia="zh-CN"/>
        </w:rPr>
        <w:t>7</w:t>
      </w:r>
      <w:r>
        <w:rPr>
          <w:rFonts w:ascii="宋体" w:eastAsia="宋体" w:hAnsi="宋体" w:cs="宋体" w:hint="eastAsia"/>
          <w:b/>
          <w:bCs/>
          <w:color w:val="auto"/>
          <w:sz w:val="21"/>
          <w:szCs w:val="21"/>
          <w:highlight w:val="none"/>
        </w:rPr>
        <w:t>-1项目履约担保体系</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76"/>
        <w:gridCol w:w="3537"/>
        <w:gridCol w:w="414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43"/>
          <w:jc w:val="center"/>
        </w:trPr>
        <w:tc>
          <w:tcPr>
            <w:tcW w:w="1271"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条款</w:t>
            </w:r>
          </w:p>
        </w:tc>
        <w:tc>
          <w:tcPr>
            <w:tcW w:w="3268"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运营维护保函</w:t>
            </w:r>
          </w:p>
        </w:tc>
        <w:tc>
          <w:tcPr>
            <w:tcW w:w="3832"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移交维修保函</w:t>
            </w:r>
          </w:p>
        </w:tc>
      </w:tr>
      <w:tr>
        <w:tblPrEx>
          <w:tblW w:w="5000" w:type="pct"/>
          <w:jc w:val="center"/>
          <w:tblLayout w:type="fixed"/>
          <w:tblCellMar>
            <w:top w:w="0" w:type="dxa"/>
            <w:left w:w="108" w:type="dxa"/>
            <w:bottom w:w="0" w:type="dxa"/>
            <w:right w:w="108" w:type="dxa"/>
          </w:tblCellMar>
        </w:tblPrEx>
        <w:trPr>
          <w:trHeight w:val="487"/>
          <w:jc w:val="center"/>
        </w:trPr>
        <w:tc>
          <w:tcPr>
            <w:tcW w:w="1271"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提交主体</w:t>
            </w:r>
          </w:p>
        </w:tc>
        <w:tc>
          <w:tcPr>
            <w:tcW w:w="3268"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运营主体</w:t>
            </w:r>
          </w:p>
        </w:tc>
        <w:tc>
          <w:tcPr>
            <w:tcW w:w="3832"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运营主体</w:t>
            </w:r>
          </w:p>
        </w:tc>
      </w:tr>
      <w:tr>
        <w:tblPrEx>
          <w:tblW w:w="5000" w:type="pct"/>
          <w:jc w:val="center"/>
          <w:tblLayout w:type="fixed"/>
          <w:tblCellMar>
            <w:top w:w="0" w:type="dxa"/>
            <w:left w:w="108" w:type="dxa"/>
            <w:bottom w:w="0" w:type="dxa"/>
            <w:right w:w="108" w:type="dxa"/>
          </w:tblCellMar>
        </w:tblPrEx>
        <w:trPr>
          <w:trHeight w:val="692"/>
          <w:jc w:val="center"/>
        </w:trPr>
        <w:tc>
          <w:tcPr>
            <w:tcW w:w="1271"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提交时间</w:t>
            </w:r>
          </w:p>
        </w:tc>
        <w:tc>
          <w:tcPr>
            <w:tcW w:w="3268" w:type="dxa"/>
            <w:noWrap w:val="0"/>
            <w:vAlign w:val="center"/>
          </w:tcPr>
          <w:p>
            <w:pPr>
              <w:jc w:val="center"/>
              <w:rPr>
                <w:rFonts w:ascii="宋体" w:eastAsia="宋体" w:hAnsi="宋体" w:cs="宋体" w:hint="eastAsia"/>
                <w:color w:val="auto"/>
                <w:sz w:val="21"/>
                <w:szCs w:val="21"/>
                <w:highlight w:val="none"/>
              </w:rPr>
            </w:pPr>
            <w:bookmarkStart w:id="123" w:name="_Hlk517897195"/>
            <w:r>
              <w:rPr>
                <w:rFonts w:ascii="宋体" w:eastAsia="宋体" w:hAnsi="宋体" w:cs="宋体" w:hint="eastAsia"/>
                <w:color w:val="auto"/>
                <w:sz w:val="21"/>
                <w:szCs w:val="21"/>
                <w:highlight w:val="none"/>
              </w:rPr>
              <w:t>运营合同</w:t>
            </w:r>
            <w:bookmarkEnd w:id="123"/>
            <w:r>
              <w:rPr>
                <w:rFonts w:ascii="宋体" w:eastAsia="宋体" w:hAnsi="宋体" w:cs="宋体" w:hint="eastAsia"/>
                <w:color w:val="auto"/>
                <w:sz w:val="21"/>
                <w:szCs w:val="21"/>
                <w:highlight w:val="none"/>
              </w:rPr>
              <w:t>签订后30日内</w:t>
            </w:r>
          </w:p>
        </w:tc>
        <w:tc>
          <w:tcPr>
            <w:tcW w:w="3832"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合作期最后一个运营年开始前十五个工作日内</w:t>
            </w:r>
          </w:p>
        </w:tc>
      </w:tr>
      <w:tr>
        <w:tblPrEx>
          <w:tblW w:w="5000" w:type="pct"/>
          <w:jc w:val="center"/>
          <w:tblLayout w:type="fixed"/>
          <w:tblCellMar>
            <w:top w:w="0" w:type="dxa"/>
            <w:left w:w="108" w:type="dxa"/>
            <w:bottom w:w="0" w:type="dxa"/>
            <w:right w:w="108" w:type="dxa"/>
          </w:tblCellMar>
        </w:tblPrEx>
        <w:trPr>
          <w:trHeight w:val="561"/>
          <w:jc w:val="center"/>
        </w:trPr>
        <w:tc>
          <w:tcPr>
            <w:tcW w:w="1271"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退还时间</w:t>
            </w:r>
          </w:p>
        </w:tc>
        <w:tc>
          <w:tcPr>
            <w:tcW w:w="3268"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运营主体提交移交维修保函后</w:t>
            </w:r>
          </w:p>
        </w:tc>
        <w:tc>
          <w:tcPr>
            <w:tcW w:w="3832"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项目移交完毕且质量保证期满后</w:t>
            </w:r>
          </w:p>
        </w:tc>
      </w:tr>
      <w:tr>
        <w:tblPrEx>
          <w:tblW w:w="5000" w:type="pct"/>
          <w:jc w:val="center"/>
          <w:tblLayout w:type="fixed"/>
          <w:tblCellMar>
            <w:top w:w="0" w:type="dxa"/>
            <w:left w:w="108" w:type="dxa"/>
            <w:bottom w:w="0" w:type="dxa"/>
            <w:right w:w="108" w:type="dxa"/>
          </w:tblCellMar>
        </w:tblPrEx>
        <w:trPr>
          <w:trHeight w:val="144"/>
          <w:jc w:val="center"/>
        </w:trPr>
        <w:tc>
          <w:tcPr>
            <w:tcW w:w="1271"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担保金额</w:t>
            </w:r>
          </w:p>
        </w:tc>
        <w:tc>
          <w:tcPr>
            <w:tcW w:w="3268"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100万元</w:t>
            </w:r>
          </w:p>
        </w:tc>
        <w:tc>
          <w:tcPr>
            <w:tcW w:w="3832"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200万元</w:t>
            </w:r>
          </w:p>
        </w:tc>
      </w:tr>
      <w:tr>
        <w:tblPrEx>
          <w:tblW w:w="5000" w:type="pct"/>
          <w:jc w:val="center"/>
          <w:tblLayout w:type="fixed"/>
          <w:tblCellMar>
            <w:top w:w="0" w:type="dxa"/>
            <w:left w:w="108" w:type="dxa"/>
            <w:bottom w:w="0" w:type="dxa"/>
            <w:right w:w="108" w:type="dxa"/>
          </w:tblCellMar>
        </w:tblPrEx>
        <w:trPr>
          <w:trHeight w:val="144"/>
          <w:jc w:val="center"/>
        </w:trPr>
        <w:tc>
          <w:tcPr>
            <w:tcW w:w="1271"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受益人</w:t>
            </w:r>
          </w:p>
        </w:tc>
        <w:tc>
          <w:tcPr>
            <w:tcW w:w="3268"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实施机构</w:t>
            </w:r>
          </w:p>
        </w:tc>
        <w:tc>
          <w:tcPr>
            <w:tcW w:w="3832"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实施机构</w:t>
            </w:r>
          </w:p>
        </w:tc>
      </w:tr>
      <w:tr>
        <w:tblPrEx>
          <w:tblW w:w="5000" w:type="pct"/>
          <w:jc w:val="center"/>
          <w:tblLayout w:type="fixed"/>
          <w:tblCellMar>
            <w:top w:w="0" w:type="dxa"/>
            <w:left w:w="108" w:type="dxa"/>
            <w:bottom w:w="0" w:type="dxa"/>
            <w:right w:w="108" w:type="dxa"/>
          </w:tblCellMar>
        </w:tblPrEx>
        <w:trPr>
          <w:trHeight w:val="699"/>
          <w:jc w:val="center"/>
        </w:trPr>
        <w:tc>
          <w:tcPr>
            <w:tcW w:w="1271" w:type="dxa"/>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担保事项</w:t>
            </w:r>
          </w:p>
        </w:tc>
        <w:tc>
          <w:tcPr>
            <w:tcW w:w="3268" w:type="dxa"/>
            <w:noWrap w:val="0"/>
            <w:vAlign w:val="center"/>
          </w:tcPr>
          <w:p>
            <w:pPr>
              <w:pStyle w:val="BodyText"/>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eastAsia="宋体" w:hAnsi="宋体" w:cs="宋体" w:hint="eastAsia"/>
                <w:color w:val="auto"/>
                <w:sz w:val="21"/>
                <w:szCs w:val="21"/>
                <w:highlight w:val="none"/>
              </w:rPr>
            </w:pPr>
            <w:r>
              <w:rPr>
                <w:rFonts w:ascii="宋体" w:eastAsia="宋体" w:hAnsi="宋体" w:cs="宋体" w:hint="eastAsia"/>
                <w:b w:val="0"/>
                <w:bCs w:val="0"/>
                <w:color w:val="auto"/>
                <w:kern w:val="0"/>
                <w:sz w:val="21"/>
                <w:szCs w:val="21"/>
                <w:highlight w:val="none"/>
                <w:lang w:val="en-US" w:eastAsia="en-US" w:bidi="ar-SA"/>
              </w:rPr>
              <w:t>功能优化升级的投入及效果、建（构）筑物的维护与保养、设备维修维护、项目运营效率、持续稳定普遍服务义务、服务质量反馈情况、安全保障、移交维修保函提交等。</w:t>
            </w:r>
          </w:p>
        </w:tc>
        <w:tc>
          <w:tcPr>
            <w:tcW w:w="3832" w:type="dxa"/>
            <w:noWrap w:val="0"/>
            <w:vAlign w:val="center"/>
          </w:tcPr>
          <w:p>
            <w:pPr>
              <w:pStyle w:val="BodyText"/>
              <w:keepNext w:val="0"/>
              <w:keepLines w:val="0"/>
              <w:pageBreakBefore w:val="0"/>
              <w:widowControl w:val="0"/>
              <w:kinsoku/>
              <w:wordWrap/>
              <w:overflowPunct/>
              <w:topLinePunct w:val="0"/>
              <w:autoSpaceDE/>
              <w:autoSpaceDN/>
              <w:bidi w:val="0"/>
              <w:adjustRightInd/>
              <w:snapToGrid/>
              <w:spacing w:after="0" w:line="140" w:lineRule="auto"/>
              <w:textAlignment w:val="auto"/>
              <w:rPr>
                <w:rFonts w:ascii="宋体" w:eastAsia="宋体" w:hAnsi="宋体" w:cs="宋体" w:hint="eastAsia"/>
                <w:color w:val="auto"/>
                <w:sz w:val="21"/>
                <w:szCs w:val="21"/>
                <w:highlight w:val="none"/>
              </w:rPr>
            </w:pPr>
            <w:r>
              <w:rPr>
                <w:rFonts w:ascii="宋体" w:eastAsia="宋体" w:hAnsi="宋体" w:cs="宋体" w:hint="eastAsia"/>
                <w:b w:val="0"/>
                <w:bCs w:val="0"/>
                <w:color w:val="auto"/>
                <w:kern w:val="0"/>
                <w:sz w:val="21"/>
                <w:szCs w:val="21"/>
                <w:highlight w:val="none"/>
                <w:lang w:val="en-US" w:eastAsia="zh-CN" w:bidi="ar-SA"/>
              </w:rPr>
              <w:t>最</w:t>
            </w:r>
            <w:r>
              <w:rPr>
                <w:rFonts w:ascii="宋体" w:eastAsia="宋体" w:hAnsi="宋体" w:cs="宋体" w:hint="eastAsia"/>
                <w:b w:val="0"/>
                <w:bCs w:val="0"/>
                <w:color w:val="auto"/>
                <w:kern w:val="0"/>
                <w:sz w:val="21"/>
                <w:szCs w:val="21"/>
                <w:highlight w:val="none"/>
                <w:lang w:val="en-US" w:eastAsia="en-US" w:bidi="ar-SA"/>
              </w:rPr>
              <w:t>后一个运营年的运营效果、服务质量、建（构）筑物的移交、主要设备移交标准、全套项目文档及知识产权移交、人员培训、建（构）筑物与项目设施存在隐蔽性缺陷修复、经证明由于运营主体合作期内对设</w:t>
            </w:r>
            <w:r>
              <w:rPr>
                <w:rFonts w:ascii="宋体" w:eastAsia="宋体" w:hAnsi="宋体" w:cs="宋体" w:hint="eastAsia"/>
                <w:b w:val="0"/>
                <w:bCs w:val="0"/>
                <w:color w:val="auto"/>
                <w:kern w:val="0"/>
                <w:sz w:val="21"/>
                <w:szCs w:val="21"/>
                <w:highlight w:val="none"/>
                <w:lang w:val="en-US" w:eastAsia="zh-CN" w:bidi="ar-SA"/>
              </w:rPr>
              <w:t>施的运营不善所造成的瑕疵修复等。</w:t>
            </w:r>
          </w:p>
        </w:tc>
      </w:tr>
    </w:tbl>
    <w:p>
      <w:pPr>
        <w:spacing w:before="0" w:after="0" w:line="360" w:lineRule="auto"/>
        <w:ind w:firstLine="420" w:firstLineChars="200"/>
        <w:outlineLvl w:val="9"/>
        <w:rPr>
          <w:rFonts w:ascii="宋体" w:eastAsia="宋体" w:hAnsi="宋体" w:cs="宋体" w:hint="eastAsia"/>
          <w:color w:val="auto"/>
          <w:sz w:val="21"/>
          <w:szCs w:val="21"/>
          <w:highlight w:val="none"/>
          <w:lang w:val="en-US" w:eastAsia="zh-CN"/>
        </w:rPr>
      </w:pPr>
      <w:bookmarkStart w:id="124" w:name="_Toc181310786"/>
      <w:bookmarkStart w:id="125" w:name="_Toc453261030"/>
      <w:bookmarkStart w:id="126" w:name="_Toc460976743"/>
    </w:p>
    <w:p>
      <w:pPr>
        <w:pStyle w:val="Heading4"/>
        <w:spacing w:before="0" w:after="0" w:line="360" w:lineRule="auto"/>
        <w:ind w:firstLine="420" w:firstLineChars="20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7</w:t>
      </w:r>
      <w:r>
        <w:rPr>
          <w:rFonts w:ascii="宋体" w:eastAsia="宋体" w:hAnsi="宋体" w:cs="宋体" w:hint="eastAsia"/>
          <w:color w:val="auto"/>
          <w:sz w:val="21"/>
          <w:szCs w:val="21"/>
          <w:highlight w:val="none"/>
        </w:rPr>
        <w:t>.4调整衔接边界</w:t>
      </w:r>
      <w:bookmarkEnd w:id="124"/>
      <w:bookmarkEnd w:id="125"/>
      <w:bookmarkEnd w:id="126"/>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7.4.1</w:t>
      </w:r>
      <w:r>
        <w:rPr>
          <w:rFonts w:ascii="宋体" w:eastAsia="宋体" w:hAnsi="宋体" w:cs="宋体" w:hint="eastAsia"/>
          <w:b w:val="0"/>
          <w:bCs w:val="0"/>
          <w:color w:val="auto"/>
          <w:sz w:val="21"/>
          <w:szCs w:val="21"/>
          <w:highlight w:val="none"/>
          <w:lang w:val="en-US" w:eastAsia="zh-CN"/>
        </w:rPr>
        <w:t>应急预案</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（1）应急预案的编制</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运营主体应按照法律法规要求，制定项目运营、管理、维护过程中的应急管理预案，包括针对自然灾害、重特大事故、环境公害及人为破坏等事件的发生等各类可能发生的事故和所有危险源制定应急预案和现场处置方案，明确事前、事中、事后的各个过程中相关部门和有关人员的职责。合作期内的所有管理制度及应急方案，均应具有针对性和可操作性，并体现如何防范事故的发生，消除发生事故的隐患，以及万一发生事故时如何恢复秩序、将损失减少到最低限度等。运营主体制定的应急预案应征求政府方的意见并报经政府同意后实施。</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运营主体应积极配合实施机构及政府有关部门进行突发紧急事件的演练等工作。发生突发紧急事件时，运营主体应当依据应急预案和政府要求进行处理，并按照国家有关规定及时向实施机构和罗湖区/深圳市政府有关部门报告。</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（2）应急预案的主要类型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自然灾害、重特大事故、环境公害、火灾、踩踏事故及人为破坏等事件等情形下的应急预案。</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（3）应急预案的保障措施</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以运营主体为主体，各有关部门联动配合，主要从以下几个方面，建立和完善应急预案的保障措施：</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\o\ac(○,1)</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逐步建立和完善应急指挥基础信息数据库；</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\o\ac(○,2)</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组建专业应急队伍，包括加强与区民政、消防等多部门的联动，加强培训及演练；</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\o\ac(○,3)</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资金保障，根据实际需要，设立专项应急基金；</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\o\ac(○,4)</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日常管理、保养与维护。</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color w:val="auto"/>
          <w:sz w:val="21"/>
          <w:szCs w:val="21"/>
          <w:highlight w:val="none"/>
          <w:lang w:val="en-US" w:eastAsia="zh-CN"/>
        </w:rPr>
      </w:pP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7.4.2</w:t>
      </w:r>
      <w:r>
        <w:rPr>
          <w:rFonts w:ascii="宋体" w:eastAsia="宋体" w:hAnsi="宋体" w:cs="宋体" w:hint="eastAsia"/>
          <w:b w:val="0"/>
          <w:bCs w:val="0"/>
          <w:color w:val="auto"/>
          <w:sz w:val="21"/>
          <w:szCs w:val="21"/>
          <w:highlight w:val="none"/>
          <w:lang w:val="en-US" w:eastAsia="zh-CN"/>
        </w:rPr>
        <w:t>提前终止及补偿</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运营合同提前终止可能有以下五种情形：</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（1）双方合意终止：基于双方届时的合意而终止运营合同时，相关终止及补偿事宜由双方协商予以确定。</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（2）因可归责于运营主体之事由终止：因运营主体严重违约或运营主体破产导致运营主体股权被强制执行，或其他情形而不可能再合理地期待其能够或愿意履行运营合同。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3）因可归责于政府之事由终止：政府严重违反运营合同下的义务，或政府指令改变或有其他行为，发生了未曾预见的情势变更，致使运营主体履约成本较高从而履约不能，且双方未能就运营合同的变更达成一致。</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（4）因政策变更而终止。</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（5）因不可抗力事件而终止。</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因法律变更、上级政府行为或不可抗力因素导致本项目《运营合同》提前终止，任何一方决定提前终止的，政府和运营主体协商一致后，政府应按合同约定与运营主体结算相关费用。运营主体投入的资产按照《运营合同》相关规定移交。</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如果一方不能按照《运营合同》约定进行项目运营或履行相关义务，且在合理期限内无法取得实质性改进，导致《运营合同》目的无法实现的，另一方有权解除《运营合同》。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在项目合作期限内，由于任何一方违约或不可抗力等因素造成《运营合同》提前终止，《运营合同》中将规定相应的解决方式。若《运营合同》提前终止，政府按《运营合同》约定与运营主体结算相关费用，运营主体将项目设施资产按照《运营合同》相关规定移交给政府或其指定机构。</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 xml:space="preserve">若运营合同提前终止，双方应在运营主体履行完移交义务后十个工作日内，按照以下原则协商确定补偿金，具体以届时《运营合同》为准： </w:t>
      </w:r>
    </w:p>
    <w:p>
      <w:pPr>
        <w:spacing w:line="360" w:lineRule="auto"/>
        <w:ind w:firstLine="420" w:firstLineChars="200"/>
        <w:jc w:val="center"/>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表</w:t>
      </w:r>
      <w:r>
        <w:rPr>
          <w:rFonts w:ascii="宋体" w:eastAsia="宋体" w:hAnsi="宋体" w:cs="宋体" w:hint="eastAsia"/>
          <w:b/>
          <w:bCs/>
          <w:color w:val="auto"/>
          <w:sz w:val="21"/>
          <w:szCs w:val="21"/>
          <w:highlight w:val="none"/>
          <w:lang w:val="en-US" w:eastAsia="zh-CN"/>
        </w:rPr>
        <w:t>7</w:t>
      </w:r>
      <w:r>
        <w:rPr>
          <w:rFonts w:ascii="宋体" w:eastAsia="宋体" w:hAnsi="宋体" w:cs="宋体" w:hint="eastAsia"/>
          <w:b/>
          <w:bCs/>
          <w:color w:val="auto"/>
          <w:sz w:val="21"/>
          <w:szCs w:val="21"/>
          <w:highlight w:val="none"/>
        </w:rPr>
        <w:t>-2提前终止补偿情形及补偿金</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11"/>
        <w:gridCol w:w="5690"/>
        <w:gridCol w:w="226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12"/>
          <w:jc w:val="center"/>
        </w:trPr>
        <w:tc>
          <w:tcPr>
            <w:tcW w:w="613" w:type="pct"/>
            <w:noWrap w:val="0"/>
            <w:vAlign w:val="top"/>
          </w:tcPr>
          <w:p>
            <w:pPr>
              <w:widowControl/>
              <w:adjustRightInd w:val="0"/>
              <w:snapToGrid w:val="0"/>
              <w:jc w:val="center"/>
              <w:rPr>
                <w:rFonts w:ascii="宋体" w:eastAsia="宋体" w:hAnsi="宋体" w:cs="宋体" w:hint="eastAsia"/>
                <w:b/>
                <w:color w:val="auto"/>
                <w:kern w:val="0"/>
                <w:sz w:val="21"/>
                <w:szCs w:val="21"/>
                <w:highlight w:val="none"/>
              </w:rPr>
            </w:pPr>
            <w:r>
              <w:rPr>
                <w:rFonts w:ascii="宋体" w:eastAsia="宋体" w:hAnsi="宋体" w:cs="宋体" w:hint="eastAsia"/>
                <w:b/>
                <w:color w:val="auto"/>
                <w:kern w:val="0"/>
                <w:sz w:val="21"/>
                <w:szCs w:val="21"/>
                <w:highlight w:val="none"/>
              </w:rPr>
              <w:t>序号</w:t>
            </w:r>
          </w:p>
        </w:tc>
        <w:tc>
          <w:tcPr>
            <w:tcW w:w="3140" w:type="pct"/>
            <w:noWrap w:val="0"/>
            <w:vAlign w:val="top"/>
          </w:tcPr>
          <w:p>
            <w:pPr>
              <w:widowControl/>
              <w:jc w:val="center"/>
              <w:rPr>
                <w:rFonts w:ascii="宋体" w:eastAsia="宋体" w:hAnsi="宋体" w:cs="宋体" w:hint="eastAsia"/>
                <w:b/>
                <w:color w:val="auto"/>
                <w:kern w:val="0"/>
                <w:sz w:val="21"/>
                <w:szCs w:val="21"/>
                <w:highlight w:val="none"/>
              </w:rPr>
            </w:pPr>
            <w:r>
              <w:rPr>
                <w:rFonts w:ascii="宋体" w:eastAsia="宋体" w:hAnsi="宋体" w:cs="宋体" w:hint="eastAsia"/>
                <w:b/>
                <w:color w:val="auto"/>
                <w:sz w:val="21"/>
                <w:szCs w:val="21"/>
                <w:highlight w:val="none"/>
              </w:rPr>
              <w:t>提前终止情形</w:t>
            </w:r>
          </w:p>
        </w:tc>
        <w:tc>
          <w:tcPr>
            <w:tcW w:w="1248" w:type="pct"/>
            <w:noWrap w:val="0"/>
            <w:vAlign w:val="top"/>
          </w:tcPr>
          <w:p>
            <w:pPr>
              <w:widowControl/>
              <w:jc w:val="center"/>
              <w:rPr>
                <w:rFonts w:ascii="宋体" w:eastAsia="宋体" w:hAnsi="宋体" w:cs="宋体" w:hint="eastAsia"/>
                <w:b/>
                <w:color w:val="auto"/>
                <w:kern w:val="0"/>
                <w:sz w:val="21"/>
                <w:szCs w:val="21"/>
                <w:highlight w:val="none"/>
              </w:rPr>
            </w:pPr>
            <w:r>
              <w:rPr>
                <w:rFonts w:ascii="宋体" w:eastAsia="宋体" w:hAnsi="宋体" w:cs="宋体" w:hint="eastAsia"/>
                <w:b/>
                <w:color w:val="auto"/>
                <w:sz w:val="21"/>
                <w:szCs w:val="21"/>
                <w:highlight w:val="none"/>
              </w:rPr>
              <w:t>终止补偿金</w:t>
            </w:r>
          </w:p>
        </w:tc>
      </w:tr>
      <w:tr>
        <w:tblPrEx>
          <w:tblW w:w="5000" w:type="pct"/>
          <w:jc w:val="center"/>
          <w:tblLayout w:type="fixed"/>
          <w:tblCellMar>
            <w:top w:w="0" w:type="dxa"/>
            <w:left w:w="108" w:type="dxa"/>
            <w:bottom w:w="0" w:type="dxa"/>
            <w:right w:w="108" w:type="dxa"/>
          </w:tblCellMar>
        </w:tblPrEx>
        <w:trPr>
          <w:trHeight w:val="399"/>
          <w:jc w:val="center"/>
        </w:trPr>
        <w:tc>
          <w:tcPr>
            <w:tcW w:w="613" w:type="pct"/>
            <w:noWrap w:val="0"/>
            <w:vAlign w:val="center"/>
          </w:tcPr>
          <w:p>
            <w:pPr>
              <w:widowControl/>
              <w:adjustRightInd w:val="0"/>
              <w:snapToGrid w:val="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w:t>
            </w:r>
          </w:p>
        </w:tc>
        <w:tc>
          <w:tcPr>
            <w:tcW w:w="3140" w:type="pct"/>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政府发出终止（运营主体违约）</w:t>
            </w:r>
          </w:p>
        </w:tc>
        <w:tc>
          <w:tcPr>
            <w:tcW w:w="1248" w:type="pct"/>
            <w:noWrap w:val="0"/>
            <w:vAlign w:val="top"/>
          </w:tcPr>
          <w:p>
            <w:pPr>
              <w:rPr>
                <w:rFonts w:ascii="宋体" w:eastAsia="宋体" w:hAnsi="宋体" w:cs="宋体" w:hint="eastAsia"/>
                <w:color w:val="auto"/>
                <w:kern w:val="0"/>
                <w:sz w:val="21"/>
                <w:szCs w:val="21"/>
                <w:highlight w:val="none"/>
              </w:rPr>
            </w:pPr>
            <w:r>
              <w:rPr>
                <w:rFonts w:ascii="宋体" w:eastAsia="宋体" w:hAnsi="宋体" w:cs="宋体" w:hint="eastAsia"/>
                <w:color w:val="auto"/>
                <w:sz w:val="21"/>
                <w:szCs w:val="21"/>
                <w:highlight w:val="none"/>
              </w:rPr>
              <w:t>A*50%-B</w:t>
            </w:r>
          </w:p>
        </w:tc>
      </w:tr>
      <w:tr>
        <w:tblPrEx>
          <w:tblW w:w="5000" w:type="pct"/>
          <w:jc w:val="center"/>
          <w:tblLayout w:type="fixed"/>
          <w:tblCellMar>
            <w:top w:w="0" w:type="dxa"/>
            <w:left w:w="108" w:type="dxa"/>
            <w:bottom w:w="0" w:type="dxa"/>
            <w:right w:w="108" w:type="dxa"/>
          </w:tblCellMar>
        </w:tblPrEx>
        <w:trPr>
          <w:trHeight w:val="419"/>
          <w:jc w:val="center"/>
        </w:trPr>
        <w:tc>
          <w:tcPr>
            <w:tcW w:w="613" w:type="pct"/>
            <w:noWrap w:val="0"/>
            <w:vAlign w:val="center"/>
          </w:tcPr>
          <w:p>
            <w:pPr>
              <w:widowControl/>
              <w:adjustRightInd w:val="0"/>
              <w:snapToGrid w:val="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2</w:t>
            </w:r>
          </w:p>
        </w:tc>
        <w:tc>
          <w:tcPr>
            <w:tcW w:w="3140" w:type="pct"/>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运营主体发出终止（政府违约）</w:t>
            </w:r>
          </w:p>
        </w:tc>
        <w:tc>
          <w:tcPr>
            <w:tcW w:w="1248" w:type="pct"/>
            <w:noWrap w:val="0"/>
            <w:vAlign w:val="top"/>
          </w:tcPr>
          <w:p>
            <w:pPr>
              <w:rPr>
                <w:rFonts w:ascii="宋体" w:eastAsia="宋体" w:hAnsi="宋体" w:cs="宋体" w:hint="eastAsia"/>
                <w:color w:val="auto"/>
                <w:kern w:val="0"/>
                <w:sz w:val="21"/>
                <w:szCs w:val="21"/>
                <w:highlight w:val="none"/>
              </w:rPr>
            </w:pPr>
            <w:r>
              <w:rPr>
                <w:rFonts w:ascii="宋体" w:eastAsia="宋体" w:hAnsi="宋体" w:cs="宋体" w:hint="eastAsia"/>
                <w:color w:val="auto"/>
                <w:sz w:val="21"/>
                <w:szCs w:val="21"/>
                <w:highlight w:val="none"/>
              </w:rPr>
              <w:t>A+B</w:t>
            </w:r>
          </w:p>
        </w:tc>
      </w:tr>
      <w:tr>
        <w:tblPrEx>
          <w:tblW w:w="5000" w:type="pct"/>
          <w:jc w:val="center"/>
          <w:tblLayout w:type="fixed"/>
          <w:tblCellMar>
            <w:top w:w="0" w:type="dxa"/>
            <w:left w:w="108" w:type="dxa"/>
            <w:bottom w:w="0" w:type="dxa"/>
            <w:right w:w="108" w:type="dxa"/>
          </w:tblCellMar>
        </w:tblPrEx>
        <w:trPr>
          <w:trHeight w:val="450"/>
          <w:jc w:val="center"/>
        </w:trPr>
        <w:tc>
          <w:tcPr>
            <w:tcW w:w="613" w:type="pct"/>
            <w:noWrap w:val="0"/>
            <w:vAlign w:val="center"/>
          </w:tcPr>
          <w:p>
            <w:pPr>
              <w:widowControl/>
              <w:adjustRightInd w:val="0"/>
              <w:snapToGrid w:val="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3</w:t>
            </w:r>
          </w:p>
        </w:tc>
        <w:tc>
          <w:tcPr>
            <w:tcW w:w="3140" w:type="pct"/>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不可抗力事件</w:t>
            </w:r>
          </w:p>
        </w:tc>
        <w:tc>
          <w:tcPr>
            <w:tcW w:w="1248" w:type="pct"/>
            <w:noWrap w:val="0"/>
            <w:vAlign w:val="top"/>
          </w:tcPr>
          <w:p>
            <w:pPr>
              <w:rPr>
                <w:rFonts w:ascii="宋体" w:eastAsia="宋体" w:hAnsi="宋体" w:cs="宋体" w:hint="eastAsia"/>
                <w:color w:val="auto"/>
                <w:kern w:val="0"/>
                <w:sz w:val="21"/>
                <w:szCs w:val="21"/>
                <w:highlight w:val="none"/>
              </w:rPr>
            </w:pPr>
            <w:r>
              <w:rPr>
                <w:rFonts w:ascii="宋体" w:eastAsia="宋体" w:hAnsi="宋体" w:cs="宋体" w:hint="eastAsia"/>
                <w:color w:val="auto"/>
                <w:sz w:val="21"/>
                <w:szCs w:val="21"/>
                <w:highlight w:val="none"/>
              </w:rPr>
              <w:t>A+C</w:t>
            </w:r>
          </w:p>
        </w:tc>
      </w:tr>
      <w:tr>
        <w:tblPrEx>
          <w:tblW w:w="5000" w:type="pct"/>
          <w:jc w:val="center"/>
          <w:tblLayout w:type="fixed"/>
          <w:tblCellMar>
            <w:top w:w="0" w:type="dxa"/>
            <w:left w:w="108" w:type="dxa"/>
            <w:bottom w:w="0" w:type="dxa"/>
            <w:right w:w="108" w:type="dxa"/>
          </w:tblCellMar>
        </w:tblPrEx>
        <w:trPr>
          <w:trHeight w:val="414"/>
          <w:jc w:val="center"/>
        </w:trPr>
        <w:tc>
          <w:tcPr>
            <w:tcW w:w="613" w:type="pct"/>
            <w:noWrap w:val="0"/>
            <w:vAlign w:val="center"/>
          </w:tcPr>
          <w:p>
            <w:pPr>
              <w:widowControl/>
              <w:adjustRightInd w:val="0"/>
              <w:snapToGrid w:val="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4</w:t>
            </w:r>
          </w:p>
        </w:tc>
        <w:tc>
          <w:tcPr>
            <w:tcW w:w="3140" w:type="pct"/>
            <w:noWrap w:val="0"/>
            <w:vAlign w:val="center"/>
          </w:tcPr>
          <w:p>
            <w:pPr>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政策变更</w:t>
            </w:r>
          </w:p>
        </w:tc>
        <w:tc>
          <w:tcPr>
            <w:tcW w:w="1248" w:type="pct"/>
            <w:noWrap w:val="0"/>
            <w:vAlign w:val="center"/>
          </w:tcPr>
          <w:p>
            <w:pP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A</w:t>
            </w:r>
          </w:p>
        </w:tc>
      </w:tr>
    </w:tbl>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注：A为运营期终止时本项目资产（运营主体投入形成）的账面价值，以经政府方指定具备法定资质的第三方机构出具的资产评估值为准；</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B取值为人民币100万元；</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C为政府因不可抗力而承担的部分损失（由于不可抗力造成项目导致提前终止的，政府承担保险赔偿金不能弥补的损失额的一半）。</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若属运营主体违约导致提前终止的，按照对应公式计算终止补偿金为正数的，政府方应向运营主体支付相应金额的补偿金，但政府可根据资金安排，自本项目提前终止日起三年内分期分批次向运营主体支付补偿金；若为负数的，即“A*50%-B”的值为负数，即补偿金计算为负值的，则运营主体应向政府支付本条所述负数的绝对值。若属政府违约导致提前终止的，则自本项目提前终止日起六个月内向运营主体支付补偿金。</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7.4.3</w:t>
      </w:r>
      <w:r>
        <w:rPr>
          <w:rFonts w:ascii="宋体" w:eastAsia="宋体" w:hAnsi="宋体" w:cs="宋体" w:hint="eastAsia"/>
          <w:b w:val="0"/>
          <w:bCs w:val="0"/>
          <w:color w:val="auto"/>
          <w:sz w:val="21"/>
          <w:szCs w:val="21"/>
          <w:highlight w:val="none"/>
          <w:lang w:val="en-US" w:eastAsia="zh-CN"/>
        </w:rPr>
        <w:t>合同修约</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（1）合同修约的启动</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建议在以下情形下，可考虑对运营合同进行修订：</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\o\ac(○,1)</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适用法律的变化，影响任一方主要权利义务的；</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\o\ac(○,2)</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国家、行业及地方有关运营维护方面的标准大幅提高；</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\o\ac(○,3)</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因不可抗力或非因合同任一方的原因，导致合同部分条款无法履行；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\o\ac(○,4)</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一方当事人丧失履约能力；</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fldChar w:fldCharType="begin"/>
      </w:r>
      <w:r>
        <w:rPr>
          <w:rFonts w:ascii="宋体" w:eastAsia="宋体" w:hAnsi="宋体" w:cs="宋体" w:hint="eastAsia"/>
          <w:b w:val="0"/>
          <w:bCs w:val="0"/>
          <w:color w:val="auto"/>
          <w:sz w:val="21"/>
          <w:szCs w:val="21"/>
          <w:highlight w:val="none"/>
          <w:lang w:val="en-US" w:eastAsia="zh-CN"/>
        </w:rPr>
        <w:instrText xml:space="preserve"> eq \o\ac(○,5)</w:instrText>
      </w:r>
      <w:r>
        <w:rPr>
          <w:rFonts w:ascii="宋体" w:eastAsia="宋体" w:hAnsi="宋体" w:cs="宋体" w:hint="eastAsia"/>
          <w:b w:val="0"/>
          <w:bCs w:val="0"/>
          <w:color w:val="auto"/>
          <w:sz w:val="21"/>
          <w:szCs w:val="21"/>
          <w:highlight w:val="none"/>
          <w:lang w:val="en-US" w:eastAsia="zh-CN"/>
        </w:rPr>
        <w:fldChar w:fldCharType="separate"/>
      </w:r>
      <w:r>
        <w:rPr>
          <w:rFonts w:ascii="宋体" w:eastAsia="宋体" w:hAnsi="宋体" w:cs="宋体" w:hint="eastAsia"/>
          <w:b w:val="0"/>
          <w:bCs w:val="0"/>
          <w:color w:val="auto"/>
          <w:sz w:val="21"/>
          <w:szCs w:val="21"/>
          <w:highlight w:val="none"/>
          <w:lang w:val="en-US" w:eastAsia="zh-CN"/>
        </w:rPr>
        <w:fldChar w:fldCharType="end"/>
      </w:r>
      <w:r>
        <w:rPr>
          <w:rFonts w:ascii="宋体" w:eastAsia="宋体" w:hAnsi="宋体" w:cs="宋体" w:hint="eastAsia"/>
          <w:b w:val="0"/>
          <w:bCs w:val="0"/>
          <w:color w:val="auto"/>
          <w:sz w:val="21"/>
          <w:szCs w:val="21"/>
          <w:highlight w:val="none"/>
          <w:lang w:val="en-US" w:eastAsia="zh-CN"/>
        </w:rPr>
        <w:t>因情况发生变化，当事人双方协商一致同意。</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（2）合同修约规则</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各方仅针对导致修约的情形所带来的重大变化协商确定解决机制，并据此修订合同文本。</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（3）合同修约的效力</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合同修约未涉及的条款仍持续有效，修约条款和原运营合同约定不相一致的，以修约后文本约定为准。</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7.4.4</w:t>
      </w:r>
      <w:r>
        <w:rPr>
          <w:rFonts w:ascii="宋体" w:eastAsia="宋体" w:hAnsi="宋体" w:cs="宋体" w:hint="eastAsia"/>
          <w:b w:val="0"/>
          <w:bCs w:val="0"/>
          <w:color w:val="auto"/>
          <w:sz w:val="21"/>
          <w:szCs w:val="21"/>
          <w:highlight w:val="none"/>
          <w:lang w:val="en-US" w:eastAsia="zh-CN"/>
        </w:rPr>
        <w:t>合同展期</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在以下情形发生时，合同双方可考虑对合同期限进行适当的延长：</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（1）因可归责于政府方的原因导致项目运营中断的；</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（2）运营主体在经营期内履约记录良好，在符合届时适用法律规定的前提下，双方协商一致同意展期的。</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7.4.5</w:t>
      </w:r>
      <w:r>
        <w:rPr>
          <w:rFonts w:ascii="宋体" w:eastAsia="宋体" w:hAnsi="宋体" w:cs="宋体" w:hint="eastAsia"/>
          <w:b w:val="0"/>
          <w:bCs w:val="0"/>
          <w:color w:val="auto"/>
          <w:sz w:val="21"/>
          <w:szCs w:val="21"/>
          <w:highlight w:val="none"/>
          <w:lang w:val="en-US" w:eastAsia="zh-CN"/>
        </w:rPr>
        <w:t>项目移交标准</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合作期满，运营主体应按照运营合同约定将项目设施（含为项目设施正常运营所必须的各类项目设施、设备、土地使用权、各信息系统、数据、维护手册等）无偿移交给实施机构或政府指定机构。运营主体应确保移交的项目设施不存在任何抵押、质押等担保权益或所有权约束，亦不得存在任何种类和性质的索赔权，可用性状况良好。</w:t>
      </w:r>
      <w:bookmarkStart w:id="127" w:name="_Toc436293556"/>
      <w:r>
        <w:rPr>
          <w:rFonts w:ascii="宋体" w:eastAsia="宋体" w:hAnsi="宋体" w:cs="宋体" w:hint="eastAsia"/>
          <w:b w:val="0"/>
          <w:bCs w:val="0"/>
          <w:color w:val="auto"/>
          <w:sz w:val="21"/>
          <w:szCs w:val="21"/>
          <w:highlight w:val="none"/>
          <w:lang w:val="en-US" w:eastAsia="zh-CN"/>
        </w:rPr>
        <w:t>在运营主体移交资产前，由政府方和运营主体联合成立移交工作组，确定资产移交的范围及移交标准，具体按届时确定的移交方案执行。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7.4.6</w:t>
      </w:r>
      <w:r>
        <w:rPr>
          <w:rFonts w:ascii="宋体" w:eastAsia="宋体" w:hAnsi="宋体" w:cs="宋体" w:hint="eastAsia"/>
          <w:b w:val="0"/>
          <w:bCs w:val="0"/>
          <w:color w:val="auto"/>
          <w:sz w:val="21"/>
          <w:szCs w:val="21"/>
          <w:highlight w:val="none"/>
          <w:lang w:val="en-US" w:eastAsia="zh-CN"/>
        </w:rPr>
        <w:t>争议解决</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各方就本项目有关的事项发生争议时，应本着诚信原则，先以协商方式解决。协商不成的，任何一方均有权向项目所在地有管辖权的法院提起诉讼。</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7.4.7项目人员配备要求</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hint="eastAsia"/>
          <w:lang w:val="en-US" w:eastAsia="zh-CN"/>
        </w:rPr>
      </w:pPr>
      <w:r>
        <w:rPr>
          <w:rFonts w:ascii="宋体" w:eastAsia="宋体" w:hAnsi="宋体" w:cs="宋体" w:hint="eastAsia"/>
          <w:b w:val="0"/>
          <w:bCs w:val="0"/>
          <w:color w:val="auto"/>
          <w:sz w:val="21"/>
          <w:szCs w:val="21"/>
          <w:highlight w:val="none"/>
          <w:lang w:val="en-US" w:eastAsia="zh-CN"/>
        </w:rPr>
        <w:t>运营主体应当根据政策规定、消防等主管部门要求、运营合同约定,结合运营需要配备与服务、运营相匹配的工作人员,如医师、理疗师以及养老护理员、营养师、社工、厨师、保洁、安保等。运营主体应优先聘用罗湖区户籍失业下岗人员。运营主体安排的项目团队成员最低不低于16人，均须为自有员工（以社保为准）。</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运营主体须确保:</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（1）项目管理成员中有卫生技术职称和有助理社会工作师职业资格以上的成员至少1名。</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（2）行政管理人员占总职工数的比重应当不超过15%。</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（3）专业工作人员应当持有相关部门颁发的职业资格证书。</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（4）养老护理员应符合最新《养老护理员国家职业标准》相关要求。</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（5）养老护理员与能力完好的服务对象比例不低于1∶10,与轻度失能、中度失能服务对象的比例不低于1∶5,与重度失能服务对象的比例不低于1∶3。养老护理员须接受岗前培训和专业技能继续教育。</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color w:val="auto"/>
          <w:sz w:val="21"/>
          <w:szCs w:val="21"/>
          <w:highlight w:val="none"/>
        </w:rPr>
      </w:pPr>
      <w:r>
        <w:rPr>
          <w:rFonts w:ascii="宋体" w:eastAsia="宋体" w:hAnsi="宋体" w:cs="宋体" w:hint="eastAsia"/>
          <w:b w:val="0"/>
          <w:bCs w:val="0"/>
          <w:color w:val="auto"/>
          <w:sz w:val="21"/>
          <w:szCs w:val="21"/>
          <w:highlight w:val="none"/>
          <w:lang w:val="en-US" w:eastAsia="zh-CN"/>
        </w:rPr>
        <w:t>（6）应严格依照《劳动法》《劳动合同法》等相关法律规定，合法规范用工。</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bookmarkStart w:id="128" w:name="OLE_LINK1"/>
      <w:bookmarkStart w:id="129" w:name="_Toc181310788"/>
      <w:r>
        <w:rPr>
          <w:rFonts w:ascii="宋体" w:eastAsia="宋体" w:hAnsi="宋体" w:cs="宋体" w:hint="eastAsia"/>
          <w:b/>
          <w:bCs/>
          <w:color w:val="auto"/>
          <w:sz w:val="21"/>
          <w:szCs w:val="21"/>
          <w:highlight w:val="none"/>
          <w:lang w:val="en-US" w:eastAsia="zh-CN"/>
        </w:rPr>
        <w:t>7.4.8</w:t>
      </w:r>
      <w:r>
        <w:rPr>
          <w:rFonts w:ascii="宋体" w:eastAsia="宋体" w:hAnsi="宋体" w:cs="宋体" w:hint="eastAsia"/>
          <w:b w:val="0"/>
          <w:bCs w:val="0"/>
          <w:color w:val="auto"/>
          <w:sz w:val="21"/>
          <w:szCs w:val="21"/>
          <w:highlight w:val="none"/>
          <w:lang w:val="en-US" w:eastAsia="zh-CN"/>
        </w:rPr>
        <w:t>《清水河街道社区综合服务体公建民营项目运营合同（草案）》详见附件，投标人须认可合同条款内容，中标后应按照合同约定与甲方签订正式合同。</w:t>
      </w:r>
    </w:p>
    <w:p>
      <w:pPr>
        <w:spacing w:before="0" w:after="0" w:line="360" w:lineRule="auto"/>
        <w:jc w:val="center"/>
        <w:outlineLvl w:val="9"/>
        <w:rPr>
          <w:rFonts w:ascii="宋体" w:eastAsia="宋体" w:hAnsi="宋体" w:cs="宋体" w:hint="eastAsia"/>
          <w:b/>
          <w:bCs/>
          <w:color w:val="auto"/>
          <w:sz w:val="21"/>
          <w:szCs w:val="21"/>
          <w:highlight w:val="none"/>
          <w:lang w:val="en-US" w:eastAsia="zh-CN"/>
        </w:rPr>
      </w:pPr>
    </w:p>
    <w:p>
      <w:pPr>
        <w:pStyle w:val="Heading3"/>
        <w:spacing w:before="0" w:after="0" w:line="360" w:lineRule="auto"/>
        <w:jc w:val="center"/>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lang w:val="en-US" w:eastAsia="zh-CN"/>
        </w:rPr>
        <w:t>八</w:t>
      </w:r>
      <w:bookmarkEnd w:id="128"/>
      <w:r>
        <w:rPr>
          <w:rFonts w:ascii="宋体" w:eastAsia="宋体" w:hAnsi="宋体" w:cs="宋体" w:hint="eastAsia"/>
          <w:b/>
          <w:bCs/>
          <w:color w:val="auto"/>
          <w:sz w:val="21"/>
          <w:szCs w:val="21"/>
          <w:highlight w:val="none"/>
          <w:lang w:eastAsia="zh-CN"/>
        </w:rPr>
        <w:t>、</w:t>
      </w:r>
      <w:r>
        <w:rPr>
          <w:rFonts w:ascii="宋体" w:eastAsia="宋体" w:hAnsi="宋体" w:cs="宋体" w:hint="eastAsia"/>
          <w:b/>
          <w:bCs/>
          <w:color w:val="auto"/>
          <w:sz w:val="21"/>
          <w:szCs w:val="21"/>
          <w:highlight w:val="none"/>
        </w:rPr>
        <w:t>项目公共监管体系</w:t>
      </w:r>
      <w:bookmarkEnd w:id="129"/>
    </w:p>
    <w:p>
      <w:pPr>
        <w:pStyle w:val="Heading4"/>
        <w:spacing w:before="0" w:after="0" w:line="360" w:lineRule="auto"/>
        <w:ind w:firstLine="420" w:firstLineChars="200"/>
        <w:rPr>
          <w:rFonts w:ascii="宋体" w:eastAsia="宋体" w:hAnsi="宋体" w:cs="宋体" w:hint="eastAsia"/>
          <w:color w:val="auto"/>
          <w:sz w:val="21"/>
          <w:szCs w:val="21"/>
          <w:highlight w:val="none"/>
        </w:rPr>
      </w:pPr>
      <w:bookmarkStart w:id="130" w:name="_Toc181310789"/>
      <w:bookmarkStart w:id="131" w:name="_Toc454526491"/>
      <w:bookmarkStart w:id="132" w:name="_Toc445107355"/>
      <w:bookmarkStart w:id="133" w:name="_Toc460976753"/>
      <w:bookmarkStart w:id="134" w:name="_Toc458167754"/>
      <w:bookmarkStart w:id="135" w:name="_Toc456354813"/>
      <w:r>
        <w:rPr>
          <w:rFonts w:ascii="宋体" w:eastAsia="宋体" w:hAnsi="宋体" w:cs="宋体" w:hint="eastAsia"/>
          <w:color w:val="auto"/>
          <w:sz w:val="21"/>
          <w:szCs w:val="21"/>
          <w:highlight w:val="none"/>
          <w:lang w:val="en-US" w:eastAsia="zh-CN"/>
        </w:rPr>
        <w:t>8</w:t>
      </w:r>
      <w:r>
        <w:rPr>
          <w:rFonts w:ascii="宋体" w:eastAsia="宋体" w:hAnsi="宋体" w:cs="宋体" w:hint="eastAsia"/>
          <w:color w:val="auto"/>
          <w:sz w:val="21"/>
          <w:szCs w:val="21"/>
          <w:highlight w:val="none"/>
        </w:rPr>
        <w:t>.1履约监管</w:t>
      </w:r>
      <w:bookmarkEnd w:id="130"/>
      <w:bookmarkEnd w:id="131"/>
      <w:bookmarkEnd w:id="132"/>
      <w:bookmarkEnd w:id="133"/>
      <w:bookmarkEnd w:id="134"/>
      <w:bookmarkEnd w:id="135"/>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履约监管主要是指合同监管。清水河街道办事处是政府方履约管理的责任主体。其按照运营合同的约定，督促运营主体落实相关承诺。该监管方式的效力并非来自行政权力，而是政府与运营主体双方基于平等的民商事合同关系共同协商的结果。</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运营合同厘清了签约各方的权利义务边界，对项目设施的运营、合作终止、移交等关键环节，以及绩效评价等重要事项均有约定。监管的范围限于运营合同确定的权利义务边界。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值得注意的是，运营合同对签约各方均具有同等的约束力。政府在依约监管的同时，也需本着“诚信守约”的契约精神，履行自己的义务，这对于项目顺利推进具有重大意义。</w:t>
      </w:r>
    </w:p>
    <w:p>
      <w:pPr>
        <w:pStyle w:val="Heading4"/>
        <w:spacing w:before="0" w:after="0" w:line="360" w:lineRule="auto"/>
        <w:ind w:firstLine="420" w:firstLineChars="200"/>
        <w:rPr>
          <w:rFonts w:ascii="宋体" w:eastAsia="宋体" w:hAnsi="宋体" w:cs="宋体" w:hint="eastAsia"/>
          <w:color w:val="auto"/>
          <w:sz w:val="21"/>
          <w:szCs w:val="21"/>
          <w:highlight w:val="none"/>
        </w:rPr>
      </w:pPr>
      <w:bookmarkStart w:id="136" w:name="_Toc460976754"/>
      <w:bookmarkStart w:id="137" w:name="_Toc445107356"/>
      <w:bookmarkStart w:id="138" w:name="_Toc181310790"/>
      <w:bookmarkStart w:id="139" w:name="_Toc458167755"/>
      <w:bookmarkStart w:id="140" w:name="_Toc456354814"/>
      <w:bookmarkStart w:id="141" w:name="_Toc454526492"/>
      <w:r>
        <w:rPr>
          <w:rFonts w:ascii="宋体" w:eastAsia="宋体" w:hAnsi="宋体" w:cs="宋体" w:hint="eastAsia"/>
          <w:color w:val="auto"/>
          <w:sz w:val="21"/>
          <w:szCs w:val="21"/>
          <w:highlight w:val="none"/>
          <w:lang w:val="en-US" w:eastAsia="zh-CN"/>
        </w:rPr>
        <w:t>8</w:t>
      </w:r>
      <w:r>
        <w:rPr>
          <w:rFonts w:ascii="宋体" w:eastAsia="宋体" w:hAnsi="宋体" w:cs="宋体" w:hint="eastAsia"/>
          <w:color w:val="auto"/>
          <w:sz w:val="21"/>
          <w:szCs w:val="21"/>
          <w:highlight w:val="none"/>
        </w:rPr>
        <w:t>.</w:t>
      </w: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rPr>
        <w:t>行政监管</w:t>
      </w:r>
      <w:bookmarkEnd w:id="136"/>
      <w:bookmarkEnd w:id="137"/>
      <w:bookmarkEnd w:id="138"/>
      <w:bookmarkEnd w:id="139"/>
      <w:bookmarkEnd w:id="140"/>
      <w:bookmarkEnd w:id="141"/>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bookmarkStart w:id="142" w:name="_Toc456354815"/>
      <w:bookmarkStart w:id="143" w:name="_Toc456359606"/>
      <w:bookmarkStart w:id="144" w:name="_Toc458167756"/>
      <w:bookmarkStart w:id="145" w:name="_Toc454526493"/>
      <w:r>
        <w:rPr>
          <w:rFonts w:ascii="宋体" w:eastAsia="宋体" w:hAnsi="宋体" w:cs="宋体" w:hint="eastAsia"/>
          <w:b w:val="0"/>
          <w:bCs w:val="0"/>
          <w:color w:val="auto"/>
          <w:sz w:val="21"/>
          <w:szCs w:val="21"/>
          <w:highlight w:val="none"/>
          <w:lang w:val="en-US" w:eastAsia="zh-CN"/>
        </w:rPr>
        <w:t>行政监管是行政机关根据法律、法规授予的行政权力，对运营主体、从业人员和各相关方实施监督、检查、奖惩、勒令整改等一系列行为的统称。在国内目前的法律和机构框架内，行政监管仍然是公建民营项目前期最主要的监管方式。</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本项目涉及行政监管的部门主要有以下三类：</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主管部门：深圳市罗湖区民政局，对本项目的投资、运营维护进行监督指导。</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行业监管部门：包括区发改、财政、自然资源、环保、住建、文体、卫健、人力资源、教育等部门，主要是在项目前期承担各类审批职责，并在各自职权范围内发挥监管作用。</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一般监管部门：根据各自的职责范围对本项目运营等相关方面进行监管，履行其相应职能，其关系紧密程度可能弱于行业监管部门，如区电力、城管、市监、税务、公安、物价等。</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当运营主体发生运营合同约定的严重违约情形，威胁公共产品和服务的持续稳定安全供给，或危及重大国家安全和公共利益，政府有权临时接管项目，直至启动项目提前终止程序。</w:t>
      </w:r>
    </w:p>
    <w:bookmarkEnd w:id="142"/>
    <w:bookmarkEnd w:id="143"/>
    <w:bookmarkEnd w:id="144"/>
    <w:bookmarkEnd w:id="145"/>
    <w:p>
      <w:pPr>
        <w:pStyle w:val="Heading4"/>
        <w:spacing w:before="0" w:after="0" w:line="360" w:lineRule="auto"/>
        <w:ind w:firstLine="420" w:firstLineChars="200"/>
        <w:rPr>
          <w:rFonts w:ascii="宋体" w:eastAsia="宋体" w:hAnsi="宋体" w:cs="宋体" w:hint="eastAsia"/>
          <w:color w:val="auto"/>
          <w:sz w:val="21"/>
          <w:szCs w:val="21"/>
          <w:highlight w:val="none"/>
        </w:rPr>
      </w:pPr>
      <w:bookmarkStart w:id="146" w:name="_Toc181310791"/>
      <w:r>
        <w:rPr>
          <w:rFonts w:ascii="宋体" w:eastAsia="宋体" w:hAnsi="宋体" w:cs="宋体" w:hint="eastAsia"/>
          <w:color w:val="auto"/>
          <w:sz w:val="21"/>
          <w:szCs w:val="21"/>
          <w:highlight w:val="none"/>
          <w:lang w:val="en-US" w:eastAsia="zh-CN"/>
        </w:rPr>
        <w:t>8</w:t>
      </w:r>
      <w:r>
        <w:rPr>
          <w:rFonts w:ascii="宋体" w:eastAsia="宋体" w:hAnsi="宋体" w:cs="宋体" w:hint="eastAsia"/>
          <w:color w:val="auto"/>
          <w:sz w:val="21"/>
          <w:szCs w:val="21"/>
          <w:highlight w:val="none"/>
        </w:rPr>
        <w:t>.</w:t>
      </w:r>
      <w:r>
        <w:rPr>
          <w:rFonts w:ascii="宋体" w:eastAsia="宋体" w:hAnsi="宋体" w:cs="宋体" w:hint="eastAsia"/>
          <w:color w:val="auto"/>
          <w:sz w:val="21"/>
          <w:szCs w:val="21"/>
          <w:highlight w:val="none"/>
          <w:lang w:val="en-US" w:eastAsia="zh-CN"/>
        </w:rPr>
        <w:t>3</w:t>
      </w:r>
      <w:r>
        <w:rPr>
          <w:rFonts w:ascii="宋体" w:eastAsia="宋体" w:hAnsi="宋体" w:cs="宋体" w:hint="eastAsia"/>
          <w:color w:val="auto"/>
          <w:sz w:val="21"/>
          <w:szCs w:val="21"/>
          <w:highlight w:val="none"/>
        </w:rPr>
        <w:t>公众监管</w:t>
      </w:r>
      <w:bookmarkEnd w:id="146"/>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运营主体应主动建立一套有效的公众沟通机制，建立通畅的公众意见反馈的渠道。如设立投诉热线、开通具有信息反馈功能的官方微博、微信号等，并指定专门的部门或人员负责，做好项目信息、服务效果、舆情处理以及媒体关系的处理、公众信息的搜集和反馈等工作。</w:t>
      </w:r>
    </w:p>
    <w:p>
      <w:pPr>
        <w:spacing w:before="0" w:after="0" w:line="360" w:lineRule="auto"/>
        <w:jc w:val="center"/>
        <w:outlineLvl w:val="9"/>
        <w:rPr>
          <w:rFonts w:ascii="宋体" w:eastAsia="宋体" w:hAnsi="宋体" w:cs="宋体" w:hint="eastAsia"/>
          <w:b/>
          <w:bCs/>
          <w:color w:val="auto"/>
          <w:sz w:val="21"/>
          <w:szCs w:val="21"/>
          <w:highlight w:val="none"/>
          <w:lang w:val="en-US" w:eastAsia="zh-CN"/>
        </w:rPr>
      </w:pPr>
      <w:bookmarkStart w:id="147" w:name="_Toc181310792"/>
      <w:bookmarkStart w:id="148" w:name="_Toc460976760"/>
      <w:bookmarkStart w:id="149" w:name="_Toc436293570"/>
    </w:p>
    <w:p>
      <w:pPr>
        <w:pStyle w:val="Heading3"/>
        <w:spacing w:before="0" w:after="0" w:line="360" w:lineRule="auto"/>
        <w:jc w:val="center"/>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九、项目绩效考核</w:t>
      </w:r>
      <w:bookmarkEnd w:id="147"/>
      <w:bookmarkEnd w:id="148"/>
      <w:bookmarkEnd w:id="149"/>
    </w:p>
    <w:p>
      <w:pPr>
        <w:pStyle w:val="Heading4"/>
        <w:adjustRightInd w:val="0"/>
        <w:snapToGrid w:val="0"/>
        <w:spacing w:before="0" w:after="0" w:line="300" w:lineRule="auto"/>
        <w:ind w:firstLine="420" w:firstLineChars="200"/>
        <w:rPr>
          <w:rFonts w:ascii="宋体" w:eastAsia="宋体" w:hAnsi="宋体" w:cs="宋体" w:hint="eastAsia"/>
          <w:color w:val="auto"/>
          <w:sz w:val="21"/>
          <w:szCs w:val="21"/>
          <w:highlight w:val="none"/>
        </w:rPr>
      </w:pPr>
      <w:bookmarkStart w:id="150" w:name="_Toc181310793"/>
      <w:bookmarkStart w:id="151" w:name="_Toc75361847"/>
      <w:r>
        <w:rPr>
          <w:rFonts w:ascii="宋体" w:eastAsia="宋体" w:hAnsi="宋体" w:cs="宋体" w:hint="eastAsia"/>
          <w:color w:val="auto"/>
          <w:sz w:val="21"/>
          <w:szCs w:val="21"/>
          <w:highlight w:val="none"/>
          <w:lang w:val="en-US" w:eastAsia="zh-CN"/>
        </w:rPr>
        <w:t>9</w:t>
      </w:r>
      <w:r>
        <w:rPr>
          <w:rFonts w:ascii="宋体" w:eastAsia="宋体" w:hAnsi="宋体" w:cs="宋体" w:hint="eastAsia"/>
          <w:color w:val="auto"/>
          <w:sz w:val="21"/>
          <w:szCs w:val="21"/>
          <w:highlight w:val="none"/>
        </w:rPr>
        <w:t>.1绩效考核体系</w:t>
      </w:r>
      <w:bookmarkEnd w:id="150"/>
      <w:bookmarkEnd w:id="151"/>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bookmarkStart w:id="152" w:name="_Toc70496868"/>
      <w:bookmarkStart w:id="153" w:name="_Toc75361848"/>
      <w:bookmarkStart w:id="154" w:name="_Toc529954267"/>
      <w:bookmarkStart w:id="155" w:name="_Toc509349007"/>
      <w:r>
        <w:rPr>
          <w:rFonts w:ascii="宋体" w:eastAsia="宋体" w:hAnsi="宋体" w:cs="宋体" w:hint="eastAsia"/>
          <w:b w:val="0"/>
          <w:bCs w:val="0"/>
          <w:color w:val="auto"/>
          <w:sz w:val="21"/>
          <w:szCs w:val="21"/>
          <w:highlight w:val="none"/>
          <w:lang w:val="en-US" w:eastAsia="zh-CN"/>
        </w:rPr>
        <w:t>本项目由清水河街道办事处制定绩效考核标准及考核办法。具体考核工作由清水河街道办事处负责。清水河街道办事处可以自行组织实施或者委托第三方机构对项目运营情况进行绩效考核。</w:t>
      </w:r>
    </w:p>
    <w:bookmarkEnd w:id="152"/>
    <w:bookmarkEnd w:id="153"/>
    <w:bookmarkEnd w:id="154"/>
    <w:p>
      <w:pPr>
        <w:pStyle w:val="Heading4"/>
        <w:adjustRightInd w:val="0"/>
        <w:snapToGrid w:val="0"/>
        <w:spacing w:before="0" w:after="0" w:line="300" w:lineRule="auto"/>
        <w:ind w:firstLine="420" w:firstLineChars="200"/>
        <w:rPr>
          <w:rFonts w:ascii="宋体" w:eastAsia="宋体" w:hAnsi="宋体" w:cs="宋体" w:hint="eastAsia"/>
          <w:color w:val="auto"/>
          <w:sz w:val="21"/>
          <w:szCs w:val="21"/>
          <w:highlight w:val="none"/>
        </w:rPr>
      </w:pPr>
      <w:bookmarkStart w:id="156" w:name="_Toc70496869"/>
      <w:bookmarkStart w:id="157" w:name="_Toc529954269"/>
      <w:bookmarkStart w:id="158" w:name="_Toc75361849"/>
      <w:bookmarkStart w:id="159" w:name="_Toc181310794"/>
      <w:r>
        <w:rPr>
          <w:rFonts w:ascii="宋体" w:eastAsia="宋体" w:hAnsi="宋体" w:cs="宋体" w:hint="eastAsia"/>
          <w:color w:val="auto"/>
          <w:sz w:val="21"/>
          <w:szCs w:val="21"/>
          <w:highlight w:val="none"/>
          <w:lang w:val="en-US" w:eastAsia="zh-CN"/>
        </w:rPr>
        <w:t>9</w:t>
      </w:r>
      <w:r>
        <w:rPr>
          <w:rFonts w:ascii="宋体" w:eastAsia="宋体" w:hAnsi="宋体" w:cs="宋体" w:hint="eastAsia"/>
          <w:color w:val="auto"/>
          <w:sz w:val="21"/>
          <w:szCs w:val="21"/>
          <w:highlight w:val="none"/>
        </w:rPr>
        <w:t>.2运营绩效考核</w:t>
      </w:r>
      <w:bookmarkEnd w:id="155"/>
      <w:bookmarkEnd w:id="156"/>
      <w:bookmarkEnd w:id="157"/>
      <w:bookmarkEnd w:id="158"/>
      <w:bookmarkEnd w:id="159"/>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9.2.1</w:t>
      </w:r>
      <w:r>
        <w:rPr>
          <w:rFonts w:ascii="宋体" w:eastAsia="宋体" w:hAnsi="宋体" w:cs="宋体" w:hint="eastAsia"/>
          <w:b w:val="0"/>
          <w:bCs w:val="0"/>
          <w:color w:val="auto"/>
          <w:sz w:val="21"/>
          <w:szCs w:val="21"/>
          <w:highlight w:val="none"/>
          <w:lang w:val="en-US" w:eastAsia="zh-CN"/>
        </w:rPr>
        <w:t>运营绩效考核办法</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运营绩效考核办法分为常规考核与临时考核两种，具体如下：</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（1）常规考核</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在运营期内每年进行一次，在运营主体向实施机构提交运营维护报告后启动。</w:t>
      </w:r>
      <w:bookmarkStart w:id="160" w:name="_Hlk77688605"/>
      <w:r>
        <w:rPr>
          <w:rFonts w:ascii="宋体" w:eastAsia="宋体" w:hAnsi="宋体" w:cs="宋体" w:hint="eastAsia"/>
          <w:b w:val="0"/>
          <w:bCs w:val="0"/>
          <w:color w:val="auto"/>
          <w:sz w:val="21"/>
          <w:szCs w:val="21"/>
          <w:highlight w:val="none"/>
          <w:lang w:val="en-US" w:eastAsia="zh-CN"/>
        </w:rPr>
        <w:t>实施机构根据绩效考核结果计算提取履约保函的金额。</w:t>
      </w:r>
      <w:bookmarkEnd w:id="160"/>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运营主体应在实施机构要求的时间内修复缺陷，并在缺陷修复完成后及时通知实施机构进行复核。运营主体拒绝修复或修复不到位的，实施机构有权终止合同。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（2）临时考核</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实施机构可以随时组织临时考核。如发现缺陷，则以书面形式通知运营主体。运营主体应在接到实施机构的书面通知后，应在要求的时间内修复缺陷。运营主体拒绝修复或修复不到位的，实施机构有权终止合同。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bookmarkStart w:id="161" w:name="_Toc509349008"/>
      <w:r>
        <w:rPr>
          <w:rFonts w:ascii="宋体" w:eastAsia="宋体" w:hAnsi="宋体" w:cs="宋体" w:hint="eastAsia"/>
          <w:b/>
          <w:bCs/>
          <w:color w:val="auto"/>
          <w:sz w:val="21"/>
          <w:szCs w:val="21"/>
          <w:highlight w:val="none"/>
          <w:lang w:val="en-US" w:eastAsia="zh-CN"/>
        </w:rPr>
        <w:t>9.2.2</w:t>
      </w:r>
      <w:r>
        <w:rPr>
          <w:rFonts w:ascii="宋体" w:eastAsia="宋体" w:hAnsi="宋体" w:cs="宋体" w:hint="eastAsia"/>
          <w:b w:val="0"/>
          <w:bCs w:val="0"/>
          <w:color w:val="auto"/>
          <w:sz w:val="21"/>
          <w:szCs w:val="21"/>
          <w:highlight w:val="none"/>
          <w:lang w:val="en-US" w:eastAsia="zh-CN"/>
        </w:rPr>
        <w:t>运营绩效考核指标</w:t>
      </w:r>
      <w:bookmarkEnd w:id="161"/>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根据《国务院办公厅转发国家发展改革委〈城市社区嵌入式服务设施建设工程实施方案〉的通知》（国办函〔2023〕121号）、国家发展改革委 住房城乡建设部 自然资源部关于印发《城市社区嵌入式服务设施建设导则（试行）》的通知（发改社会〔2024〕5号），并结合本项目实际情况，制定了项目考核办法（草案）（见附件）。因目前服务功能配置尚存在不确定性，故该考核办法最终以清水河街道办事处在项目运营时根据实际情况制定的标准为准。</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鉴于每年度的运营内容或者相关制度也会变化，考核标准需要相应更新调整，届时由清水河街道办事处在此基础上进行优化调整，并根据有关规定执行落实。</w:t>
      </w:r>
      <w:bookmarkStart w:id="162" w:name="_Hlk79004241"/>
    </w:p>
    <w:bookmarkEnd w:id="162"/>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9.2.3</w:t>
      </w:r>
      <w:r>
        <w:rPr>
          <w:rFonts w:ascii="宋体" w:eastAsia="宋体" w:hAnsi="宋体" w:cs="宋体" w:hint="eastAsia"/>
          <w:b w:val="0"/>
          <w:bCs w:val="0"/>
          <w:color w:val="auto"/>
          <w:sz w:val="21"/>
          <w:szCs w:val="21"/>
          <w:highlight w:val="none"/>
          <w:lang w:val="en-US" w:eastAsia="zh-CN"/>
        </w:rPr>
        <w:t>运营绩效考核结果运用</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bookmarkStart w:id="163" w:name="_Hlk72166770"/>
      <w:r>
        <w:rPr>
          <w:rFonts w:ascii="宋体" w:eastAsia="宋体" w:hAnsi="宋体" w:cs="宋体" w:hint="eastAsia"/>
          <w:b w:val="0"/>
          <w:bCs w:val="0"/>
          <w:color w:val="auto"/>
          <w:sz w:val="21"/>
          <w:szCs w:val="21"/>
          <w:highlight w:val="none"/>
          <w:lang w:val="en-US" w:eastAsia="zh-CN"/>
        </w:rPr>
        <w:t>实施机构将在每个运营年依据项目考核办法考核项目运营情况并评分。</w:t>
      </w:r>
    </w:p>
    <w:bookmarkEnd w:id="163"/>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运营期内运营主体每个运营年度绩效考核得分为该年度运营主体运营情况考核总得分。运营主体在年度考核中的总得分≥85分视为合格。低于85分的，实施机构可按以下公式</w:t>
      </w:r>
      <w:bookmarkStart w:id="164" w:name="_Hlk77688679"/>
      <w:r>
        <w:rPr>
          <w:rFonts w:ascii="宋体" w:eastAsia="宋体" w:hAnsi="宋体" w:cs="宋体" w:hint="eastAsia"/>
          <w:b w:val="0"/>
          <w:bCs w:val="0"/>
          <w:color w:val="auto"/>
          <w:sz w:val="21"/>
          <w:szCs w:val="21"/>
          <w:highlight w:val="none"/>
          <w:lang w:val="en-US" w:eastAsia="zh-CN"/>
        </w:rPr>
        <w:t>，计算提取履约保函的金额</w:t>
      </w:r>
      <w:bookmarkEnd w:id="164"/>
      <w:r>
        <w:rPr>
          <w:rFonts w:ascii="宋体" w:eastAsia="宋体" w:hAnsi="宋体" w:cs="宋体" w:hint="eastAsia"/>
          <w:b w:val="0"/>
          <w:bCs w:val="0"/>
          <w:color w:val="auto"/>
          <w:sz w:val="21"/>
          <w:szCs w:val="21"/>
          <w:highlight w:val="none"/>
          <w:lang w:val="en-US" w:eastAsia="zh-CN"/>
        </w:rPr>
        <w:t>。</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绩效考核得分与运营绩效考核系数具体挂钩比例如下表所示：</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67"/>
        <w:gridCol w:w="902"/>
        <w:gridCol w:w="639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7"/>
          <w:tblHeader/>
          <w:jc w:val="center"/>
        </w:trPr>
        <w:tc>
          <w:tcPr>
            <w:tcW w:w="1619" w:type="dxa"/>
            <w:shd w:val="clear" w:color="auto" w:fill="DBE5F1"/>
            <w:noWrap w:val="0"/>
            <w:vAlign w:val="center"/>
          </w:tcPr>
          <w:p>
            <w:pPr>
              <w:adjustRightInd w:val="0"/>
              <w:snapToGrid w:val="0"/>
              <w:jc w:val="center"/>
              <w:rPr>
                <w:rFonts w:ascii="宋体" w:eastAsia="宋体" w:hAnsi="宋体" w:cs="宋体" w:hint="eastAsia"/>
                <w:b/>
                <w:bCs/>
                <w:color w:val="auto"/>
                <w:sz w:val="21"/>
                <w:szCs w:val="21"/>
                <w:highlight w:val="none"/>
              </w:rPr>
            </w:pPr>
            <w:bookmarkStart w:id="165" w:name="_Hlk72166792"/>
            <w:r>
              <w:rPr>
                <w:rFonts w:ascii="宋体" w:eastAsia="宋体" w:hAnsi="宋体" w:cs="宋体" w:hint="eastAsia"/>
                <w:b/>
                <w:bCs/>
                <w:color w:val="auto"/>
                <w:sz w:val="21"/>
                <w:szCs w:val="21"/>
                <w:highlight w:val="none"/>
              </w:rPr>
              <w:t>考核评分</w:t>
            </w:r>
          </w:p>
        </w:tc>
        <w:tc>
          <w:tcPr>
            <w:tcW w:w="826" w:type="dxa"/>
            <w:shd w:val="clear" w:color="auto" w:fill="DBE5F1"/>
            <w:noWrap w:val="0"/>
            <w:vAlign w:val="center"/>
          </w:tcPr>
          <w:p>
            <w:pPr>
              <w:adjustRightInd w:val="0"/>
              <w:snapToGrid w:val="0"/>
              <w:jc w:val="center"/>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运营评级</w:t>
            </w:r>
          </w:p>
        </w:tc>
        <w:tc>
          <w:tcPr>
            <w:tcW w:w="5857" w:type="dxa"/>
            <w:shd w:val="clear" w:color="auto" w:fill="DBE5F1"/>
            <w:noWrap w:val="0"/>
            <w:vAlign w:val="center"/>
          </w:tcPr>
          <w:p>
            <w:pPr>
              <w:adjustRightInd w:val="0"/>
              <w:snapToGrid w:val="0"/>
              <w:jc w:val="center"/>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提取履约保函金额比例</w:t>
            </w:r>
          </w:p>
        </w:tc>
      </w:tr>
      <w:tr>
        <w:tblPrEx>
          <w:tblW w:w="5000" w:type="pct"/>
          <w:jc w:val="center"/>
          <w:tblLayout w:type="fixed"/>
          <w:tblCellMar>
            <w:top w:w="0" w:type="dxa"/>
            <w:left w:w="108" w:type="dxa"/>
            <w:bottom w:w="0" w:type="dxa"/>
            <w:right w:w="108" w:type="dxa"/>
          </w:tblCellMar>
        </w:tblPrEx>
        <w:trPr>
          <w:trHeight w:val="341"/>
          <w:jc w:val="center"/>
        </w:trPr>
        <w:tc>
          <w:tcPr>
            <w:tcW w:w="1619" w:type="dxa"/>
            <w:noWrap w:val="0"/>
            <w:vAlign w:val="center"/>
          </w:tcPr>
          <w:p>
            <w:pPr>
              <w:pStyle w:val="ListParagraph"/>
              <w:adjustRightInd w:val="0"/>
              <w:snapToGrid w:val="0"/>
              <w:ind w:firstLine="0" w:firstLineChars="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考核评分≥85分</w:t>
            </w:r>
          </w:p>
        </w:tc>
        <w:tc>
          <w:tcPr>
            <w:tcW w:w="826" w:type="dxa"/>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优</w:t>
            </w:r>
          </w:p>
        </w:tc>
        <w:tc>
          <w:tcPr>
            <w:tcW w:w="5857" w:type="dxa"/>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不提取保函</w:t>
            </w:r>
          </w:p>
        </w:tc>
      </w:tr>
      <w:tr>
        <w:tblPrEx>
          <w:tblW w:w="5000" w:type="pct"/>
          <w:jc w:val="center"/>
          <w:tblLayout w:type="fixed"/>
          <w:tblCellMar>
            <w:top w:w="0" w:type="dxa"/>
            <w:left w:w="108" w:type="dxa"/>
            <w:bottom w:w="0" w:type="dxa"/>
            <w:right w:w="108" w:type="dxa"/>
          </w:tblCellMar>
        </w:tblPrEx>
        <w:trPr>
          <w:trHeight w:val="842"/>
          <w:jc w:val="center"/>
        </w:trPr>
        <w:tc>
          <w:tcPr>
            <w:tcW w:w="1619" w:type="dxa"/>
            <w:noWrap w:val="0"/>
            <w:vAlign w:val="center"/>
          </w:tcPr>
          <w:p>
            <w:pPr>
              <w:pStyle w:val="ListParagraph"/>
              <w:adjustRightInd w:val="0"/>
              <w:snapToGrid w:val="0"/>
              <w:ind w:firstLine="0" w:firstLineChars="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85分＞考核评分≥60分</w:t>
            </w:r>
          </w:p>
        </w:tc>
        <w:tc>
          <w:tcPr>
            <w:tcW w:w="826" w:type="dxa"/>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良</w:t>
            </w:r>
          </w:p>
        </w:tc>
        <w:tc>
          <w:tcPr>
            <w:tcW w:w="5857" w:type="dxa"/>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提取保函金额的（100-得分）×100%</w:t>
            </w:r>
          </w:p>
        </w:tc>
      </w:tr>
      <w:tr>
        <w:tblPrEx>
          <w:tblW w:w="5000" w:type="pct"/>
          <w:jc w:val="center"/>
          <w:tblLayout w:type="fixed"/>
          <w:tblCellMar>
            <w:top w:w="0" w:type="dxa"/>
            <w:left w:w="108" w:type="dxa"/>
            <w:bottom w:w="0" w:type="dxa"/>
            <w:right w:w="108" w:type="dxa"/>
          </w:tblCellMar>
        </w:tblPrEx>
        <w:trPr>
          <w:trHeight w:val="372"/>
          <w:jc w:val="center"/>
        </w:trPr>
        <w:tc>
          <w:tcPr>
            <w:tcW w:w="1619" w:type="dxa"/>
            <w:noWrap w:val="0"/>
            <w:vAlign w:val="center"/>
          </w:tcPr>
          <w:p>
            <w:pPr>
              <w:pStyle w:val="ListParagraph"/>
              <w:adjustRightInd w:val="0"/>
              <w:snapToGrid w:val="0"/>
              <w:ind w:firstLine="0" w:firstLineChars="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考核评分＜60分</w:t>
            </w:r>
          </w:p>
        </w:tc>
        <w:tc>
          <w:tcPr>
            <w:tcW w:w="826" w:type="dxa"/>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差</w:t>
            </w:r>
          </w:p>
        </w:tc>
        <w:tc>
          <w:tcPr>
            <w:tcW w:w="5857" w:type="dxa"/>
            <w:noWrap w:val="0"/>
            <w:vAlign w:val="center"/>
          </w:tcPr>
          <w:p>
            <w:pPr>
              <w:adjustRightInd w:val="0"/>
              <w:snapToGrid w:val="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提取保函金额的100%</w:t>
            </w:r>
          </w:p>
        </w:tc>
      </w:tr>
      <w:bookmarkEnd w:id="165"/>
    </w:tbl>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lang w:val="en-US" w:eastAsia="zh-CN"/>
        </w:rPr>
        <w:t>如果运营主体连续2年或者5年内累计3年绩效考核得分低于60分，则视为运营主体重大违约，实施机构有权提前终止合同。</w:t>
      </w:r>
    </w:p>
    <w:p>
      <w:pPr>
        <w:pageBreakBefore w:val="0"/>
        <w:kinsoku/>
        <w:wordWrap/>
        <w:overflowPunct/>
        <w:topLinePunct w:val="0"/>
        <w:autoSpaceDE/>
        <w:autoSpaceDN/>
        <w:bidi w:val="0"/>
        <w:adjustRightInd/>
        <w:snapToGrid/>
        <w:spacing w:line="140" w:lineRule="auto"/>
        <w:ind w:firstLine="420" w:firstLineChars="200"/>
        <w:jc w:val="both"/>
        <w:textAlignment w:val="auto"/>
        <w:rPr>
          <w:rFonts w:ascii="宋体" w:eastAsia="宋体" w:hAnsi="宋体" w:cs="宋体" w:hint="eastAsia"/>
          <w:b w:val="0"/>
          <w:bCs w:val="0"/>
          <w:color w:val="auto"/>
          <w:sz w:val="21"/>
          <w:szCs w:val="21"/>
          <w:highlight w:val="none"/>
          <w:lang w:val="en-US" w:eastAsia="zh-CN"/>
        </w:rPr>
        <w:sectPr>
          <w:footerReference w:type="default" r:id="rId6"/>
          <w:pgSz w:w="11906" w:h="16838"/>
          <w:pgMar w:top="2098" w:right="1474" w:bottom="1984" w:left="1587" w:header="851" w:footer="992" w:gutter="0"/>
          <w:pgNumType w:fmt="decimal"/>
          <w:cols w:num="1" w:space="720"/>
          <w:docGrid w:type="lines" w:linePitch="312" w:charSpace="0"/>
        </w:sectPr>
      </w:pPr>
    </w:p>
    <w:bookmarkEnd w:id="127"/>
    <w:p>
      <w:pPr>
        <w:widowControl/>
        <w:jc w:val="left"/>
        <w:rPr>
          <w:rFonts w:ascii="宋体" w:eastAsia="宋体" w:hAnsi="宋体" w:cs="宋体" w:hint="eastAsia"/>
          <w:b/>
          <w:bCs/>
          <w:kern w:val="2"/>
          <w:lang w:eastAsia="zh-CN"/>
        </w:rPr>
      </w:pPr>
    </w:p>
    <w:p>
      <w:pPr>
        <w:pageBreakBefore w:val="0"/>
        <w:widowControl w:val="0"/>
        <w:kinsoku/>
        <w:overflowPunct/>
        <w:topLinePunct w:val="0"/>
        <w:bidi w:val="0"/>
        <w:spacing w:line="240" w:lineRule="auto"/>
        <w:ind w:right="2" w:rightChars="1"/>
        <w:jc w:val="center"/>
        <w:rPr>
          <w:rFonts w:ascii="宋体" w:eastAsia="宋体" w:hAnsi="宋体" w:cs="宋体" w:hint="eastAsia"/>
          <w:b/>
          <w:bCs/>
          <w:kern w:val="2"/>
          <w:lang w:eastAsia="zh-CN"/>
        </w:rPr>
      </w:pPr>
    </w:p>
    <w:p>
      <w:pPr>
        <w:pageBreakBefore w:val="0"/>
        <w:widowControl w:val="0"/>
        <w:kinsoku/>
        <w:overflowPunct/>
        <w:topLinePunct w:val="0"/>
        <w:autoSpaceDE/>
        <w:autoSpaceDN/>
        <w:bidi w:val="0"/>
        <w:adjustRightInd w:val="0"/>
        <w:snapToGrid w:val="0"/>
        <w:spacing w:before="120" w:beforeLines="50" w:after="120" w:afterLines="50" w:line="400" w:lineRule="exact"/>
        <w:ind w:firstLine="0" w:firstLineChars="0"/>
        <w:jc w:val="center"/>
        <w:outlineLvl w:val="2"/>
        <w:rPr>
          <w:rFonts w:ascii="宋体" w:eastAsia="宋体" w:hAnsi="宋体" w:cs="宋体" w:hint="eastAsia"/>
          <w:b/>
          <w:bCs/>
          <w:color w:val="FF0000"/>
          <w:kern w:val="44"/>
          <w:lang w:eastAsia="zh-CN"/>
        </w:rPr>
      </w:pPr>
      <w:r>
        <w:rPr>
          <w:rFonts w:ascii="宋体" w:eastAsia="宋体" w:hAnsi="宋体" w:cs="宋体" w:hint="eastAsia"/>
          <w:b/>
          <w:bCs/>
          <w:color w:val="FF0000"/>
          <w:kern w:val="44"/>
          <w:lang w:eastAsia="zh-CN"/>
        </w:rPr>
        <w:t>十</w:t>
      </w:r>
      <w:r>
        <w:rPr>
          <w:rFonts w:ascii="宋体" w:eastAsia="宋体" w:hAnsi="宋体" w:cs="宋体" w:hint="eastAsia"/>
          <w:b/>
          <w:bCs/>
          <w:color w:val="FF0000"/>
          <w:kern w:val="44"/>
          <w:lang w:eastAsia="zh-CN"/>
        </w:rPr>
        <w:t>、实质性条款</w:t>
      </w:r>
      <w:bookmarkEnd w:id="45"/>
      <w:bookmarkEnd w:id="46"/>
      <w:bookmarkEnd w:id="47"/>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9"/>
        <w:gridCol w:w="833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05"/>
        </w:trPr>
        <w:tc>
          <w:tcPr>
            <w:tcW w:w="40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cs="宋体" w:hint="eastAsia"/>
                <w:b/>
                <w:bCs/>
                <w:color w:val="FF0000"/>
                <w:lang w:eastAsia="zh-CN"/>
              </w:rPr>
            </w:pPr>
            <w:r>
              <w:rPr>
                <w:rFonts w:ascii="宋体" w:eastAsia="宋体" w:hAnsi="宋体" w:cs="宋体" w:hint="eastAsia"/>
                <w:b/>
                <w:bCs/>
                <w:color w:val="FF0000"/>
                <w:lang w:eastAsia="zh-CN"/>
              </w:rPr>
              <w:t>序号</w:t>
            </w:r>
          </w:p>
        </w:tc>
        <w:tc>
          <w:tcPr>
            <w:tcW w:w="45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eastAsia="宋体" w:hAnsi="宋体" w:cs="宋体" w:hint="eastAsia"/>
                <w:b/>
                <w:bCs/>
                <w:color w:val="FF0000"/>
                <w:lang w:eastAsia="zh-CN"/>
              </w:rPr>
            </w:pPr>
            <w:r>
              <w:rPr>
                <w:rFonts w:ascii="宋体" w:eastAsia="宋体" w:hAnsi="宋体" w:cs="宋体" w:hint="eastAsia"/>
                <w:b/>
                <w:bCs/>
                <w:color w:val="FF0000"/>
                <w:lang w:eastAsia="zh-CN"/>
              </w:rPr>
              <w:t>实质性条款具体内容</w:t>
            </w:r>
          </w:p>
        </w:tc>
      </w:tr>
      <w:tr>
        <w:tblPrEx>
          <w:tblW w:w="5000" w:type="pct"/>
          <w:tblInd w:w="0" w:type="dxa"/>
          <w:tblLayout w:type="fixed"/>
          <w:tblCellMar>
            <w:top w:w="0" w:type="dxa"/>
            <w:left w:w="108" w:type="dxa"/>
            <w:bottom w:w="0" w:type="dxa"/>
            <w:right w:w="108" w:type="dxa"/>
          </w:tblCellMar>
        </w:tblPrEx>
        <w:trPr>
          <w:trHeight w:val="901"/>
        </w:trPr>
        <w:tc>
          <w:tcPr>
            <w:tcW w:w="40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0" w:leftChars="0"/>
              <w:jc w:val="center"/>
              <w:textAlignment w:val="auto"/>
              <w:rPr>
                <w:rFonts w:ascii="宋体" w:eastAsia="宋体" w:hAnsi="宋体" w:cs="宋体" w:hint="eastAsia"/>
                <w:color w:val="FF0000"/>
                <w:lang w:eastAsia="zh-CN"/>
              </w:rPr>
            </w:pPr>
            <w:r>
              <w:rPr>
                <w:rFonts w:ascii="宋体" w:eastAsia="宋体" w:hAnsi="宋体" w:cs="宋体" w:hint="eastAsia"/>
                <w:color w:val="FF0000"/>
                <w:lang w:eastAsia="zh-CN"/>
              </w:rPr>
              <w:t>1</w:t>
            </w:r>
          </w:p>
        </w:tc>
        <w:tc>
          <w:tcPr>
            <w:tcW w:w="4597" w:type="pct"/>
            <w:noWrap w:val="0"/>
            <w:vAlign w:val="center"/>
          </w:tcPr>
          <w:p>
            <w:pPr>
              <w:keepNext/>
              <w:keepLines/>
              <w:pageBreakBefore w:val="0"/>
              <w:kinsoku/>
              <w:wordWrap/>
              <w:overflowPunct/>
              <w:topLinePunct w:val="0"/>
              <w:autoSpaceDE/>
              <w:autoSpaceDN/>
              <w:bidi w:val="0"/>
              <w:adjustRightInd/>
              <w:snapToGrid/>
              <w:spacing w:before="0" w:after="0" w:line="140" w:lineRule="auto"/>
              <w:jc w:val="both"/>
              <w:textAlignment w:val="auto"/>
              <w:outlineLvl w:val="3"/>
              <w:rPr>
                <w:rFonts w:ascii="宋体" w:eastAsia="宋体" w:hAnsi="宋体" w:cs="宋体" w:hint="eastAsia"/>
                <w:b/>
                <w:bCs/>
                <w:color w:val="FF0000"/>
                <w:kern w:val="2"/>
                <w:lang w:eastAsia="zh-CN"/>
              </w:rPr>
            </w:pPr>
            <w:r>
              <w:rPr>
                <w:rFonts w:ascii="宋体" w:eastAsia="宋体" w:hAnsi="宋体" w:cs="宋体" w:hint="eastAsia"/>
                <w:color w:val="FF0000"/>
                <w:kern w:val="2"/>
                <w:lang w:eastAsia="zh-CN"/>
              </w:rPr>
              <w:t>★项目合作时限：本项目合作年限拟定为15年（包括功能优化建设时间不超过12个月在内），自建设运营合同生效之日起计算。</w:t>
            </w:r>
          </w:p>
        </w:tc>
      </w:tr>
      <w:tr>
        <w:tblPrEx>
          <w:tblW w:w="5000" w:type="pct"/>
          <w:tblInd w:w="0" w:type="dxa"/>
          <w:tblLayout w:type="fixed"/>
          <w:tblCellMar>
            <w:top w:w="0" w:type="dxa"/>
            <w:left w:w="108" w:type="dxa"/>
            <w:bottom w:w="0" w:type="dxa"/>
            <w:right w:w="108" w:type="dxa"/>
          </w:tblCellMar>
        </w:tblPrEx>
        <w:trPr>
          <w:trHeight w:val="434"/>
        </w:trPr>
        <w:tc>
          <w:tcPr>
            <w:tcW w:w="402" w:type="pct"/>
            <w:noWrap w:val="0"/>
            <w:vAlign w:val="center"/>
          </w:tcPr>
          <w:p>
            <w:pPr>
              <w:keepNext w:val="0"/>
              <w:keepLines w:val="0"/>
              <w:pageBreakBefore w:val="0"/>
              <w:widowControl w:val="0"/>
              <w:kinsoku/>
              <w:wordWrap/>
              <w:overflowPunct/>
              <w:topLinePunct w:val="0"/>
              <w:autoSpaceDE/>
              <w:autoSpaceDN/>
              <w:bidi w:val="0"/>
              <w:adjustRightInd w:val="0"/>
              <w:spacing w:before="156" w:beforeLines="0" w:after="156" w:line="240" w:lineRule="auto"/>
              <w:ind w:firstLine="0" w:firstLineChars="0"/>
              <w:jc w:val="center"/>
              <w:textAlignment w:val="auto"/>
              <w:rPr>
                <w:rFonts w:ascii="宋体" w:eastAsia="宋体" w:hAnsi="宋体" w:cs="宋体" w:hint="eastAsia"/>
                <w:color w:val="FF0000"/>
                <w:kern w:val="2"/>
                <w:lang w:eastAsia="zh-CN"/>
              </w:rPr>
            </w:pPr>
            <w:r>
              <w:rPr>
                <w:rFonts w:ascii="宋体" w:eastAsia="宋体" w:hAnsi="宋体" w:cs="宋体" w:hint="eastAsia"/>
                <w:color w:val="FF0000"/>
                <w:kern w:val="2"/>
                <w:lang w:eastAsia="zh-CN"/>
              </w:rPr>
              <w:t>2</w:t>
            </w:r>
          </w:p>
        </w:tc>
        <w:tc>
          <w:tcPr>
            <w:tcW w:w="459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both"/>
              <w:textAlignment w:val="auto"/>
              <w:outlineLvl w:val="4"/>
              <w:rPr>
                <w:rFonts w:ascii="宋体" w:eastAsia="宋体" w:hAnsi="宋体" w:cs="宋体" w:hint="eastAsia"/>
                <w:color w:val="FF0000"/>
                <w:kern w:val="2"/>
                <w:lang w:eastAsia="zh-CN"/>
              </w:rPr>
            </w:pPr>
            <w:r>
              <w:rPr>
                <w:rFonts w:ascii="宋体" w:eastAsia="宋体" w:hAnsi="宋体" w:cs="宋体" w:hint="eastAsia"/>
                <w:color w:val="FF0000"/>
                <w:kern w:val="2"/>
                <w:lang w:eastAsia="zh-CN"/>
              </w:rPr>
              <w:t>★本项目要求功能优化的资金投入应不少于3000元/平方米，中标方在甲乙双方签订建设运营合同次日起不超过12个月内将建设资金投入到位。</w:t>
            </w:r>
          </w:p>
        </w:tc>
      </w:tr>
      <w:tr>
        <w:tblPrEx>
          <w:tblW w:w="5000" w:type="pct"/>
          <w:tblInd w:w="0" w:type="dxa"/>
          <w:tblLayout w:type="fixed"/>
          <w:tblCellMar>
            <w:top w:w="0" w:type="dxa"/>
            <w:left w:w="108" w:type="dxa"/>
            <w:bottom w:w="0" w:type="dxa"/>
            <w:right w:w="108" w:type="dxa"/>
          </w:tblCellMar>
        </w:tblPrEx>
        <w:trPr>
          <w:trHeight w:val="1427"/>
        </w:trPr>
        <w:tc>
          <w:tcPr>
            <w:tcW w:w="402" w:type="pct"/>
            <w:noWrap w:val="0"/>
            <w:vAlign w:val="center"/>
          </w:tcPr>
          <w:p>
            <w:pPr>
              <w:keepNext w:val="0"/>
              <w:keepLines w:val="0"/>
              <w:pageBreakBefore w:val="0"/>
              <w:widowControl w:val="0"/>
              <w:kinsoku/>
              <w:wordWrap/>
              <w:overflowPunct/>
              <w:topLinePunct w:val="0"/>
              <w:autoSpaceDE/>
              <w:autoSpaceDN/>
              <w:bidi w:val="0"/>
              <w:adjustRightInd w:val="0"/>
              <w:spacing w:before="156" w:beforeLines="0" w:after="156" w:line="240" w:lineRule="auto"/>
              <w:ind w:firstLine="0" w:firstLineChars="0"/>
              <w:jc w:val="center"/>
              <w:textAlignment w:val="auto"/>
              <w:rPr>
                <w:rFonts w:ascii="宋体" w:eastAsia="宋体" w:hAnsi="宋体" w:cs="宋体" w:hint="eastAsia"/>
                <w:color w:val="FF0000"/>
                <w:kern w:val="2"/>
                <w:lang w:eastAsia="zh-CN"/>
              </w:rPr>
            </w:pPr>
            <w:r>
              <w:rPr>
                <w:rFonts w:ascii="宋体" w:eastAsia="宋体" w:hAnsi="宋体" w:cs="宋体" w:hint="eastAsia"/>
                <w:color w:val="FF0000"/>
                <w:kern w:val="2"/>
                <w:lang w:eastAsia="zh-CN"/>
              </w:rPr>
              <w:t>3</w:t>
            </w:r>
          </w:p>
        </w:tc>
        <w:tc>
          <w:tcPr>
            <w:tcW w:w="459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both"/>
              <w:textAlignment w:val="auto"/>
              <w:outlineLvl w:val="4"/>
              <w:rPr>
                <w:rFonts w:ascii="宋体" w:eastAsia="宋体" w:hAnsi="宋体" w:cs="宋体" w:hint="eastAsia"/>
                <w:color w:val="FF0000"/>
                <w:kern w:val="2"/>
                <w:lang w:eastAsia="zh-CN"/>
              </w:rPr>
            </w:pPr>
            <w:r>
              <w:rPr>
                <w:rFonts w:ascii="宋体" w:eastAsia="宋体" w:hAnsi="宋体" w:cs="宋体" w:hint="eastAsia"/>
                <w:color w:val="FF0000"/>
                <w:kern w:val="2"/>
                <w:lang w:eastAsia="zh-CN"/>
              </w:rPr>
              <w:t>★养老床位不少于50张，其中政策性养老床位不少于10张，收费标准参考《深圳市公立养老机构项目收费标准》；剩余床位由运营主体按普惠原则自主定价，报甲方备案后实施。养老床位服务标准均按照民政部《养老机构生活照料服务规范》执行。</w:t>
            </w:r>
          </w:p>
        </w:tc>
      </w:tr>
      <w:tr>
        <w:tblPrEx>
          <w:tblW w:w="5000" w:type="pct"/>
          <w:tblInd w:w="0" w:type="dxa"/>
          <w:tblLayout w:type="fixed"/>
          <w:tblCellMar>
            <w:top w:w="0" w:type="dxa"/>
            <w:left w:w="108" w:type="dxa"/>
            <w:bottom w:w="0" w:type="dxa"/>
            <w:right w:w="108" w:type="dxa"/>
          </w:tblCellMar>
        </w:tblPrEx>
        <w:trPr>
          <w:trHeight w:val="434"/>
        </w:trPr>
        <w:tc>
          <w:tcPr>
            <w:tcW w:w="4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center"/>
              <w:textAlignment w:val="auto"/>
              <w:outlineLvl w:val="4"/>
              <w:rPr>
                <w:rFonts w:ascii="宋体" w:eastAsia="宋体" w:hAnsi="宋体" w:cs="宋体"/>
                <w:color w:val="FF0000"/>
                <w:kern w:val="2"/>
                <w:lang w:eastAsia="zh-CN"/>
              </w:rPr>
            </w:pPr>
            <w:r>
              <w:rPr>
                <w:rFonts w:ascii="宋体" w:eastAsia="宋体" w:hAnsi="宋体" w:cs="宋体" w:hint="eastAsia"/>
                <w:color w:val="FF0000"/>
                <w:kern w:val="2"/>
                <w:lang w:eastAsia="zh-CN"/>
              </w:rPr>
              <w:t>4</w:t>
            </w:r>
          </w:p>
        </w:tc>
        <w:tc>
          <w:tcPr>
            <w:tcW w:w="459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both"/>
              <w:textAlignment w:val="auto"/>
              <w:outlineLvl w:val="4"/>
              <w:rPr>
                <w:rFonts w:ascii="宋体" w:eastAsia="宋体" w:hAnsi="宋体" w:cs="宋体" w:hint="eastAsia"/>
                <w:color w:val="FF0000"/>
                <w:kern w:val="2"/>
                <w:lang w:eastAsia="zh-CN"/>
              </w:rPr>
            </w:pPr>
            <w:r>
              <w:rPr>
                <w:rFonts w:ascii="宋体" w:eastAsia="宋体" w:hAnsi="宋体" w:cs="宋体" w:hint="eastAsia"/>
                <w:color w:val="FF0000"/>
                <w:kern w:val="2"/>
                <w:lang w:eastAsia="zh-CN"/>
              </w:rPr>
              <w:t>★根据《深圳市托育机构设置指南》要求，</w:t>
            </w:r>
            <w:r>
              <w:rPr>
                <w:rFonts w:ascii="宋体" w:eastAsia="宋体" w:hAnsi="宋体" w:cs="宋体" w:hint="eastAsia"/>
                <w:color w:val="FF0000"/>
                <w:kern w:val="2"/>
                <w:lang w:eastAsia="zh-CN"/>
              </w:rPr>
              <w:t>设置</w:t>
            </w:r>
            <w:r>
              <w:rPr>
                <w:rFonts w:ascii="宋体" w:eastAsia="宋体" w:hAnsi="宋体" w:cs="宋体" w:hint="eastAsia"/>
                <w:color w:val="FF0000"/>
                <w:kern w:val="2"/>
                <w:lang w:eastAsia="zh-CN"/>
              </w:rPr>
              <w:t>托位数</w:t>
            </w:r>
            <w:r>
              <w:rPr>
                <w:rFonts w:ascii="宋体" w:eastAsia="宋体" w:hAnsi="宋体" w:cs="宋体" w:hint="eastAsia"/>
                <w:color w:val="FF0000"/>
                <w:kern w:val="2"/>
                <w:lang w:eastAsia="zh-CN"/>
              </w:rPr>
              <w:t>68</w:t>
            </w:r>
            <w:r>
              <w:rPr>
                <w:rFonts w:ascii="宋体" w:eastAsia="宋体" w:hAnsi="宋体" w:cs="宋体" w:hint="eastAsia"/>
                <w:color w:val="FF0000"/>
                <w:kern w:val="2"/>
                <w:lang w:eastAsia="zh-CN"/>
              </w:rPr>
              <w:t>个，</w:t>
            </w:r>
            <w:r>
              <w:rPr>
                <w:rFonts w:ascii="宋体" w:eastAsia="宋体" w:hAnsi="宋体" w:cs="宋体" w:hint="eastAsia"/>
                <w:color w:val="FF0000"/>
                <w:kern w:val="2"/>
                <w:lang w:eastAsia="zh-CN"/>
              </w:rPr>
              <w:t>以备案数为准</w:t>
            </w:r>
            <w:r>
              <w:rPr>
                <w:rFonts w:ascii="宋体" w:eastAsia="宋体" w:hAnsi="宋体" w:cs="宋体" w:hint="eastAsia"/>
                <w:color w:val="FF0000"/>
                <w:kern w:val="2"/>
                <w:lang w:eastAsia="zh-CN"/>
              </w:rPr>
              <w:t>。根据《深圳市普惠托育机构补助暂行办法》，如需申请相关政策性补贴，保育服务费收费标准须符合相关要求。</w:t>
            </w:r>
          </w:p>
        </w:tc>
      </w:tr>
      <w:tr>
        <w:tblPrEx>
          <w:tblW w:w="5000" w:type="pct"/>
          <w:tblInd w:w="0" w:type="dxa"/>
          <w:tblLayout w:type="fixed"/>
          <w:tblCellMar>
            <w:top w:w="0" w:type="dxa"/>
            <w:left w:w="108" w:type="dxa"/>
            <w:bottom w:w="0" w:type="dxa"/>
            <w:right w:w="108" w:type="dxa"/>
          </w:tblCellMar>
        </w:tblPrEx>
        <w:trPr>
          <w:trHeight w:val="841"/>
        </w:trPr>
        <w:tc>
          <w:tcPr>
            <w:tcW w:w="402" w:type="pct"/>
            <w:noWrap w:val="0"/>
            <w:vAlign w:val="center"/>
          </w:tcPr>
          <w:p>
            <w:pPr>
              <w:keepNext w:val="0"/>
              <w:keepLines w:val="0"/>
              <w:pageBreakBefore w:val="0"/>
              <w:widowControl w:val="0"/>
              <w:kinsoku/>
              <w:wordWrap/>
              <w:overflowPunct/>
              <w:topLinePunct w:val="0"/>
              <w:autoSpaceDE/>
              <w:autoSpaceDN/>
              <w:bidi w:val="0"/>
              <w:adjustRightInd w:val="0"/>
              <w:spacing w:before="156" w:beforeLines="0" w:after="156" w:line="240" w:lineRule="auto"/>
              <w:ind w:firstLine="0" w:firstLineChars="0"/>
              <w:jc w:val="center"/>
              <w:textAlignment w:val="auto"/>
              <w:rPr>
                <w:rFonts w:ascii="宋体" w:eastAsia="宋体" w:hAnsi="宋体" w:cs="宋体"/>
                <w:color w:val="FF0000"/>
                <w:kern w:val="2"/>
                <w:lang w:eastAsia="zh-CN"/>
              </w:rPr>
            </w:pPr>
            <w:r>
              <w:rPr>
                <w:rFonts w:ascii="宋体" w:eastAsia="宋体" w:hAnsi="宋体" w:cs="宋体" w:hint="eastAsia"/>
                <w:color w:val="FF0000"/>
                <w:kern w:val="2"/>
                <w:lang w:eastAsia="zh-CN"/>
              </w:rPr>
              <w:t>5</w:t>
            </w:r>
          </w:p>
        </w:tc>
        <w:tc>
          <w:tcPr>
            <w:tcW w:w="459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both"/>
              <w:textAlignment w:val="auto"/>
              <w:outlineLvl w:val="4"/>
              <w:rPr>
                <w:rFonts w:ascii="宋体" w:eastAsia="宋体" w:hAnsi="宋体" w:cs="宋体" w:hint="eastAsia"/>
                <w:color w:val="FF0000"/>
                <w:kern w:val="2"/>
                <w:lang w:eastAsia="zh-CN"/>
              </w:rPr>
            </w:pPr>
            <w:r>
              <w:rPr>
                <w:rFonts w:ascii="宋体" w:eastAsia="宋体" w:hAnsi="宋体" w:cs="宋体" w:hint="eastAsia"/>
                <w:color w:val="FF0000"/>
                <w:kern w:val="2"/>
                <w:lang w:eastAsia="zh-CN"/>
              </w:rPr>
              <w:t>★按照《深圳市残疾人街道综合（职业）康复服务中心管理办法》要求，按规定配备持有相应职业资格的专业人员及管理人员，为辖区残疾人提供政策性服务。</w:t>
            </w:r>
          </w:p>
        </w:tc>
      </w:tr>
      <w:bookmarkEnd w:id="48"/>
    </w:tbl>
    <w:p>
      <w:pPr>
        <w:pageBreakBefore w:val="0"/>
        <w:widowControl w:val="0"/>
        <w:kinsoku/>
        <w:overflowPunct/>
        <w:topLinePunct w:val="0"/>
        <w:bidi w:val="0"/>
        <w:spacing w:line="240" w:lineRule="auto"/>
        <w:jc w:val="both"/>
        <w:outlineLvl w:val="9"/>
        <w:rPr>
          <w:rFonts w:ascii="宋体" w:eastAsia="宋体" w:hAnsi="宋体" w:cs="宋体" w:hint="eastAsia"/>
          <w:lang w:eastAsia="zh-CN"/>
        </w:rPr>
      </w:pPr>
      <w:r>
        <w:rPr>
          <w:rFonts w:ascii="宋体" w:eastAsia="宋体" w:hAnsi="宋体" w:cs="宋体" w:hint="eastAsia"/>
          <w:lang w:eastAsia="zh-CN"/>
        </w:rPr>
        <w:t>注：上表所列内容为</w:t>
      </w:r>
      <w:r>
        <w:rPr>
          <w:rFonts w:ascii="宋体" w:eastAsia="宋体" w:hAnsi="宋体" w:cs="宋体" w:hint="eastAsia"/>
          <w:b/>
          <w:bCs/>
          <w:lang w:eastAsia="zh-CN"/>
        </w:rPr>
        <w:t>不可负偏离条款</w:t>
      </w:r>
      <w:r>
        <w:rPr>
          <w:rFonts w:ascii="宋体" w:eastAsia="宋体" w:hAnsi="宋体" w:cs="宋体" w:hint="eastAsia"/>
          <w:lang w:eastAsia="zh-CN"/>
        </w:rPr>
        <w:t>，负偏离将视为未实质性满足招标文件要求作投标无效处理。</w:t>
      </w:r>
    </w:p>
    <w:p>
      <w:pPr>
        <w:pageBreakBefore w:val="0"/>
        <w:widowControl w:val="0"/>
        <w:kinsoku/>
        <w:overflowPunct/>
        <w:topLinePunct w:val="0"/>
        <w:bidi w:val="0"/>
        <w:spacing w:line="240" w:lineRule="auto"/>
        <w:ind w:right="2" w:rightChars="1"/>
        <w:jc w:val="both"/>
        <w:rPr>
          <w:rFonts w:ascii="宋体" w:eastAsia="宋体" w:hAnsi="宋体" w:cs="宋体" w:hint="eastAsia"/>
          <w:lang w:eastAsia="zh-CN"/>
        </w:rPr>
      </w:pPr>
    </w:p>
    <w:p>
      <w:pPr>
        <w:pageBreakBefore w:val="0"/>
        <w:widowControl w:val="0"/>
        <w:kinsoku/>
        <w:overflowPunct/>
        <w:topLinePunct w:val="0"/>
        <w:autoSpaceDE/>
        <w:autoSpaceDN/>
        <w:bidi w:val="0"/>
        <w:adjustRightInd w:val="0"/>
        <w:snapToGrid w:val="0"/>
        <w:spacing w:before="120" w:beforeLines="50" w:after="120" w:afterLines="50" w:line="400" w:lineRule="exact"/>
        <w:ind w:firstLine="0" w:firstLineChars="0"/>
        <w:jc w:val="center"/>
        <w:outlineLvl w:val="2"/>
        <w:rPr>
          <w:rFonts w:ascii="宋体" w:eastAsia="宋体" w:hAnsi="宋体" w:cs="宋体" w:hint="eastAsia"/>
          <w:b/>
          <w:bCs/>
          <w:kern w:val="44"/>
          <w:lang w:eastAsia="zh-CN"/>
        </w:rPr>
      </w:pPr>
      <w:bookmarkStart w:id="166" w:name="_Toc256000019"/>
      <w:r>
        <w:rPr>
          <w:rFonts w:ascii="宋体" w:eastAsia="宋体" w:hAnsi="宋体" w:cs="宋体" w:hint="eastAsia"/>
          <w:b/>
          <w:bCs/>
          <w:kern w:val="44"/>
          <w:lang w:eastAsia="zh-CN"/>
        </w:rPr>
        <w:t>十一</w:t>
      </w:r>
      <w:r>
        <w:rPr>
          <w:rFonts w:ascii="宋体" w:eastAsia="宋体" w:hAnsi="宋体" w:cs="宋体" w:hint="eastAsia"/>
          <w:b/>
          <w:bCs/>
          <w:kern w:val="44"/>
          <w:lang w:eastAsia="zh-CN"/>
        </w:rPr>
        <w:t>、注意事项</w:t>
      </w:r>
      <w:bookmarkEnd w:id="166"/>
    </w:p>
    <w:p>
      <w:pPr>
        <w:pageBreakBefore w:val="0"/>
        <w:widowControl w:val="0"/>
        <w:kinsoku/>
        <w:overflowPunct/>
        <w:topLinePunct w:val="0"/>
        <w:bidi w:val="0"/>
        <w:adjustRightInd w:val="0"/>
        <w:snapToGrid w:val="0"/>
        <w:spacing w:line="240" w:lineRule="auto"/>
        <w:ind w:firstLine="449" w:firstLineChars="187"/>
        <w:jc w:val="both"/>
        <w:rPr>
          <w:rFonts w:ascii="宋体" w:eastAsia="宋体" w:hAnsi="宋体" w:cs="宋体" w:hint="eastAsia"/>
          <w:kern w:val="2"/>
          <w:lang w:eastAsia="zh-CN"/>
        </w:rPr>
      </w:pPr>
      <w:r>
        <w:rPr>
          <w:rFonts w:ascii="宋体" w:eastAsia="宋体" w:hAnsi="宋体" w:cs="宋体" w:hint="eastAsia"/>
          <w:kern w:val="2"/>
          <w:lang w:eastAsia="zh-CN"/>
        </w:rPr>
        <w:t>1、中标人不得将项目非法分包或转包给任何单位和个人。否则，招标人有权即刻终止协议，并要求中标人赔偿相应损失。</w:t>
      </w:r>
    </w:p>
    <w:p>
      <w:pPr>
        <w:pageBreakBefore w:val="0"/>
        <w:widowControl w:val="0"/>
        <w:kinsoku/>
        <w:overflowPunct/>
        <w:topLinePunct w:val="0"/>
        <w:bidi w:val="0"/>
        <w:adjustRightInd w:val="0"/>
        <w:snapToGrid w:val="0"/>
        <w:spacing w:line="240" w:lineRule="auto"/>
        <w:ind w:firstLine="449" w:firstLineChars="187"/>
        <w:jc w:val="both"/>
        <w:rPr>
          <w:rFonts w:ascii="宋体" w:eastAsia="宋体" w:hAnsi="宋体" w:cs="宋体" w:hint="eastAsia"/>
          <w:kern w:val="2"/>
          <w:lang w:eastAsia="zh-CN"/>
        </w:rPr>
      </w:pPr>
      <w:r>
        <w:rPr>
          <w:rFonts w:ascii="宋体" w:eastAsia="宋体" w:hAnsi="宋体" w:cs="宋体" w:hint="eastAsia"/>
          <w:kern w:val="2"/>
          <w:lang w:eastAsia="zh-CN"/>
        </w:rPr>
        <w:t>2、投标人若认为招标文件的技术要求或其他要求有倾向性或不公正性，可在招标答疑阶段提出，以维护招标行为的公平、公正。</w:t>
      </w:r>
    </w:p>
    <w:p>
      <w:pPr>
        <w:pageBreakBefore w:val="0"/>
        <w:widowControl w:val="0"/>
        <w:kinsoku/>
        <w:overflowPunct/>
        <w:topLinePunct w:val="0"/>
        <w:bidi w:val="0"/>
        <w:adjustRightInd w:val="0"/>
        <w:snapToGrid w:val="0"/>
        <w:spacing w:line="240" w:lineRule="auto"/>
        <w:ind w:firstLine="449" w:firstLineChars="187"/>
        <w:jc w:val="both"/>
        <w:rPr>
          <w:rFonts w:ascii="宋体" w:eastAsia="宋体" w:hAnsi="宋体" w:cs="宋体" w:hint="eastAsia"/>
          <w:kern w:val="2"/>
          <w:lang w:eastAsia="zh-CN"/>
        </w:rPr>
      </w:pPr>
      <w:r>
        <w:rPr>
          <w:rFonts w:ascii="宋体" w:eastAsia="宋体" w:hAnsi="宋体" w:cs="宋体" w:hint="eastAsia"/>
          <w:kern w:val="2"/>
          <w:lang w:eastAsia="zh-CN"/>
        </w:rPr>
        <w:t>3、投标人使用的标准必须是国际公认或国家、或地方政府颁布的同等或更高的标准，如投标人使用的标准低于上述标准,评标委员会将有权不予接受，投标人必须列表将明显的差异详细说明。</w:t>
      </w:r>
    </w:p>
    <w:p>
      <w:pPr>
        <w:pageBreakBefore w:val="0"/>
        <w:widowControl w:val="0"/>
        <w:kinsoku/>
        <w:overflowPunct/>
        <w:topLinePunct w:val="0"/>
        <w:bidi w:val="0"/>
        <w:adjustRightInd w:val="0"/>
        <w:snapToGrid w:val="0"/>
        <w:spacing w:line="240" w:lineRule="auto"/>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4、投标人所提交的投标文件对技术参数和各项要求的响应应是列出具体内容。如果投标人只注明“符合”或“满足”，将被视为“不符合”，并可能严重影响评标结果。</w:t>
      </w:r>
    </w:p>
    <w:p>
      <w:pPr>
        <w:pageBreakBefore w:val="0"/>
        <w:widowControl w:val="0"/>
        <w:kinsoku/>
        <w:overflowPunct/>
        <w:topLinePunct w:val="0"/>
        <w:bidi w:val="0"/>
        <w:spacing w:line="240" w:lineRule="auto"/>
        <w:ind w:firstLine="485" w:firstLineChars="202"/>
        <w:jc w:val="both"/>
        <w:rPr>
          <w:rFonts w:ascii="宋体" w:eastAsia="宋体" w:hAnsi="宋体" w:cs="宋体" w:hint="eastAsia"/>
          <w:kern w:val="2"/>
          <w:lang w:eastAsia="zh-CN"/>
        </w:rPr>
      </w:pPr>
      <w:r>
        <w:rPr>
          <w:rFonts w:ascii="宋体" w:eastAsia="宋体" w:hAnsi="宋体" w:cs="宋体" w:hint="eastAsia"/>
          <w:kern w:val="2"/>
          <w:lang w:eastAsia="zh-CN"/>
        </w:rPr>
        <w:t>5、本项目为网上电子投标项目，投标文件不需法人或授权委托人另行签字，无需加盖单位公章，</w:t>
      </w:r>
      <w:r>
        <w:rPr>
          <w:rFonts w:ascii="宋体" w:eastAsia="宋体" w:hAnsi="宋体" w:cs="宋体" w:hint="eastAsia"/>
          <w:b/>
          <w:bCs/>
          <w:kern w:val="2"/>
          <w:lang w:eastAsia="zh-CN"/>
        </w:rPr>
        <w:t>招标文件专用条款另有规定的除外。</w:t>
      </w:r>
    </w:p>
    <w:p>
      <w:pPr>
        <w:pageBreakBefore w:val="0"/>
        <w:widowControl w:val="0"/>
        <w:kinsoku/>
        <w:overflowPunct/>
        <w:topLinePunct w:val="0"/>
        <w:bidi w:val="0"/>
        <w:spacing w:line="240"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6、除协议继续履行将损害国家利益和社会公共利益外，双方当事人不得擅自变更、中止或者终止协议。</w:t>
      </w:r>
    </w:p>
    <w:p>
      <w:pPr>
        <w:pageBreakBefore w:val="0"/>
        <w:widowControl w:val="0"/>
        <w:kinsoku/>
        <w:overflowPunct/>
        <w:topLinePunct w:val="0"/>
        <w:bidi w:val="0"/>
        <w:spacing w:line="240"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7、“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pPr>
        <w:pageBreakBefore w:val="0"/>
        <w:widowControl w:val="0"/>
        <w:kinsoku/>
        <w:overflowPunct/>
        <w:topLinePunct w:val="0"/>
        <w:bidi w:val="0"/>
        <w:spacing w:before="78" w:beforeLines="25" w:after="78" w:afterLines="25" w:line="240" w:lineRule="auto"/>
        <w:ind w:firstLine="449" w:firstLineChars="187"/>
        <w:jc w:val="both"/>
        <w:rPr>
          <w:rFonts w:ascii="宋体" w:eastAsia="宋体" w:hAnsi="宋体" w:cs="宋体" w:hint="eastAsia"/>
          <w:kern w:val="2"/>
          <w:lang w:eastAsia="zh-CN"/>
        </w:rPr>
      </w:pPr>
    </w:p>
    <w:p>
      <w:pPr>
        <w:widowControl w:val="0"/>
        <w:spacing w:line="360" w:lineRule="auto"/>
        <w:jc w:val="both"/>
        <w:rPr>
          <w:rFonts w:ascii="Calibri" w:eastAsia="宋体" w:hAnsi="Calibri" w:hint="eastAsia"/>
          <w:bCs/>
          <w:kern w:val="2"/>
          <w:szCs w:val="21"/>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br w:type="page"/>
      </w:r>
      <w:r>
        <w:rPr>
          <w:rFonts w:ascii="宋体" w:eastAsia="宋体" w:hAnsi="宋体" w:hint="eastAsia"/>
          <w:b/>
          <w:bCs/>
          <w:sz w:val="28"/>
          <w:szCs w:val="28"/>
          <w:lang w:eastAsia="zh-CN"/>
        </w:rPr>
        <w:t>第四章</w:t>
      </w:r>
      <w:r>
        <w:rPr>
          <w:rFonts w:ascii="宋体" w:eastAsia="宋体" w:hAnsi="宋体"/>
          <w:b/>
          <w:bCs/>
          <w:sz w:val="28"/>
          <w:szCs w:val="28"/>
          <w:lang w:eastAsia="zh-CN"/>
        </w:rPr>
        <w:t xml:space="preserve"> </w:t>
      </w:r>
      <w:r>
        <w:rPr>
          <w:rFonts w:ascii="宋体" w:eastAsia="宋体" w:hAnsi="宋体" w:hint="eastAsia"/>
          <w:b/>
          <w:bCs/>
          <w:sz w:val="28"/>
          <w:szCs w:val="28"/>
          <w:lang w:eastAsia="zh-CN"/>
        </w:rPr>
        <w:t xml:space="preserve"> 投标文件组成要求及格式</w:t>
      </w:r>
    </w:p>
    <w:p>
      <w:pPr>
        <w:widowControl w:val="0"/>
        <w:jc w:val="both"/>
        <w:outlineLvl w:val="9"/>
        <w:rPr>
          <w:rFonts w:ascii="黑体" w:eastAsia="黑体" w:hAnsi="Calibri"/>
          <w:b/>
          <w:bCs/>
          <w:kern w:val="2"/>
          <w:sz w:val="28"/>
          <w:szCs w:val="22"/>
          <w:lang w:eastAsia="zh-CN"/>
        </w:rPr>
      </w:pPr>
      <w:r>
        <w:rPr>
          <w:rFonts w:ascii="黑体" w:eastAsia="黑体" w:hAnsi="Calibri" w:hint="eastAsia"/>
          <w:b/>
          <w:bCs/>
          <w:kern w:val="2"/>
          <w:sz w:val="28"/>
          <w:szCs w:val="22"/>
          <w:lang w:eastAsia="zh-CN"/>
        </w:rPr>
        <w:t>特别提醒：</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投标文件正文将对外公开，投标文件附件不公开。投标人在编辑投标文件时，在投标文件目录中属于本节点内容的必须在本节点中填写，填写到其他节点或附件的将可能导致投标无效，一切后果由投标人自行承担。</w:t>
      </w:r>
    </w:p>
    <w:p>
      <w:pPr>
        <w:widowControl w:val="0"/>
        <w:jc w:val="both"/>
        <w:rPr>
          <w:rFonts w:ascii="宋体" w:eastAsia="宋体" w:hAnsi="宋体" w:cs="宋体" w:hint="eastAsia"/>
          <w:b/>
          <w:bCs/>
          <w:kern w:val="2"/>
          <w:lang w:eastAsia="zh-CN"/>
        </w:rPr>
      </w:pPr>
      <w:r>
        <w:rPr>
          <w:rFonts w:ascii="宋体" w:eastAsia="宋体" w:hAnsi="宋体" w:cs="宋体" w:hint="eastAsia"/>
          <w:kern w:val="2"/>
          <w:lang w:eastAsia="zh-CN"/>
        </w:rPr>
        <w:t xml:space="preserve">    投标文件正文（信息公开部分）必须编制于“正文（公开部分）”部分，投标文件附件（非信息公开部分）必须编制于“附件（不公开部分）”部分。</w:t>
      </w:r>
    </w:p>
    <w:p>
      <w:pPr>
        <w:widowControl w:val="0"/>
        <w:ind w:firstLine="480" w:firstLineChars="200"/>
        <w:jc w:val="both"/>
        <w:rPr>
          <w:rFonts w:ascii="宋体" w:eastAsia="宋体" w:hAnsi="宋体" w:cs="宋体" w:hint="eastAsia"/>
          <w:b/>
          <w:kern w:val="2"/>
          <w:lang w:eastAsia="zh-CN"/>
        </w:rPr>
      </w:pPr>
      <w:bookmarkStart w:id="167" w:name="_Hlk72257167"/>
      <w:r>
        <w:rPr>
          <w:rFonts w:ascii="宋体" w:eastAsia="宋体" w:hAnsi="宋体" w:cs="宋体" w:hint="eastAsia"/>
          <w:kern w:val="2"/>
          <w:lang w:eastAsia="zh-CN"/>
        </w:rPr>
        <w:t>招标代理机构公布投标文件正文（信息公开部分）时为计算机截取信息自动公布，</w:t>
      </w:r>
      <w:r>
        <w:rPr>
          <w:rFonts w:ascii="宋体" w:eastAsia="宋体" w:hAnsi="宋体" w:cs="宋体" w:hint="eastAsia"/>
          <w:b/>
          <w:bCs/>
          <w:kern w:val="2"/>
          <w:lang w:eastAsia="zh-CN"/>
        </w:rPr>
        <w:t>如投标人误将涉及个人隐私的信息放入投标文件正文，相关后果由投标人自负；</w:t>
      </w:r>
      <w:r>
        <w:rPr>
          <w:rFonts w:ascii="宋体" w:eastAsia="宋体" w:hAnsi="宋体" w:cs="宋体" w:hint="eastAsia"/>
          <w:kern w:val="2"/>
          <w:lang w:eastAsia="zh-CN"/>
        </w:rPr>
        <w:t>如投标人将必须放于投标文件正文（信息公开部分）的内容放入投标文件附件（非信息公开部分），将作投标无效处理。</w:t>
      </w:r>
    </w:p>
    <w:bookmarkEnd w:id="167"/>
    <w:p>
      <w:pPr>
        <w:keepNext w:val="0"/>
        <w:keepLines w:val="0"/>
        <w:pageBreakBefore w:val="0"/>
        <w:widowControl/>
        <w:kinsoku/>
        <w:wordWrap/>
        <w:overflowPunct/>
        <w:topLinePunct w:val="0"/>
        <w:autoSpaceDE/>
        <w:autoSpaceDN/>
        <w:bidi w:val="0"/>
        <w:adjustRightInd/>
        <w:jc w:val="left"/>
        <w:textAlignment w:val="auto"/>
        <w:outlineLvl w:val="9"/>
        <w:rPr>
          <w:rFonts w:ascii="宋体" w:eastAsia="宋体" w:hAnsi="宋体" w:cs="宋体" w:hint="eastAsia"/>
          <w:bCs/>
          <w:kern w:val="44"/>
          <w:lang w:eastAsia="zh-CN"/>
        </w:rPr>
      </w:pPr>
    </w:p>
    <w:p>
      <w:pPr>
        <w:keepNext w:val="0"/>
        <w:keepLines w:val="0"/>
        <w:pageBreakBefore w:val="0"/>
        <w:widowControl/>
        <w:kinsoku/>
        <w:wordWrap/>
        <w:overflowPunct/>
        <w:topLinePunct w:val="0"/>
        <w:autoSpaceDE/>
        <w:autoSpaceDN/>
        <w:bidi w:val="0"/>
        <w:adjustRightInd/>
        <w:jc w:val="left"/>
        <w:textAlignment w:val="auto"/>
        <w:outlineLvl w:val="2"/>
        <w:rPr>
          <w:rFonts w:ascii="宋体" w:eastAsia="宋体" w:hAnsi="宋体" w:cs="宋体" w:hint="eastAsia"/>
          <w:bCs/>
          <w:kern w:val="44"/>
          <w:lang w:eastAsia="zh-CN"/>
        </w:rPr>
      </w:pPr>
      <w:bookmarkStart w:id="168" w:name="_Hlk72257771"/>
      <w:r>
        <w:rPr>
          <w:rFonts w:ascii="宋体" w:eastAsia="宋体" w:hAnsi="宋体" w:cs="宋体" w:hint="eastAsia"/>
          <w:bCs/>
          <w:kern w:val="44"/>
          <w:lang w:eastAsia="zh-CN"/>
        </w:rPr>
        <w:t>投标文件组成：</w:t>
      </w:r>
    </w:p>
    <w:p>
      <w:pPr>
        <w:keepNext w:val="0"/>
        <w:keepLines w:val="0"/>
        <w:pageBreakBefore w:val="0"/>
        <w:widowControl w:val="0"/>
        <w:kinsoku/>
        <w:wordWrap/>
        <w:overflowPunct/>
        <w:topLinePunct w:val="0"/>
        <w:autoSpaceDE/>
        <w:autoSpaceDN/>
        <w:bidi w:val="0"/>
        <w:adjustRightInd/>
        <w:snapToGrid w:val="0"/>
        <w:jc w:val="both"/>
        <w:textAlignment w:val="auto"/>
        <w:rPr>
          <w:rFonts w:ascii="宋体" w:eastAsia="宋体" w:hAnsi="宋体" w:cs="宋体" w:hint="eastAsia"/>
          <w:b/>
          <w:kern w:val="2"/>
          <w:lang w:eastAsia="zh-CN"/>
        </w:rPr>
      </w:pPr>
      <w:r>
        <w:rPr>
          <w:rFonts w:ascii="宋体" w:eastAsia="宋体" w:hAnsi="宋体" w:cs="宋体" w:hint="eastAsia"/>
          <w:b/>
          <w:lang w:eastAsia="zh-CN"/>
        </w:rPr>
        <w:t>投标文件正文（信息公开部分）：</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ascii="宋体" w:eastAsia="宋体" w:hAnsi="宋体" w:cs="宋体" w:hint="eastAsia"/>
          <w:kern w:val="2"/>
          <w:lang w:eastAsia="zh-CN"/>
        </w:rPr>
      </w:pPr>
      <w:r>
        <w:rPr>
          <w:rFonts w:ascii="宋体" w:eastAsia="宋体" w:hAnsi="宋体" w:cs="宋体" w:hint="eastAsia"/>
          <w:kern w:val="2"/>
          <w:lang w:eastAsia="zh-CN"/>
        </w:rPr>
        <w:t>投标函；</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ascii="宋体" w:eastAsia="宋体" w:hAnsi="宋体" w:cs="宋体" w:hint="eastAsia"/>
          <w:kern w:val="2"/>
          <w:lang w:eastAsia="zh-CN"/>
        </w:rPr>
      </w:pPr>
      <w:bookmarkStart w:id="169" w:name="OLE_LINK42"/>
      <w:r>
        <w:rPr>
          <w:rFonts w:ascii="宋体" w:eastAsia="宋体" w:hAnsi="宋体" w:cs="宋体" w:hint="eastAsia"/>
          <w:kern w:val="2"/>
          <w:lang w:eastAsia="zh-CN"/>
        </w:rPr>
        <w:t>投标及履约承诺函</w:t>
      </w:r>
      <w:bookmarkEnd w:id="169"/>
      <w:r>
        <w:rPr>
          <w:rFonts w:ascii="宋体" w:eastAsia="宋体" w:hAnsi="宋体" w:cs="宋体" w:hint="eastAsia"/>
          <w:kern w:val="2"/>
          <w:lang w:eastAsia="zh-CN"/>
        </w:rPr>
        <w:t>；</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ascii="宋体" w:eastAsia="宋体" w:hAnsi="宋体" w:cs="宋体" w:hint="eastAsia"/>
          <w:kern w:val="2"/>
          <w:lang w:eastAsia="zh-CN"/>
        </w:rPr>
      </w:pPr>
      <w:bookmarkStart w:id="170" w:name="OLE_LINK43"/>
      <w:r>
        <w:rPr>
          <w:rFonts w:ascii="宋体" w:eastAsia="宋体" w:hAnsi="宋体" w:cs="宋体" w:hint="eastAsia"/>
          <w:kern w:val="2"/>
          <w:lang w:eastAsia="zh-CN"/>
        </w:rPr>
        <w:t>投标人情况及资格证明文件</w:t>
      </w:r>
      <w:bookmarkEnd w:id="170"/>
      <w:r>
        <w:rPr>
          <w:rFonts w:ascii="宋体" w:eastAsia="宋体" w:hAnsi="宋体" w:cs="宋体" w:hint="eastAsia"/>
          <w:kern w:val="2"/>
          <w:lang w:eastAsia="zh-CN"/>
        </w:rPr>
        <w:t>；</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ascii="宋体" w:eastAsia="宋体" w:hAnsi="宋体" w:cs="宋体" w:hint="eastAsia"/>
          <w:kern w:val="2"/>
          <w:lang w:eastAsia="zh-CN"/>
        </w:rPr>
      </w:pPr>
      <w:r>
        <w:rPr>
          <w:rFonts w:ascii="宋体" w:eastAsia="宋体" w:hAnsi="宋体" w:cs="宋体" w:hint="eastAsia"/>
          <w:kern w:val="2"/>
          <w:lang w:eastAsia="zh-CN"/>
        </w:rPr>
        <w:t>项目报价表；</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ascii="宋体" w:eastAsia="宋体" w:hAnsi="宋体" w:cs="宋体" w:hint="eastAsia"/>
          <w:kern w:val="2"/>
          <w:lang w:eastAsia="zh-CN"/>
        </w:rPr>
      </w:pPr>
      <w:bookmarkStart w:id="171" w:name="OLE_LINK44"/>
      <w:r>
        <w:rPr>
          <w:rFonts w:ascii="宋体" w:eastAsia="宋体" w:hAnsi="宋体" w:cs="宋体" w:hint="eastAsia"/>
          <w:szCs w:val="21"/>
        </w:rPr>
        <w:t>体系认证</w:t>
      </w:r>
      <w:bookmarkEnd w:id="171"/>
      <w:r>
        <w:rPr>
          <w:rFonts w:ascii="宋体" w:eastAsia="宋体" w:hAnsi="宋体" w:cs="宋体" w:hint="eastAsia"/>
          <w:kern w:val="2"/>
          <w:lang w:eastAsia="zh-CN"/>
        </w:rPr>
        <w:t>；</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ascii="宋体" w:eastAsia="宋体" w:hAnsi="宋体" w:cs="宋体" w:hint="eastAsia"/>
          <w:kern w:val="2"/>
          <w:lang w:eastAsia="zh-CN"/>
        </w:rPr>
      </w:pPr>
      <w:bookmarkStart w:id="172" w:name="OLE_LINK45"/>
      <w:r>
        <w:rPr>
          <w:rFonts w:ascii="宋体" w:eastAsia="宋体" w:hAnsi="宋体" w:cs="宋体" w:hint="eastAsia"/>
          <w:szCs w:val="21"/>
        </w:rPr>
        <w:t>实际运营养老机构</w:t>
      </w:r>
      <w:r>
        <w:rPr>
          <w:rFonts w:ascii="宋体" w:eastAsia="宋体" w:hAnsi="宋体" w:cs="宋体" w:hint="eastAsia"/>
          <w:szCs w:val="21"/>
          <w:lang w:eastAsia="zh-CN"/>
        </w:rPr>
        <w:t>及</w:t>
      </w:r>
      <w:r>
        <w:rPr>
          <w:rFonts w:ascii="宋体" w:eastAsia="宋体" w:hAnsi="宋体" w:cs="宋体" w:hint="eastAsia"/>
          <w:szCs w:val="21"/>
        </w:rPr>
        <w:t>床位</w:t>
      </w:r>
      <w:r>
        <w:rPr>
          <w:rFonts w:ascii="宋体" w:eastAsia="宋体" w:hAnsi="宋体" w:cs="宋体" w:hint="eastAsia"/>
          <w:szCs w:val="21"/>
          <w:lang w:eastAsia="zh-CN"/>
        </w:rPr>
        <w:t>数量</w:t>
      </w:r>
      <w:bookmarkEnd w:id="172"/>
      <w:r>
        <w:rPr>
          <w:rFonts w:ascii="宋体" w:eastAsia="宋体" w:hAnsi="宋体" w:cs="宋体" w:hint="eastAsia"/>
          <w:kern w:val="2"/>
          <w:lang w:eastAsia="zh-CN"/>
        </w:rPr>
        <w:t>；</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hint="eastAsia"/>
          <w:lang w:eastAsia="zh-CN"/>
        </w:rPr>
      </w:pPr>
      <w:r>
        <w:rPr>
          <w:rFonts w:ascii="宋体" w:eastAsia="宋体" w:hAnsi="宋体" w:cs="宋体" w:hint="eastAsia"/>
          <w:lang w:eastAsia="zh-CN"/>
        </w:rPr>
        <w:t>实际运营残疾人综合（职业）康复服务中心数量</w:t>
      </w:r>
      <w:r>
        <w:rPr>
          <w:rFonts w:ascii="宋体" w:eastAsia="宋体" w:hAnsi="宋体" w:cs="宋体" w:hint="eastAsia"/>
          <w:kern w:val="2"/>
          <w:lang w:eastAsia="zh-CN"/>
        </w:rPr>
        <w:t>；</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ascii="宋体" w:eastAsia="宋体" w:hAnsi="宋体" w:cs="宋体" w:hint="eastAsia"/>
          <w:kern w:val="2"/>
          <w:lang w:eastAsia="zh-CN"/>
        </w:rPr>
      </w:pPr>
      <w:bookmarkStart w:id="173" w:name="OLE_LINK46"/>
      <w:r>
        <w:rPr>
          <w:rFonts w:ascii="宋体" w:eastAsia="宋体" w:hAnsi="宋体" w:cs="宋体" w:hint="eastAsia"/>
          <w:szCs w:val="21"/>
          <w:lang w:eastAsia="zh-CN"/>
        </w:rPr>
        <w:t>实际运营托育机构及托位数量</w:t>
      </w:r>
      <w:bookmarkEnd w:id="173"/>
      <w:r>
        <w:rPr>
          <w:rFonts w:ascii="宋体" w:eastAsia="宋体" w:hAnsi="宋体" w:cs="宋体" w:hint="eastAsia"/>
          <w:szCs w:val="21"/>
          <w:lang w:eastAsia="zh-CN"/>
        </w:rPr>
        <w:t>；</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ascii="宋体" w:eastAsia="宋体" w:hAnsi="宋体" w:cs="宋体" w:hint="eastAsia"/>
          <w:kern w:val="2"/>
          <w:lang w:eastAsia="zh-CN"/>
        </w:rPr>
      </w:pPr>
      <w:r>
        <w:rPr>
          <w:rFonts w:ascii="宋体" w:eastAsia="宋体" w:hAnsi="宋体" w:cs="宋体" w:hint="eastAsia"/>
          <w:lang w:eastAsia="zh-CN"/>
        </w:rPr>
        <w:t>实际运营</w:t>
      </w:r>
      <w:r>
        <w:rPr>
          <w:rFonts w:ascii="宋体" w:eastAsia="宋体" w:hAnsi="宋体" w:cs="宋体" w:hint="eastAsia"/>
        </w:rPr>
        <w:t>长者助餐服务</w:t>
      </w:r>
      <w:r>
        <w:rPr>
          <w:rFonts w:ascii="宋体" w:eastAsia="宋体" w:hAnsi="宋体" w:cs="宋体" w:hint="eastAsia"/>
          <w:lang w:eastAsia="zh-CN"/>
        </w:rPr>
        <w:t>项目情况</w:t>
      </w:r>
      <w:r>
        <w:rPr>
          <w:rFonts w:ascii="宋体" w:eastAsia="宋体" w:hAnsi="宋体" w:cs="宋体" w:hint="eastAsia"/>
          <w:kern w:val="2"/>
          <w:lang w:eastAsia="zh-CN"/>
        </w:rPr>
        <w:t>；</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ascii="宋体" w:eastAsia="宋体" w:hAnsi="宋体" w:cs="宋体" w:hint="eastAsia"/>
          <w:kern w:val="2"/>
          <w:lang w:eastAsia="zh-CN"/>
        </w:rPr>
      </w:pPr>
      <w:r>
        <w:rPr>
          <w:rFonts w:ascii="宋体" w:eastAsia="宋体" w:hAnsi="宋体" w:cs="宋体" w:hint="eastAsia"/>
        </w:rPr>
        <w:t>获得荣誉情况</w:t>
      </w:r>
      <w:r>
        <w:rPr>
          <w:rFonts w:ascii="宋体" w:eastAsia="宋体" w:hAnsi="宋体" w:cs="宋体" w:hint="eastAsia"/>
          <w:kern w:val="2"/>
          <w:lang w:eastAsia="zh-CN"/>
        </w:rPr>
        <w:t>；</w:t>
      </w:r>
    </w:p>
    <w:p>
      <w:pPr>
        <w:keepNext w:val="0"/>
        <w:keepLines w:val="0"/>
        <w:pageBreakBefore w:val="0"/>
        <w:widowControl w:val="0"/>
        <w:numPr>
          <w:ilvl w:val="0"/>
          <w:numId w:val="2"/>
        </w:numPr>
        <w:tabs>
          <w:tab w:val="left" w:pos="1470"/>
        </w:tabs>
        <w:kinsoku/>
        <w:wordWrap/>
        <w:overflowPunct/>
        <w:topLinePunct w:val="0"/>
        <w:autoSpaceDE/>
        <w:autoSpaceDN/>
        <w:bidi w:val="0"/>
        <w:adjustRightInd/>
        <w:snapToGrid w:val="0"/>
        <w:ind w:left="1470" w:hanging="420"/>
        <w:jc w:val="left"/>
        <w:textAlignment w:val="auto"/>
        <w:rPr>
          <w:rFonts w:ascii="宋体" w:eastAsia="宋体" w:hAnsi="宋体" w:cs="宋体" w:hint="eastAsia"/>
          <w:kern w:val="2"/>
          <w:lang w:eastAsia="zh-CN"/>
        </w:rPr>
      </w:pPr>
      <w:r>
        <w:rPr>
          <w:rFonts w:ascii="宋体" w:eastAsia="宋体" w:hAnsi="宋体" w:cs="宋体" w:hint="eastAsia"/>
        </w:rPr>
        <w:t>智慧</w:t>
      </w:r>
      <w:r>
        <w:rPr>
          <w:rFonts w:ascii="宋体" w:eastAsia="宋体" w:hAnsi="宋体" w:cs="宋体" w:hint="eastAsia"/>
          <w:lang w:eastAsia="zh-CN"/>
        </w:rPr>
        <w:t>运营</w:t>
      </w:r>
      <w:r>
        <w:rPr>
          <w:rFonts w:ascii="宋体" w:eastAsia="宋体" w:hAnsi="宋体" w:cs="宋体" w:hint="eastAsia"/>
        </w:rPr>
        <w:t>服务能力</w:t>
      </w:r>
      <w:r>
        <w:rPr>
          <w:rFonts w:ascii="宋体" w:eastAsia="宋体" w:hAnsi="宋体" w:cs="宋体" w:hint="eastAsia"/>
          <w:kern w:val="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ind w:left="0" w:firstLine="0"/>
        <w:jc w:val="left"/>
        <w:textAlignment w:val="auto"/>
        <w:rPr>
          <w:rFonts w:ascii="宋体" w:eastAsia="宋体" w:hAnsi="宋体" w:cs="宋体" w:hint="eastAsia"/>
          <w:b/>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ind w:left="0" w:firstLine="0"/>
        <w:jc w:val="left"/>
        <w:textAlignment w:val="auto"/>
        <w:rPr>
          <w:rFonts w:ascii="宋体" w:eastAsia="宋体" w:hAnsi="宋体" w:cs="宋体" w:hint="eastAsia"/>
          <w:b/>
          <w:lang w:eastAsia="zh-CN"/>
        </w:rPr>
      </w:pPr>
      <w:r>
        <w:rPr>
          <w:rFonts w:ascii="宋体" w:eastAsia="宋体" w:hAnsi="宋体" w:cs="宋体" w:hint="eastAsia"/>
          <w:b/>
          <w:lang w:eastAsia="zh-CN"/>
        </w:rPr>
        <w:t>投标文件附件（信息不公开部分）：</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法定代表人（负责人）证明书；</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投标文件签署授权委托书；</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实质性条款响应情况表；</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lang w:eastAsia="zh-CN"/>
        </w:rPr>
        <w:t>街道</w:t>
      </w:r>
      <w:r>
        <w:rPr>
          <w:rFonts w:ascii="宋体" w:eastAsia="宋体" w:hAnsi="宋体" w:cs="宋体" w:hint="eastAsia"/>
        </w:rPr>
        <w:t>残疾人</w:t>
      </w:r>
      <w:r>
        <w:rPr>
          <w:rFonts w:ascii="宋体" w:eastAsia="宋体" w:hAnsi="宋体" w:cs="宋体" w:hint="eastAsia"/>
          <w:lang w:eastAsia="zh-CN"/>
        </w:rPr>
        <w:t>综合（职业）康复服务中心运营方案</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bCs/>
        </w:rPr>
        <w:t>婴幼儿托育</w:t>
      </w:r>
      <w:r>
        <w:rPr>
          <w:rFonts w:ascii="宋体" w:eastAsia="宋体" w:hAnsi="宋体" w:cs="宋体" w:hint="eastAsia"/>
          <w:bCs/>
          <w:lang w:eastAsia="zh-CN"/>
        </w:rPr>
        <w:t>服务方案</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szCs w:val="21"/>
        </w:rPr>
        <w:t>为老助餐服务方案</w:t>
      </w:r>
      <w:r>
        <w:rPr>
          <w:rFonts w:ascii="宋体" w:eastAsia="宋体" w:hAnsi="宋体" w:cs="宋体" w:hint="eastAsia"/>
          <w:kern w:val="2"/>
          <w:lang w:eastAsia="zh-CN"/>
        </w:rPr>
        <w:t>；</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szCs w:val="21"/>
        </w:rPr>
        <w:t>项目运营方案</w:t>
      </w:r>
      <w:r>
        <w:rPr>
          <w:rFonts w:ascii="宋体" w:eastAsia="宋体" w:hAnsi="宋体" w:cs="宋体" w:hint="eastAsia"/>
          <w:kern w:val="2"/>
          <w:lang w:eastAsia="zh-CN"/>
        </w:rPr>
        <w:t>；</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szCs w:val="21"/>
        </w:rPr>
        <w:t>项目</w:t>
      </w:r>
      <w:r>
        <w:rPr>
          <w:rFonts w:ascii="宋体" w:eastAsia="宋体" w:hAnsi="宋体" w:cs="宋体" w:hint="eastAsia"/>
          <w:szCs w:val="21"/>
          <w:lang w:eastAsia="zh-CN"/>
        </w:rPr>
        <w:t>需求分析</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szCs w:val="21"/>
          <w:lang w:eastAsia="zh-CN"/>
        </w:rPr>
        <w:t>项目</w:t>
      </w:r>
      <w:r>
        <w:rPr>
          <w:rFonts w:ascii="宋体" w:eastAsia="宋体" w:hAnsi="宋体" w:cs="宋体" w:hint="eastAsia"/>
          <w:szCs w:val="21"/>
        </w:rPr>
        <w:t>应急预案</w:t>
      </w:r>
      <w:r>
        <w:rPr>
          <w:rFonts w:ascii="宋体" w:eastAsia="宋体" w:hAnsi="宋体" w:cs="宋体" w:hint="eastAsia"/>
          <w:kern w:val="2"/>
          <w:lang w:eastAsia="zh-CN"/>
        </w:rPr>
        <w:t>；</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项目重点难点分析、应对措施及相关的合理化建议</w:t>
      </w:r>
      <w:r>
        <w:rPr>
          <w:rFonts w:ascii="宋体" w:eastAsia="宋体" w:hAnsi="宋体" w:cs="宋体" w:hint="eastAsia"/>
          <w:kern w:val="2"/>
          <w:lang w:eastAsia="zh-CN"/>
        </w:rPr>
        <w:t>；</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rPr>
        <w:t>拟安排的项目负责人情况（仅限一人）</w:t>
      </w:r>
      <w:r>
        <w:rPr>
          <w:rFonts w:ascii="宋体" w:eastAsia="宋体" w:hAnsi="宋体" w:cs="宋体" w:hint="eastAsia"/>
          <w:kern w:val="2"/>
          <w:lang w:eastAsia="zh-CN"/>
        </w:rPr>
        <w:t>；</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rPr>
        <w:t>拟安排的项目团队成员</w:t>
      </w:r>
      <w:r>
        <w:rPr>
          <w:rFonts w:ascii="宋体" w:eastAsia="宋体" w:hAnsi="宋体" w:cs="宋体" w:hint="eastAsia"/>
          <w:lang w:eastAsia="zh-CN"/>
        </w:rPr>
        <w:t>（项目负责人除外）</w:t>
      </w:r>
      <w:r>
        <w:rPr>
          <w:rFonts w:ascii="宋体" w:eastAsia="宋体" w:hAnsi="宋体" w:cs="宋体" w:hint="eastAsia"/>
          <w:kern w:val="2"/>
          <w:lang w:eastAsia="zh-CN"/>
        </w:rPr>
        <w:t>；</w:t>
      </w:r>
    </w:p>
    <w:p>
      <w:pPr>
        <w:keepNext w:val="0"/>
        <w:keepLines w:val="0"/>
        <w:pageBreakBefore w:val="0"/>
        <w:widowControl w:val="0"/>
        <w:numPr>
          <w:ilvl w:val="0"/>
          <w:numId w:val="3"/>
        </w:numPr>
        <w:tabs>
          <w:tab w:val="left" w:pos="1470"/>
        </w:tabs>
        <w:kinsoku/>
        <w:wordWrap/>
        <w:overflowPunct/>
        <w:topLinePunct w:val="0"/>
        <w:autoSpaceDE/>
        <w:autoSpaceDN/>
        <w:bidi w:val="0"/>
        <w:adjustRightInd/>
        <w:snapToGrid w:val="0"/>
        <w:ind w:left="1470" w:hanging="42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投标人认为需要加以说明的其他内容。</w:t>
      </w: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备注：</w:t>
      </w:r>
    </w:p>
    <w:p>
      <w:pPr>
        <w:widowControl w:val="0"/>
        <w:snapToGrid w:val="0"/>
        <w:spacing w:after="78" w:afterLines="25"/>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1.本项目为网上电子投标项目，投标文件不需法人或授权委托人另行签字，无需加盖单位公章，招标文件另有规定的除外。</w:t>
      </w:r>
    </w:p>
    <w:p>
      <w:pPr>
        <w:widowControl w:val="0"/>
        <w:snapToGrid w:val="0"/>
        <w:spacing w:after="78" w:afterLines="25"/>
        <w:ind w:firstLine="480" w:firstLineChars="200"/>
        <w:jc w:val="both"/>
        <w:rPr>
          <w:rFonts w:ascii="宋体" w:eastAsia="宋体" w:hAnsi="宋体" w:cs="宋体" w:hint="eastAsia"/>
          <w:bCs/>
          <w:kern w:val="44"/>
          <w:lang w:eastAsia="zh-CN"/>
        </w:rPr>
      </w:pPr>
      <w:bookmarkStart w:id="174" w:name="_Hlk72263559"/>
      <w:r>
        <w:rPr>
          <w:rFonts w:ascii="宋体" w:eastAsia="宋体" w:hAnsi="宋体" w:cs="宋体" w:hint="eastAsia"/>
          <w:b/>
          <w:kern w:val="2"/>
          <w:lang w:eastAsia="zh-CN"/>
        </w:rPr>
        <w:t>2.关于填写“开标一览表”的说明：“开标一览表”中除“投标总价”外，其他信息不作评审依据。</w:t>
      </w:r>
      <w:bookmarkEnd w:id="168"/>
      <w:bookmarkEnd w:id="174"/>
    </w:p>
    <w:p>
      <w:pPr>
        <w:widowControl/>
        <w:jc w:val="center"/>
        <w:outlineLvl w:val="3"/>
        <w:rPr>
          <w:rFonts w:ascii="宋体" w:eastAsia="宋体" w:hAnsi="宋体" w:cs="宋体"/>
          <w:b/>
          <w:sz w:val="32"/>
          <w:szCs w:val="32"/>
          <w:lang w:eastAsia="zh-CN"/>
        </w:rPr>
      </w:pPr>
      <w:r>
        <w:rPr>
          <w:rFonts w:ascii="宋体" w:eastAsia="宋体" w:hAnsi="宋体" w:cs="宋体" w:hint="eastAsia"/>
          <w:b/>
          <w:sz w:val="32"/>
          <w:szCs w:val="32"/>
          <w:lang w:eastAsia="zh-CN"/>
        </w:rPr>
        <w:br w:type="page"/>
      </w:r>
      <w:r>
        <w:rPr>
          <w:rFonts w:ascii="宋体" w:eastAsia="宋体" w:hAnsi="宋体" w:cs="宋体" w:hint="eastAsia"/>
          <w:b/>
          <w:sz w:val="32"/>
          <w:szCs w:val="32"/>
          <w:lang w:eastAsia="zh-CN"/>
        </w:rPr>
        <w:t>一、投标文件正文（信息公开部分）</w:t>
      </w:r>
    </w:p>
    <w:p>
      <w:pPr>
        <w:keepNext/>
        <w:keepLines/>
        <w:pageBreakBefore w:val="0"/>
        <w:widowControl w:val="0"/>
        <w:kinsoku/>
        <w:overflowPunct/>
        <w:topLinePunct w:val="0"/>
        <w:bidi w:val="0"/>
        <w:spacing w:before="280" w:after="290" w:line="240" w:lineRule="auto"/>
        <w:jc w:val="center"/>
        <w:outlineLvl w:val="4"/>
        <w:rPr>
          <w:rFonts w:ascii="宋体" w:eastAsia="宋体" w:hAnsi="宋体" w:cs="宋体" w:hint="eastAsia"/>
          <w:kern w:val="2"/>
          <w:lang w:eastAsia="zh-CN"/>
        </w:rPr>
      </w:pPr>
      <w:r>
        <w:rPr>
          <w:rFonts w:ascii="宋体" w:eastAsia="宋体" w:hAnsi="宋体" w:cs="宋体" w:hint="eastAsia"/>
          <w:b/>
          <w:kern w:val="2"/>
          <w:lang w:eastAsia="zh-CN"/>
        </w:rPr>
        <w:t>1</w:t>
      </w:r>
      <w:r>
        <w:rPr>
          <w:rFonts w:ascii="宋体" w:eastAsia="宋体" w:hAnsi="宋体" w:cs="宋体" w:hint="eastAsia"/>
          <w:b/>
          <w:bCs/>
          <w:szCs w:val="20"/>
          <w:lang w:eastAsia="zh-CN"/>
        </w:rPr>
        <w:t>.</w:t>
      </w:r>
      <w:r>
        <w:rPr>
          <w:rFonts w:ascii="宋体" w:eastAsia="宋体" w:hAnsi="宋体" w:cs="宋体" w:hint="eastAsia"/>
          <w:b/>
          <w:kern w:val="2"/>
          <w:lang w:eastAsia="zh-CN"/>
        </w:rPr>
        <w:t>投标函</w:t>
      </w:r>
    </w:p>
    <w:p>
      <w:pPr>
        <w:pageBreakBefore w:val="0"/>
        <w:widowControl w:val="0"/>
        <w:kinsoku/>
        <w:overflowPunct/>
        <w:topLinePunct w:val="0"/>
        <w:bidi w:val="0"/>
        <w:spacing w:line="240" w:lineRule="auto"/>
        <w:jc w:val="both"/>
        <w:rPr>
          <w:rFonts w:ascii="宋体" w:eastAsia="宋体" w:hAnsi="宋体" w:cs="宋体" w:hint="eastAsia"/>
          <w:kern w:val="2"/>
          <w:lang w:eastAsia="zh-CN"/>
        </w:rPr>
      </w:pPr>
      <w:bookmarkStart w:id="175" w:name="OLE_LINK25"/>
      <w:r>
        <w:rPr>
          <w:rFonts w:ascii="宋体" w:eastAsia="宋体" w:hAnsi="宋体" w:cs="宋体" w:hint="eastAsia"/>
          <w:kern w:val="2"/>
          <w:lang w:eastAsia="zh-CN"/>
        </w:rPr>
        <w:t>致：</w:t>
      </w:r>
      <w:bookmarkEnd w:id="175"/>
      <w:r>
        <w:rPr>
          <w:rFonts w:ascii="宋体" w:eastAsia="宋体" w:hAnsi="宋体" w:cs="宋体" w:hint="eastAsia"/>
          <w:kern w:val="2"/>
          <w:lang w:eastAsia="zh-CN"/>
        </w:rPr>
        <w:t>深圳市罗湖区</w:t>
      </w:r>
      <w:r>
        <w:rPr>
          <w:rFonts w:ascii="宋体" w:eastAsia="宋体" w:hAnsi="宋体" w:cs="宋体" w:hint="eastAsia"/>
          <w:kern w:val="2"/>
          <w:lang w:eastAsia="zh-CN"/>
        </w:rPr>
        <w:t>清水河街道办事处</w:t>
      </w:r>
      <w:r>
        <w:rPr>
          <w:rFonts w:ascii="宋体" w:eastAsia="宋体" w:hAnsi="宋体" w:cs="宋体" w:hint="eastAsia"/>
          <w:kern w:val="2"/>
          <w:lang w:eastAsia="zh-CN"/>
        </w:rPr>
        <w:t>、深圳交易集团有限公司罗湖分公司：</w:t>
      </w:r>
    </w:p>
    <w:p>
      <w:pPr>
        <w:pageBreakBefore w:val="0"/>
        <w:widowControl w:val="0"/>
        <w:kinsoku/>
        <w:overflowPunct/>
        <w:topLinePunct w:val="0"/>
        <w:bidi w:val="0"/>
        <w:spacing w:before="154" w:line="240" w:lineRule="auto"/>
        <w:ind w:left="117" w:right="103" w:firstLine="480"/>
        <w:jc w:val="both"/>
        <w:rPr>
          <w:rFonts w:ascii="宋体" w:eastAsia="宋体" w:hAnsi="宋体" w:cs="宋体" w:hint="eastAsia"/>
          <w:kern w:val="2"/>
          <w:lang w:eastAsia="zh-CN"/>
        </w:rPr>
      </w:pPr>
      <w:r>
        <w:rPr>
          <w:rFonts w:ascii="宋体" w:eastAsia="宋体" w:hAnsi="宋体" w:cs="宋体" w:hint="eastAsia"/>
          <w:kern w:val="2"/>
          <w:lang w:eastAsia="zh-CN"/>
        </w:rPr>
        <w:t>我方收到并认真研究了你方项目编号为</w:t>
      </w:r>
      <w:r>
        <w:rPr>
          <w:rFonts w:ascii="宋体" w:eastAsia="宋体" w:hAnsi="宋体" w:cs="宋体" w:hint="eastAsia"/>
          <w:kern w:val="2"/>
          <w:u w:val="single"/>
          <w:lang w:eastAsia="zh-CN"/>
        </w:rPr>
        <w:t>LHZXCG-2025-00007</w:t>
      </w:r>
      <w:r>
        <w:rPr>
          <w:rFonts w:ascii="宋体" w:eastAsia="宋体" w:hAnsi="宋体" w:cs="宋体" w:hint="eastAsia"/>
          <w:kern w:val="2"/>
          <w:lang w:eastAsia="zh-CN"/>
        </w:rPr>
        <w:t>的</w:t>
      </w:r>
      <w:r>
        <w:rPr>
          <w:rFonts w:ascii="宋体" w:eastAsia="宋体" w:hAnsi="宋体" w:cs="宋体" w:hint="eastAsia"/>
          <w:kern w:val="2"/>
          <w:u w:val="single"/>
          <w:lang w:eastAsia="zh-CN"/>
        </w:rPr>
        <w:t xml:space="preserve"> 清水河街道社区综合服务体公建民营项目</w:t>
      </w:r>
      <w:r>
        <w:rPr>
          <w:rFonts w:ascii="宋体" w:eastAsia="宋体" w:hAnsi="宋体" w:cs="宋体" w:hint="eastAsia"/>
          <w:kern w:val="2"/>
          <w:lang w:eastAsia="zh-CN"/>
        </w:rPr>
        <w:t>的招标文件。经详细研究，我方自愿参加该项目的公开招标活动，响应招标文件的各项规定，郑重声明以下诸点并负法律责任。</w:t>
      </w:r>
    </w:p>
    <w:p>
      <w:pPr>
        <w:pageBreakBefore w:val="0"/>
        <w:widowControl w:val="0"/>
        <w:kinsoku/>
        <w:overflowPunct/>
        <w:topLinePunct w:val="0"/>
        <w:bidi w:val="0"/>
        <w:spacing w:before="36" w:line="240" w:lineRule="auto"/>
        <w:ind w:left="117" w:right="235" w:firstLine="480"/>
        <w:jc w:val="both"/>
        <w:rPr>
          <w:rFonts w:ascii="宋体" w:eastAsia="宋体" w:hAnsi="宋体" w:cs="宋体" w:hint="eastAsia"/>
          <w:kern w:val="2"/>
          <w:lang w:eastAsia="zh-CN"/>
        </w:rPr>
      </w:pPr>
      <w:r>
        <w:rPr>
          <w:rFonts w:ascii="宋体" w:eastAsia="宋体" w:hAnsi="宋体" w:cs="宋体" w:hint="eastAsia"/>
          <w:kern w:val="2"/>
          <w:lang w:eastAsia="zh-CN"/>
        </w:rPr>
        <w:t>1．我方已经详细审核了全部招标文件，包括修改、补充的文件（如有）和</w:t>
      </w:r>
      <w:r>
        <w:rPr>
          <w:rFonts w:ascii="宋体" w:eastAsia="宋体" w:hAnsi="宋体" w:cs="宋体" w:hint="eastAsia"/>
          <w:spacing w:val="-3"/>
          <w:kern w:val="2"/>
          <w:lang w:eastAsia="zh-CN"/>
        </w:rPr>
        <w:t>参考资料，并提供了招标文件中要求的所有文件资料。我方知道必须在整个采购</w:t>
      </w:r>
      <w:r>
        <w:rPr>
          <w:rFonts w:ascii="宋体" w:eastAsia="宋体" w:hAnsi="宋体" w:cs="宋体" w:hint="eastAsia"/>
          <w:spacing w:val="3"/>
          <w:kern w:val="2"/>
          <w:lang w:eastAsia="zh-CN"/>
        </w:rPr>
        <w:t>阶段放弃以对上述文件和资料的所有条款存有含糊不清或不理解之处为由而要</w:t>
      </w:r>
      <w:r>
        <w:rPr>
          <w:rFonts w:ascii="宋体" w:eastAsia="宋体" w:hAnsi="宋体" w:cs="宋体" w:hint="eastAsia"/>
          <w:kern w:val="2"/>
          <w:lang w:eastAsia="zh-CN"/>
        </w:rPr>
        <w:t>求免于承担责任的权利。</w:t>
      </w:r>
    </w:p>
    <w:p>
      <w:pPr>
        <w:pageBreakBefore w:val="0"/>
        <w:widowControl w:val="0"/>
        <w:kinsoku/>
        <w:overflowPunct/>
        <w:topLinePunct w:val="0"/>
        <w:bidi w:val="0"/>
        <w:spacing w:before="36" w:line="240" w:lineRule="auto"/>
        <w:ind w:left="117" w:right="235" w:firstLine="480"/>
        <w:jc w:val="both"/>
        <w:rPr>
          <w:rFonts w:ascii="宋体" w:eastAsia="宋体" w:hAnsi="宋体" w:cs="宋体" w:hint="eastAsia"/>
          <w:kern w:val="2"/>
          <w:lang w:eastAsia="zh-CN"/>
        </w:rPr>
      </w:pPr>
      <w:r>
        <w:rPr>
          <w:rFonts w:ascii="宋体" w:eastAsia="宋体" w:hAnsi="宋体" w:cs="宋体" w:hint="eastAsia"/>
          <w:kern w:val="2"/>
          <w:lang w:eastAsia="zh-CN"/>
        </w:rPr>
        <w:t>2.我方承诺在参与本项目前，已按照相关投资决策管理规定，完成参与本项目的决策流程（包括但不限于会议纪要、董事会决议、主管部门批复）；</w:t>
      </w:r>
    </w:p>
    <w:p>
      <w:pPr>
        <w:pageBreakBefore w:val="0"/>
        <w:widowControl w:val="0"/>
        <w:kinsoku/>
        <w:overflowPunct/>
        <w:topLinePunct w:val="0"/>
        <w:bidi w:val="0"/>
        <w:spacing w:before="36" w:line="240" w:lineRule="auto"/>
        <w:ind w:left="117" w:right="133" w:firstLine="480"/>
        <w:jc w:val="both"/>
        <w:rPr>
          <w:rFonts w:ascii="宋体" w:eastAsia="宋体" w:hAnsi="宋体" w:cs="宋体" w:hint="eastAsia"/>
          <w:kern w:val="2"/>
          <w:lang w:eastAsia="zh-CN"/>
        </w:rPr>
      </w:pPr>
      <w:r>
        <w:rPr>
          <w:rFonts w:ascii="宋体" w:eastAsia="宋体" w:hAnsi="宋体" w:cs="宋体" w:hint="eastAsia"/>
          <w:kern w:val="2"/>
          <w:lang w:eastAsia="zh-CN"/>
        </w:rPr>
        <w:t>3．</w:t>
      </w:r>
      <w:r>
        <w:rPr>
          <w:rFonts w:ascii="宋体" w:eastAsia="宋体" w:hAnsi="宋体" w:cs="宋体" w:hint="eastAsia"/>
        </w:rPr>
        <w:t>我方如果中标，将保证履行招标文件</w:t>
      </w:r>
      <w:r>
        <w:rPr>
          <w:rFonts w:ascii="宋体" w:eastAsia="宋体" w:hAnsi="宋体" w:cs="宋体" w:hint="eastAsia"/>
          <w:lang w:eastAsia="zh-CN"/>
        </w:rPr>
        <w:t>、</w:t>
      </w:r>
      <w:r>
        <w:rPr>
          <w:rFonts w:ascii="宋体" w:eastAsia="宋体" w:hAnsi="宋体" w:cs="宋体" w:hint="eastAsia"/>
        </w:rPr>
        <w:t>招标文件修改书（如有）以及</w:t>
      </w:r>
      <w:r>
        <w:rPr>
          <w:rFonts w:ascii="宋体" w:eastAsia="宋体" w:hAnsi="宋体" w:cs="宋体" w:hint="eastAsia"/>
          <w:lang w:eastAsia="zh-CN"/>
        </w:rPr>
        <w:t>附件</w:t>
      </w:r>
      <w:r>
        <w:rPr>
          <w:rFonts w:ascii="宋体" w:eastAsia="宋体" w:hAnsi="宋体" w:cs="宋体" w:hint="eastAsia"/>
        </w:rPr>
        <w:t>（如有）中的全部责任和义务，按质、按量、按期完成《合同书》中的全部任务</w:t>
      </w:r>
      <w:r>
        <w:rPr>
          <w:rFonts w:ascii="宋体" w:eastAsia="宋体" w:hAnsi="宋体" w:cs="宋体" w:hint="eastAsia"/>
          <w:kern w:val="2"/>
          <w:lang w:eastAsia="zh-CN"/>
        </w:rPr>
        <w:t>。</w:t>
      </w:r>
    </w:p>
    <w:p>
      <w:pPr>
        <w:pageBreakBefore w:val="0"/>
        <w:widowControl w:val="0"/>
        <w:kinsoku/>
        <w:overflowPunct/>
        <w:topLinePunct w:val="0"/>
        <w:bidi w:val="0"/>
        <w:spacing w:before="36" w:line="240" w:lineRule="auto"/>
        <w:ind w:left="117" w:right="235" w:firstLine="480"/>
        <w:jc w:val="both"/>
        <w:rPr>
          <w:rFonts w:ascii="宋体" w:eastAsia="宋体" w:hAnsi="宋体" w:cs="宋体" w:hint="eastAsia"/>
          <w:kern w:val="2"/>
          <w:lang w:eastAsia="zh-CN"/>
        </w:rPr>
      </w:pPr>
      <w:r>
        <w:rPr>
          <w:rFonts w:ascii="宋体" w:eastAsia="宋体" w:hAnsi="宋体" w:cs="宋体" w:hint="eastAsia"/>
          <w:kern w:val="2"/>
          <w:lang w:eastAsia="zh-CN"/>
        </w:rPr>
        <w:t>4．我方同意本招标文件的投标有效期自递交投标文件截止之日起120日。在该有效期内的任何时间，本投标文件对我方一直具有约束力，并可随时接受中标。</w:t>
      </w:r>
    </w:p>
    <w:p>
      <w:pPr>
        <w:pageBreakBefore w:val="0"/>
        <w:widowControl w:val="0"/>
        <w:kinsoku/>
        <w:overflowPunct/>
        <w:topLinePunct w:val="0"/>
        <w:bidi w:val="0"/>
        <w:spacing w:before="36" w:line="240" w:lineRule="auto"/>
        <w:ind w:left="117" w:right="235" w:firstLine="480"/>
        <w:jc w:val="both"/>
        <w:rPr>
          <w:rFonts w:ascii="宋体" w:eastAsia="宋体" w:hAnsi="宋体" w:cs="宋体" w:hint="eastAsia"/>
          <w:kern w:val="2"/>
          <w:lang w:eastAsia="zh-CN"/>
        </w:rPr>
      </w:pPr>
      <w:r>
        <w:rPr>
          <w:rFonts w:ascii="宋体" w:eastAsia="宋体" w:hAnsi="宋体" w:cs="宋体" w:hint="eastAsia"/>
          <w:kern w:val="2"/>
          <w:lang w:eastAsia="zh-CN"/>
        </w:rPr>
        <w:t>5．我方完全理解贵方在发出中标通知书前宣布本次采购无效，对此给投标人造成的影响不承担责任。</w:t>
      </w:r>
    </w:p>
    <w:p>
      <w:pPr>
        <w:pageBreakBefore w:val="0"/>
        <w:widowControl w:val="0"/>
        <w:kinsoku/>
        <w:overflowPunct/>
        <w:topLinePunct w:val="0"/>
        <w:bidi w:val="0"/>
        <w:spacing w:before="36" w:line="240" w:lineRule="auto"/>
        <w:ind w:left="117" w:right="235" w:firstLine="480"/>
        <w:jc w:val="both"/>
        <w:rPr>
          <w:rFonts w:ascii="宋体" w:eastAsia="宋体" w:hAnsi="宋体" w:cs="宋体" w:hint="eastAsia"/>
          <w:kern w:val="2"/>
          <w:lang w:eastAsia="zh-CN"/>
        </w:rPr>
      </w:pPr>
      <w:r>
        <w:rPr>
          <w:rFonts w:ascii="宋体" w:eastAsia="宋体" w:hAnsi="宋体" w:cs="宋体" w:hint="eastAsia"/>
          <w:kern w:val="2"/>
          <w:lang w:eastAsia="zh-CN"/>
        </w:rPr>
        <w:t>6．在协议正式签署前，我方的投标文件和贵方的中标通知书应视为贵我双方的协议，对双方具有约束力。</w:t>
      </w:r>
    </w:p>
    <w:p>
      <w:pPr>
        <w:pageBreakBefore w:val="0"/>
        <w:widowControl w:val="0"/>
        <w:kinsoku/>
        <w:overflowPunct/>
        <w:topLinePunct w:val="0"/>
        <w:bidi w:val="0"/>
        <w:spacing w:before="36" w:line="240" w:lineRule="auto"/>
        <w:ind w:left="117" w:right="235" w:firstLine="480"/>
        <w:jc w:val="both"/>
        <w:rPr>
          <w:rFonts w:ascii="宋体" w:eastAsia="宋体" w:hAnsi="宋体" w:cs="宋体" w:hint="eastAsia"/>
          <w:kern w:val="2"/>
          <w:lang w:eastAsia="zh-CN"/>
        </w:rPr>
      </w:pPr>
      <w:r>
        <w:rPr>
          <w:rFonts w:ascii="宋体" w:eastAsia="宋体" w:hAnsi="宋体" w:cs="宋体" w:hint="eastAsia"/>
          <w:kern w:val="2"/>
          <w:lang w:eastAsia="zh-CN"/>
        </w:rPr>
        <w:t>7</w:t>
      </w:r>
      <w:r>
        <w:rPr>
          <w:rFonts w:ascii="宋体" w:eastAsia="宋体" w:hAnsi="宋体" w:cs="宋体" w:hint="eastAsia"/>
          <w:kern w:val="2"/>
          <w:lang w:eastAsia="zh-CN"/>
        </w:rPr>
        <w:t>. 我方保证，本投标文件的所有内容均属独立完成，未经与其他投标人以限制对本项目的竞争为目的进行协商、合作或达成谅解后完成。</w:t>
      </w:r>
    </w:p>
    <w:p>
      <w:pPr>
        <w:pageBreakBefore w:val="0"/>
        <w:widowControl w:val="0"/>
        <w:kinsoku/>
        <w:overflowPunct/>
        <w:topLinePunct w:val="0"/>
        <w:bidi w:val="0"/>
        <w:spacing w:before="36" w:line="240" w:lineRule="auto"/>
        <w:ind w:left="117" w:right="235" w:firstLine="480"/>
        <w:jc w:val="both"/>
        <w:rPr>
          <w:rFonts w:ascii="宋体" w:eastAsia="宋体" w:hAnsi="宋体" w:cs="宋体" w:hint="eastAsia"/>
          <w:kern w:val="2"/>
          <w:lang w:eastAsia="zh-CN"/>
        </w:rPr>
      </w:pPr>
      <w:r>
        <w:rPr>
          <w:rFonts w:ascii="宋体" w:eastAsia="宋体" w:hAnsi="宋体" w:cs="宋体" w:hint="eastAsia"/>
          <w:kern w:val="2"/>
          <w:lang w:eastAsia="zh-CN"/>
        </w:rPr>
        <w:t>8</w:t>
      </w:r>
      <w:r>
        <w:rPr>
          <w:rFonts w:ascii="宋体" w:eastAsia="宋体" w:hAnsi="宋体" w:cs="宋体" w:hint="eastAsia"/>
          <w:kern w:val="2"/>
          <w:lang w:eastAsia="zh-CN"/>
        </w:rPr>
        <w:t>. 与本次招标有关的投标人正式联系方式如下：</w:t>
      </w:r>
    </w:p>
    <w:p>
      <w:pPr>
        <w:pageBreakBefore w:val="0"/>
        <w:widowControl w:val="0"/>
        <w:kinsoku/>
        <w:overflowPunct/>
        <w:topLinePunct w:val="0"/>
        <w:bidi w:val="0"/>
        <w:spacing w:line="240" w:lineRule="auto"/>
        <w:jc w:val="both"/>
        <w:rPr>
          <w:rFonts w:ascii="宋体" w:eastAsia="宋体" w:hAnsi="宋体" w:cs="宋体" w:hint="eastAsia"/>
          <w:kern w:val="2"/>
          <w:lang w:eastAsia="zh-CN"/>
        </w:rPr>
      </w:pPr>
    </w:p>
    <w:p>
      <w:pPr>
        <w:bidi w:val="0"/>
        <w:rPr>
          <w:rFonts w:ascii="宋体" w:eastAsia="宋体" w:hAnsi="宋体" w:cs="宋体" w:hint="eastAsia"/>
          <w:lang w:eastAsia="zh-CN"/>
        </w:rPr>
      </w:pPr>
      <w:r>
        <w:rPr>
          <w:rFonts w:ascii="宋体" w:eastAsia="宋体" w:hAnsi="宋体" w:cs="宋体" w:hint="eastAsia"/>
          <w:lang w:eastAsia="zh-CN"/>
        </w:rPr>
        <w:t>投标人：</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pPr>
        <w:bidi w:val="0"/>
        <w:rPr>
          <w:rFonts w:ascii="宋体" w:eastAsia="宋体" w:hAnsi="宋体" w:cs="宋体" w:hint="eastAsia"/>
          <w:lang w:eastAsia="zh-CN"/>
        </w:rPr>
      </w:pPr>
      <w:r>
        <w:rPr>
          <w:rFonts w:ascii="宋体" w:eastAsia="宋体" w:hAnsi="宋体" w:cs="宋体" w:hint="eastAsia"/>
          <w:lang w:eastAsia="zh-CN"/>
        </w:rPr>
        <w:t>单位地址：</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lang w:eastAsia="zh-CN"/>
        </w:rPr>
        <w:t>；</w:t>
      </w:r>
    </w:p>
    <w:p>
      <w:pPr>
        <w:bidi w:val="0"/>
        <w:rPr>
          <w:rFonts w:ascii="宋体" w:eastAsia="宋体" w:hAnsi="宋体" w:cs="宋体" w:hint="eastAsia"/>
          <w:lang w:eastAsia="zh-CN"/>
        </w:rPr>
      </w:pPr>
      <w:r>
        <w:rPr>
          <w:rFonts w:ascii="宋体" w:eastAsia="宋体" w:hAnsi="宋体" w:cs="宋体" w:hint="eastAsia"/>
          <w:lang w:eastAsia="zh-CN"/>
        </w:rPr>
        <w:t>法定代表人（负责人）或其授权委托代理人：</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lang w:eastAsia="zh-CN"/>
        </w:rPr>
        <w:t>；</w:t>
      </w:r>
    </w:p>
    <w:p>
      <w:pPr>
        <w:bidi w:val="0"/>
        <w:rPr>
          <w:rFonts w:ascii="宋体" w:eastAsia="宋体" w:hAnsi="宋体" w:cs="宋体" w:hint="eastAsia"/>
          <w:u w:val="single"/>
          <w:lang w:eastAsia="zh-CN"/>
        </w:rPr>
      </w:pPr>
      <w:r>
        <w:rPr>
          <w:rFonts w:ascii="宋体" w:eastAsia="宋体" w:hAnsi="宋体" w:cs="宋体" w:hint="eastAsia"/>
          <w:lang w:eastAsia="zh-CN"/>
        </w:rPr>
        <w:t>电话：</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lang w:eastAsia="zh-CN"/>
        </w:rPr>
        <w:t>；</w:t>
      </w:r>
      <w:r>
        <w:rPr>
          <w:rFonts w:ascii="宋体" w:eastAsia="宋体" w:hAnsi="宋体" w:cs="宋体" w:hint="eastAsia"/>
          <w:u w:val="single"/>
          <w:lang w:eastAsia="zh-CN"/>
        </w:rPr>
        <w:t xml:space="preserve">               </w:t>
      </w:r>
    </w:p>
    <w:p>
      <w:pPr>
        <w:bidi w:val="0"/>
        <w:rPr>
          <w:rFonts w:ascii="宋体" w:eastAsia="宋体" w:hAnsi="宋体" w:cs="宋体" w:hint="eastAsia"/>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 xml:space="preserve">年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lang w:eastAsia="zh-CN"/>
        </w:rPr>
        <w:t xml:space="preserve">月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lang w:eastAsia="zh-CN"/>
        </w:rPr>
        <w:t xml:space="preserve">日       </w:t>
      </w:r>
    </w:p>
    <w:p>
      <w:pPr>
        <w:widowControl w:val="0"/>
        <w:ind w:left="480" w:firstLine="240" w:leftChars="200" w:firstLineChars="10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 xml:space="preserve"> </w:t>
      </w:r>
    </w:p>
    <w:p>
      <w:pPr>
        <w:widowControl w:val="0"/>
        <w:ind w:left="480" w:leftChars="200"/>
        <w:jc w:val="both"/>
        <w:rPr>
          <w:rFonts w:ascii="Calibri" w:eastAsia="宋体" w:hAnsi="Calibri"/>
          <w:kern w:val="2"/>
          <w:sz w:val="28"/>
          <w:lang w:eastAsia="zh-CN"/>
        </w:rPr>
      </w:pPr>
      <w:r>
        <w:rPr>
          <w:rFonts w:ascii="Calibri" w:eastAsia="宋体" w:hAnsi="Calibri" w:hint="eastAsia"/>
          <w:kern w:val="2"/>
          <w:sz w:val="28"/>
          <w:lang w:eastAsia="zh-CN"/>
        </w:rPr>
        <w:t xml:space="preserve">                       </w:t>
      </w:r>
    </w:p>
    <w:p>
      <w:pPr>
        <w:keepNext/>
        <w:keepLines/>
        <w:pageBreakBefore/>
        <w:widowControl w:val="0"/>
        <w:kinsoku/>
        <w:wordWrap/>
        <w:overflowPunct/>
        <w:topLinePunct w:val="0"/>
        <w:autoSpaceDE/>
        <w:autoSpaceDN/>
        <w:bidi w:val="0"/>
        <w:adjustRightInd w:val="0"/>
        <w:snapToGrid w:val="0"/>
        <w:spacing w:line="240" w:lineRule="auto"/>
        <w:jc w:val="center"/>
        <w:textAlignment w:val="baseline"/>
        <w:outlineLvl w:val="4"/>
        <w:rPr>
          <w:rFonts w:ascii="宋体" w:eastAsia="宋体" w:hAnsi="宋体" w:cs="宋体" w:hint="eastAsia"/>
          <w:b/>
          <w:bCs/>
          <w:lang w:eastAsia="zh-CN"/>
        </w:rPr>
      </w:pPr>
      <w:r>
        <w:rPr>
          <w:rFonts w:ascii="宋体" w:eastAsia="宋体" w:hAnsi="宋体" w:cs="宋体" w:hint="eastAsia"/>
          <w:b/>
          <w:bCs/>
          <w:lang w:eastAsia="zh-CN"/>
        </w:rPr>
        <w:t>2.投标及履约承诺函</w:t>
      </w:r>
    </w:p>
    <w:p>
      <w:pPr>
        <w:pageBreakBefore w:val="0"/>
        <w:widowControl w:val="0"/>
        <w:kinsoku/>
        <w:wordWrap/>
        <w:overflowPunct/>
        <w:topLinePunct w:val="0"/>
        <w:autoSpaceDE/>
        <w:autoSpaceDN/>
        <w:bidi w:val="0"/>
        <w:spacing w:line="240" w:lineRule="auto"/>
        <w:jc w:val="both"/>
        <w:rPr>
          <w:rFonts w:ascii="宋体" w:eastAsia="宋体" w:hAnsi="宋体" w:cs="宋体" w:hint="eastAsia"/>
          <w:kern w:val="2"/>
          <w:lang w:eastAsia="zh-CN"/>
        </w:rPr>
      </w:pPr>
    </w:p>
    <w:p>
      <w:pPr>
        <w:pageBreakBefore w:val="0"/>
        <w:widowControl w:val="0"/>
        <w:kinsoku/>
        <w:wordWrap/>
        <w:overflowPunct/>
        <w:topLinePunct w:val="0"/>
        <w:autoSpaceDE/>
        <w:autoSpaceDN/>
        <w:bidi w:val="0"/>
        <w:spacing w:line="240" w:lineRule="auto"/>
        <w:jc w:val="both"/>
        <w:rPr>
          <w:rFonts w:ascii="宋体" w:eastAsia="宋体" w:hAnsi="宋体" w:cs="宋体" w:hint="eastAsia"/>
          <w:kern w:val="2"/>
          <w:lang w:eastAsia="zh-CN"/>
        </w:rPr>
      </w:pPr>
      <w:r>
        <w:rPr>
          <w:rFonts w:ascii="宋体" w:eastAsia="宋体" w:hAnsi="宋体" w:cs="宋体" w:hint="eastAsia"/>
          <w:kern w:val="2"/>
          <w:lang w:eastAsia="zh-CN"/>
        </w:rPr>
        <w:t>致：</w:t>
      </w:r>
      <w:r>
        <w:rPr>
          <w:rFonts w:ascii="宋体" w:eastAsia="宋体" w:hAnsi="宋体" w:cs="宋体" w:hint="eastAsia"/>
          <w:kern w:val="2"/>
          <w:lang w:eastAsia="zh-CN"/>
        </w:rPr>
        <w:t>深圳市罗湖区</w:t>
      </w:r>
      <w:r>
        <w:rPr>
          <w:rFonts w:ascii="宋体" w:eastAsia="宋体" w:hAnsi="宋体" w:cs="宋体" w:hint="eastAsia"/>
          <w:kern w:val="2"/>
          <w:lang w:eastAsia="zh-CN"/>
        </w:rPr>
        <w:t>清水河街道办事处</w:t>
      </w:r>
      <w:r>
        <w:rPr>
          <w:rFonts w:ascii="宋体" w:eastAsia="宋体" w:hAnsi="宋体" w:cs="宋体" w:hint="eastAsia"/>
          <w:kern w:val="2"/>
          <w:lang w:eastAsia="zh-CN"/>
        </w:rPr>
        <w:t>、深圳交易集团有限公司罗湖分公司：</w:t>
      </w:r>
    </w:p>
    <w:p>
      <w:pPr>
        <w:pageBreakBefore w:val="0"/>
        <w:widowControl w:val="0"/>
        <w:kinsoku/>
        <w:wordWrap/>
        <w:overflowPunct/>
        <w:topLinePunct w:val="0"/>
        <w:autoSpaceDE/>
        <w:autoSpaceDN/>
        <w:bidi w:val="0"/>
        <w:spacing w:line="240" w:lineRule="auto"/>
        <w:ind w:right="-815"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我单位承诺：</w:t>
      </w:r>
    </w:p>
    <w:p>
      <w:pPr>
        <w:pageBreakBefore w:val="0"/>
        <w:widowControl w:val="0"/>
        <w:kinsoku/>
        <w:wordWrap/>
        <w:overflowPunct/>
        <w:topLinePunct w:val="0"/>
        <w:autoSpaceDE/>
        <w:autoSpaceDN/>
        <w:bidi w:val="0"/>
        <w:snapToGrid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1.我单位参与本项目所投标（响应）的货物、工程或服务，不存在侵犯知识产权的情况。</w:t>
      </w:r>
    </w:p>
    <w:p>
      <w:pPr>
        <w:pageBreakBefore w:val="0"/>
        <w:widowControl w:val="0"/>
        <w:kinsoku/>
        <w:wordWrap/>
        <w:overflowPunct/>
        <w:topLinePunct w:val="0"/>
        <w:autoSpaceDE/>
        <w:autoSpaceDN/>
        <w:bidi w:val="0"/>
        <w:snapToGrid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2.我单位参与本项目交易活动时不存在被有关部门禁止参与交易活动且在有效期内的情况。</w:t>
      </w:r>
    </w:p>
    <w:p>
      <w:pPr>
        <w:pageBreakBefore w:val="0"/>
        <w:widowControl w:val="0"/>
        <w:kinsoku/>
        <w:wordWrap/>
        <w:overflowPunct/>
        <w:topLinePunct w:val="0"/>
        <w:autoSpaceDE/>
        <w:autoSpaceDN/>
        <w:bidi w:val="0"/>
        <w:snapToGrid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3.我单位具备《中华人民共和国政府采购法》第二十二条第一款规定的六项条件。</w:t>
      </w:r>
    </w:p>
    <w:p>
      <w:pPr>
        <w:pageBreakBefore w:val="0"/>
        <w:widowControl w:val="0"/>
        <w:kinsoku/>
        <w:wordWrap/>
        <w:overflowPunct/>
        <w:topLinePunct w:val="0"/>
        <w:autoSpaceDE/>
        <w:autoSpaceDN/>
        <w:bidi w:val="0"/>
        <w:snapToGrid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4.我单位未被列入失信被执行人、重大税收违法案件当事人名单、政府采购严重违法失信行为记录名单。</w:t>
      </w:r>
    </w:p>
    <w:p>
      <w:pPr>
        <w:pageBreakBefore w:val="0"/>
        <w:widowControl w:val="0"/>
        <w:kinsoku/>
        <w:wordWrap/>
        <w:overflowPunct/>
        <w:topLinePunct w:val="0"/>
        <w:autoSpaceDE/>
        <w:autoSpaceDN/>
        <w:bidi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5.我单位参与该项目投标，严格遵守政府采购相关法律，不造假，不围标、串标、陪标。我单位已清楚，如违反上述要求，投标将作无效处理。</w:t>
      </w:r>
    </w:p>
    <w:p>
      <w:pPr>
        <w:pageBreakBefore w:val="0"/>
        <w:widowControl w:val="0"/>
        <w:kinsoku/>
        <w:wordWrap/>
        <w:overflowPunct/>
        <w:topLinePunct w:val="0"/>
        <w:autoSpaceDE/>
        <w:autoSpaceDN/>
        <w:bidi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6.我单位如果中标，做到守信，不偷工减料，依照本项目招标文件需求内容、签署的协议及本单位在投标中所作的一切承诺履约。我单位对本项目的报价负责，中标后将严格按照本项目招标文件需求、签署的协议及我单位在投标中所作的全部承诺履行。</w:t>
      </w:r>
    </w:p>
    <w:p>
      <w:pPr>
        <w:pageBreakBefore w:val="0"/>
        <w:widowControl w:val="0"/>
        <w:kinsoku/>
        <w:wordWrap/>
        <w:overflowPunct/>
        <w:topLinePunct w:val="0"/>
        <w:autoSpaceDE/>
        <w:autoSpaceDN/>
        <w:bidi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我单位清楚，本项目将成为重点监管、重点验收项目，我单位将按时保质保量完成，并全力配合有关监管、验收工作；若我单位未按上述要求履约，我单位愿意接受主管部门的处理处罚。</w:t>
      </w:r>
    </w:p>
    <w:p>
      <w:pPr>
        <w:pageBreakBefore w:val="0"/>
        <w:widowControl w:val="0"/>
        <w:kinsoku/>
        <w:wordWrap/>
        <w:overflowPunct/>
        <w:topLinePunct w:val="0"/>
        <w:autoSpaceDE/>
        <w:autoSpaceDN/>
        <w:bidi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pageBreakBefore w:val="0"/>
        <w:widowControl w:val="0"/>
        <w:kinsoku/>
        <w:wordWrap/>
        <w:overflowPunct/>
        <w:topLinePunct w:val="0"/>
        <w:autoSpaceDE/>
        <w:autoSpaceDN/>
        <w:bidi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8.我单位承诺中标后项目不转包，未经招标人同意不进行分包。</w:t>
      </w:r>
    </w:p>
    <w:p>
      <w:pPr>
        <w:pageBreakBefore w:val="0"/>
        <w:widowControl w:val="0"/>
        <w:kinsoku/>
        <w:wordWrap/>
        <w:overflowPunct/>
        <w:topLinePunct w:val="0"/>
        <w:autoSpaceDE/>
        <w:autoSpaceDN/>
        <w:bidi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9.我单位保证，其所提供的货物通过合法正规渠道供货，在提供给招标人前具有完全的所有权，招标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pageBreakBefore w:val="0"/>
        <w:widowControl w:val="0"/>
        <w:kinsoku/>
        <w:wordWrap/>
        <w:overflowPunct/>
        <w:topLinePunct w:val="0"/>
        <w:autoSpaceDE/>
        <w:autoSpaceDN/>
        <w:bidi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10.我单位保证，若所投货物涉及《财政部生态环境部关于印发节能产品政府采购品目清单的通知》（财库〔2019〕19号）列明的政府采购强制产品，则所投该产品符合节能产品的认证要求。</w:t>
      </w:r>
    </w:p>
    <w:p>
      <w:pPr>
        <w:pageBreakBefore w:val="0"/>
        <w:widowControl w:val="0"/>
        <w:kinsoku/>
        <w:wordWrap/>
        <w:overflowPunct/>
        <w:topLinePunct w:val="0"/>
        <w:autoSpaceDE/>
        <w:autoSpaceDN/>
        <w:bidi w:val="0"/>
        <w:spacing w:line="240" w:lineRule="auto"/>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11.我单位已悉知并同意中标（成交）结果信息公示（公开）的内容。</w:t>
      </w:r>
    </w:p>
    <w:p>
      <w:pPr>
        <w:pageBreakBefore w:val="0"/>
        <w:widowControl w:val="0"/>
        <w:kinsoku/>
        <w:wordWrap/>
        <w:overflowPunct/>
        <w:topLinePunct w:val="0"/>
        <w:autoSpaceDE/>
        <w:autoSpaceDN/>
        <w:bidi w:val="0"/>
        <w:spacing w:line="240" w:lineRule="auto"/>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12.我单位与其他投标人不存在单位负责人为同一人或者存在直接控股、管理关系；未对本次采购项目提供整体设计、规范编制或者项目管理、监理、检测等服务。</w:t>
      </w:r>
    </w:p>
    <w:p>
      <w:pPr>
        <w:pageBreakBefore w:val="0"/>
        <w:widowControl w:val="0"/>
        <w:kinsoku/>
        <w:wordWrap/>
        <w:overflowPunct/>
        <w:topLinePunct w:val="0"/>
        <w:autoSpaceDE/>
        <w:autoSpaceDN/>
        <w:bidi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以上承诺，如有违反，愿依照国家相关法律法规处理，并承担由此给招标人带来的损失。</w:t>
      </w:r>
    </w:p>
    <w:p>
      <w:pPr>
        <w:pageBreakBefore w:val="0"/>
        <w:widowControl w:val="0"/>
        <w:kinsoku/>
        <w:wordWrap/>
        <w:overflowPunct/>
        <w:topLinePunct w:val="0"/>
        <w:autoSpaceDE/>
        <w:autoSpaceDN/>
        <w:bidi w:val="0"/>
        <w:spacing w:before="78" w:beforeLines="25" w:after="78" w:afterLines="25" w:line="240" w:lineRule="auto"/>
        <w:ind w:firstLine="5720" w:firstLineChars="2600"/>
        <w:jc w:val="both"/>
        <w:rPr>
          <w:rFonts w:ascii="宋体" w:eastAsia="宋体" w:hAnsi="宋体" w:cs="宋体" w:hint="eastAsia"/>
          <w:kern w:val="2"/>
          <w:sz w:val="22"/>
          <w:szCs w:val="22"/>
          <w:lang w:eastAsia="zh-CN"/>
        </w:rPr>
      </w:pPr>
    </w:p>
    <w:p>
      <w:pPr>
        <w:pageBreakBefore w:val="0"/>
        <w:widowControl w:val="0"/>
        <w:kinsoku/>
        <w:wordWrap/>
        <w:overflowPunct/>
        <w:topLinePunct w:val="0"/>
        <w:autoSpaceDE/>
        <w:autoSpaceDN/>
        <w:bidi w:val="0"/>
        <w:spacing w:before="78" w:beforeLines="25" w:after="78" w:afterLines="25" w:line="240" w:lineRule="auto"/>
        <w:ind w:firstLine="5720" w:firstLineChars="2600"/>
        <w:jc w:val="both"/>
        <w:rPr>
          <w:rFonts w:ascii="宋体" w:eastAsia="宋体" w:hAnsi="宋体" w:cs="宋体"/>
          <w:kern w:val="2"/>
          <w:sz w:val="22"/>
          <w:szCs w:val="22"/>
          <w:lang w:eastAsia="zh-CN"/>
        </w:rPr>
      </w:pPr>
      <w:r>
        <w:rPr>
          <w:rFonts w:ascii="宋体" w:eastAsia="宋体" w:hAnsi="宋体" w:cs="宋体" w:hint="eastAsia"/>
          <w:kern w:val="2"/>
          <w:sz w:val="22"/>
          <w:szCs w:val="22"/>
          <w:lang w:eastAsia="zh-CN"/>
        </w:rPr>
        <w:t>投标人：</w:t>
      </w:r>
      <w:r>
        <w:rPr>
          <w:rFonts w:ascii="宋体" w:eastAsia="宋体" w:hAnsi="宋体" w:cs="宋体" w:hint="eastAsia"/>
          <w:kern w:val="2"/>
          <w:sz w:val="22"/>
          <w:szCs w:val="22"/>
          <w:lang w:eastAsia="zh-CN"/>
        </w:rPr>
        <w:t xml:space="preserve">               </w:t>
      </w:r>
    </w:p>
    <w:p>
      <w:pPr>
        <w:pageBreakBefore w:val="0"/>
        <w:widowControl w:val="0"/>
        <w:kinsoku/>
        <w:wordWrap/>
        <w:overflowPunct/>
        <w:topLinePunct w:val="0"/>
        <w:autoSpaceDE/>
        <w:autoSpaceDN/>
        <w:bidi w:val="0"/>
        <w:spacing w:line="240" w:lineRule="auto"/>
        <w:ind w:firstLine="645"/>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 xml:space="preserve">                                            </w:t>
      </w:r>
      <w:r>
        <w:rPr>
          <w:rFonts w:ascii="宋体" w:eastAsia="宋体" w:hAnsi="宋体" w:cs="宋体" w:hint="eastAsia"/>
          <w:kern w:val="2"/>
          <w:sz w:val="22"/>
          <w:szCs w:val="22"/>
          <w:lang w:eastAsia="zh-CN"/>
        </w:rPr>
        <w:t xml:space="preserve">    </w:t>
      </w:r>
      <w:r>
        <w:rPr>
          <w:rFonts w:ascii="宋体" w:eastAsia="宋体" w:hAnsi="宋体" w:cs="宋体" w:hint="eastAsia"/>
          <w:kern w:val="2"/>
          <w:sz w:val="22"/>
          <w:szCs w:val="22"/>
          <w:lang w:eastAsia="zh-CN"/>
        </w:rPr>
        <w:t>日期：  年  月   日</w:t>
      </w:r>
    </w:p>
    <w:p>
      <w:pPr>
        <w:pageBreakBefore w:val="0"/>
        <w:widowControl w:val="0"/>
        <w:kinsoku/>
        <w:overflowPunct/>
        <w:topLinePunct w:val="0"/>
        <w:bidi w:val="0"/>
        <w:spacing w:line="240" w:lineRule="auto"/>
        <w:jc w:val="both"/>
        <w:rPr>
          <w:rFonts w:ascii="宋体" w:eastAsia="宋体" w:hAnsi="宋体" w:cs="宋体" w:hint="eastAsia"/>
          <w:kern w:val="2"/>
          <w:lang w:eastAsia="zh-CN"/>
        </w:rPr>
      </w:pP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宋体" w:eastAsia="宋体" w:hAnsi="宋体" w:hint="eastAsia"/>
          <w:b/>
          <w:bCs/>
          <w:szCs w:val="20"/>
          <w:lang w:eastAsia="zh-CN"/>
        </w:rPr>
      </w:pPr>
      <w:r>
        <w:rPr>
          <w:rFonts w:ascii="宋体" w:eastAsia="宋体" w:hAnsi="宋体" w:hint="eastAsia"/>
          <w:b/>
          <w:bCs/>
          <w:szCs w:val="20"/>
          <w:lang w:eastAsia="zh-CN"/>
        </w:rPr>
        <w:br w:type="page"/>
      </w:r>
    </w:p>
    <w:p>
      <w:pPr>
        <w:keepNext/>
        <w:keepLines/>
        <w:pageBreakBefore w:val="0"/>
        <w:widowControl w:val="0"/>
        <w:kinsoku/>
        <w:overflowPunct/>
        <w:topLinePunct w:val="0"/>
        <w:bidi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3.投标人情况及资格证明文件</w:t>
      </w:r>
    </w:p>
    <w:p>
      <w:pPr>
        <w:widowControl w:val="0"/>
        <w:spacing w:before="156" w:beforeLines="50"/>
        <w:jc w:val="center"/>
        <w:rPr>
          <w:rFonts w:ascii="宋体" w:eastAsia="宋体" w:hAnsi="宋体" w:cs="宋体" w:hint="eastAsia"/>
          <w:b/>
          <w:bCs/>
          <w:color w:val="FF0000"/>
          <w:kern w:val="2"/>
          <w:lang w:eastAsia="zh-CN"/>
        </w:rPr>
      </w:pPr>
      <w:r>
        <w:rPr>
          <w:rFonts w:ascii="宋体" w:eastAsia="宋体" w:hAnsi="宋体" w:cs="宋体" w:hint="eastAsia"/>
          <w:bCs/>
          <w:color w:val="FF0000"/>
          <w:lang w:eastAsia="zh-CN"/>
        </w:rPr>
        <w:t>（1）投标人资格证明文件</w:t>
      </w:r>
    </w:p>
    <w:p>
      <w:pPr>
        <w:widowControl w:val="0"/>
        <w:spacing w:before="156" w:beforeLines="50"/>
        <w:ind w:firstLine="480" w:firstLineChars="200"/>
        <w:jc w:val="left"/>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（特别提示：投标人须按本招标文件第一册第一章招标公告 “申请人的资格要求”（即投标人资格要求）提供相关的资格证明资料，未提供或提供不完整、不符合要求的，将作投标无效处理，其中要求提供《投标及履约承诺函》且已在“2.投标及履约承诺函”章节中提供了，此处可不重复提供。）</w:t>
      </w:r>
    </w:p>
    <w:p>
      <w:pPr>
        <w:widowControl w:val="0"/>
        <w:spacing w:before="156" w:beforeLines="50"/>
        <w:jc w:val="both"/>
        <w:rPr>
          <w:rFonts w:ascii="宋体" w:eastAsia="宋体" w:hAnsi="宋体" w:cs="宋体" w:hint="eastAsia"/>
          <w:b/>
          <w:bCs/>
          <w:kern w:val="2"/>
          <w:lang w:eastAsia="zh-CN"/>
        </w:rPr>
      </w:pPr>
    </w:p>
    <w:p>
      <w:pPr>
        <w:widowControl w:val="0"/>
        <w:spacing w:line="360" w:lineRule="auto"/>
        <w:jc w:val="both"/>
        <w:rPr>
          <w:rFonts w:ascii="Calibri" w:eastAsia="宋体" w:hAnsi="Calibri" w:hint="eastAsia"/>
          <w:b/>
          <w:bCs/>
          <w:kern w:val="2"/>
          <w:szCs w:val="22"/>
          <w:lang w:eastAsia="zh-CN"/>
        </w:rPr>
      </w:pP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br w:type="page"/>
      </w:r>
    </w:p>
    <w:p>
      <w:pPr>
        <w:keepNext/>
        <w:keepLines/>
        <w:pageBreakBefore w:val="0"/>
        <w:widowControl w:val="0"/>
        <w:kinsoku/>
        <w:overflowPunct/>
        <w:topLinePunct w:val="0"/>
        <w:bidi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4.项目报价表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93"/>
        <w:gridCol w:w="2427"/>
        <w:gridCol w:w="1980"/>
        <w:gridCol w:w="2061"/>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565"/>
          <w:jc w:val="center"/>
        </w:trPr>
        <w:tc>
          <w:tcPr>
            <w:tcW w:w="2659" w:type="dxa"/>
            <w:tcBorders>
              <w:top w:val="double" w:sz="4" w:space="0" w:color="auto"/>
              <w:bottom w:val="single" w:sz="4" w:space="0" w:color="auto"/>
            </w:tcBorders>
            <w:noWrap w:val="0"/>
            <w:vAlign w:val="center"/>
          </w:tcPr>
          <w:p>
            <w:pPr>
              <w:widowControl w:val="0"/>
              <w:jc w:val="center"/>
              <w:rPr>
                <w:rFonts w:ascii="宋体" w:eastAsia="宋体" w:hAnsi="宋体" w:cs="宋体" w:hint="eastAsia"/>
                <w:b/>
                <w:bCs/>
                <w:snapToGrid w:val="0"/>
                <w:szCs w:val="22"/>
                <w:lang w:eastAsia="zh-CN"/>
              </w:rPr>
            </w:pPr>
            <w:r>
              <w:rPr>
                <w:rFonts w:ascii="宋体" w:eastAsia="宋体" w:hAnsi="宋体" w:cs="宋体" w:hint="eastAsia"/>
                <w:b/>
                <w:bCs/>
                <w:snapToGrid w:val="0"/>
                <w:szCs w:val="22"/>
                <w:lang w:eastAsia="zh-CN"/>
              </w:rPr>
              <w:t>项目名称</w:t>
            </w:r>
          </w:p>
        </w:tc>
        <w:tc>
          <w:tcPr>
            <w:tcW w:w="2488" w:type="dxa"/>
            <w:tcBorders>
              <w:top w:val="double" w:sz="4" w:space="0" w:color="auto"/>
              <w:bottom w:val="single" w:sz="4" w:space="0" w:color="auto"/>
            </w:tcBorders>
            <w:noWrap w:val="0"/>
            <w:vAlign w:val="center"/>
          </w:tcPr>
          <w:p>
            <w:pPr>
              <w:widowControl w:val="0"/>
              <w:jc w:val="center"/>
              <w:rPr>
                <w:rFonts w:ascii="宋体" w:eastAsia="宋体" w:hAnsi="宋体" w:cs="宋体" w:hint="eastAsia"/>
                <w:b/>
                <w:bCs/>
                <w:snapToGrid w:val="0"/>
                <w:szCs w:val="22"/>
                <w:lang w:eastAsia="zh-CN"/>
              </w:rPr>
            </w:pPr>
            <w:r>
              <w:rPr>
                <w:rFonts w:ascii="宋体" w:eastAsia="宋体" w:hAnsi="宋体" w:cs="宋体" w:hint="eastAsia"/>
                <w:b/>
                <w:bCs/>
                <w:snapToGrid w:val="0"/>
                <w:szCs w:val="22"/>
                <w:lang w:eastAsia="zh-CN"/>
              </w:rPr>
              <w:t>项目</w:t>
            </w:r>
          </w:p>
        </w:tc>
        <w:tc>
          <w:tcPr>
            <w:tcW w:w="2029" w:type="dxa"/>
            <w:tcBorders>
              <w:top w:val="double" w:sz="4" w:space="0" w:color="auto"/>
              <w:bottom w:val="single" w:sz="4" w:space="0" w:color="auto"/>
            </w:tcBorders>
            <w:noWrap w:val="0"/>
            <w:vAlign w:val="center"/>
          </w:tcPr>
          <w:p>
            <w:pPr>
              <w:widowControl w:val="0"/>
              <w:jc w:val="center"/>
              <w:rPr>
                <w:rFonts w:ascii="宋体" w:eastAsia="宋体" w:hAnsi="宋体" w:cs="宋体" w:hint="eastAsia"/>
                <w:b/>
                <w:bCs/>
                <w:snapToGrid w:val="0"/>
                <w:szCs w:val="22"/>
                <w:lang w:eastAsia="zh-CN"/>
              </w:rPr>
            </w:pPr>
            <w:r>
              <w:rPr>
                <w:rFonts w:ascii="宋体" w:eastAsia="宋体" w:hAnsi="宋体" w:cs="宋体" w:hint="eastAsia"/>
                <w:b/>
                <w:bCs/>
                <w:snapToGrid w:val="0"/>
                <w:szCs w:val="22"/>
                <w:lang w:eastAsia="zh-CN"/>
              </w:rPr>
              <w:t>投标报价</w:t>
            </w:r>
          </w:p>
        </w:tc>
        <w:tc>
          <w:tcPr>
            <w:tcW w:w="2112" w:type="dxa"/>
            <w:tcBorders>
              <w:top w:val="double" w:sz="4" w:space="0" w:color="auto"/>
              <w:bottom w:val="single" w:sz="4" w:space="0" w:color="auto"/>
            </w:tcBorders>
            <w:noWrap w:val="0"/>
            <w:vAlign w:val="center"/>
          </w:tcPr>
          <w:p>
            <w:pPr>
              <w:widowControl w:val="0"/>
              <w:jc w:val="center"/>
              <w:rPr>
                <w:rFonts w:ascii="宋体" w:eastAsia="宋体" w:hAnsi="宋体" w:cs="宋体" w:hint="eastAsia"/>
                <w:b/>
                <w:bCs/>
                <w:snapToGrid w:val="0"/>
                <w:szCs w:val="22"/>
                <w:lang w:eastAsia="zh-CN"/>
              </w:rPr>
            </w:pPr>
            <w:r>
              <w:rPr>
                <w:rFonts w:ascii="宋体" w:eastAsia="宋体" w:hAnsi="宋体" w:cs="宋体" w:hint="eastAsia"/>
                <w:b/>
                <w:bCs/>
                <w:snapToGrid w:val="0"/>
                <w:szCs w:val="22"/>
                <w:lang w:eastAsia="zh-CN"/>
              </w:rPr>
              <w:t>备注</w:t>
            </w:r>
          </w:p>
        </w:tc>
      </w:tr>
      <w:tr>
        <w:tblPrEx>
          <w:tblW w:w="5000" w:type="pct"/>
          <w:jc w:val="center"/>
          <w:tblLayout w:type="fixed"/>
          <w:tblCellMar>
            <w:top w:w="0" w:type="dxa"/>
            <w:left w:w="108" w:type="dxa"/>
            <w:bottom w:w="0" w:type="dxa"/>
            <w:right w:w="108" w:type="dxa"/>
          </w:tblCellMar>
        </w:tblPrEx>
        <w:trPr>
          <w:cantSplit/>
          <w:trHeight w:val="2831"/>
          <w:jc w:val="center"/>
        </w:trPr>
        <w:tc>
          <w:tcPr>
            <w:tcW w:w="2659" w:type="dxa"/>
            <w:vMerge w:val="restart"/>
            <w:noWrap w:val="0"/>
            <w:vAlign w:val="center"/>
          </w:tcPr>
          <w:p>
            <w:pPr>
              <w:widowControl w:val="0"/>
              <w:jc w:val="center"/>
              <w:rPr>
                <w:rFonts w:ascii="宋体" w:eastAsia="宋体" w:hAnsi="宋体" w:cs="宋体" w:hint="eastAsia"/>
                <w:snapToGrid w:val="0"/>
                <w:szCs w:val="22"/>
                <w:u w:val="single"/>
                <w:lang w:eastAsia="zh-CN"/>
              </w:rPr>
            </w:pPr>
            <w:r>
              <w:rPr>
                <w:rFonts w:ascii="宋体" w:eastAsia="宋体" w:hAnsi="宋体" w:cs="宋体" w:hint="eastAsia"/>
                <w:snapToGrid w:val="0"/>
                <w:szCs w:val="22"/>
                <w:u w:val="single"/>
                <w:lang w:eastAsia="zh-CN"/>
              </w:rPr>
              <w:t>清水河街道社区综合服务体公建民营项目</w:t>
            </w:r>
          </w:p>
        </w:tc>
        <w:tc>
          <w:tcPr>
            <w:tcW w:w="2488" w:type="dxa"/>
            <w:tcBorders>
              <w:top w:val="single" w:sz="4" w:space="0" w:color="auto"/>
              <w:bottom w:val="single" w:sz="4" w:space="0" w:color="auto"/>
            </w:tcBorders>
            <w:noWrap w:val="0"/>
            <w:vAlign w:val="center"/>
          </w:tcPr>
          <w:p>
            <w:pPr>
              <w:widowControl w:val="0"/>
              <w:adjustRightInd w:val="0"/>
              <w:snapToGrid w:val="0"/>
              <w:jc w:val="center"/>
              <w:rPr>
                <w:rFonts w:ascii="宋体" w:eastAsia="宋体" w:hAnsi="宋体" w:cs="宋体" w:hint="eastAsia"/>
                <w:kern w:val="2"/>
                <w:szCs w:val="22"/>
                <w:lang w:eastAsia="zh-CN"/>
              </w:rPr>
            </w:pPr>
            <w:r>
              <w:rPr>
                <w:rFonts w:ascii="宋体" w:eastAsia="宋体" w:hAnsi="宋体" w:cs="宋体" w:hint="eastAsia"/>
                <w:kern w:val="2"/>
                <w:szCs w:val="22"/>
                <w:lang w:eastAsia="zh-CN"/>
              </w:rPr>
              <w:t>一、</w:t>
            </w:r>
            <w:r>
              <w:rPr>
                <w:rFonts w:ascii="宋体" w:eastAsia="宋体" w:hAnsi="宋体" w:cs="宋体" w:hint="eastAsia"/>
                <w:kern w:val="2"/>
                <w:szCs w:val="22"/>
                <w:lang w:eastAsia="zh-CN"/>
              </w:rPr>
              <w:t>承诺每平方米投入的功能优化资金金额报价</w:t>
            </w:r>
          </w:p>
        </w:tc>
        <w:tc>
          <w:tcPr>
            <w:tcW w:w="2029" w:type="dxa"/>
            <w:tcBorders>
              <w:top w:val="single" w:sz="4" w:space="0" w:color="auto"/>
              <w:bottom w:val="single" w:sz="4" w:space="0" w:color="auto"/>
            </w:tcBorders>
            <w:noWrap w:val="0"/>
            <w:vAlign w:val="center"/>
          </w:tcPr>
          <w:p>
            <w:pPr>
              <w:widowControl w:val="0"/>
              <w:jc w:val="center"/>
              <w:rPr>
                <w:rFonts w:ascii="宋体" w:eastAsia="宋体" w:hAnsi="宋体" w:cs="宋体"/>
                <w:snapToGrid w:val="0"/>
                <w:szCs w:val="22"/>
                <w:lang w:eastAsia="zh-CN"/>
              </w:rPr>
            </w:pPr>
            <w:r>
              <w:rPr>
                <w:rFonts w:ascii="宋体" w:eastAsia="宋体" w:hAnsi="宋体" w:cs="宋体" w:hint="eastAsia"/>
                <w:snapToGrid w:val="0"/>
                <w:szCs w:val="22"/>
                <w:u w:val="single"/>
                <w:lang w:eastAsia="zh-CN"/>
              </w:rPr>
              <w:t xml:space="preserve">         </w:t>
            </w:r>
            <w:r>
              <w:rPr>
                <w:rFonts w:ascii="宋体" w:eastAsia="宋体" w:hAnsi="宋体" w:cs="宋体" w:hint="eastAsia"/>
                <w:b/>
                <w:bCs/>
                <w:kern w:val="2"/>
                <w:szCs w:val="22"/>
                <w:lang w:eastAsia="zh-CN"/>
              </w:rPr>
              <w:t>元/</w:t>
            </w:r>
            <w:r>
              <w:rPr>
                <w:rFonts w:ascii="宋体" w:eastAsia="宋体" w:hAnsi="宋体" w:cs="宋体" w:hint="eastAsia"/>
                <w:b/>
                <w:bCs/>
                <w:kern w:val="2"/>
                <w:szCs w:val="22"/>
                <w:lang w:eastAsia="zh-CN"/>
              </w:rPr>
              <w:t>平方米</w:t>
            </w:r>
            <w:r>
              <w:rPr>
                <w:rFonts w:ascii="宋体" w:eastAsia="宋体" w:hAnsi="宋体" w:cs="宋体" w:hint="eastAsia"/>
                <w:snapToGrid w:val="0"/>
                <w:szCs w:val="22"/>
                <w:lang w:eastAsia="zh-CN"/>
              </w:rPr>
              <w:t xml:space="preserve">  </w:t>
            </w:r>
          </w:p>
        </w:tc>
        <w:tc>
          <w:tcPr>
            <w:tcW w:w="2112" w:type="dxa"/>
            <w:tcBorders>
              <w:top w:val="single" w:sz="4" w:space="0" w:color="auto"/>
              <w:bottom w:val="single" w:sz="4" w:space="0" w:color="auto"/>
            </w:tcBorders>
            <w:noWrap w:val="0"/>
            <w:vAlign w:val="center"/>
          </w:tcPr>
          <w:p>
            <w:pPr>
              <w:widowControl/>
              <w:adjustRightInd w:val="0"/>
              <w:snapToGrid w:val="0"/>
              <w:jc w:val="center"/>
              <w:rPr>
                <w:rFonts w:ascii="Times New Roman Regular" w:eastAsia="仿宋" w:hAnsi="Times New Roman Regular" w:cs="Times New Roman Regular" w:hint="eastAsia"/>
                <w:bCs/>
                <w:color w:val="FF0000"/>
                <w:kern w:val="2"/>
                <w:szCs w:val="22"/>
                <w:lang w:eastAsia="zh-CN"/>
              </w:rPr>
            </w:pPr>
            <w:r>
              <w:rPr>
                <w:rFonts w:ascii="宋体" w:eastAsia="宋体" w:hAnsi="宋体" w:cs="宋体" w:hint="eastAsia"/>
                <w:b/>
                <w:bCs/>
                <w:color w:val="FF0000"/>
                <w:kern w:val="2"/>
                <w:szCs w:val="22"/>
                <w:lang w:eastAsia="zh-CN"/>
              </w:rPr>
              <w:t>不得</w:t>
            </w:r>
            <w:r>
              <w:rPr>
                <w:rFonts w:ascii="宋体" w:eastAsia="宋体" w:hAnsi="宋体" w:cs="宋体" w:hint="eastAsia"/>
                <w:b/>
                <w:bCs/>
                <w:color w:val="FF0000"/>
                <w:kern w:val="2"/>
                <w:szCs w:val="22"/>
                <w:lang w:eastAsia="zh-CN"/>
              </w:rPr>
              <w:t>低于3000元/</w:t>
            </w:r>
            <w:r>
              <w:rPr>
                <w:rFonts w:ascii="宋体" w:eastAsia="宋体" w:hAnsi="宋体" w:cs="宋体" w:hint="eastAsia"/>
                <w:b/>
                <w:bCs/>
                <w:color w:val="FF0000"/>
                <w:kern w:val="2"/>
                <w:lang w:eastAsia="zh-CN"/>
              </w:rPr>
              <w:t>平方米</w:t>
            </w:r>
            <w:r>
              <w:rPr>
                <w:rFonts w:ascii="宋体" w:eastAsia="宋体" w:hAnsi="宋体" w:cs="宋体" w:hint="eastAsia"/>
                <w:b/>
                <w:bCs/>
                <w:color w:val="FF0000"/>
                <w:kern w:val="2"/>
                <w:szCs w:val="22"/>
                <w:lang w:eastAsia="zh-CN"/>
              </w:rPr>
              <w:t>, 否则作无效投标处理。</w:t>
            </w:r>
          </w:p>
        </w:tc>
      </w:tr>
      <w:tr>
        <w:tblPrEx>
          <w:tblW w:w="5000" w:type="pct"/>
          <w:jc w:val="center"/>
          <w:tblLayout w:type="fixed"/>
          <w:tblCellMar>
            <w:top w:w="0" w:type="dxa"/>
            <w:left w:w="108" w:type="dxa"/>
            <w:bottom w:w="0" w:type="dxa"/>
            <w:right w:w="108" w:type="dxa"/>
          </w:tblCellMar>
        </w:tblPrEx>
        <w:trPr>
          <w:cantSplit/>
          <w:trHeight w:val="2831"/>
          <w:jc w:val="center"/>
        </w:trPr>
        <w:tc>
          <w:tcPr>
            <w:tcW w:w="2659" w:type="dxa"/>
            <w:vMerge/>
            <w:noWrap w:val="0"/>
            <w:vAlign w:val="center"/>
          </w:tcPr>
          <w:p>
            <w:pPr>
              <w:widowControl w:val="0"/>
              <w:jc w:val="center"/>
              <w:rPr>
                <w:rFonts w:ascii="宋体" w:eastAsia="宋体" w:hAnsi="宋体" w:cs="宋体" w:hint="eastAsia"/>
                <w:snapToGrid w:val="0"/>
                <w:szCs w:val="22"/>
                <w:u w:val="single"/>
                <w:lang w:eastAsia="zh-CN"/>
              </w:rPr>
            </w:pPr>
          </w:p>
        </w:tc>
        <w:tc>
          <w:tcPr>
            <w:tcW w:w="2488" w:type="dxa"/>
            <w:tcBorders>
              <w:top w:val="single" w:sz="4" w:space="0" w:color="auto"/>
              <w:bottom w:val="single" w:sz="4" w:space="0" w:color="auto"/>
            </w:tcBorders>
            <w:noWrap w:val="0"/>
            <w:vAlign w:val="center"/>
          </w:tcPr>
          <w:p>
            <w:pPr>
              <w:widowControl w:val="0"/>
              <w:adjustRightInd w:val="0"/>
              <w:snapToGrid w:val="0"/>
              <w:jc w:val="center"/>
              <w:rPr>
                <w:rFonts w:ascii="宋体" w:eastAsia="宋体" w:hAnsi="宋体" w:cs="宋体" w:hint="eastAsia"/>
                <w:kern w:val="2"/>
                <w:szCs w:val="22"/>
                <w:lang w:eastAsia="zh-CN"/>
              </w:rPr>
            </w:pPr>
            <w:r>
              <w:rPr>
                <w:rFonts w:ascii="宋体" w:eastAsia="宋体" w:hAnsi="宋体" w:cs="宋体" w:hint="eastAsia"/>
                <w:kern w:val="2"/>
                <w:szCs w:val="22"/>
                <w:lang w:eastAsia="zh-CN"/>
              </w:rPr>
              <w:t>二、</w:t>
            </w:r>
            <w:r>
              <w:rPr>
                <w:rFonts w:ascii="宋体" w:eastAsia="宋体" w:hAnsi="宋体" w:cs="宋体" w:hint="eastAsia"/>
                <w:snapToGrid w:val="0"/>
                <w:szCs w:val="22"/>
                <w:lang w:eastAsia="zh-CN"/>
              </w:rPr>
              <w:t>政策性养老床位数量</w:t>
            </w:r>
          </w:p>
        </w:tc>
        <w:tc>
          <w:tcPr>
            <w:tcW w:w="2029" w:type="dxa"/>
            <w:tcBorders>
              <w:top w:val="single" w:sz="4" w:space="0" w:color="auto"/>
              <w:bottom w:val="single" w:sz="4" w:space="0" w:color="auto"/>
            </w:tcBorders>
            <w:noWrap w:val="0"/>
            <w:vAlign w:val="center"/>
          </w:tcPr>
          <w:p>
            <w:pPr>
              <w:widowControl w:val="0"/>
              <w:jc w:val="center"/>
              <w:rPr>
                <w:rFonts w:ascii="宋体" w:eastAsia="宋体" w:hAnsi="宋体" w:cs="宋体"/>
                <w:snapToGrid w:val="0"/>
                <w:szCs w:val="22"/>
                <w:lang w:eastAsia="zh-CN"/>
              </w:rPr>
            </w:pPr>
            <w:r>
              <w:rPr>
                <w:rFonts w:ascii="宋体" w:eastAsia="宋体" w:hAnsi="宋体" w:cs="宋体" w:hint="eastAsia"/>
                <w:snapToGrid w:val="0"/>
                <w:szCs w:val="22"/>
                <w:u w:val="single"/>
                <w:lang w:eastAsia="zh-CN"/>
              </w:rPr>
              <w:t xml:space="preserve">         </w:t>
            </w:r>
            <w:r>
              <w:rPr>
                <w:rFonts w:ascii="宋体" w:eastAsia="宋体" w:hAnsi="宋体" w:cs="宋体" w:hint="eastAsia"/>
                <w:b/>
                <w:bCs/>
                <w:snapToGrid w:val="0"/>
                <w:szCs w:val="22"/>
                <w:lang w:eastAsia="zh-CN"/>
              </w:rPr>
              <w:t>张</w:t>
            </w:r>
          </w:p>
        </w:tc>
        <w:tc>
          <w:tcPr>
            <w:tcW w:w="2112" w:type="dxa"/>
            <w:tcBorders>
              <w:top w:val="single" w:sz="4" w:space="0" w:color="auto"/>
              <w:bottom w:val="single" w:sz="4" w:space="0" w:color="auto"/>
            </w:tcBorders>
            <w:noWrap w:val="0"/>
            <w:vAlign w:val="center"/>
          </w:tcPr>
          <w:p>
            <w:pPr>
              <w:widowControl/>
              <w:adjustRightInd w:val="0"/>
              <w:snapToGrid w:val="0"/>
              <w:jc w:val="center"/>
              <w:rPr>
                <w:rFonts w:ascii="宋体" w:eastAsia="宋体" w:hAnsi="宋体" w:cs="宋体" w:hint="eastAsia"/>
                <w:b/>
                <w:bCs/>
                <w:color w:val="FF0000"/>
                <w:kern w:val="2"/>
                <w:szCs w:val="22"/>
                <w:lang w:eastAsia="zh-CN"/>
              </w:rPr>
            </w:pPr>
            <w:r>
              <w:rPr>
                <w:rFonts w:ascii="宋体" w:eastAsia="宋体" w:hAnsi="宋体" w:cs="宋体" w:hint="eastAsia"/>
                <w:b/>
                <w:bCs/>
                <w:color w:val="FF0000"/>
                <w:kern w:val="2"/>
                <w:szCs w:val="22"/>
                <w:lang w:eastAsia="zh-CN"/>
              </w:rPr>
              <w:t>政策性</w:t>
            </w:r>
            <w:r>
              <w:rPr>
                <w:rFonts w:ascii="宋体" w:eastAsia="宋体" w:hAnsi="宋体" w:cs="宋体" w:hint="eastAsia"/>
                <w:b/>
                <w:bCs/>
                <w:color w:val="FF0000"/>
                <w:kern w:val="2"/>
                <w:lang w:eastAsia="zh-CN"/>
              </w:rPr>
              <w:t>养老</w:t>
            </w:r>
            <w:r>
              <w:rPr>
                <w:rFonts w:ascii="宋体" w:eastAsia="宋体" w:hAnsi="宋体" w:cs="宋体" w:hint="eastAsia"/>
                <w:b/>
                <w:bCs/>
                <w:color w:val="FF0000"/>
                <w:kern w:val="2"/>
                <w:szCs w:val="22"/>
                <w:lang w:eastAsia="zh-CN"/>
              </w:rPr>
              <w:t>床位数量不得低于</w:t>
            </w:r>
            <w:r>
              <w:rPr>
                <w:rFonts w:ascii="宋体" w:eastAsia="宋体" w:hAnsi="宋体" w:cs="宋体" w:hint="eastAsia"/>
                <w:b/>
                <w:bCs/>
                <w:color w:val="FF0000"/>
                <w:kern w:val="2"/>
                <w:szCs w:val="22"/>
                <w:lang w:eastAsia="zh-CN"/>
              </w:rPr>
              <w:t>10</w:t>
            </w:r>
            <w:r>
              <w:rPr>
                <w:rFonts w:ascii="宋体" w:eastAsia="宋体" w:hAnsi="宋体" w:cs="宋体" w:hint="eastAsia"/>
                <w:b/>
                <w:bCs/>
                <w:color w:val="FF0000"/>
                <w:kern w:val="2"/>
                <w:szCs w:val="22"/>
                <w:lang w:eastAsia="zh-CN"/>
              </w:rPr>
              <w:t>张</w:t>
            </w:r>
            <w:r>
              <w:rPr>
                <w:rFonts w:ascii="宋体" w:eastAsia="宋体" w:hAnsi="宋体" w:cs="宋体" w:hint="eastAsia"/>
                <w:b/>
                <w:bCs/>
                <w:color w:val="FF0000"/>
                <w:kern w:val="2"/>
                <w:szCs w:val="22"/>
                <w:lang w:eastAsia="zh-CN"/>
              </w:rPr>
              <w:t>，</w:t>
            </w:r>
            <w:r>
              <w:rPr>
                <w:rFonts w:ascii="宋体" w:eastAsia="宋体" w:hAnsi="宋体" w:cs="宋体" w:hint="eastAsia"/>
                <w:b/>
                <w:bCs/>
                <w:color w:val="FF0000"/>
                <w:kern w:val="2"/>
                <w:szCs w:val="22"/>
                <w:lang w:eastAsia="zh-CN"/>
              </w:rPr>
              <w:t>否则作无效投标处理。</w:t>
            </w:r>
          </w:p>
        </w:tc>
      </w:tr>
    </w:tbl>
    <w:p>
      <w:pPr>
        <w:pageBreakBefore w:val="0"/>
        <w:widowControl w:val="0"/>
        <w:kinsoku/>
        <w:overflowPunct/>
        <w:topLinePunct w:val="0"/>
        <w:bidi w:val="0"/>
        <w:spacing w:line="240" w:lineRule="auto"/>
        <w:jc w:val="both"/>
        <w:rPr>
          <w:rFonts w:ascii="宋体" w:eastAsia="宋体" w:hAnsi="宋体" w:cs="宋体" w:hint="eastAsia"/>
          <w:snapToGrid w:val="0"/>
          <w:lang w:eastAsia="zh-CN"/>
        </w:rPr>
      </w:pPr>
      <w:r>
        <w:rPr>
          <w:rFonts w:ascii="宋体" w:eastAsia="宋体" w:hAnsi="宋体" w:cs="宋体" w:hint="eastAsia"/>
          <w:b/>
          <w:snapToGrid w:val="0"/>
          <w:lang w:eastAsia="zh-CN"/>
        </w:rPr>
        <w:t xml:space="preserve">注：  </w:t>
      </w:r>
      <w:r>
        <w:rPr>
          <w:rFonts w:ascii="宋体" w:eastAsia="宋体" w:hAnsi="宋体" w:cs="宋体" w:hint="eastAsia"/>
          <w:snapToGrid w:val="0"/>
          <w:lang w:eastAsia="zh-CN"/>
        </w:rPr>
        <w:t>（1）价格应按“招标文件”中规定的货币单位填写。</w:t>
      </w:r>
    </w:p>
    <w:p>
      <w:pPr>
        <w:pageBreakBefore w:val="0"/>
        <w:widowControl w:val="0"/>
        <w:tabs>
          <w:tab w:val="left" w:pos="315"/>
          <w:tab w:val="left" w:pos="420"/>
          <w:tab w:val="left" w:pos="540"/>
          <w:tab w:val="left" w:pos="1440"/>
          <w:tab w:val="left" w:pos="1620"/>
        </w:tabs>
        <w:kinsoku/>
        <w:overflowPunct/>
        <w:topLinePunct w:val="0"/>
        <w:bidi w:val="0"/>
        <w:spacing w:line="240" w:lineRule="auto"/>
        <w:ind w:firstLine="701" w:firstLineChars="292"/>
        <w:jc w:val="both"/>
        <w:rPr>
          <w:rFonts w:ascii="宋体" w:eastAsia="宋体" w:hAnsi="宋体" w:cs="宋体" w:hint="eastAsia"/>
          <w:b/>
          <w:lang w:eastAsia="zh-CN"/>
        </w:rPr>
      </w:pPr>
      <w:r>
        <w:rPr>
          <w:rFonts w:ascii="宋体" w:eastAsia="宋体" w:hAnsi="宋体" w:cs="宋体" w:hint="eastAsia"/>
          <w:snapToGrid w:val="0"/>
          <w:lang w:eastAsia="zh-CN"/>
        </w:rPr>
        <w:t>（2）</w:t>
      </w:r>
      <w:r>
        <w:rPr>
          <w:rFonts w:ascii="宋体" w:eastAsia="宋体" w:hAnsi="宋体" w:cs="宋体" w:hint="eastAsia"/>
          <w:b/>
          <w:bCs/>
          <w:snapToGrid w:val="0"/>
          <w:lang w:eastAsia="zh-CN"/>
        </w:rPr>
        <w:t>投标人在生成投标文件时，开标一览表的填写不做要求，评审委员会不得以开标一览表的填写问题为由判定投标人投标无效。</w:t>
      </w:r>
    </w:p>
    <w:p>
      <w:pPr>
        <w:widowControl w:val="0"/>
        <w:tabs>
          <w:tab w:val="left" w:pos="720"/>
        </w:tabs>
        <w:jc w:val="center"/>
        <w:rPr>
          <w:rFonts w:ascii="Calibri" w:eastAsia="宋体" w:hAnsi="Calibri" w:hint="eastAsia"/>
          <w:b/>
          <w:kern w:val="2"/>
          <w:szCs w:val="22"/>
          <w:lang w:eastAsia="zh-CN"/>
        </w:rPr>
      </w:pPr>
    </w:p>
    <w:p>
      <w:pPr>
        <w:widowControl w:val="0"/>
        <w:tabs>
          <w:tab w:val="left" w:pos="720"/>
        </w:tabs>
        <w:jc w:val="center"/>
        <w:rPr>
          <w:rFonts w:ascii="Calibri" w:eastAsia="宋体" w:hAnsi="Calibri" w:hint="eastAsia"/>
          <w:b/>
          <w:kern w:val="2"/>
          <w:szCs w:val="22"/>
          <w:lang w:eastAsia="zh-CN"/>
        </w:rPr>
      </w:pPr>
    </w:p>
    <w:p>
      <w:pPr>
        <w:keepNext w:val="0"/>
        <w:keepLines w:val="0"/>
        <w:pageBreakBefore w:val="0"/>
        <w:widowControl w:val="0"/>
        <w:kinsoku/>
        <w:wordWrap/>
        <w:overflowPunct/>
        <w:topLinePunct w:val="0"/>
        <w:autoSpaceDE/>
        <w:autoSpaceDN/>
        <w:bidi w:val="0"/>
        <w:adjustRightInd/>
        <w:snapToGrid/>
        <w:spacing w:line="440" w:lineRule="atLeast"/>
        <w:jc w:val="both"/>
        <w:textAlignment w:val="auto"/>
        <w:rPr>
          <w:rFonts w:ascii="宋体" w:eastAsia="宋体" w:hAnsi="宋体" w:cs="宋体" w:hint="eastAsia"/>
          <w:b/>
          <w:kern w:val="2"/>
          <w:sz w:val="21"/>
          <w:szCs w:val="21"/>
          <w:lang w:eastAsia="zh-CN"/>
        </w:rPr>
      </w:pPr>
    </w:p>
    <w:p>
      <w:pPr>
        <w:widowControl/>
        <w:jc w:val="left"/>
        <w:rPr>
          <w:rFonts w:ascii="宋体" w:eastAsia="宋体" w:hAnsi="宋体" w:cs="宋体" w:hint="eastAsia"/>
          <w:kern w:val="2"/>
          <w:u w:val="single"/>
          <w:lang w:eastAsia="zh-CN"/>
        </w:rPr>
      </w:pPr>
      <w:r>
        <w:rPr>
          <w:rFonts w:ascii="宋体" w:eastAsia="宋体" w:hAnsi="宋体"/>
          <w:kern w:val="2"/>
          <w:lang w:eastAsia="zh-CN"/>
        </w:rPr>
        <w:br w:type="page"/>
      </w:r>
    </w:p>
    <w:p>
      <w:pPr>
        <w:keepNext/>
        <w:keepLines/>
        <w:pageBreakBefore w:val="0"/>
        <w:widowControl w:val="0"/>
        <w:kinsoku/>
        <w:overflowPunct/>
        <w:topLinePunct w:val="0"/>
        <w:bidi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5.体系认证</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按照招标文件要求提供证明文件。</w:t>
      </w:r>
    </w:p>
    <w:p>
      <w:pPr>
        <w:keepNext/>
        <w:keepLines/>
        <w:pageBreakBefore w:val="0"/>
        <w:widowControl w:val="0"/>
        <w:kinsoku/>
        <w:overflowPunct/>
        <w:topLinePunct w:val="0"/>
        <w:bidi w:val="0"/>
        <w:spacing w:before="280" w:after="290" w:line="240" w:lineRule="auto"/>
        <w:jc w:val="both"/>
        <w:outlineLvl w:val="9"/>
        <w:rPr>
          <w:rFonts w:ascii="宋体" w:eastAsia="宋体" w:hAnsi="宋体" w:cs="宋体" w:hint="eastAsia"/>
          <w:bCs/>
          <w:kern w:val="2"/>
          <w:lang w:eastAsia="zh-CN"/>
        </w:rPr>
      </w:pPr>
    </w:p>
    <w:p>
      <w:pPr>
        <w:keepNext/>
        <w:keepLines/>
        <w:pageBreakBefore w:val="0"/>
        <w:widowControl w:val="0"/>
        <w:kinsoku/>
        <w:overflowPunct/>
        <w:topLinePunct w:val="0"/>
        <w:bidi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6.实际运营养老机构</w:t>
      </w:r>
      <w:r>
        <w:rPr>
          <w:rFonts w:ascii="宋体" w:eastAsia="宋体" w:hAnsi="宋体" w:cs="宋体" w:hint="eastAsia"/>
          <w:b/>
          <w:kern w:val="2"/>
          <w:lang w:eastAsia="zh-CN"/>
        </w:rPr>
        <w:t>及</w:t>
      </w:r>
      <w:r>
        <w:rPr>
          <w:rFonts w:ascii="宋体" w:eastAsia="宋体" w:hAnsi="宋体" w:cs="宋体" w:hint="eastAsia"/>
          <w:b/>
          <w:kern w:val="2"/>
          <w:lang w:eastAsia="zh-CN"/>
        </w:rPr>
        <w:t>床位</w:t>
      </w:r>
      <w:r>
        <w:rPr>
          <w:rFonts w:ascii="宋体" w:eastAsia="宋体" w:hAnsi="宋体" w:cs="宋体" w:hint="eastAsia"/>
          <w:b/>
          <w:kern w:val="2"/>
          <w:lang w:eastAsia="zh-CN"/>
        </w:rPr>
        <w:t>数量</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按照招标文件要求提供证明文件。</w:t>
      </w:r>
    </w:p>
    <w:p>
      <w:pPr>
        <w:keepNext/>
        <w:keepLines/>
        <w:pageBreakBefore w:val="0"/>
        <w:widowControl w:val="0"/>
        <w:kinsoku/>
        <w:overflowPunct/>
        <w:topLinePunct w:val="0"/>
        <w:bidi w:val="0"/>
        <w:spacing w:before="280" w:after="290" w:line="240" w:lineRule="auto"/>
        <w:jc w:val="center"/>
        <w:outlineLvl w:val="9"/>
        <w:rPr>
          <w:rFonts w:ascii="宋体" w:eastAsia="宋体" w:hAnsi="宋体" w:cs="宋体" w:hint="eastAsia"/>
          <w:bCs/>
          <w:kern w:val="2"/>
          <w:lang w:eastAsia="zh-CN"/>
        </w:rPr>
      </w:pPr>
    </w:p>
    <w:p>
      <w:pPr>
        <w:keepNext/>
        <w:keepLines/>
        <w:pageBreakBefore w:val="0"/>
        <w:widowControl w:val="0"/>
        <w:kinsoku/>
        <w:overflowPunct/>
        <w:topLinePunct w:val="0"/>
        <w:bidi w:val="0"/>
        <w:spacing w:before="280" w:after="290" w:line="240" w:lineRule="auto"/>
        <w:jc w:val="center"/>
        <w:outlineLvl w:val="4"/>
        <w:rPr>
          <w:rFonts w:ascii="宋体" w:eastAsia="宋体" w:hAnsi="宋体" w:cs="宋体"/>
          <w:b/>
          <w:kern w:val="2"/>
          <w:lang w:eastAsia="zh-CN"/>
        </w:rPr>
      </w:pPr>
      <w:r>
        <w:rPr>
          <w:rFonts w:ascii="宋体" w:eastAsia="宋体" w:hAnsi="宋体" w:cs="宋体" w:hint="eastAsia"/>
          <w:b/>
          <w:kern w:val="2"/>
          <w:lang w:eastAsia="zh-CN"/>
        </w:rPr>
        <w:t>7.</w:t>
      </w:r>
      <w:r>
        <w:rPr>
          <w:rFonts w:ascii="宋体" w:eastAsia="宋体" w:hAnsi="宋体" w:cs="宋体" w:hint="eastAsia"/>
          <w:b/>
          <w:kern w:val="2"/>
          <w:lang w:eastAsia="zh-CN"/>
        </w:rPr>
        <w:t>实际运营残疾人综合（职业）康复服务中心数量</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按照招标文件要求提供证明文件。</w:t>
      </w:r>
    </w:p>
    <w:p>
      <w:pPr>
        <w:keepNext/>
        <w:keepLines/>
        <w:pageBreakBefore w:val="0"/>
        <w:widowControl w:val="0"/>
        <w:kinsoku/>
        <w:overflowPunct/>
        <w:topLinePunct w:val="0"/>
        <w:bidi w:val="0"/>
        <w:spacing w:before="280" w:after="290" w:line="240" w:lineRule="auto"/>
        <w:jc w:val="center"/>
        <w:outlineLvl w:val="9"/>
        <w:rPr>
          <w:rFonts w:ascii="宋体" w:eastAsia="宋体" w:hAnsi="宋体" w:cs="宋体" w:hint="eastAsia"/>
          <w:lang w:eastAsia="zh-CN"/>
        </w:rPr>
      </w:pPr>
    </w:p>
    <w:p>
      <w:pPr>
        <w:keepNext/>
        <w:keepLines/>
        <w:pageBreakBefore w:val="0"/>
        <w:widowControl w:val="0"/>
        <w:kinsoku/>
        <w:overflowPunct/>
        <w:topLinePunct w:val="0"/>
        <w:bidi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8.</w:t>
      </w:r>
      <w:r>
        <w:rPr>
          <w:rFonts w:ascii="宋体" w:eastAsia="宋体" w:hAnsi="宋体" w:cs="宋体" w:hint="eastAsia"/>
          <w:b/>
          <w:kern w:val="2"/>
          <w:lang w:eastAsia="zh-CN"/>
        </w:rPr>
        <w:t>实际运营托育机构及托位数量</w:t>
      </w:r>
    </w:p>
    <w:p>
      <w:pPr>
        <w:keepNext w:val="0"/>
        <w:keepLines w:val="0"/>
        <w:pageBreakBefore w:val="0"/>
        <w:widowControl w:val="0"/>
        <w:kinsoku/>
        <w:overflowPunct/>
        <w:topLinePunct w:val="0"/>
        <w:bidi w:val="0"/>
        <w:spacing w:before="0" w:after="0" w:line="240" w:lineRule="auto"/>
        <w:jc w:val="both"/>
        <w:outlineLvl w:val="9"/>
        <w:rPr>
          <w:rFonts w:ascii="宋体" w:eastAsia="宋体" w:hAnsi="宋体" w:cs="宋体" w:hint="eastAsia"/>
          <w:b/>
          <w:kern w:val="2"/>
          <w:lang w:eastAsia="zh-CN"/>
        </w:rPr>
      </w:pPr>
      <w:r>
        <w:rPr>
          <w:rFonts w:ascii="宋体" w:eastAsia="宋体" w:hAnsi="宋体" w:cs="宋体" w:hint="eastAsia"/>
          <w:kern w:val="2"/>
          <w:lang w:eastAsia="zh-CN"/>
        </w:rPr>
        <w:t>按照招标文件要求提供证明文件。</w:t>
      </w:r>
    </w:p>
    <w:p>
      <w:pPr>
        <w:keepNext/>
        <w:keepLines/>
        <w:pageBreakBefore w:val="0"/>
        <w:widowControl w:val="0"/>
        <w:kinsoku/>
        <w:overflowPunct/>
        <w:topLinePunct w:val="0"/>
        <w:bidi w:val="0"/>
        <w:spacing w:before="280" w:after="290" w:line="240" w:lineRule="auto"/>
        <w:jc w:val="center"/>
        <w:outlineLvl w:val="9"/>
        <w:rPr>
          <w:rFonts w:ascii="宋体" w:eastAsia="宋体" w:hAnsi="宋体" w:cs="宋体" w:hint="eastAsia"/>
          <w:b/>
          <w:kern w:val="2"/>
          <w:lang w:eastAsia="zh-CN"/>
        </w:rPr>
      </w:pPr>
    </w:p>
    <w:p>
      <w:pPr>
        <w:keepNext/>
        <w:keepLines/>
        <w:pageBreakBefore w:val="0"/>
        <w:widowControl w:val="0"/>
        <w:kinsoku/>
        <w:overflowPunct/>
        <w:topLinePunct w:val="0"/>
        <w:bidi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9.实际运营长者助餐服务项目情况</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按照招标文件要求提供证明文件。</w:t>
      </w:r>
    </w:p>
    <w:p>
      <w:pPr>
        <w:keepNext/>
        <w:keepLines/>
        <w:pageBreakBefore w:val="0"/>
        <w:widowControl w:val="0"/>
        <w:kinsoku/>
        <w:overflowPunct/>
        <w:topLinePunct w:val="0"/>
        <w:bidi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10.获得荣誉情况</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按照招标文件要求提供证明文件。</w:t>
      </w:r>
    </w:p>
    <w:p>
      <w:pPr>
        <w:keepNext/>
        <w:keepLines/>
        <w:pageBreakBefore w:val="0"/>
        <w:widowControl w:val="0"/>
        <w:kinsoku/>
        <w:overflowPunct/>
        <w:topLinePunct w:val="0"/>
        <w:bidi w:val="0"/>
        <w:spacing w:before="280" w:after="290" w:line="240" w:lineRule="auto"/>
        <w:jc w:val="center"/>
        <w:outlineLvl w:val="9"/>
        <w:rPr>
          <w:rFonts w:ascii="宋体" w:eastAsia="宋体" w:hAnsi="宋体" w:cs="宋体" w:hint="eastAsia"/>
          <w:bCs/>
          <w:kern w:val="2"/>
          <w:lang w:eastAsia="zh-CN"/>
        </w:rPr>
      </w:pPr>
    </w:p>
    <w:p>
      <w:pPr>
        <w:keepNext/>
        <w:keepLines/>
        <w:pageBreakBefore w:val="0"/>
        <w:widowControl w:val="0"/>
        <w:kinsoku/>
        <w:overflowPunct/>
        <w:topLinePunct w:val="0"/>
        <w:bidi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11.智慧运营服务能力</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按照招标文件要求提供证明文件。</w:t>
      </w:r>
    </w:p>
    <w:p>
      <w:pPr>
        <w:keepNext/>
        <w:keepLines/>
        <w:pageBreakBefore w:val="0"/>
        <w:widowControl w:val="0"/>
        <w:kinsoku/>
        <w:overflowPunct/>
        <w:topLinePunct w:val="0"/>
        <w:bidi w:val="0"/>
        <w:spacing w:before="280" w:after="290" w:line="240" w:lineRule="auto"/>
        <w:jc w:val="center"/>
        <w:outlineLvl w:val="9"/>
        <w:rPr>
          <w:rFonts w:ascii="宋体" w:eastAsia="宋体" w:hAnsi="宋体" w:cs="宋体" w:hint="eastAsia"/>
          <w:bCs/>
          <w:lang w:eastAsia="zh-CN"/>
        </w:rPr>
      </w:pPr>
    </w:p>
    <w:p>
      <w:pPr>
        <w:widowControl w:val="0"/>
        <w:spacing w:after="78" w:afterLines="25" w:line="300" w:lineRule="auto"/>
        <w:jc w:val="both"/>
        <w:rPr>
          <w:rFonts w:ascii="宋体" w:eastAsia="宋体" w:hAnsi="宋体" w:cs="宋体" w:hint="eastAsia"/>
          <w:kern w:val="2"/>
          <w:lang w:eastAsia="zh-CN"/>
        </w:rPr>
      </w:pPr>
    </w:p>
    <w:p>
      <w:pPr>
        <w:widowControl w:val="0"/>
        <w:ind w:firstLine="1680" w:firstLineChars="700"/>
        <w:jc w:val="both"/>
        <w:rPr>
          <w:rFonts w:ascii="宋体" w:eastAsia="宋体" w:hAnsi="宋体" w:cs="宋体" w:hint="eastAsia"/>
          <w:b/>
          <w:kern w:val="2"/>
          <w:szCs w:val="22"/>
          <w:highlight w:val="yellow"/>
          <w:lang w:eastAsia="zh-CN"/>
        </w:rPr>
      </w:pPr>
      <w:r>
        <w:rPr>
          <w:rFonts w:ascii="宋体" w:eastAsia="宋体" w:hAnsi="宋体" w:cs="宋体" w:hint="eastAsia"/>
          <w:b/>
          <w:kern w:val="2"/>
          <w:szCs w:val="22"/>
          <w:highlight w:val="yellow"/>
          <w:lang w:eastAsia="zh-CN"/>
        </w:rPr>
        <w:t>（信息公开部分的内容到此为止！以下为信息不公开部分。）</w:t>
      </w:r>
    </w:p>
    <w:p>
      <w:pPr>
        <w:widowControl/>
        <w:jc w:val="left"/>
        <w:rPr>
          <w:rFonts w:ascii="Arial" w:eastAsia="宋体" w:hAnsi="Arial"/>
          <w:kern w:val="2"/>
          <w:sz w:val="21"/>
          <w:lang w:eastAsia="zh-CN"/>
        </w:rPr>
      </w:pPr>
      <w:r>
        <w:rPr>
          <w:rFonts w:ascii="Arial" w:eastAsia="宋体" w:hAnsi="Arial"/>
          <w:kern w:val="2"/>
          <w:sz w:val="21"/>
          <w:lang w:eastAsia="zh-CN"/>
        </w:rPr>
        <w:br w:type="page"/>
      </w:r>
    </w:p>
    <w:p>
      <w:pPr>
        <w:widowControl w:val="0"/>
        <w:spacing w:after="78" w:afterLines="25" w:line="300" w:lineRule="auto"/>
        <w:jc w:val="center"/>
        <w:outlineLvl w:val="3"/>
        <w:rPr>
          <w:rFonts w:ascii="Arial" w:eastAsia="宋体" w:hAnsi="Arial"/>
          <w:b/>
          <w:kern w:val="2"/>
          <w:sz w:val="32"/>
          <w:szCs w:val="32"/>
          <w:lang w:eastAsia="zh-CN"/>
        </w:rPr>
      </w:pPr>
      <w:r>
        <w:rPr>
          <w:rFonts w:ascii="Arial" w:eastAsia="宋体" w:hAnsi="Arial" w:hint="eastAsia"/>
          <w:b/>
          <w:kern w:val="2"/>
          <w:sz w:val="32"/>
          <w:szCs w:val="32"/>
          <w:lang w:eastAsia="zh-CN"/>
        </w:rPr>
        <w:t>二、投标文件附件（信息不公开部分）</w:t>
      </w:r>
    </w:p>
    <w:p>
      <w:pPr>
        <w:keepNext/>
        <w:keepLines/>
        <w:widowControl w:val="0"/>
        <w:adjustRightInd w:val="0"/>
        <w:snapToGrid w:val="0"/>
        <w:spacing w:line="360" w:lineRule="auto"/>
        <w:jc w:val="center"/>
        <w:textAlignment w:val="baseline"/>
        <w:outlineLvl w:val="9"/>
        <w:rPr>
          <w:rFonts w:ascii="宋体" w:eastAsia="宋体" w:hAnsi="宋体" w:hint="eastAsia"/>
          <w:b/>
          <w:bCs/>
          <w:szCs w:val="20"/>
          <w:lang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lang w:eastAsia="zh-CN"/>
        </w:rPr>
      </w:pPr>
      <w:r>
        <w:rPr>
          <w:rFonts w:ascii="宋体" w:eastAsia="宋体" w:hAnsi="宋体" w:cs="宋体" w:hint="eastAsia"/>
          <w:b/>
          <w:bCs/>
          <w:lang w:eastAsia="zh-CN"/>
        </w:rPr>
        <w:t>1.法定代表人（负责人）证明书</w:t>
      </w:r>
    </w:p>
    <w:p>
      <w:pPr>
        <w:widowControl w:val="0"/>
        <w:spacing w:line="300" w:lineRule="auto"/>
        <w:ind w:left="140"/>
        <w:jc w:val="center"/>
        <w:rPr>
          <w:rFonts w:ascii="宋体" w:eastAsia="宋体" w:hAnsi="宋体" w:cs="宋体" w:hint="eastAsia"/>
          <w:b/>
          <w:kern w:val="2"/>
          <w:lang w:eastAsia="zh-CN"/>
        </w:rPr>
      </w:pP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（姓名），现任我单位</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职务，为法定代表人（负责人），身份证件号为：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特此证明。</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说明：1、法定代表人为投标人（企业事业单位、国家机关、社会团体）的主要行政负责人。</w:t>
      </w:r>
    </w:p>
    <w:p>
      <w:pPr>
        <w:widowControl w:val="0"/>
        <w:numPr>
          <w:ilvl w:val="0"/>
          <w:numId w:val="4"/>
        </w:numPr>
        <w:spacing w:line="360" w:lineRule="auto"/>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Hans"/>
        </w:rPr>
        <w:t>本证明书要</w:t>
      </w:r>
      <w:r>
        <w:rPr>
          <w:rFonts w:ascii="宋体" w:eastAsia="宋体" w:hAnsi="宋体" w:cs="宋体" w:hint="eastAsia"/>
          <w:b/>
          <w:bCs/>
          <w:kern w:val="2"/>
          <w:lang w:eastAsia="zh-CN"/>
        </w:rPr>
        <w:t>提</w:t>
      </w:r>
      <w:r>
        <w:rPr>
          <w:rFonts w:ascii="宋体" w:eastAsia="宋体" w:hAnsi="宋体" w:cs="宋体" w:hint="eastAsia"/>
          <w:b/>
          <w:bCs/>
          <w:kern w:val="2"/>
          <w:lang w:eastAsia="zh-Hans"/>
        </w:rPr>
        <w:t>供法定代表人（负责人）</w:t>
      </w:r>
      <w:r>
        <w:rPr>
          <w:rFonts w:ascii="宋体" w:eastAsia="宋体" w:hAnsi="宋体" w:cs="宋体" w:hint="eastAsia"/>
          <w:b/>
          <w:bCs/>
          <w:kern w:val="2"/>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Hans"/>
        </w:rPr>
        <w:t>本项目投标授权代表为法定代表人（负责人）的，无需提供</w:t>
      </w:r>
      <w:r>
        <w:rPr>
          <w:rFonts w:ascii="宋体" w:eastAsia="宋体" w:hAnsi="宋体" w:cs="宋体" w:hint="eastAsia"/>
          <w:kern w:val="2"/>
          <w:lang w:eastAsia="zh-CN"/>
        </w:rPr>
        <w:t>《投标文件签署授权委托书》</w:t>
      </w:r>
      <w:r>
        <w:rPr>
          <w:rFonts w:ascii="宋体" w:eastAsia="宋体" w:hAnsi="宋体" w:cs="宋体" w:hint="eastAsia"/>
          <w:kern w:val="2"/>
          <w:lang w:eastAsia="zh-Hans"/>
        </w:rPr>
        <w:t>。</w:t>
      </w:r>
    </w:p>
    <w:p>
      <w:pPr>
        <w:widowControl w:val="0"/>
        <w:numPr>
          <w:ilvl w:val="0"/>
          <w:numId w:val="4"/>
        </w:numPr>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30"/>
        <w:gridCol w:w="453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noWrap w:val="0"/>
            <w:vAlign w:val="top"/>
          </w:tcPr>
          <w:p>
            <w:pPr>
              <w:jc w:val="center"/>
              <w:rPr>
                <w:rFonts w:ascii="宋体" w:hAnsi="宋体" w:cs="宋体" w:hint="eastAsia"/>
                <w:kern w:val="2"/>
                <w:lang w:eastAsia="zh-CN"/>
              </w:rPr>
            </w:pPr>
            <w:r>
              <w:rPr>
                <w:rFonts w:ascii="宋体" w:hAnsi="宋体" w:cs="宋体" w:hint="eastAsia"/>
                <w:kern w:val="2"/>
                <w:lang w:eastAsia="zh-CN"/>
              </w:rPr>
              <w:t>证件扫描件正面</w:t>
            </w:r>
          </w:p>
          <w:p>
            <w:pPr>
              <w:spacing w:line="360" w:lineRule="auto"/>
              <w:jc w:val="center"/>
              <w:rPr>
                <w:rFonts w:ascii="宋体" w:hAnsi="宋体" w:cs="宋体" w:hint="eastAsia"/>
                <w:b/>
                <w:bCs/>
                <w:kern w:val="2"/>
                <w:lang w:eastAsia="zh-CN"/>
              </w:rPr>
            </w:pPr>
            <w:r>
              <w:rPr>
                <w:rFonts w:ascii="宋体" w:hAnsi="宋体" w:cs="宋体" w:hint="eastAsia"/>
                <w:b/>
                <w:bCs/>
                <w:kern w:val="2"/>
                <w:lang w:eastAsia="zh-CN"/>
              </w:rPr>
              <w:t xml:space="preserve"> </w:t>
            </w:r>
          </w:p>
          <w:p>
            <w:pPr>
              <w:spacing w:line="360" w:lineRule="auto"/>
              <w:rPr>
                <w:rFonts w:ascii="宋体" w:hAnsi="宋体" w:cs="宋体" w:hint="eastAsia"/>
                <w:kern w:val="2"/>
                <w:lang w:eastAsia="zh-CN"/>
              </w:rPr>
            </w:pPr>
          </w:p>
          <w:p>
            <w:pPr>
              <w:spacing w:line="360" w:lineRule="auto"/>
              <w:rPr>
                <w:rFonts w:ascii="宋体" w:hAnsi="宋体" w:cs="宋体" w:hint="eastAsia"/>
                <w:kern w:val="2"/>
                <w:lang w:eastAsia="zh-CN"/>
              </w:rPr>
            </w:pPr>
          </w:p>
          <w:p>
            <w:pPr>
              <w:spacing w:line="360" w:lineRule="auto"/>
              <w:rPr>
                <w:rFonts w:ascii="宋体" w:hAnsi="宋体" w:cs="宋体" w:hint="eastAsia"/>
                <w:kern w:val="2"/>
                <w:lang w:eastAsia="zh-CN"/>
              </w:rPr>
            </w:pPr>
          </w:p>
          <w:p>
            <w:pPr>
              <w:spacing w:line="360" w:lineRule="auto"/>
              <w:rPr>
                <w:rFonts w:ascii="宋体" w:hAnsi="宋体" w:cs="宋体" w:hint="eastAsia"/>
                <w:kern w:val="2"/>
                <w:lang w:eastAsia="zh-CN"/>
              </w:rPr>
            </w:pPr>
          </w:p>
          <w:p>
            <w:pPr>
              <w:spacing w:line="360" w:lineRule="auto"/>
              <w:jc w:val="center"/>
              <w:rPr>
                <w:rFonts w:ascii="宋体" w:hAnsi="宋体" w:cs="宋体" w:hint="eastAsia"/>
                <w:kern w:val="2"/>
                <w:lang w:eastAsia="zh-CN"/>
              </w:rPr>
            </w:pPr>
          </w:p>
        </w:tc>
        <w:tc>
          <w:tcPr>
            <w:tcW w:w="4265" w:type="dxa"/>
            <w:noWrap w:val="0"/>
            <w:vAlign w:val="top"/>
          </w:tcPr>
          <w:p>
            <w:pPr>
              <w:jc w:val="center"/>
              <w:rPr>
                <w:rFonts w:ascii="宋体" w:hAnsi="宋体" w:cs="宋体" w:hint="eastAsia"/>
                <w:kern w:val="2"/>
                <w:lang w:eastAsia="zh-CN"/>
              </w:rPr>
            </w:pPr>
            <w:r>
              <w:rPr>
                <w:rFonts w:ascii="宋体" w:hAnsi="宋体" w:cs="宋体" w:hint="eastAsia"/>
                <w:kern w:val="2"/>
                <w:lang w:eastAsia="zh-CN"/>
              </w:rPr>
              <w:t>证件扫描件反面</w:t>
            </w:r>
          </w:p>
          <w:p>
            <w:pPr>
              <w:spacing w:line="360" w:lineRule="auto"/>
              <w:jc w:val="center"/>
              <w:rPr>
                <w:rFonts w:ascii="宋体" w:hAnsi="宋体" w:cs="宋体" w:hint="eastAsia"/>
                <w:b/>
                <w:bCs/>
                <w:kern w:val="2"/>
                <w:lang w:eastAsia="zh-CN"/>
              </w:rPr>
            </w:pPr>
          </w:p>
          <w:p>
            <w:pPr>
              <w:spacing w:line="360" w:lineRule="auto"/>
              <w:jc w:val="center"/>
              <w:rPr>
                <w:rFonts w:ascii="宋体" w:hAnsi="宋体" w:cs="宋体" w:hint="eastAsia"/>
                <w:kern w:val="2"/>
                <w:lang w:eastAsia="zh-CN"/>
              </w:rPr>
            </w:pPr>
          </w:p>
        </w:tc>
      </w:tr>
    </w:tbl>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Arial" w:eastAsia="宋体" w:hAnsi="Arial"/>
          <w:kern w:val="2"/>
          <w:sz w:val="21"/>
          <w:lang w:eastAsia="zh-CN"/>
        </w:rPr>
      </w:pPr>
    </w:p>
    <w:p>
      <w:pPr>
        <w:keepNext/>
        <w:keepLines/>
        <w:pageBreakBefore/>
        <w:widowControl w:val="0"/>
        <w:adjustRightInd w:val="0"/>
        <w:snapToGrid w:val="0"/>
        <w:spacing w:line="360" w:lineRule="auto"/>
        <w:jc w:val="center"/>
        <w:textAlignment w:val="baseline"/>
        <w:outlineLvl w:val="4"/>
        <w:rPr>
          <w:rFonts w:ascii="宋体" w:eastAsia="宋体" w:hAnsi="宋体"/>
          <w:b/>
          <w:bCs/>
          <w:szCs w:val="20"/>
          <w:lang w:eastAsia="zh-CN"/>
        </w:rPr>
      </w:pPr>
      <w:r>
        <w:rPr>
          <w:rFonts w:ascii="宋体" w:eastAsia="宋体" w:hAnsi="宋体" w:hint="eastAsia"/>
          <w:b/>
          <w:bCs/>
          <w:szCs w:val="20"/>
          <w:lang w:eastAsia="zh-CN"/>
        </w:rPr>
        <w:t>2.投标文件签署授权委托书</w:t>
      </w:r>
    </w:p>
    <w:p>
      <w:pPr>
        <w:widowControl w:val="0"/>
        <w:spacing w:line="300" w:lineRule="auto"/>
        <w:jc w:val="center"/>
        <w:rPr>
          <w:rFonts w:ascii="Arial" w:eastAsia="宋体" w:hAnsi="Arial"/>
          <w:b/>
          <w:kern w:val="2"/>
          <w:lang w:eastAsia="zh-CN"/>
        </w:rPr>
      </w:pPr>
    </w:p>
    <w:p>
      <w:pPr>
        <w:widowControl w:val="0"/>
        <w:spacing w:line="360" w:lineRule="auto"/>
        <w:ind w:firstLine="480" w:firstLineChars="200"/>
        <w:jc w:val="both"/>
        <w:rPr>
          <w:rFonts w:ascii="Calibri" w:eastAsia="宋体" w:hAnsi="Calibri" w:hint="eastAsia"/>
          <w:kern w:val="2"/>
          <w:lang w:eastAsia="zh-CN"/>
        </w:rPr>
      </w:pPr>
      <w:r>
        <w:rPr>
          <w:rFonts w:ascii="Calibri" w:eastAsia="宋体" w:hAnsi="Calibri" w:hint="eastAsia"/>
          <w:kern w:val="2"/>
          <w:lang w:eastAsia="zh-CN"/>
        </w:rPr>
        <w:t>本授权委托书声明：我</w:t>
      </w:r>
      <w:r>
        <w:rPr>
          <w:rFonts w:ascii="Calibri" w:eastAsia="宋体" w:hAnsi="Calibri" w:hint="eastAsia"/>
          <w:kern w:val="2"/>
          <w:u w:val="single"/>
          <w:lang w:eastAsia="zh-CN"/>
        </w:rPr>
        <w:t xml:space="preserve">           </w:t>
      </w:r>
      <w:r>
        <w:rPr>
          <w:rFonts w:ascii="Calibri" w:eastAsia="宋体" w:hAnsi="Calibri" w:hint="eastAsia"/>
          <w:kern w:val="2"/>
          <w:lang w:eastAsia="zh-CN"/>
        </w:rPr>
        <w:t>（姓名）系</w:t>
      </w:r>
      <w:r>
        <w:rPr>
          <w:rFonts w:ascii="Calibri" w:eastAsia="宋体" w:hAnsi="Calibri" w:hint="eastAsia"/>
          <w:kern w:val="2"/>
          <w:u w:val="single"/>
          <w:lang w:eastAsia="zh-CN"/>
        </w:rPr>
        <w:t xml:space="preserve">             </w:t>
      </w:r>
      <w:r>
        <w:rPr>
          <w:rFonts w:ascii="Calibri" w:eastAsia="宋体" w:hAnsi="Calibri" w:hint="eastAsia"/>
          <w:kern w:val="2"/>
          <w:lang w:eastAsia="zh-CN"/>
        </w:rPr>
        <w:t>（投标人名称）的法定代表人（负责人），现授权委托</w:t>
      </w:r>
      <w:r>
        <w:rPr>
          <w:rFonts w:ascii="Calibri" w:eastAsia="宋体" w:hAnsi="Calibri" w:hint="eastAsia"/>
          <w:kern w:val="2"/>
          <w:u w:val="single"/>
          <w:lang w:eastAsia="zh-CN"/>
        </w:rPr>
        <w:t xml:space="preserve">            </w:t>
      </w:r>
      <w:r>
        <w:rPr>
          <w:rFonts w:ascii="Calibri" w:eastAsia="宋体" w:hAnsi="Calibri" w:hint="eastAsia"/>
          <w:kern w:val="2"/>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80" w:firstLineChars="200"/>
        <w:jc w:val="both"/>
        <w:rPr>
          <w:rFonts w:ascii="Calibri" w:eastAsia="宋体" w:hAnsi="Calibri" w:hint="eastAsia"/>
          <w:kern w:val="2"/>
          <w:lang w:eastAsia="zh-CN"/>
        </w:rPr>
      </w:pPr>
      <w:r>
        <w:rPr>
          <w:rFonts w:ascii="Calibri" w:eastAsia="宋体" w:hAnsi="Calibri" w:hint="eastAsia"/>
          <w:kern w:val="2"/>
          <w:lang w:eastAsia="zh-CN"/>
        </w:rPr>
        <w:t>代理人无转委托权，特此委托。</w:t>
      </w:r>
    </w:p>
    <w:p>
      <w:pPr>
        <w:widowControl w:val="0"/>
        <w:spacing w:line="360" w:lineRule="auto"/>
        <w:ind w:firstLine="480" w:firstLineChars="200"/>
        <w:jc w:val="both"/>
        <w:rPr>
          <w:rFonts w:ascii="Calibri" w:eastAsia="宋体" w:hAnsi="Calibri" w:hint="eastAsia"/>
          <w:kern w:val="2"/>
          <w:lang w:eastAsia="zh-CN"/>
        </w:rPr>
      </w:pPr>
    </w:p>
    <w:p>
      <w:pPr>
        <w:widowControl w:val="0"/>
        <w:spacing w:line="360" w:lineRule="auto"/>
        <w:ind w:firstLine="480" w:firstLineChars="200"/>
        <w:jc w:val="both"/>
        <w:rPr>
          <w:rFonts w:ascii="Calibri" w:eastAsia="宋体" w:hAnsi="Calibri" w:hint="eastAsia"/>
          <w:kern w:val="2"/>
          <w:lang w:eastAsia="zh-CN"/>
        </w:rPr>
      </w:pPr>
      <w:r>
        <w:rPr>
          <w:rFonts w:ascii="Calibri" w:eastAsia="宋体" w:hAnsi="Calibri" w:hint="eastAsia"/>
          <w:kern w:val="2"/>
          <w:lang w:eastAsia="zh-CN"/>
        </w:rPr>
        <w:t>代理人：</w:t>
      </w:r>
      <w:r>
        <w:rPr>
          <w:rFonts w:ascii="Calibri" w:eastAsia="宋体" w:hAnsi="Calibri" w:hint="eastAsia"/>
          <w:kern w:val="2"/>
          <w:u w:val="single"/>
          <w:lang w:eastAsia="zh-CN"/>
        </w:rPr>
        <w:t xml:space="preserve">      </w:t>
      </w:r>
      <w:r>
        <w:rPr>
          <w:rFonts w:eastAsia="宋体" w:hAnsi="Calibri" w:hint="eastAsia"/>
          <w:kern w:val="2"/>
          <w:u w:val="single"/>
          <w:lang w:eastAsia="zh-CN"/>
        </w:rPr>
        <w:t xml:space="preserve">  </w:t>
      </w:r>
      <w:r>
        <w:rPr>
          <w:rFonts w:ascii="Calibri" w:eastAsia="宋体" w:hAnsi="Calibri" w:hint="eastAsia"/>
          <w:kern w:val="2"/>
          <w:u w:val="single"/>
          <w:lang w:eastAsia="zh-CN"/>
        </w:rPr>
        <w:t xml:space="preserve">      </w:t>
      </w:r>
      <w:r>
        <w:rPr>
          <w:rFonts w:ascii="Calibri" w:eastAsia="宋体" w:hAnsi="Calibri" w:hint="eastAsia"/>
          <w:kern w:val="2"/>
          <w:lang w:eastAsia="zh-CN"/>
        </w:rPr>
        <w:t>；</w:t>
      </w:r>
    </w:p>
    <w:p>
      <w:pPr>
        <w:widowControl w:val="0"/>
        <w:spacing w:line="360" w:lineRule="auto"/>
        <w:ind w:firstLine="480" w:firstLineChars="200"/>
        <w:jc w:val="both"/>
        <w:rPr>
          <w:rFonts w:ascii="Calibri" w:eastAsia="宋体" w:hAnsi="Calibri" w:hint="eastAsia"/>
          <w:kern w:val="2"/>
          <w:lang w:eastAsia="zh-CN"/>
        </w:rPr>
      </w:pPr>
      <w:r>
        <w:rPr>
          <w:rFonts w:ascii="Calibri" w:eastAsia="宋体" w:hAnsi="Calibri" w:hint="eastAsia"/>
          <w:kern w:val="2"/>
          <w:lang w:eastAsia="zh-CN"/>
        </w:rPr>
        <w:t>身份</w:t>
      </w:r>
      <w:r>
        <w:rPr>
          <w:rFonts w:eastAsia="宋体" w:hAnsi="Calibri" w:hint="eastAsia"/>
          <w:kern w:val="2"/>
          <w:lang w:eastAsia="zh-CN"/>
        </w:rPr>
        <w:t>证件号</w:t>
      </w:r>
      <w:r>
        <w:rPr>
          <w:rFonts w:ascii="Calibri" w:eastAsia="宋体" w:hAnsi="Calibri" w:hint="eastAsia"/>
          <w:kern w:val="2"/>
          <w:lang w:eastAsia="zh-CN"/>
        </w:rPr>
        <w:t>：</w:t>
      </w:r>
      <w:r>
        <w:rPr>
          <w:rFonts w:ascii="Calibri" w:eastAsia="宋体" w:hAnsi="Calibri" w:hint="eastAsia"/>
          <w:kern w:val="2"/>
          <w:u w:val="single"/>
          <w:lang w:eastAsia="zh-CN"/>
        </w:rPr>
        <w:t xml:space="preserve">                        </w:t>
      </w:r>
      <w:r>
        <w:rPr>
          <w:rFonts w:ascii="Calibri" w:eastAsia="宋体" w:hAnsi="Calibri" w:hint="eastAsia"/>
          <w:kern w:val="2"/>
          <w:lang w:eastAsia="zh-CN"/>
        </w:rPr>
        <w:t>，职务：</w:t>
      </w:r>
      <w:r>
        <w:rPr>
          <w:rFonts w:ascii="Calibri" w:eastAsia="宋体" w:hAnsi="Calibri" w:hint="eastAsia"/>
          <w:kern w:val="2"/>
          <w:u w:val="single"/>
          <w:lang w:eastAsia="zh-CN"/>
        </w:rPr>
        <w:t xml:space="preserve">   </w:t>
      </w:r>
      <w:r>
        <w:rPr>
          <w:rFonts w:eastAsia="宋体" w:hAnsi="Calibri" w:hint="eastAsia"/>
          <w:kern w:val="2"/>
          <w:u w:val="single"/>
          <w:lang w:eastAsia="zh-CN"/>
        </w:rPr>
        <w:t xml:space="preserve">         </w:t>
      </w:r>
      <w:r>
        <w:rPr>
          <w:rFonts w:ascii="Calibri" w:eastAsia="宋体" w:hAnsi="Calibri" w:hint="eastAsia"/>
          <w:kern w:val="2"/>
          <w:u w:val="single"/>
          <w:lang w:eastAsia="zh-CN"/>
        </w:rPr>
        <w:t xml:space="preserve">    </w:t>
      </w:r>
      <w:r>
        <w:rPr>
          <w:rFonts w:ascii="Calibri" w:eastAsia="宋体" w:hAnsi="Calibri" w:hint="eastAsia"/>
          <w:kern w:val="2"/>
          <w:lang w:eastAsia="zh-CN"/>
        </w:rPr>
        <w:t>；</w:t>
      </w:r>
    </w:p>
    <w:p>
      <w:pPr>
        <w:widowControl w:val="0"/>
        <w:spacing w:line="360" w:lineRule="auto"/>
        <w:ind w:firstLine="480" w:firstLineChars="200"/>
        <w:jc w:val="both"/>
        <w:rPr>
          <w:rFonts w:ascii="Calibri" w:eastAsia="宋体" w:hAnsi="Calibri"/>
          <w:kern w:val="2"/>
          <w:lang w:eastAsia="zh-CN"/>
        </w:rPr>
      </w:pPr>
      <w:r>
        <w:rPr>
          <w:rFonts w:ascii="Calibri" w:eastAsia="宋体" w:hAnsi="Calibri" w:hint="eastAsia"/>
          <w:kern w:val="2"/>
          <w:lang w:eastAsia="zh-CN"/>
        </w:rPr>
        <w:t>联系电话：</w:t>
      </w:r>
      <w:r>
        <w:rPr>
          <w:rFonts w:ascii="Calibri" w:eastAsia="宋体" w:hAnsi="Calibri" w:hint="eastAsia"/>
          <w:kern w:val="2"/>
          <w:u w:val="single"/>
          <w:lang w:eastAsia="zh-CN"/>
        </w:rPr>
        <w:t xml:space="preserve">         </w:t>
      </w:r>
      <w:r>
        <w:rPr>
          <w:rFonts w:ascii="Calibri" w:eastAsia="宋体" w:hAnsi="Calibri" w:hint="eastAsia"/>
          <w:kern w:val="2"/>
          <w:lang w:eastAsia="zh-CN"/>
        </w:rPr>
        <w:t>，手机：</w:t>
      </w:r>
      <w:r>
        <w:rPr>
          <w:rFonts w:ascii="Calibri" w:eastAsia="宋体" w:hAnsi="Calibri" w:hint="eastAsia"/>
          <w:kern w:val="2"/>
          <w:u w:val="single"/>
          <w:lang w:eastAsia="zh-CN"/>
        </w:rPr>
        <w:t xml:space="preserve">                </w:t>
      </w:r>
      <w:r>
        <w:rPr>
          <w:rFonts w:ascii="Calibri" w:eastAsia="宋体" w:hAnsi="Calibri" w:hint="eastAsia"/>
          <w:kern w:val="2"/>
          <w:lang w:eastAsia="zh-CN"/>
        </w:rPr>
        <w:t>，</w:t>
      </w:r>
      <w:r>
        <w:rPr>
          <w:rFonts w:eastAsia="宋体" w:hAnsi="Calibri" w:hint="eastAsia"/>
          <w:kern w:val="2"/>
          <w:lang w:eastAsia="zh-CN"/>
        </w:rPr>
        <w:t>电子邮箱：</w:t>
      </w:r>
      <w:r>
        <w:rPr>
          <w:rFonts w:ascii="Calibri" w:eastAsia="宋体" w:hAnsi="Calibri" w:hint="eastAsia"/>
          <w:kern w:val="2"/>
          <w:u w:val="single"/>
          <w:lang w:eastAsia="zh-CN"/>
        </w:rPr>
        <w:t xml:space="preserve">            </w:t>
      </w:r>
      <w:r>
        <w:rPr>
          <w:rFonts w:eastAsia="宋体" w:hAnsi="Calibri" w:hint="eastAsia"/>
          <w:kern w:val="2"/>
          <w:u w:val="single"/>
          <w:lang w:eastAsia="zh-CN"/>
        </w:rPr>
        <w:t xml:space="preserve">  </w:t>
      </w:r>
      <w:r>
        <w:rPr>
          <w:rFonts w:ascii="Calibri" w:eastAsia="宋体" w:hAnsi="Calibri" w:hint="eastAsia"/>
          <w:kern w:val="2"/>
          <w:u w:val="single"/>
          <w:lang w:eastAsia="zh-CN"/>
        </w:rPr>
        <w:t xml:space="preserve">       </w:t>
      </w:r>
      <w:r>
        <w:rPr>
          <w:rFonts w:ascii="Calibri" w:eastAsia="宋体" w:hAnsi="Calibri" w:hint="eastAsia"/>
          <w:kern w:val="2"/>
          <w:lang w:eastAsia="zh-CN"/>
        </w:rPr>
        <w:t>；</w:t>
      </w:r>
    </w:p>
    <w:p>
      <w:pPr>
        <w:widowControl w:val="0"/>
        <w:spacing w:line="360" w:lineRule="auto"/>
        <w:ind w:firstLine="480" w:firstLineChars="200"/>
        <w:jc w:val="both"/>
        <w:rPr>
          <w:rFonts w:ascii="Calibri" w:eastAsia="宋体" w:hAnsi="Calibri" w:hint="eastAsia"/>
          <w:kern w:val="2"/>
          <w:lang w:eastAsia="zh-CN"/>
        </w:rPr>
      </w:pPr>
      <w:r>
        <w:rPr>
          <w:rFonts w:ascii="Calibri" w:eastAsia="宋体" w:hAnsi="Calibri" w:hint="eastAsia"/>
          <w:kern w:val="2"/>
          <w:lang w:eastAsia="zh-CN"/>
        </w:rPr>
        <w:t>授权委托日期：</w:t>
      </w:r>
      <w:r>
        <w:rPr>
          <w:rFonts w:ascii="Calibri" w:eastAsia="宋体" w:hAnsi="Calibri" w:hint="eastAsia"/>
          <w:kern w:val="2"/>
          <w:u w:val="single"/>
          <w:lang w:eastAsia="zh-CN"/>
        </w:rPr>
        <w:t xml:space="preserve">         </w:t>
      </w:r>
      <w:r>
        <w:rPr>
          <w:rFonts w:ascii="Calibri" w:eastAsia="宋体" w:hAnsi="Calibri" w:hint="eastAsia"/>
          <w:kern w:val="2"/>
          <w:lang w:eastAsia="zh-CN"/>
        </w:rPr>
        <w:t>年</w:t>
      </w:r>
      <w:r>
        <w:rPr>
          <w:rFonts w:ascii="Calibri" w:eastAsia="宋体" w:hAnsi="Calibri" w:hint="eastAsia"/>
          <w:kern w:val="2"/>
          <w:u w:val="single"/>
          <w:lang w:eastAsia="zh-CN"/>
        </w:rPr>
        <w:t xml:space="preserve">     </w:t>
      </w:r>
      <w:r>
        <w:rPr>
          <w:rFonts w:ascii="Calibri" w:eastAsia="宋体" w:hAnsi="Calibri" w:hint="eastAsia"/>
          <w:kern w:val="2"/>
          <w:lang w:eastAsia="zh-CN"/>
        </w:rPr>
        <w:t xml:space="preserve">月 </w:t>
      </w:r>
      <w:r>
        <w:rPr>
          <w:rFonts w:ascii="Calibri" w:eastAsia="宋体" w:hAnsi="Calibri" w:hint="eastAsia"/>
          <w:kern w:val="2"/>
          <w:u w:val="single"/>
          <w:lang w:eastAsia="zh-CN"/>
        </w:rPr>
        <w:t xml:space="preserve">      </w:t>
      </w:r>
      <w:r>
        <w:rPr>
          <w:rFonts w:ascii="Calibri" w:eastAsia="宋体" w:hAnsi="Calibri" w:hint="eastAsia"/>
          <w:kern w:val="2"/>
          <w:lang w:eastAsia="zh-CN"/>
        </w:rPr>
        <w:t>日。</w:t>
      </w:r>
    </w:p>
    <w:p>
      <w:pPr>
        <w:widowControl w:val="0"/>
        <w:spacing w:line="360" w:lineRule="auto"/>
        <w:ind w:firstLine="480" w:firstLineChars="200"/>
        <w:jc w:val="both"/>
        <w:rPr>
          <w:rFonts w:ascii="Calibri" w:eastAsia="宋体" w:hAnsi="Calibri"/>
          <w:b/>
          <w:kern w:val="2"/>
          <w:lang w:eastAsia="zh-CN"/>
        </w:rPr>
      </w:pPr>
      <w:r>
        <w:rPr>
          <w:rFonts w:ascii="Calibri" w:eastAsia="宋体" w:hAnsi="Calibri" w:hint="eastAsia"/>
          <w:b/>
          <w:kern w:val="2"/>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30"/>
        <w:gridCol w:w="453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04"/>
        </w:trPr>
        <w:tc>
          <w:tcPr>
            <w:tcW w:w="4264" w:type="dxa"/>
            <w:noWrap w:val="0"/>
            <w:vAlign w:val="top"/>
          </w:tcPr>
          <w:p>
            <w:pPr>
              <w:jc w:val="center"/>
              <w:rPr>
                <w:rFonts w:ascii="Calibri" w:hAnsi="Calibri" w:hint="eastAsia"/>
                <w:kern w:val="2"/>
                <w:sz w:val="21"/>
                <w:szCs w:val="22"/>
                <w:lang w:eastAsia="zh-CN"/>
              </w:rPr>
            </w:pPr>
            <w:r>
              <w:rPr>
                <w:rFonts w:hAnsi="Calibr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tc>
        <w:tc>
          <w:tcPr>
            <w:tcW w:w="4265" w:type="dxa"/>
            <w:noWrap w:val="0"/>
            <w:vAlign w:val="top"/>
          </w:tcPr>
          <w:p>
            <w:pPr>
              <w:jc w:val="center"/>
              <w:rPr>
                <w:rFonts w:ascii="Calibri" w:hAnsi="Calibri" w:hint="eastAsia"/>
                <w:kern w:val="2"/>
                <w:sz w:val="21"/>
                <w:szCs w:val="22"/>
                <w:lang w:eastAsia="zh-CN"/>
              </w:rPr>
            </w:pPr>
            <w:r>
              <w:rPr>
                <w:rFonts w:hAnsi="Calibr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tabs>
          <w:tab w:val="left" w:pos="651"/>
        </w:tabs>
        <w:snapToGrid w:val="0"/>
        <w:jc w:val="center"/>
        <w:rPr>
          <w:rFonts w:ascii="宋体" w:eastAsia="宋体" w:hAnsi="宋体"/>
          <w:kern w:val="2"/>
          <w:sz w:val="28"/>
          <w:szCs w:val="28"/>
          <w:lang w:eastAsia="zh-CN"/>
        </w:rPr>
      </w:pPr>
      <w:r>
        <w:rPr>
          <w:rFonts w:ascii="宋体" w:eastAsia="宋体" w:hAnsi="宋体"/>
          <w:kern w:val="2"/>
          <w:sz w:val="28"/>
          <w:szCs w:val="28"/>
          <w:lang w:eastAsia="zh-CN"/>
        </w:rPr>
        <w:br w:type="page"/>
      </w:r>
    </w:p>
    <w:p>
      <w:pPr>
        <w:keepNext/>
        <w:keepLines/>
        <w:widowControl w:val="0"/>
        <w:numPr>
          <w:ilvl w:val="0"/>
          <w:numId w:val="0"/>
        </w:numPr>
        <w:adjustRightInd w:val="0"/>
        <w:snapToGrid w:val="0"/>
        <w:spacing w:line="360" w:lineRule="auto"/>
        <w:ind w:left="0" w:firstLine="0"/>
        <w:jc w:val="center"/>
        <w:textAlignment w:val="baseline"/>
        <w:outlineLvl w:val="4"/>
        <w:rPr>
          <w:rFonts w:ascii="宋体" w:eastAsia="宋体" w:hAnsi="宋体" w:hint="eastAsia"/>
          <w:b/>
          <w:bCs/>
          <w:szCs w:val="20"/>
          <w:lang w:eastAsia="zh-CN"/>
        </w:rPr>
      </w:pPr>
      <w:r>
        <w:rPr>
          <w:rFonts w:ascii="宋体" w:eastAsia="宋体" w:hAnsi="宋体" w:hint="eastAsia"/>
          <w:b/>
          <w:bCs/>
          <w:szCs w:val="20"/>
          <w:lang w:eastAsia="zh-CN"/>
        </w:rPr>
        <w:t>3</w:t>
      </w:r>
      <w:r>
        <w:rPr>
          <w:rFonts w:ascii="宋体" w:eastAsia="宋体" w:hAnsi="宋体" w:hint="eastAsia"/>
          <w:b/>
          <w:bCs/>
          <w:szCs w:val="20"/>
          <w:lang w:eastAsia="zh-CN"/>
        </w:rPr>
        <w:t>.实质性条款响应情况表</w:t>
      </w:r>
    </w:p>
    <w:p>
      <w:pPr>
        <w:widowControl w:val="0"/>
        <w:numPr>
          <w:ilvl w:val="0"/>
          <w:numId w:val="0"/>
        </w:numPr>
        <w:spacing w:after="120" w:line="240" w:lineRule="auto"/>
        <w:ind w:left="0" w:firstLine="0" w:leftChars="0" w:firstLineChars="0"/>
        <w:jc w:val="both"/>
        <w:rPr>
          <w:rFonts w:ascii="Calibri" w:eastAsia="宋体" w:hAnsi="Calibri" w:hint="eastAsia"/>
          <w:kern w:val="2"/>
          <w:sz w:val="21"/>
          <w:szCs w:val="22"/>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7"/>
        <w:gridCol w:w="4162"/>
        <w:gridCol w:w="1687"/>
        <w:gridCol w:w="1406"/>
        <w:gridCol w:w="102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jc w:val="center"/>
        </w:trPr>
        <w:tc>
          <w:tcPr>
            <w:tcW w:w="778" w:type="dxa"/>
            <w:noWrap w:val="0"/>
            <w:vAlign w:val="center"/>
          </w:tcPr>
          <w:p>
            <w:pPr>
              <w:widowControl w:val="0"/>
              <w:adjustRightInd w:val="0"/>
              <w:snapToGrid w:val="0"/>
              <w:spacing w:line="360" w:lineRule="auto"/>
              <w:jc w:val="center"/>
              <w:rPr>
                <w:rFonts w:ascii="宋体" w:eastAsia="宋体" w:hAnsi="宋体"/>
                <w:b/>
                <w:bCs/>
                <w:lang w:eastAsia="zh-CN"/>
              </w:rPr>
            </w:pPr>
            <w:bookmarkStart w:id="176" w:name="_Hlk72092651"/>
            <w:r>
              <w:rPr>
                <w:rFonts w:ascii="宋体" w:eastAsia="宋体" w:hAnsi="宋体" w:hint="eastAsia"/>
                <w:b/>
                <w:bCs/>
                <w:lang w:eastAsia="zh-CN"/>
              </w:rPr>
              <w:t>序号</w:t>
            </w:r>
          </w:p>
        </w:tc>
        <w:tc>
          <w:tcPr>
            <w:tcW w:w="4162" w:type="dxa"/>
            <w:noWrap w:val="0"/>
            <w:vAlign w:val="center"/>
          </w:tcPr>
          <w:p>
            <w:pPr>
              <w:widowControl w:val="0"/>
              <w:adjustRightInd w:val="0"/>
              <w:snapToGrid w:val="0"/>
              <w:spacing w:line="360" w:lineRule="auto"/>
              <w:jc w:val="center"/>
              <w:rPr>
                <w:rFonts w:ascii="宋体" w:eastAsia="宋体" w:hAnsi="宋体"/>
                <w:b/>
                <w:bCs/>
                <w:lang w:eastAsia="zh-CN"/>
              </w:rPr>
            </w:pPr>
            <w:r>
              <w:rPr>
                <w:rFonts w:ascii="宋体" w:eastAsia="宋体" w:hAnsi="宋体" w:hint="eastAsia"/>
                <w:b/>
                <w:bCs/>
                <w:lang w:eastAsia="zh-CN"/>
              </w:rPr>
              <w:t>实质性条款具体内容</w:t>
            </w:r>
          </w:p>
        </w:tc>
        <w:tc>
          <w:tcPr>
            <w:tcW w:w="1687" w:type="dxa"/>
            <w:noWrap w:val="0"/>
            <w:vAlign w:val="center"/>
          </w:tcPr>
          <w:p>
            <w:pPr>
              <w:widowControl w:val="0"/>
              <w:adjustRightInd w:val="0"/>
              <w:snapToGrid w:val="0"/>
              <w:spacing w:line="360" w:lineRule="auto"/>
              <w:jc w:val="center"/>
              <w:rPr>
                <w:rFonts w:ascii="宋体" w:eastAsia="宋体" w:hAnsi="宋体"/>
                <w:b/>
                <w:bCs/>
                <w:lang w:eastAsia="zh-CN"/>
              </w:rPr>
            </w:pPr>
            <w:r>
              <w:rPr>
                <w:rFonts w:ascii="Calibri" w:eastAsia="宋体" w:hAnsi="Calibri" w:hint="eastAsia"/>
                <w:b/>
                <w:bCs/>
                <w:kern w:val="2"/>
                <w:szCs w:val="28"/>
                <w:lang w:eastAsia="zh-CN"/>
              </w:rPr>
              <w:t>投标响应</w:t>
            </w:r>
          </w:p>
        </w:tc>
        <w:tc>
          <w:tcPr>
            <w:tcW w:w="1406" w:type="dxa"/>
            <w:noWrap w:val="0"/>
            <w:vAlign w:val="center"/>
          </w:tcPr>
          <w:p>
            <w:pPr>
              <w:widowControl w:val="0"/>
              <w:adjustRightInd w:val="0"/>
              <w:snapToGrid w:val="0"/>
              <w:spacing w:line="360" w:lineRule="auto"/>
              <w:jc w:val="center"/>
              <w:rPr>
                <w:rFonts w:ascii="宋体" w:eastAsia="宋体" w:hAnsi="宋体"/>
                <w:b/>
                <w:bCs/>
                <w:lang w:eastAsia="zh-CN"/>
              </w:rPr>
            </w:pPr>
            <w:r>
              <w:rPr>
                <w:rFonts w:ascii="Calibri" w:eastAsia="宋体" w:hAnsi="Calibri" w:hint="eastAsia"/>
                <w:b/>
                <w:bCs/>
                <w:kern w:val="2"/>
                <w:szCs w:val="28"/>
                <w:lang w:eastAsia="zh-CN"/>
              </w:rPr>
              <w:t>偏离情况</w:t>
            </w:r>
          </w:p>
        </w:tc>
        <w:tc>
          <w:tcPr>
            <w:tcW w:w="1029" w:type="dxa"/>
            <w:noWrap w:val="0"/>
            <w:vAlign w:val="center"/>
          </w:tcPr>
          <w:p>
            <w:pPr>
              <w:widowControl w:val="0"/>
              <w:adjustRightInd w:val="0"/>
              <w:snapToGrid w:val="0"/>
              <w:spacing w:line="360" w:lineRule="auto"/>
              <w:jc w:val="center"/>
              <w:rPr>
                <w:rFonts w:ascii="宋体" w:eastAsia="宋体" w:hAnsi="宋体"/>
                <w:b/>
                <w:bCs/>
                <w:lang w:eastAsia="zh-CN"/>
              </w:rPr>
            </w:pPr>
            <w:r>
              <w:rPr>
                <w:rFonts w:ascii="Calibri" w:eastAsia="宋体" w:hAnsi="Calibri" w:hint="eastAsia"/>
                <w:b/>
                <w:bCs/>
                <w:kern w:val="2"/>
                <w:szCs w:val="28"/>
                <w:lang w:eastAsia="zh-CN"/>
              </w:rPr>
              <w:t>说明</w:t>
            </w:r>
          </w:p>
        </w:tc>
      </w:tr>
      <w:bookmarkEnd w:id="176"/>
      <w:tr>
        <w:tblPrEx>
          <w:tblW w:w="5000" w:type="pct"/>
          <w:jc w:val="center"/>
          <w:tblLayout w:type="fixed"/>
          <w:tblCellMar>
            <w:top w:w="0" w:type="dxa"/>
            <w:left w:w="108" w:type="dxa"/>
            <w:bottom w:w="0" w:type="dxa"/>
            <w:right w:w="108" w:type="dxa"/>
          </w:tblCellMar>
        </w:tblPrEx>
        <w:trPr>
          <w:jc w:val="center"/>
        </w:trPr>
        <w:tc>
          <w:tcPr>
            <w:tcW w:w="778" w:type="dxa"/>
            <w:noWrap w:val="0"/>
            <w:vAlign w:val="top"/>
          </w:tcPr>
          <w:p>
            <w:pPr>
              <w:widowControl w:val="0"/>
              <w:adjustRightInd w:val="0"/>
              <w:snapToGrid w:val="0"/>
              <w:spacing w:line="360" w:lineRule="auto"/>
              <w:jc w:val="center"/>
              <w:rPr>
                <w:rFonts w:ascii="宋体" w:eastAsia="宋体" w:hAnsi="宋体"/>
                <w:color w:val="FF0000"/>
                <w:lang w:eastAsia="zh-CN"/>
              </w:rPr>
            </w:pPr>
            <w:r>
              <w:rPr>
                <w:rFonts w:ascii="宋体" w:eastAsia="宋体" w:hAnsi="宋体" w:hint="eastAsia"/>
                <w:color w:val="FF0000"/>
                <w:lang w:eastAsia="zh-CN"/>
              </w:rPr>
              <w:t>1</w:t>
            </w:r>
          </w:p>
        </w:tc>
        <w:tc>
          <w:tcPr>
            <w:tcW w:w="4162" w:type="dxa"/>
            <w:noWrap w:val="0"/>
            <w:vAlign w:val="center"/>
          </w:tcPr>
          <w:p>
            <w:pPr>
              <w:keepNext/>
              <w:keepLines/>
              <w:pageBreakBefore w:val="0"/>
              <w:kinsoku/>
              <w:wordWrap/>
              <w:overflowPunct/>
              <w:topLinePunct w:val="0"/>
              <w:autoSpaceDE/>
              <w:autoSpaceDN/>
              <w:bidi w:val="0"/>
              <w:adjustRightInd/>
              <w:snapToGrid/>
              <w:spacing w:before="0" w:after="0" w:line="140" w:lineRule="auto"/>
              <w:jc w:val="both"/>
              <w:textAlignment w:val="auto"/>
              <w:outlineLvl w:val="3"/>
              <w:rPr>
                <w:rFonts w:ascii="宋体" w:eastAsia="宋体" w:hAnsi="宋体" w:cs="宋体" w:hint="eastAsia"/>
                <w:b/>
                <w:bCs/>
                <w:color w:val="FF0000"/>
                <w:kern w:val="2"/>
                <w:sz w:val="28"/>
                <w:szCs w:val="28"/>
                <w:lang w:eastAsia="zh-CN"/>
              </w:rPr>
            </w:pPr>
            <w:r>
              <w:rPr>
                <w:rFonts w:ascii="宋体" w:eastAsia="宋体" w:hAnsi="宋体" w:cs="宋体" w:hint="eastAsia"/>
                <w:color w:val="FF0000"/>
                <w:kern w:val="2"/>
                <w:lang w:eastAsia="zh-CN"/>
              </w:rPr>
              <w:t>★项目合作时限：本项目合作年限拟定为15年（包括功能优化建设时间不超过12个月在内），自建设运营合同生效之日起计算。</w:t>
            </w:r>
          </w:p>
        </w:tc>
        <w:tc>
          <w:tcPr>
            <w:tcW w:w="1687" w:type="dxa"/>
            <w:noWrap w:val="0"/>
            <w:vAlign w:val="top"/>
          </w:tcPr>
          <w:p>
            <w:pPr>
              <w:widowControl w:val="0"/>
              <w:adjustRightInd w:val="0"/>
              <w:snapToGrid w:val="0"/>
              <w:spacing w:line="360" w:lineRule="auto"/>
              <w:jc w:val="both"/>
              <w:rPr>
                <w:rFonts w:ascii="宋体" w:eastAsia="宋体" w:hAnsi="宋体"/>
                <w:sz w:val="21"/>
                <w:szCs w:val="21"/>
                <w:lang w:eastAsia="zh-CN"/>
              </w:rPr>
            </w:pPr>
          </w:p>
        </w:tc>
        <w:tc>
          <w:tcPr>
            <w:tcW w:w="1406" w:type="dxa"/>
            <w:noWrap w:val="0"/>
            <w:vAlign w:val="top"/>
          </w:tcPr>
          <w:p>
            <w:pPr>
              <w:widowControl w:val="0"/>
              <w:adjustRightInd w:val="0"/>
              <w:snapToGrid w:val="0"/>
              <w:spacing w:line="360" w:lineRule="auto"/>
              <w:jc w:val="both"/>
              <w:rPr>
                <w:rFonts w:ascii="宋体" w:eastAsia="宋体" w:hAnsi="宋体"/>
                <w:sz w:val="21"/>
                <w:szCs w:val="21"/>
                <w:lang w:eastAsia="zh-CN"/>
              </w:rPr>
            </w:pPr>
          </w:p>
        </w:tc>
        <w:tc>
          <w:tcPr>
            <w:tcW w:w="1029" w:type="dxa"/>
            <w:noWrap w:val="0"/>
            <w:vAlign w:val="top"/>
          </w:tcPr>
          <w:p>
            <w:pPr>
              <w:widowControl w:val="0"/>
              <w:adjustRightInd w:val="0"/>
              <w:snapToGrid w:val="0"/>
              <w:spacing w:line="360" w:lineRule="auto"/>
              <w:jc w:val="both"/>
              <w:rPr>
                <w:rFonts w:ascii="宋体" w:eastAsia="宋体" w:hAnsi="宋体"/>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78" w:type="dxa"/>
            <w:noWrap w:val="0"/>
            <w:vAlign w:val="top"/>
          </w:tcPr>
          <w:p>
            <w:pPr>
              <w:widowControl w:val="0"/>
              <w:adjustRightInd w:val="0"/>
              <w:snapToGrid w:val="0"/>
              <w:spacing w:line="360" w:lineRule="auto"/>
              <w:jc w:val="center"/>
              <w:rPr>
                <w:rFonts w:ascii="宋体" w:eastAsia="宋体" w:hAnsi="宋体"/>
                <w:color w:val="FF0000"/>
                <w:lang w:eastAsia="zh-CN"/>
              </w:rPr>
            </w:pPr>
            <w:r>
              <w:rPr>
                <w:rFonts w:ascii="宋体" w:eastAsia="宋体" w:hAnsi="宋体" w:hint="eastAsia"/>
                <w:color w:val="FF0000"/>
                <w:lang w:eastAsia="zh-CN"/>
              </w:rPr>
              <w:t>2</w:t>
            </w:r>
          </w:p>
        </w:tc>
        <w:tc>
          <w:tcPr>
            <w:tcW w:w="416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both"/>
              <w:textAlignment w:val="auto"/>
              <w:outlineLvl w:val="4"/>
              <w:rPr>
                <w:rFonts w:ascii="宋体" w:eastAsia="宋体" w:hAnsi="宋体" w:cs="宋体"/>
                <w:color w:val="FF0000"/>
                <w:kern w:val="2"/>
                <w:lang w:eastAsia="zh-CN"/>
              </w:rPr>
            </w:pPr>
            <w:r>
              <w:rPr>
                <w:rFonts w:ascii="宋体" w:eastAsia="宋体" w:hAnsi="宋体" w:cs="宋体" w:hint="eastAsia"/>
                <w:color w:val="FF0000"/>
                <w:kern w:val="2"/>
                <w:lang w:eastAsia="zh-CN"/>
              </w:rPr>
              <w:t>★本项目要求功能优化的资金投入应不少于3000元/平方米，中标方在甲乙双方签订建设运营合同次日起不超过12个月内将建设资金投入到位。</w:t>
            </w:r>
          </w:p>
        </w:tc>
        <w:tc>
          <w:tcPr>
            <w:tcW w:w="1687" w:type="dxa"/>
            <w:noWrap w:val="0"/>
            <w:vAlign w:val="top"/>
          </w:tcPr>
          <w:p>
            <w:pPr>
              <w:widowControl w:val="0"/>
              <w:adjustRightInd w:val="0"/>
              <w:snapToGrid w:val="0"/>
              <w:spacing w:line="360" w:lineRule="auto"/>
              <w:jc w:val="both"/>
              <w:rPr>
                <w:rFonts w:ascii="宋体" w:eastAsia="宋体" w:hAnsi="宋体"/>
                <w:sz w:val="21"/>
                <w:szCs w:val="21"/>
                <w:lang w:eastAsia="zh-CN"/>
              </w:rPr>
            </w:pPr>
          </w:p>
        </w:tc>
        <w:tc>
          <w:tcPr>
            <w:tcW w:w="1406" w:type="dxa"/>
            <w:noWrap w:val="0"/>
            <w:vAlign w:val="top"/>
          </w:tcPr>
          <w:p>
            <w:pPr>
              <w:widowControl w:val="0"/>
              <w:adjustRightInd w:val="0"/>
              <w:snapToGrid w:val="0"/>
              <w:spacing w:line="360" w:lineRule="auto"/>
              <w:jc w:val="both"/>
              <w:rPr>
                <w:rFonts w:ascii="宋体" w:eastAsia="宋体" w:hAnsi="宋体"/>
                <w:sz w:val="21"/>
                <w:szCs w:val="21"/>
                <w:lang w:eastAsia="zh-CN"/>
              </w:rPr>
            </w:pPr>
          </w:p>
        </w:tc>
        <w:tc>
          <w:tcPr>
            <w:tcW w:w="1029" w:type="dxa"/>
            <w:noWrap w:val="0"/>
            <w:vAlign w:val="top"/>
          </w:tcPr>
          <w:p>
            <w:pPr>
              <w:widowControl w:val="0"/>
              <w:adjustRightInd w:val="0"/>
              <w:snapToGrid w:val="0"/>
              <w:spacing w:line="360" w:lineRule="auto"/>
              <w:jc w:val="both"/>
              <w:rPr>
                <w:rFonts w:ascii="宋体" w:eastAsia="宋体" w:hAnsi="宋体"/>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78" w:type="dxa"/>
            <w:noWrap w:val="0"/>
            <w:vAlign w:val="top"/>
          </w:tcPr>
          <w:p>
            <w:pPr>
              <w:widowControl w:val="0"/>
              <w:adjustRightInd w:val="0"/>
              <w:snapToGrid w:val="0"/>
              <w:spacing w:line="360" w:lineRule="auto"/>
              <w:jc w:val="center"/>
              <w:rPr>
                <w:rFonts w:ascii="宋体" w:eastAsia="宋体" w:hAnsi="宋体"/>
                <w:color w:val="FF0000"/>
                <w:lang w:eastAsia="zh-CN"/>
              </w:rPr>
            </w:pPr>
            <w:r>
              <w:rPr>
                <w:rFonts w:ascii="宋体" w:eastAsia="宋体" w:hAnsi="宋体" w:hint="eastAsia"/>
                <w:color w:val="FF0000"/>
                <w:lang w:eastAsia="zh-CN"/>
              </w:rPr>
              <w:t>3</w:t>
            </w:r>
          </w:p>
        </w:tc>
        <w:tc>
          <w:tcPr>
            <w:tcW w:w="416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both"/>
              <w:textAlignment w:val="auto"/>
              <w:outlineLvl w:val="4"/>
              <w:rPr>
                <w:rFonts w:ascii="宋体" w:eastAsia="宋体" w:hAnsi="宋体" w:cs="宋体" w:hint="eastAsia"/>
                <w:color w:val="FF0000"/>
                <w:kern w:val="2"/>
                <w:lang w:eastAsia="zh-CN"/>
              </w:rPr>
            </w:pPr>
            <w:r>
              <w:rPr>
                <w:rFonts w:ascii="宋体" w:eastAsia="宋体" w:hAnsi="宋体" w:cs="宋体" w:hint="eastAsia"/>
                <w:color w:val="FF0000"/>
                <w:kern w:val="2"/>
                <w:lang w:eastAsia="zh-CN"/>
              </w:rPr>
              <w:t>★养老床位不少于50张，其中政策性养老床位不少于10张，收费标准参考《深圳市公立养老机构项目收费标准》；剩余床位由运营主体按普惠原则自主定价，报甲方备案后实施。养老床位服务标准均按照民政部《养老机构生活照料服务规范》执行。</w:t>
            </w:r>
          </w:p>
        </w:tc>
        <w:tc>
          <w:tcPr>
            <w:tcW w:w="1687" w:type="dxa"/>
            <w:noWrap w:val="0"/>
            <w:vAlign w:val="top"/>
          </w:tcPr>
          <w:p>
            <w:pPr>
              <w:widowControl w:val="0"/>
              <w:adjustRightInd w:val="0"/>
              <w:snapToGrid w:val="0"/>
              <w:spacing w:line="360" w:lineRule="auto"/>
              <w:jc w:val="both"/>
              <w:rPr>
                <w:rFonts w:ascii="宋体" w:eastAsia="宋体" w:hAnsi="宋体"/>
                <w:sz w:val="21"/>
                <w:szCs w:val="21"/>
                <w:lang w:eastAsia="zh-CN"/>
              </w:rPr>
            </w:pPr>
          </w:p>
        </w:tc>
        <w:tc>
          <w:tcPr>
            <w:tcW w:w="1406" w:type="dxa"/>
            <w:noWrap w:val="0"/>
            <w:vAlign w:val="top"/>
          </w:tcPr>
          <w:p>
            <w:pPr>
              <w:widowControl w:val="0"/>
              <w:adjustRightInd w:val="0"/>
              <w:snapToGrid w:val="0"/>
              <w:spacing w:line="360" w:lineRule="auto"/>
              <w:jc w:val="both"/>
              <w:rPr>
                <w:rFonts w:ascii="宋体" w:eastAsia="宋体" w:hAnsi="宋体"/>
                <w:sz w:val="21"/>
                <w:szCs w:val="21"/>
                <w:lang w:eastAsia="zh-CN"/>
              </w:rPr>
            </w:pPr>
          </w:p>
        </w:tc>
        <w:tc>
          <w:tcPr>
            <w:tcW w:w="1029" w:type="dxa"/>
            <w:noWrap w:val="0"/>
            <w:vAlign w:val="top"/>
          </w:tcPr>
          <w:p>
            <w:pPr>
              <w:widowControl w:val="0"/>
              <w:adjustRightInd w:val="0"/>
              <w:snapToGrid w:val="0"/>
              <w:spacing w:line="360" w:lineRule="auto"/>
              <w:jc w:val="both"/>
              <w:rPr>
                <w:rFonts w:ascii="宋体" w:eastAsia="宋体" w:hAnsi="宋体"/>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78" w:type="dxa"/>
            <w:noWrap w:val="0"/>
            <w:vAlign w:val="top"/>
          </w:tcPr>
          <w:p>
            <w:pPr>
              <w:widowControl w:val="0"/>
              <w:adjustRightInd w:val="0"/>
              <w:snapToGrid w:val="0"/>
              <w:spacing w:line="360" w:lineRule="auto"/>
              <w:jc w:val="center"/>
              <w:rPr>
                <w:rFonts w:ascii="宋体" w:eastAsia="宋体" w:hAnsi="宋体"/>
                <w:color w:val="FF0000"/>
                <w:lang w:eastAsia="zh-CN"/>
              </w:rPr>
            </w:pPr>
            <w:r>
              <w:rPr>
                <w:rFonts w:ascii="宋体" w:eastAsia="宋体" w:hAnsi="宋体" w:hint="eastAsia"/>
                <w:color w:val="FF0000"/>
                <w:lang w:eastAsia="zh-CN"/>
              </w:rPr>
              <w:t>4</w:t>
            </w:r>
          </w:p>
        </w:tc>
        <w:tc>
          <w:tcPr>
            <w:tcW w:w="416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both"/>
              <w:textAlignment w:val="auto"/>
              <w:outlineLvl w:val="4"/>
              <w:rPr>
                <w:rFonts w:ascii="宋体" w:eastAsia="宋体" w:hAnsi="宋体" w:cs="宋体" w:hint="eastAsia"/>
                <w:color w:val="FF0000"/>
                <w:kern w:val="2"/>
                <w:lang w:eastAsia="zh-CN"/>
              </w:rPr>
            </w:pPr>
            <w:r>
              <w:rPr>
                <w:rFonts w:ascii="宋体" w:eastAsia="宋体" w:hAnsi="宋体" w:cs="宋体" w:hint="eastAsia"/>
                <w:color w:val="FF0000"/>
                <w:kern w:val="2"/>
                <w:lang w:eastAsia="zh-CN"/>
              </w:rPr>
              <w:t>★根据《深圳市托育机构设置指南》要求，</w:t>
            </w:r>
            <w:r>
              <w:rPr>
                <w:rFonts w:ascii="宋体" w:eastAsia="宋体" w:hAnsi="宋体" w:cs="宋体" w:hint="eastAsia"/>
                <w:color w:val="FF0000"/>
                <w:kern w:val="2"/>
                <w:lang w:eastAsia="zh-CN"/>
              </w:rPr>
              <w:t>设置</w:t>
            </w:r>
            <w:r>
              <w:rPr>
                <w:rFonts w:ascii="宋体" w:eastAsia="宋体" w:hAnsi="宋体" w:cs="宋体" w:hint="eastAsia"/>
                <w:color w:val="FF0000"/>
                <w:kern w:val="2"/>
                <w:lang w:eastAsia="zh-CN"/>
              </w:rPr>
              <w:t>托位数</w:t>
            </w:r>
            <w:r>
              <w:rPr>
                <w:rFonts w:ascii="宋体" w:eastAsia="宋体" w:hAnsi="宋体" w:cs="宋体" w:hint="eastAsia"/>
                <w:color w:val="FF0000"/>
                <w:kern w:val="2"/>
                <w:lang w:eastAsia="zh-CN"/>
              </w:rPr>
              <w:t>68</w:t>
            </w:r>
            <w:r>
              <w:rPr>
                <w:rFonts w:ascii="宋体" w:eastAsia="宋体" w:hAnsi="宋体" w:cs="宋体" w:hint="eastAsia"/>
                <w:color w:val="FF0000"/>
                <w:kern w:val="2"/>
                <w:lang w:eastAsia="zh-CN"/>
              </w:rPr>
              <w:t>个，</w:t>
            </w:r>
            <w:r>
              <w:rPr>
                <w:rFonts w:ascii="宋体" w:eastAsia="宋体" w:hAnsi="宋体" w:cs="宋体" w:hint="eastAsia"/>
                <w:color w:val="FF0000"/>
                <w:kern w:val="2"/>
                <w:lang w:eastAsia="zh-CN"/>
              </w:rPr>
              <w:t>以备案数为准</w:t>
            </w:r>
            <w:r>
              <w:rPr>
                <w:rFonts w:ascii="宋体" w:eastAsia="宋体" w:hAnsi="宋体" w:cs="宋体" w:hint="eastAsia"/>
                <w:color w:val="FF0000"/>
                <w:kern w:val="2"/>
                <w:lang w:eastAsia="zh-CN"/>
              </w:rPr>
              <w:t>。根据《深圳市普惠托育机构补助暂行办法》，如需申请相关政策性补贴，保育服务费收费标准须符合相关要求。</w:t>
            </w:r>
          </w:p>
        </w:tc>
        <w:tc>
          <w:tcPr>
            <w:tcW w:w="1687" w:type="dxa"/>
            <w:noWrap w:val="0"/>
            <w:vAlign w:val="top"/>
          </w:tcPr>
          <w:p>
            <w:pPr>
              <w:widowControl w:val="0"/>
              <w:adjustRightInd w:val="0"/>
              <w:snapToGrid w:val="0"/>
              <w:spacing w:line="360" w:lineRule="auto"/>
              <w:jc w:val="both"/>
              <w:rPr>
                <w:rFonts w:ascii="宋体" w:eastAsia="宋体" w:hAnsi="宋体"/>
                <w:sz w:val="21"/>
                <w:szCs w:val="21"/>
                <w:lang w:eastAsia="zh-CN"/>
              </w:rPr>
            </w:pPr>
          </w:p>
        </w:tc>
        <w:tc>
          <w:tcPr>
            <w:tcW w:w="1406" w:type="dxa"/>
            <w:noWrap w:val="0"/>
            <w:vAlign w:val="top"/>
          </w:tcPr>
          <w:p>
            <w:pPr>
              <w:widowControl w:val="0"/>
              <w:adjustRightInd w:val="0"/>
              <w:snapToGrid w:val="0"/>
              <w:spacing w:line="360" w:lineRule="auto"/>
              <w:jc w:val="both"/>
              <w:rPr>
                <w:rFonts w:ascii="宋体" w:eastAsia="宋体" w:hAnsi="宋体"/>
                <w:sz w:val="21"/>
                <w:szCs w:val="21"/>
                <w:lang w:eastAsia="zh-CN"/>
              </w:rPr>
            </w:pPr>
          </w:p>
        </w:tc>
        <w:tc>
          <w:tcPr>
            <w:tcW w:w="1029" w:type="dxa"/>
            <w:noWrap w:val="0"/>
            <w:vAlign w:val="top"/>
          </w:tcPr>
          <w:p>
            <w:pPr>
              <w:widowControl w:val="0"/>
              <w:adjustRightInd w:val="0"/>
              <w:snapToGrid w:val="0"/>
              <w:spacing w:line="360" w:lineRule="auto"/>
              <w:jc w:val="both"/>
              <w:rPr>
                <w:rFonts w:ascii="宋体" w:eastAsia="宋体" w:hAnsi="宋体"/>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78" w:type="dxa"/>
            <w:noWrap w:val="0"/>
            <w:vAlign w:val="top"/>
          </w:tcPr>
          <w:p>
            <w:pPr>
              <w:widowControl w:val="0"/>
              <w:adjustRightInd w:val="0"/>
              <w:snapToGrid w:val="0"/>
              <w:spacing w:line="360" w:lineRule="auto"/>
              <w:jc w:val="center"/>
              <w:rPr>
                <w:rFonts w:ascii="宋体" w:eastAsia="宋体" w:hAnsi="宋体"/>
                <w:color w:val="FF0000"/>
                <w:lang w:eastAsia="zh-CN"/>
              </w:rPr>
            </w:pPr>
            <w:r>
              <w:rPr>
                <w:rFonts w:ascii="宋体" w:eastAsia="宋体" w:hAnsi="宋体" w:hint="eastAsia"/>
                <w:color w:val="FF0000"/>
                <w:lang w:eastAsia="zh-CN"/>
              </w:rPr>
              <w:t>5</w:t>
            </w:r>
          </w:p>
        </w:tc>
        <w:tc>
          <w:tcPr>
            <w:tcW w:w="416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both"/>
              <w:textAlignment w:val="auto"/>
              <w:outlineLvl w:val="4"/>
              <w:rPr>
                <w:rFonts w:ascii="宋体" w:eastAsia="宋体" w:hAnsi="宋体" w:cs="宋体" w:hint="eastAsia"/>
                <w:color w:val="FF0000"/>
                <w:kern w:val="2"/>
                <w:lang w:eastAsia="zh-CN"/>
              </w:rPr>
            </w:pPr>
            <w:r>
              <w:rPr>
                <w:rFonts w:ascii="宋体" w:eastAsia="宋体" w:hAnsi="宋体" w:cs="宋体" w:hint="eastAsia"/>
                <w:color w:val="FF0000"/>
                <w:kern w:val="2"/>
                <w:lang w:eastAsia="zh-CN"/>
              </w:rPr>
              <w:t>★按照《深圳市残疾人街道综合（职业）康复服务中心管理办法》要求，按规定配备持有相应职业资格的专业人员及管理人员，为辖区残疾人提供政策性服务。</w:t>
            </w:r>
          </w:p>
        </w:tc>
        <w:tc>
          <w:tcPr>
            <w:tcW w:w="1687" w:type="dxa"/>
            <w:noWrap w:val="0"/>
            <w:vAlign w:val="top"/>
          </w:tcPr>
          <w:p>
            <w:pPr>
              <w:widowControl w:val="0"/>
              <w:adjustRightInd w:val="0"/>
              <w:snapToGrid w:val="0"/>
              <w:spacing w:line="360" w:lineRule="auto"/>
              <w:jc w:val="both"/>
              <w:rPr>
                <w:rFonts w:ascii="宋体" w:eastAsia="宋体" w:hAnsi="宋体"/>
                <w:sz w:val="21"/>
                <w:szCs w:val="21"/>
                <w:lang w:eastAsia="zh-CN"/>
              </w:rPr>
            </w:pPr>
          </w:p>
        </w:tc>
        <w:tc>
          <w:tcPr>
            <w:tcW w:w="1406" w:type="dxa"/>
            <w:noWrap w:val="0"/>
            <w:vAlign w:val="top"/>
          </w:tcPr>
          <w:p>
            <w:pPr>
              <w:widowControl w:val="0"/>
              <w:adjustRightInd w:val="0"/>
              <w:snapToGrid w:val="0"/>
              <w:spacing w:line="360" w:lineRule="auto"/>
              <w:jc w:val="both"/>
              <w:rPr>
                <w:rFonts w:ascii="宋体" w:eastAsia="宋体" w:hAnsi="宋体"/>
                <w:sz w:val="21"/>
                <w:szCs w:val="21"/>
                <w:lang w:eastAsia="zh-CN"/>
              </w:rPr>
            </w:pPr>
          </w:p>
        </w:tc>
        <w:tc>
          <w:tcPr>
            <w:tcW w:w="1029" w:type="dxa"/>
            <w:noWrap w:val="0"/>
            <w:vAlign w:val="top"/>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hint="eastAsia"/>
          <w:kern w:val="2"/>
          <w:sz w:val="21"/>
          <w:szCs w:val="22"/>
          <w:lang w:eastAsia="zh-CN"/>
        </w:rPr>
        <w:t>注：</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1.上表所列各项均为</w:t>
      </w:r>
      <w:r>
        <w:rPr>
          <w:rFonts w:ascii="宋体" w:eastAsia="宋体" w:hAnsi="宋体" w:cs="宋体" w:hint="eastAsia"/>
          <w:b/>
          <w:bCs/>
          <w:kern w:val="2"/>
          <w:lang w:eastAsia="zh-CN"/>
        </w:rPr>
        <w:t>不可负偏离条款</w:t>
      </w:r>
      <w:r>
        <w:rPr>
          <w:rFonts w:ascii="宋体" w:eastAsia="宋体" w:hAnsi="宋体" w:cs="宋体" w:hint="eastAsia"/>
          <w:kern w:val="2"/>
          <w:lang w:eastAsia="zh-CN"/>
        </w:rPr>
        <w:t>。</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2.“投标响应”一栏应当详细填写投标人自身响应情况，而不能不合理照搬照抄实质性条款具体内容。</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4.评审委员会有权对投标响应情况作出判断（作出评审结论）。</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5.实质性响应条款“投标响应情况”与投标文件其它内容冲突的，以实质性响应条款“投标响应情况”为准。</w:t>
      </w:r>
    </w:p>
    <w:p>
      <w:pPr>
        <w:widowControl w:val="0"/>
        <w:numPr>
          <w:ilvl w:val="0"/>
          <w:numId w:val="0"/>
        </w:numPr>
        <w:snapToGrid w:val="0"/>
        <w:spacing w:after="78" w:afterLines="25" w:line="300" w:lineRule="auto"/>
        <w:ind w:left="0" w:firstLine="480" w:leftChars="0" w:firstLineChars="200"/>
        <w:jc w:val="both"/>
        <w:rPr>
          <w:rFonts w:ascii="宋体" w:eastAsia="宋体" w:hAnsi="宋体" w:cs="宋体" w:hint="eastAsia"/>
          <w:kern w:val="2"/>
          <w:lang w:eastAsia="zh-CN"/>
        </w:rPr>
        <w:sectPr>
          <w:headerReference w:type="default" r:id="rId7"/>
          <w:footerReference w:type="default" r:id="rId8"/>
          <w:pgSz w:w="11906" w:h="16838"/>
          <w:pgMar w:top="2098" w:right="1474" w:bottom="1984" w:left="1587" w:header="851" w:footer="992" w:gutter="0"/>
          <w:pgNumType w:fmt="decimal"/>
          <w:cols w:num="1" w:space="720"/>
          <w:docGrid w:type="lines" w:linePitch="312" w:charSpace="0"/>
        </w:sectPr>
      </w:pPr>
      <w:r>
        <w:rPr>
          <w:rFonts w:ascii="宋体" w:eastAsia="宋体" w:hAnsi="宋体" w:cs="宋体" w:hint="eastAsia"/>
          <w:kern w:val="2"/>
          <w:lang w:eastAsia="zh-CN"/>
        </w:rPr>
        <w:t>6.要求提供证明资料，在“说明”一栏中列明证明资料的位置,以便评审；未要求提供证明材料的，投标人可以不提供。</w:t>
      </w:r>
    </w:p>
    <w:p>
      <w:pPr>
        <w:keepNext/>
        <w:keepLines/>
        <w:widowControl w:val="0"/>
        <w:adjustRightInd w:val="0"/>
        <w:snapToGrid w:val="0"/>
        <w:spacing w:line="360" w:lineRule="auto"/>
        <w:jc w:val="center"/>
        <w:textAlignment w:val="baseline"/>
        <w:outlineLvl w:val="4"/>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4.街道</w:t>
      </w:r>
      <w:r>
        <w:rPr>
          <w:rFonts w:ascii="宋体" w:eastAsia="宋体" w:hAnsi="宋体" w:cs="宋体" w:hint="eastAsia"/>
          <w:b/>
          <w:bCs/>
          <w:color w:val="auto"/>
          <w:sz w:val="24"/>
          <w:szCs w:val="24"/>
          <w:highlight w:val="none"/>
          <w:lang w:val="en-US" w:eastAsia="en-US"/>
        </w:rPr>
        <w:t>残疾人</w:t>
      </w:r>
      <w:r>
        <w:rPr>
          <w:rFonts w:ascii="宋体" w:eastAsia="宋体" w:hAnsi="宋体" w:cs="宋体" w:hint="eastAsia"/>
          <w:b/>
          <w:bCs/>
          <w:color w:val="auto"/>
          <w:sz w:val="24"/>
          <w:szCs w:val="24"/>
          <w:highlight w:val="none"/>
          <w:lang w:val="en-US" w:eastAsia="zh-CN"/>
        </w:rPr>
        <w:t>综合（职业）康复服务中心运营方案</w:t>
      </w:r>
    </w:p>
    <w:p>
      <w:pPr>
        <w:widowControl w:val="0"/>
        <w:jc w:val="both"/>
        <w:rPr>
          <w:rFonts w:ascii="宋体" w:eastAsia="宋体" w:hAnsi="宋体" w:cs="宋体" w:hint="eastAsia"/>
          <w:color w:val="auto"/>
          <w:kern w:val="2"/>
          <w:sz w:val="24"/>
          <w:szCs w:val="24"/>
          <w:highlight w:val="none"/>
          <w:lang w:eastAsia="zh-CN"/>
        </w:rPr>
      </w:pPr>
      <w:r>
        <w:rPr>
          <w:rFonts w:ascii="宋体" w:eastAsia="宋体" w:hAnsi="宋体" w:cs="宋体" w:hint="eastAsia"/>
          <w:color w:val="auto"/>
          <w:kern w:val="2"/>
          <w:sz w:val="24"/>
          <w:szCs w:val="24"/>
          <w:highlight w:val="none"/>
          <w:lang w:eastAsia="zh-CN"/>
        </w:rPr>
        <w:t>按照招标文件要求提供证明文件。</w:t>
      </w:r>
    </w:p>
    <w:p>
      <w:pPr>
        <w:keepNext/>
        <w:keepLines/>
        <w:widowControl w:val="0"/>
        <w:adjustRightInd w:val="0"/>
        <w:snapToGrid w:val="0"/>
        <w:spacing w:line="360" w:lineRule="auto"/>
        <w:jc w:val="center"/>
        <w:textAlignment w:val="baseline"/>
        <w:outlineLvl w:val="9"/>
        <w:rPr>
          <w:rFonts w:ascii="宋体" w:eastAsia="宋体" w:hAnsi="宋体" w:cs="宋体" w:hint="eastAsia"/>
          <w:b/>
          <w:bCs/>
          <w:color w:val="auto"/>
          <w:sz w:val="24"/>
          <w:szCs w:val="24"/>
          <w:highlight w:val="none"/>
          <w:lang w:val="en-US"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5.婴幼儿托育服务方案</w:t>
      </w:r>
    </w:p>
    <w:p>
      <w:pPr>
        <w:widowControl w:val="0"/>
        <w:jc w:val="both"/>
        <w:rPr>
          <w:rFonts w:ascii="宋体" w:eastAsia="宋体" w:hAnsi="宋体" w:cs="宋体" w:hint="eastAsia"/>
          <w:b/>
          <w:bCs/>
          <w:color w:val="auto"/>
          <w:sz w:val="24"/>
          <w:szCs w:val="24"/>
          <w:highlight w:val="none"/>
          <w:lang w:eastAsia="zh-CN"/>
        </w:rPr>
      </w:pPr>
      <w:r>
        <w:rPr>
          <w:rFonts w:ascii="宋体" w:eastAsia="宋体" w:hAnsi="宋体" w:cs="宋体" w:hint="eastAsia"/>
          <w:color w:val="auto"/>
          <w:kern w:val="2"/>
          <w:sz w:val="24"/>
          <w:szCs w:val="24"/>
          <w:highlight w:val="none"/>
          <w:lang w:eastAsia="zh-CN"/>
        </w:rPr>
        <w:t>按照招标文件要求提供证明文件。</w:t>
      </w:r>
    </w:p>
    <w:p>
      <w:pPr>
        <w:keepNext/>
        <w:keepLines/>
        <w:widowControl w:val="0"/>
        <w:adjustRightInd w:val="0"/>
        <w:snapToGrid w:val="0"/>
        <w:spacing w:line="360" w:lineRule="auto"/>
        <w:jc w:val="center"/>
        <w:textAlignment w:val="baseline"/>
        <w:outlineLvl w:val="9"/>
        <w:rPr>
          <w:rFonts w:ascii="宋体" w:eastAsia="宋体" w:hAnsi="宋体" w:cs="宋体" w:hint="eastAsia"/>
          <w:b/>
          <w:bCs/>
          <w:color w:val="auto"/>
          <w:sz w:val="24"/>
          <w:szCs w:val="24"/>
          <w:highlight w:val="none"/>
          <w:lang w:val="en-US"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6.为老助餐服务方案</w:t>
      </w:r>
    </w:p>
    <w:p>
      <w:pPr>
        <w:widowControl w:val="0"/>
        <w:jc w:val="both"/>
        <w:rPr>
          <w:rFonts w:ascii="宋体" w:eastAsia="宋体" w:hAnsi="宋体" w:cs="宋体" w:hint="eastAsia"/>
          <w:color w:val="auto"/>
          <w:kern w:val="2"/>
          <w:sz w:val="24"/>
          <w:szCs w:val="24"/>
          <w:highlight w:val="none"/>
          <w:lang w:eastAsia="zh-CN"/>
        </w:rPr>
      </w:pPr>
      <w:r>
        <w:rPr>
          <w:rFonts w:ascii="宋体" w:eastAsia="宋体" w:hAnsi="宋体" w:cs="宋体" w:hint="eastAsia"/>
          <w:color w:val="auto"/>
          <w:kern w:val="2"/>
          <w:sz w:val="24"/>
          <w:szCs w:val="24"/>
          <w:highlight w:val="none"/>
          <w:lang w:eastAsia="zh-CN"/>
        </w:rPr>
        <w:t>按照招标文件要求提供证明文件。</w:t>
      </w:r>
    </w:p>
    <w:p>
      <w:pPr>
        <w:keepNext/>
        <w:keepLines/>
        <w:widowControl w:val="0"/>
        <w:adjustRightInd w:val="0"/>
        <w:snapToGrid w:val="0"/>
        <w:spacing w:line="360" w:lineRule="auto"/>
        <w:jc w:val="center"/>
        <w:textAlignment w:val="baseline"/>
        <w:outlineLvl w:val="9"/>
        <w:rPr>
          <w:rFonts w:ascii="宋体" w:eastAsia="宋体" w:hAnsi="宋体" w:cs="宋体" w:hint="eastAsia"/>
          <w:b/>
          <w:bCs/>
          <w:color w:val="auto"/>
          <w:sz w:val="24"/>
          <w:szCs w:val="24"/>
          <w:highlight w:val="none"/>
          <w:lang w:val="en-US"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7.项目运营方案</w:t>
      </w:r>
    </w:p>
    <w:p>
      <w:pPr>
        <w:widowControl w:val="0"/>
        <w:jc w:val="both"/>
        <w:rPr>
          <w:rFonts w:ascii="宋体" w:eastAsia="宋体" w:hAnsi="宋体" w:cs="宋体" w:hint="eastAsia"/>
          <w:b/>
          <w:bCs/>
          <w:color w:val="auto"/>
          <w:sz w:val="24"/>
          <w:szCs w:val="24"/>
          <w:highlight w:val="none"/>
          <w:lang w:eastAsia="zh-CN"/>
        </w:rPr>
      </w:pPr>
      <w:r>
        <w:rPr>
          <w:rFonts w:ascii="宋体" w:eastAsia="宋体" w:hAnsi="宋体" w:cs="宋体" w:hint="eastAsia"/>
          <w:color w:val="auto"/>
          <w:kern w:val="2"/>
          <w:sz w:val="24"/>
          <w:szCs w:val="24"/>
          <w:highlight w:val="none"/>
          <w:lang w:eastAsia="zh-CN"/>
        </w:rPr>
        <w:t>按照招标文件要求提供证明文件。</w:t>
      </w:r>
    </w:p>
    <w:p>
      <w:pPr>
        <w:keepNext/>
        <w:keepLines/>
        <w:widowControl w:val="0"/>
        <w:adjustRightInd w:val="0"/>
        <w:snapToGrid w:val="0"/>
        <w:spacing w:line="360" w:lineRule="auto"/>
        <w:jc w:val="center"/>
        <w:textAlignment w:val="baseline"/>
        <w:outlineLvl w:val="9"/>
        <w:rPr>
          <w:rFonts w:ascii="宋体" w:eastAsia="宋体" w:hAnsi="宋体" w:cs="宋体" w:hint="eastAsia"/>
          <w:b/>
          <w:bCs/>
          <w:color w:val="auto"/>
          <w:sz w:val="24"/>
          <w:szCs w:val="24"/>
          <w:highlight w:val="none"/>
          <w:lang w:val="en-US"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8.项目需求分析</w:t>
      </w:r>
    </w:p>
    <w:p>
      <w:pPr>
        <w:widowControl w:val="0"/>
        <w:jc w:val="both"/>
        <w:rPr>
          <w:rFonts w:ascii="宋体" w:eastAsia="宋体" w:hAnsi="宋体" w:cs="宋体" w:hint="eastAsia"/>
          <w:color w:val="auto"/>
          <w:kern w:val="2"/>
          <w:sz w:val="24"/>
          <w:szCs w:val="24"/>
          <w:highlight w:val="none"/>
          <w:lang w:eastAsia="zh-CN"/>
        </w:rPr>
      </w:pPr>
      <w:r>
        <w:rPr>
          <w:rFonts w:ascii="宋体" w:eastAsia="宋体" w:hAnsi="宋体" w:cs="宋体" w:hint="eastAsia"/>
          <w:color w:val="auto"/>
          <w:kern w:val="2"/>
          <w:sz w:val="24"/>
          <w:szCs w:val="24"/>
          <w:highlight w:val="none"/>
          <w:lang w:eastAsia="zh-CN"/>
        </w:rPr>
        <w:t>按照招标文件要求提供证明文件。</w:t>
      </w:r>
    </w:p>
    <w:p>
      <w:pPr>
        <w:keepNext/>
        <w:keepLines/>
        <w:widowControl w:val="0"/>
        <w:adjustRightInd w:val="0"/>
        <w:snapToGrid w:val="0"/>
        <w:spacing w:line="360" w:lineRule="auto"/>
        <w:jc w:val="center"/>
        <w:textAlignment w:val="baseline"/>
        <w:outlineLvl w:val="9"/>
        <w:rPr>
          <w:rFonts w:ascii="宋体" w:eastAsia="宋体" w:hAnsi="宋体" w:cs="宋体" w:hint="eastAsia"/>
          <w:b/>
          <w:bCs/>
          <w:color w:val="auto"/>
          <w:sz w:val="24"/>
          <w:szCs w:val="24"/>
          <w:highlight w:val="none"/>
          <w:lang w:val="en-US"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9.项目应急预案</w:t>
      </w:r>
    </w:p>
    <w:p>
      <w:pPr>
        <w:widowControl w:val="0"/>
        <w:jc w:val="both"/>
        <w:rPr>
          <w:rFonts w:ascii="宋体" w:eastAsia="宋体" w:hAnsi="宋体" w:cs="宋体" w:hint="eastAsia"/>
          <w:color w:val="auto"/>
          <w:kern w:val="2"/>
          <w:sz w:val="24"/>
          <w:szCs w:val="24"/>
          <w:highlight w:val="none"/>
          <w:lang w:eastAsia="zh-CN"/>
        </w:rPr>
      </w:pPr>
      <w:r>
        <w:rPr>
          <w:rFonts w:ascii="宋体" w:eastAsia="宋体" w:hAnsi="宋体" w:cs="宋体" w:hint="eastAsia"/>
          <w:color w:val="auto"/>
          <w:kern w:val="2"/>
          <w:sz w:val="24"/>
          <w:szCs w:val="24"/>
          <w:highlight w:val="none"/>
          <w:lang w:eastAsia="zh-CN"/>
        </w:rPr>
        <w:t>按照招标文件要求提供证明文件。</w:t>
      </w:r>
    </w:p>
    <w:p>
      <w:pPr>
        <w:keepNext/>
        <w:keepLines/>
        <w:widowControl w:val="0"/>
        <w:adjustRightInd w:val="0"/>
        <w:snapToGrid w:val="0"/>
        <w:spacing w:line="360" w:lineRule="auto"/>
        <w:jc w:val="center"/>
        <w:textAlignment w:val="baseline"/>
        <w:outlineLvl w:val="9"/>
        <w:rPr>
          <w:rFonts w:ascii="宋体" w:eastAsia="宋体" w:hAnsi="宋体" w:cs="宋体" w:hint="eastAsia"/>
          <w:b/>
          <w:bCs/>
          <w:color w:val="auto"/>
          <w:sz w:val="24"/>
          <w:szCs w:val="24"/>
          <w:highlight w:val="none"/>
          <w:lang w:val="en-US"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10.项目重点难点分析、应对措施及相关的合理化建议</w:t>
      </w:r>
    </w:p>
    <w:p>
      <w:pPr>
        <w:widowControl w:val="0"/>
        <w:jc w:val="both"/>
        <w:rPr>
          <w:rFonts w:ascii="宋体" w:eastAsia="宋体" w:hAnsi="宋体" w:cs="宋体" w:hint="eastAsia"/>
          <w:b w:val="0"/>
          <w:bCs w:val="0"/>
          <w:color w:val="auto"/>
          <w:sz w:val="24"/>
          <w:szCs w:val="24"/>
          <w:highlight w:val="none"/>
          <w:lang w:eastAsia="zh-CN"/>
        </w:rPr>
      </w:pPr>
      <w:r>
        <w:rPr>
          <w:rFonts w:ascii="宋体" w:eastAsia="宋体" w:hAnsi="宋体" w:cs="宋体" w:hint="eastAsia"/>
          <w:color w:val="auto"/>
          <w:kern w:val="2"/>
          <w:sz w:val="24"/>
          <w:szCs w:val="24"/>
          <w:highlight w:val="none"/>
          <w:lang w:eastAsia="zh-CN"/>
        </w:rPr>
        <w:t>按照招标文件要求提供证明文件。</w:t>
      </w:r>
    </w:p>
    <w:p>
      <w:pPr>
        <w:keepNext/>
        <w:keepLines/>
        <w:widowControl w:val="0"/>
        <w:adjustRightInd w:val="0"/>
        <w:snapToGrid w:val="0"/>
        <w:spacing w:line="360" w:lineRule="auto"/>
        <w:jc w:val="center"/>
        <w:textAlignment w:val="baseline"/>
        <w:outlineLvl w:val="9"/>
        <w:rPr>
          <w:rFonts w:ascii="宋体" w:eastAsia="宋体" w:hAnsi="宋体" w:cs="宋体" w:hint="eastAsia"/>
          <w:b/>
          <w:bCs/>
          <w:color w:val="auto"/>
          <w:sz w:val="24"/>
          <w:szCs w:val="24"/>
          <w:highlight w:val="none"/>
          <w:lang w:val="en-US"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11.拟安排的项目负责人情况（仅限一人）</w:t>
      </w:r>
    </w:p>
    <w:p>
      <w:pPr>
        <w:widowControl w:val="0"/>
        <w:jc w:val="both"/>
        <w:rPr>
          <w:rFonts w:ascii="宋体" w:eastAsia="宋体" w:hAnsi="宋体" w:cs="宋体" w:hint="eastAsia"/>
          <w:color w:val="auto"/>
          <w:kern w:val="2"/>
          <w:sz w:val="24"/>
          <w:szCs w:val="24"/>
          <w:highlight w:val="none"/>
          <w:lang w:eastAsia="zh-CN"/>
        </w:rPr>
      </w:pPr>
      <w:r>
        <w:rPr>
          <w:rFonts w:ascii="宋体" w:eastAsia="宋体" w:hAnsi="宋体" w:cs="宋体" w:hint="eastAsia"/>
          <w:color w:val="auto"/>
          <w:kern w:val="2"/>
          <w:sz w:val="24"/>
          <w:szCs w:val="24"/>
          <w:highlight w:val="none"/>
          <w:lang w:eastAsia="zh-CN"/>
        </w:rPr>
        <w:t>按照招标文件要求提供证明文件。</w:t>
      </w:r>
    </w:p>
    <w:p>
      <w:pPr>
        <w:keepNext/>
        <w:keepLines/>
        <w:widowControl w:val="0"/>
        <w:adjustRightInd w:val="0"/>
        <w:snapToGrid w:val="0"/>
        <w:spacing w:line="360" w:lineRule="auto"/>
        <w:jc w:val="center"/>
        <w:textAlignment w:val="baseline"/>
        <w:outlineLvl w:val="9"/>
        <w:rPr>
          <w:rFonts w:ascii="宋体" w:eastAsia="宋体" w:hAnsi="宋体" w:cs="宋体" w:hint="eastAsia"/>
          <w:b/>
          <w:bCs/>
          <w:color w:val="auto"/>
          <w:sz w:val="24"/>
          <w:szCs w:val="24"/>
          <w:highlight w:val="none"/>
          <w:lang w:val="en-US"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12.拟安排的项目团队成员（项目负责人除外）</w:t>
      </w:r>
    </w:p>
    <w:p>
      <w:pPr>
        <w:widowControl w:val="0"/>
        <w:jc w:val="both"/>
        <w:rPr>
          <w:rFonts w:ascii="宋体" w:eastAsia="宋体" w:hAnsi="宋体" w:cs="宋体" w:hint="eastAsia"/>
          <w:b/>
          <w:bCs/>
          <w:color w:val="auto"/>
          <w:sz w:val="24"/>
          <w:szCs w:val="24"/>
          <w:highlight w:val="none"/>
          <w:lang w:eastAsia="zh-CN"/>
        </w:rPr>
      </w:pPr>
      <w:r>
        <w:rPr>
          <w:rFonts w:ascii="宋体" w:eastAsia="宋体" w:hAnsi="宋体" w:cs="宋体" w:hint="eastAsia"/>
          <w:color w:val="auto"/>
          <w:kern w:val="2"/>
          <w:sz w:val="24"/>
          <w:szCs w:val="24"/>
          <w:highlight w:val="none"/>
          <w:lang w:eastAsia="zh-CN"/>
        </w:rPr>
        <w:t>按照招标文件要求提供证明文件。</w:t>
      </w:r>
    </w:p>
    <w:p>
      <w:pPr>
        <w:keepNext/>
        <w:keepLines/>
        <w:widowControl w:val="0"/>
        <w:adjustRightInd w:val="0"/>
        <w:snapToGrid w:val="0"/>
        <w:spacing w:line="360" w:lineRule="auto"/>
        <w:jc w:val="center"/>
        <w:textAlignment w:val="baseline"/>
        <w:outlineLvl w:val="9"/>
        <w:rPr>
          <w:rFonts w:ascii="宋体" w:eastAsia="宋体" w:hAnsi="宋体" w:cs="宋体" w:hint="eastAsia"/>
          <w:b/>
          <w:bCs/>
          <w:color w:val="auto"/>
          <w:sz w:val="24"/>
          <w:szCs w:val="24"/>
          <w:highlight w:val="none"/>
          <w:lang w:val="en-US"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13.投标人认为需要加以说明的其他内容</w:t>
      </w:r>
    </w:p>
    <w:p>
      <w:pPr>
        <w:widowControl w:val="0"/>
        <w:spacing w:after="120" w:line="240" w:lineRule="auto"/>
        <w:jc w:val="both"/>
        <w:rPr>
          <w:rFonts w:ascii="宋体" w:eastAsia="宋体" w:hAnsi="宋体" w:cs="宋体" w:hint="eastAsia"/>
          <w:color w:val="auto"/>
          <w:kern w:val="2"/>
          <w:sz w:val="24"/>
          <w:szCs w:val="24"/>
          <w:highlight w:val="none"/>
          <w:lang w:eastAsia="zh-CN"/>
        </w:rPr>
      </w:pPr>
    </w:p>
    <w:p>
      <w:pPr>
        <w:widowControl w:val="0"/>
        <w:spacing w:after="120" w:line="240" w:lineRule="auto"/>
        <w:ind w:left="480" w:firstLine="480" w:leftChars="200" w:firstLineChars="200"/>
        <w:jc w:val="both"/>
        <w:rPr>
          <w:rFonts w:ascii="Arial" w:eastAsia="宋体" w:hAnsi="Arial"/>
          <w:color w:val="auto"/>
          <w:kern w:val="2"/>
          <w:highlight w:val="none"/>
          <w:lang w:eastAsia="zh-CN"/>
        </w:rPr>
      </w:pPr>
    </w:p>
    <w:p>
      <w:pPr>
        <w:keepNext/>
        <w:keepLines/>
        <w:pageBreakBefore w:val="0"/>
        <w:widowControl w:val="0"/>
        <w:kinsoku/>
        <w:overflowPunct/>
        <w:topLinePunct w:val="0"/>
        <w:bidi w:val="0"/>
        <w:spacing w:before="260" w:after="260" w:line="240" w:lineRule="auto"/>
        <w:jc w:val="center"/>
        <w:outlineLvl w:val="1"/>
        <w:rPr>
          <w:rFonts w:ascii="宋体" w:eastAsia="宋体" w:hAnsi="宋体" w:cs="宋体" w:hint="eastAsia"/>
          <w:b/>
          <w:bCs/>
          <w:color w:val="auto"/>
          <w:highlight w:val="none"/>
          <w:lang w:eastAsia="zh-CN"/>
        </w:rPr>
      </w:pPr>
      <w:r>
        <w:rPr>
          <w:rFonts w:ascii="宋体" w:eastAsia="宋体" w:hAnsi="宋体" w:cs="宋体" w:hint="eastAsia"/>
          <w:b/>
          <w:bCs/>
          <w:color w:val="auto"/>
          <w:highlight w:val="none"/>
          <w:lang w:eastAsia="zh-CN"/>
        </w:rPr>
        <w:br w:type="page"/>
      </w:r>
      <w:r>
        <w:rPr>
          <w:rFonts w:ascii="宋体" w:eastAsia="宋体" w:hAnsi="宋体" w:cs="宋体" w:hint="eastAsia"/>
          <w:b/>
          <w:bCs/>
          <w:color w:val="auto"/>
          <w:highlight w:val="none"/>
          <w:lang w:eastAsia="zh-CN"/>
        </w:rPr>
        <w:t>第五章  协议条款及格式</w:t>
      </w:r>
    </w:p>
    <w:p>
      <w:pPr>
        <w:pageBreakBefore w:val="0"/>
        <w:widowControl w:val="0"/>
        <w:kinsoku/>
        <w:overflowPunct/>
        <w:topLinePunct w:val="0"/>
        <w:bidi w:val="0"/>
        <w:spacing w:line="240" w:lineRule="auto"/>
        <w:jc w:val="center"/>
        <w:rPr>
          <w:rFonts w:ascii="宋体" w:eastAsia="宋体" w:hAnsi="宋体" w:cs="宋体" w:hint="default"/>
          <w:b/>
          <w:bCs/>
          <w:color w:val="auto"/>
          <w:kern w:val="2"/>
          <w:highlight w:val="none"/>
          <w:lang w:val="en-US" w:eastAsia="zh-CN"/>
        </w:rPr>
      </w:pPr>
      <w:r>
        <w:rPr>
          <w:rFonts w:ascii="宋体" w:eastAsia="宋体" w:hAnsi="宋体" w:cs="宋体" w:hint="eastAsia"/>
          <w:b/>
          <w:bCs/>
          <w:color w:val="auto"/>
          <w:kern w:val="2"/>
          <w:highlight w:val="none"/>
          <w:lang w:val="en-US" w:eastAsia="zh-CN"/>
        </w:rPr>
        <w:t>详见附件：《清水河街道社区综合服务体公建民营项目运营合同（草案）》</w:t>
      </w:r>
    </w:p>
    <w:p>
      <w:pPr>
        <w:widowControl/>
        <w:jc w:val="left"/>
        <w:outlineLvl w:val="9"/>
        <w:rPr>
          <w:rFonts w:ascii="Calibri" w:eastAsia="宋体" w:hAnsi="Calibri"/>
          <w:b/>
          <w:color w:val="auto"/>
          <w:kern w:val="2"/>
          <w:sz w:val="52"/>
          <w:szCs w:val="52"/>
          <w:highlight w:val="none"/>
          <w:lang w:eastAsia="zh-CN"/>
        </w:rPr>
      </w:pPr>
    </w:p>
    <w:p>
      <w:pPr>
        <w:keepNext/>
        <w:keepLines/>
        <w:pageBreakBefore w:val="0"/>
        <w:widowControl w:val="0"/>
        <w:kinsoku/>
        <w:overflowPunct/>
        <w:topLinePunct w:val="0"/>
        <w:bidi w:val="0"/>
        <w:spacing w:before="340" w:after="60" w:afterLines="25" w:line="240" w:lineRule="auto"/>
        <w:jc w:val="center"/>
        <w:outlineLvl w:val="0"/>
        <w:rPr>
          <w:rFonts w:ascii="宋体" w:eastAsia="宋体" w:hAnsi="宋体" w:cs="宋体" w:hint="eastAsia"/>
          <w:b/>
          <w:bCs/>
          <w:color w:val="auto"/>
          <w:kern w:val="44"/>
          <w:highlight w:val="none"/>
          <w:lang w:eastAsia="zh-CN"/>
        </w:rPr>
      </w:pPr>
      <w:r>
        <w:rPr>
          <w:rFonts w:ascii="宋体" w:eastAsia="宋体" w:hAnsi="宋体" w:cs="宋体" w:hint="eastAsia"/>
          <w:b/>
          <w:bCs/>
          <w:color w:val="auto"/>
          <w:kern w:val="44"/>
          <w:highlight w:val="none"/>
          <w:lang w:eastAsia="zh-CN"/>
        </w:rPr>
        <w:br w:type="page"/>
      </w:r>
      <w:r>
        <w:rPr>
          <w:rFonts w:ascii="宋体" w:eastAsia="宋体" w:hAnsi="宋体" w:cs="宋体" w:hint="eastAsia"/>
          <w:b/>
          <w:bCs/>
          <w:color w:val="auto"/>
          <w:kern w:val="44"/>
          <w:highlight w:val="none"/>
          <w:lang w:eastAsia="zh-CN"/>
        </w:rPr>
        <w:t>第二册  通用条款（公开招标）</w:t>
      </w:r>
    </w:p>
    <w:p>
      <w:pPr>
        <w:keepNext/>
        <w:keepLines/>
        <w:pageBreakBefore w:val="0"/>
        <w:widowControl w:val="0"/>
        <w:numPr>
          <w:ilvl w:val="0"/>
          <w:numId w:val="0"/>
        </w:numPr>
        <w:tabs>
          <w:tab w:val="left" w:pos="720"/>
        </w:tabs>
        <w:kinsoku/>
        <w:overflowPunct/>
        <w:topLinePunct w:val="0"/>
        <w:bidi w:val="0"/>
        <w:adjustRightInd w:val="0"/>
        <w:spacing w:before="120" w:beforeLines="50" w:after="120" w:afterLines="50" w:line="240" w:lineRule="auto"/>
        <w:ind w:left="1080" w:hanging="1080" w:leftChars="0" w:firstLineChars="0"/>
        <w:jc w:val="center"/>
        <w:textAlignment w:val="baseline"/>
        <w:outlineLvl w:val="1"/>
        <w:rPr>
          <w:rFonts w:ascii="宋体" w:eastAsia="宋体" w:hAnsi="宋体" w:cs="宋体" w:hint="eastAsia"/>
          <w:b/>
          <w:bCs/>
          <w:color w:val="auto"/>
          <w:kern w:val="2"/>
          <w:highlight w:val="none"/>
          <w:lang w:eastAsia="zh-CN"/>
        </w:rPr>
      </w:pPr>
      <w:bookmarkStart w:id="177" w:name="_Hlk72399513"/>
      <w:r>
        <w:rPr>
          <w:rFonts w:ascii="宋体" w:eastAsia="宋体" w:hAnsi="宋体" w:cs="宋体"/>
          <w:b/>
          <w:bCs/>
          <w:color w:val="auto"/>
          <w:kern w:val="2"/>
          <w:highlight w:val="none"/>
          <w:lang w:eastAsia="zh-CN"/>
        </w:rPr>
        <w:t>第一章</w:t>
      </w:r>
      <w:r>
        <w:rPr>
          <w:rFonts w:ascii="宋体" w:eastAsia="宋体" w:hAnsi="宋体" w:cs="宋体" w:hint="eastAsia"/>
          <w:b/>
          <w:bCs/>
          <w:color w:val="auto"/>
          <w:kern w:val="2"/>
          <w:highlight w:val="none"/>
          <w:lang w:eastAsia="zh-CN"/>
        </w:rPr>
        <w:t xml:space="preserve"> 总则</w:t>
      </w:r>
    </w:p>
    <w:bookmarkEnd w:id="177"/>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bookmarkStart w:id="178" w:name="_Hlk72439706"/>
      <w:r>
        <w:rPr>
          <w:rFonts w:ascii="宋体" w:eastAsia="宋体" w:hAnsi="宋体" w:cs="宋体" w:hint="eastAsia"/>
          <w:color w:val="auto"/>
          <w:kern w:val="2"/>
          <w:highlight w:val="none"/>
          <w:lang w:eastAsia="zh-CN"/>
        </w:rPr>
        <w:t>1. 通用条款说明</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1.1</w:t>
      </w:r>
      <w:bookmarkStart w:id="179" w:name="OLE_LINK2"/>
      <w:r>
        <w:rPr>
          <w:rFonts w:ascii="宋体" w:eastAsia="宋体" w:hAnsi="宋体" w:cs="宋体" w:hint="eastAsia"/>
          <w:color w:val="auto"/>
          <w:kern w:val="2"/>
          <w:highlight w:val="none"/>
          <w:lang w:eastAsia="zh-CN"/>
        </w:rPr>
        <w:t>招标代理机构发出招标文件</w:t>
      </w:r>
      <w:bookmarkEnd w:id="179"/>
      <w:r>
        <w:rPr>
          <w:rFonts w:ascii="宋体" w:eastAsia="宋体" w:hAnsi="宋体" w:cs="宋体" w:hint="eastAsia"/>
          <w:color w:val="auto"/>
          <w:kern w:val="2"/>
          <w:highlight w:val="none"/>
          <w:lang w:eastAsia="zh-CN"/>
        </w:rPr>
        <w:t>通用条款版本，列出招标项目进行招标所适用的通用条款内容。</w:t>
      </w:r>
      <w:bookmarkStart w:id="180" w:name="_Hlk72399729"/>
      <w:r>
        <w:rPr>
          <w:rFonts w:ascii="宋体" w:eastAsia="宋体" w:hAnsi="宋体" w:cs="宋体" w:hint="eastAsia"/>
          <w:color w:val="auto"/>
          <w:kern w:val="2"/>
          <w:highlight w:val="none"/>
          <w:lang w:eastAsia="zh-CN"/>
        </w:rPr>
        <w:t>如有需要，招标代理机构可以对通用条款的内容进行补充。</w:t>
      </w:r>
      <w:bookmarkEnd w:id="180"/>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1.2招标文件分为第一册“专用条款”和第二册“通用条款”。</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1.3“专用条款”是对本次招标项目的具体要求，包含招标公告、对通用条款的补充内容及其他关键信息、用户需求书、投标文件格式及附件、协议条款及格式等内容。</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1.4“通用条款”是适用于公开招标项目的基础性条款，具有普遍性和通用性。</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1.5 “专用条款”和“通用条款”表述不一致或有冲突时，以“专用条款”为准。</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2．招标说明</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本项目为运营权项目，根据《中华人民共和国政府采购法》《中华人民共和国招标投标法》《</w:t>
      </w:r>
      <w:hyperlink r:id="rId4" w:tgtFrame="https://www.baidu.com/_blank" w:history="1">
        <w:r>
          <w:rPr>
            <w:rFonts w:ascii="宋体" w:eastAsia="宋体" w:hAnsi="宋体" w:cs="宋体" w:hint="eastAsia"/>
            <w:color w:val="auto"/>
            <w:kern w:val="2"/>
            <w:highlight w:val="none"/>
            <w:lang w:eastAsia="zh-CN"/>
          </w:rPr>
          <w:t>中华人民共和国民法典</w:t>
        </w:r>
      </w:hyperlink>
      <w:r>
        <w:rPr>
          <w:rFonts w:ascii="宋体" w:eastAsia="宋体" w:hAnsi="宋体" w:cs="宋体" w:hint="eastAsia"/>
          <w:color w:val="auto"/>
          <w:kern w:val="2"/>
          <w:highlight w:val="none"/>
          <w:lang w:eastAsia="zh-CN"/>
        </w:rPr>
        <w:t>》，并参照有关法规、政策、规章、规定通过公开招标择优选定运营方。</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3．定义</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招标文件中下列术语应解释为：</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3.1“</w:t>
      </w:r>
      <w:bookmarkStart w:id="181" w:name="OLE_LINK7"/>
      <w:r>
        <w:rPr>
          <w:rFonts w:ascii="宋体" w:eastAsia="宋体" w:hAnsi="宋体" w:cs="宋体" w:hint="eastAsia"/>
          <w:color w:val="auto"/>
          <w:kern w:val="2"/>
          <w:highlight w:val="none"/>
          <w:lang w:eastAsia="zh-CN"/>
        </w:rPr>
        <w:t>招标人</w:t>
      </w:r>
      <w:bookmarkEnd w:id="181"/>
      <w:r>
        <w:rPr>
          <w:rFonts w:ascii="宋体" w:eastAsia="宋体" w:hAnsi="宋体" w:cs="宋体" w:hint="eastAsia"/>
          <w:color w:val="auto"/>
          <w:kern w:val="2"/>
          <w:highlight w:val="none"/>
          <w:lang w:eastAsia="zh-CN"/>
        </w:rPr>
        <w:t>”：指对项目进行招标的国家机关、事业单位、团体组织；</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 “招标代理机构”</w:t>
      </w:r>
      <w:r>
        <w:rPr>
          <w:rFonts w:ascii="宋体" w:eastAsia="宋体" w:hAnsi="宋体" w:cs="宋体" w:hint="eastAsia"/>
          <w:color w:val="auto"/>
          <w:kern w:val="2"/>
          <w:highlight w:val="none"/>
          <w:shd w:val="clear" w:color="auto" w:fill="FFFFFF"/>
          <w:lang w:eastAsia="zh-CN"/>
        </w:rPr>
        <w:t>：</w:t>
      </w:r>
      <w:r>
        <w:rPr>
          <w:rFonts w:ascii="宋体" w:eastAsia="宋体" w:hAnsi="宋体" w:cs="宋体" w:hint="eastAsia"/>
          <w:color w:val="auto"/>
          <w:kern w:val="2"/>
          <w:highlight w:val="none"/>
          <w:lang w:eastAsia="zh-CN"/>
        </w:rPr>
        <w:t>本文件所述的“招标代理机构”指深圳交易集团有限公司罗湖分公司；</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3.3“投标人”，即供应商，指参加投标竞争并愿意按照招标文件要求向招标人提供货物、工程或者服务的依法成立的法人、其他组织或者自然人；</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3.4“评审委员会”是专门负责本次招标其评审工作的临时性机构；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3.5“日期”指公历日；</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3.6“协议”指由本次招标所产生的协议或合约文件；</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3.7“电子投标文件”指利用</w:t>
      </w:r>
      <w:r>
        <w:rPr>
          <w:rFonts w:ascii="宋体" w:eastAsia="宋体" w:hAnsi="宋体" w:cs="宋体" w:hint="eastAsia"/>
          <w:b/>
          <w:bCs/>
          <w:color w:val="auto"/>
          <w:kern w:val="2"/>
          <w:highlight w:val="none"/>
          <w:lang w:eastAsia="zh-CN"/>
        </w:rPr>
        <w:t>深圳公共资源交易中心（深圳交易集团有限公司罗湖分公司）</w:t>
      </w:r>
      <w:r>
        <w:rPr>
          <w:rFonts w:ascii="宋体" w:eastAsia="宋体" w:hAnsi="宋体" w:cs="宋体" w:hint="eastAsia"/>
          <w:color w:val="auto"/>
          <w:kern w:val="2"/>
          <w:highlight w:val="none"/>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3.8“网上投标”指通过</w:t>
      </w:r>
      <w:r>
        <w:rPr>
          <w:rFonts w:ascii="宋体" w:eastAsia="宋体" w:hAnsi="宋体" w:cs="宋体" w:hint="eastAsia"/>
          <w:b/>
          <w:bCs/>
          <w:color w:val="auto"/>
          <w:kern w:val="2"/>
          <w:highlight w:val="none"/>
          <w:lang w:eastAsia="zh-CN"/>
        </w:rPr>
        <w:t>深圳公共资源交易中心（深圳交易集团有限公司罗湖分公司）</w:t>
      </w:r>
      <w:r>
        <w:rPr>
          <w:rFonts w:ascii="宋体" w:eastAsia="宋体" w:hAnsi="宋体" w:cs="宋体" w:hint="eastAsia"/>
          <w:color w:val="auto"/>
          <w:kern w:val="2"/>
          <w:highlight w:val="none"/>
          <w:lang w:eastAsia="zh-CN"/>
        </w:rPr>
        <w:t>网站上传电子投标文件；</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3.9招标文件中的标题或题名仅起引导作用，而不应视为对招标文件内容的理解和解释。</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4. </w:t>
      </w:r>
      <w:bookmarkStart w:id="182" w:name="_Hlk72398643"/>
      <w:r>
        <w:rPr>
          <w:rFonts w:ascii="宋体" w:eastAsia="宋体" w:hAnsi="宋体" w:cs="宋体" w:hint="eastAsia"/>
          <w:color w:val="auto"/>
          <w:kern w:val="2"/>
          <w:highlight w:val="none"/>
          <w:lang w:eastAsia="zh-CN"/>
        </w:rPr>
        <w:t>投标人责任</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4.1投标人应当遵循公平竞争的原则，不得恶意串通，不得妨碍其他投标人的竞争行为，不得损害招标人或者其他投标人的合法权益。如违反上述要求，经核实后，投标人的投标无效。</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5．投标人参加交易活动的条件</w:t>
      </w:r>
    </w:p>
    <w:p>
      <w:pPr>
        <w:pageBreakBefore w:val="0"/>
        <w:widowControl w:val="0"/>
        <w:kinsoku/>
        <w:overflowPunct/>
        <w:topLinePunct w:val="0"/>
        <w:bidi w:val="0"/>
        <w:spacing w:line="240" w:lineRule="auto"/>
        <w:ind w:firstLine="470" w:firstLineChars="196"/>
        <w:jc w:val="left"/>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5.1投标人应在投标前到</w:t>
      </w:r>
      <w:r>
        <w:rPr>
          <w:rFonts w:ascii="宋体" w:eastAsia="宋体" w:hAnsi="宋体" w:cs="宋体" w:hint="eastAsia"/>
          <w:b/>
          <w:bCs/>
          <w:color w:val="auto"/>
          <w:kern w:val="2"/>
          <w:highlight w:val="none"/>
          <w:lang w:eastAsia="zh-CN"/>
        </w:rPr>
        <w:t>深圳公共资源交易中心（具体在深圳交易集团有限公司政府采购业务分公司进行办理）</w:t>
      </w:r>
      <w:r>
        <w:rPr>
          <w:rFonts w:ascii="宋体" w:eastAsia="宋体" w:hAnsi="宋体" w:cs="宋体" w:hint="eastAsia"/>
          <w:color w:val="auto"/>
          <w:kern w:val="2"/>
          <w:highlight w:val="none"/>
          <w:lang w:eastAsia="zh-CN"/>
        </w:rPr>
        <w:t>进行注册并办理电子密钥。 电子密钥办理咨询电话（0755-83948165、0755-83938966、4008301330）。</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5.2投标人资格要求</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参加本项目的投标人应具备的资格条件详见本项目招标公告中 “投标人资格要求”（即申请人的资格要求）的内容。</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5.3联合体投标</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5.3.1　以下有关联合体投标的条款仅适用于允许投标人组成联合体投标的项目。</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5.3.2  由两个或两个以上的自然人、法人或者其他组织可以组成一个联合体，以一个投标人的身份共同投标时，应符合以下原则：</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（1）投标联合体各方参加交易活动应当具备下列条件： </w:t>
      </w:r>
    </w:p>
    <w:p>
      <w:pPr>
        <w:pageBreakBefore w:val="0"/>
        <w:widowControl w:val="0"/>
        <w:kinsoku/>
        <w:overflowPunct/>
        <w:topLinePunct w:val="0"/>
        <w:bidi w:val="0"/>
        <w:spacing w:line="240" w:lineRule="auto"/>
        <w:ind w:left="480" w:firstLine="470" w:leftChars="2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1、具有独立承担民事责任的能力； </w:t>
      </w:r>
    </w:p>
    <w:p>
      <w:pPr>
        <w:pageBreakBefore w:val="0"/>
        <w:widowControl w:val="0"/>
        <w:kinsoku/>
        <w:overflowPunct/>
        <w:topLinePunct w:val="0"/>
        <w:bidi w:val="0"/>
        <w:spacing w:line="240" w:lineRule="auto"/>
        <w:ind w:left="420"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2、有良好的商业信誉和健全的财务会计制度； </w:t>
      </w:r>
    </w:p>
    <w:p>
      <w:pPr>
        <w:pageBreakBefore w:val="0"/>
        <w:widowControl w:val="0"/>
        <w:kinsoku/>
        <w:overflowPunct/>
        <w:topLinePunct w:val="0"/>
        <w:bidi w:val="0"/>
        <w:spacing w:line="240" w:lineRule="auto"/>
        <w:ind w:left="480" w:firstLine="470" w:leftChars="2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3、具有履行协议所必需的设备和专业技术能力； </w:t>
      </w:r>
    </w:p>
    <w:p>
      <w:pPr>
        <w:pageBreakBefore w:val="0"/>
        <w:widowControl w:val="0"/>
        <w:kinsoku/>
        <w:overflowPunct/>
        <w:topLinePunct w:val="0"/>
        <w:bidi w:val="0"/>
        <w:spacing w:line="240" w:lineRule="auto"/>
        <w:ind w:left="480" w:firstLine="470" w:leftChars="2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4、有依法缴纳税收和社会保障资金的良好记录； </w:t>
      </w:r>
    </w:p>
    <w:p>
      <w:pPr>
        <w:pageBreakBefore w:val="0"/>
        <w:widowControl w:val="0"/>
        <w:kinsoku/>
        <w:overflowPunct/>
        <w:topLinePunct w:val="0"/>
        <w:bidi w:val="0"/>
        <w:spacing w:line="240" w:lineRule="auto"/>
        <w:ind w:left="480" w:firstLine="470" w:leftChars="2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5、参加交易活动前三年内，在经营活动中没有重大违法记录； </w:t>
      </w:r>
    </w:p>
    <w:p>
      <w:pPr>
        <w:pageBreakBefore w:val="0"/>
        <w:widowControl w:val="0"/>
        <w:kinsoku/>
        <w:overflowPunct/>
        <w:topLinePunct w:val="0"/>
        <w:bidi w:val="0"/>
        <w:spacing w:line="240" w:lineRule="auto"/>
        <w:ind w:left="480" w:firstLine="470" w:leftChars="2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6、法律、行政法规规定的其他条件。 </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（2）在投标截止前，投标联合体各方均应注册成政府集中采购机构供应商；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（3）联合体中有同类资质的供应商按照联合体分工承担相同工作的，应当按照资质等级较低的供应商确定资质等级；</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（4）是否允许联合体参加投标，应当由招标人和招标代理机构根据项目的实际情况和潜在供应商的数量自主决定，如果决定接受联合体投标则应当在招标公告中明示；</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（5）投标人的投标文件及中标后签署的协议协议对联合体各方均具法律约束力；</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（6）联合体各方应当签订联合体投标协议，明确约定各方拟承担的工作和责任，并将该协议随投标文件一并递交给招标代理机构；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（7）联合体中标后，联合体各方应当共同与招标人签订协议，就中标项目向招标人承担连带责任；</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（8）以联合体形式参加</w:t>
      </w:r>
      <w:bookmarkStart w:id="183" w:name="OLE_LINK8"/>
      <w:r>
        <w:rPr>
          <w:rFonts w:ascii="宋体" w:eastAsia="宋体" w:hAnsi="宋体" w:cs="宋体" w:hint="eastAsia"/>
          <w:color w:val="auto"/>
          <w:kern w:val="2"/>
          <w:highlight w:val="none"/>
          <w:lang w:eastAsia="zh-CN"/>
        </w:rPr>
        <w:t>招标活动</w:t>
      </w:r>
      <w:bookmarkEnd w:id="183"/>
      <w:r>
        <w:rPr>
          <w:rFonts w:ascii="宋体" w:eastAsia="宋体" w:hAnsi="宋体" w:cs="宋体" w:hint="eastAsia"/>
          <w:color w:val="auto"/>
          <w:kern w:val="2"/>
          <w:highlight w:val="none"/>
          <w:lang w:eastAsia="zh-CN"/>
        </w:rPr>
        <w:t>的，联合体各方不得再单独参加或者与其他供应商另外组成联合体参加同一协议项下的招标活动，出现上述情况者，其投标和与此有关联合体、总包单位的投标将被拒绝；</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（9）本通用条款中“投标人”一词亦指联合体各方，专用条款另有规定或说明的除外。</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6．政策导向</w:t>
      </w:r>
    </w:p>
    <w:p>
      <w:pPr>
        <w:pageBreakBefore w:val="0"/>
        <w:widowControl w:val="0"/>
        <w:kinsoku/>
        <w:overflowPunct/>
        <w:topLinePunct w:val="0"/>
        <w:bidi w:val="0"/>
        <w:spacing w:line="240" w:lineRule="auto"/>
        <w:ind w:firstLine="405"/>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6.1 本项目支持投标人性别平等的相关政策。</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 本项目若涉及采购货物，则合格的货物及相应服务应满足以下要求：</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7.1  必须是全新、未使用过的原装合格正品（包括零部件），如安装或配置了软件的，须为正版软件。</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7.2  国产的货物及其有关服务必须符合中华人民共和国的设计、制造生产标准及行业标准。招标公告有其他要求的，亦应符合其要求。</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7.4  投标人</w:t>
      </w:r>
      <w:bookmarkStart w:id="184" w:name="_Hlk72152753"/>
      <w:r>
        <w:rPr>
          <w:rFonts w:ascii="宋体" w:eastAsia="宋体" w:hAnsi="宋体" w:cs="宋体" w:hint="eastAsia"/>
          <w:color w:val="auto"/>
          <w:kern w:val="2"/>
          <w:highlight w:val="none"/>
          <w:lang w:eastAsia="zh-CN"/>
        </w:rPr>
        <w:t>应保证，其所提供的货物通过合法正规渠道供货，在提供给招标人前具有完全的所有权，招标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84"/>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协议规定完成设备的安装，并达到验收标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7.6  工期要求：投标人在投标时对其所投项目应提交交货进度、交货计划等，在协议规定的时间内完成项目实施工作。</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7.7  投标人必须承担的设备运输、安装调试、验收检测和提供设备操作说明书、图纸等其他相关及类似的义务。</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8．投标费用</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不论投标结果如何，投标人应承担其编制投标文件与递交投标文件所涉及的一切费用。</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9．踏勘现场</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9.1如有需要（详见专用条款），招标人或招标代理机构将组织投标人对项目现场及周围环境进行踏勘，以便投标人获取有关编制投标文件和签署协议所需的资料。踏勘现场所发生的费用由投标人自行承担。投标人应按招标文件所约定的时间、地点踏勘现场。</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9.2投标人及其人员经过招标人的允许，可以进入招标人的项目现场踏勘。若招标文件要求投标人于统一时间地点踏勘现场的，投标人应当按时前往。</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9.3招标人应当通过招标代理机构向投标人提供有关现场的书面资料和数据。</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9.4任何人或任何组织在踏勘现场时向投标人提供的任何书面资料或口头承诺，未经招标代理机构在网上发布或书面通知，均作无效处理。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9.5未参与踏勘现场不作为否定投标人资格的理由。</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10．标前会议</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10.1如招标人或招标代理机构认为有必要组织标前会议，投标人应按照招标文件规定的时间或招标代理机构另行书面通知（包括招标代理机构网站发布方式，如更正公告等）的时间和地点，参与标前会议。</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10.2任何人或任何组织在标前会议时向投标人提供的任何书面资料或口头承诺，未经招标代理机构在网上发布或书面通知，均作无效处理。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10.3未参与标前会议不作为否定投标人资格的理由。</w:t>
      </w:r>
    </w:p>
    <w:bookmarkEnd w:id="182"/>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p>
    <w:p>
      <w:pPr>
        <w:keepNext/>
        <w:keepLines/>
        <w:pageBreakBefore w:val="0"/>
        <w:widowControl w:val="0"/>
        <w:numPr>
          <w:ilvl w:val="0"/>
          <w:numId w:val="0"/>
        </w:numPr>
        <w:kinsoku/>
        <w:overflowPunct/>
        <w:topLinePunct w:val="0"/>
        <w:bidi w:val="0"/>
        <w:spacing w:before="120" w:beforeLines="50" w:after="120" w:afterLines="50" w:line="240" w:lineRule="auto"/>
        <w:ind w:left="562" w:hanging="562" w:leftChars="0" w:firstLineChars="0"/>
        <w:jc w:val="center"/>
        <w:outlineLvl w:val="1"/>
        <w:rPr>
          <w:rFonts w:ascii="宋体" w:eastAsia="宋体" w:hAnsi="宋体" w:cs="宋体" w:hint="eastAsia"/>
          <w:b/>
          <w:bCs/>
          <w:color w:val="auto"/>
          <w:kern w:val="2"/>
          <w:highlight w:val="none"/>
          <w:lang w:eastAsia="zh-CN"/>
        </w:rPr>
      </w:pPr>
      <w:r>
        <w:rPr>
          <w:rFonts w:ascii="宋体" w:eastAsia="宋体" w:hAnsi="宋体" w:cs="宋体" w:hint="eastAsia"/>
          <w:b/>
          <w:bCs/>
          <w:color w:val="auto"/>
          <w:kern w:val="2"/>
          <w:highlight w:val="none"/>
          <w:lang w:eastAsia="zh-CN"/>
        </w:rPr>
        <w:t>第二章 招标文件</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11．</w:t>
      </w:r>
      <w:bookmarkStart w:id="185" w:name="_Hlk72399819"/>
      <w:r>
        <w:rPr>
          <w:rFonts w:ascii="宋体" w:eastAsia="宋体" w:hAnsi="宋体" w:cs="宋体" w:hint="eastAsia"/>
          <w:color w:val="auto"/>
          <w:kern w:val="2"/>
          <w:highlight w:val="none"/>
          <w:lang w:eastAsia="zh-CN"/>
        </w:rPr>
        <w:t>招标文件的编制与组成</w:t>
      </w:r>
    </w:p>
    <w:p>
      <w:pPr>
        <w:pageBreakBefore w:val="0"/>
        <w:widowControl w:val="0"/>
        <w:kinsoku/>
        <w:overflowPunct/>
        <w:topLinePunct w:val="0"/>
        <w:bidi w:val="0"/>
        <w:snapToGrid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11.1招标文件除以下内容外，招标代理机构在招标期间发出的澄清或修改等相关公告或通知内容，均是招标文件的组成部分，对投标人起约束作用；</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招标文件包括下列内容：</w:t>
      </w:r>
    </w:p>
    <w:p>
      <w:pPr>
        <w:pageBreakBefore w:val="0"/>
        <w:widowControl w:val="0"/>
        <w:kinsoku/>
        <w:overflowPunct/>
        <w:topLinePunct w:val="0"/>
        <w:bidi w:val="0"/>
        <w:spacing w:line="240" w:lineRule="auto"/>
        <w:ind w:left="480" w:firstLine="470" w:leftChars="200" w:firstLineChars="196"/>
        <w:jc w:val="both"/>
        <w:rPr>
          <w:rFonts w:ascii="宋体" w:eastAsia="宋体" w:hAnsi="宋体" w:cs="宋体" w:hint="eastAsia"/>
          <w:b/>
          <w:color w:val="auto"/>
          <w:kern w:val="2"/>
          <w:highlight w:val="none"/>
          <w:lang w:eastAsia="zh-CN"/>
        </w:rPr>
      </w:pPr>
      <w:r>
        <w:rPr>
          <w:rFonts w:ascii="宋体" w:eastAsia="宋体" w:hAnsi="宋体" w:cs="宋体" w:hint="eastAsia"/>
          <w:b/>
          <w:color w:val="auto"/>
          <w:kern w:val="2"/>
          <w:highlight w:val="none"/>
          <w:lang w:eastAsia="zh-CN"/>
        </w:rPr>
        <w:t>第一册  专用条款</w:t>
      </w:r>
    </w:p>
    <w:p>
      <w:pPr>
        <w:pageBreakBefore w:val="0"/>
        <w:widowControl w:val="0"/>
        <w:kinsoku/>
        <w:overflowPunct/>
        <w:topLinePunct w:val="0"/>
        <w:bidi w:val="0"/>
        <w:spacing w:line="240" w:lineRule="auto"/>
        <w:ind w:left="1234" w:leftChars="514"/>
        <w:jc w:val="both"/>
        <w:rPr>
          <w:rFonts w:ascii="宋体" w:eastAsia="宋体" w:hAnsi="宋体" w:cs="宋体" w:hint="eastAsia"/>
          <w:b/>
          <w:color w:val="auto"/>
          <w:kern w:val="2"/>
          <w:highlight w:val="none"/>
          <w:lang w:eastAsia="zh-CN"/>
        </w:rPr>
      </w:pPr>
      <w:r>
        <w:rPr>
          <w:rFonts w:ascii="宋体" w:eastAsia="宋体" w:hAnsi="宋体" w:cs="宋体" w:hint="eastAsia"/>
          <w:b/>
          <w:color w:val="auto"/>
          <w:kern w:val="2"/>
          <w:highlight w:val="none"/>
          <w:lang w:eastAsia="zh-CN"/>
        </w:rPr>
        <w:t>关键信息</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第一章  招标公告</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第二章  对通用条款的补充内容及其他关键信息</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第三章  用户需求书</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第四章  投标文件格式及附件</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第五章  协议条款及格式</w:t>
      </w:r>
    </w:p>
    <w:p>
      <w:pPr>
        <w:pageBreakBefore w:val="0"/>
        <w:widowControl w:val="0"/>
        <w:kinsoku/>
        <w:overflowPunct/>
        <w:topLinePunct w:val="0"/>
        <w:bidi w:val="0"/>
        <w:spacing w:line="240" w:lineRule="auto"/>
        <w:ind w:left="480" w:firstLine="470" w:leftChars="200" w:firstLineChars="196"/>
        <w:jc w:val="both"/>
        <w:rPr>
          <w:rFonts w:ascii="宋体" w:eastAsia="宋体" w:hAnsi="宋体" w:cs="宋体" w:hint="eastAsia"/>
          <w:b/>
          <w:color w:val="auto"/>
          <w:kern w:val="2"/>
          <w:highlight w:val="none"/>
          <w:lang w:eastAsia="zh-CN"/>
        </w:rPr>
      </w:pPr>
      <w:r>
        <w:rPr>
          <w:rFonts w:ascii="宋体" w:eastAsia="宋体" w:hAnsi="宋体" w:cs="宋体" w:hint="eastAsia"/>
          <w:b/>
          <w:color w:val="auto"/>
          <w:kern w:val="2"/>
          <w:highlight w:val="none"/>
          <w:lang w:eastAsia="zh-CN"/>
        </w:rPr>
        <w:t>第二册  通用条款</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第一章  总则</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第二章  招标文件</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第三章  投标文件的编制</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第四章  投标文件的递交</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第五章  开标</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第六章  评审要求</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第七章  评审程序及评审方法</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第八章  定标及公示</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第九章  公开招标失败的后续处理</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第十章  协议的授予与备案</w:t>
      </w:r>
    </w:p>
    <w:p>
      <w:pPr>
        <w:pageBreakBefore w:val="0"/>
        <w:widowControl w:val="0"/>
        <w:kinsoku/>
        <w:overflowPunct/>
        <w:topLinePunct w:val="0"/>
        <w:bidi w:val="0"/>
        <w:spacing w:line="240" w:lineRule="auto"/>
        <w:ind w:left="720" w:firstLine="470" w:leftChars="30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第十一章  质疑处理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11.2 投标人下载招标文件后，应仔细检查招标文件的所有内容，如有疑问应在答疑截止时间之前向招标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11.3任何人或任何组织向投标人提交的任何书面或口头资料，未经招标代理机构在网上发布或书面通知，均作无效处理，不得作为招标文件的组成部分。招标代理机构对投标人由此而做出的推论、理解和结论概不负责。</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12．招标文件的澄清</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12.1招标文件澄清的目的是澄清、解答投标人在查阅招标文件后或现场踏勘中可能提出的与投标有关的疑问或询问。</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12.2投标人如对招标文件内容有疑问，应当在招标公告规定的澄清（提问）截止时间前以网上提问的形式通过自行采购系统提交招标代理机构。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12.3不论是招标代理机构根据需要主动对招标文件进行必要的澄清或是根据投标人的要求对招标文件做出澄清，招标代理机构都将在投标截止日期前以书面形式（包括招标代理机构网站发布方式）答复或发送给所有投标人。答复内容是招标文件的组成部分，对投标人起约束作用，其有效性按照本通用条款第13.3、13.4款规定执行。</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13．招标文件的修改</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13.1招标文件发出后，在投标截止日期前任何时候，确需要变更招标文件内容的，招标代理机构可主动或在解答投标人提出的澄清问题时对招标文件进行修改。</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13.2招标文件的修改以书面形式（包括招标代理机构网站发布方式，如更正公告等）发送给所有投标人，招标文件的修改内容作为招标文件的组成部分，并具有约束力。</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13.3招标文件、招标文件澄清答复内容、招标文件修改补充内容均以书面形式（包括招标代理机构网站公开发布方式，如更正公告等）明确的内容为准。当招标文件、修改补充通知、招标文件澄清答复内容相互矛盾时，以最后发出的内容为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13.4招标代理机构保证招标文件澄清答复内容和招标文件修改补充内容在投标截止时间前以书面形式（包括招标代理机构网站发布方式，如更正公告等）发送给所有投标人。为使投标人在编制投标文件时有充分时间对招标文件的修改部分进行研究，招标代理机构可以酌情延长递交投标文件的截止日期。</w:t>
      </w:r>
      <w:bookmarkEnd w:id="185"/>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p>
    <w:p>
      <w:pPr>
        <w:keepNext/>
        <w:keepLines/>
        <w:pageBreakBefore w:val="0"/>
        <w:widowControl w:val="0"/>
        <w:numPr>
          <w:ilvl w:val="0"/>
          <w:numId w:val="0"/>
        </w:numPr>
        <w:kinsoku/>
        <w:overflowPunct/>
        <w:topLinePunct w:val="0"/>
        <w:bidi w:val="0"/>
        <w:spacing w:before="120" w:beforeLines="50" w:after="120" w:afterLines="50" w:line="240" w:lineRule="auto"/>
        <w:ind w:left="562" w:hanging="562" w:leftChars="0" w:firstLineChars="0"/>
        <w:jc w:val="center"/>
        <w:outlineLvl w:val="1"/>
        <w:rPr>
          <w:rFonts w:ascii="宋体" w:eastAsia="宋体" w:hAnsi="宋体" w:cs="宋体" w:hint="eastAsia"/>
          <w:b/>
          <w:bCs/>
          <w:color w:val="auto"/>
          <w:kern w:val="2"/>
          <w:highlight w:val="none"/>
          <w:lang w:eastAsia="zh-CN"/>
        </w:rPr>
      </w:pPr>
      <w:r>
        <w:rPr>
          <w:rFonts w:ascii="宋体" w:eastAsia="宋体" w:hAnsi="宋体" w:cs="宋体"/>
          <w:b/>
          <w:bCs/>
          <w:color w:val="auto"/>
          <w:kern w:val="2"/>
          <w:highlight w:val="none"/>
          <w:lang w:eastAsia="zh-CN"/>
        </w:rPr>
        <w:t>第</w:t>
      </w:r>
      <w:r>
        <w:rPr>
          <w:rFonts w:ascii="宋体" w:eastAsia="宋体" w:hAnsi="宋体" w:cs="宋体" w:hint="eastAsia"/>
          <w:b/>
          <w:bCs/>
          <w:color w:val="auto"/>
          <w:kern w:val="2"/>
          <w:highlight w:val="none"/>
          <w:lang w:eastAsia="zh-CN"/>
        </w:rPr>
        <w:t>三</w:t>
      </w:r>
      <w:r>
        <w:rPr>
          <w:rFonts w:ascii="宋体" w:eastAsia="宋体" w:hAnsi="宋体" w:cs="宋体"/>
          <w:b/>
          <w:bCs/>
          <w:color w:val="auto"/>
          <w:kern w:val="2"/>
          <w:highlight w:val="none"/>
          <w:lang w:eastAsia="zh-CN"/>
        </w:rPr>
        <w:t>章</w:t>
      </w:r>
      <w:r>
        <w:rPr>
          <w:rFonts w:ascii="宋体" w:eastAsia="宋体" w:hAnsi="宋体" w:cs="宋体" w:hint="eastAsia"/>
          <w:b/>
          <w:bCs/>
          <w:color w:val="auto"/>
          <w:kern w:val="2"/>
          <w:highlight w:val="none"/>
          <w:lang w:eastAsia="zh-CN"/>
        </w:rPr>
        <w:t xml:space="preserve"> 投标文件的编制</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14．</w:t>
      </w:r>
      <w:bookmarkStart w:id="186" w:name="_Hlk72400236"/>
      <w:r>
        <w:rPr>
          <w:rFonts w:ascii="宋体" w:eastAsia="宋体" w:hAnsi="宋体" w:cs="宋体" w:hint="eastAsia"/>
          <w:color w:val="auto"/>
          <w:kern w:val="2"/>
          <w:highlight w:val="none"/>
          <w:lang w:eastAsia="zh-CN"/>
        </w:rPr>
        <w:t>投标文件的语言及度量单位</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14.1 投标人与招标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14.2 除技术规范另有规定外，投标文件使用的度量单位，均采用中华人民共和国法定计量单位。</w:t>
      </w:r>
    </w:p>
    <w:bookmarkEnd w:id="186"/>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15．</w:t>
      </w:r>
      <w:bookmarkStart w:id="187" w:name="_Hlk72401567"/>
      <w:r>
        <w:rPr>
          <w:rFonts w:ascii="宋体" w:eastAsia="宋体" w:hAnsi="宋体" w:cs="宋体" w:hint="eastAsia"/>
          <w:color w:val="auto"/>
          <w:kern w:val="2"/>
          <w:highlight w:val="none"/>
          <w:lang w:eastAsia="zh-CN"/>
        </w:rPr>
        <w:t>投标文件的组成</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具体内容在招标文件专用条款中进行规定。</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16．投标文件格式</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投标文件包括本通用条款第15条中规定的内容。如招标文件提供了投标文件格式，则</w:t>
      </w:r>
      <w:r>
        <w:rPr>
          <w:rFonts w:ascii="宋体" w:eastAsia="宋体" w:hAnsi="宋体" w:cs="宋体" w:hint="eastAsia"/>
          <w:b/>
          <w:bCs/>
          <w:color w:val="auto"/>
          <w:kern w:val="2"/>
          <w:highlight w:val="none"/>
          <w:lang w:eastAsia="zh-CN"/>
        </w:rPr>
        <w:t>投标人提交的投标文件应毫无例外地使用招标文件所提供的相应格式</w:t>
      </w:r>
      <w:r>
        <w:rPr>
          <w:rFonts w:ascii="宋体" w:eastAsia="宋体" w:hAnsi="宋体" w:cs="宋体" w:hint="eastAsia"/>
          <w:color w:val="auto"/>
          <w:kern w:val="2"/>
          <w:highlight w:val="none"/>
          <w:lang w:eastAsia="zh-CN"/>
        </w:rPr>
        <w:t>（表格均可按同样格式扩展）。</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17．投标货币</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本项目的投标报价应以人民币计。</w:t>
      </w:r>
    </w:p>
    <w:bookmarkEnd w:id="187"/>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w:t>
      </w:r>
      <w:bookmarkStart w:id="188" w:name="_Hlk72401735"/>
      <w:r>
        <w:rPr>
          <w:rFonts w:ascii="宋体" w:eastAsia="宋体" w:hAnsi="宋体" w:cs="宋体" w:hint="eastAsia"/>
          <w:color w:val="auto"/>
          <w:kern w:val="2"/>
          <w:highlight w:val="none"/>
          <w:lang w:eastAsia="zh-CN"/>
        </w:rPr>
        <w:t>证明投标文件投标技术方案的合格性和符合招标文件规定的文件要求</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18.1 投标人应提交证明文件，证明其投标技术方案项下的货物和服务的合格性符合招标文件规定。该投标技术方案及其证明文件均作为投标文件组成部分。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18.2.1主要技术指标和性能的详细说明。</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18.2.2投标产品从招标人开始使用至招标文件中规定的周期内正常、连续地使用所必须的备件和专用工具清单，包括备件和专用工具的货源及现行价格。</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18.2.3对照招标文件技术规格，逐条说明投标技术方案已对招标人的技术规格做出了实质性的响应，或申明与技术规格条文的偏差和例外。投标人应详细说明投标技术方案中产品的具体参数，不得不合理照搬照抄招标文件的技术要求。</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18.3相关资料不符合18.2款要求的，评审委员会有权认定为投标技术方案不合格响应，其相关分数予以扣减或作投标无效处理。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18.4投标人在阐述上述第18.2时应注意招标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18.5除非另有规定或说明，投标人对同一项目投标时，不得同时提供两套或两套以上的投标方案。</w:t>
      </w:r>
    </w:p>
    <w:bookmarkEnd w:id="188"/>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19．</w:t>
      </w:r>
      <w:bookmarkStart w:id="189" w:name="_Hlk72402034"/>
      <w:r>
        <w:rPr>
          <w:rFonts w:ascii="宋体" w:eastAsia="宋体" w:hAnsi="宋体" w:cs="宋体" w:hint="eastAsia"/>
          <w:color w:val="auto"/>
          <w:kern w:val="2"/>
          <w:highlight w:val="none"/>
          <w:lang w:eastAsia="zh-CN"/>
        </w:rPr>
        <w:t>投标文件其他证明文件的要求</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19.1</w:t>
      </w:r>
      <w:bookmarkStart w:id="190" w:name="_Hlk71407299"/>
      <w:r>
        <w:rPr>
          <w:rFonts w:ascii="宋体" w:eastAsia="宋体" w:hAnsi="宋体" w:cs="宋体" w:hint="eastAsia"/>
          <w:color w:val="auto"/>
          <w:kern w:val="2"/>
          <w:highlight w:val="none"/>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招标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190"/>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20．投标有效期</w:t>
      </w:r>
    </w:p>
    <w:bookmarkEnd w:id="189"/>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bookmarkStart w:id="191" w:name="_Hlk72402214"/>
      <w:r>
        <w:rPr>
          <w:rFonts w:ascii="宋体" w:eastAsia="宋体" w:hAnsi="宋体" w:cs="宋体" w:hint="eastAsia"/>
          <w:color w:val="auto"/>
          <w:kern w:val="2"/>
          <w:highlight w:val="none"/>
          <w:lang w:eastAsia="zh-CN"/>
        </w:rPr>
        <w:t>20.1 投标有效期为从投标截止之日算起的日历天数。在此期限内，所有投标文件均保持有效。</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20.2 在特殊情况下，招标代理机构在原定的投标有效期满之前，招标代理机构可以根据需要以书面形式（包括招标代理机构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20.3 中标投标人的投标文件有效期，截止于完成本招标文件规定的全部项目内容，并通过竣工验收及保修期结束。</w:t>
      </w:r>
    </w:p>
    <w:bookmarkEnd w:id="191"/>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21．</w:t>
      </w:r>
      <w:bookmarkStart w:id="192" w:name="_Hlk72402325"/>
      <w:r>
        <w:rPr>
          <w:rFonts w:ascii="宋体" w:eastAsia="宋体" w:hAnsi="宋体" w:cs="宋体" w:hint="eastAsia"/>
          <w:color w:val="auto"/>
          <w:kern w:val="2"/>
          <w:highlight w:val="none"/>
          <w:lang w:eastAsia="zh-CN"/>
        </w:rPr>
        <w:t xml:space="preserve">关于投标保证金 </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21.1</w:t>
      </w:r>
      <w:r>
        <w:rPr>
          <w:rFonts w:ascii="宋体" w:eastAsia="宋体" w:hAnsi="宋体" w:cs="宋体" w:hint="eastAsia"/>
          <w:color w:val="auto"/>
          <w:kern w:val="2"/>
          <w:highlight w:val="none"/>
          <w:lang w:val="en-US" w:eastAsia="zh-CN"/>
        </w:rPr>
        <w:t>详</w:t>
      </w:r>
      <w:r>
        <w:rPr>
          <w:rFonts w:ascii="宋体" w:eastAsia="宋体" w:hAnsi="宋体" w:cs="宋体" w:hint="eastAsia"/>
          <w:color w:val="auto"/>
          <w:kern w:val="2"/>
          <w:highlight w:val="none"/>
          <w:lang w:eastAsia="zh-CN"/>
        </w:rPr>
        <w:t>见第二章 对通用条款的补充内容及其他关键信息。</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22．投标人的替代方案</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92"/>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w:t>
      </w:r>
      <w:bookmarkStart w:id="193" w:name="_Hlk72402860"/>
      <w:r>
        <w:rPr>
          <w:rFonts w:ascii="宋体" w:eastAsia="宋体" w:hAnsi="宋体" w:cs="宋体" w:hint="eastAsia"/>
          <w:color w:val="auto"/>
          <w:kern w:val="2"/>
          <w:highlight w:val="none"/>
          <w:lang w:eastAsia="zh-CN"/>
        </w:rPr>
        <w:t>投标文件的制作要求</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23.1投标人应准备所投项目的电子投标文件一份。</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23.2投标人在使用《投标书编制软件》编制投标书时须注意：</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23.2.1导入《投标书编制软件》的招标文件项目编号、包号应与以此制作的投标文件项目编号、包号一致。例如，不能将甲项目A包的招标书导入《投标书编制软件》，制作乙项目B包的投标书。</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23.2.2不能用非本公司的电子密钥加密本公司的投标文件，或者用其它公司的登录用户上传本公司的投标文件。</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23.2.3要求用《投标书编制软件》编制投标书的包，不能用其它方式编制投标书。编制投标文件时，电脑须连通互联网。</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23.2.4投标文件不能带病毒。招标代理机构将用专业杀毒软件对投标文件进行病毒检测，如果这两种软件均报告发现病毒，则招标代理机构认为该投标文件带病毒。</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23.2.6投标人在编辑投标文件时，</w:t>
      </w:r>
      <w:r>
        <w:rPr>
          <w:rFonts w:ascii="宋体" w:eastAsia="宋体" w:hAnsi="宋体" w:cs="宋体" w:hint="eastAsia"/>
          <w:b/>
          <w:color w:val="auto"/>
          <w:kern w:val="2"/>
          <w:highlight w:val="none"/>
          <w:lang w:eastAsia="zh-CN"/>
        </w:rPr>
        <w:t>在投标文件目录中属于本节点内容的必须在本节点中填写，填写到其他节点或附件，</w:t>
      </w:r>
      <w:r>
        <w:rPr>
          <w:rFonts w:ascii="宋体" w:eastAsia="宋体" w:hAnsi="宋体" w:cs="宋体" w:hint="eastAsia"/>
          <w:color w:val="auto"/>
          <w:kern w:val="2"/>
          <w:highlight w:val="none"/>
          <w:lang w:eastAsia="zh-CN"/>
        </w:rPr>
        <w:t>一切后果由供应商自行承担。</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23.2.7投标文件编写完成后，</w:t>
      </w:r>
      <w:r>
        <w:rPr>
          <w:rFonts w:ascii="宋体" w:eastAsia="宋体" w:hAnsi="宋体" w:cs="宋体" w:hint="eastAsia"/>
          <w:b/>
          <w:color w:val="auto"/>
          <w:kern w:val="2"/>
          <w:highlight w:val="none"/>
          <w:lang w:eastAsia="zh-CN"/>
        </w:rPr>
        <w:t>必须用属于投标人的电子密钥或电子营业执照进行加密，否则视同未盖公章，将导致投标文件无效。</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23.2.8招标代理机构不接受投标截止时间后递交的纸质、电子、传真等所有形式的投标文件。由于对自行采购系统操作不熟悉或自身电脑、网络等原因导致不能在投标截止时间之前上传投标文件，招标代理机构概不负责。建议于开标前一个工作日完成投标文件的制作与上传，如上传确有困难，请及时咨询。</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23.2.9如果开标时出现网络故障、技术故障，影响了交易活动，招标代理机构有权采取措施如延期、接受无法从网上上传的投标书等，以保障交易活动的公开、公平和公正。</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23.3电报、电话、传真形式的投标概不接受。</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
          <w:color w:val="auto"/>
          <w:kern w:val="2"/>
          <w:highlight w:val="none"/>
          <w:lang w:eastAsia="zh-CN"/>
        </w:rPr>
      </w:pPr>
      <w:r>
        <w:rPr>
          <w:rFonts w:ascii="宋体" w:eastAsia="宋体" w:hAnsi="宋体" w:cs="宋体" w:hint="eastAsia"/>
          <w:b/>
          <w:color w:val="auto"/>
          <w:kern w:val="2"/>
          <w:highlight w:val="none"/>
          <w:lang w:eastAsia="zh-CN"/>
        </w:rPr>
        <w:t>23.4经投标人电子密钥或电子营业执照加密的投标文件无须盖章或签字，</w:t>
      </w:r>
      <w:r>
        <w:rPr>
          <w:rFonts w:ascii="宋体" w:eastAsia="宋体" w:hAnsi="宋体" w:cs="宋体" w:hint="eastAsia"/>
          <w:color w:val="auto"/>
          <w:kern w:val="2"/>
          <w:highlight w:val="none"/>
          <w:lang w:eastAsia="zh-CN"/>
        </w:rPr>
        <w:t>专用条款另有要求的除外。</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b/>
          <w:color w:val="auto"/>
          <w:kern w:val="2"/>
          <w:highlight w:val="none"/>
          <w:lang w:eastAsia="zh-CN"/>
        </w:rPr>
        <w:t>23.5</w:t>
      </w:r>
      <w:r>
        <w:rPr>
          <w:rFonts w:ascii="宋体" w:eastAsia="宋体" w:hAnsi="宋体" w:cs="宋体" w:hint="eastAsia"/>
          <w:color w:val="auto"/>
          <w:kern w:val="2"/>
          <w:highlight w:val="none"/>
          <w:lang w:eastAsia="zh-CN"/>
        </w:rPr>
        <w:t xml:space="preserve"> 各类资格（资质）文件提供扫描件，专用条款另有要求的除外。</w:t>
      </w:r>
      <w:bookmarkEnd w:id="193"/>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b/>
          <w:bCs/>
          <w:color w:val="auto"/>
          <w:kern w:val="2"/>
          <w:highlight w:val="none"/>
          <w:lang w:eastAsia="zh-CN"/>
        </w:rPr>
        <w:t>23.6供应商用户手册下载</w:t>
      </w:r>
      <w:r>
        <w:rPr>
          <w:rFonts w:ascii="宋体" w:eastAsia="宋体" w:hAnsi="宋体" w:cs="宋体" w:hint="eastAsia"/>
          <w:color w:val="auto"/>
          <w:kern w:val="2"/>
          <w:highlight w:val="none"/>
          <w:lang w:eastAsia="zh-CN"/>
        </w:rPr>
        <w:t>：输入网址</w:t>
      </w:r>
      <w:bookmarkStart w:id="194" w:name="OLE_LINK21"/>
      <w:hyperlink r:id="rId9" w:history="1">
        <w:r>
          <w:rPr>
            <w:rFonts w:ascii="宋体" w:eastAsia="宋体" w:hAnsi="宋体" w:cs="宋体" w:hint="eastAsia"/>
            <w:color w:val="auto"/>
            <w:kern w:val="2"/>
            <w:highlight w:val="none"/>
            <w:lang w:eastAsia="zh-CN"/>
          </w:rPr>
          <w:t>https://www.szggzy.com/static/index.html</w:t>
        </w:r>
      </w:hyperlink>
      <w:bookmarkEnd w:id="194"/>
      <w:r>
        <w:rPr>
          <w:rFonts w:ascii="宋体" w:eastAsia="宋体" w:hAnsi="宋体" w:cs="宋体" w:hint="eastAsia"/>
          <w:color w:val="auto"/>
          <w:kern w:val="2"/>
          <w:highlight w:val="none"/>
          <w:lang w:eastAsia="zh-CN"/>
        </w:rPr>
        <w:t>，选择政府采购，点击资料下载，找到【深圳市自行采购系统用户操作指引（供应商）】，下载查阅。</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p>
    <w:p>
      <w:pPr>
        <w:keepNext/>
        <w:keepLines/>
        <w:pageBreakBefore w:val="0"/>
        <w:widowControl w:val="0"/>
        <w:numPr>
          <w:ilvl w:val="0"/>
          <w:numId w:val="0"/>
        </w:numPr>
        <w:kinsoku/>
        <w:overflowPunct/>
        <w:topLinePunct w:val="0"/>
        <w:bidi w:val="0"/>
        <w:spacing w:before="120" w:beforeLines="50" w:after="120" w:afterLines="50" w:line="240" w:lineRule="auto"/>
        <w:ind w:left="562" w:hanging="562" w:leftChars="0" w:firstLineChars="0"/>
        <w:jc w:val="center"/>
        <w:outlineLvl w:val="1"/>
        <w:rPr>
          <w:rFonts w:ascii="宋体" w:eastAsia="宋体" w:hAnsi="宋体" w:cs="宋体" w:hint="eastAsia"/>
          <w:b/>
          <w:bCs/>
          <w:color w:val="auto"/>
          <w:kern w:val="2"/>
          <w:highlight w:val="none"/>
          <w:lang w:eastAsia="zh-CN"/>
        </w:rPr>
      </w:pPr>
      <w:r>
        <w:rPr>
          <w:rFonts w:ascii="宋体" w:eastAsia="宋体" w:hAnsi="宋体" w:cs="宋体"/>
          <w:b/>
          <w:bCs/>
          <w:color w:val="auto"/>
          <w:kern w:val="2"/>
          <w:highlight w:val="none"/>
          <w:lang w:eastAsia="zh-CN"/>
        </w:rPr>
        <w:t>第</w:t>
      </w:r>
      <w:r>
        <w:rPr>
          <w:rFonts w:ascii="宋体" w:eastAsia="宋体" w:hAnsi="宋体" w:cs="宋体" w:hint="eastAsia"/>
          <w:b/>
          <w:bCs/>
          <w:color w:val="auto"/>
          <w:kern w:val="2"/>
          <w:highlight w:val="none"/>
          <w:lang w:eastAsia="zh-CN"/>
        </w:rPr>
        <w:t>四</w:t>
      </w:r>
      <w:r>
        <w:rPr>
          <w:rFonts w:ascii="宋体" w:eastAsia="宋体" w:hAnsi="宋体" w:cs="宋体"/>
          <w:b/>
          <w:bCs/>
          <w:color w:val="auto"/>
          <w:kern w:val="2"/>
          <w:highlight w:val="none"/>
          <w:lang w:eastAsia="zh-CN"/>
        </w:rPr>
        <w:t>章</w:t>
      </w:r>
      <w:r>
        <w:rPr>
          <w:rFonts w:ascii="宋体" w:eastAsia="宋体" w:hAnsi="宋体" w:cs="宋体" w:hint="eastAsia"/>
          <w:b/>
          <w:bCs/>
          <w:color w:val="auto"/>
          <w:kern w:val="2"/>
          <w:highlight w:val="none"/>
          <w:lang w:eastAsia="zh-CN"/>
        </w:rPr>
        <w:t xml:space="preserve"> 投标文件的递交</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bookmarkStart w:id="195" w:name="_Hlk72405459"/>
      <w:r>
        <w:rPr>
          <w:rFonts w:ascii="宋体" w:eastAsia="宋体" w:hAnsi="宋体" w:cs="宋体" w:hint="eastAsia"/>
          <w:color w:val="auto"/>
          <w:kern w:val="2"/>
          <w:highlight w:val="none"/>
          <w:lang w:eastAsia="zh-CN"/>
        </w:rPr>
        <w:t>24．投标文件的保密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pageBreakBefore w:val="0"/>
        <w:widowControl w:val="0"/>
        <w:kinsoku/>
        <w:overflowPunct/>
        <w:topLinePunct w:val="0"/>
        <w:bidi w:val="0"/>
        <w:spacing w:line="240" w:lineRule="auto"/>
        <w:jc w:val="both"/>
        <w:rPr>
          <w:rFonts w:ascii="宋体" w:eastAsia="宋体" w:hAnsi="宋体" w:cs="宋体" w:hint="eastAsia"/>
          <w:b/>
          <w:color w:val="auto"/>
          <w:kern w:val="2"/>
          <w:highlight w:val="none"/>
          <w:lang w:eastAsia="zh-CN"/>
        </w:rPr>
      </w:pPr>
      <w:r>
        <w:rPr>
          <w:rFonts w:ascii="宋体" w:eastAsia="宋体" w:hAnsi="宋体" w:cs="宋体" w:hint="eastAsia"/>
          <w:b/>
          <w:color w:val="auto"/>
          <w:kern w:val="2"/>
          <w:highlight w:val="none"/>
          <w:lang w:eastAsia="zh-CN"/>
        </w:rPr>
        <w:t>24.2若采购项目出现延期情况：</w:t>
      </w:r>
    </w:p>
    <w:p>
      <w:pPr>
        <w:pageBreakBefore w:val="0"/>
        <w:widowControl w:val="0"/>
        <w:kinsoku/>
        <w:overflowPunct/>
        <w:topLinePunct w:val="0"/>
        <w:bidi w:val="0"/>
        <w:spacing w:line="240" w:lineRule="auto"/>
        <w:ind w:firstLine="480" w:firstLineChars="200"/>
        <w:jc w:val="both"/>
        <w:rPr>
          <w:rFonts w:ascii="宋体" w:eastAsia="宋体" w:hAnsi="宋体" w:cs="宋体" w:hint="eastAsia"/>
          <w:b/>
          <w:color w:val="auto"/>
          <w:kern w:val="2"/>
          <w:highlight w:val="none"/>
          <w:lang w:eastAsia="zh-CN"/>
        </w:rPr>
      </w:pPr>
      <w:r>
        <w:rPr>
          <w:rFonts w:ascii="宋体" w:eastAsia="宋体" w:hAnsi="宋体" w:cs="宋体" w:hint="eastAsia"/>
          <w:b/>
          <w:color w:val="auto"/>
          <w:kern w:val="2"/>
          <w:highlight w:val="none"/>
          <w:lang w:eastAsia="zh-CN"/>
        </w:rPr>
        <w:t>如果供下载的招标文件有更新，投标人必须重新下载招标文件、重新制作投标文件、重新加密投标文件、重新上传投标文件。</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25．上传投标文件及投标截止日期</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宋体" w:hint="eastAsia"/>
          <w:b/>
          <w:bCs/>
          <w:color w:val="auto"/>
          <w:kern w:val="2"/>
          <w:highlight w:val="none"/>
          <w:lang w:eastAsia="zh-CN"/>
        </w:rPr>
        <w:t>深圳公共资源交易中心（深圳交易集团有限公司罗湖分公司）服务大厅（地址：深圳市罗湖区黄贝街道凤凰社区深南东路1076号罗湖区党群服务中心4层）协助上传，但上传过程中投标截止时间到达仍无法上传成功的，由投标人自行负责</w:t>
      </w:r>
      <w:r>
        <w:rPr>
          <w:rFonts w:ascii="宋体" w:eastAsia="宋体" w:hAnsi="宋体" w:cs="宋体" w:hint="eastAsia"/>
          <w:color w:val="auto"/>
          <w:kern w:val="2"/>
          <w:highlight w:val="none"/>
          <w:lang w:eastAsia="zh-CN"/>
        </w:rPr>
        <w:t>。</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25.2招标代理机构可以按本通用条款第13条规定，通过修改招标文件自行决定酌情延长投标截止期。在此情况下，招标代理机构、招标人和投标人受投标截止期制约的所有权利和义务均应延长至新的截止期。</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25.3投标截止时间以后不得上传投标文件。</w:t>
      </w:r>
    </w:p>
    <w:bookmarkEnd w:id="195"/>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26. 样品、现场演示、方案讲解</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26.1 样品、现场演示、方案讲解等事项在招标文件专用条款中进行规定。</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bookmarkStart w:id="196" w:name="_Hlk72428346"/>
      <w:r>
        <w:rPr>
          <w:rFonts w:ascii="宋体" w:eastAsia="宋体" w:hAnsi="宋体" w:cs="宋体" w:hint="eastAsia"/>
          <w:color w:val="auto"/>
          <w:kern w:val="2"/>
          <w:highlight w:val="none"/>
          <w:lang w:eastAsia="zh-CN"/>
        </w:rPr>
        <w:t>27．投标文件的修改和撤销</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27.1投标方在提交投标文件后可对其投标文件进行修改并重新上传投标文件或在网上进行撤销投标的操作。</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27.2投标截止时间以后不得修改投标文件。</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27.3从投标截止期至投标人在投标文件中确定的投标有效期之间的这段时间内，投标人不得撤回其投标。</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27.4招标代理机构不退还投标文件，专用条款另有规定的除外。</w:t>
      </w:r>
    </w:p>
    <w:bookmarkEnd w:id="196"/>
    <w:p>
      <w:pPr>
        <w:keepNext/>
        <w:keepLines/>
        <w:pageBreakBefore w:val="0"/>
        <w:widowControl w:val="0"/>
        <w:numPr>
          <w:ilvl w:val="0"/>
          <w:numId w:val="0"/>
        </w:numPr>
        <w:kinsoku/>
        <w:overflowPunct/>
        <w:topLinePunct w:val="0"/>
        <w:bidi w:val="0"/>
        <w:spacing w:before="120" w:beforeLines="50" w:after="120" w:afterLines="50" w:line="240" w:lineRule="auto"/>
        <w:ind w:left="562" w:hanging="562" w:leftChars="0" w:firstLineChars="0"/>
        <w:jc w:val="center"/>
        <w:outlineLvl w:val="1"/>
        <w:rPr>
          <w:rFonts w:ascii="宋体" w:eastAsia="宋体" w:hAnsi="宋体" w:cs="宋体" w:hint="eastAsia"/>
          <w:b/>
          <w:bCs/>
          <w:color w:val="auto"/>
          <w:kern w:val="2"/>
          <w:highlight w:val="none"/>
          <w:lang w:eastAsia="zh-CN"/>
        </w:rPr>
      </w:pPr>
      <w:r>
        <w:rPr>
          <w:rFonts w:ascii="宋体" w:eastAsia="宋体" w:hAnsi="宋体" w:cs="宋体"/>
          <w:b/>
          <w:bCs/>
          <w:color w:val="auto"/>
          <w:kern w:val="2"/>
          <w:highlight w:val="none"/>
          <w:lang w:eastAsia="zh-CN"/>
        </w:rPr>
        <w:t>第</w:t>
      </w:r>
      <w:r>
        <w:rPr>
          <w:rFonts w:ascii="宋体" w:eastAsia="宋体" w:hAnsi="宋体" w:cs="宋体" w:hint="eastAsia"/>
          <w:b/>
          <w:bCs/>
          <w:color w:val="auto"/>
          <w:kern w:val="2"/>
          <w:highlight w:val="none"/>
          <w:lang w:eastAsia="zh-CN"/>
        </w:rPr>
        <w:t>五</w:t>
      </w:r>
      <w:r>
        <w:rPr>
          <w:rFonts w:ascii="宋体" w:eastAsia="宋体" w:hAnsi="宋体" w:cs="宋体"/>
          <w:b/>
          <w:bCs/>
          <w:color w:val="auto"/>
          <w:kern w:val="2"/>
          <w:highlight w:val="none"/>
          <w:lang w:eastAsia="zh-CN"/>
        </w:rPr>
        <w:t>章</w:t>
      </w:r>
      <w:r>
        <w:rPr>
          <w:rFonts w:ascii="宋体" w:eastAsia="宋体" w:hAnsi="宋体" w:cs="宋体" w:hint="eastAsia"/>
          <w:b/>
          <w:bCs/>
          <w:color w:val="auto"/>
          <w:kern w:val="2"/>
          <w:highlight w:val="none"/>
          <w:lang w:eastAsia="zh-CN"/>
        </w:rPr>
        <w:t xml:space="preserve"> 开标</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28．开标</w:t>
      </w:r>
    </w:p>
    <w:p>
      <w:pPr>
        <w:pageBreakBefore w:val="0"/>
        <w:widowControl w:val="0"/>
        <w:kinsoku/>
        <w:overflowPunct/>
        <w:topLinePunct w:val="0"/>
        <w:bidi w:val="0"/>
        <w:spacing w:line="240" w:lineRule="auto"/>
        <w:ind w:firstLine="410" w:firstLineChars="171"/>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28.1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pageBreakBefore w:val="0"/>
        <w:widowControl w:val="0"/>
        <w:kinsoku/>
        <w:overflowPunct/>
        <w:topLinePunct w:val="0"/>
        <w:bidi w:val="0"/>
        <w:spacing w:line="240" w:lineRule="auto"/>
        <w:ind w:firstLine="360" w:firstLineChars="15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28.2招标代理机构将在满足开标条件（①解密时间结束，解密后的投标供应商数量满足开标要求或②解密时间结束前所有投标供应商均完成投标文件解密）后，对投标文件进行开标，并在网上公布开标结果。</w:t>
      </w:r>
    </w:p>
    <w:p>
      <w:pPr>
        <w:pageBreakBefore w:val="0"/>
        <w:widowControl w:val="0"/>
        <w:kinsoku/>
        <w:overflowPunct/>
        <w:topLinePunct w:val="0"/>
        <w:bidi w:val="0"/>
        <w:spacing w:line="240" w:lineRule="auto"/>
        <w:ind w:firstLine="360" w:firstLineChars="150"/>
        <w:jc w:val="both"/>
        <w:rPr>
          <w:rFonts w:ascii="宋体" w:eastAsia="宋体" w:hAnsi="宋体" w:cs="宋体" w:hint="eastAsia"/>
          <w:color w:val="auto"/>
          <w:kern w:val="2"/>
          <w:highlight w:val="none"/>
          <w:lang w:eastAsia="zh-CN"/>
        </w:rPr>
      </w:pPr>
    </w:p>
    <w:p>
      <w:pPr>
        <w:keepNext/>
        <w:keepLines/>
        <w:pageBreakBefore w:val="0"/>
        <w:widowControl w:val="0"/>
        <w:numPr>
          <w:ilvl w:val="0"/>
          <w:numId w:val="0"/>
        </w:numPr>
        <w:kinsoku/>
        <w:overflowPunct/>
        <w:topLinePunct w:val="0"/>
        <w:bidi w:val="0"/>
        <w:spacing w:before="120" w:beforeLines="50" w:after="120" w:afterLines="50" w:line="240" w:lineRule="auto"/>
        <w:ind w:left="562" w:hanging="562" w:leftChars="0" w:firstLineChars="0"/>
        <w:jc w:val="center"/>
        <w:outlineLvl w:val="1"/>
        <w:rPr>
          <w:rFonts w:ascii="宋体" w:eastAsia="宋体" w:hAnsi="宋体" w:cs="宋体" w:hint="eastAsia"/>
          <w:b/>
          <w:bCs/>
          <w:color w:val="auto"/>
          <w:kern w:val="2"/>
          <w:highlight w:val="none"/>
          <w:lang w:eastAsia="zh-CN"/>
        </w:rPr>
      </w:pPr>
      <w:r>
        <w:rPr>
          <w:rFonts w:ascii="宋体" w:eastAsia="宋体" w:hAnsi="宋体" w:cs="宋体"/>
          <w:b/>
          <w:bCs/>
          <w:color w:val="auto"/>
          <w:kern w:val="2"/>
          <w:highlight w:val="none"/>
          <w:lang w:eastAsia="zh-CN"/>
        </w:rPr>
        <w:t>第</w:t>
      </w:r>
      <w:r>
        <w:rPr>
          <w:rFonts w:ascii="宋体" w:eastAsia="宋体" w:hAnsi="宋体" w:cs="宋体" w:hint="eastAsia"/>
          <w:b/>
          <w:bCs/>
          <w:color w:val="auto"/>
          <w:kern w:val="2"/>
          <w:highlight w:val="none"/>
          <w:lang w:eastAsia="zh-CN"/>
        </w:rPr>
        <w:t>六</w:t>
      </w:r>
      <w:r>
        <w:rPr>
          <w:rFonts w:ascii="宋体" w:eastAsia="宋体" w:hAnsi="宋体" w:cs="宋体"/>
          <w:b/>
          <w:bCs/>
          <w:color w:val="auto"/>
          <w:kern w:val="2"/>
          <w:highlight w:val="none"/>
          <w:lang w:eastAsia="zh-CN"/>
        </w:rPr>
        <w:t>章</w:t>
      </w:r>
      <w:r>
        <w:rPr>
          <w:rFonts w:ascii="宋体" w:eastAsia="宋体" w:hAnsi="宋体" w:cs="宋体" w:hint="eastAsia"/>
          <w:b/>
          <w:bCs/>
          <w:color w:val="auto"/>
          <w:kern w:val="2"/>
          <w:highlight w:val="none"/>
          <w:lang w:eastAsia="zh-CN"/>
        </w:rPr>
        <w:t xml:space="preserve"> 评审要求</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29．评审委员会组成</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29.1网上开标结束后召开评审会议，评审委员会由招标代理机构依法组建，负责评审活动。</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bookmarkStart w:id="197" w:name="_Hlk72436580"/>
      <w:r>
        <w:rPr>
          <w:rFonts w:ascii="宋体" w:eastAsia="宋体" w:hAnsi="宋体" w:cs="宋体" w:hint="eastAsia"/>
          <w:color w:val="auto"/>
          <w:kern w:val="2"/>
          <w:highlight w:val="none"/>
          <w:lang w:eastAsia="zh-CN"/>
        </w:rPr>
        <w:t>评审委员会由招标人代表和评审专家组成，成员人数应当为5人以上单数（部分条件下为7人以上单数），其中评审专家不得少于成员总数的三分之二。</w:t>
      </w:r>
      <w:bookmarkEnd w:id="197"/>
      <w:r>
        <w:rPr>
          <w:rFonts w:ascii="宋体" w:eastAsia="宋体" w:hAnsi="宋体" w:cs="宋体" w:hint="eastAsia"/>
          <w:color w:val="auto"/>
          <w:kern w:val="2"/>
          <w:highlight w:val="none"/>
          <w:lang w:eastAsia="zh-CN"/>
        </w:rPr>
        <w:t>评定分离项目评审专家均由评审专家组成。评审专家一般是从深圳市政府采购评审专家库中随机抽取。招标人代表须持本单位签发的《评审授权书》参加评审。</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29.2评审定标应当遵循公平、公正、科学、择优的原则。</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29.3评审活动依法进行，任何单位和个人不得非法干预评标过程和结果。</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29.4评审过程中不允许违背评标程序或采用招标文件未载明的评标方法或评标因素进行评标。</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Cs/>
          <w:color w:val="auto"/>
          <w:kern w:val="2"/>
          <w:highlight w:val="none"/>
          <w:lang w:eastAsia="zh-CN"/>
        </w:rPr>
      </w:pPr>
      <w:r>
        <w:rPr>
          <w:rFonts w:ascii="宋体" w:eastAsia="宋体" w:hAnsi="宋体" w:cs="宋体" w:hint="eastAsia"/>
          <w:bCs/>
          <w:color w:val="auto"/>
          <w:kern w:val="2"/>
          <w:highlight w:val="none"/>
          <w:lang w:eastAsia="zh-CN"/>
        </w:rPr>
        <w:t>29.5 开标后，直到签订协议为止，凡属于对投标文件的审查、澄清、评价和比较的有关资料以及中标候选人的推荐情况、与评审有关的其他任何情况均严格保密（</w:t>
      </w:r>
      <w:r>
        <w:rPr>
          <w:rFonts w:ascii="宋体" w:eastAsia="宋体" w:hAnsi="宋体" w:cs="宋体" w:hint="eastAsia"/>
          <w:color w:val="auto"/>
          <w:kern w:val="2"/>
          <w:highlight w:val="none"/>
          <w:lang w:eastAsia="zh-CN"/>
        </w:rPr>
        <w:t>信息公开的内容除外</w:t>
      </w:r>
      <w:r>
        <w:rPr>
          <w:rFonts w:ascii="宋体" w:eastAsia="宋体" w:hAnsi="宋体" w:cs="宋体" w:hint="eastAsia"/>
          <w:bCs/>
          <w:color w:val="auto"/>
          <w:kern w:val="2"/>
          <w:highlight w:val="none"/>
          <w:lang w:eastAsia="zh-CN"/>
        </w:rPr>
        <w:t>）。</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30．向评审委员会提供的资料</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30.1公开发布的招标文件，包括图纸、服务清单、答疑文件等；</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30.2其他评标必须的资料。</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30.3评审委员会应当认真研究招标文件，至少应了解熟悉以下内容：</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（1）招标的目的；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（2）招标项目需求的范围和性质；</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（3）招标文件规定的投标人的资格、财政预算限额、商务条款；</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（4）招标文件规定的评标程序、评标方法和评标因素；</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（5）招标文件所列示的资格性审查表及符合性审查表。</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31．独立评审</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Cs/>
          <w:color w:val="auto"/>
          <w:kern w:val="2"/>
          <w:highlight w:val="none"/>
          <w:lang w:eastAsia="zh-CN"/>
        </w:rPr>
      </w:pPr>
      <w:r>
        <w:rPr>
          <w:rFonts w:ascii="宋体" w:eastAsia="宋体" w:hAnsi="宋体" w:cs="宋体" w:hint="eastAsia"/>
          <w:bCs/>
          <w:color w:val="auto"/>
          <w:kern w:val="2"/>
          <w:highlight w:val="none"/>
          <w:lang w:eastAsia="zh-CN"/>
        </w:rPr>
        <w:t>31.1</w:t>
      </w:r>
      <w:r>
        <w:rPr>
          <w:rFonts w:ascii="宋体" w:eastAsia="宋体" w:hAnsi="宋体" w:cs="宋体" w:hint="eastAsia"/>
          <w:color w:val="auto"/>
          <w:kern w:val="2"/>
          <w:highlight w:val="none"/>
          <w:lang w:eastAsia="zh-CN"/>
        </w:rPr>
        <w:t>评审委员会</w:t>
      </w:r>
      <w:r>
        <w:rPr>
          <w:rFonts w:ascii="宋体" w:eastAsia="宋体" w:hAnsi="宋体" w:cs="宋体" w:hint="eastAsia"/>
          <w:bCs/>
          <w:color w:val="auto"/>
          <w:kern w:val="2"/>
          <w:highlight w:val="none"/>
          <w:lang w:eastAsia="zh-CN"/>
        </w:rPr>
        <w:t>成员的评标活动应当独立进行，并应遵循投标文件初审、澄清有关问题、比较与评价、确定中标供应商、编写评审报告的工作程序。</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Cs/>
          <w:color w:val="auto"/>
          <w:kern w:val="2"/>
          <w:highlight w:val="none"/>
          <w:lang w:eastAsia="zh-CN"/>
        </w:rPr>
      </w:pPr>
    </w:p>
    <w:p>
      <w:pPr>
        <w:keepNext/>
        <w:keepLines/>
        <w:pageBreakBefore w:val="0"/>
        <w:widowControl w:val="0"/>
        <w:numPr>
          <w:ilvl w:val="0"/>
          <w:numId w:val="0"/>
        </w:numPr>
        <w:kinsoku/>
        <w:overflowPunct/>
        <w:topLinePunct w:val="0"/>
        <w:bidi w:val="0"/>
        <w:spacing w:before="120" w:beforeLines="50" w:after="120" w:afterLines="50" w:line="240" w:lineRule="auto"/>
        <w:ind w:left="562" w:hanging="562" w:leftChars="0" w:firstLineChars="0"/>
        <w:jc w:val="center"/>
        <w:outlineLvl w:val="1"/>
        <w:rPr>
          <w:rFonts w:ascii="宋体" w:eastAsia="宋体" w:hAnsi="宋体" w:cs="宋体" w:hint="eastAsia"/>
          <w:b/>
          <w:bCs/>
          <w:color w:val="auto"/>
          <w:kern w:val="2"/>
          <w:highlight w:val="none"/>
          <w:lang w:eastAsia="zh-CN"/>
        </w:rPr>
      </w:pPr>
      <w:r>
        <w:rPr>
          <w:rFonts w:ascii="宋体" w:eastAsia="宋体" w:hAnsi="宋体" w:cs="宋体"/>
          <w:b/>
          <w:bCs/>
          <w:color w:val="auto"/>
          <w:kern w:val="2"/>
          <w:highlight w:val="none"/>
          <w:lang w:eastAsia="zh-CN"/>
        </w:rPr>
        <w:t>第</w:t>
      </w:r>
      <w:r>
        <w:rPr>
          <w:rFonts w:ascii="宋体" w:eastAsia="宋体" w:hAnsi="宋体" w:cs="宋体" w:hint="eastAsia"/>
          <w:b/>
          <w:bCs/>
          <w:color w:val="auto"/>
          <w:kern w:val="2"/>
          <w:highlight w:val="none"/>
          <w:lang w:eastAsia="zh-CN"/>
        </w:rPr>
        <w:t>七</w:t>
      </w:r>
      <w:r>
        <w:rPr>
          <w:rFonts w:ascii="宋体" w:eastAsia="宋体" w:hAnsi="宋体" w:cs="宋体"/>
          <w:b/>
          <w:bCs/>
          <w:color w:val="auto"/>
          <w:kern w:val="2"/>
          <w:highlight w:val="none"/>
          <w:lang w:eastAsia="zh-CN"/>
        </w:rPr>
        <w:t>章</w:t>
      </w:r>
      <w:r>
        <w:rPr>
          <w:rFonts w:ascii="宋体" w:eastAsia="宋体" w:hAnsi="宋体" w:cs="宋体" w:hint="eastAsia"/>
          <w:b/>
          <w:bCs/>
          <w:color w:val="auto"/>
          <w:kern w:val="2"/>
          <w:highlight w:val="none"/>
          <w:lang w:eastAsia="zh-CN"/>
        </w:rPr>
        <w:t xml:space="preserve"> 评审程序及评审方法</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32．投标文件初审</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32.1投标文件初审包括资格性审查和符合性审查。</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资格性审查：依据法律法规和招标文件的规定，对投标文件中的资格证明等进行审查，以确定投标供应商是否具备投标资格。</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符合性审查：依据招标文件的规定，对投标文件的有效性、完整性和对招标文件的响应程度进行审查，以确定是否满足符合性审查的要求。</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32.2 投标文件初审内容请详见《资格性审查表》和《符合性审查表》部分。投标人若有一条审查不通过则按投标无效处理。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Cs/>
          <w:color w:val="auto"/>
          <w:kern w:val="2"/>
          <w:highlight w:val="none"/>
          <w:lang w:eastAsia="zh-CN"/>
        </w:rPr>
      </w:pPr>
      <w:r>
        <w:rPr>
          <w:rFonts w:ascii="宋体" w:eastAsia="宋体" w:hAnsi="宋体" w:cs="宋体" w:hint="eastAsia"/>
          <w:bCs/>
          <w:color w:val="auto"/>
          <w:kern w:val="2"/>
          <w:highlight w:val="none"/>
          <w:lang w:eastAsia="zh-CN"/>
        </w:rPr>
        <w:t>32.3 投标文件初审中关于供应商家数的计算:</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Cs/>
          <w:color w:val="auto"/>
          <w:kern w:val="2"/>
          <w:highlight w:val="none"/>
          <w:lang w:eastAsia="zh-CN"/>
        </w:rPr>
      </w:pPr>
      <w:r>
        <w:rPr>
          <w:rFonts w:ascii="宋体" w:eastAsia="宋体" w:hAnsi="宋体" w:cs="宋体" w:hint="eastAsia"/>
          <w:bCs/>
          <w:color w:val="auto"/>
          <w:kern w:val="2"/>
          <w:highlight w:val="none"/>
          <w:lang w:eastAsia="zh-CN"/>
        </w:rPr>
        <w:t>32.3.1采用最低评标价法的采购项目，提供相同品牌产品的不同投标人参加同一协议项下投标的，以其中通过资格审查、符合性审查且报价最低的参加评标；报价相同的，由招标人或者招标人委托评审委员会按照招标文件规定的方式确定一个参加评审的投标人，招标文件未规定的采取随机抽取方式确定，其他投标无效。</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Cs/>
          <w:color w:val="auto"/>
          <w:kern w:val="2"/>
          <w:highlight w:val="none"/>
          <w:lang w:eastAsia="zh-CN"/>
        </w:rPr>
      </w:pPr>
      <w:r>
        <w:rPr>
          <w:rFonts w:ascii="宋体" w:eastAsia="宋体" w:hAnsi="宋体" w:cs="宋体" w:hint="eastAsia"/>
          <w:bCs/>
          <w:color w:val="auto"/>
          <w:kern w:val="2"/>
          <w:highlight w:val="none"/>
          <w:lang w:eastAsia="zh-CN"/>
        </w:rPr>
        <w:t>32.3.2采用综合评分法的采购项目，提供相同品牌产品且通过资格审查、符合性审查的不同投标人参加同一协议项下投标的，按一家投标人计算，评审后得分最高的同品牌投标人获得中标人推荐资格；评审得分相同的，由招标人或者招标人委托评审委员会按照招标文件规定的方式确定一个投标人获得中标人推荐资格，招标文件未规定的采取随机抽取方式确定，其他同品牌投标人不作为中标候选人。</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Cs/>
          <w:color w:val="auto"/>
          <w:kern w:val="2"/>
          <w:highlight w:val="none"/>
          <w:lang w:eastAsia="zh-CN"/>
        </w:rPr>
      </w:pPr>
      <w:r>
        <w:rPr>
          <w:rFonts w:ascii="宋体" w:eastAsia="宋体" w:hAnsi="宋体" w:cs="宋体" w:hint="eastAsia"/>
          <w:bCs/>
          <w:color w:val="auto"/>
          <w:kern w:val="2"/>
          <w:highlight w:val="none"/>
          <w:lang w:eastAsia="zh-CN"/>
        </w:rPr>
        <w:t>32.3.3非单一产品采购项目，招标人应当根据采购项目技术构成、产品价格比重等合理确定核心产品，并在招标文件中载明。多家投标人提供的核心产品品牌相同的，按前两款规定处理。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32.4投标人投标文件作无效处理的情形，具体包括但不限于以下：</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32.4.1不同投标人的投标文件由同一单位或者同一个人编制，或者由同一个人分阶段参与编制；</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32.4.2不同投标人委托同一单位或者个人办理投标事宜；</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32.4.3不同投标人的投标文件载明的项目管理成员或者联系人员为同一人；</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32.4.4不同投标人的投标文件异常一致或者投标报价呈规律性差异；</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32.4.5不同投标供应商的投标文件或部分投标文件相互混装；</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32.4.6投标供应商之间相互约定给予未中标的供应商利益补偿；</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32.4.7不同投标供应商的法定代表人、主要经营负责人、项目投标授权代表人、项目负责人、主要技术人员为同一人、属同一单位或者同一单位缴纳社会保险；</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32.4.8不同投标供应商的投标文件内容存在非正常一致；</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32.4.9在同一单位工作人员为两家以上（含两家）供应商进行同一项投标活动；</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32.4.10主管部门依照法律、法规认定的其他情形。</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32.5对不属于《资格性审查表》和《符合性审查表》所列的其他情形，除专用条款另有规定和32.4条款所列情形外，不得作为投标无效的理由。</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33．澄清有关问题</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bookmarkStart w:id="198" w:name="_Hlk71407321"/>
      <w:r>
        <w:rPr>
          <w:rFonts w:ascii="宋体" w:eastAsia="宋体" w:hAnsi="宋体" w:cs="宋体" w:hint="eastAsia"/>
          <w:color w:val="auto"/>
          <w:kern w:val="2"/>
          <w:highlight w:val="none"/>
          <w:lang w:eastAsia="zh-CN"/>
        </w:rPr>
        <w:t>33.1对招标文件中描述有歧义或前后不一致的地方（不含招标文件存在歧义、重大缺陷导致评审工作无法进行的情况），评审委员会有权进行评判，但对同一条款的评判应适用于每个投标人。</w:t>
      </w:r>
      <w:bookmarkEnd w:id="198"/>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33.2评审委员会发现招标文件存在歧义、重大缺陷导致评审工作无法进行，或者招标文件内容违反国家有关强制性规定的，应当停止评审工作，与招标代理机构沟通并作书面记录。经确认后，项目应当修改招标文件，重新组织交易活动。</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33.3对于投标文件中含义不明确、同类问题表述不一致或者有明显文字和计算错误的内容，评审委员会应当以书面形式要求投标人作出必要的澄清、说明或者补正。</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根据本通用条款第34条，凡属于评审委员会在评审中发现的算术错误进行核实的修改不在此列。</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bookmarkStart w:id="199" w:name="_Toc73521669"/>
      <w:bookmarkStart w:id="200" w:name="_Toc100052400"/>
      <w:bookmarkStart w:id="201" w:name="_Toc73521581"/>
      <w:bookmarkStart w:id="202" w:name="_Toc73517673"/>
      <w:bookmarkStart w:id="203" w:name="_Toc73518151"/>
      <w:r>
        <w:rPr>
          <w:rFonts w:ascii="宋体" w:eastAsia="宋体" w:hAnsi="宋体" w:cs="宋体" w:hint="eastAsia"/>
          <w:color w:val="auto"/>
          <w:kern w:val="2"/>
          <w:highlight w:val="none"/>
          <w:lang w:eastAsia="zh-CN"/>
        </w:rPr>
        <w:t>34．错误的修正</w:t>
      </w:r>
      <w:bookmarkEnd w:id="199"/>
      <w:bookmarkEnd w:id="200"/>
      <w:bookmarkEnd w:id="201"/>
      <w:bookmarkEnd w:id="202"/>
      <w:bookmarkEnd w:id="203"/>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投标文件报价出现前后不一致的，除专用条款另有规定外，按照下列规定修正：</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34.1投标文件中建设投资额报价表投标报价内容与投标文件中投标报价相应内容不一致的，以建设投资额报价表为准；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34.2大写金额和小写金额不一致的，以大写金额为准；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34.3单价金额小数点或者百分比有明显错位，以建设投资额报价表的建设投资额为准，并修改单价；</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34.4总价金额与按单价汇总金额不一致的，以单价金额计算结果为准。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34.5同时出现两种以上不一致的，按照前款规定的顺序修正。修正后的报价按照本通用条款33条的规定，经投标人确认后产生约束力，投标人不确认的，其投标无效。</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35．投标文件的比较与评价</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评审委员会将参照《中华人民共和国政府采购法》《中华人民共和国招标投标法》《</w:t>
      </w:r>
      <w:hyperlink r:id="rId4" w:tgtFrame="https://www.baidu.com/_blank" w:history="1">
        <w:r>
          <w:rPr>
            <w:rFonts w:ascii="宋体" w:eastAsia="宋体" w:hAnsi="宋体" w:cs="宋体" w:hint="eastAsia"/>
            <w:color w:val="auto"/>
            <w:kern w:val="2"/>
            <w:highlight w:val="none"/>
            <w:lang w:eastAsia="zh-CN"/>
          </w:rPr>
          <w:t>中华人民共和国民法典</w:t>
        </w:r>
      </w:hyperlink>
      <w:r>
        <w:rPr>
          <w:rFonts w:ascii="宋体" w:eastAsia="宋体" w:hAnsi="宋体" w:cs="宋体" w:hint="eastAsia"/>
          <w:color w:val="auto"/>
          <w:kern w:val="2"/>
          <w:highlight w:val="none"/>
          <w:lang w:eastAsia="zh-CN"/>
        </w:rPr>
        <w:t>》，并参照有关法规、政策、规章，仅对通过资格性审查和符合性审查的投标文件进行综合比较与评价。</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评审委员会成员对需要共同认定的事项存在争议的，应当按照少数服从多数的原则作出结论。持不同意见的评审委员会成员应当书面作出说明，否则视为无异议。</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36. 实地考察或资料查验</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36.1在评审过程中，评审委员会有权决定是否对本项目投标人进行实地考察或资料查验（原件）。投标人应随时做好接受实地考察或资料查验的准备。</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37．评审方法</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
          <w:bCs/>
          <w:color w:val="auto"/>
          <w:kern w:val="2"/>
          <w:highlight w:val="none"/>
          <w:lang w:eastAsia="zh-CN"/>
        </w:rPr>
      </w:pPr>
      <w:r>
        <w:rPr>
          <w:rFonts w:ascii="宋体" w:eastAsia="宋体" w:hAnsi="宋体" w:cs="宋体" w:hint="eastAsia"/>
          <w:b/>
          <w:bCs/>
          <w:color w:val="auto"/>
          <w:kern w:val="2"/>
          <w:highlight w:val="none"/>
          <w:lang w:eastAsia="zh-CN"/>
        </w:rPr>
        <w:t>37.1.1最低价法</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bookmarkStart w:id="204" w:name="_Hlk72438142"/>
      <w:r>
        <w:rPr>
          <w:rFonts w:ascii="宋体" w:eastAsia="宋体" w:hAnsi="宋体" w:cs="宋体" w:hint="eastAsia"/>
          <w:color w:val="auto"/>
          <w:kern w:val="2"/>
          <w:highlight w:val="none"/>
          <w:lang w:eastAsia="zh-CN"/>
        </w:rPr>
        <w:t>最低价法，是指完全满足招标文件实质性要求，按照报价由低到高的顺序，依据招标文件中规定的数量或者比例推荐候选中标供应商。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
          <w:bCs/>
          <w:color w:val="auto"/>
          <w:kern w:val="2"/>
          <w:highlight w:val="none"/>
          <w:lang w:eastAsia="zh-CN"/>
        </w:rPr>
      </w:pPr>
      <w:r>
        <w:rPr>
          <w:rFonts w:ascii="宋体" w:eastAsia="宋体" w:hAnsi="宋体" w:cs="宋体" w:hint="eastAsia"/>
          <w:b/>
          <w:bCs/>
          <w:color w:val="auto"/>
          <w:kern w:val="2"/>
          <w:highlight w:val="none"/>
          <w:lang w:eastAsia="zh-CN"/>
        </w:rPr>
        <w:t>37.1.2综合评分法</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综合评分法，是指在满足招标文件全部实质性要求的前提下，按照招标文件中规定的各项因素进行综合评审，评审总得分排名前列的投标人，作为推荐的候选中标供应商。</w:t>
      </w:r>
      <w:bookmarkEnd w:id="204"/>
      <w:r>
        <w:rPr>
          <w:rFonts w:ascii="宋体" w:eastAsia="宋体" w:hAnsi="宋体" w:cs="宋体" w:hint="eastAsia"/>
          <w:bCs/>
          <w:color w:val="auto"/>
          <w:kern w:val="2"/>
          <w:highlight w:val="none"/>
          <w:lang w:eastAsia="zh-CN"/>
        </w:rPr>
        <w:t xml:space="preserve">                                                                                                                                                                                                                                                                                                                                                                                                                                                                                                                                                                                                                                                                                                                                                                                                                                                                                                                                                                                                                                                                                                                                                                                                                                                                                                                                                                                                                                                                                                                                                                                                                                                                                                                                                                                                                                                                                                                                                                                                                                                                                                                                                                                                                                                                                                                                                                                                                                                                                                                                                                                                                                                                                                                                                                                                                                                                                                                                                                                                                             </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
          <w:bCs/>
          <w:color w:val="auto"/>
          <w:kern w:val="2"/>
          <w:highlight w:val="none"/>
          <w:lang w:eastAsia="zh-CN"/>
        </w:rPr>
      </w:pPr>
      <w:r>
        <w:rPr>
          <w:rFonts w:ascii="宋体" w:eastAsia="宋体" w:hAnsi="宋体" w:cs="宋体" w:hint="eastAsia"/>
          <w:b/>
          <w:bCs/>
          <w:color w:val="auto"/>
          <w:kern w:val="2"/>
          <w:highlight w:val="none"/>
          <w:lang w:eastAsia="zh-CN"/>
        </w:rPr>
        <w:t>37.2 本项目采用的评审方法见本项目招标文件第一册“专用条款”的相关内容。</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
          <w:bCs/>
          <w:color w:val="auto"/>
          <w:kern w:val="2"/>
          <w:highlight w:val="none"/>
          <w:lang w:eastAsia="zh-CN"/>
        </w:rPr>
      </w:pPr>
      <w:r>
        <w:rPr>
          <w:rFonts w:ascii="宋体" w:eastAsia="宋体" w:hAnsi="宋体" w:cs="宋体" w:hint="eastAsia"/>
          <w:b/>
          <w:bCs/>
          <w:color w:val="auto"/>
          <w:kern w:val="2"/>
          <w:highlight w:val="none"/>
          <w:lang w:eastAsia="zh-CN"/>
        </w:rPr>
        <w:t>37.3重新评审的情形</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
          <w:bCs/>
          <w:color w:val="auto"/>
          <w:kern w:val="2"/>
          <w:highlight w:val="none"/>
          <w:lang w:eastAsia="zh-CN"/>
        </w:rPr>
      </w:pPr>
      <w:r>
        <w:rPr>
          <w:rFonts w:ascii="宋体" w:eastAsia="宋体" w:hAnsi="宋体" w:cs="宋体" w:hint="eastAsia"/>
          <w:color w:val="auto"/>
          <w:highlight w:val="none"/>
          <w:lang w:eastAsia="zh-CN"/>
        </w:rPr>
        <w:t>评审结果汇总完成后，除下列情形外，任何人不得修改评审结果：</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37.3.1分值汇总计算错误的；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37.3.2分项评分超出评分标准范围的；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37.3.3评审委员会成员对客观评审因素评分不一致的；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37.3.4经评审委员会认定评分畸高、畸低的。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评审报告签署前，经复核发现存在以上情形之一的，评审委员会应当当场修改评审结果，并进行书面记载；评审报告签署后，招标人或者招标代理机构发现存在以上情形之一的，应当组织原评审委员会进行重新评审。</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投标人对本条第一款情形提出质疑的，招标人或者招标代理机构可以组织原评审委员会进行重新评审。</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
          <w:bCs/>
          <w:color w:val="auto"/>
          <w:kern w:val="2"/>
          <w:highlight w:val="none"/>
          <w:lang w:eastAsia="zh-CN"/>
        </w:rPr>
      </w:pPr>
      <w:r>
        <w:rPr>
          <w:rFonts w:ascii="宋体" w:eastAsia="宋体" w:hAnsi="宋体" w:cs="宋体" w:hint="eastAsia"/>
          <w:b/>
          <w:bCs/>
          <w:color w:val="auto"/>
          <w:kern w:val="2"/>
          <w:highlight w:val="none"/>
          <w:lang w:eastAsia="zh-CN"/>
        </w:rPr>
        <w:t xml:space="preserve"> 37.4重新组建评审委员会的情形</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评审委员会或者其成员存在下列情形导致评审结果无效的，重新组建评审委员会进行评标：</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37.4.1评审委员会组成不符合《政府采购货物和服务招标投标管理办法》规定的；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37.4.2有《政府采购货物和服务招标投标管理办法》第六十二条第一至五项情形的；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37.4.3评审委员会及其成员独立评标受到非法干预的；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37.4.4有政府采购法实施条例第七十五条规定的违法行为的。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highlight w:val="none"/>
          <w:lang w:eastAsia="zh-CN"/>
        </w:rPr>
      </w:pPr>
      <w:r>
        <w:rPr>
          <w:rFonts w:ascii="宋体" w:eastAsia="宋体" w:hAnsi="宋体" w:cs="宋体" w:hint="eastAsia"/>
          <w:color w:val="auto"/>
          <w:highlight w:val="none"/>
          <w:lang w:eastAsia="zh-CN"/>
        </w:rPr>
        <w:t>有违法违规行为的原评审委员会成员不得参加重新组建的评审委员会。</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p>
    <w:p>
      <w:pPr>
        <w:keepNext/>
        <w:keepLines/>
        <w:pageBreakBefore w:val="0"/>
        <w:widowControl w:val="0"/>
        <w:numPr>
          <w:ilvl w:val="0"/>
          <w:numId w:val="0"/>
        </w:numPr>
        <w:kinsoku/>
        <w:overflowPunct/>
        <w:topLinePunct w:val="0"/>
        <w:bidi w:val="0"/>
        <w:spacing w:before="120" w:beforeLines="50" w:after="120" w:afterLines="50" w:line="240" w:lineRule="auto"/>
        <w:ind w:left="562" w:hanging="562" w:leftChars="0" w:firstLineChars="0"/>
        <w:jc w:val="center"/>
        <w:outlineLvl w:val="1"/>
        <w:rPr>
          <w:rFonts w:ascii="宋体" w:eastAsia="宋体" w:hAnsi="宋体" w:cs="宋体" w:hint="eastAsia"/>
          <w:b/>
          <w:bCs/>
          <w:color w:val="auto"/>
          <w:kern w:val="2"/>
          <w:highlight w:val="none"/>
          <w:lang w:eastAsia="zh-CN"/>
        </w:rPr>
      </w:pPr>
      <w:r>
        <w:rPr>
          <w:rFonts w:ascii="宋体" w:eastAsia="宋体" w:hAnsi="宋体" w:cs="宋体"/>
          <w:b/>
          <w:bCs/>
          <w:color w:val="auto"/>
          <w:kern w:val="2"/>
          <w:highlight w:val="none"/>
          <w:lang w:eastAsia="zh-CN"/>
        </w:rPr>
        <w:t>第</w:t>
      </w:r>
      <w:r>
        <w:rPr>
          <w:rFonts w:ascii="宋体" w:eastAsia="宋体" w:hAnsi="宋体" w:cs="宋体" w:hint="eastAsia"/>
          <w:b/>
          <w:bCs/>
          <w:color w:val="auto"/>
          <w:kern w:val="2"/>
          <w:highlight w:val="none"/>
          <w:lang w:eastAsia="zh-CN"/>
        </w:rPr>
        <w:t>八</w:t>
      </w:r>
      <w:r>
        <w:rPr>
          <w:rFonts w:ascii="宋体" w:eastAsia="宋体" w:hAnsi="宋体" w:cs="宋体"/>
          <w:b/>
          <w:bCs/>
          <w:color w:val="auto"/>
          <w:kern w:val="2"/>
          <w:highlight w:val="none"/>
          <w:lang w:eastAsia="zh-CN"/>
        </w:rPr>
        <w:t>章</w:t>
      </w:r>
      <w:r>
        <w:rPr>
          <w:rFonts w:ascii="宋体" w:eastAsia="宋体" w:hAnsi="宋体" w:cs="宋体" w:hint="eastAsia"/>
          <w:b/>
          <w:bCs/>
          <w:color w:val="auto"/>
          <w:kern w:val="2"/>
          <w:highlight w:val="none"/>
          <w:lang w:eastAsia="zh-CN"/>
        </w:rPr>
        <w:t xml:space="preserve"> 定标及公示</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38．定标方法</w:t>
      </w:r>
    </w:p>
    <w:p>
      <w:pPr>
        <w:pageBreakBefore w:val="0"/>
        <w:widowControl w:val="0"/>
        <w:kinsoku/>
        <w:overflowPunct/>
        <w:topLinePunct w:val="0"/>
        <w:bidi w:val="0"/>
        <w:spacing w:line="240" w:lineRule="auto"/>
        <w:ind w:firstLine="470" w:firstLineChars="196"/>
        <w:jc w:val="both"/>
        <w:rPr>
          <w:rFonts w:ascii="宋体" w:eastAsia="宋体" w:hAnsi="宋体" w:cs="宋体" w:hint="eastAsia"/>
          <w:b/>
          <w:bCs/>
          <w:color w:val="auto"/>
          <w:kern w:val="2"/>
          <w:highlight w:val="none"/>
          <w:lang w:eastAsia="zh-CN"/>
        </w:rPr>
      </w:pPr>
      <w:r>
        <w:rPr>
          <w:rFonts w:ascii="宋体" w:eastAsia="宋体" w:hAnsi="宋体" w:cs="宋体" w:hint="eastAsia"/>
          <w:b/>
          <w:bCs/>
          <w:color w:val="auto"/>
          <w:kern w:val="2"/>
          <w:highlight w:val="none"/>
          <w:lang w:eastAsia="zh-CN"/>
        </w:rPr>
        <w:t>38.1非评定分离项目定标方法</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38.1.1评审委员会依据本项目招标文件所约定的评审方法进行评审和比较，向招标代理机构提交书面评审报告，并根据评审方法比较评价结果从优到劣进行排序，确定候选中标供应商。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38.1.3采用综合评分法的，评标结果按评审后得分由高到低顺序排列。得分相同的，按投标报价由低到高顺序排列。得分且投标报价相同的并列。</w:t>
      </w:r>
    </w:p>
    <w:p>
      <w:pPr>
        <w:pageBreakBefore w:val="0"/>
        <w:widowControl w:val="0"/>
        <w:kinsoku/>
        <w:overflowPunct/>
        <w:topLinePunct w:val="0"/>
        <w:bidi w:val="0"/>
        <w:spacing w:line="240" w:lineRule="auto"/>
        <w:ind w:firstLine="240" w:firstLineChars="100"/>
        <w:jc w:val="both"/>
        <w:rPr>
          <w:rFonts w:ascii="宋体" w:eastAsia="宋体" w:hAnsi="宋体" w:cs="宋体" w:hint="eastAsia"/>
          <w:color w:val="auto"/>
          <w:kern w:val="2"/>
          <w:highlight w:val="none"/>
          <w:lang w:eastAsia="zh-CN"/>
        </w:rPr>
      </w:pPr>
      <w:r>
        <w:rPr>
          <w:rFonts w:ascii="Wingdings" w:eastAsia="宋体" w:hAnsi="Wingdings" w:cs="宋体"/>
          <w:color w:val="auto"/>
          <w:kern w:val="2"/>
          <w:highlight w:val="none"/>
          <w:lang w:eastAsia="zh-CN"/>
        </w:rPr>
        <w:sym w:font="Wingdings" w:char="F0A8"/>
      </w:r>
      <w:r>
        <w:rPr>
          <w:rFonts w:ascii="宋体" w:eastAsia="宋体" w:hAnsi="宋体" w:cs="宋体" w:hint="eastAsia"/>
          <w:color w:val="auto"/>
          <w:kern w:val="2"/>
          <w:highlight w:val="none"/>
          <w:lang w:eastAsia="zh-CN"/>
        </w:rPr>
        <w:t>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具体操作办法及流程由评审委员会确定。</w:t>
      </w:r>
      <w:r>
        <w:rPr>
          <w:rFonts w:ascii="宋体" w:eastAsia="宋体" w:hAnsi="宋体" w:cs="宋体" w:hint="eastAsia"/>
          <w:b/>
          <w:bCs/>
          <w:color w:val="auto"/>
          <w:kern w:val="2"/>
          <w:highlight w:val="none"/>
          <w:lang w:eastAsia="zh-CN"/>
        </w:rPr>
        <w:t>如排名第一的中标候选人被认定投标或中标无效，符合法定情形时，依法顺次替补；合格供应商不符合法定数量时，应当重新开展交易活动。</w:t>
      </w:r>
    </w:p>
    <w:p>
      <w:pPr>
        <w:pageBreakBefore w:val="0"/>
        <w:widowControl w:val="0"/>
        <w:kinsoku/>
        <w:overflowPunct/>
        <w:topLinePunct w:val="0"/>
        <w:bidi w:val="0"/>
        <w:spacing w:line="240" w:lineRule="auto"/>
        <w:ind w:firstLine="240" w:firstLineChars="100"/>
        <w:jc w:val="both"/>
        <w:rPr>
          <w:rFonts w:ascii="宋体" w:eastAsia="宋体" w:hAnsi="宋体" w:cs="宋体" w:hint="eastAsia"/>
          <w:color w:val="auto"/>
          <w:kern w:val="2"/>
          <w:highlight w:val="none"/>
          <w:lang w:eastAsia="zh-CN"/>
        </w:rPr>
      </w:pPr>
      <w:r>
        <w:rPr>
          <w:rFonts w:ascii="Wingdings" w:eastAsia="宋体" w:hAnsi="Wingdings" w:cs="宋体"/>
          <w:color w:val="auto"/>
          <w:kern w:val="2"/>
          <w:highlight w:val="none"/>
          <w:lang w:eastAsia="zh-CN"/>
        </w:rPr>
        <w:sym w:font="Wingdings" w:char="F0A8"/>
      </w:r>
      <w:r>
        <w:rPr>
          <w:rFonts w:ascii="宋体" w:eastAsia="宋体" w:hAnsi="宋体" w:cs="宋体" w:hint="eastAsia"/>
          <w:color w:val="auto"/>
          <w:kern w:val="2"/>
          <w:highlight w:val="none"/>
          <w:lang w:eastAsia="zh-CN"/>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ascii="宋体" w:eastAsia="宋体" w:hAnsi="宋体" w:cs="宋体" w:hint="eastAsia"/>
          <w:b/>
          <w:bCs/>
          <w:color w:val="auto"/>
          <w:kern w:val="2"/>
          <w:highlight w:val="none"/>
          <w:lang w:eastAsia="zh-CN"/>
        </w:rPr>
        <w:t>如唯一候选中标供应商被认定投标或中标无效，招标人应当重新开展交易活动。</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p>
    <w:p>
      <w:pPr>
        <w:pageBreakBefore w:val="0"/>
        <w:widowControl w:val="0"/>
        <w:kinsoku/>
        <w:overflowPunct/>
        <w:topLinePunct w:val="0"/>
        <w:bidi w:val="0"/>
        <w:spacing w:line="240" w:lineRule="auto"/>
        <w:ind w:firstLine="470" w:firstLineChars="196"/>
        <w:jc w:val="both"/>
        <w:rPr>
          <w:rFonts w:ascii="宋体" w:eastAsia="宋体" w:hAnsi="宋体" w:cs="宋体" w:hint="eastAsia"/>
          <w:b/>
          <w:bCs/>
          <w:color w:val="auto"/>
          <w:kern w:val="2"/>
          <w:highlight w:val="none"/>
          <w:lang w:eastAsia="zh-CN"/>
        </w:rPr>
      </w:pPr>
      <w:r>
        <w:rPr>
          <w:rFonts w:ascii="宋体" w:eastAsia="宋体" w:hAnsi="宋体" w:cs="宋体" w:hint="eastAsia"/>
          <w:b/>
          <w:bCs/>
          <w:color w:val="auto"/>
          <w:kern w:val="2"/>
          <w:highlight w:val="none"/>
          <w:lang w:eastAsia="zh-CN"/>
        </w:rPr>
        <w:t>38.2评定分离项目定标方法</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38.2.1评定分离是指在采购程序中，以公开招标方式执行采购，评审委员会负责对投标文件进行评审、推荐候选中标供应商并出具书面评审报告，由招标人根据评审委员会出具的评审报告从推荐的候选中标供应商中确定中标供应商。单个项目需要确定多家中标供应商的，不适用评定分离。</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38.2.2 </w:t>
      </w:r>
      <w:bookmarkStart w:id="205" w:name="_Hlk71469733"/>
      <w:r>
        <w:rPr>
          <w:rFonts w:ascii="宋体" w:eastAsia="宋体" w:hAnsi="宋体" w:cs="宋体" w:hint="eastAsia"/>
          <w:color w:val="auto"/>
          <w:kern w:val="2"/>
          <w:highlight w:val="none"/>
          <w:lang w:eastAsia="zh-CN"/>
        </w:rPr>
        <w:t>适用评定分离的采购项目，采用综合评分法评审。评审委员会按照评审结果，推荐三个合格的候选中标供应商。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38.2.3</w:t>
      </w:r>
      <w:bookmarkStart w:id="206" w:name="_Hlk71469688"/>
      <w:r>
        <w:rPr>
          <w:rFonts w:ascii="宋体" w:eastAsia="宋体" w:hAnsi="宋体" w:cs="宋体" w:hint="eastAsia"/>
          <w:color w:val="auto"/>
          <w:kern w:val="2"/>
          <w:highlight w:val="none"/>
          <w:lang w:eastAsia="zh-CN"/>
        </w:rPr>
        <w:t>适用评定分离的交易项目，按照自定法确定中标供应商：自定法是指招标人组织定标委员会，由定标委员会在三家候选中标供应商中确定中标供应商。</w:t>
      </w:r>
      <w:bookmarkEnd w:id="205"/>
      <w:bookmarkEnd w:id="206"/>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38.2.4招标代理机构应当自评审结束之日起两个工作日内将候选中标供应商名单及其投标文件、评审报告送交招标人。招标人应当安排专人对定标过程进行书面记录，形成定标报告，作为采购文件的组成部分存档，并及时将定标结果反馈招标代理机构。具体定标程序及相关要求以按照《深圳市财政局关于&lt;深圳市政府采购评标定标分离管理办法&gt;续期的通知》（深财规〔2023〕1号）执行。</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说明：招标人及投标供应商应按照上述方法提前做好相关准备。</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38.3专用条款另有规定的，按专用条款相关要求定标。</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39．编写评审报告</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40．中标公告</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40.1</w:t>
      </w:r>
      <w:bookmarkStart w:id="207" w:name="_Hlk72438709"/>
      <w:r>
        <w:rPr>
          <w:rFonts w:ascii="宋体" w:eastAsia="宋体" w:hAnsi="宋体" w:cs="宋体" w:hint="eastAsia"/>
          <w:color w:val="auto"/>
          <w:kern w:val="2"/>
          <w:highlight w:val="none"/>
          <w:lang w:eastAsia="zh-CN"/>
        </w:rPr>
        <w:t>为体现“公开、公平、公正”的原则，评审结束后经招标人确认（确定）评审结果，招标代理机构将在</w:t>
      </w:r>
      <w:r>
        <w:rPr>
          <w:rFonts w:ascii="宋体" w:eastAsia="宋体" w:hAnsi="宋体" w:cs="宋体" w:hint="eastAsia"/>
          <w:b/>
          <w:bCs/>
          <w:color w:val="auto"/>
          <w:kern w:val="2"/>
          <w:highlight w:val="none"/>
          <w:lang w:eastAsia="zh-CN"/>
        </w:rPr>
        <w:t>深圳公共资源交易网（https://szggzy.com/）</w:t>
      </w:r>
      <w:r>
        <w:rPr>
          <w:rFonts w:ascii="宋体" w:eastAsia="宋体" w:hAnsi="宋体" w:cs="宋体" w:hint="eastAsia"/>
          <w:color w:val="auto"/>
          <w:kern w:val="2"/>
          <w:highlight w:val="none"/>
          <w:lang w:eastAsia="zh-CN"/>
        </w:rPr>
        <w:t>上发布中标结果公告。</w:t>
      </w:r>
      <w:bookmarkEnd w:id="207"/>
      <w:bookmarkStart w:id="208" w:name="_Hlk72438751"/>
      <w:r>
        <w:rPr>
          <w:rFonts w:ascii="宋体" w:eastAsia="宋体" w:hAnsi="宋体" w:cs="宋体" w:hint="eastAsia"/>
          <w:color w:val="auto"/>
          <w:kern w:val="2"/>
          <w:highlight w:val="none"/>
          <w:lang w:eastAsia="zh-CN"/>
        </w:rPr>
        <w:t>供应商如对评审结果有异议，可在发布公示日期起七个工作日内向招标代理机构提出。若在公示期内未提出质疑，则视为认同该评审结果。</w:t>
      </w:r>
    </w:p>
    <w:bookmarkEnd w:id="208"/>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40.2质疑、投诉供应商应保证质疑、投诉内容的真实性和可靠性，并承担相应的法律责任。</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41．中标通知书</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41.1</w:t>
      </w:r>
      <w:bookmarkStart w:id="209" w:name="_Hlk72438863"/>
      <w:r>
        <w:rPr>
          <w:rFonts w:ascii="宋体" w:eastAsia="宋体" w:hAnsi="宋体" w:cs="宋体" w:hint="eastAsia"/>
          <w:color w:val="auto"/>
          <w:kern w:val="2"/>
          <w:highlight w:val="none"/>
          <w:lang w:eastAsia="zh-CN"/>
        </w:rPr>
        <w:t>中标公告公布以后无异常的情况下,中标供应商和招标人可自行在</w:t>
      </w:r>
      <w:r>
        <w:rPr>
          <w:rFonts w:ascii="宋体" w:eastAsia="宋体" w:hAnsi="宋体" w:cs="宋体" w:hint="eastAsia"/>
          <w:b/>
          <w:bCs/>
          <w:color w:val="auto"/>
          <w:kern w:val="2"/>
          <w:highlight w:val="none"/>
          <w:lang w:eastAsia="zh-CN"/>
        </w:rPr>
        <w:t>“</w:t>
      </w:r>
      <w:r>
        <w:rPr>
          <w:rFonts w:ascii="宋体" w:eastAsia="宋体" w:hAnsi="宋体" w:cs="宋体" w:hint="eastAsia"/>
          <w:color w:val="auto"/>
          <w:kern w:val="2"/>
          <w:highlight w:val="none"/>
          <w:lang w:eastAsia="zh-CN"/>
        </w:rPr>
        <w:t>深圳市自行采购系统（https://trade.szggzy.com/ggzy/center/#/login）</w:t>
      </w:r>
      <w:r>
        <w:rPr>
          <w:rFonts w:ascii="宋体" w:eastAsia="宋体" w:hAnsi="宋体" w:cs="宋体" w:hint="eastAsia"/>
          <w:b/>
          <w:bCs/>
          <w:color w:val="auto"/>
          <w:kern w:val="2"/>
          <w:highlight w:val="none"/>
          <w:lang w:eastAsia="zh-CN"/>
        </w:rPr>
        <w:t>”</w:t>
      </w:r>
      <w:r>
        <w:rPr>
          <w:rFonts w:ascii="宋体" w:eastAsia="宋体" w:hAnsi="宋体" w:cs="宋体" w:hint="eastAsia"/>
          <w:color w:val="auto"/>
          <w:kern w:val="2"/>
          <w:highlight w:val="none"/>
          <w:lang w:eastAsia="zh-CN"/>
        </w:rPr>
        <w:t>上打印</w:t>
      </w:r>
      <w:r>
        <w:rPr>
          <w:rFonts w:ascii="宋体" w:eastAsia="宋体" w:hAnsi="宋体" w:cs="宋体" w:hint="eastAsia"/>
          <w:b/>
          <w:color w:val="auto"/>
          <w:kern w:val="2"/>
          <w:highlight w:val="none"/>
          <w:lang w:eastAsia="zh-CN"/>
        </w:rPr>
        <w:t>《数字中标通知书》</w:t>
      </w:r>
      <w:r>
        <w:rPr>
          <w:rFonts w:ascii="宋体" w:eastAsia="宋体" w:hAnsi="宋体" w:cs="宋体" w:hint="eastAsia"/>
          <w:color w:val="auto"/>
          <w:kern w:val="2"/>
          <w:highlight w:val="none"/>
          <w:lang w:eastAsia="zh-CN"/>
        </w:rPr>
        <w:t>。</w:t>
      </w:r>
      <w:bookmarkEnd w:id="209"/>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41.2中标通知书是协议的重要组成部分。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bookmarkStart w:id="210" w:name="_Hlk71407340"/>
      <w:r>
        <w:rPr>
          <w:rFonts w:ascii="宋体" w:eastAsia="宋体" w:hAnsi="宋体" w:cs="宋体" w:hint="eastAsia"/>
          <w:color w:val="auto"/>
          <w:kern w:val="2"/>
          <w:highlight w:val="none"/>
          <w:lang w:eastAsia="zh-CN"/>
        </w:rPr>
        <w:t>41.3因质疑投诉或其它原因导致项目结果变更或采购终止的，招标代理机构有权吊销中标通知书。</w:t>
      </w:r>
    </w:p>
    <w:bookmarkEnd w:id="210"/>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p>
    <w:p>
      <w:pPr>
        <w:keepNext/>
        <w:keepLines/>
        <w:pageBreakBefore w:val="0"/>
        <w:widowControl w:val="0"/>
        <w:numPr>
          <w:ilvl w:val="0"/>
          <w:numId w:val="0"/>
        </w:numPr>
        <w:kinsoku/>
        <w:overflowPunct/>
        <w:topLinePunct w:val="0"/>
        <w:bidi w:val="0"/>
        <w:spacing w:before="120" w:beforeLines="50" w:after="120" w:afterLines="50" w:line="240" w:lineRule="auto"/>
        <w:ind w:left="562" w:hanging="562" w:leftChars="0" w:firstLineChars="0"/>
        <w:jc w:val="center"/>
        <w:outlineLvl w:val="1"/>
        <w:rPr>
          <w:rFonts w:ascii="宋体" w:eastAsia="宋体" w:hAnsi="宋体" w:cs="宋体" w:hint="eastAsia"/>
          <w:b/>
          <w:bCs/>
          <w:color w:val="auto"/>
          <w:kern w:val="2"/>
          <w:highlight w:val="none"/>
          <w:lang w:eastAsia="zh-CN"/>
        </w:rPr>
      </w:pPr>
      <w:r>
        <w:rPr>
          <w:rFonts w:ascii="宋体" w:eastAsia="宋体" w:hAnsi="宋体" w:cs="宋体"/>
          <w:b/>
          <w:bCs/>
          <w:color w:val="auto"/>
          <w:kern w:val="2"/>
          <w:highlight w:val="none"/>
          <w:lang w:eastAsia="zh-CN"/>
        </w:rPr>
        <w:t>第</w:t>
      </w:r>
      <w:r>
        <w:rPr>
          <w:rFonts w:ascii="宋体" w:eastAsia="宋体" w:hAnsi="宋体" w:cs="宋体" w:hint="eastAsia"/>
          <w:b/>
          <w:bCs/>
          <w:color w:val="auto"/>
          <w:kern w:val="2"/>
          <w:highlight w:val="none"/>
          <w:lang w:eastAsia="zh-CN"/>
        </w:rPr>
        <w:t>九</w:t>
      </w:r>
      <w:r>
        <w:rPr>
          <w:rFonts w:ascii="宋体" w:eastAsia="宋体" w:hAnsi="宋体" w:cs="宋体"/>
          <w:b/>
          <w:bCs/>
          <w:color w:val="auto"/>
          <w:kern w:val="2"/>
          <w:highlight w:val="none"/>
          <w:lang w:eastAsia="zh-CN"/>
        </w:rPr>
        <w:t>章</w:t>
      </w:r>
      <w:r>
        <w:rPr>
          <w:rFonts w:ascii="宋体" w:eastAsia="宋体" w:hAnsi="宋体" w:cs="宋体" w:hint="eastAsia"/>
          <w:b/>
          <w:bCs/>
          <w:color w:val="auto"/>
          <w:kern w:val="2"/>
          <w:highlight w:val="none"/>
          <w:lang w:eastAsia="zh-CN"/>
        </w:rPr>
        <w:t xml:space="preserve"> 公开招标失败的后续处理</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42．公开招标失败的处理</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42.1本项目公开招标过程中若由于投标截止后实际递交投标文件的供应商数量不足、经评审委员会评审对招标文件作实质响应的供应商不足等原因造成公开招标失败，可由招标代理机构重新组织采购。</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42.2对公开招标失败的项目，评审委员会在出具该项目招标失败结论的同时，可以提出重新采购组织形式的建议，以及进一步完善招标文件的资格、技术、商务要求的修改建议。</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42.3重新组织采购有以下两种组织形式：</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（1）由招标代理机构重新组织公开招标；</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（2）根据实际情况需要向同级财政部门提出非公开招标方式申请，经同级财政部门批准，公开招标失败采购项目可转为竞争性谈判或单一来源谈判方式采购。</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42.4公开招标失败的采购项目重新组织公开招标，由招标代理机构重新按公开招标流程组织交易活动。</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p>
    <w:p>
      <w:pPr>
        <w:keepNext/>
        <w:keepLines/>
        <w:pageBreakBefore w:val="0"/>
        <w:widowControl w:val="0"/>
        <w:numPr>
          <w:ilvl w:val="0"/>
          <w:numId w:val="0"/>
        </w:numPr>
        <w:kinsoku/>
        <w:overflowPunct/>
        <w:topLinePunct w:val="0"/>
        <w:bidi w:val="0"/>
        <w:spacing w:before="120" w:beforeLines="50" w:after="120" w:afterLines="50" w:line="240" w:lineRule="auto"/>
        <w:ind w:left="562" w:hanging="562" w:leftChars="0" w:firstLineChars="0"/>
        <w:jc w:val="center"/>
        <w:outlineLvl w:val="1"/>
        <w:rPr>
          <w:rFonts w:ascii="宋体" w:eastAsia="宋体" w:hAnsi="宋体" w:cs="宋体" w:hint="eastAsia"/>
          <w:b/>
          <w:bCs/>
          <w:color w:val="auto"/>
          <w:kern w:val="2"/>
          <w:highlight w:val="none"/>
          <w:lang w:eastAsia="zh-CN"/>
        </w:rPr>
      </w:pPr>
      <w:bookmarkStart w:id="211" w:name="_Hlk72439043"/>
      <w:r>
        <w:rPr>
          <w:rFonts w:ascii="宋体" w:eastAsia="宋体" w:hAnsi="宋体" w:cs="宋体"/>
          <w:b/>
          <w:bCs/>
          <w:color w:val="auto"/>
          <w:kern w:val="2"/>
          <w:highlight w:val="none"/>
          <w:lang w:eastAsia="zh-CN"/>
        </w:rPr>
        <w:t>第</w:t>
      </w:r>
      <w:r>
        <w:rPr>
          <w:rFonts w:ascii="宋体" w:eastAsia="宋体" w:hAnsi="宋体" w:cs="宋体" w:hint="eastAsia"/>
          <w:b/>
          <w:bCs/>
          <w:color w:val="auto"/>
          <w:kern w:val="2"/>
          <w:highlight w:val="none"/>
          <w:lang w:eastAsia="zh-CN"/>
        </w:rPr>
        <w:t>十</w:t>
      </w:r>
      <w:r>
        <w:rPr>
          <w:rFonts w:ascii="宋体" w:eastAsia="宋体" w:hAnsi="宋体" w:cs="宋体"/>
          <w:b/>
          <w:bCs/>
          <w:color w:val="auto"/>
          <w:kern w:val="2"/>
          <w:highlight w:val="none"/>
          <w:lang w:eastAsia="zh-CN"/>
        </w:rPr>
        <w:t>章</w:t>
      </w:r>
      <w:r>
        <w:rPr>
          <w:rFonts w:ascii="宋体" w:eastAsia="宋体" w:hAnsi="宋体" w:cs="宋体" w:hint="eastAsia"/>
          <w:b/>
          <w:bCs/>
          <w:color w:val="auto"/>
          <w:kern w:val="2"/>
          <w:highlight w:val="none"/>
          <w:lang w:eastAsia="zh-CN"/>
        </w:rPr>
        <w:t xml:space="preserve"> 协议的授予与备案</w:t>
      </w:r>
      <w:bookmarkEnd w:id="211"/>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bookmarkStart w:id="212" w:name="_Toc73517679"/>
      <w:bookmarkStart w:id="213" w:name="_Toc73521674"/>
      <w:bookmarkStart w:id="214" w:name="_Toc73521586"/>
      <w:bookmarkStart w:id="215" w:name="_Toc100052408"/>
      <w:bookmarkStart w:id="216" w:name="_Toc73518157"/>
      <w:bookmarkStart w:id="217" w:name="_Hlk72439088"/>
      <w:r>
        <w:rPr>
          <w:rFonts w:ascii="宋体" w:eastAsia="宋体" w:hAnsi="宋体" w:cs="宋体" w:hint="eastAsia"/>
          <w:color w:val="auto"/>
          <w:kern w:val="2"/>
          <w:highlight w:val="none"/>
          <w:lang w:eastAsia="zh-CN"/>
        </w:rPr>
        <w:t>43．协议授予标准</w:t>
      </w:r>
      <w:bookmarkEnd w:id="212"/>
      <w:bookmarkEnd w:id="213"/>
      <w:bookmarkEnd w:id="214"/>
      <w:bookmarkEnd w:id="215"/>
      <w:bookmarkEnd w:id="216"/>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本项目的协议将授予经本招标文件规定评审确定的中标供应商。</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bookmarkStart w:id="218" w:name="_Toc73521675"/>
      <w:bookmarkStart w:id="219" w:name="_Toc100052409"/>
      <w:bookmarkStart w:id="220" w:name="_Toc73518158"/>
      <w:bookmarkStart w:id="221" w:name="_Toc73517680"/>
      <w:bookmarkStart w:id="222" w:name="_Toc73521587"/>
      <w:r>
        <w:rPr>
          <w:rFonts w:ascii="宋体" w:eastAsia="宋体" w:hAnsi="宋体" w:cs="宋体" w:hint="eastAsia"/>
          <w:color w:val="auto"/>
          <w:kern w:val="2"/>
          <w:highlight w:val="none"/>
          <w:lang w:eastAsia="zh-CN"/>
        </w:rPr>
        <w:t>44．</w:t>
      </w:r>
      <w:bookmarkEnd w:id="218"/>
      <w:bookmarkEnd w:id="219"/>
      <w:bookmarkEnd w:id="220"/>
      <w:bookmarkEnd w:id="221"/>
      <w:bookmarkEnd w:id="222"/>
      <w:r>
        <w:rPr>
          <w:rFonts w:ascii="宋体" w:eastAsia="宋体" w:hAnsi="宋体" w:cs="宋体" w:hint="eastAsia"/>
          <w:color w:val="auto"/>
          <w:kern w:val="2"/>
          <w:highlight w:val="none"/>
          <w:lang w:eastAsia="zh-CN"/>
        </w:rPr>
        <w:t>接受和拒绝任何或所有投标的权力</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招标代理机构和招标人保留在投标之前任何时候接受或拒绝任何投标或所有投标，以及宣布招标无效的权力，对受影响的投标人不承担任何责任，也无义务向受影响的投标人解释采取这一行动的理由。</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bookmarkStart w:id="223" w:name="_Toc73517682"/>
      <w:bookmarkStart w:id="224" w:name="_Toc73521677"/>
      <w:bookmarkStart w:id="225" w:name="_Toc73518160"/>
      <w:bookmarkStart w:id="226" w:name="_Toc100052410"/>
      <w:bookmarkStart w:id="227" w:name="_Toc73521589"/>
      <w:r>
        <w:rPr>
          <w:rFonts w:ascii="宋体" w:eastAsia="宋体" w:hAnsi="宋体" w:cs="宋体" w:hint="eastAsia"/>
          <w:color w:val="auto"/>
          <w:kern w:val="2"/>
          <w:highlight w:val="none"/>
          <w:lang w:eastAsia="zh-CN"/>
        </w:rPr>
        <w:t>45．协议的签订</w:t>
      </w:r>
      <w:bookmarkEnd w:id="223"/>
      <w:bookmarkEnd w:id="224"/>
      <w:bookmarkEnd w:id="225"/>
      <w:bookmarkEnd w:id="226"/>
      <w:bookmarkEnd w:id="227"/>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45.1中标人将于中标通知书发出之日起三十日内，按照采购文件（招标文件和投标文件等）内容与招标人签订协议；协议的实质性内容应当符合招标文件的规定；</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45.2中标人如不按本通用条款第45.1款的规定与招标人签订协议；</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45.3中标人应当按照协议约定履行义务，完成中标项目，不得将中标项目转让（转包）给他人。</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bookmarkStart w:id="228" w:name="_Toc73517683"/>
      <w:bookmarkStart w:id="229" w:name="_Toc73521678"/>
      <w:bookmarkStart w:id="230" w:name="_Toc73518161"/>
      <w:bookmarkStart w:id="231" w:name="_Toc73521590"/>
      <w:bookmarkStart w:id="232" w:name="_Toc100052411"/>
      <w:r>
        <w:rPr>
          <w:rFonts w:ascii="宋体" w:eastAsia="宋体" w:hAnsi="宋体" w:cs="宋体" w:hint="eastAsia"/>
          <w:color w:val="auto"/>
          <w:kern w:val="2"/>
          <w:highlight w:val="none"/>
          <w:lang w:eastAsia="zh-CN"/>
        </w:rPr>
        <w:t>46．履约担保</w:t>
      </w:r>
      <w:bookmarkEnd w:id="228"/>
      <w:bookmarkEnd w:id="229"/>
      <w:bookmarkEnd w:id="230"/>
      <w:bookmarkEnd w:id="231"/>
      <w:bookmarkEnd w:id="232"/>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46.1在签订项目协议的同时，中标人应按“对通用条款的补充内容”中规定的金额向招标人提交履约担保；</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47. 项目验收</w:t>
      </w:r>
    </w:p>
    <w:p>
      <w:pPr>
        <w:pageBreakBefore w:val="0"/>
        <w:widowControl/>
        <w:kinsoku/>
        <w:overflowPunct/>
        <w:topLinePunct w:val="0"/>
        <w:bidi w:val="0"/>
        <w:spacing w:line="240" w:lineRule="auto"/>
        <w:ind w:left="0" w:right="176" w:firstLine="480" w:leftChars="0" w:firstLineChars="200"/>
        <w:jc w:val="left"/>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47.1招标人应当按照招标文件和协议规定的标准和方法，及时组织验收。</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48. 供应商违法责任</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48.1《深圳经济特区政府采购条例》第五十七条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（1）在采购活动中应当回避而未回避的；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（2）未按本条例规定签订、履行采购协议，造成严重后果的；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（3）隐瞒真实情况，提供虚假资料的；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（4）以非法手段排斥其他供应商参与竞争的；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（5）与其他采购参加人串通投标的；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（6）恶意投诉的；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（7）向采购项目相关人行贿或者提供其他不当利益的；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（8）阻碍、抗拒主管部门监督检查的；</w:t>
      </w:r>
    </w:p>
    <w:p>
      <w:pPr>
        <w:pageBreakBefore w:val="0"/>
        <w:widowControl w:val="0"/>
        <w:kinsoku/>
        <w:overflowPunct/>
        <w:topLinePunct w:val="0"/>
        <w:bidi w:val="0"/>
        <w:spacing w:line="240" w:lineRule="auto"/>
        <w:ind w:firstLine="470" w:firstLineChars="196"/>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（9）其他违反本条例规定的行为。</w:t>
      </w:r>
    </w:p>
    <w:bookmarkEnd w:id="217"/>
    <w:p>
      <w:pPr>
        <w:keepNext/>
        <w:keepLines/>
        <w:pageBreakBefore w:val="0"/>
        <w:widowControl w:val="0"/>
        <w:numPr>
          <w:ilvl w:val="0"/>
          <w:numId w:val="0"/>
        </w:numPr>
        <w:kinsoku/>
        <w:overflowPunct/>
        <w:topLinePunct w:val="0"/>
        <w:bidi w:val="0"/>
        <w:spacing w:before="120" w:beforeLines="50" w:after="120" w:afterLines="50" w:line="240" w:lineRule="auto"/>
        <w:ind w:left="562" w:hanging="562" w:leftChars="0" w:firstLineChars="0"/>
        <w:jc w:val="center"/>
        <w:outlineLvl w:val="1"/>
        <w:rPr>
          <w:rFonts w:ascii="宋体" w:eastAsia="宋体" w:hAnsi="宋体" w:cs="宋体" w:hint="eastAsia"/>
          <w:b/>
          <w:bCs/>
          <w:color w:val="auto"/>
          <w:kern w:val="2"/>
          <w:highlight w:val="none"/>
          <w:lang w:eastAsia="zh-CN"/>
        </w:rPr>
      </w:pPr>
      <w:r>
        <w:rPr>
          <w:rFonts w:ascii="宋体" w:eastAsia="宋体" w:hAnsi="宋体" w:cs="宋体"/>
          <w:b/>
          <w:bCs/>
          <w:color w:val="auto"/>
          <w:kern w:val="2"/>
          <w:highlight w:val="none"/>
          <w:lang w:eastAsia="zh-CN"/>
        </w:rPr>
        <w:t>第</w:t>
      </w:r>
      <w:r>
        <w:rPr>
          <w:rFonts w:ascii="宋体" w:eastAsia="宋体" w:hAnsi="宋体" w:cs="宋体" w:hint="eastAsia"/>
          <w:b/>
          <w:bCs/>
          <w:color w:val="auto"/>
          <w:kern w:val="2"/>
          <w:highlight w:val="none"/>
          <w:lang w:eastAsia="zh-CN"/>
        </w:rPr>
        <w:t>十一</w:t>
      </w:r>
      <w:r>
        <w:rPr>
          <w:rFonts w:ascii="宋体" w:eastAsia="宋体" w:hAnsi="宋体" w:cs="宋体"/>
          <w:b/>
          <w:bCs/>
          <w:color w:val="auto"/>
          <w:kern w:val="2"/>
          <w:highlight w:val="none"/>
          <w:lang w:eastAsia="zh-CN"/>
        </w:rPr>
        <w:t>章</w:t>
      </w:r>
      <w:r>
        <w:rPr>
          <w:rFonts w:ascii="宋体" w:eastAsia="宋体" w:hAnsi="宋体" w:cs="宋体" w:hint="eastAsia"/>
          <w:b/>
          <w:bCs/>
          <w:color w:val="auto"/>
          <w:kern w:val="2"/>
          <w:highlight w:val="none"/>
          <w:lang w:eastAsia="zh-CN"/>
        </w:rPr>
        <w:t xml:space="preserve"> 质疑处理</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49.质疑提出与答复</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49.1提出质疑</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参与招标活动的供应商认为自己的权益在采购活动中受到损害的，应当自知道或者应当知道其权益受到损害之日起七个工作日内向招标人、招标代理机构以书面形式提出质疑。</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49.2法律依据</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中华人民共和国政府采购法》《中华人民共和国政府采购法实施条例》《深圳经济特区政府采购条例》《深圳经济特区政府采购条例实施细则》《政府采购质疑和投诉办法》（财政部令第94号）和其他有关法律法规规定。</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49.3质疑条件</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49.3.1提出质疑的供应商应当是参与所质疑项目采购活动的供应商；以联合体形式参与的，质疑应当由组成联合体的所有成员共同提出；</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49.3.2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pageBreakBefore w:val="0"/>
        <w:widowControl w:val="0"/>
        <w:kinsoku/>
        <w:overflowPunct/>
        <w:topLinePunct w:val="0"/>
        <w:bidi w:val="0"/>
        <w:spacing w:line="240" w:lineRule="auto"/>
        <w:ind w:firstLine="42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49.3.3应提交书面质疑函，质疑函应当包括以下内容： </w:t>
      </w:r>
    </w:p>
    <w:p>
      <w:pPr>
        <w:pageBreakBefore w:val="0"/>
        <w:widowControl w:val="0"/>
        <w:kinsoku/>
        <w:overflowPunct/>
        <w:topLinePunct w:val="0"/>
        <w:bidi w:val="0"/>
        <w:spacing w:line="240" w:lineRule="auto"/>
        <w:ind w:firstLine="42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（1）供应商的名称（或者姓名）、地址、邮编、邮箱、联系人及联系电话；</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（2）质疑项目的名称、编号；</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（3）具体、明确的质疑对象、质疑事项和质疑请求；</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（4）因质疑事项而受损害的权益；</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（5）事实依据；</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（6）必要的法律依据；</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（7）提出质疑的日期。</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供应商为自然人的，应当由本人签字；供应商为法人或者其他组织的，应当由法定代表人（负责人），或者其授权代理人签字或者盖章，并加盖公章。</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49.4提交材料</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ageBreakBefore w:val="0"/>
        <w:widowControl w:val="0"/>
        <w:kinsoku/>
        <w:overflowPunct/>
        <w:topLinePunct w:val="0"/>
        <w:bidi w:val="0"/>
        <w:spacing w:line="240" w:lineRule="auto"/>
        <w:ind w:firstLine="480" w:firstLineChars="200"/>
        <w:jc w:val="both"/>
        <w:rPr>
          <w:rFonts w:ascii="宋体" w:eastAsia="宋体" w:hAnsi="宋体" w:cs="宋体" w:hint="eastAsia"/>
          <w:b/>
          <w:color w:val="auto"/>
          <w:kern w:val="2"/>
          <w:highlight w:val="none"/>
          <w:lang w:eastAsia="zh-CN"/>
        </w:rPr>
      </w:pPr>
      <w:r>
        <w:rPr>
          <w:rFonts w:ascii="宋体" w:eastAsia="宋体" w:hAnsi="宋体" w:cs="宋体" w:hint="eastAsia"/>
          <w:color w:val="auto"/>
          <w:kern w:val="2"/>
          <w:highlight w:val="none"/>
          <w:lang w:eastAsia="zh-CN"/>
        </w:rPr>
        <w:t>49</w:t>
      </w:r>
      <w:r>
        <w:rPr>
          <w:rFonts w:ascii="宋体" w:eastAsia="宋体" w:hAnsi="宋体" w:cs="宋体" w:hint="eastAsia"/>
          <w:b/>
          <w:color w:val="auto"/>
          <w:kern w:val="2"/>
          <w:highlight w:val="none"/>
          <w:lang w:eastAsia="zh-CN"/>
        </w:rPr>
        <w:t>.5提交方式</w:t>
      </w:r>
    </w:p>
    <w:p>
      <w:pPr>
        <w:pageBreakBefore w:val="0"/>
        <w:widowControl w:val="0"/>
        <w:kinsoku/>
        <w:overflowPunct/>
        <w:topLinePunct w:val="0"/>
        <w:bidi w:val="0"/>
        <w:spacing w:line="240" w:lineRule="auto"/>
        <w:ind w:firstLine="480" w:firstLineChars="200"/>
        <w:jc w:val="both"/>
        <w:rPr>
          <w:rFonts w:ascii="宋体" w:eastAsia="宋体" w:hAnsi="宋体" w:cs="宋体" w:hint="eastAsia"/>
          <w:b/>
          <w:color w:val="auto"/>
          <w:kern w:val="2"/>
          <w:highlight w:val="none"/>
          <w:lang w:eastAsia="zh-CN"/>
        </w:rPr>
      </w:pPr>
      <w:r>
        <w:rPr>
          <w:rFonts w:ascii="宋体" w:eastAsia="宋体" w:hAnsi="宋体" w:cs="宋体" w:hint="eastAsia"/>
          <w:color w:val="auto"/>
          <w:kern w:val="2"/>
          <w:highlight w:val="none"/>
          <w:lang w:eastAsia="zh-CN"/>
        </w:rPr>
        <w:t>49</w:t>
      </w:r>
      <w:r>
        <w:rPr>
          <w:rFonts w:ascii="宋体" w:eastAsia="宋体" w:hAnsi="宋体" w:cs="宋体" w:hint="eastAsia"/>
          <w:b/>
          <w:color w:val="auto"/>
          <w:kern w:val="2"/>
          <w:highlight w:val="none"/>
          <w:lang w:eastAsia="zh-CN"/>
        </w:rPr>
        <w:t>.5.1请质疑供应商根据深圳公共资源交易中心网页（https://www.szggzy.com/globalSearch/details.html?contentId=1211037）所发布的质疑指引、质疑函模板填写质疑函并提交质疑材料。</w:t>
      </w:r>
    </w:p>
    <w:p>
      <w:pPr>
        <w:pageBreakBefore w:val="0"/>
        <w:widowControl w:val="0"/>
        <w:kinsoku/>
        <w:overflowPunct/>
        <w:topLinePunct w:val="0"/>
        <w:bidi w:val="0"/>
        <w:spacing w:line="240" w:lineRule="auto"/>
        <w:jc w:val="both"/>
        <w:rPr>
          <w:rFonts w:ascii="宋体" w:eastAsia="宋体" w:hAnsi="宋体" w:cs="宋体" w:hint="eastAsia"/>
          <w:b/>
          <w:bCs/>
          <w:color w:val="auto"/>
          <w:kern w:val="2"/>
          <w:highlight w:val="none"/>
          <w:lang w:eastAsia="zh-CN"/>
        </w:rPr>
      </w:pPr>
      <w:r>
        <w:rPr>
          <w:rFonts w:ascii="宋体" w:eastAsia="宋体" w:hAnsi="宋体" w:cs="宋体" w:hint="eastAsia"/>
          <w:b/>
          <w:bCs/>
          <w:color w:val="auto"/>
          <w:kern w:val="2"/>
          <w:highlight w:val="none"/>
          <w:lang w:eastAsia="zh-CN"/>
        </w:rPr>
        <w:t>收文地点：深圳公共资源交易中心（深圳交易集团有限公司罗湖分公司）深圳市罗湖区黄贝街道凤凰社区深南东路1076号罗湖区党群服务中心4层。质疑咨询电话：0755-82334437。</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49.6收文办理程序</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49.6.1供应商提交的质疑符合受理条件的，招标代理机构自收到质疑材料之日起即为受理，应当向供应商出具质疑函收文回执并可以要求其递交质疑的法定代表人（负责人）或者授权代理人签署质疑文书送达地址确认书。</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49.6.2供应商提交的质疑材料不符合质疑条件的，视情况处理：</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供应商提交的质疑材料不全或者未按要求签字或者盖章的，招标代理机构应当一次性告知供应商需补正的内容和补正期限。</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供应商提交的质疑存在下列情形之一的，不予受理：</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（1）质疑主体不满足要求的；</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（2）供应商自身权益未受到损害的；</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（3）供应商未在法定质疑期限内提出质疑的；</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（4）质疑材料不全或者未按要求签字或者盖章的情况下，要求补正后，逾期未补正或者补正后仍不符合规定的；</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（5）其他不符合受理条件情形的。</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质疑事项不予受理的，招标代理机构应当向供应商出具不符合质疑条件告知书。</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49.7质疑答复时限</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自收文之日起七个工作日内。</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49.8投诉</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对质疑答复不满意或者未在规定时间内答复的，提出质疑的供应商可以在答复期满后15个工作日内向有关部门投诉。</w:t>
      </w:r>
    </w:p>
    <w:p>
      <w:pPr>
        <w:pageBreakBefore w:val="0"/>
        <w:widowControl w:val="0"/>
        <w:kinsoku/>
        <w:overflowPunct/>
        <w:topLinePunct w:val="0"/>
        <w:bidi w:val="0"/>
        <w:spacing w:line="240" w:lineRule="auto"/>
        <w:ind w:firstLine="480" w:firstLineChars="200"/>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50. 质疑后续处理</w:t>
      </w:r>
    </w:p>
    <w:p>
      <w:pPr>
        <w:pageBreakBefore w:val="0"/>
        <w:widowControl w:val="0"/>
        <w:kinsoku/>
        <w:overflowPunct/>
        <w:topLinePunct w:val="0"/>
        <w:bidi w:val="0"/>
        <w:spacing w:line="240" w:lineRule="auto"/>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 xml:space="preserve">    50.1供应商质疑不成立，或者成立但未对中标、成交结果构成影响的，继续开展采购活动。</w:t>
      </w:r>
    </w:p>
    <w:p>
      <w:pPr>
        <w:pageBreakBefore w:val="0"/>
        <w:widowControl w:val="0"/>
        <w:kinsoku/>
        <w:overflowPunct/>
        <w:topLinePunct w:val="0"/>
        <w:bidi w:val="0"/>
        <w:spacing w:line="240" w:lineRule="auto"/>
        <w:ind w:firstLine="432"/>
        <w:jc w:val="both"/>
        <w:rPr>
          <w:rFonts w:ascii="宋体" w:eastAsia="宋体" w:hAnsi="宋体" w:cs="宋体" w:hint="eastAsia"/>
          <w:color w:val="auto"/>
          <w:kern w:val="2"/>
          <w:highlight w:val="none"/>
          <w:lang w:eastAsia="zh-CN"/>
        </w:rPr>
      </w:pPr>
      <w:r>
        <w:rPr>
          <w:rFonts w:ascii="宋体" w:eastAsia="宋体" w:hAnsi="宋体" w:cs="宋体" w:hint="eastAsia"/>
          <w:color w:val="auto"/>
          <w:kern w:val="2"/>
          <w:highlight w:val="none"/>
          <w:lang w:eastAsia="zh-CN"/>
        </w:rPr>
        <w:t>50.2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ageBreakBefore w:val="0"/>
        <w:widowControl w:val="0"/>
        <w:kinsoku/>
        <w:overflowPunct/>
        <w:topLinePunct w:val="0"/>
        <w:bidi w:val="0"/>
        <w:spacing w:line="240" w:lineRule="auto"/>
        <w:jc w:val="left"/>
        <w:rPr>
          <w:rFonts w:ascii="宋体" w:eastAsia="宋体" w:hAnsi="宋体" w:cs="宋体" w:hint="eastAsia"/>
          <w:color w:val="auto"/>
          <w:kern w:val="2"/>
          <w:highlight w:val="none"/>
          <w:lang w:eastAsia="zh-CN"/>
        </w:rPr>
      </w:pPr>
    </w:p>
    <w:p>
      <w:pPr>
        <w:pageBreakBefore w:val="0"/>
        <w:widowControl w:val="0"/>
        <w:kinsoku/>
        <w:overflowPunct/>
        <w:topLinePunct w:val="0"/>
        <w:bidi w:val="0"/>
        <w:spacing w:line="240" w:lineRule="auto"/>
        <w:jc w:val="center"/>
        <w:rPr>
          <w:rFonts w:ascii="宋体" w:eastAsia="宋体" w:hAnsi="宋体" w:cs="宋体" w:hint="eastAsia"/>
          <w:color w:val="auto"/>
          <w:kern w:val="2"/>
          <w:sz w:val="56"/>
          <w:szCs w:val="56"/>
          <w:highlight w:val="none"/>
          <w:lang w:eastAsia="zh-CN"/>
        </w:rPr>
      </w:pPr>
    </w:p>
    <w:p>
      <w:pPr>
        <w:pageBreakBefore w:val="0"/>
        <w:widowControl w:val="0"/>
        <w:kinsoku/>
        <w:overflowPunct/>
        <w:topLinePunct w:val="0"/>
        <w:bidi w:val="0"/>
        <w:spacing w:line="240" w:lineRule="auto"/>
        <w:jc w:val="center"/>
        <w:rPr>
          <w:rFonts w:ascii="宋体" w:eastAsia="宋体" w:hAnsi="宋体" w:cs="宋体" w:hint="eastAsia"/>
          <w:color w:val="auto"/>
          <w:kern w:val="2"/>
          <w:sz w:val="56"/>
          <w:szCs w:val="56"/>
          <w:highlight w:val="none"/>
          <w:lang w:eastAsia="zh-CN"/>
        </w:rPr>
      </w:pPr>
    </w:p>
    <w:p>
      <w:pPr>
        <w:pageBreakBefore w:val="0"/>
        <w:widowControl w:val="0"/>
        <w:kinsoku/>
        <w:overflowPunct/>
        <w:topLinePunct w:val="0"/>
        <w:bidi w:val="0"/>
        <w:spacing w:line="240" w:lineRule="auto"/>
        <w:jc w:val="center"/>
        <w:rPr>
          <w:rFonts w:ascii="宋体" w:eastAsia="宋体" w:hAnsi="宋体" w:cs="宋体" w:hint="eastAsia"/>
          <w:color w:val="auto"/>
          <w:kern w:val="2"/>
          <w:sz w:val="56"/>
          <w:szCs w:val="56"/>
          <w:highlight w:val="none"/>
          <w:lang w:eastAsia="zh-CN"/>
        </w:rPr>
      </w:pPr>
    </w:p>
    <w:p>
      <w:pPr>
        <w:pageBreakBefore w:val="0"/>
        <w:widowControl w:val="0"/>
        <w:kinsoku/>
        <w:overflowPunct/>
        <w:topLinePunct w:val="0"/>
        <w:bidi w:val="0"/>
        <w:spacing w:line="240" w:lineRule="auto"/>
        <w:jc w:val="center"/>
        <w:rPr>
          <w:rFonts w:ascii="宋体" w:eastAsia="宋体" w:hAnsi="宋体" w:cs="宋体" w:hint="eastAsia"/>
          <w:color w:val="auto"/>
          <w:kern w:val="2"/>
          <w:sz w:val="56"/>
          <w:szCs w:val="56"/>
          <w:highlight w:val="none"/>
          <w:lang w:eastAsia="zh-CN"/>
        </w:rPr>
      </w:pPr>
    </w:p>
    <w:p>
      <w:pPr>
        <w:pageBreakBefore w:val="0"/>
        <w:widowControl w:val="0"/>
        <w:kinsoku/>
        <w:overflowPunct/>
        <w:topLinePunct w:val="0"/>
        <w:bidi w:val="0"/>
        <w:spacing w:line="240" w:lineRule="auto"/>
        <w:jc w:val="center"/>
        <w:rPr>
          <w:rFonts w:ascii="微软雅黑" w:eastAsia="微软雅黑" w:hAnsi="微软雅黑" w:cs="微软雅黑"/>
          <w:color w:val="333333"/>
          <w:lang w:val="en" w:eastAsia="en"/>
        </w:rPr>
        <w:sectPr>
          <w:headerReference w:type="default" r:id="rId10"/>
          <w:footerReference w:type="default" r:id="rId11"/>
          <w:pgMar w:top="2098" w:right="1474" w:bottom="1984" w:left="1587" w:header="708" w:footer="708" w:gutter="0"/>
          <w:pgNumType w:fmt="decimal"/>
          <w:cols w:num="1" w:space="720"/>
        </w:sectPr>
      </w:pPr>
      <w:r>
        <w:rPr>
          <w:rFonts w:ascii="宋体" w:eastAsia="宋体" w:hAnsi="宋体" w:cs="宋体" w:hint="eastAsia"/>
          <w:color w:val="auto"/>
          <w:kern w:val="2"/>
          <w:sz w:val="56"/>
          <w:szCs w:val="56"/>
          <w:highlight w:val="none"/>
          <w:lang w:eastAsia="zh-CN"/>
        </w:rPr>
        <w:t>---- END --</w:t>
      </w:r>
      <w:bookmarkEnd w:id="178"/>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清水河街道社区综合服务体公建民营项目-A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项目报价表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实际运营养老机构及床位数量</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实际运营残疾人综合（职业）康复服务中心数量</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实际运营托育机构及托位数量</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实际运营长者助餐服务项目情况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获得荣誉情况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智慧运营服务能力</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街道残疾人综合（职业）康复服务中心运营方案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婴幼儿托育服务方案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为老助餐服务方案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项目运营方案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项目需求分析</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项目应急预案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LHZXCG-2025-00007-001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清水河街道社区综合服务体公建民营项目-A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推荐前3名作为中标候选人，候选人排序，并列时均进入定标环节</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投标人承诺每平方米投入的功能优化资金金额报价低于3000元平方米的；投标人提供的政策性养老床位数量低于10张的；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投标人承诺每平方米投入的功能优化资金金额报价低于3000元平方米的；投标人提供的政策性养老床位数量低于10张的；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未按招标文件规定的形式和金额提交投标保证金的；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未按招标文件规定的形式和金额提交投标保证金的；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将一个包或一个标段的内容拆开投标；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将一个包或一个标段的内容拆开投标；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所投货物、服务在技术、商务等方面没有实质性满足招标文件要求的（是否实质性满足招标文件要求，由评审委员会根据《实质性条款响应情况表》做出评判）；</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所投货物、服务在技术、商务等方面没有实质性满足招标文件要求的（是否实质性满足招标文件要求，由评审委员会根据《实质性条款响应情况表》做出评判）；</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投标文件电子文档携带病毒的；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投标文件电子文档携带病毒的；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经核实，不同投标人的投标文件由同一电子设备编制、加密或者上传的；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经核实，不同投标人的投标文件由同一电子设备编制、加密或者上传的；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违反法律、法规、规章、规范性文件规定的其他情形。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违反法律、法规、规章、规范性文件规定的其他情形。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街道残疾人综合（职业）康复服务中心运营方案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根据投标人提供的街道残疾人综合（职业）康复服务中心运营方案进行评分，方案应包含但不限于以下内容： 1.街道残疾人综合（职业）康复服务中心运营方案； 2.服务方式及内容。 （二）评审标准 以上2项内容，每提供一项得10分，全部提供得20分，缺项不得分。在此基础上，专家根据内容的合理性进行评分 1.运营方案具体详尽、科学合理、可操作性强，服务方式及内容量化科学，评审为优得80分； 2.运营方案较合理、有一定针对性、有一定可操作性，服务方式及内容较为量化科学，评审为良得40分； 3.运营方案不尽合理、针对性一般、可操作性一般，服务方式及内容量化科学一般，评审为中得10分； 4.运营方案和流程不合理、无针对性、无可操作性或未提供，评审为差不得分。如评审为差，评审专家须书面说明理由，并记录在档。</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婴幼儿托育服务方案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根据投标人提供的婴幼儿托育服务方案进行评分，方案应包含但不限于以下内容： 1.婴幼儿托育服务方案； 2.服务方式及内容。 （二）评审标准 以上2项内容，每提供一项得10分，全部提供得20分，缺项不得分。在此基础上，专家根据内容的合理性进行评分 1.运营方案具体详尽、科学合理、可操作性强，服务方式及内容量化科学，评审为优得80分； 2.运营方案较合理、有一定针对性、有一定可操作性，服务方式及内容较为量化科学，评审为良得40分； 3.运营方案不尽合理、针对性一般、可操作性一般，服务方式及内容量化科学一般，评审为中得10分； 4.运营方案和流程不合理、无针对性、无可操作性或未提供，评审为差不得分。如评审为差，评审专家须书面说明理由，并记录在档。</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为老助餐服务方案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根据投标人提供的为老助餐服务方案进行评分，方案应包含但不限于以下内容： 1.长者助餐运营方案； 2.完整的配餐操作流程和送餐操作流程。 （二）评审标准 以上2项内容，每提供一项得10分，全部提供得20分，缺项不得分。 在此基础上，专家根据内容的合理性进行评分 1.运营方案和流程具体详尽、科学合理、可操作性强，评审为优得80分； 2.运营方案和流程较合理、有一定针对性、有一定可操作性，评审为良得40分； 3.运营方案和流程不尽合理、针对性一般、可操作性一般，评审为中得10分； 4.运营方案和流程不合理、无针对性、无可操作性或未提供，评审为差不得分。如评审为差，评审专家须书面说明理由，并记录在档。</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项目运营方案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根据投标人提供的项目运营方案进行评分，方案应包括但不限于以下内容： 1.项目整体运营方案； 2.项目智慧化运营举措； 3.项目规划。 （二）评审标准 以上3项内容，每提供一项得10分，全部提供得30分，缺项不得分。在此基础上，专家根据内容的合理性进行评分 1.项目运营方案体系全面、可操作性强、方案合理，评审为优得70分； 2.项目运营方案体系较全面、可操作性较强、方案基本合理，评审为良得40分； 3.项目运营方案不全面、可操作性一般、方案合理情况一般，评审为中得10分； 4.项目运营方案不全面、缺乏可操作性、方案不合理，评审为差不得分。如评审为差，评审专家须书面说明理由，并记录在档。</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项目需求分析</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根据投标人提供的项目需求分析进行评分，内容应包含但不限于以下内容： 1.对项目背景的理解； 2.对项目需求及目的解读； 3.对服务内容整体解读。 （二）评审标准 以上3项内容，每提供一项得10分，全部提供得30分，缺项不得分。在此基础上，专家根据内容的合理性进行评分 1.理解准确到位，概括性强，分析内容符合实际、完整、规范、思路清晰，合理性强，评审为优得70分; 2.理解比较到位，具有一定概括性，分析的内容较符合实际、较完整规范、思路较清晰，合理性较强，评审为良得40分; 3.理解有缺漏但基本到位，概括性低，分析的内容较普通、完整性规范性一般，思路不够清晰，合理性一般，评审为中得10分; 4.理解有严重缺漏，无概括性，方案不完整、不规范，思路不清晰，分析的内容合理性较差或未提供，评审为差不得分。如评审为差，评审专家须书面说明理由，并记录在档。</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项目应急预案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根据投标人提供的项目应急预案进行评分，内容应包含但不限于以下内容： 1.食品安全； 2.消防安全； 3.风险管控。 （二）评审标准 以上3项内容，每提供一项得10分，全部提供得30分，缺项不得分。在此基础上，专家根据内容的合理性进行评分 1.预案符合实际、完整、规范、思路清晰，内容合理性强，评审为优得70分; 2.预案较符合实际、较完整规范、思路较清晰，内容合理性较强，评审为良得40分; 3.预案较普通、完整性、规范性一般，思路不够清晰，内容合理性一般，评审为中得10分; 4.预案不完整、不规范，思路不清晰，内容合理性较差或未提供，评审为差不得分。如评审为差，评审专家须书面说明理由，并记录在档。</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考察针对本项目的重点难点分析、应对措施及相关的合理化建议，方案内容包括以下内容 1.项目重点难点分析； 2.针对重点难点的相关应对措施。 （二）评审标准 以上2项内容，每提供1项得10分，全部提供得20分，缺项不得分。在此基础上，专家根据内容的合理性进行评分。 1.方案符合实际、完整、规范、思路清晰，内容合理性强，评审为优得80分; 2.方案较符合实际、较完整规范、思路较清晰，内容合理性较强，评审为良得40分; 3.方案较普通、完整性、规范性一般，思路不够清晰，内容合理性一般，评审为中得10分; 3.方案不完整、不规范，思路不清晰，内容合理性较差或未提供，评审为差不得分。如评审为差，评审专家须书面说明理由，并记录在档。</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考察投标人拟安排的项目负责人的工作经验、资质、学历情况。 （二）评审标准 拟安排的项目负责人须为投标人自有员工（以社保为准），否则本项不得分。在此基础上，进行评分： 1.从事养老相关工作5年（含）以上得50分，从事养老相关工作3年（含）以上、5年以下得40分，从事养老相关工作1年（含）以上、3年以下得30分，其他情况不得分；本小项最高得50分； 2.具备社会工作师职业资格证（含中级或以上）得40分，具备助理社会工作师职业资格证得20分；本小项最高得40分； 3.具有研究生（含）以上学历的，得10分，具备本科学历的，得5分，其他情况不得分；本小项最高得10分。 第1至3项累计得分最高100分。 （三）证明文件 1.涉及考察人员工作经验的，要求提供项目合同关键信息作为得分依据，通过合同关键信息无法判断是否得分的，还须同时提供合同甲方出具的证明文件。 2.要求提供通过投标人缴纳的近三个月的社保证明作为本单位员工的证明依据。若投标人成立不足三个月的，需提供成立情况说明函（格式自拟），无需提供相关人员社保，亦可得分；若为退休返聘人员，需提供说明函（格式自拟），无需提供相关人员社保，亦可得分。 3.相关从业资格需提供人员有关证书； 4.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 海外留学（含港澳台）人员学历无法通过学信网查询的，应当提供教育部留学服务中心出具的国外学历学位认证证书以及教育部留学服务中心官网查询截图。若证明文件为其它语言，必须附中文译文，以中文译文为准。 备注：以上资料均要求提供清晰扫描件。评分中出现无证明资料或专家无法凭所提供资料判断是否得分的情况，一律作不得分处理。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考察投标人拟安排的项目团队成员（项目负责人除外）的学历、资质、以及工作经验情况。 （二）评审标准 拟安排的项目团队成员（项目负责人除外）均须为投标人自有员工（以社保为准），否则本项不得分。在此基础上，进行评分： 1.拟派的项目团队成员中具有研究生（含）以上学历的，每提供1名得4分；具备本科学历的，每提供1名得2分；具备大专学历的，每提供1名得1分；本小项最高得20分。 2.拟派的项目团队成员中具备中级或以上社会工作师职业资格证的，每提供1名得5分；具备助理社会工作师职业资格证的，每提供1名得3分；本小项最高得30分。 3.拟派的项目团队成员中具有从事养老相关工作经验5年（含）以上的，每提供1名得10分；具有从事养老相关工作经验3年（含）以上5年以下的，每提供一名得5分；具有从事养老相关工作经验1年（含）以上3年以下的，每提供一名得3分；本小项最高得50分。 第1至3项累计得分最高100分。 （三）证明文件 1.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 海外留学（含港澳台）人员学历无法通过学信网查询的，应当提供教育部留学服务中心出具的国外学历学位认证证书以及教育部留学服务中心官网查询截图。若证明文件为其它语言，必须附中文译文，以中文译文为准。 2.要求提供通过投标人缴纳的近三个月的社保证明作为本单位员工的证明依据。若投标人成立不足三个月的，需提供成立情况说明函（格式自拟），无需提供相关人员社保，亦可得分；若为退休返聘人员，需提供说明函（格式自拟），无需提供相关人员社保，亦可得分。 3.提供人员有关职业资格证书； 4.涉及考察人员工作经验的，要求提供项目合同关键信息作为得分依据，通过合同关键信息无法判断是否得分的，还须同时提供合同甲方出具的证明文件。 备注：以上资料均要求提供清晰扫描件。评分中出现无证明资料或专家无法凭所提供资料判断是否得分的情况，一律作不得分处理。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综合实力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政策性养老床位数量</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评审委员会对投标人提供的政策性养老床位数量进行评审，政策性养老床位数量应大于或等于10张。 （二）评审标准 具体评分细则如下： 1.提供12张及以上政策性养老床位得100分； 2.提供11张政策性养老床位得90分； 3.提供10张政策性养老床位得80分。 （三）证明文件 投标人提供“第四章第4点项目报价表”。</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投标人通过相关认证情况： 1.具有质量管理体系认证证书； 2.具有职业健康安全管理体系认证证书； 3.具有环境管理体系认证证书。 （二）评审标准 上述三项认证证书每提供一项得34分，本项最高得100分。 （三）证明文件 要求提供在有效期内的相关证书和国家认证认可监督管理委员会官方网站（www.cnca.gov.cn）[证书状态：有效]或相关网站查询截图等证明材料作为得分依据。 备注：以上资料均要求提供清晰扫描件。评分中出现无证明资料或专家无法凭所提供资料判断是否得分的情况，一律作不得分处理。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实际运营养老机构及床位数量</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考察投标人或其分公司（分支机构）单独运营或与其他机构合作运营的养老机构情况及养老床位数量。 （二）评审标准 1.具有实际运营养老机构的且经过床位备案的，得20分。所运营养老机构床位未经行政主管部门备案的不得分； 2.满足第1项要求的基础上，实际运营养老机构总床位数量为X： （1）X≥200张以上的，得80分； （2）150≤X＜200张的，得70分； （3）100≤X＜150张的，得60分； （4）50≤X＜100张的，得50分； 实际运营养老机构少于50张床位的，本项不得分。 第1、2项累计得分最高100分。 （三）证明文件 1.第一项要求提供项目运营合同等佐证材料（包括但不限于合同标的、签订时间、双方签章页）作为得分依据，通过合同关键信息无法判断是否得分的，还须同时提供能证明得分的其它证明资料，如合同甲方出具的证明文件或项目报告。如相关佐证材料无法证实项目运营情况不得分。 2.以上项目若为投标人运营的，需提供机构备案证明；若为投标人分公司（分支机构）运营的，需提供机构备案证明和证明其为投标人分公司（分支机构）的相关材料；若为投标人或其分公司（分支机构）与其他机构合作运营的，须提供其为投标人分公司（分支机构）的相关材料、合作机构备案证明及委托协议等证明材料作为得分依据。 3.第二项要求提供投标人或投标人分公司（分支机构）或合作机构的养老床位备案相关材料。 备注：以上资料均要求提供扫描件，评分中出现无证明资料或证书过期或专家无法凭所提供资料判断是否得分的情况，一律作不得分处理。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实际运营残疾人综合（职业）康复服务中心数量</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考察投标人或其分公司（分支机构）单独运营或与其他机构合作运营的残疾人综合（职业）康复服务中心数量。 （二）评审标准 具有实际运营残疾人综合（职业）康复服务中心的，每运营一个得20分，累计得分100分。 （三）证明文件 1.要求提供残疾人综合（职业）康复服务中心运营合同等佐证材料（包括但不限于合同标的、签订时间、双方签章页）作为得分依据，通过合同关键信息无法判断是否得分的，还须同时提供能证明得分的其它证明资料，如合同甲方出具的证明文件或项目报告。 2.以上残疾人综合（职业）康复服务中心若为投标人分公司（分支机构）运营的或投标人分公司（分支机构）与其他机构合作运营的，须提供证明其为投标人分公司（分支机构）的证明材料作为得分依据。 如相关佐证材料无法证实项目运营情况不得分。 备注：以上资料均要求提供扫描件，评分中出现无证明资料或证书过期或专家无法凭所提供资料判断是否得分的情况，一律作不得分处理。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实际运营托育 机构及托位情况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考察投标人或其分公司（分支机构）单独运营或与其他机构合作运营的托育机构情况及备案托位数量。 （二）评审标准 1.具有实际运营托育机构且经过托位备案的，得20分。所运营托育机构托位未经行政主管部门备案的不得分。 2.满足第1项要求的基础上，实际运营托育机构备案总托位数量为X： （1）X≥200个以上的，得80分； （2）150≤X＜200个的，得70分； （3）100≤X＜150个的，得60分； （4）50≤X＜100个的，得50分； 备案托位数小于50个，本项不得分。 第1、2项累计得分最高100分。 （三）证明文件 1.本项目投标截止日前相关运营项目的合同等佐证材料（包括但不限于合同标的、签订时间、双方签章页），作为得分依据，通过合同关键信息无法判断是否得分的，还须同时提供能证明得分的其它证明资料，如合同甲方出具的证明文件或项目报告。如相关佐证材料无法证实项目运营情况不得分； 2.以上项目若为投标人运营的，需提供机构备案证明；若为投标人分公司（分支机构）运营的，需提供机构备案证明和证明其为投标人分公司（分支机构）的相关材料；若为投标人或其分公司（分支机构）与其他机构合作运营的，须提供证明其为投标人分公司（分支机构）的相关材料、合作机构备案证明及委托协议等证明材料作为得分依据。 3.提供投标人或投标人分公司（分支机构）或合作机构运营的托位在行业主管部门备案的相关材料。 备注：以上资料均要求提供扫描件，评分中出现无证明资料或证书过期或专家无法凭所提供资料判断是否得分的情况，一律作不得分处理。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实际运营长者助餐服务项目情况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投标人或其分公司（分支机构）自2020年1月1日至本项目截标之日内所签订的政府部门或事业单位委托的长者助餐服务相关项目合同（以合同签订日期为准）。 （二）评审标准 上述长者助餐服务相关项目合同每提供一个得20分，满分100分。 （三）证明文件 要求提供合同关键信息（包括项目名称、委托单位、签字盖章页等）作为得分依据，通过合同关键信息无法判断是否得分的，还须同时提供能证明得分的其它证明资料，如合同甲方出具的证明文件或项目报告。若提供投标人分公司（分支机构）业绩，还需同时提供与分公司（分支机构）相关联的证明材料。 备注：以上资料均要求提供扫描件，评分中出现无证明资料或证书过期或专家无法凭所提供资料判断是否得分的情况，一律作不得分处理。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获得荣誉情况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投标人或投标人联合政府职能部门共同创建的项目在养老、托育、残疾人职业康复服务等领域获得的荣誉称号、奖项或示范单位。 （二）评审标准 每提供一个国家级的荣誉得100分，每提供一个省级（含副省级）荣誉得50分，每提供一个市级荣誉得20分，其他荣誉不得分。 以上各级各类荣誉均仅限各级党委政府及行业行政主管部门授予的荣誉，其他主体授予的荣誉奖项不得分。同一个项目获得多项荣誉的，可以累计得分。 本项累计最高得100分。 （三）证明文件 要求提供相关有效的涉及荣誉称号、奖项、示范单位的奖状或政府部门出具相关证明文件等证明材料作为得分依据。 备注：以上资料均要求提供扫描件，评分中出现无证明资料或证书过期或专家无法凭所提供资料判断是否得分的情况，一律作不得分处理。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智慧运营服务能力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考察投标人运营（或建设）养老、托育、助残等智慧服务平台有关情况。 （二）评审标准 1.投标人具有政府委托的养老、托育、助残等智慧服务平台运营（或建设）经验的，每提供一个项目经验得8分，此项最高得40分。 2.投标人具有独立研发的养老、托育、助残等相关智慧服务系统能力并获取由国家版权局颁发《计算机软件著作权登记证书》或《发明专利证书》或《实用新型专利证书》，提供一个得30分，最高得60分。 第1、2项累计得分最高100分。 （三）证明文件 1.第一项需提供项目合同关键信息（包括但不限于合同标的、签订时间、双方签章页）以及平台界面截图作为得分依据。通过合同关键信息无法判断是否得分的，还须同时提供能证明得分的其它证明资料，如合同甲方出具的证明文件或项目报告。 2.第二项提供相关著作权或专利证书等相关材料。 备注：以上资料均要求提供扫描件，评分中出现无证明资料或证书过期或专家无法凭所提供资料判断是否得分的情况，一律作不得分处理。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诚信得分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投标人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投标报价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手动算分</w:t>
      </w:r>
      <w:r>
        <w:rPr>
          <w:rFonts w:ascii="FangSong" w:eastAsia="FangSong" w:hAnsi="FangSong" w:cs="FangSong"/>
          <w:color w:val="333333"/>
          <w:lang w:val="en" w:eastAsia="en"/>
        </w:rPr>
        <w:br/>
      </w:r>
      <w:r>
        <w:rPr>
          <w:rFonts w:ascii="FangSong" w:eastAsia="FangSong" w:hAnsi="FangSong" w:cs="FangSong"/>
          <w:color w:val="333333"/>
          <w:lang w:val="en" w:eastAsia="en"/>
        </w:rPr>
        <w:t>备注：</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根据招标文件要求计分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SI仿宋-GB2312">
    <w:altName w:val="仿宋"/>
    <w:panose1 w:val="02000500000000000000"/>
    <w:charset w:val="86"/>
    <w:family w:val="auto"/>
    <w:pitch w:val="default"/>
    <w:sig w:usb0="800002AF" w:usb1="084F6CF8" w:usb2="00000010" w:usb3="00000000" w:csb0="0004000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p/>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358C2E"/>
    <w:multiLevelType w:val="singleLevel"/>
    <w:tmpl w:val="B9358C2E"/>
    <w:lvl w:ilvl="0">
      <w:start w:val="2"/>
      <w:numFmt w:val="decimal"/>
      <w:suff w:val="nothing"/>
      <w:lvlText w:val="%1、"/>
      <w:lvlJc w:val="left"/>
    </w:lvl>
  </w:abstractNum>
  <w:abstractNum w:abstractNumId="1">
    <w:nsid w:val="0CB11FD7"/>
    <w:multiLevelType w:val="multilevel"/>
    <w:tmpl w:val="0CB11FD7"/>
    <w:lvl w:ilvl="0">
      <w:start w:val="1"/>
      <w:numFmt w:val="decimal"/>
      <w:lvlText w:val="%1)"/>
      <w:lvlJc w:val="left"/>
      <w:pPr>
        <w:tabs>
          <w:tab w:val="left" w:pos="1470"/>
        </w:tabs>
        <w:ind w:left="1470" w:hanging="420"/>
      </w:pPr>
      <w:rPr>
        <w:rFonts w:hint="eastAsia"/>
        <w:b w:val="0"/>
      </w:rPr>
    </w:lvl>
    <w:lvl w:ilvl="1">
      <w:start w:val="4"/>
      <w:numFmt w:val="japaneseCounting"/>
      <w:lvlText w:val="%2、"/>
      <w:lvlJc w:val="left"/>
      <w:pPr>
        <w:tabs>
          <w:tab w:val="left" w:pos="1140"/>
        </w:tabs>
        <w:ind w:left="1140" w:hanging="720"/>
      </w:pPr>
      <w:rPr>
        <w:rFonts w:hint="default"/>
      </w:rPr>
    </w:lvl>
    <w:lvl w:ilvl="2">
      <w:start w:val="1"/>
      <w:numFmt w:val="decimal"/>
      <w:lvlText w:val="%3、"/>
      <w:lvlJc w:val="left"/>
      <w:pPr>
        <w:tabs>
          <w:tab w:val="left" w:pos="360"/>
        </w:tabs>
        <w:ind w:left="360" w:hanging="360"/>
      </w:pPr>
      <w:rPr>
        <w:rFonts w:hint="default"/>
      </w:rPr>
    </w:lvl>
    <w:lvl w:ilvl="3">
      <w:start w:val="6"/>
      <w:numFmt w:val="japaneseCounting"/>
      <w:lvlText w:val="第%4章"/>
      <w:lvlJc w:val="left"/>
      <w:pPr>
        <w:tabs>
          <w:tab w:val="left" w:pos="2400"/>
        </w:tabs>
        <w:ind w:left="2400" w:hanging="114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03099AF"/>
    <w:multiLevelType w:val="singleLevel"/>
    <w:tmpl w:val="203099AF"/>
    <w:lvl w:ilvl="0">
      <w:start w:val="1"/>
      <w:numFmt w:val="decimal"/>
      <w:suff w:val="nothing"/>
      <w:lvlText w:val="（%1）"/>
      <w:lvlJc w:val="left"/>
    </w:lvl>
  </w:abstractNum>
  <w:abstractNum w:abstractNumId="3">
    <w:nsid w:val="5EC27779"/>
    <w:multiLevelType w:val="multilevel"/>
    <w:tmpl w:val="5EC27779"/>
    <w:lvl w:ilvl="0">
      <w:start w:val="1"/>
      <w:numFmt w:val="decimal"/>
      <w:lvlText w:val="%1)"/>
      <w:lvlJc w:val="left"/>
      <w:pPr>
        <w:tabs>
          <w:tab w:val="left" w:pos="1470"/>
        </w:tabs>
        <w:ind w:left="1470" w:hanging="420"/>
      </w:pPr>
      <w:rPr>
        <w:rFonts w:ascii="宋体" w:eastAsia="宋体" w:hAnsi="宋体" w:hint="default"/>
        <w:sz w:val="24"/>
        <w:szCs w:val="24"/>
      </w:rPr>
    </w:lvl>
    <w:lvl w:ilvl="1">
      <w:start w:val="4"/>
      <w:numFmt w:val="japaneseCounting"/>
      <w:lvlText w:val="%2、"/>
      <w:lvlJc w:val="left"/>
      <w:pPr>
        <w:tabs>
          <w:tab w:val="left" w:pos="1140"/>
        </w:tabs>
        <w:ind w:left="1140" w:hanging="720"/>
      </w:pPr>
      <w:rPr>
        <w:rFonts w:hint="default"/>
      </w:rPr>
    </w:lvl>
    <w:lvl w:ilvl="2">
      <w:start w:val="1"/>
      <w:numFmt w:val="decimal"/>
      <w:lvlText w:val="%3、"/>
      <w:lvlJc w:val="left"/>
      <w:pPr>
        <w:tabs>
          <w:tab w:val="left" w:pos="360"/>
        </w:tabs>
        <w:ind w:left="360" w:hanging="360"/>
      </w:pPr>
      <w:rPr>
        <w:rFonts w:hint="default"/>
      </w:rPr>
    </w:lvl>
    <w:lvl w:ilvl="3">
      <w:start w:val="6"/>
      <w:numFmt w:val="japaneseCounting"/>
      <w:lvlText w:val="第%4章"/>
      <w:lvlJc w:val="left"/>
      <w:pPr>
        <w:tabs>
          <w:tab w:val="left" w:pos="2400"/>
        </w:tabs>
        <w:ind w:left="2400" w:hanging="114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Char"/>
    <w:qFormat/>
    <w:pPr>
      <w:keepNext/>
      <w:keepLines/>
      <w:widowControl w:val="0"/>
      <w:spacing w:before="340" w:afterLines="25" w:line="578" w:lineRule="auto"/>
      <w:jc w:val="both"/>
      <w:outlineLvl w:val="0"/>
    </w:pPr>
    <w:rPr>
      <w:rFonts w:ascii="Arial" w:eastAsia="宋体" w:hAnsi="Arial"/>
      <w:b/>
      <w:bCs/>
      <w:kern w:val="44"/>
      <w:sz w:val="44"/>
      <w:szCs w:val="44"/>
      <w:lang w:eastAsia="zh-CN"/>
    </w:rPr>
  </w:style>
  <w:style w:type="paragraph" w:styleId="Heading3">
    <w:name w:val="heading 3"/>
    <w:basedOn w:val="Normal"/>
    <w:next w:val="Normal"/>
    <w:uiPriority w:val="9"/>
    <w:qFormat/>
    <w:pPr>
      <w:widowControl w:val="0"/>
      <w:spacing w:before="260" w:after="260"/>
      <w:jc w:val="both"/>
      <w:outlineLvl w:val="2"/>
    </w:pPr>
    <w:rPr>
      <w:rFonts w:ascii="宋体" w:eastAsia="宋体" w:hAnsi="宋体"/>
      <w:kern w:val="2"/>
      <w:sz w:val="21"/>
      <w:szCs w:val="32"/>
      <w:lang w:eastAsia="zh-CN"/>
    </w:rPr>
  </w:style>
  <w:style w:type="paragraph" w:styleId="Heading4">
    <w:name w:val="heading 4"/>
    <w:basedOn w:val="Normal"/>
    <w:next w:val="Normal"/>
    <w:unhideWhenUsed/>
    <w:qFormat/>
    <w:pPr>
      <w:keepNext/>
      <w:keepLines/>
      <w:spacing w:before="280" w:after="290" w:line="376" w:lineRule="auto"/>
      <w:outlineLvl w:val="3"/>
    </w:pPr>
    <w:rPr>
      <w:rFonts w:ascii="Cambria" w:eastAsia="宋体" w:hAnsi="Cambria"/>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Char"/>
    <w:uiPriority w:val="99"/>
    <w:unhideWhenUsed/>
    <w:qFormat/>
    <w:pPr>
      <w:widowControl w:val="0"/>
      <w:tabs>
        <w:tab w:val="center" w:pos="4153"/>
        <w:tab w:val="right" w:pos="8306"/>
      </w:tabs>
      <w:snapToGrid w:val="0"/>
    </w:pPr>
    <w:rPr>
      <w:rFonts w:ascii="Calibri" w:eastAsia="宋体" w:hAnsi="Calibri"/>
      <w:kern w:val="2"/>
      <w:sz w:val="18"/>
      <w:szCs w:val="18"/>
      <w:lang w:eastAsia="zh-CN"/>
    </w:rPr>
  </w:style>
  <w:style w:type="character" w:customStyle="1" w:styleId="Char">
    <w:name w:val="页脚 Char"/>
    <w:basedOn w:val="DefaultParagraphFont"/>
    <w:link w:val="Footer"/>
    <w:uiPriority w:val="99"/>
    <w:qFormat/>
    <w:rPr>
      <w:rFonts w:eastAsia="宋体"/>
      <w:sz w:val="18"/>
      <w:szCs w:val="18"/>
    </w:rPr>
  </w:style>
  <w:style w:type="paragraph" w:customStyle="1" w:styleId="Style1">
    <w:name w:val="_Style 1"/>
    <w:basedOn w:val="Normal"/>
    <w:next w:val="Normal"/>
    <w:uiPriority w:val="34"/>
    <w:qFormat/>
    <w:pPr>
      <w:ind w:firstLine="420" w:firstLineChars="200"/>
    </w:pPr>
    <w:rPr>
      <w:rFonts w:ascii="Calibri" w:hAnsi="Calibri"/>
      <w:szCs w:val="22"/>
    </w:rPr>
  </w:style>
  <w:style w:type="paragraph" w:styleId="BodyText">
    <w:name w:val="Body Text"/>
    <w:basedOn w:val="Normal"/>
    <w:next w:val="BodyText2"/>
    <w:qFormat/>
    <w:pPr>
      <w:widowControl w:val="0"/>
      <w:spacing w:line="360" w:lineRule="auto"/>
      <w:jc w:val="both"/>
    </w:pPr>
    <w:rPr>
      <w:rFonts w:ascii="Calibri" w:eastAsia="宋体" w:hAnsi="Calibri"/>
      <w:b/>
      <w:bCs/>
      <w:kern w:val="2"/>
      <w:szCs w:val="22"/>
      <w:lang w:eastAsia="zh-CN"/>
    </w:rPr>
  </w:style>
  <w:style w:type="paragraph" w:styleId="BodyText2">
    <w:name w:val="Body Text 2"/>
    <w:basedOn w:val="Normal"/>
    <w:qFormat/>
    <w:pPr>
      <w:widowControl w:val="0"/>
      <w:spacing w:line="360" w:lineRule="auto"/>
      <w:jc w:val="both"/>
    </w:pPr>
    <w:rPr>
      <w:rFonts w:ascii="Calibri" w:eastAsia="宋体" w:hAnsi="Calibri"/>
      <w:kern w:val="2"/>
      <w:szCs w:val="22"/>
      <w:lang w:eastAsia="zh-CN"/>
    </w:rPr>
  </w:style>
  <w:style w:type="paragraph" w:styleId="CommentText">
    <w:name w:val="annotation text"/>
    <w:basedOn w:val="Normal"/>
    <w:link w:val="Char0"/>
    <w:uiPriority w:val="99"/>
    <w:unhideWhenUsed/>
    <w:qFormat/>
    <w:pPr>
      <w:widowControl w:val="0"/>
    </w:pPr>
    <w:rPr>
      <w:rFonts w:ascii="Calibri" w:eastAsia="宋体" w:hAnsi="Calibri"/>
      <w:kern w:val="2"/>
      <w:sz w:val="21"/>
      <w:szCs w:val="22"/>
      <w:lang w:eastAsia="zh-CN"/>
    </w:rPr>
  </w:style>
  <w:style w:type="character" w:customStyle="1" w:styleId="Char0">
    <w:name w:val="批注文字 Char"/>
    <w:basedOn w:val="DefaultParagraphFont"/>
    <w:link w:val="CommentText"/>
    <w:uiPriority w:val="99"/>
    <w:semiHidden/>
    <w:qFormat/>
    <w:rPr>
      <w:rFonts w:eastAsia="宋体"/>
    </w:rPr>
  </w:style>
  <w:style w:type="table" w:styleId="TableGrid">
    <w:name w:val="Table Grid"/>
    <w:basedOn w:val="TableNormal"/>
    <w:qFormat/>
    <w:pPr>
      <w:widowControl w:val="0"/>
      <w:jc w:val="both"/>
    </w:pPr>
    <w:rPr>
      <w:rFonts w:eastAsia="宋体"/>
    </w:rPr>
    <w:tblPr>
      <w:tblStyle w:val="TableNormal"/>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style>
  <w:style w:type="character" w:customStyle="1" w:styleId="1Char">
    <w:name w:val="标题 1 Char"/>
    <w:basedOn w:val="DefaultParagraphFont"/>
    <w:link w:val="Heading1"/>
    <w:qFormat/>
    <w:rPr>
      <w:rFonts w:ascii="Arial" w:eastAsia="宋体" w:hAnsi="Arial"/>
      <w:b/>
      <w:bCs/>
      <w:kern w:val="44"/>
      <w:sz w:val="44"/>
      <w:szCs w:val="44"/>
    </w:rPr>
  </w:style>
  <w:style w:type="paragraph" w:customStyle="1" w:styleId="CharCharCharChar">
    <w:name w:val="Char Char Char Char"/>
    <w:basedOn w:val="Heading1"/>
    <w:qFormat/>
    <w:pPr>
      <w:spacing w:beforeLines="50" w:afterLines="50" w:line="284" w:lineRule="auto"/>
    </w:pPr>
    <w:rPr>
      <w:rFonts w:ascii="宋体" w:hAnsi="宋体"/>
      <w:color w:val="000000"/>
      <w:sz w:val="36"/>
    </w:rPr>
  </w:style>
  <w:style w:type="paragraph" w:customStyle="1" w:styleId="Default">
    <w:name w:val="Default"/>
    <w:qFormat/>
    <w:pPr>
      <w:widowControl w:val="0"/>
      <w:autoSpaceDE w:val="0"/>
      <w:autoSpaceDN w:val="0"/>
      <w:adjustRightInd w:val="0"/>
    </w:pPr>
    <w:rPr>
      <w:rFonts w:ascii="仿宋_GB2312" w:eastAsia="宋体" w:hAnsi="仿宋_GB2312" w:cs="仿宋_GB2312"/>
      <w:color w:val="000000"/>
      <w:sz w:val="24"/>
      <w:szCs w:val="24"/>
      <w:lang w:eastAsia="zh-CN"/>
    </w:rPr>
  </w:style>
  <w:style w:type="paragraph" w:styleId="NormalWeb">
    <w:name w:val="Normal (Web)"/>
    <w:basedOn w:val="Normal"/>
    <w:link w:val="Char1"/>
    <w:uiPriority w:val="99"/>
    <w:qFormat/>
    <w:pPr>
      <w:spacing w:before="100" w:beforeAutospacing="1" w:afterAutospacing="1"/>
    </w:pPr>
    <w:rPr>
      <w:rFonts w:ascii="宋体" w:eastAsia="宋体" w:hAnsi="宋体"/>
      <w:kern w:val="2"/>
      <w:lang w:eastAsia="zh-CN"/>
    </w:rPr>
  </w:style>
  <w:style w:type="character" w:customStyle="1" w:styleId="Char1">
    <w:name w:val="普通(网站) Char"/>
    <w:link w:val="NormalWeb"/>
    <w:uiPriority w:val="99"/>
    <w:qFormat/>
    <w:rPr>
      <w:rFonts w:ascii="宋体" w:eastAsia="宋体" w:hAnsi="宋体"/>
      <w:sz w:val="24"/>
      <w:szCs w:val="24"/>
    </w:rPr>
  </w:style>
  <w:style w:type="paragraph" w:customStyle="1" w:styleId="1">
    <w:name w:val="正文1"/>
    <w:basedOn w:val="Normal"/>
    <w:qFormat/>
    <w:pPr>
      <w:widowControl w:val="0"/>
      <w:spacing w:before="156" w:after="156"/>
      <w:ind w:firstLine="560"/>
      <w:jc w:val="both"/>
    </w:pPr>
    <w:rPr>
      <w:rFonts w:ascii="Calibri" w:eastAsia="宋体" w:hAnsi="Calibri"/>
      <w:kern w:val="2"/>
      <w:sz w:val="28"/>
      <w:szCs w:val="32"/>
      <w:lang w:eastAsia="zh-CN"/>
    </w:rPr>
  </w:style>
  <w:style w:type="table" w:customStyle="1" w:styleId="10">
    <w:name w:val="1专用样式"/>
    <w:basedOn w:val="TableNormal"/>
    <w:uiPriority w:val="99"/>
    <w:qFormat/>
    <w:rPr>
      <w:rFonts w:ascii="Calibri" w:eastAsia="宋体" w:hAnsi="Calibri"/>
    </w:rPr>
    <w:tblPr>
      <w:tblStyle w:val="TableNormal"/>
      <w:tblInd w:w="0" w:type="dxa"/>
      <w:tblBorders>
        <w:top w:val="thinThickMediumGap" w:sz="12" w:space="0" w:color="auto"/>
        <w:left w:val="single" w:sz="4" w:space="0" w:color="auto"/>
        <w:bottom w:val="thickThinMediumGap" w:sz="12" w:space="0" w:color="auto"/>
        <w:right w:val="single" w:sz="4" w:space="0" w:color="auto"/>
        <w:insideH w:val="single" w:sz="6" w:space="0" w:color="auto"/>
        <w:insideV w:val="single" w:sz="6" w:space="0" w:color="auto"/>
      </w:tblBorders>
    </w:tbl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paragraph" w:styleId="Header">
    <w:name w:val="header"/>
    <w:basedOn w:val="Normal"/>
    <w:link w:val="Char2"/>
    <w:uiPriority w:val="99"/>
    <w:unhideWhenUsed/>
    <w:qFormat/>
    <w:pPr>
      <w:widowControl w:val="0"/>
      <w:pBdr>
        <w:bottom w:val="single" w:sz="6" w:space="1" w:color="auto"/>
      </w:pBdr>
      <w:tabs>
        <w:tab w:val="center" w:pos="4153"/>
        <w:tab w:val="right" w:pos="8306"/>
      </w:tabs>
      <w:snapToGrid w:val="0"/>
      <w:jc w:val="center"/>
    </w:pPr>
    <w:rPr>
      <w:rFonts w:ascii="Calibri" w:eastAsia="宋体" w:hAnsi="Calibri"/>
      <w:kern w:val="2"/>
      <w:sz w:val="18"/>
      <w:szCs w:val="18"/>
      <w:lang w:eastAsia="zh-CN"/>
    </w:rPr>
  </w:style>
  <w:style w:type="character" w:customStyle="1" w:styleId="Char2">
    <w:name w:val="页眉 Char"/>
    <w:basedOn w:val="DefaultParagraphFont"/>
    <w:link w:val="Header"/>
    <w:uiPriority w:val="99"/>
    <w:semiHidden/>
    <w:qFormat/>
    <w:rPr>
      <w:rFonts w:eastAsia="宋体"/>
      <w:sz w:val="18"/>
      <w:szCs w:val="18"/>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aidu.com/link?url=6TUmbbSdkQxdcJaeHRzTO4mBxp9fQtiBr4U3woWl_azESqs3mBGaEop_LCuC-SJkD_IjzhVv5T3W1ed0YfeWVnmlKtx2JOuwBjACvXaaFhK"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hyperlink" Target="https://www.szggzy.com/static/index.html"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