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79B08"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44"/>
          <w:szCs w:val="52"/>
        </w:rPr>
        <w:t>询价函</w:t>
      </w:r>
    </w:p>
    <w:p w14:paraId="733B8FEC"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sz w:val="44"/>
          <w:szCs w:val="52"/>
        </w:rPr>
      </w:pPr>
    </w:p>
    <w:p w14:paraId="08E4D0B2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各供应商：</w:t>
      </w:r>
    </w:p>
    <w:p w14:paraId="7364DCAC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我司拟就</w:t>
      </w:r>
      <w:r>
        <w:rPr>
          <w:rFonts w:hint="eastAsia" w:ascii="仿宋" w:hAnsi="仿宋" w:eastAsia="仿宋" w:cs="仿宋"/>
          <w:sz w:val="32"/>
          <w:szCs w:val="40"/>
          <w:u w:val="single"/>
        </w:rPr>
        <w:t>“</w:t>
      </w:r>
      <w:r>
        <w:rPr>
          <w:rFonts w:ascii="仿宋_GB2312" w:hAnsi="仿宋_GB2312" w:eastAsia="仿宋_GB2312" w:cs="仿宋_GB2312"/>
          <w:sz w:val="32"/>
          <w:szCs w:val="32"/>
          <w:u w:val="single"/>
          <w:lang w:bidi="ar"/>
        </w:rPr>
        <w:t>清风雅苑&amp;清和雅苑项目申购礼品及暖场活动服务</w:t>
      </w:r>
      <w:r>
        <w:rPr>
          <w:rFonts w:hint="eastAsia" w:ascii="仿宋" w:hAnsi="仿宋" w:eastAsia="仿宋" w:cs="仿宋"/>
          <w:sz w:val="32"/>
          <w:szCs w:val="40"/>
          <w:u w:val="single"/>
        </w:rPr>
        <w:t>”</w:t>
      </w:r>
      <w:r>
        <w:rPr>
          <w:rFonts w:hint="eastAsia" w:ascii="仿宋" w:hAnsi="仿宋" w:eastAsia="仿宋" w:cs="仿宋"/>
          <w:sz w:val="32"/>
          <w:szCs w:val="40"/>
        </w:rPr>
        <w:t>进行询价，欢迎贵公司就以下采购内容进行报价。现将有关事项说明如下：</w:t>
      </w:r>
    </w:p>
    <w:p w14:paraId="7AD6178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40"/>
        </w:rPr>
        <w:t>一、项目名称：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清风雅苑&amp;清和雅苑项目申购礼品及暖场活动服务</w:t>
      </w:r>
    </w:p>
    <w:p w14:paraId="7641E6DF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eastAsia="zh-Hans"/>
        </w:rPr>
        <w:t>二</w:t>
      </w:r>
      <w:r>
        <w:rPr>
          <w:rFonts w:hint="eastAsia" w:ascii="黑体" w:hAnsi="黑体" w:eastAsia="黑体" w:cs="黑体"/>
          <w:sz w:val="32"/>
          <w:szCs w:val="40"/>
        </w:rPr>
        <w:t>、采购内容：</w:t>
      </w:r>
    </w:p>
    <w:p w14:paraId="5953CB10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为保障项目后期顺利入市，项目在申购礼品及暖场活动采购上具有一定需求，包括但不限于以下内容，服务周期365个自然日：</w:t>
      </w:r>
    </w:p>
    <w:p w14:paraId="7EA2179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1.申购礼品采购、物流配送服务：根据我方提供的位置，按批次、按时配送商品；若涉及需安装的商品，须配合用户完成商品的安装到位，安装调试等服务（申购礼品参考示例：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优酷月卡/腾讯视频月卡/爱奇艺会员月卡/网易云音乐会员/奈雪30元券/油米礼盒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等）。</w:t>
      </w:r>
    </w:p>
    <w:p w14:paraId="2B705347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申购礼品售后服务：须具备在线咨询服务及致电客服联系功能，以保证能按用户的需求及时进行咨询回复、及时发货、及时退货换货、及时进行售后等服务。对于存在问题的商品，须做好登记记录并及时提供可预约的退换货上门服务，及时处理存在问题的商品。</w:t>
      </w:r>
    </w:p>
    <w:p w14:paraId="0DE8F5CF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3.暖场活动服务：筹备共8周16场次暖场活动，提供活动方案（含不同主题）供我方确认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，每场活动物料不少于100份。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本次采购包含全部活动物料、设备租赁、现场人员、运输及安装执行全流程包干服务（甲方仅提供场地）。</w:t>
      </w:r>
    </w:p>
    <w:p w14:paraId="38AED476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40"/>
        </w:rPr>
      </w:pPr>
      <w:r>
        <w:rPr>
          <w:rFonts w:hint="eastAsia" w:ascii="黑体" w:hAnsi="黑体" w:eastAsia="黑体" w:cs="黑体"/>
          <w:color w:val="auto"/>
          <w:sz w:val="32"/>
          <w:szCs w:val="40"/>
        </w:rPr>
        <w:t>三、项目预算限额：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人民币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40"/>
        </w:rPr>
        <w:t>15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万元（上限价）。</w:t>
      </w:r>
    </w:p>
    <w:p w14:paraId="74EE3153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  <w:r>
        <w:rPr>
          <w:rFonts w:hint="eastAsia" w:ascii="黑体" w:hAnsi="黑体" w:eastAsia="黑体" w:cs="黑体"/>
          <w:color w:val="auto"/>
          <w:sz w:val="32"/>
          <w:szCs w:val="40"/>
        </w:rPr>
        <w:t>四、服务期限：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暂定</w:t>
      </w:r>
      <w:r>
        <w:rPr>
          <w:rFonts w:hint="eastAsia" w:ascii="黑体" w:hAnsi="黑体" w:eastAsia="黑体" w:cs="黑体"/>
          <w:color w:val="auto"/>
          <w:sz w:val="32"/>
          <w:szCs w:val="40"/>
        </w:rPr>
        <w:t>365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个自然日</w:t>
      </w:r>
    </w:p>
    <w:p w14:paraId="1FE292D7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40"/>
        </w:rPr>
      </w:pPr>
      <w:r>
        <w:rPr>
          <w:rFonts w:hint="eastAsia" w:ascii="黑体" w:hAnsi="黑体" w:eastAsia="黑体" w:cs="黑体"/>
          <w:color w:val="auto"/>
          <w:sz w:val="32"/>
          <w:szCs w:val="40"/>
        </w:rPr>
        <w:t>五、特别提醒</w:t>
      </w:r>
    </w:p>
    <w:p w14:paraId="15523337">
      <w:pPr>
        <w:spacing w:line="560" w:lineRule="exact"/>
        <w:ind w:firstLine="640" w:firstLineChars="200"/>
        <w:jc w:val="left"/>
        <w:rPr>
          <w:rFonts w:hint="eastAsia" w:ascii="楷体" w:hAnsi="楷体" w:eastAsia="楷体" w:cs="楷体"/>
          <w:color w:val="auto"/>
          <w:sz w:val="32"/>
          <w:szCs w:val="40"/>
        </w:rPr>
      </w:pPr>
      <w:r>
        <w:rPr>
          <w:rFonts w:hint="eastAsia" w:ascii="楷体" w:hAnsi="楷体" w:eastAsia="楷体" w:cs="楷体"/>
          <w:color w:val="auto"/>
          <w:sz w:val="32"/>
          <w:szCs w:val="40"/>
        </w:rPr>
        <w:t>（一）报价要求</w:t>
      </w:r>
    </w:p>
    <w:p w14:paraId="2ADE13C1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  <w:r>
        <w:rPr>
          <w:rFonts w:hint="eastAsia" w:ascii="仿宋" w:hAnsi="仿宋" w:eastAsia="仿宋" w:cs="仿宋"/>
          <w:color w:val="auto"/>
          <w:sz w:val="32"/>
          <w:szCs w:val="40"/>
        </w:rPr>
        <w:t>报价一经认可，即为签订合同的最终依据。请各供应商按附件报价函及附件格式进行填写，并加盖公章，于</w:t>
      </w:r>
      <w:r>
        <w:rPr>
          <w:rFonts w:hint="eastAsia" w:ascii="仿宋" w:hAnsi="仿宋" w:eastAsia="仿宋" w:cs="仿宋"/>
          <w:color w:val="auto"/>
          <w:sz w:val="32"/>
          <w:szCs w:val="40"/>
          <w:u w:val="single"/>
        </w:rPr>
        <w:t>2026年</w:t>
      </w:r>
      <w:r>
        <w:rPr>
          <w:rFonts w:hint="eastAsia" w:ascii="仿宋" w:hAnsi="仿宋" w:eastAsia="仿宋" w:cs="仿宋"/>
          <w:color w:val="auto"/>
          <w:sz w:val="32"/>
          <w:szCs w:val="40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40"/>
          <w:u w:val="single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40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32"/>
          <w:szCs w:val="40"/>
          <w:u w:val="single"/>
        </w:rPr>
        <w:t>日12:00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前发送至邮箱：</w:t>
      </w:r>
      <w:r>
        <w:rPr>
          <w:rFonts w:hint="eastAsia" w:ascii="仿宋" w:hAnsi="仿宋" w:eastAsia="仿宋" w:cs="仿宋"/>
          <w:color w:val="auto"/>
          <w:sz w:val="32"/>
          <w:szCs w:val="40"/>
          <w:u w:val="single"/>
        </w:rPr>
        <w:t>lhtz_cbhy@szlh.gov.cn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，同时抄送至邮箱：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562925668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@qq.com</w:t>
      </w:r>
      <w:bookmarkStart w:id="1" w:name="_GoBack"/>
      <w:bookmarkEnd w:id="1"/>
      <w:r>
        <w:rPr>
          <w:rFonts w:hint="eastAsia" w:ascii="仿宋" w:hAnsi="仿宋" w:eastAsia="仿宋" w:cs="仿宋"/>
          <w:color w:val="auto"/>
          <w:sz w:val="32"/>
          <w:szCs w:val="40"/>
        </w:rPr>
        <w:t>，逾期视为废标。纸质版（一份）递交至罗湖投控大厦B座20楼（可邮寄，详细地址见“六、联系方式”）。</w:t>
      </w:r>
    </w:p>
    <w:p w14:paraId="06A42782"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40"/>
        </w:rPr>
        <w:t>注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：本项目基本情况可联系“业务联系人”了解，联系方式详见“六、联系方式”。</w:t>
      </w:r>
    </w:p>
    <w:p w14:paraId="5A86CDF2"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楷体" w:hAnsi="楷体" w:eastAsia="楷体" w:cs="楷体"/>
          <w:color w:val="auto"/>
          <w:sz w:val="32"/>
          <w:szCs w:val="40"/>
        </w:rPr>
      </w:pPr>
      <w:r>
        <w:rPr>
          <w:rFonts w:hint="eastAsia" w:ascii="楷体" w:hAnsi="楷体" w:eastAsia="楷体" w:cs="楷体"/>
          <w:color w:val="auto"/>
          <w:sz w:val="32"/>
          <w:szCs w:val="40"/>
        </w:rPr>
        <w:t>报价条件</w:t>
      </w:r>
    </w:p>
    <w:p w14:paraId="54D7BF81">
      <w:pPr>
        <w:spacing w:line="560" w:lineRule="exact"/>
        <w:ind w:firstLine="640" w:firstLineChars="200"/>
        <w:jc w:val="left"/>
        <w:rPr>
          <w:rFonts w:hint="eastAsia" w:ascii="楷体" w:hAnsi="楷体" w:eastAsia="楷体" w:cs="楷体"/>
          <w:color w:val="auto"/>
          <w:sz w:val="32"/>
          <w:szCs w:val="40"/>
        </w:rPr>
      </w:pPr>
      <w:r>
        <w:rPr>
          <w:rFonts w:hint="eastAsia" w:ascii="仿宋" w:hAnsi="仿宋" w:eastAsia="仿宋" w:cs="仿宋"/>
          <w:color w:val="auto"/>
          <w:sz w:val="32"/>
          <w:szCs w:val="40"/>
        </w:rPr>
        <w:t>近5年有承接人才房或商品房礼品采购及活动组织</w:t>
      </w:r>
      <w:r>
        <w:rPr>
          <w:rFonts w:hint="eastAsia" w:ascii="仿宋" w:hAnsi="仿宋" w:eastAsia="仿宋" w:cs="仿宋"/>
          <w:color w:val="auto"/>
          <w:sz w:val="32"/>
          <w:szCs w:val="40"/>
          <w:lang w:eastAsia="zh-Hans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同类业绩</w:t>
      </w:r>
      <w:r>
        <w:rPr>
          <w:rFonts w:hint="eastAsia" w:ascii="仿宋" w:hAnsi="仿宋" w:eastAsia="仿宋" w:cs="仿宋"/>
          <w:color w:val="auto"/>
          <w:sz w:val="32"/>
          <w:szCs w:val="40"/>
          <w:lang w:eastAsia="zh-Hans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服务机构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优先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。</w:t>
      </w:r>
    </w:p>
    <w:p w14:paraId="2152D188"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楷体" w:hAnsi="楷体" w:eastAsia="楷体" w:cs="楷体"/>
          <w:color w:val="auto"/>
          <w:sz w:val="32"/>
          <w:szCs w:val="40"/>
        </w:rPr>
      </w:pPr>
      <w:r>
        <w:rPr>
          <w:rFonts w:hint="eastAsia" w:ascii="楷体" w:hAnsi="楷体" w:eastAsia="楷体" w:cs="楷体"/>
          <w:color w:val="auto"/>
          <w:sz w:val="32"/>
          <w:szCs w:val="40"/>
        </w:rPr>
        <w:t>报价附件</w:t>
      </w:r>
    </w:p>
    <w:p w14:paraId="7D44BFDA"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40"/>
        </w:rPr>
        <w:t>报价单位应当将以下材料作为报价函附件上报，包括但不限于：</w:t>
      </w:r>
    </w:p>
    <w:p w14:paraId="495FBC39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  <w:r>
        <w:rPr>
          <w:rFonts w:hint="eastAsia" w:ascii="仿宋" w:hAnsi="仿宋" w:eastAsia="仿宋" w:cs="仿宋"/>
          <w:color w:val="auto"/>
          <w:sz w:val="32"/>
          <w:szCs w:val="40"/>
        </w:rPr>
        <w:t>1.公司营业执照。</w:t>
      </w:r>
    </w:p>
    <w:p w14:paraId="6D460663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  <w:r>
        <w:rPr>
          <w:rFonts w:hint="eastAsia" w:ascii="仿宋" w:hAnsi="仿宋" w:eastAsia="仿宋" w:cs="仿宋"/>
          <w:color w:val="auto"/>
          <w:sz w:val="32"/>
          <w:szCs w:val="40"/>
        </w:rPr>
        <w:t>2.公司简介。包括设立时间、注册和实际运营地址、主营业务；及近5年有礼品采购、活动组织的描述字样合同复印件，市、区国企或上市公司合作更优。</w:t>
      </w:r>
    </w:p>
    <w:p w14:paraId="5B9B056B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  <w:r>
        <w:rPr>
          <w:rFonts w:hint="eastAsia" w:ascii="仿宋" w:hAnsi="仿宋" w:eastAsia="仿宋" w:cs="仿宋"/>
          <w:color w:val="auto"/>
          <w:sz w:val="32"/>
          <w:szCs w:val="40"/>
        </w:rPr>
        <w:t>3.过往业务合同佐证。仅需显示合同价格、双方盖章页、服务业务内容。</w:t>
      </w:r>
    </w:p>
    <w:p w14:paraId="0B01CD30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  <w:r>
        <w:rPr>
          <w:rFonts w:hint="eastAsia" w:ascii="仿宋" w:hAnsi="仿宋" w:eastAsia="仿宋" w:cs="仿宋"/>
          <w:color w:val="auto"/>
          <w:sz w:val="32"/>
          <w:szCs w:val="40"/>
        </w:rPr>
        <w:t>4.项目整体礼品采购及暖场活动思路，包括但不限于</w:t>
      </w:r>
      <w:r>
        <w:rPr>
          <w:rFonts w:ascii="仿宋" w:hAnsi="仿宋" w:eastAsia="仿宋" w:cs="仿宋"/>
          <w:color w:val="auto"/>
          <w:sz w:val="32"/>
          <w:szCs w:val="40"/>
        </w:rPr>
        <w:t>申购礼品选品、交付保证、售后方案、暖场活动方案、活动风险预案等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建议（格式自拟）。</w:t>
      </w:r>
    </w:p>
    <w:p w14:paraId="128ED7E7"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楷体" w:hAnsi="楷体" w:eastAsia="楷体" w:cs="楷体"/>
          <w:color w:val="auto"/>
          <w:sz w:val="32"/>
          <w:szCs w:val="40"/>
        </w:rPr>
      </w:pPr>
      <w:r>
        <w:rPr>
          <w:rFonts w:hint="eastAsia" w:ascii="楷体" w:hAnsi="楷体" w:eastAsia="楷体" w:cs="楷体"/>
          <w:color w:val="auto"/>
          <w:sz w:val="32"/>
          <w:szCs w:val="40"/>
        </w:rPr>
        <w:t>报价须知</w:t>
      </w:r>
    </w:p>
    <w:p w14:paraId="0E54AAA3">
      <w:pPr>
        <w:pStyle w:val="8"/>
        <w:widowControl/>
        <w:shd w:val="clear" w:color="auto" w:fill="FFFFFF"/>
        <w:spacing w:beforeAutospacing="0" w:afterAutospacing="0" w:line="360" w:lineRule="auto"/>
        <w:ind w:firstLine="640" w:firstLineChars="200"/>
        <w:textAlignment w:val="baseline"/>
        <w:rPr>
          <w:rFonts w:hint="eastAsia" w:ascii="楷体" w:hAnsi="楷体" w:eastAsia="楷体" w:cs="楷体"/>
          <w:color w:val="auto"/>
          <w:sz w:val="32"/>
          <w:szCs w:val="40"/>
        </w:rPr>
      </w:pPr>
      <w:r>
        <w:rPr>
          <w:rFonts w:hint="eastAsia" w:ascii="仿宋" w:hAnsi="仿宋" w:eastAsia="仿宋" w:cs="仿宋"/>
          <w:color w:val="auto"/>
          <w:sz w:val="32"/>
          <w:szCs w:val="40"/>
        </w:rPr>
        <w:t>（1）</w:t>
      </w:r>
      <w:r>
        <w:rPr>
          <w:rFonts w:hint="eastAsia" w:ascii="仿宋" w:hAnsi="仿宋" w:eastAsia="仿宋" w:cs="仿宋"/>
          <w:color w:val="auto"/>
          <w:kern w:val="2"/>
          <w:sz w:val="32"/>
          <w:szCs w:val="40"/>
        </w:rPr>
        <w:t>本次报价为一次性报价，报价人如对本询价函报价，即表示认可我方提出的要求，且不可撤回。否则，该报价人将被记入不诚信报价人名单，在今后规定的时间内不得参与我方组织的任何招标活动。</w:t>
      </w:r>
    </w:p>
    <w:p w14:paraId="5650E0A4">
      <w:pPr>
        <w:pStyle w:val="8"/>
        <w:widowControl/>
        <w:shd w:val="clear" w:color="auto" w:fill="FFFFFF"/>
        <w:spacing w:beforeAutospacing="0" w:afterAutospacing="0" w:line="360" w:lineRule="auto"/>
        <w:ind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40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40"/>
        </w:rPr>
        <w:t>（2）询价函、报价函均为采购合同的组成部分。</w:t>
      </w:r>
    </w:p>
    <w:p w14:paraId="56497FFD">
      <w:pPr>
        <w:pStyle w:val="8"/>
        <w:widowControl/>
        <w:shd w:val="clear" w:color="auto" w:fill="FFFFFF"/>
        <w:spacing w:beforeAutospacing="0" w:afterAutospacing="0" w:line="360" w:lineRule="auto"/>
        <w:ind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40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40"/>
        </w:rPr>
        <w:t>（3）报价人在采购过程中应遵守诚实信用的原则，在采购及合同履行过程中，如发现报价人有欺诈等不诚实行为及违反合同约定等行为，将会受到列入黑名单、网上通报等处理。希望各竞投报价人在认真阅读询价函内容后再进行报价。</w:t>
      </w:r>
    </w:p>
    <w:p w14:paraId="05F866AB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40"/>
        </w:rPr>
      </w:pPr>
      <w:r>
        <w:rPr>
          <w:rFonts w:hint="eastAsia" w:ascii="黑体" w:hAnsi="黑体" w:eastAsia="黑体" w:cs="黑体"/>
          <w:color w:val="auto"/>
          <w:sz w:val="32"/>
          <w:szCs w:val="40"/>
        </w:rPr>
        <w:t>六、联系方式</w:t>
      </w:r>
    </w:p>
    <w:p w14:paraId="6491D10B">
      <w:pPr>
        <w:pStyle w:val="8"/>
        <w:widowControl/>
        <w:shd w:val="clear" w:color="auto" w:fill="FFFFFF"/>
        <w:spacing w:beforeAutospacing="0" w:afterAutospacing="0" w:line="360" w:lineRule="auto"/>
        <w:ind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40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40"/>
        </w:rPr>
        <w:t>招采联系人：马工</w:t>
      </w:r>
    </w:p>
    <w:p w14:paraId="1F1F4D4A">
      <w:pPr>
        <w:pStyle w:val="8"/>
        <w:widowControl/>
        <w:shd w:val="clear" w:color="auto" w:fill="FFFFFF"/>
        <w:spacing w:beforeAutospacing="0" w:afterAutospacing="0" w:line="360" w:lineRule="auto"/>
        <w:ind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40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40"/>
        </w:rPr>
        <w:t>联系电话：0755-82668392</w:t>
      </w:r>
    </w:p>
    <w:p w14:paraId="3A725BF2">
      <w:pPr>
        <w:pStyle w:val="8"/>
        <w:widowControl/>
        <w:shd w:val="clear" w:color="auto" w:fill="FFFFFF"/>
        <w:spacing w:beforeAutospacing="0" w:afterAutospacing="0" w:line="440" w:lineRule="exact"/>
        <w:ind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40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40"/>
        </w:rPr>
        <w:t>联系地址：深圳市罗湖区清水河一路罗湖投控大厦B座20楼成本合约部</w:t>
      </w:r>
    </w:p>
    <w:p w14:paraId="50E1EC80">
      <w:pPr>
        <w:pStyle w:val="8"/>
        <w:widowControl/>
        <w:shd w:val="clear" w:color="auto" w:fill="FFFFFF"/>
        <w:spacing w:beforeAutospacing="0" w:afterAutospacing="0" w:line="360" w:lineRule="auto"/>
        <w:ind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40"/>
        </w:rPr>
        <w:t>业务联系人：江</w:t>
      </w:r>
      <w:r>
        <w:rPr>
          <w:rFonts w:hint="eastAsia" w:ascii="仿宋" w:hAnsi="仿宋" w:eastAsia="仿宋" w:cs="仿宋"/>
          <w:color w:val="auto"/>
          <w:kern w:val="2"/>
          <w:sz w:val="32"/>
          <w:szCs w:val="40"/>
          <w:lang w:val="en-US" w:eastAsia="zh-CN"/>
        </w:rPr>
        <w:t>经理</w:t>
      </w:r>
    </w:p>
    <w:p w14:paraId="3C128D23">
      <w:pPr>
        <w:pStyle w:val="8"/>
        <w:widowControl/>
        <w:shd w:val="clear" w:color="auto" w:fill="FFFFFF"/>
        <w:spacing w:beforeAutospacing="0" w:afterAutospacing="0" w:line="360" w:lineRule="auto"/>
        <w:ind w:firstLine="640" w:firstLineChars="200"/>
        <w:textAlignment w:val="baseline"/>
        <w:rPr>
          <w:rFonts w:hint="eastAsia" w:ascii="仿宋" w:hAnsi="仿宋" w:eastAsia="仿宋" w:cs="仿宋"/>
          <w:color w:val="auto"/>
          <w:kern w:val="2"/>
          <w:sz w:val="32"/>
          <w:szCs w:val="40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40"/>
        </w:rPr>
        <w:t>联系电话：18822819676</w:t>
      </w:r>
    </w:p>
    <w:p w14:paraId="7DBB1F1D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</w:p>
    <w:p w14:paraId="698BBCDA">
      <w:pPr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附件：1.报价函模板</w:t>
      </w:r>
    </w:p>
    <w:p w14:paraId="0B6BDCF2">
      <w:pPr>
        <w:spacing w:line="540" w:lineRule="exact"/>
        <w:ind w:firstLine="1600" w:firstLineChars="500"/>
        <w:jc w:val="left"/>
        <w:rPr>
          <w:rFonts w:hint="eastAsia" w:ascii="仿宋_GB2312" w:hAnsi="仿宋_GB2312" w:eastAsia="仿宋_GB2312" w:cs="仿宋_GB2312"/>
          <w:color w:val="auto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2.评分细则表</w:t>
      </w:r>
    </w:p>
    <w:p w14:paraId="3BF84D57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</w:p>
    <w:p w14:paraId="11744AA5">
      <w:pPr>
        <w:spacing w:line="560" w:lineRule="exact"/>
        <w:ind w:firstLine="2560" w:firstLineChars="800"/>
        <w:jc w:val="right"/>
        <w:rPr>
          <w:rFonts w:hint="eastAsia" w:ascii="仿宋" w:hAnsi="仿宋" w:eastAsia="仿宋" w:cs="仿宋"/>
          <w:color w:val="auto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深圳市罗湖投控置地有限公司</w:t>
      </w:r>
    </w:p>
    <w:p w14:paraId="3E3F3066">
      <w:pPr>
        <w:spacing w:line="560" w:lineRule="exact"/>
        <w:ind w:firstLine="2560" w:firstLineChars="800"/>
        <w:jc w:val="left"/>
        <w:rPr>
          <w:rFonts w:hint="eastAsia" w:ascii="仿宋" w:hAnsi="仿宋" w:eastAsia="仿宋" w:cs="仿宋"/>
          <w:color w:val="auto"/>
          <w:sz w:val="32"/>
          <w:szCs w:val="40"/>
        </w:rPr>
      </w:pPr>
      <w:r>
        <w:rPr>
          <w:rFonts w:hint="eastAsia" w:ascii="仿宋" w:hAnsi="仿宋" w:eastAsia="仿宋" w:cs="仿宋"/>
          <w:color w:val="auto"/>
          <w:sz w:val="32"/>
          <w:szCs w:val="40"/>
        </w:rPr>
        <w:t xml:space="preserve">                2026年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40"/>
        </w:rPr>
        <w:t>日</w:t>
      </w:r>
    </w:p>
    <w:p w14:paraId="55F180DC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26A9EC62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0880D486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02BD6A91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1903C22B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1873757D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54E76CB4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6C6BA699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4727B1DE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58F2A46E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39BA063A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4C2460E5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3DA7C9E3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564E0EDF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2E76D196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53A5BD99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5689ABCA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604FE515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46E5241E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附件1：</w:t>
      </w:r>
    </w:p>
    <w:p w14:paraId="3836A44E"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44CBBE67"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报价函</w:t>
      </w:r>
    </w:p>
    <w:p w14:paraId="4C3568CE"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sz w:val="44"/>
          <w:szCs w:val="52"/>
        </w:rPr>
      </w:pPr>
    </w:p>
    <w:p w14:paraId="7A7BBCB9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深圳市罗湖投控置地有限公司</w:t>
      </w:r>
      <w:r>
        <w:rPr>
          <w:rFonts w:hint="eastAsia" w:ascii="仿宋" w:hAnsi="仿宋" w:eastAsia="仿宋" w:cs="仿宋"/>
          <w:sz w:val="32"/>
          <w:szCs w:val="40"/>
        </w:rPr>
        <w:t>：</w:t>
      </w:r>
    </w:p>
    <w:p w14:paraId="02994290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一、贵司询价函我司已收悉，决定参与报价，现就“</w:t>
      </w:r>
      <w:r>
        <w:rPr>
          <w:rFonts w:ascii="仿宋_GB2312" w:hAnsi="仿宋_GB2312" w:eastAsia="仿宋_GB2312" w:cs="仿宋_GB2312"/>
          <w:sz w:val="32"/>
          <w:szCs w:val="32"/>
          <w:u w:val="single"/>
          <w:lang w:bidi="ar"/>
        </w:rPr>
        <w:t>清风雅苑&amp;清和雅苑项目申购礼品及暖场活动服务</w:t>
      </w:r>
      <w:r>
        <w:rPr>
          <w:rFonts w:hint="eastAsia" w:ascii="仿宋" w:hAnsi="仿宋" w:eastAsia="仿宋" w:cs="仿宋"/>
          <w:sz w:val="32"/>
          <w:szCs w:val="40"/>
        </w:rPr>
        <w:t>”报价如下：</w:t>
      </w:r>
    </w:p>
    <w:p w14:paraId="2D55FB28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二、我方愿意按照询价函规定的各项要求，向贵公司提供相应服务，总报价为人民币</w:t>
      </w:r>
      <w:r>
        <w:rPr>
          <w:rFonts w:hint="eastAsia" w:ascii="仿宋" w:hAnsi="仿宋" w:eastAsia="仿宋" w:cs="仿宋"/>
          <w:sz w:val="32"/>
          <w:szCs w:val="40"/>
          <w:u w:val="single"/>
        </w:rPr>
        <w:t>XX</w:t>
      </w:r>
      <w:r>
        <w:rPr>
          <w:rFonts w:hint="eastAsia" w:ascii="仿宋" w:hAnsi="仿宋" w:eastAsia="仿宋" w:cs="仿宋"/>
          <w:sz w:val="32"/>
          <w:szCs w:val="40"/>
        </w:rPr>
        <w:t>元（含税，税率</w:t>
      </w:r>
      <w:r>
        <w:rPr>
          <w:rFonts w:hint="eastAsia" w:ascii="仿宋" w:hAnsi="仿宋" w:eastAsia="仿宋" w:cs="仿宋"/>
          <w:sz w:val="32"/>
          <w:szCs w:val="40"/>
          <w:u w:val="single"/>
        </w:rPr>
        <w:t>X</w:t>
      </w:r>
      <w:r>
        <w:rPr>
          <w:rFonts w:hint="eastAsia" w:ascii="仿宋" w:hAnsi="仿宋" w:eastAsia="仿宋" w:cs="仿宋"/>
          <w:sz w:val="32"/>
          <w:szCs w:val="40"/>
        </w:rPr>
        <w:t>%）；</w:t>
      </w:r>
    </w:p>
    <w:p w14:paraId="5AE022E3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三、一旦我方中标，双方合同签字生效后，我方将严格履行合同规定的职责和义务，保证按照合同要求贵司要求提供服务。</w:t>
      </w:r>
    </w:p>
    <w:p w14:paraId="22B0F291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四、我方提供给贵单位的与本项目采购有关的文件资料，保证文件资料的真实性和准确性。</w:t>
      </w:r>
    </w:p>
    <w:p w14:paraId="2A4B2795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7DDAB513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7F463045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报价人名称（公章）：</w:t>
      </w:r>
    </w:p>
    <w:p w14:paraId="1095E717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法定代表人或委托代理人签名：</w:t>
      </w:r>
    </w:p>
    <w:p w14:paraId="723F0C14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日期：</w:t>
      </w:r>
    </w:p>
    <w:p w14:paraId="69CDB7C9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通讯地址：</w:t>
      </w:r>
    </w:p>
    <w:p w14:paraId="6DDB1EE5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联系人及联系方式：</w:t>
      </w:r>
    </w:p>
    <w:p w14:paraId="7847464F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3EBB20C7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2A301F7D">
      <w:pPr>
        <w:pStyle w:val="2"/>
        <w:spacing w:before="156"/>
        <w:ind w:left="0"/>
        <w:rPr>
          <w:rFonts w:hint="eastAsia" w:ascii="仿宋" w:hAnsi="仿宋" w:eastAsia="仿宋" w:cs="仿宋"/>
          <w:sz w:val="32"/>
          <w:szCs w:val="40"/>
        </w:rPr>
      </w:pPr>
    </w:p>
    <w:p w14:paraId="68F1D463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附表：报价清单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81"/>
        <w:gridCol w:w="1925"/>
        <w:gridCol w:w="595"/>
        <w:gridCol w:w="900"/>
        <w:gridCol w:w="1083"/>
        <w:gridCol w:w="1065"/>
        <w:gridCol w:w="1065"/>
      </w:tblGrid>
      <w:tr w14:paraId="39DB8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6167F847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46B33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类别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BB8CD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项目内容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D9FF3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82451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数量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05A2A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单价/元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8872C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合价/元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96551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备注</w:t>
            </w:r>
          </w:p>
        </w:tc>
      </w:tr>
      <w:tr w14:paraId="56626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59ECB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4F46C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礼品采购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1F362">
            <w:pPr>
              <w:pStyle w:val="2"/>
              <w:spacing w:before="156"/>
              <w:ind w:left="0"/>
              <w:jc w:val="left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①腾讯视频30元会员月卡（200份）；</w:t>
            </w:r>
          </w:p>
          <w:p w14:paraId="162A1906">
            <w:pPr>
              <w:pStyle w:val="2"/>
              <w:spacing w:before="156"/>
              <w:ind w:left="0"/>
              <w:jc w:val="left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②爱奇艺30元会员月卡（200份）；</w:t>
            </w:r>
          </w:p>
          <w:p w14:paraId="6F90A9BD">
            <w:pPr>
              <w:pStyle w:val="2"/>
              <w:spacing w:before="156"/>
              <w:ind w:left="0"/>
              <w:jc w:val="left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③奈雪30元礼品券（200份）；</w:t>
            </w:r>
          </w:p>
          <w:p w14:paraId="6BBBA921">
            <w:pPr>
              <w:pStyle w:val="2"/>
              <w:spacing w:before="156"/>
              <w:ind w:left="0"/>
              <w:jc w:val="left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④油米30元礼盒（200份）；</w:t>
            </w:r>
          </w:p>
          <w:p w14:paraId="7CAF6F79">
            <w:pPr>
              <w:pStyle w:val="2"/>
              <w:spacing w:before="156"/>
              <w:ind w:left="0"/>
              <w:jc w:val="left"/>
              <w:rPr>
                <w:rFonts w:hint="default" w:eastAsia="仿宋_GB2312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⑤肯德基30元礼品卡（200份）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F6CE0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份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9BF44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5021E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09E3D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B4826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</w:tr>
      <w:tr w14:paraId="5DAAD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97E09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F3468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暖场活动1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B081F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示例：拼豆、亲子绘本（依据响应方案填写）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B6D4A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CB608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107CF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9C511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678C1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</w:tr>
      <w:tr w14:paraId="5437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BE327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F12B5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暖场活动2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85E5A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90D1F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8C2D1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6BD3F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F7EEE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5C761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</w:tr>
      <w:tr w14:paraId="2582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78FA6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1E739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……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DA8D1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7CAA3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9E047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A8D81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46485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202B5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</w:tr>
      <w:tr w14:paraId="312E9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76A7D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54F45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暖场活动16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E5D8D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7105C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1457E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E5849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E35A3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1C639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</w:tr>
      <w:tr w14:paraId="62BF9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AE0CB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1BB02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合计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66442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86670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3A4C9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B2873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947DF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7CED6">
            <w:pPr>
              <w:pStyle w:val="2"/>
              <w:spacing w:before="156"/>
              <w:ind w:left="0"/>
              <w:jc w:val="center"/>
              <w:rPr>
                <w:color w:val="000000"/>
              </w:rPr>
            </w:pPr>
          </w:p>
        </w:tc>
      </w:tr>
    </w:tbl>
    <w:p w14:paraId="7DDA3CF7">
      <w:pPr>
        <w:pStyle w:val="2"/>
        <w:spacing w:before="156"/>
        <w:ind w:left="0"/>
      </w:pPr>
    </w:p>
    <w:p w14:paraId="0BC2569D">
      <w:pPr>
        <w:pStyle w:val="2"/>
        <w:spacing w:before="156"/>
      </w:pPr>
    </w:p>
    <w:p w14:paraId="7904D6CD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190467F1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7936E6F3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33BD875A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6585C483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附表：</w:t>
      </w:r>
    </w:p>
    <w:p w14:paraId="719BFD6F">
      <w:pPr>
        <w:pStyle w:val="5"/>
      </w:pPr>
    </w:p>
    <w:p w14:paraId="1ADA49D8">
      <w:pPr>
        <w:spacing w:line="560" w:lineRule="exact"/>
        <w:jc w:val="center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公司业绩清单一览表</w:t>
      </w:r>
    </w:p>
    <w:tbl>
      <w:tblPr>
        <w:tblStyle w:val="9"/>
        <w:tblW w:w="94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528"/>
        <w:gridCol w:w="1395"/>
        <w:gridCol w:w="1638"/>
        <w:gridCol w:w="1064"/>
        <w:gridCol w:w="1431"/>
        <w:gridCol w:w="890"/>
      </w:tblGrid>
      <w:tr w14:paraId="049F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524" w:type="dxa"/>
            <w:vAlign w:val="center"/>
          </w:tcPr>
          <w:p w14:paraId="073442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28" w:type="dxa"/>
            <w:vAlign w:val="center"/>
          </w:tcPr>
          <w:p w14:paraId="49CCDA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395" w:type="dxa"/>
            <w:vAlign w:val="center"/>
          </w:tcPr>
          <w:p w14:paraId="7F79F1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项目委托方</w:t>
            </w:r>
          </w:p>
        </w:tc>
        <w:tc>
          <w:tcPr>
            <w:tcW w:w="1638" w:type="dxa"/>
            <w:vAlign w:val="center"/>
          </w:tcPr>
          <w:p w14:paraId="324201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合同日期</w:t>
            </w:r>
          </w:p>
        </w:tc>
        <w:tc>
          <w:tcPr>
            <w:tcW w:w="1064" w:type="dxa"/>
            <w:vAlign w:val="center"/>
          </w:tcPr>
          <w:p w14:paraId="44058E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合同价格（万元）</w:t>
            </w:r>
          </w:p>
        </w:tc>
        <w:tc>
          <w:tcPr>
            <w:tcW w:w="1431" w:type="dxa"/>
            <w:vAlign w:val="center"/>
          </w:tcPr>
          <w:p w14:paraId="7C053D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工作内容</w:t>
            </w:r>
          </w:p>
        </w:tc>
        <w:tc>
          <w:tcPr>
            <w:tcW w:w="890" w:type="dxa"/>
            <w:vAlign w:val="center"/>
          </w:tcPr>
          <w:p w14:paraId="732414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备注</w:t>
            </w:r>
          </w:p>
        </w:tc>
      </w:tr>
      <w:tr w14:paraId="7E21C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24" w:type="dxa"/>
            <w:vAlign w:val="center"/>
          </w:tcPr>
          <w:p w14:paraId="19B00A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2528" w:type="dxa"/>
            <w:vAlign w:val="center"/>
          </w:tcPr>
          <w:p w14:paraId="153499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395" w:type="dxa"/>
          </w:tcPr>
          <w:p w14:paraId="2B82FE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638" w:type="dxa"/>
          </w:tcPr>
          <w:p w14:paraId="744434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64" w:type="dxa"/>
          </w:tcPr>
          <w:p w14:paraId="71604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431" w:type="dxa"/>
          </w:tcPr>
          <w:p w14:paraId="170D57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890" w:type="dxa"/>
            <w:vAlign w:val="center"/>
          </w:tcPr>
          <w:p w14:paraId="247F0C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33B9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24" w:type="dxa"/>
            <w:vAlign w:val="center"/>
          </w:tcPr>
          <w:p w14:paraId="1103F2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2528" w:type="dxa"/>
            <w:vAlign w:val="center"/>
          </w:tcPr>
          <w:p w14:paraId="071625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395" w:type="dxa"/>
          </w:tcPr>
          <w:p w14:paraId="75A844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638" w:type="dxa"/>
          </w:tcPr>
          <w:p w14:paraId="1399C5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64" w:type="dxa"/>
          </w:tcPr>
          <w:p w14:paraId="491112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431" w:type="dxa"/>
          </w:tcPr>
          <w:p w14:paraId="1DA951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890" w:type="dxa"/>
            <w:vAlign w:val="center"/>
          </w:tcPr>
          <w:p w14:paraId="0FD455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32C71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24" w:type="dxa"/>
            <w:vAlign w:val="center"/>
          </w:tcPr>
          <w:p w14:paraId="2D258D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2528" w:type="dxa"/>
            <w:vAlign w:val="center"/>
          </w:tcPr>
          <w:p w14:paraId="67D1B6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395" w:type="dxa"/>
          </w:tcPr>
          <w:p w14:paraId="226138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638" w:type="dxa"/>
          </w:tcPr>
          <w:p w14:paraId="7BDA28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64" w:type="dxa"/>
          </w:tcPr>
          <w:p w14:paraId="2BF853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431" w:type="dxa"/>
          </w:tcPr>
          <w:p w14:paraId="0DC8D1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890" w:type="dxa"/>
            <w:vAlign w:val="center"/>
          </w:tcPr>
          <w:p w14:paraId="75BCCB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52A24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524" w:type="dxa"/>
            <w:vAlign w:val="center"/>
          </w:tcPr>
          <w:p w14:paraId="2784B001">
            <w:pPr>
              <w:tabs>
                <w:tab w:val="left" w:pos="426"/>
              </w:tabs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…</w:t>
            </w:r>
          </w:p>
        </w:tc>
        <w:tc>
          <w:tcPr>
            <w:tcW w:w="2528" w:type="dxa"/>
            <w:vAlign w:val="center"/>
          </w:tcPr>
          <w:p w14:paraId="259CB614">
            <w:pPr>
              <w:tabs>
                <w:tab w:val="left" w:pos="426"/>
              </w:tabs>
              <w:jc w:val="center"/>
              <w:rPr>
                <w:rFonts w:ascii="仿宋_GB2312" w:eastAsia="仿宋_GB2312"/>
              </w:rPr>
            </w:pPr>
          </w:p>
        </w:tc>
        <w:tc>
          <w:tcPr>
            <w:tcW w:w="1395" w:type="dxa"/>
          </w:tcPr>
          <w:p w14:paraId="2975ACFF">
            <w:pPr>
              <w:tabs>
                <w:tab w:val="left" w:pos="426"/>
              </w:tabs>
              <w:jc w:val="left"/>
              <w:rPr>
                <w:rFonts w:ascii="仿宋_GB2312" w:eastAsia="仿宋_GB2312"/>
              </w:rPr>
            </w:pPr>
          </w:p>
        </w:tc>
        <w:tc>
          <w:tcPr>
            <w:tcW w:w="1638" w:type="dxa"/>
          </w:tcPr>
          <w:p w14:paraId="59AACEED">
            <w:pPr>
              <w:tabs>
                <w:tab w:val="left" w:pos="426"/>
              </w:tabs>
              <w:jc w:val="left"/>
              <w:rPr>
                <w:rFonts w:ascii="仿宋_GB2312" w:eastAsia="仿宋_GB2312"/>
              </w:rPr>
            </w:pPr>
          </w:p>
        </w:tc>
        <w:tc>
          <w:tcPr>
            <w:tcW w:w="1064" w:type="dxa"/>
          </w:tcPr>
          <w:p w14:paraId="07CA22FD">
            <w:pPr>
              <w:tabs>
                <w:tab w:val="left" w:pos="426"/>
              </w:tabs>
              <w:jc w:val="left"/>
              <w:rPr>
                <w:rFonts w:ascii="仿宋_GB2312" w:eastAsia="仿宋_GB2312"/>
              </w:rPr>
            </w:pPr>
          </w:p>
        </w:tc>
        <w:tc>
          <w:tcPr>
            <w:tcW w:w="1431" w:type="dxa"/>
          </w:tcPr>
          <w:p w14:paraId="71B77E4D">
            <w:pPr>
              <w:tabs>
                <w:tab w:val="left" w:pos="426"/>
              </w:tabs>
              <w:jc w:val="left"/>
              <w:rPr>
                <w:rFonts w:ascii="仿宋_GB2312" w:eastAsia="仿宋_GB2312"/>
              </w:rPr>
            </w:pPr>
          </w:p>
        </w:tc>
        <w:tc>
          <w:tcPr>
            <w:tcW w:w="890" w:type="dxa"/>
            <w:vAlign w:val="center"/>
          </w:tcPr>
          <w:p w14:paraId="7E332BE2">
            <w:pPr>
              <w:tabs>
                <w:tab w:val="left" w:pos="426"/>
              </w:tabs>
              <w:jc w:val="left"/>
              <w:rPr>
                <w:rFonts w:ascii="仿宋_GB2312" w:eastAsia="仿宋_GB2312"/>
              </w:rPr>
            </w:pPr>
          </w:p>
        </w:tc>
      </w:tr>
    </w:tbl>
    <w:p w14:paraId="31AB9503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说明：附相关证明文件</w:t>
      </w:r>
    </w:p>
    <w:p w14:paraId="30F5D146">
      <w:pPr>
        <w:pStyle w:val="4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6814EC0A">
      <w:pPr>
        <w:pStyle w:val="4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（项目服务方案，格式自拟）</w:t>
      </w:r>
    </w:p>
    <w:p w14:paraId="52FB6DFC">
      <w:pPr>
        <w:pStyle w:val="4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（对本项目履约中存在的优势和服务效率做出说明，格式自拟）</w:t>
      </w:r>
    </w:p>
    <w:p w14:paraId="7928B428"/>
    <w:p w14:paraId="6A4F4AB2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p w14:paraId="1BD61E4A">
      <w:pPr>
        <w:pStyle w:val="4"/>
        <w:tabs>
          <w:tab w:val="left" w:pos="2138"/>
        </w:tabs>
        <w:snapToGrid w:val="0"/>
        <w:spacing w:before="312" w:beforeLines="100"/>
        <w:jc w:val="center"/>
        <w:outlineLvl w:val="2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bookmarkStart w:id="0" w:name="_Toc14056"/>
    </w:p>
    <w:p w14:paraId="3B139CDE">
      <w:pPr>
        <w:pStyle w:val="4"/>
        <w:tabs>
          <w:tab w:val="left" w:pos="2138"/>
        </w:tabs>
        <w:snapToGrid w:val="0"/>
        <w:spacing w:before="312" w:beforeLines="100"/>
        <w:jc w:val="center"/>
        <w:outlineLvl w:val="2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</w:p>
    <w:p w14:paraId="79A2389F">
      <w:pPr>
        <w:pStyle w:val="4"/>
        <w:tabs>
          <w:tab w:val="left" w:pos="2138"/>
        </w:tabs>
        <w:snapToGrid w:val="0"/>
        <w:spacing w:before="312" w:beforeLines="100"/>
        <w:jc w:val="center"/>
        <w:outlineLvl w:val="2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</w:p>
    <w:p w14:paraId="511A0D0D">
      <w:pPr>
        <w:pStyle w:val="4"/>
        <w:tabs>
          <w:tab w:val="left" w:pos="2138"/>
        </w:tabs>
        <w:snapToGrid w:val="0"/>
        <w:spacing w:before="312" w:beforeLines="100"/>
        <w:outlineLvl w:val="2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附件2：</w:t>
      </w:r>
    </w:p>
    <w:p w14:paraId="2D1B8926">
      <w:pPr>
        <w:pStyle w:val="4"/>
        <w:tabs>
          <w:tab w:val="left" w:pos="2138"/>
        </w:tabs>
        <w:snapToGrid w:val="0"/>
        <w:spacing w:before="312" w:beforeLines="100"/>
        <w:jc w:val="center"/>
        <w:outlineLvl w:val="2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评分细则表</w:t>
      </w:r>
      <w:bookmarkEnd w:id="0"/>
    </w:p>
    <w:tbl>
      <w:tblPr>
        <w:tblStyle w:val="9"/>
        <w:tblpPr w:leftFromText="180" w:rightFromText="180" w:vertAnchor="text" w:horzAnchor="margin" w:tblpXSpec="center" w:tblpY="346"/>
        <w:tblW w:w="93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20" w:type="dxa"/>
          <w:left w:w="108" w:type="dxa"/>
          <w:bottom w:w="20" w:type="dxa"/>
          <w:right w:w="108" w:type="dxa"/>
        </w:tblCellMar>
      </w:tblPr>
      <w:tblGrid>
        <w:gridCol w:w="680"/>
        <w:gridCol w:w="680"/>
        <w:gridCol w:w="2835"/>
        <w:gridCol w:w="681"/>
        <w:gridCol w:w="4480"/>
      </w:tblGrid>
      <w:tr w14:paraId="3F0A32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67FA5A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1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2737A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评分项</w:t>
            </w:r>
          </w:p>
        </w:tc>
        <w:tc>
          <w:tcPr>
            <w:tcW w:w="4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F00366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</w:tr>
      <w:tr w14:paraId="11EF51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2F2424F8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4178E2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价格</w:t>
            </w:r>
          </w:p>
        </w:tc>
        <w:tc>
          <w:tcPr>
            <w:tcW w:w="4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07AD30">
            <w:pPr>
              <w:wordWrap w:val="0"/>
              <w:jc w:val="center"/>
              <w:rPr>
                <w:rFonts w:ascii="Calibri" w:hAnsi="Calibri" w:eastAsia="宋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 w14:paraId="518703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3A095F49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AFB0C5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6DC2E8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评分因素</w:t>
            </w:r>
          </w:p>
        </w:tc>
        <w:tc>
          <w:tcPr>
            <w:tcW w:w="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23138B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  <w:tc>
          <w:tcPr>
            <w:tcW w:w="4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508984">
            <w:pPr>
              <w:wordWrap w:val="0"/>
              <w:jc w:val="center"/>
              <w:rPr>
                <w:rFonts w:ascii="Calibri" w:hAnsi="Calibri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评分准则</w:t>
            </w:r>
          </w:p>
        </w:tc>
      </w:tr>
      <w:tr w14:paraId="7516B1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16892A30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29D575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2141D5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</w:t>
            </w:r>
          </w:p>
        </w:tc>
        <w:tc>
          <w:tcPr>
            <w:tcW w:w="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5C45EF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5EDFC0">
            <w:pPr>
              <w:widowControl/>
              <w:spacing w:line="240" w:lineRule="exact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采用低价优先法计算。</w:t>
            </w:r>
          </w:p>
          <w:p w14:paraId="2943F056">
            <w:pPr>
              <w:widowControl/>
              <w:spacing w:line="240" w:lineRule="exact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满足询价函要求且最低报价为评审基准价，其</w:t>
            </w:r>
          </w:p>
          <w:p w14:paraId="5C2890C5">
            <w:pPr>
              <w:widowControl/>
              <w:spacing w:line="240" w:lineRule="exact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价格分为满分。其他报价单位的价格分统一按</w:t>
            </w:r>
          </w:p>
          <w:p w14:paraId="50E9B3E9">
            <w:pPr>
              <w:widowControl/>
              <w:spacing w:line="240" w:lineRule="exact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照下列公式计算：</w:t>
            </w:r>
          </w:p>
          <w:p w14:paraId="2F5933D6">
            <w:pPr>
              <w:widowControl/>
              <w:jc w:val="left"/>
              <w:rPr>
                <w:rFonts w:ascii="Calibri" w:hAnsi="Calibri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报价得分=(评审基准价／报价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×40</w:t>
            </w:r>
          </w:p>
        </w:tc>
      </w:tr>
      <w:tr w14:paraId="15A20C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00FAF0AC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1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119E7F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技术部分</w:t>
            </w:r>
          </w:p>
        </w:tc>
        <w:tc>
          <w:tcPr>
            <w:tcW w:w="4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481425">
            <w:pPr>
              <w:wordWrap w:val="0"/>
              <w:jc w:val="center"/>
              <w:rPr>
                <w:rFonts w:ascii="Calibri" w:hAnsi="Calibri" w:eastAsia="宋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 w14:paraId="527616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5671F9BE">
            <w:pP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59CF501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2655FAE6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评分因素</w:t>
            </w:r>
          </w:p>
        </w:tc>
        <w:tc>
          <w:tcPr>
            <w:tcW w:w="68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64B08EE3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  <w:tc>
          <w:tcPr>
            <w:tcW w:w="44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5111490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评分准则</w:t>
            </w:r>
          </w:p>
        </w:tc>
      </w:tr>
      <w:tr w14:paraId="35AC6F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74F1853F">
            <w:pP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06C1184">
            <w:pPr>
              <w:wordWrap w:val="0"/>
              <w:jc w:val="center"/>
              <w:rPr>
                <w:rFonts w:ascii="Calibri" w:hAnsi="Calibri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4986564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策划</w:t>
            </w: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方案</w:t>
            </w:r>
          </w:p>
        </w:tc>
        <w:tc>
          <w:tcPr>
            <w:tcW w:w="68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52A00B8">
            <w:pPr>
              <w:wordWrap w:val="0"/>
              <w:jc w:val="center"/>
              <w:rPr>
                <w:rFonts w:ascii="Calibri" w:hAnsi="Calibri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4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14:paraId="22EE982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（一）评审内容：</w:t>
            </w:r>
          </w:p>
          <w:p w14:paraId="08C585EA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项目整体申购礼品及暖场活动思路，包括但不限于申购礼品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选品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、交付保证、售后方案、暖场活动方案、活动风险预案等（格式自拟）。</w:t>
            </w:r>
          </w:p>
          <w:p w14:paraId="6033C6E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（二）评审标准：</w:t>
            </w:r>
          </w:p>
          <w:p w14:paraId="02F516E8">
            <w:pPr>
              <w:wordWrap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专家根据内容合理性评分。</w:t>
            </w:r>
          </w:p>
          <w:p w14:paraId="2D8E9ED6">
            <w:pPr>
              <w:wordWrap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优评分标准：方案符合实际、完整、规范、思路清晰，内容合理性强。 </w:t>
            </w:r>
          </w:p>
          <w:p w14:paraId="6699B569">
            <w:pPr>
              <w:wordWrap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良评分标准：方案较符合实际、较完整规范、思路较清晰，内容合理性较强。 </w:t>
            </w:r>
          </w:p>
          <w:p w14:paraId="276F44E8">
            <w:pPr>
              <w:wordWrap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中评分标准：方案较普通、完整性规范性一般，思路不够清晰，内容合理性一般。 </w:t>
            </w:r>
          </w:p>
          <w:p w14:paraId="464B1B94">
            <w:pPr>
              <w:wordWrap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差评分标准方案：不完整、不规范，思路不清晰，内容合理性较差或未提供。 </w:t>
            </w:r>
          </w:p>
          <w:p w14:paraId="1A6835FC">
            <w:pPr>
              <w:wordWrap w:val="0"/>
            </w:pPr>
            <w:r>
              <w:rPr>
                <w:rFonts w:hint="eastAsia"/>
              </w:rPr>
              <w:t>评价为优得40分</w:t>
            </w:r>
          </w:p>
          <w:p w14:paraId="09D80291">
            <w:pPr>
              <w:wordWrap w:val="0"/>
            </w:pPr>
            <w:r>
              <w:rPr>
                <w:rFonts w:hint="eastAsia"/>
              </w:rPr>
              <w:t>评价为良得30分</w:t>
            </w:r>
          </w:p>
          <w:p w14:paraId="0B2D2BA0">
            <w:pPr>
              <w:wordWrap w:val="0"/>
            </w:pPr>
            <w:r>
              <w:rPr>
                <w:rFonts w:hint="eastAsia"/>
              </w:rPr>
              <w:t>评价为中得20分</w:t>
            </w:r>
          </w:p>
          <w:p w14:paraId="1A0C4D01">
            <w:pPr>
              <w:wordWrap w:val="0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评价为差不得分</w:t>
            </w:r>
          </w:p>
        </w:tc>
      </w:tr>
      <w:tr w14:paraId="4B9580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4D769818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1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D335FA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综合实力部分</w:t>
            </w:r>
          </w:p>
        </w:tc>
        <w:tc>
          <w:tcPr>
            <w:tcW w:w="4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873551">
            <w:pPr>
              <w:wordWrap w:val="0"/>
              <w:jc w:val="center"/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689387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5564E9FA">
            <w:pP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88B6C3A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83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7E2F9BBE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评分因素</w:t>
            </w:r>
          </w:p>
        </w:tc>
        <w:tc>
          <w:tcPr>
            <w:tcW w:w="68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3BFFCF71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权重</w:t>
            </w:r>
          </w:p>
        </w:tc>
        <w:tc>
          <w:tcPr>
            <w:tcW w:w="44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 w14:paraId="4A3EB2A8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评分准则</w:t>
            </w:r>
          </w:p>
        </w:tc>
      </w:tr>
      <w:tr w14:paraId="454B32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0095D8C5">
            <w:pP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A89494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8B4F0F">
            <w:pPr>
              <w:widowControl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同类业绩</w:t>
            </w:r>
          </w:p>
        </w:tc>
        <w:tc>
          <w:tcPr>
            <w:tcW w:w="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0AE348">
            <w:pPr>
              <w:wordWrap w:val="0"/>
              <w:jc w:val="center"/>
              <w:rPr>
                <w:rFonts w:ascii="Calibri" w:hAnsi="Calibri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970D6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（一）评审标准： </w:t>
            </w:r>
          </w:p>
          <w:p w14:paraId="0743AE31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2021年1月1日至今具有</w:t>
            </w:r>
            <w:r>
              <w:rPr>
                <w:rFonts w:hint="eastAsia" w:cs="Times New Roman"/>
              </w:rPr>
              <w:t>同类</w:t>
            </w:r>
            <w:r>
              <w:rPr>
                <w:rFonts w:hint="eastAsia" w:ascii="Times New Roman" w:hAnsi="Times New Roman" w:eastAsia="宋体" w:cs="Times New Roman"/>
              </w:rPr>
              <w:t>项目业绩，每项得2分，低于2项不得分。</w:t>
            </w:r>
          </w:p>
          <w:p w14:paraId="66816844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（二）证明文件： </w:t>
            </w:r>
          </w:p>
          <w:p w14:paraId="3FE21571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提供项目合同复印件。未提供或提供的不符 </w:t>
            </w:r>
          </w:p>
          <w:p w14:paraId="412263FA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合或提供不清晰导致专家无法判断的均不 </w:t>
            </w:r>
          </w:p>
          <w:p w14:paraId="001F9B3A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得分。 </w:t>
            </w:r>
          </w:p>
        </w:tc>
      </w:tr>
      <w:tr w14:paraId="753108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0" w:type="dxa"/>
            <w:left w:w="108" w:type="dxa"/>
            <w:bottom w:w="20" w:type="dxa"/>
            <w:right w:w="108" w:type="dxa"/>
          </w:tblCellMar>
        </w:tblPrEx>
        <w:trPr>
          <w:jc w:val="center"/>
        </w:trPr>
        <w:tc>
          <w:tcPr>
            <w:tcW w:w="68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F80C29">
            <w:pPr>
              <w:rPr>
                <w:rFonts w:ascii="Calibri" w:hAnsi="Calibri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02B7EC">
            <w:pPr>
              <w:wordWrap w:val="0"/>
              <w:jc w:val="center"/>
              <w:rPr>
                <w:rFonts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66EE3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Cs w:val="21"/>
              </w:rPr>
              <w:t>履约质效</w:t>
            </w:r>
          </w:p>
        </w:tc>
        <w:tc>
          <w:tcPr>
            <w:tcW w:w="6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AECFE9">
            <w:pPr>
              <w:wordWrap w:val="0"/>
              <w:spacing w:line="240" w:lineRule="exact"/>
              <w:jc w:val="center"/>
              <w:rPr>
                <w:rFonts w:ascii="Calibri" w:hAnsi="Calibri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0F0BED">
            <w:pPr>
              <w:widowControl/>
              <w:numPr>
                <w:ilvl w:val="0"/>
                <w:numId w:val="2"/>
              </w:numPr>
              <w:spacing w:line="24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评审标准：</w:t>
            </w:r>
          </w:p>
          <w:p w14:paraId="0319AF92"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对本项目履约中存在的优势和服务效率做出说明，例如公司资源调度、团队配置、技术优势、服务效率、应急响应等。</w:t>
            </w:r>
          </w:p>
          <w:p w14:paraId="07F80033"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根据内容合理性评分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评价为优得</w:t>
            </w:r>
            <w:r>
              <w:rPr>
                <w:rFonts w:hint="eastAsia" w:ascii="宋体" w:hAnsi="宋体" w:cs="宋体"/>
                <w:szCs w:val="21"/>
              </w:rPr>
              <w:t>8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评价为良得</w:t>
            </w:r>
            <w:r>
              <w:rPr>
                <w:rFonts w:hint="eastAsia" w:ascii="宋体" w:hAnsi="宋体" w:cs="宋体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评价为中得</w:t>
            </w:r>
            <w:r>
              <w:rPr>
                <w:rFonts w:hint="eastAsia" w:ascii="宋体" w:hAnsi="宋体" w:cs="宋体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szCs w:val="21"/>
              </w:rPr>
              <w:t>分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评价为差</w:t>
            </w:r>
            <w:r>
              <w:rPr>
                <w:rFonts w:hint="eastAsia" w:ascii="宋体" w:hAnsi="宋体" w:cs="宋体"/>
                <w:szCs w:val="21"/>
              </w:rPr>
              <w:t>及</w:t>
            </w:r>
            <w:r>
              <w:rPr>
                <w:rFonts w:hint="eastAsia" w:ascii="宋体" w:hAnsi="宋体" w:eastAsia="宋体" w:cs="宋体"/>
                <w:szCs w:val="21"/>
              </w:rPr>
              <w:t>未提供响应方案不得分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  <w:p w14:paraId="3BA4E15C">
            <w:pPr>
              <w:pStyle w:val="14"/>
              <w:spacing w:line="240" w:lineRule="exact"/>
            </w:pPr>
            <w:r>
              <w:rPr>
                <w:rFonts w:hint="eastAsia"/>
              </w:rPr>
              <w:t>优评分标准：优势符合实际、对项目履约影响大。</w:t>
            </w:r>
          </w:p>
          <w:p w14:paraId="46F1BD73">
            <w:pPr>
              <w:pStyle w:val="14"/>
              <w:spacing w:line="240" w:lineRule="exact"/>
            </w:pPr>
            <w:r>
              <w:rPr>
                <w:rFonts w:hint="eastAsia"/>
              </w:rPr>
              <w:t>良评分标准：优势较符合实际、对项目履约影响较大。</w:t>
            </w:r>
          </w:p>
          <w:p w14:paraId="77D3FDA2">
            <w:pPr>
              <w:pStyle w:val="14"/>
              <w:spacing w:line="240" w:lineRule="exact"/>
            </w:pPr>
            <w:r>
              <w:rPr>
                <w:rFonts w:hint="eastAsia"/>
              </w:rPr>
              <w:t>中评分标准：优势较普通、对项目履约影响一般。</w:t>
            </w:r>
          </w:p>
          <w:p w14:paraId="7D7AEAE2">
            <w:pPr>
              <w:pStyle w:val="14"/>
              <w:spacing w:line="240" w:lineRule="exact"/>
            </w:pPr>
            <w:r>
              <w:rPr>
                <w:rFonts w:hint="eastAsia"/>
              </w:rPr>
              <w:t>差评分标准：优势对项目履约影响极小。</w:t>
            </w:r>
          </w:p>
          <w:p w14:paraId="6E46DFEC"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（二）证明文件： </w:t>
            </w:r>
          </w:p>
          <w:p w14:paraId="76322339">
            <w:pPr>
              <w:widowControl/>
              <w:spacing w:line="240" w:lineRule="exact"/>
              <w:jc w:val="left"/>
              <w:rPr>
                <w:rFonts w:eastAsia="宋体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有效期内的资质证明文件。</w:t>
            </w:r>
          </w:p>
        </w:tc>
      </w:tr>
    </w:tbl>
    <w:p w14:paraId="61A51B08">
      <w:pPr>
        <w:pStyle w:val="4"/>
        <w:tabs>
          <w:tab w:val="left" w:pos="2138"/>
        </w:tabs>
        <w:spacing w:before="7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E938C6E">
      <w:pPr>
        <w:pStyle w:val="4"/>
        <w:tabs>
          <w:tab w:val="left" w:pos="2138"/>
        </w:tabs>
        <w:spacing w:before="7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备注： </w:t>
      </w:r>
    </w:p>
    <w:p w14:paraId="0C40F5E4"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每一项的得分均不能超过该项最高分值。</w:t>
      </w:r>
    </w:p>
    <w:p w14:paraId="0D475820">
      <w:pPr>
        <w:spacing w:line="360" w:lineRule="auto"/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缺项则该项为 0 分或不合格为 0 分。 </w:t>
      </w:r>
    </w:p>
    <w:p w14:paraId="7DB0B6A1">
      <w:pPr>
        <w:pStyle w:val="4"/>
        <w:ind w:firstLine="48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3.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客观评分项，所有评审专家应当统一打分分值；主观评分项，评审专家应当按照打分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标准进行评分。</w:t>
      </w:r>
    </w:p>
    <w:p w14:paraId="15C50FDE"/>
    <w:p w14:paraId="36B2A03C">
      <w:pPr>
        <w:spacing w:line="560" w:lineRule="exact"/>
        <w:jc w:val="left"/>
        <w:rPr>
          <w:rFonts w:hint="eastAsia" w:ascii="仿宋" w:hAnsi="仿宋" w:eastAsia="仿宋" w:cs="仿宋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B0EA9F"/>
    <w:multiLevelType w:val="singleLevel"/>
    <w:tmpl w:val="91B0EA9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ADE2D38"/>
    <w:multiLevelType w:val="singleLevel"/>
    <w:tmpl w:val="1ADE2D3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ZWY1M2E1NmVlNDVhOGJiZmFkYzMyZDNiMTNhZDEifQ=="/>
  </w:docVars>
  <w:rsids>
    <w:rsidRoot w:val="14F87D44"/>
    <w:rsid w:val="000B71AE"/>
    <w:rsid w:val="00117400"/>
    <w:rsid w:val="001C311A"/>
    <w:rsid w:val="001C69E7"/>
    <w:rsid w:val="002C6D4F"/>
    <w:rsid w:val="002F52B6"/>
    <w:rsid w:val="003842E2"/>
    <w:rsid w:val="00462485"/>
    <w:rsid w:val="00523B7D"/>
    <w:rsid w:val="005A5966"/>
    <w:rsid w:val="005C3965"/>
    <w:rsid w:val="00662D4F"/>
    <w:rsid w:val="006B586F"/>
    <w:rsid w:val="00847CD7"/>
    <w:rsid w:val="00996E87"/>
    <w:rsid w:val="00A4721E"/>
    <w:rsid w:val="00AB4C74"/>
    <w:rsid w:val="00B432B8"/>
    <w:rsid w:val="00B50417"/>
    <w:rsid w:val="00D007A9"/>
    <w:rsid w:val="00E21D5A"/>
    <w:rsid w:val="00E4694F"/>
    <w:rsid w:val="00FD6A80"/>
    <w:rsid w:val="00FE1243"/>
    <w:rsid w:val="02F07E01"/>
    <w:rsid w:val="034F7943"/>
    <w:rsid w:val="043F0BEF"/>
    <w:rsid w:val="052B7F07"/>
    <w:rsid w:val="06F6759D"/>
    <w:rsid w:val="09DD2855"/>
    <w:rsid w:val="0DE7375C"/>
    <w:rsid w:val="0E4E1622"/>
    <w:rsid w:val="0F8F124B"/>
    <w:rsid w:val="11280DAA"/>
    <w:rsid w:val="11B14404"/>
    <w:rsid w:val="11CE23C8"/>
    <w:rsid w:val="12542436"/>
    <w:rsid w:val="142E2566"/>
    <w:rsid w:val="14422006"/>
    <w:rsid w:val="14F87D44"/>
    <w:rsid w:val="155A0C25"/>
    <w:rsid w:val="17B40D82"/>
    <w:rsid w:val="17C06A28"/>
    <w:rsid w:val="18290170"/>
    <w:rsid w:val="1858745C"/>
    <w:rsid w:val="18C354F3"/>
    <w:rsid w:val="18DBB072"/>
    <w:rsid w:val="1A335B66"/>
    <w:rsid w:val="1AC15DB2"/>
    <w:rsid w:val="1B762CF0"/>
    <w:rsid w:val="1F1060F7"/>
    <w:rsid w:val="22603DB2"/>
    <w:rsid w:val="23451001"/>
    <w:rsid w:val="27A9485A"/>
    <w:rsid w:val="2971660D"/>
    <w:rsid w:val="29F8067F"/>
    <w:rsid w:val="305A0378"/>
    <w:rsid w:val="30C62991"/>
    <w:rsid w:val="30C74D94"/>
    <w:rsid w:val="3147146F"/>
    <w:rsid w:val="31C122DE"/>
    <w:rsid w:val="323B596D"/>
    <w:rsid w:val="32CD1FA6"/>
    <w:rsid w:val="33BF58CC"/>
    <w:rsid w:val="34E45D5E"/>
    <w:rsid w:val="357B043D"/>
    <w:rsid w:val="36777960"/>
    <w:rsid w:val="37826121"/>
    <w:rsid w:val="39893452"/>
    <w:rsid w:val="3ACC7DDF"/>
    <w:rsid w:val="3B7CBFDD"/>
    <w:rsid w:val="3BFC14B6"/>
    <w:rsid w:val="3BFEFF5E"/>
    <w:rsid w:val="3C497CAC"/>
    <w:rsid w:val="3C7921E9"/>
    <w:rsid w:val="3F171845"/>
    <w:rsid w:val="3F1B5420"/>
    <w:rsid w:val="3FDD0DD5"/>
    <w:rsid w:val="3FF57181"/>
    <w:rsid w:val="41870FCB"/>
    <w:rsid w:val="42085A5F"/>
    <w:rsid w:val="45F97EF6"/>
    <w:rsid w:val="46E62229"/>
    <w:rsid w:val="47C048BA"/>
    <w:rsid w:val="4AD06454"/>
    <w:rsid w:val="4B81448E"/>
    <w:rsid w:val="4ECF7844"/>
    <w:rsid w:val="4FDF48D9"/>
    <w:rsid w:val="50000D3F"/>
    <w:rsid w:val="54C1532E"/>
    <w:rsid w:val="558F2602"/>
    <w:rsid w:val="565F5B54"/>
    <w:rsid w:val="56B279BB"/>
    <w:rsid w:val="590F5B0B"/>
    <w:rsid w:val="591F0784"/>
    <w:rsid w:val="5B215ACE"/>
    <w:rsid w:val="5FBC8F17"/>
    <w:rsid w:val="67C95523"/>
    <w:rsid w:val="69B456C5"/>
    <w:rsid w:val="6ABA3303"/>
    <w:rsid w:val="6B034790"/>
    <w:rsid w:val="6BD25B2D"/>
    <w:rsid w:val="6CA91516"/>
    <w:rsid w:val="6E3A2BFE"/>
    <w:rsid w:val="728D38D3"/>
    <w:rsid w:val="73561597"/>
    <w:rsid w:val="73E52352"/>
    <w:rsid w:val="74E136AB"/>
    <w:rsid w:val="78986F77"/>
    <w:rsid w:val="7A41593D"/>
    <w:rsid w:val="7B2A31C6"/>
    <w:rsid w:val="7B752F0F"/>
    <w:rsid w:val="7E3323B4"/>
    <w:rsid w:val="7E7F70EE"/>
    <w:rsid w:val="7F7933BE"/>
    <w:rsid w:val="9BFA9D9F"/>
    <w:rsid w:val="9EAF1AE8"/>
    <w:rsid w:val="9EDC0A33"/>
    <w:rsid w:val="9FAE61E7"/>
    <w:rsid w:val="AFF578B4"/>
    <w:rsid w:val="B1D717EA"/>
    <w:rsid w:val="B5EF6A08"/>
    <w:rsid w:val="BB7F8371"/>
    <w:rsid w:val="DF570F92"/>
    <w:rsid w:val="EBB46E10"/>
    <w:rsid w:val="ECDE98E1"/>
    <w:rsid w:val="EDFF49D3"/>
    <w:rsid w:val="F7A73DA6"/>
    <w:rsid w:val="FFFE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next w:val="1"/>
    <w:qFormat/>
    <w:uiPriority w:val="99"/>
    <w:pPr>
      <w:spacing w:beforeLines="50" w:after="156" w:line="240" w:lineRule="atLeast"/>
      <w:ind w:left="425"/>
    </w:pPr>
    <w:rPr>
      <w:rFonts w:eastAsia="仿宋_GB2312"/>
      <w:sz w:val="24"/>
    </w:rPr>
  </w:style>
  <w:style w:type="paragraph" w:styleId="3">
    <w:name w:val="index 8"/>
    <w:basedOn w:val="1"/>
    <w:next w:val="1"/>
    <w:semiHidden/>
    <w:qFormat/>
    <w:uiPriority w:val="0"/>
    <w:pPr>
      <w:ind w:left="1680" w:hanging="210"/>
      <w:jc w:val="left"/>
    </w:pPr>
    <w:rPr>
      <w:rFonts w:ascii="Times New Roman" w:hAnsi="Times New Roman" w:eastAsia="宋体" w:cs="Times New Roman"/>
      <w:sz w:val="20"/>
      <w:szCs w:val="20"/>
    </w:rPr>
  </w:style>
  <w:style w:type="paragraph" w:styleId="4">
    <w:name w:val="Body Text"/>
    <w:basedOn w:val="1"/>
    <w:autoRedefine/>
    <w:qFormat/>
    <w:uiPriority w:val="0"/>
    <w:pPr>
      <w:spacing w:line="360" w:lineRule="auto"/>
    </w:pPr>
    <w:rPr>
      <w:rFonts w:ascii="Times New Roman" w:hAnsi="Times New Roman"/>
      <w:b/>
      <w:bCs/>
      <w:sz w:val="24"/>
    </w:rPr>
  </w:style>
  <w:style w:type="paragraph" w:styleId="5">
    <w:name w:val="Plain Text"/>
    <w:basedOn w:val="1"/>
    <w:next w:val="3"/>
    <w:qFormat/>
    <w:uiPriority w:val="99"/>
    <w:rPr>
      <w:rFonts w:ascii="宋体" w:hAnsi="Courier New" w:eastAsia="宋体" w:cs="Times New Roman"/>
      <w:kern w:val="0"/>
      <w:sz w:val="20"/>
      <w:szCs w:val="20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6"/>
    <w:qFormat/>
    <w:uiPriority w:val="0"/>
    <w:rPr>
      <w:kern w:val="2"/>
      <w:sz w:val="18"/>
      <w:szCs w:val="18"/>
    </w:rPr>
  </w:style>
  <w:style w:type="paragraph" w:customStyle="1" w:styleId="14">
    <w:name w:val="非政府正文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2569</Words>
  <Characters>2698</Characters>
  <Lines>20</Lines>
  <Paragraphs>5</Paragraphs>
  <TotalTime>7</TotalTime>
  <ScaleCrop>false</ScaleCrop>
  <LinksUpToDate>false</LinksUpToDate>
  <CharactersWithSpaces>2730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2022-09-21T10:57:00Z</dcterms:created>
  <dc:creator>Administrator</dc:creator>
  <cp:lastModifiedBy>马捷</cp:lastModifiedBy>
  <dcterms:modified xsi:type="dcterms:W3CDTF">2026-09-11T02:13:26Z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DD177AD95B364DBA851FD476A19BC823_13</vt:lpwstr>
  </property>
  <property fmtid="{D5CDD505-2E9C-101B-9397-08002B2CF9AE}" pid="4" name="KSOTemplateDocerSaveRecord">
    <vt:lpwstr>eyJoZGlkIjoiNDkxOWJjNjRiZWM0MDFmNTUxYmEyMzBjYmE3MzUxNmEiLCJ1c2VySWQiOiI1ODUxNDc1NjcifQ==</vt:lpwstr>
  </property>
</Properties>
</file>