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58A13">
      <w:pPr>
        <w:pStyle w:val="12"/>
        <w:ind w:left="0" w:leftChars="0" w:firstLineChars="0"/>
        <w:jc w:val="center"/>
        <w:rPr>
          <w:rFonts w:hint="eastAsia" w:ascii="新宋体" w:hAnsi="新宋体" w:eastAsia="新宋体"/>
          <w:b/>
          <w:color w:val="auto"/>
          <w:sz w:val="44"/>
          <w:szCs w:val="44"/>
          <w:highlight w:val="none"/>
        </w:rPr>
      </w:pPr>
      <w:bookmarkStart w:id="0" w:name="OLE_LINK1"/>
    </w:p>
    <w:p w14:paraId="36F5C832">
      <w:pPr>
        <w:rPr>
          <w:color w:val="auto"/>
          <w:highlight w:val="none"/>
        </w:rPr>
      </w:pPr>
    </w:p>
    <w:p w14:paraId="13BE31BE">
      <w:pPr>
        <w:spacing w:before="156" w:beforeLines="50" w:after="156" w:afterLines="50" w:line="360" w:lineRule="auto"/>
        <w:ind w:left="-850" w:leftChars="-405" w:right="-624"/>
        <w:jc w:val="center"/>
        <w:rPr>
          <w:rFonts w:hint="eastAsia" w:ascii="新宋体" w:hAnsi="新宋体" w:eastAsia="新宋体"/>
          <w:b/>
          <w:color w:val="auto"/>
          <w:sz w:val="40"/>
          <w:szCs w:val="40"/>
          <w:highlight w:val="none"/>
        </w:rPr>
      </w:pPr>
      <w:r>
        <w:rPr>
          <w:rFonts w:hint="eastAsia" w:ascii="新宋体" w:hAnsi="新宋体" w:eastAsia="新宋体"/>
          <w:b/>
          <w:color w:val="auto"/>
          <w:sz w:val="48"/>
          <w:szCs w:val="48"/>
          <w:highlight w:val="none"/>
        </w:rPr>
        <w:t>滁州市自来水有限公司2026年钢制焊接法兰、法兰盲板及配套标准紧固件年度供应商招标采购</w:t>
      </w:r>
    </w:p>
    <w:p w14:paraId="35F1C597">
      <w:pPr>
        <w:spacing w:before="156" w:beforeLines="50" w:after="156" w:afterLines="50"/>
        <w:ind w:left="-850" w:leftChars="-405" w:right="-625"/>
        <w:jc w:val="center"/>
        <w:rPr>
          <w:rFonts w:hint="eastAsia" w:ascii="新宋体" w:hAnsi="新宋体" w:eastAsia="新宋体"/>
          <w:b/>
          <w:color w:val="auto"/>
          <w:sz w:val="40"/>
          <w:szCs w:val="40"/>
          <w:highlight w:val="none"/>
        </w:rPr>
      </w:pPr>
    </w:p>
    <w:p w14:paraId="706B0E10">
      <w:pPr>
        <w:spacing w:before="156" w:beforeLines="50" w:after="156" w:afterLines="50" w:line="480" w:lineRule="auto"/>
        <w:ind w:left="-850" w:leftChars="-405" w:right="-625"/>
        <w:jc w:val="center"/>
        <w:rPr>
          <w:rFonts w:hint="eastAsia" w:ascii="宋体" w:hAnsi="宋体"/>
          <w:color w:val="auto"/>
          <w:sz w:val="40"/>
          <w:szCs w:val="36"/>
          <w:highlight w:val="none"/>
        </w:rPr>
      </w:pPr>
      <w:r>
        <w:rPr>
          <w:rFonts w:hint="eastAsia" w:ascii="宋体" w:hAnsi="宋体"/>
          <w:color w:val="auto"/>
          <w:sz w:val="40"/>
          <w:szCs w:val="36"/>
          <w:highlight w:val="none"/>
        </w:rPr>
        <w:t>（电子招标投标）</w:t>
      </w:r>
    </w:p>
    <w:p w14:paraId="2B947221">
      <w:pPr>
        <w:pStyle w:val="12"/>
        <w:spacing w:line="480" w:lineRule="auto"/>
        <w:ind w:left="0" w:leftChars="0" w:firstLine="2880" w:firstLineChars="1200"/>
        <w:rPr>
          <w:rFonts w:hint="default" w:eastAsia="宋体"/>
          <w:color w:val="auto"/>
          <w:sz w:val="24"/>
          <w:highlight w:val="none"/>
          <w:lang w:val="en-US" w:eastAsia="zh-CN"/>
        </w:rPr>
      </w:pPr>
      <w:r>
        <w:rPr>
          <w:rFonts w:hint="eastAsia"/>
          <w:color w:val="auto"/>
          <w:sz w:val="24"/>
          <w:highlight w:val="none"/>
        </w:rPr>
        <w:t>项目编号：czsjqt202608-</w:t>
      </w:r>
      <w:r>
        <w:rPr>
          <w:rFonts w:hint="eastAsia"/>
          <w:color w:val="auto"/>
          <w:sz w:val="24"/>
          <w:highlight w:val="none"/>
          <w:lang w:val="en-US" w:eastAsia="zh-CN"/>
        </w:rPr>
        <w:t>017</w:t>
      </w:r>
    </w:p>
    <w:p w14:paraId="5A46434C">
      <w:pPr>
        <w:pStyle w:val="52"/>
        <w:ind w:firstLine="0" w:firstLineChars="0"/>
        <w:rPr>
          <w:color w:val="auto"/>
          <w:highlight w:val="none"/>
        </w:rPr>
      </w:pPr>
    </w:p>
    <w:p w14:paraId="2522ADF8">
      <w:pPr>
        <w:pStyle w:val="52"/>
        <w:ind w:firstLine="480"/>
        <w:rPr>
          <w:color w:val="auto"/>
          <w:highlight w:val="none"/>
        </w:rPr>
      </w:pPr>
    </w:p>
    <w:p w14:paraId="7166B834">
      <w:pPr>
        <w:rPr>
          <w:rFonts w:ascii="宋体"/>
          <w:bCs/>
          <w:color w:val="auto"/>
          <w:szCs w:val="21"/>
          <w:highlight w:val="none"/>
        </w:rPr>
      </w:pPr>
    </w:p>
    <w:p w14:paraId="596D9607">
      <w:pPr>
        <w:spacing w:line="312" w:lineRule="auto"/>
        <w:jc w:val="center"/>
        <w:rPr>
          <w:rFonts w:hint="eastAsia" w:ascii="宋体" w:hAnsi="宋体"/>
          <w:b/>
          <w:color w:val="auto"/>
          <w:sz w:val="84"/>
          <w:szCs w:val="84"/>
          <w:highlight w:val="none"/>
        </w:rPr>
      </w:pPr>
      <w:r>
        <w:rPr>
          <w:rFonts w:hint="eastAsia" w:ascii="宋体" w:hAnsi="宋体"/>
          <w:b/>
          <w:color w:val="auto"/>
          <w:sz w:val="84"/>
          <w:szCs w:val="84"/>
          <w:highlight w:val="none"/>
        </w:rPr>
        <w:t>招 标 文 件</w:t>
      </w:r>
    </w:p>
    <w:p w14:paraId="7875971E">
      <w:pPr>
        <w:rPr>
          <w:rFonts w:ascii="宋体"/>
          <w:bCs/>
          <w:color w:val="auto"/>
          <w:szCs w:val="21"/>
          <w:highlight w:val="none"/>
        </w:rPr>
      </w:pPr>
    </w:p>
    <w:p w14:paraId="08F7FA0F">
      <w:pPr>
        <w:rPr>
          <w:rFonts w:hint="eastAsia" w:ascii="宋体" w:hAnsi="宋体"/>
          <w:b/>
          <w:color w:val="auto"/>
          <w:sz w:val="84"/>
          <w:szCs w:val="84"/>
          <w:highlight w:val="none"/>
        </w:rPr>
      </w:pPr>
      <w:r>
        <w:rPr>
          <w:rFonts w:hint="eastAsia" w:ascii="宋体" w:hAnsi="宋体"/>
          <w:b/>
          <w:color w:val="auto"/>
          <w:sz w:val="84"/>
          <w:szCs w:val="84"/>
          <w:highlight w:val="none"/>
        </w:rPr>
        <w:t xml:space="preserve"> </w:t>
      </w:r>
    </w:p>
    <w:p w14:paraId="58CA5781">
      <w:pPr>
        <w:pStyle w:val="13"/>
        <w:ind w:left="420"/>
        <w:rPr>
          <w:color w:val="auto"/>
          <w:highlight w:val="none"/>
        </w:rPr>
      </w:pPr>
    </w:p>
    <w:p w14:paraId="1B0A714C">
      <w:pPr>
        <w:spacing w:before="312" w:beforeLines="100" w:after="312" w:afterLines="100" w:line="360" w:lineRule="auto"/>
        <w:jc w:val="left"/>
        <w:rPr>
          <w:rFonts w:ascii="宋体"/>
          <w:b/>
          <w:color w:val="auto"/>
          <w:sz w:val="32"/>
          <w:szCs w:val="32"/>
          <w:highlight w:val="none"/>
        </w:rPr>
      </w:pPr>
    </w:p>
    <w:p w14:paraId="0AC52618">
      <w:pPr>
        <w:pStyle w:val="12"/>
        <w:ind w:firstLine="400"/>
        <w:rPr>
          <w:color w:val="auto"/>
          <w:highlight w:val="none"/>
        </w:rPr>
      </w:pPr>
    </w:p>
    <w:p w14:paraId="4B6FBA9B">
      <w:pPr>
        <w:spacing w:before="312" w:beforeLines="100" w:after="312" w:afterLines="100" w:line="480" w:lineRule="auto"/>
        <w:ind w:firstLine="964" w:firstLineChars="300"/>
        <w:jc w:val="left"/>
        <w:rPr>
          <w:rFonts w:ascii="宋体"/>
          <w:b/>
          <w:color w:val="auto"/>
          <w:sz w:val="32"/>
          <w:szCs w:val="32"/>
          <w:highlight w:val="none"/>
        </w:rPr>
      </w:pPr>
      <w:r>
        <w:rPr>
          <w:rFonts w:hint="eastAsia" w:ascii="宋体"/>
          <w:b/>
          <w:color w:val="auto"/>
          <w:sz w:val="32"/>
          <w:szCs w:val="32"/>
          <w:highlight w:val="none"/>
        </w:rPr>
        <w:t>招标人：</w:t>
      </w:r>
      <w:r>
        <w:rPr>
          <w:rFonts w:hint="eastAsia" w:ascii="宋体"/>
          <w:b/>
          <w:color w:val="auto"/>
          <w:sz w:val="32"/>
          <w:szCs w:val="32"/>
          <w:highlight w:val="none"/>
          <w:u w:val="single"/>
        </w:rPr>
        <w:t xml:space="preserve">     滁州市自来水有限公司    </w:t>
      </w:r>
      <w:r>
        <w:rPr>
          <w:rFonts w:hint="eastAsia" w:ascii="宋体"/>
          <w:b/>
          <w:color w:val="auto"/>
          <w:sz w:val="32"/>
          <w:szCs w:val="32"/>
          <w:highlight w:val="none"/>
        </w:rPr>
        <w:t>（盖单位章）</w:t>
      </w:r>
    </w:p>
    <w:p w14:paraId="1B64728D">
      <w:pPr>
        <w:spacing w:before="312" w:beforeLines="100" w:after="312" w:afterLines="100" w:line="480" w:lineRule="auto"/>
        <w:ind w:firstLine="964" w:firstLineChars="300"/>
        <w:rPr>
          <w:rFonts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（盖单位章）</w:t>
      </w:r>
    </w:p>
    <w:p w14:paraId="42995E6F">
      <w:pPr>
        <w:spacing w:before="312" w:beforeLines="100" w:after="312" w:afterLines="100" w:line="480" w:lineRule="auto"/>
        <w:jc w:val="center"/>
        <w:rPr>
          <w:rFonts w:ascii="宋体"/>
          <w:b/>
          <w:color w:val="auto"/>
          <w:sz w:val="32"/>
          <w:szCs w:val="32"/>
          <w:highlight w:val="none"/>
        </w:rPr>
      </w:pPr>
      <w:r>
        <w:rPr>
          <w:rFonts w:hint="eastAsia" w:ascii="宋体"/>
          <w:b/>
          <w:color w:val="auto"/>
          <w:sz w:val="32"/>
          <w:szCs w:val="32"/>
          <w:highlight w:val="none"/>
          <w:u w:val="single"/>
        </w:rPr>
        <w:t>2026</w:t>
      </w:r>
      <w:r>
        <w:rPr>
          <w:rFonts w:hint="eastAsia" w:ascii="宋体"/>
          <w:b/>
          <w:color w:val="auto"/>
          <w:sz w:val="32"/>
          <w:szCs w:val="32"/>
          <w:highlight w:val="none"/>
        </w:rPr>
        <w:t>年</w:t>
      </w:r>
      <w:r>
        <w:rPr>
          <w:rFonts w:hint="eastAsia" w:ascii="宋体"/>
          <w:b/>
          <w:color w:val="auto"/>
          <w:sz w:val="32"/>
          <w:szCs w:val="32"/>
          <w:highlight w:val="none"/>
          <w:u w:val="single"/>
        </w:rPr>
        <w:t>8</w:t>
      </w:r>
      <w:r>
        <w:rPr>
          <w:rFonts w:hint="eastAsia" w:ascii="宋体"/>
          <w:b/>
          <w:color w:val="auto"/>
          <w:sz w:val="32"/>
          <w:szCs w:val="32"/>
          <w:highlight w:val="none"/>
        </w:rPr>
        <w:t>月</w:t>
      </w:r>
    </w:p>
    <w:p w14:paraId="010572EC">
      <w:pPr>
        <w:spacing w:line="360" w:lineRule="exact"/>
        <w:rPr>
          <w:b/>
          <w:color w:val="auto"/>
          <w:sz w:val="36"/>
          <w:highlight w:val="none"/>
        </w:rPr>
      </w:pPr>
    </w:p>
    <w:p w14:paraId="16774568">
      <w:pPr>
        <w:spacing w:line="360" w:lineRule="exact"/>
        <w:rPr>
          <w:b/>
          <w:color w:val="auto"/>
          <w:sz w:val="36"/>
          <w:highlight w:val="none"/>
        </w:rPr>
      </w:pPr>
    </w:p>
    <w:p w14:paraId="1D6FBEAB">
      <w:pPr>
        <w:spacing w:line="360" w:lineRule="auto"/>
        <w:jc w:val="center"/>
        <w:rPr>
          <w:b/>
          <w:color w:val="auto"/>
          <w:sz w:val="44"/>
          <w:szCs w:val="32"/>
          <w:highlight w:val="none"/>
        </w:rPr>
      </w:pPr>
      <w:r>
        <w:rPr>
          <w:rFonts w:hint="eastAsia"/>
          <w:b/>
          <w:color w:val="auto"/>
          <w:sz w:val="44"/>
          <w:szCs w:val="32"/>
          <w:highlight w:val="none"/>
        </w:rPr>
        <w:t>目  录</w:t>
      </w:r>
    </w:p>
    <w:p w14:paraId="582AEB6C">
      <w:pPr>
        <w:spacing w:line="720" w:lineRule="auto"/>
        <w:jc w:val="center"/>
        <w:rPr>
          <w:b/>
          <w:color w:val="auto"/>
          <w:sz w:val="36"/>
          <w:highlight w:val="none"/>
        </w:rPr>
      </w:pPr>
    </w:p>
    <w:p w14:paraId="409C730C">
      <w:pPr>
        <w:pStyle w:val="25"/>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color w:val="auto"/>
          <w:highlight w:val="none"/>
        </w:rPr>
        <w:fldChar w:fldCharType="begin"/>
      </w:r>
      <w:r>
        <w:rPr>
          <w:color w:val="auto"/>
          <w:highlight w:val="none"/>
        </w:rPr>
        <w:instrText xml:space="preserve"> HYPERLINK \l "_Toc17328" </w:instrText>
      </w:r>
      <w:r>
        <w:rPr>
          <w:color w:val="auto"/>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rPr>
        <w:t>1</w:t>
      </w:r>
      <w:r>
        <w:rPr>
          <w:rFonts w:hint="eastAsia" w:ascii="宋体" w:hAnsi="宋体" w:cs="宋体"/>
          <w:color w:val="auto"/>
          <w:sz w:val="30"/>
          <w:szCs w:val="30"/>
          <w:highlight w:val="none"/>
        </w:rPr>
        <w:fldChar w:fldCharType="end"/>
      </w:r>
    </w:p>
    <w:p w14:paraId="241E0BFC">
      <w:pPr>
        <w:pStyle w:val="25"/>
        <w:tabs>
          <w:tab w:val="right" w:leader="dot" w:pos="9072"/>
        </w:tabs>
        <w:spacing w:line="700" w:lineRule="exact"/>
        <w:rPr>
          <w:rFonts w:hint="eastAsia" w:ascii="宋体" w:hAnsi="宋体" w:cs="宋体"/>
          <w:color w:val="auto"/>
          <w:sz w:val="30"/>
          <w:szCs w:val="30"/>
          <w:highlight w:val="none"/>
        </w:rPr>
      </w:pPr>
      <w:r>
        <w:rPr>
          <w:color w:val="auto"/>
          <w:highlight w:val="none"/>
        </w:rPr>
        <w:fldChar w:fldCharType="begin"/>
      </w:r>
      <w:r>
        <w:rPr>
          <w:color w:val="auto"/>
          <w:highlight w:val="none"/>
        </w:rPr>
        <w:instrText xml:space="preserve"> HYPERLINK \l "_Toc20364" </w:instrText>
      </w:r>
      <w:r>
        <w:rPr>
          <w:color w:val="auto"/>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fldChar w:fldCharType="end"/>
      </w:r>
    </w:p>
    <w:p w14:paraId="4B472BC1">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"_Toc28871" </w:instrText>
      </w:r>
      <w:r>
        <w:rPr>
          <w:color w:val="auto"/>
          <w:highlight w:val="none"/>
        </w:rPr>
        <w:fldChar w:fldCharType="separate"/>
      </w:r>
      <w:r>
        <w:rPr>
          <w:rFonts w:hint="eastAsia" w:ascii="宋体" w:hAnsi="宋体" w:cs="宋体"/>
          <w:color w:val="auto"/>
          <w:sz w:val="30"/>
          <w:szCs w:val="30"/>
          <w:highlight w:val="none"/>
        </w:rPr>
        <w:t>第三章 评标办法（最低评标价法）</w:t>
      </w:r>
      <w:r>
        <w:rPr>
          <w:rFonts w:hint="eastAsia" w:ascii="宋体" w:hAnsi="宋体" w:cs="宋体"/>
          <w:color w:val="auto"/>
          <w:sz w:val="30"/>
          <w:szCs w:val="30"/>
          <w:highlight w:val="none"/>
        </w:rPr>
        <w:tab/>
      </w:r>
      <w:r>
        <w:rPr>
          <w:rFonts w:hint="eastAsia" w:ascii="宋体" w:hAnsi="宋体" w:cs="宋体"/>
          <w:color w:val="auto"/>
          <w:sz w:val="30"/>
          <w:szCs w:val="30"/>
          <w:highlight w:val="none"/>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6</w:t>
      </w:r>
    </w:p>
    <w:p w14:paraId="78536156">
      <w:pPr>
        <w:pStyle w:val="25"/>
        <w:tabs>
          <w:tab w:val="right" w:leader="dot" w:pos="9072"/>
        </w:tabs>
        <w:spacing w:line="700" w:lineRule="exact"/>
        <w:rPr>
          <w:rFonts w:hint="eastAsia" w:ascii="宋体" w:hAnsi="宋体" w:eastAsia="宋体" w:cs="宋体"/>
          <w:color w:val="auto"/>
          <w:sz w:val="30"/>
          <w:szCs w:val="30"/>
          <w:highlight w:val="none"/>
          <w:lang w:eastAsia="zh-CN"/>
        </w:rPr>
      </w:pPr>
      <w:r>
        <w:rPr>
          <w:color w:val="auto"/>
          <w:highlight w:val="none"/>
        </w:rPr>
        <w:fldChar w:fldCharType="begin"/>
      </w:r>
      <w:r>
        <w:rPr>
          <w:color w:val="auto"/>
          <w:highlight w:val="none"/>
        </w:rPr>
        <w:instrText xml:space="preserve"> HYPERLINK \l "_Toc28444" </w:instrText>
      </w:r>
      <w:r>
        <w:rPr>
          <w:color w:val="auto"/>
          <w:highlight w:val="none"/>
        </w:rPr>
        <w:fldChar w:fldCharType="separate"/>
      </w:r>
      <w:r>
        <w:rPr>
          <w:rFonts w:hint="eastAsia" w:ascii="宋体" w:hAnsi="宋体" w:cs="宋体"/>
          <w:color w:val="auto"/>
          <w:sz w:val="30"/>
          <w:szCs w:val="30"/>
          <w:highlight w:val="none"/>
        </w:rPr>
        <w:t>第四章 采购内容及技术要求</w:t>
      </w:r>
      <w:r>
        <w:rPr>
          <w:rFonts w:hint="eastAsia" w:ascii="宋体" w:hAnsi="宋体" w:cs="宋体"/>
          <w:color w:val="auto"/>
          <w:sz w:val="30"/>
          <w:szCs w:val="30"/>
          <w:highlight w:val="none"/>
        </w:rPr>
        <w:tab/>
      </w:r>
      <w:r>
        <w:rPr>
          <w:rFonts w:hint="eastAsia" w:ascii="宋体" w:hAnsi="宋体" w:cs="宋体"/>
          <w:color w:val="auto"/>
          <w:sz w:val="30"/>
          <w:szCs w:val="30"/>
          <w:highlight w:val="none"/>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3</w:t>
      </w:r>
    </w:p>
    <w:p w14:paraId="3A4C062A">
      <w:pPr>
        <w:pStyle w:val="25"/>
        <w:tabs>
          <w:tab w:val="right" w:leader="dot" w:pos="9072"/>
        </w:tabs>
        <w:spacing w:line="700" w:lineRule="exact"/>
        <w:rPr>
          <w:rFonts w:hint="eastAsia" w:ascii="宋体" w:hAnsi="宋体" w:cs="宋体"/>
          <w:color w:val="auto"/>
          <w:sz w:val="30"/>
          <w:szCs w:val="30"/>
          <w:highlight w:val="none"/>
        </w:rPr>
      </w:pPr>
      <w:r>
        <w:rPr>
          <w:color w:val="auto"/>
          <w:highlight w:val="none"/>
        </w:rPr>
        <w:fldChar w:fldCharType="begin"/>
      </w:r>
      <w:r>
        <w:rPr>
          <w:color w:val="auto"/>
          <w:highlight w:val="none"/>
        </w:rPr>
        <w:instrText xml:space="preserve"> HYPERLINK \l "_Toc22340" </w:instrText>
      </w:r>
      <w:r>
        <w:rPr>
          <w:color w:val="auto"/>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rPr>
        <w:t>9</w:t>
      </w:r>
    </w:p>
    <w:p w14:paraId="64FC1A43">
      <w:pPr>
        <w:pStyle w:val="25"/>
        <w:tabs>
          <w:tab w:val="right" w:leader="dot" w:pos="9072"/>
        </w:tabs>
        <w:spacing w:line="700" w:lineRule="exact"/>
        <w:rPr>
          <w:rFonts w:hint="eastAsia" w:ascii="宋体" w:hAnsi="宋体" w:cs="宋体"/>
          <w:color w:val="auto"/>
          <w:sz w:val="30"/>
          <w:szCs w:val="30"/>
          <w:highlight w:val="none"/>
        </w:rPr>
      </w:pPr>
      <w:r>
        <w:rPr>
          <w:color w:val="auto"/>
          <w:highlight w:val="none"/>
        </w:rPr>
        <w:fldChar w:fldCharType="begin"/>
      </w:r>
      <w:r>
        <w:rPr>
          <w:color w:val="auto"/>
          <w:highlight w:val="none"/>
        </w:rPr>
        <w:instrText xml:space="preserve"> HYPERLINK \l "_Toc8628" </w:instrText>
      </w:r>
      <w:r>
        <w:rPr>
          <w:color w:val="auto"/>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rPr>
        <w:t>46</w:t>
      </w:r>
    </w:p>
    <w:p w14:paraId="34381AEE">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 xml:space="preserve">第七章 </w:t>
      </w:r>
      <w:r>
        <w:rPr>
          <w:color w:val="auto"/>
          <w:highlight w:val="none"/>
        </w:rPr>
        <w:fldChar w:fldCharType="begin"/>
      </w:r>
      <w:r>
        <w:rPr>
          <w:color w:val="auto"/>
          <w:highlight w:val="none"/>
        </w:rPr>
        <w:instrText xml:space="preserve"> HYPERLINK \l "_Toc25631" </w:instrText>
      </w:r>
      <w:r>
        <w:rPr>
          <w:color w:val="auto"/>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5</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9</w:t>
      </w:r>
    </w:p>
    <w:p w14:paraId="05F9FD62">
      <w:pPr>
        <w:pStyle w:val="25"/>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NumType w:start="1"/>
          <w:cols w:space="720" w:num="1"/>
          <w:docGrid w:type="lines" w:linePitch="312" w:charSpace="0"/>
        </w:sectPr>
      </w:pPr>
      <w:r>
        <w:rPr>
          <w:rFonts w:hint="eastAsia" w:ascii="宋体" w:hAnsi="宋体" w:cs="宋体"/>
          <w:color w:val="auto"/>
          <w:sz w:val="30"/>
          <w:szCs w:val="30"/>
          <w:highlight w:val="none"/>
        </w:rPr>
        <w:fldChar w:fldCharType="end"/>
      </w:r>
    </w:p>
    <w:p w14:paraId="4C2B100D">
      <w:pPr>
        <w:pStyle w:val="2"/>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35393621"/>
      <w:bookmarkStart w:id="3" w:name="_Toc28359002"/>
      <w:bookmarkStart w:id="4" w:name="_Toc35393790"/>
      <w:bookmarkStart w:id="5" w:name="_Toc28359079"/>
      <w:bookmarkStart w:id="6" w:name="_Hlk24379207"/>
    </w:p>
    <w:p w14:paraId="1227A65E">
      <w:pPr>
        <w:keepNext/>
        <w:keepLines/>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4E27669B">
      <w:pPr>
        <w:keepNext/>
        <w:keepLines/>
        <w:ind w:firstLine="560" w:firstLineChars="200"/>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rPr>
        <w:t>滁州市自来水有限公司2026年钢制焊接法兰、法兰盲板及配套标准紧固件年度供应商招标采购</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滁州市公共资源交易中心网（http：//ggzy.chuzhou.gov.cn/）</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2026年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11</w:t>
      </w:r>
      <w:r>
        <w:rPr>
          <w:rFonts w:hint="eastAsia" w:ascii="仿宋" w:hAnsi="仿宋" w:eastAsia="仿宋" w:cs="仿宋"/>
          <w:color w:val="auto"/>
          <w:sz w:val="28"/>
          <w:szCs w:val="28"/>
          <w:highlight w:val="none"/>
          <w:u w:val="single"/>
        </w:rPr>
        <w:t>日8点</w:t>
      </w:r>
      <w:r>
        <w:rPr>
          <w:rFonts w:hint="eastAsia" w:ascii="仿宋" w:hAnsi="仿宋" w:eastAsia="仿宋" w:cs="仿宋"/>
          <w:color w:val="auto"/>
          <w:sz w:val="28"/>
          <w:szCs w:val="28"/>
          <w:highlight w:val="none"/>
          <w:u w:val="single"/>
          <w:lang w:val="en-US" w:eastAsia="zh-CN"/>
        </w:rPr>
        <w:t>5</w:t>
      </w:r>
      <w:r>
        <w:rPr>
          <w:rFonts w:hint="eastAsia" w:ascii="仿宋" w:hAnsi="仿宋" w:eastAsia="仿宋" w:cs="仿宋"/>
          <w:color w:val="auto"/>
          <w:sz w:val="28"/>
          <w:szCs w:val="28"/>
          <w:highlight w:val="none"/>
          <w:u w:val="single"/>
        </w:rPr>
        <w:t>0分</w:t>
      </w:r>
      <w:r>
        <w:rPr>
          <w:rFonts w:hint="eastAsia" w:ascii="仿宋" w:hAnsi="仿宋" w:eastAsia="仿宋" w:cs="仿宋"/>
          <w:color w:val="auto"/>
          <w:sz w:val="28"/>
          <w:szCs w:val="28"/>
          <w:highlight w:val="none"/>
        </w:rPr>
        <w:t>（北京时间）前递交投标文件。</w:t>
      </w:r>
    </w:p>
    <w:p w14:paraId="443A3D5B">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45C27A0C">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项目编号：czsjqt202608-017</w:t>
      </w:r>
    </w:p>
    <w:p w14:paraId="637B07A9">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rPr>
        <w:t>滁州市自来水有限公司2026年钢制焊接法兰、法兰盲板及配套标准紧固件年度供应商招标采购</w:t>
      </w:r>
    </w:p>
    <w:p w14:paraId="0993F47C">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预算金额：721178元</w:t>
      </w:r>
    </w:p>
    <w:p w14:paraId="288798E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最高限价：721178元，各项最高综合单价详见《采购需求及技术要求》</w:t>
      </w:r>
    </w:p>
    <w:p w14:paraId="081879B6">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采购需求：详见《采购需求及技术要求》</w:t>
      </w:r>
    </w:p>
    <w:p w14:paraId="7339DCC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合同履行期限：合同有效期为两年，招标人可以根据产品质量、供货时间及售后等因素续签一年，具体以合同签订时间为准。合同签订并接到供货通知后法兰片在10日内，配套标准紧固件在7日内必须按照招标人要求供货至指定地点。</w:t>
      </w:r>
    </w:p>
    <w:p w14:paraId="7ECB9229">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本项目不接受联合体投标。</w:t>
      </w:r>
    </w:p>
    <w:p w14:paraId="3B14CE1F">
      <w:pPr>
        <w:keepNext/>
        <w:keepLines/>
        <w:spacing w:before="260" w:after="260"/>
        <w:rPr>
          <w:rFonts w:hint="eastAsia" w:ascii="黑体" w:hAnsi="黑体" w:eastAsia="黑体" w:cs="黑体"/>
          <w:color w:val="auto"/>
          <w:sz w:val="28"/>
          <w:szCs w:val="28"/>
          <w:highlight w:val="none"/>
        </w:rPr>
      </w:pPr>
      <w:bookmarkStart w:id="7" w:name="_Toc28359003"/>
      <w:bookmarkStart w:id="8" w:name="_Toc35393622"/>
      <w:bookmarkStart w:id="9" w:name="_Toc28359080"/>
      <w:bookmarkStart w:id="10" w:name="_Toc35393791"/>
      <w:r>
        <w:rPr>
          <w:rFonts w:hint="eastAsia" w:ascii="黑体" w:hAnsi="黑体" w:eastAsia="黑体" w:cs="黑体"/>
          <w:color w:val="auto"/>
          <w:sz w:val="28"/>
          <w:szCs w:val="28"/>
          <w:highlight w:val="none"/>
        </w:rPr>
        <w:t>二、申请人的资格要求</w:t>
      </w:r>
      <w:bookmarkEnd w:id="7"/>
      <w:bookmarkEnd w:id="8"/>
      <w:bookmarkEnd w:id="9"/>
      <w:bookmarkEnd w:id="10"/>
    </w:p>
    <w:p w14:paraId="7C80C807">
      <w:pPr>
        <w:ind w:firstLine="560" w:firstLineChars="200"/>
        <w:rPr>
          <w:rFonts w:hint="eastAsia" w:ascii="仿宋" w:hAnsi="仿宋" w:eastAsia="仿宋"/>
          <w:color w:val="auto"/>
          <w:sz w:val="28"/>
          <w:szCs w:val="28"/>
          <w:highlight w:val="none"/>
        </w:rPr>
      </w:pPr>
      <w:bookmarkStart w:id="11" w:name="_Toc35393792"/>
      <w:bookmarkStart w:id="12" w:name="_Toc28359081"/>
      <w:bookmarkStart w:id="13" w:name="_Toc35393623"/>
      <w:bookmarkStart w:id="14" w:name="_Toc28359004"/>
      <w:r>
        <w:rPr>
          <w:rFonts w:hint="eastAsia" w:ascii="仿宋" w:hAnsi="仿宋" w:eastAsia="仿宋"/>
          <w:color w:val="auto"/>
          <w:sz w:val="28"/>
          <w:szCs w:val="28"/>
          <w:highlight w:val="none"/>
        </w:rPr>
        <w:t>1.具有独立承担民事责任能力及相应供货能力。</w:t>
      </w:r>
    </w:p>
    <w:p w14:paraId="5646B9C5">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信誉要求：投标人存在以下情形之一的，不得被确定为中标人：</w:t>
      </w:r>
    </w:p>
    <w:p w14:paraId="5BEA0683">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①被列入“信用中国”网站（www.creditchina.gov.cn）“失信被执行人”的；</w:t>
      </w:r>
    </w:p>
    <w:p w14:paraId="662297E6">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②被列入“信用中国”网站（www.creditchina.gov.cn）“重大税收违法失信主体”的；</w:t>
      </w:r>
    </w:p>
    <w:p w14:paraId="1BB46184">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③被列入“信用中国”网站（www.creditchina.gov.cn）“拖欠农民工工资失信联合惩戒对象名单”的；</w:t>
      </w:r>
    </w:p>
    <w:p w14:paraId="152CC99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④被列入“信用中国”网站（www.creditchina.gov.cn） “安全生产严重失信主体名单”的；</w:t>
      </w:r>
    </w:p>
    <w:p w14:paraId="200F0E70">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⑤</w:t>
      </w:r>
      <w:bookmarkStart w:id="15" w:name="OLE_LINK113"/>
      <w:bookmarkStart w:id="16" w:name="OLE_LINK114"/>
      <w:r>
        <w:rPr>
          <w:rFonts w:hint="eastAsia" w:ascii="仿宋" w:hAnsi="仿宋" w:eastAsia="仿宋"/>
          <w:color w:val="auto"/>
          <w:sz w:val="28"/>
          <w:szCs w:val="28"/>
          <w:highlight w:val="none"/>
        </w:rPr>
        <w:t>被列入国家企业信用信息公示系统网站（</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"http://www.gsxt.gov.cn）查询" </w:instrText>
      </w:r>
      <w:r>
        <w:rPr>
          <w:rFonts w:hint="eastAsia" w:ascii="仿宋" w:hAnsi="仿宋" w:eastAsia="仿宋"/>
          <w:color w:val="auto"/>
          <w:sz w:val="28"/>
          <w:szCs w:val="28"/>
          <w:highlight w:val="none"/>
        </w:rPr>
        <w:fldChar w:fldCharType="separate"/>
      </w:r>
      <w:r>
        <w:rPr>
          <w:rFonts w:hint="eastAsia" w:ascii="仿宋" w:hAnsi="仿宋" w:eastAsia="仿宋"/>
          <w:color w:val="auto"/>
          <w:sz w:val="28"/>
          <w:szCs w:val="28"/>
          <w:highlight w:val="none"/>
        </w:rPr>
        <w:t>www.gsxt.gov.cn）</w:t>
      </w:r>
      <w:r>
        <w:rPr>
          <w:rFonts w:hint="eastAsia" w:ascii="仿宋" w:hAnsi="仿宋" w:eastAsia="仿宋"/>
          <w:color w:val="auto"/>
          <w:sz w:val="28"/>
          <w:szCs w:val="28"/>
          <w:highlight w:val="none"/>
        </w:rPr>
        <w:fldChar w:fldCharType="end"/>
      </w:r>
      <w:r>
        <w:rPr>
          <w:rFonts w:hint="eastAsia" w:ascii="仿宋" w:hAnsi="仿宋" w:eastAsia="仿宋"/>
          <w:color w:val="auto"/>
          <w:sz w:val="28"/>
          <w:szCs w:val="28"/>
          <w:highlight w:val="none"/>
        </w:rPr>
        <w:t>“严重违法失信名单”的</w:t>
      </w:r>
      <w:bookmarkEnd w:id="15"/>
      <w:bookmarkEnd w:id="16"/>
      <w:r>
        <w:rPr>
          <w:rFonts w:hint="eastAsia" w:ascii="仿宋" w:hAnsi="仿宋" w:eastAsia="仿宋"/>
          <w:color w:val="auto"/>
          <w:sz w:val="28"/>
          <w:szCs w:val="28"/>
          <w:highlight w:val="none"/>
        </w:rPr>
        <w:t>。；</w:t>
      </w:r>
    </w:p>
    <w:p w14:paraId="56C78A59">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3.投标人所属分公司、办事处等分支机构存在第2条信誉要求①-⑤项情形之一的，接受其被确定为中标人。</w:t>
      </w:r>
    </w:p>
    <w:p w14:paraId="0D9A1F75">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698946C5">
      <w:pPr>
        <w:ind w:firstLine="540"/>
        <w:rPr>
          <w:rFonts w:hint="eastAsia" w:ascii="仿宋" w:hAnsi="仿宋" w:eastAsia="仿宋" w:cs="宋体"/>
          <w:iCs/>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2026年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21</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2026年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11</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rPr>
        <w:t>（提供期限自本公告发布之日起不得少于5个工作日）</w:t>
      </w:r>
    </w:p>
    <w:p w14:paraId="2C5067B1">
      <w:pPr>
        <w:ind w:firstLine="540"/>
        <w:rPr>
          <w:rFonts w:hint="eastAsia"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地点：滁州市公共资源交易中心网</w:t>
      </w:r>
    </w:p>
    <w:p w14:paraId="56FCFEA8">
      <w:pPr>
        <w:ind w:firstLine="540"/>
        <w:rPr>
          <w:rFonts w:hint="eastAsia"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4D7A4F3A">
      <w:pPr>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57E3E9E">
      <w:pPr>
        <w:pStyle w:val="3"/>
        <w:numPr>
          <w:ilvl w:val="0"/>
          <w:numId w:val="0"/>
        </w:numPr>
        <w:spacing w:line="240" w:lineRule="auto"/>
        <w:rPr>
          <w:rFonts w:hint="eastAsia" w:ascii="黑体" w:hAnsi="黑体" w:eastAsia="黑体" w:cs="黑体"/>
          <w:color w:val="auto"/>
          <w:kern w:val="2"/>
          <w:sz w:val="28"/>
          <w:szCs w:val="28"/>
          <w:highlight w:val="none"/>
        </w:rPr>
      </w:pPr>
      <w:bookmarkStart w:id="17" w:name="_Toc28359082"/>
      <w:bookmarkStart w:id="18" w:name="_Toc28359005"/>
      <w:bookmarkStart w:id="19" w:name="_Toc35393624"/>
      <w:bookmarkStart w:id="20" w:name="_Toc35393793"/>
      <w:r>
        <w:rPr>
          <w:rFonts w:hint="eastAsia" w:ascii="黑体" w:hAnsi="黑体" w:eastAsia="黑体" w:cs="黑体"/>
          <w:color w:val="auto"/>
          <w:kern w:val="2"/>
          <w:sz w:val="28"/>
          <w:szCs w:val="28"/>
          <w:highlight w:val="none"/>
        </w:rPr>
        <w:t>四、提交投标文件</w:t>
      </w:r>
      <w:bookmarkEnd w:id="17"/>
      <w:bookmarkEnd w:id="18"/>
      <w:r>
        <w:rPr>
          <w:rFonts w:hint="eastAsia" w:ascii="黑体" w:hAnsi="黑体" w:eastAsia="黑体" w:cs="黑体"/>
          <w:color w:val="auto"/>
          <w:kern w:val="2"/>
          <w:sz w:val="28"/>
          <w:szCs w:val="28"/>
          <w:highlight w:val="none"/>
        </w:rPr>
        <w:t>截止时间、开标时间和地点</w:t>
      </w:r>
      <w:bookmarkEnd w:id="19"/>
      <w:bookmarkEnd w:id="20"/>
    </w:p>
    <w:p w14:paraId="2E3CB6C0">
      <w:pPr>
        <w:ind w:firstLine="560" w:firstLineChars="200"/>
        <w:rPr>
          <w:rFonts w:hint="eastAsia" w:ascii="仿宋" w:hAnsi="仿宋" w:eastAsia="仿宋"/>
          <w:bCs/>
          <w:iCs/>
          <w:color w:val="auto"/>
          <w:sz w:val="28"/>
          <w:szCs w:val="28"/>
          <w:highlight w:val="none"/>
        </w:rPr>
      </w:pPr>
      <w:r>
        <w:rPr>
          <w:rFonts w:hint="eastAsia" w:ascii="仿宋" w:hAnsi="仿宋" w:eastAsia="仿宋"/>
          <w:bCs/>
          <w:color w:val="auto"/>
          <w:sz w:val="28"/>
          <w:szCs w:val="28"/>
          <w:highlight w:val="none"/>
        </w:rPr>
        <w:t>时间：</w:t>
      </w:r>
      <w:r>
        <w:rPr>
          <w:rFonts w:hint="eastAsia" w:ascii="仿宋" w:hAnsi="仿宋" w:eastAsia="仿宋"/>
          <w:bCs/>
          <w:color w:val="auto"/>
          <w:sz w:val="28"/>
          <w:szCs w:val="28"/>
          <w:highlight w:val="none"/>
          <w:u w:val="single"/>
        </w:rPr>
        <w:t>2026年</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月</w:t>
      </w:r>
      <w:r>
        <w:rPr>
          <w:rFonts w:hint="eastAsia" w:ascii="仿宋" w:hAnsi="仿宋" w:eastAsia="仿宋"/>
          <w:bCs/>
          <w:color w:val="auto"/>
          <w:sz w:val="28"/>
          <w:szCs w:val="28"/>
          <w:highlight w:val="none"/>
          <w:u w:val="single"/>
          <w:lang w:val="en-US" w:eastAsia="zh-CN"/>
        </w:rPr>
        <w:t>11</w:t>
      </w:r>
      <w:r>
        <w:rPr>
          <w:rFonts w:hint="eastAsia" w:ascii="仿宋" w:hAnsi="仿宋" w:eastAsia="仿宋"/>
          <w:bCs/>
          <w:color w:val="auto"/>
          <w:sz w:val="28"/>
          <w:szCs w:val="28"/>
          <w:highlight w:val="none"/>
          <w:u w:val="single"/>
        </w:rPr>
        <w:t>日</w:t>
      </w:r>
      <w:r>
        <w:rPr>
          <w:rFonts w:hint="eastAsia" w:ascii="仿宋" w:hAnsi="仿宋" w:eastAsia="仿宋"/>
          <w:bCs/>
          <w:color w:val="auto"/>
          <w:sz w:val="28"/>
          <w:szCs w:val="28"/>
          <w:highlight w:val="none"/>
          <w:u w:val="single"/>
          <w:lang w:val="en-US" w:eastAsia="zh-CN"/>
        </w:rPr>
        <w:t>8</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50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r>
        <w:rPr>
          <w:rFonts w:hint="eastAsia" w:ascii="仿宋" w:hAnsi="仿宋" w:eastAsia="仿宋" w:cs="宋体"/>
          <w:iCs/>
          <w:color w:val="auto"/>
          <w:sz w:val="28"/>
          <w:szCs w:val="28"/>
          <w:highlight w:val="none"/>
          <w:u w:val="single"/>
        </w:rPr>
        <w:t>（自招标文件开始发出之日起至投标人提交投标文件截止之日止，不得少于20日）</w:t>
      </w:r>
    </w:p>
    <w:p w14:paraId="6F4E710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地点：滁州市公共资源交易平台电子交易系统</w:t>
      </w:r>
    </w:p>
    <w:p w14:paraId="42E5CB41">
      <w:pPr>
        <w:keepNext/>
        <w:keepLines/>
        <w:spacing w:before="260" w:after="260"/>
        <w:rPr>
          <w:rFonts w:hint="eastAsia" w:ascii="黑体" w:hAnsi="黑体" w:eastAsia="黑体" w:cs="黑体"/>
          <w:color w:val="auto"/>
          <w:sz w:val="28"/>
          <w:szCs w:val="28"/>
          <w:highlight w:val="none"/>
        </w:rPr>
      </w:pPr>
      <w:bookmarkStart w:id="21" w:name="_Toc35393625"/>
      <w:bookmarkStart w:id="22" w:name="_Toc28359084"/>
      <w:bookmarkStart w:id="23" w:name="_Toc28359007"/>
      <w:bookmarkStart w:id="24" w:name="_Toc35393794"/>
      <w:r>
        <w:rPr>
          <w:rFonts w:hint="eastAsia" w:ascii="黑体" w:hAnsi="黑体" w:eastAsia="黑体" w:cs="黑体"/>
          <w:color w:val="auto"/>
          <w:sz w:val="28"/>
          <w:szCs w:val="28"/>
          <w:highlight w:val="none"/>
        </w:rPr>
        <w:t>五、公告期限</w:t>
      </w:r>
      <w:bookmarkEnd w:id="21"/>
      <w:bookmarkEnd w:id="22"/>
      <w:bookmarkEnd w:id="23"/>
      <w:bookmarkEnd w:id="24"/>
    </w:p>
    <w:p w14:paraId="2C4A8B17">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D79CBA8">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5B635BA9">
      <w:pPr>
        <w:pStyle w:val="119"/>
        <w:rPr>
          <w:color w:val="auto"/>
          <w:highlight w:val="none"/>
        </w:rPr>
      </w:pPr>
      <w:bookmarkStart w:id="25" w:name="_Toc35393795"/>
      <w:bookmarkStart w:id="26" w:name="_Toc35393626"/>
      <w:r>
        <w:rPr>
          <w:color w:val="auto"/>
          <w:highlight w:val="none"/>
        </w:rPr>
        <w:t>窗体顶端</w:t>
      </w:r>
    </w:p>
    <w:p w14:paraId="27894E06">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本项目不要求投标人提交投标保证金。</w:t>
      </w:r>
    </w:p>
    <w:p w14:paraId="0AA8176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注：如在投标过程中投标人存在本招标文件第二章“投标人须知”中第24.4项约定情形，则无条件按招标人要求的金额（0.72万元）、时间、账号缴纳投标保证金。</w:t>
      </w:r>
    </w:p>
    <w:p w14:paraId="40A002B0">
      <w:pPr>
        <w:pStyle w:val="120"/>
        <w:rPr>
          <w:color w:val="auto"/>
          <w:highlight w:val="none"/>
        </w:rPr>
      </w:pPr>
      <w:r>
        <w:rPr>
          <w:rFonts w:hint="eastAsia" w:ascii="仿宋" w:hAnsi="仿宋" w:eastAsia="仿宋"/>
          <w:color w:val="auto"/>
          <w:sz w:val="28"/>
          <w:szCs w:val="28"/>
          <w:highlight w:val="none"/>
        </w:rPr>
        <w:t>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w:t>
      </w:r>
      <w:r>
        <w:rPr>
          <w:color w:val="auto"/>
          <w:highlight w:val="none"/>
        </w:rPr>
        <w:t>窗体底端</w:t>
      </w:r>
    </w:p>
    <w:p w14:paraId="1561F0CF">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788CA6BB">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54B1BF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4D37DA8B">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435FE8EC">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4.投标文件格式、内容和制作要求以招标文件为准，投标文件制作工具中提供的相关格式及内容仅供参考，投标企业可根据招标文件要求自行调整。</w:t>
      </w:r>
    </w:p>
    <w:p w14:paraId="696A4A7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5.投标人提出异议的截止时间及方式：如投标人对招标文件有异议，请于2026年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50</w:t>
      </w:r>
      <w:r>
        <w:rPr>
          <w:rFonts w:hint="eastAsia" w:ascii="仿宋" w:hAnsi="仿宋" w:eastAsia="仿宋"/>
          <w:color w:val="auto"/>
          <w:sz w:val="28"/>
          <w:szCs w:val="28"/>
          <w:highlight w:val="none"/>
        </w:rPr>
        <w:t>分（投标截止10日）前在滁州市公共资源交易中心网电子交易系统中进行异议，具体操作步骤和程序请参见服务指南&gt;交易须知&gt;在线异议、质疑和投诉操作手册。</w:t>
      </w:r>
    </w:p>
    <w:p w14:paraId="0FA8ADE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6.受理异议的联系人及联系方式：余磊0550-3062913、杨韦0550-3519590。</w:t>
      </w:r>
    </w:p>
    <w:p w14:paraId="21B4F9C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7.投标人提出投诉的方式：投标人或者其他利害关系人认为招标投标活动违反法律、法规和规章规定的，有权向相关行政监督部门投诉。在线投诉具体步骤和程序请参照服务指南&gt;投诉渠道 https://ggzy.chuzhou.gov.cn/fwzn/011001/serviceGuide.html；投诉书格式等内容参见服务指南&gt;办事指南&gt;投标人服务&gt;投诉受理一次告知书https://ggzy.chuzhou.gov.cn/fwzn/011001/011001001/011001001003/20211022/4b7d87ec-2c58-49b0-b76c-3a6277377930.html。</w:t>
      </w:r>
    </w:p>
    <w:p w14:paraId="7DF4B0C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74D36C59">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112C2E96">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 xml:space="preserve">滁州市自来水有限公司  </w:t>
      </w:r>
    </w:p>
    <w:p w14:paraId="193F9339">
      <w:pPr>
        <w:ind w:left="-199" w:leftChars="-95" w:firstLine="840" w:firstLineChars="3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滁州市清流西路389号</w:t>
      </w:r>
    </w:p>
    <w:p w14:paraId="4DCB33FA">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 xml:space="preserve">0550-3062913                 </w:t>
      </w:r>
    </w:p>
    <w:p w14:paraId="6A3665B8">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2C074CB1">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6421BDE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438AF5D7">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31D4A432">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034EE741">
      <w:pPr>
        <w:pStyle w:val="19"/>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rPr>
        <w:t xml:space="preserve">余磊、杨韦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p>
    <w:p w14:paraId="7B0ACDB6">
      <w:pPr>
        <w:ind w:left="-199" w:leftChars="-95" w:firstLine="840" w:firstLineChars="300"/>
        <w:jc w:val="left"/>
        <w:rPr>
          <w:rFonts w:hint="eastAsia"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rPr>
        <w:t xml:space="preserve">0550-3062913、0550-3519590 </w:t>
      </w:r>
    </w:p>
    <w:p w14:paraId="72666C2F">
      <w:pPr>
        <w:pStyle w:val="2"/>
        <w:spacing w:before="156" w:beforeLines="50" w:after="156" w:afterLines="50" w:line="579" w:lineRule="auto"/>
        <w:jc w:val="center"/>
        <w:rPr>
          <w:rFonts w:ascii="宋体"/>
          <w:b w:val="0"/>
          <w:color w:val="auto"/>
          <w:szCs w:val="32"/>
          <w:highlight w:val="none"/>
        </w:rPr>
      </w:pPr>
      <w:bookmarkStart w:id="27" w:name="_Toc20364"/>
      <w:r>
        <w:rPr>
          <w:rFonts w:hint="eastAsia"/>
          <w:color w:val="auto"/>
          <w:highlight w:val="none"/>
        </w:rPr>
        <w:t>第二章 投标人须知</w:t>
      </w:r>
      <w:bookmarkEnd w:id="27"/>
    </w:p>
    <w:p w14:paraId="0E28AE93">
      <w:pPr>
        <w:snapToGrid w:val="0"/>
        <w:spacing w:line="440" w:lineRule="exact"/>
        <w:jc w:val="center"/>
        <w:outlineLvl w:val="1"/>
        <w:rPr>
          <w:rFonts w:ascii="宋体"/>
          <w:b/>
          <w:color w:val="auto"/>
          <w:sz w:val="28"/>
          <w:szCs w:val="28"/>
          <w:highlight w:val="none"/>
        </w:rPr>
      </w:pPr>
      <w:bookmarkStart w:id="28" w:name="_Toc1019"/>
      <w:bookmarkStart w:id="29" w:name="_Toc58430314"/>
      <w:bookmarkStart w:id="30"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8"/>
      <w:bookmarkEnd w:id="29"/>
      <w:bookmarkEnd w:id="30"/>
    </w:p>
    <w:tbl>
      <w:tblPr>
        <w:tblStyle w:val="35"/>
        <w:tblW w:w="9798"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8"/>
        <w:gridCol w:w="878"/>
        <w:gridCol w:w="1262"/>
        <w:gridCol w:w="6610"/>
      </w:tblGrid>
      <w:tr w14:paraId="07AF47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1048" w:type="dxa"/>
            <w:vAlign w:val="center"/>
          </w:tcPr>
          <w:p w14:paraId="785980A0">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条款号</w:t>
            </w:r>
          </w:p>
        </w:tc>
        <w:tc>
          <w:tcPr>
            <w:tcW w:w="2140" w:type="dxa"/>
            <w:gridSpan w:val="2"/>
            <w:vAlign w:val="center"/>
          </w:tcPr>
          <w:p w14:paraId="6BF0B1F3">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内容</w:t>
            </w:r>
          </w:p>
        </w:tc>
        <w:tc>
          <w:tcPr>
            <w:tcW w:w="6610" w:type="dxa"/>
            <w:vAlign w:val="center"/>
          </w:tcPr>
          <w:p w14:paraId="4A838944">
            <w:pPr>
              <w:pStyle w:val="19"/>
              <w:spacing w:line="500" w:lineRule="exact"/>
              <w:jc w:val="center"/>
              <w:rPr>
                <w:rFonts w:hint="eastAsia" w:hAnsi="宋体" w:cs="宋体"/>
                <w:b/>
                <w:color w:val="auto"/>
                <w:szCs w:val="21"/>
                <w:highlight w:val="none"/>
              </w:rPr>
            </w:pPr>
            <w:r>
              <w:rPr>
                <w:rFonts w:hint="eastAsia" w:hAnsi="宋体" w:cs="宋体"/>
                <w:b/>
                <w:color w:val="auto"/>
                <w:szCs w:val="21"/>
                <w:highlight w:val="none"/>
              </w:rPr>
              <w:t>说明与要求</w:t>
            </w:r>
          </w:p>
        </w:tc>
      </w:tr>
      <w:tr w14:paraId="7E594B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5" w:hRule="atLeast"/>
        </w:trPr>
        <w:tc>
          <w:tcPr>
            <w:tcW w:w="1048" w:type="dxa"/>
            <w:vAlign w:val="center"/>
          </w:tcPr>
          <w:p w14:paraId="055D6770">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0ED85F8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项目名称</w:t>
            </w:r>
          </w:p>
        </w:tc>
        <w:tc>
          <w:tcPr>
            <w:tcW w:w="6610" w:type="dxa"/>
            <w:vAlign w:val="center"/>
          </w:tcPr>
          <w:p w14:paraId="649BE9EA">
            <w:pPr>
              <w:pStyle w:val="19"/>
              <w:spacing w:line="500" w:lineRule="exact"/>
              <w:rPr>
                <w:rFonts w:hint="eastAsia" w:hAnsi="宋体" w:cs="宋体"/>
                <w:color w:val="auto"/>
                <w:szCs w:val="21"/>
                <w:highlight w:val="none"/>
              </w:rPr>
            </w:pPr>
            <w:r>
              <w:rPr>
                <w:rFonts w:hint="eastAsia" w:hAnsi="宋体" w:cs="宋体"/>
                <w:color w:val="auto"/>
                <w:szCs w:val="21"/>
                <w:highlight w:val="none"/>
              </w:rPr>
              <w:t>滁州市自来水有限公司2026年钢制焊接法兰、法兰盲板及配套标准紧固件年度供应商招标采购</w:t>
            </w:r>
          </w:p>
        </w:tc>
      </w:tr>
      <w:tr w14:paraId="3C5E87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1048" w:type="dxa"/>
            <w:vAlign w:val="center"/>
          </w:tcPr>
          <w:p w14:paraId="521367A8">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4068224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项目编号</w:t>
            </w:r>
          </w:p>
        </w:tc>
        <w:tc>
          <w:tcPr>
            <w:tcW w:w="6610" w:type="dxa"/>
            <w:vAlign w:val="center"/>
          </w:tcPr>
          <w:p w14:paraId="1E4B2590">
            <w:pPr>
              <w:pStyle w:val="19"/>
              <w:spacing w:line="500" w:lineRule="exact"/>
              <w:rPr>
                <w:rFonts w:hint="default" w:hAnsi="宋体" w:eastAsia="宋体" w:cs="宋体"/>
                <w:color w:val="auto"/>
                <w:szCs w:val="21"/>
                <w:highlight w:val="none"/>
                <w:lang w:val="en-US" w:eastAsia="zh-CN"/>
              </w:rPr>
            </w:pPr>
            <w:r>
              <w:rPr>
                <w:rFonts w:hAnsi="宋体" w:cs="宋体"/>
                <w:color w:val="auto"/>
                <w:szCs w:val="21"/>
                <w:highlight w:val="none"/>
              </w:rPr>
              <w:t>czsjqt20260</w:t>
            </w:r>
            <w:r>
              <w:rPr>
                <w:rFonts w:hint="eastAsia" w:hAnsi="宋体" w:cs="宋体"/>
                <w:color w:val="auto"/>
                <w:szCs w:val="21"/>
                <w:highlight w:val="none"/>
              </w:rPr>
              <w:t>8-</w:t>
            </w:r>
            <w:r>
              <w:rPr>
                <w:rFonts w:hint="eastAsia" w:hAnsi="宋体" w:cs="宋体"/>
                <w:color w:val="auto"/>
                <w:szCs w:val="21"/>
                <w:highlight w:val="none"/>
                <w:lang w:val="en-US" w:eastAsia="zh-CN"/>
              </w:rPr>
              <w:t>017</w:t>
            </w:r>
          </w:p>
        </w:tc>
      </w:tr>
      <w:tr w14:paraId="248848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1048" w:type="dxa"/>
            <w:vAlign w:val="center"/>
          </w:tcPr>
          <w:p w14:paraId="1DF449E8">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1032EAC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合同履行期限</w:t>
            </w:r>
          </w:p>
        </w:tc>
        <w:tc>
          <w:tcPr>
            <w:tcW w:w="6610" w:type="dxa"/>
            <w:vAlign w:val="center"/>
          </w:tcPr>
          <w:p w14:paraId="12C94331">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合同有效期为两年，招标人可以根据产品质量、供货时间及售后等因素续签一年，具体以合同签订时间为准。合同签订并接到供货通知后法兰片在10日内，配套标准紧固件在7日内必须按照招标人要求供货至指定地点。</w:t>
            </w:r>
          </w:p>
        </w:tc>
      </w:tr>
      <w:tr w14:paraId="3ECA08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1048" w:type="dxa"/>
            <w:vAlign w:val="center"/>
          </w:tcPr>
          <w:p w14:paraId="0F4F0F9D">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61127EE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服务地点</w:t>
            </w:r>
          </w:p>
        </w:tc>
        <w:tc>
          <w:tcPr>
            <w:tcW w:w="6610" w:type="dxa"/>
            <w:vAlign w:val="center"/>
          </w:tcPr>
          <w:p w14:paraId="2D91DA09">
            <w:pPr>
              <w:pStyle w:val="19"/>
              <w:spacing w:line="500" w:lineRule="exact"/>
              <w:rPr>
                <w:rFonts w:hint="eastAsia" w:hAnsi="宋体" w:cs="宋体"/>
                <w:color w:val="auto"/>
                <w:szCs w:val="21"/>
                <w:highlight w:val="none"/>
              </w:rPr>
            </w:pPr>
            <w:r>
              <w:rPr>
                <w:rFonts w:hint="eastAsia" w:hAnsi="宋体" w:cs="宋体"/>
                <w:color w:val="auto"/>
                <w:szCs w:val="21"/>
                <w:highlight w:val="none"/>
              </w:rPr>
              <w:t>滁州市内，货物运至招标人指定地点</w:t>
            </w:r>
          </w:p>
        </w:tc>
      </w:tr>
      <w:tr w14:paraId="57049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1048" w:type="dxa"/>
            <w:vAlign w:val="center"/>
          </w:tcPr>
          <w:p w14:paraId="777EE9A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64B1821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招标人联系人及电话</w:t>
            </w:r>
          </w:p>
        </w:tc>
        <w:tc>
          <w:tcPr>
            <w:tcW w:w="6610" w:type="dxa"/>
            <w:vAlign w:val="center"/>
          </w:tcPr>
          <w:p w14:paraId="2FED7BED">
            <w:pPr>
              <w:pStyle w:val="19"/>
              <w:spacing w:line="500" w:lineRule="exact"/>
              <w:rPr>
                <w:rFonts w:hint="eastAsia" w:hAnsi="宋体" w:cs="宋体"/>
                <w:color w:val="auto"/>
                <w:szCs w:val="21"/>
                <w:highlight w:val="none"/>
              </w:rPr>
            </w:pPr>
            <w:r>
              <w:rPr>
                <w:rFonts w:hint="eastAsia" w:hAnsi="宋体" w:cs="宋体"/>
                <w:color w:val="auto"/>
                <w:szCs w:val="21"/>
                <w:highlight w:val="none"/>
              </w:rPr>
              <w:t>联系人：余磊              电话：0550-3062913</w:t>
            </w:r>
          </w:p>
        </w:tc>
      </w:tr>
      <w:tr w14:paraId="01AF4C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1048" w:type="dxa"/>
            <w:vAlign w:val="center"/>
          </w:tcPr>
          <w:p w14:paraId="3D8DEFBF">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73EB7375">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采购代理机构联系人及电话</w:t>
            </w:r>
          </w:p>
        </w:tc>
        <w:tc>
          <w:tcPr>
            <w:tcW w:w="6610" w:type="dxa"/>
            <w:vAlign w:val="center"/>
          </w:tcPr>
          <w:p w14:paraId="75DE1507">
            <w:pPr>
              <w:pStyle w:val="19"/>
              <w:spacing w:line="500" w:lineRule="exact"/>
              <w:rPr>
                <w:rFonts w:hint="eastAsia" w:hAnsi="宋体" w:cs="宋体"/>
                <w:color w:val="auto"/>
                <w:szCs w:val="21"/>
                <w:highlight w:val="none"/>
              </w:rPr>
            </w:pPr>
            <w:r>
              <w:rPr>
                <w:rFonts w:hint="eastAsia" w:hAnsi="宋体" w:cs="宋体"/>
                <w:color w:val="auto"/>
                <w:szCs w:val="21"/>
                <w:highlight w:val="none"/>
              </w:rPr>
              <w:t>联系人：杨韦                电话0550-3519590   18005501210</w:t>
            </w:r>
          </w:p>
        </w:tc>
      </w:tr>
      <w:tr w14:paraId="685D60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7" w:hRule="atLeast"/>
        </w:trPr>
        <w:tc>
          <w:tcPr>
            <w:tcW w:w="1048" w:type="dxa"/>
            <w:vAlign w:val="center"/>
          </w:tcPr>
          <w:p w14:paraId="6CE28A7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1.3</w:t>
            </w:r>
          </w:p>
        </w:tc>
        <w:tc>
          <w:tcPr>
            <w:tcW w:w="2140" w:type="dxa"/>
            <w:gridSpan w:val="2"/>
            <w:vAlign w:val="center"/>
          </w:tcPr>
          <w:p w14:paraId="0C59E8F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资金来源</w:t>
            </w:r>
          </w:p>
        </w:tc>
        <w:tc>
          <w:tcPr>
            <w:tcW w:w="6610" w:type="dxa"/>
            <w:vAlign w:val="center"/>
          </w:tcPr>
          <w:p w14:paraId="201EEE05">
            <w:pPr>
              <w:pStyle w:val="19"/>
              <w:spacing w:line="500" w:lineRule="exact"/>
              <w:rPr>
                <w:rFonts w:hint="eastAsia" w:hAnsi="宋体" w:cs="宋体"/>
                <w:color w:val="auto"/>
                <w:szCs w:val="21"/>
                <w:highlight w:val="none"/>
              </w:rPr>
            </w:pPr>
            <w:r>
              <w:rPr>
                <w:rFonts w:hint="eastAsia" w:hAnsi="宋体" w:cs="宋体"/>
                <w:color w:val="auto"/>
                <w:szCs w:val="21"/>
                <w:highlight w:val="none"/>
              </w:rPr>
              <w:t>自筹资金</w:t>
            </w:r>
          </w:p>
        </w:tc>
      </w:tr>
      <w:tr w14:paraId="1D45DA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1048" w:type="dxa"/>
            <w:vAlign w:val="center"/>
          </w:tcPr>
          <w:p w14:paraId="3C769EF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1.4</w:t>
            </w:r>
          </w:p>
        </w:tc>
        <w:tc>
          <w:tcPr>
            <w:tcW w:w="2140" w:type="dxa"/>
            <w:gridSpan w:val="2"/>
            <w:vAlign w:val="center"/>
          </w:tcPr>
          <w:p w14:paraId="3F90E65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采购预算</w:t>
            </w:r>
          </w:p>
        </w:tc>
        <w:tc>
          <w:tcPr>
            <w:tcW w:w="6610" w:type="dxa"/>
            <w:vAlign w:val="center"/>
          </w:tcPr>
          <w:p w14:paraId="2FAF64B0">
            <w:pPr>
              <w:pStyle w:val="19"/>
              <w:spacing w:line="500" w:lineRule="exact"/>
              <w:rPr>
                <w:rFonts w:hint="eastAsia" w:hAnsi="宋体" w:cs="宋体"/>
                <w:color w:val="auto"/>
                <w:szCs w:val="21"/>
                <w:highlight w:val="none"/>
              </w:rPr>
            </w:pPr>
            <w:r>
              <w:rPr>
                <w:rFonts w:hint="eastAsia" w:hAnsi="宋体" w:cs="宋体"/>
                <w:color w:val="auto"/>
                <w:szCs w:val="21"/>
                <w:highlight w:val="none"/>
              </w:rPr>
              <w:t>721178元</w:t>
            </w:r>
          </w:p>
        </w:tc>
      </w:tr>
      <w:tr w14:paraId="7EFB7A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0" w:hRule="atLeast"/>
        </w:trPr>
        <w:tc>
          <w:tcPr>
            <w:tcW w:w="1048" w:type="dxa"/>
            <w:vAlign w:val="center"/>
          </w:tcPr>
          <w:p w14:paraId="79D0DAC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1.5</w:t>
            </w:r>
          </w:p>
        </w:tc>
        <w:tc>
          <w:tcPr>
            <w:tcW w:w="2140" w:type="dxa"/>
            <w:gridSpan w:val="2"/>
            <w:vAlign w:val="center"/>
          </w:tcPr>
          <w:p w14:paraId="6EB97386">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最高限价</w:t>
            </w:r>
          </w:p>
        </w:tc>
        <w:tc>
          <w:tcPr>
            <w:tcW w:w="6610" w:type="dxa"/>
            <w:vAlign w:val="center"/>
          </w:tcPr>
          <w:p w14:paraId="578ACA77">
            <w:pPr>
              <w:spacing w:line="500" w:lineRule="exact"/>
              <w:rPr>
                <w:rFonts w:hint="eastAsia" w:ascii="宋体" w:hAnsi="宋体" w:cs="宋体"/>
                <w:color w:val="auto"/>
                <w:szCs w:val="21"/>
                <w:highlight w:val="none"/>
                <w:u w:color="000000"/>
              </w:rPr>
            </w:pPr>
            <w:r>
              <w:rPr>
                <w:rFonts w:hint="eastAsia" w:ascii="宋体" w:hAnsi="宋体" w:cs="宋体"/>
                <w:color w:val="auto"/>
                <w:szCs w:val="21"/>
                <w:highlight w:val="none"/>
                <w:u w:color="000000"/>
              </w:rPr>
              <w:t>721178元,各项最高综合单价详见《采购需求及技术要求》</w:t>
            </w:r>
          </w:p>
        </w:tc>
      </w:tr>
      <w:tr w14:paraId="4EB231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1048" w:type="dxa"/>
            <w:vAlign w:val="center"/>
          </w:tcPr>
          <w:p w14:paraId="10007E7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2.1</w:t>
            </w:r>
          </w:p>
        </w:tc>
        <w:tc>
          <w:tcPr>
            <w:tcW w:w="2140" w:type="dxa"/>
            <w:gridSpan w:val="2"/>
            <w:vAlign w:val="center"/>
          </w:tcPr>
          <w:p w14:paraId="564A54D0">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采购内容</w:t>
            </w:r>
          </w:p>
        </w:tc>
        <w:tc>
          <w:tcPr>
            <w:tcW w:w="6610" w:type="dxa"/>
            <w:vAlign w:val="center"/>
          </w:tcPr>
          <w:p w14:paraId="6C37553D">
            <w:pPr>
              <w:pStyle w:val="19"/>
              <w:spacing w:line="500" w:lineRule="exact"/>
              <w:rPr>
                <w:rFonts w:hint="eastAsia" w:hAnsi="宋体" w:cs="宋体"/>
                <w:color w:val="auto"/>
                <w:szCs w:val="21"/>
                <w:highlight w:val="none"/>
              </w:rPr>
            </w:pPr>
            <w:r>
              <w:rPr>
                <w:rFonts w:hint="eastAsia" w:hAnsi="宋体" w:cs="宋体"/>
                <w:b/>
                <w:color w:val="auto"/>
                <w:kern w:val="0"/>
                <w:szCs w:val="21"/>
                <w:highlight w:val="none"/>
              </w:rPr>
              <w:t>具体详见《采购内容与技术要求》</w:t>
            </w:r>
          </w:p>
        </w:tc>
      </w:tr>
      <w:tr w14:paraId="0EE59D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71F8ECD1">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3.1</w:t>
            </w:r>
          </w:p>
        </w:tc>
        <w:tc>
          <w:tcPr>
            <w:tcW w:w="2140" w:type="dxa"/>
            <w:gridSpan w:val="2"/>
            <w:vAlign w:val="center"/>
          </w:tcPr>
          <w:p w14:paraId="5432F5AE">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标段划分</w:t>
            </w:r>
          </w:p>
        </w:tc>
        <w:tc>
          <w:tcPr>
            <w:tcW w:w="6610" w:type="dxa"/>
            <w:vAlign w:val="center"/>
          </w:tcPr>
          <w:p w14:paraId="57521ACF">
            <w:pPr>
              <w:pStyle w:val="19"/>
              <w:spacing w:line="500" w:lineRule="exact"/>
              <w:rPr>
                <w:rFonts w:hint="eastAsia" w:hAnsi="宋体" w:cs="宋体"/>
                <w:color w:val="auto"/>
                <w:szCs w:val="21"/>
                <w:highlight w:val="none"/>
                <w:u w:val="single"/>
              </w:rPr>
            </w:pPr>
            <w:r>
              <w:rPr>
                <w:rFonts w:hint="eastAsia" w:hAnsi="宋体" w:cs="宋体"/>
                <w:b/>
                <w:bCs/>
                <w:color w:val="auto"/>
                <w:szCs w:val="21"/>
                <w:highlight w:val="none"/>
              </w:rPr>
              <w:t>本项目划分为</w:t>
            </w:r>
            <w:r>
              <w:rPr>
                <w:rFonts w:hint="eastAsia" w:hAnsi="宋体" w:cs="宋体"/>
                <w:b/>
                <w:bCs/>
                <w:color w:val="auto"/>
                <w:szCs w:val="21"/>
                <w:highlight w:val="none"/>
                <w:u w:val="single"/>
              </w:rPr>
              <w:t xml:space="preserve"> 1</w:t>
            </w:r>
            <w:r>
              <w:rPr>
                <w:rFonts w:hint="eastAsia" w:hAnsi="宋体" w:cs="宋体"/>
                <w:b/>
                <w:bCs/>
                <w:color w:val="auto"/>
                <w:szCs w:val="21"/>
                <w:highlight w:val="none"/>
              </w:rPr>
              <w:t>个标段。</w:t>
            </w:r>
          </w:p>
        </w:tc>
      </w:tr>
      <w:tr w14:paraId="048671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48" w:type="dxa"/>
            <w:vAlign w:val="center"/>
          </w:tcPr>
          <w:p w14:paraId="464B028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4.1</w:t>
            </w:r>
          </w:p>
        </w:tc>
        <w:tc>
          <w:tcPr>
            <w:tcW w:w="2140" w:type="dxa"/>
            <w:gridSpan w:val="2"/>
            <w:vAlign w:val="center"/>
          </w:tcPr>
          <w:p w14:paraId="309C76C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招标方式</w:t>
            </w:r>
          </w:p>
        </w:tc>
        <w:tc>
          <w:tcPr>
            <w:tcW w:w="6610" w:type="dxa"/>
            <w:vAlign w:val="center"/>
          </w:tcPr>
          <w:p w14:paraId="077CF309">
            <w:pPr>
              <w:pStyle w:val="19"/>
              <w:spacing w:line="500" w:lineRule="exact"/>
              <w:rPr>
                <w:rFonts w:hint="eastAsia" w:hAnsi="宋体" w:cs="宋体"/>
                <w:color w:val="auto"/>
                <w:szCs w:val="21"/>
                <w:highlight w:val="none"/>
              </w:rPr>
            </w:pPr>
            <w:r>
              <w:rPr>
                <w:rFonts w:hint="eastAsia" w:hAnsi="宋体" w:cs="宋体"/>
                <w:color w:val="auto"/>
                <w:szCs w:val="21"/>
                <w:highlight w:val="none"/>
              </w:rPr>
              <w:t>公开招标</w:t>
            </w:r>
          </w:p>
        </w:tc>
      </w:tr>
      <w:tr w14:paraId="292E7B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1048" w:type="dxa"/>
            <w:vAlign w:val="center"/>
          </w:tcPr>
          <w:p w14:paraId="01A682C0">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7.2</w:t>
            </w:r>
          </w:p>
        </w:tc>
        <w:tc>
          <w:tcPr>
            <w:tcW w:w="2140" w:type="dxa"/>
            <w:gridSpan w:val="2"/>
            <w:vAlign w:val="center"/>
          </w:tcPr>
          <w:p w14:paraId="7142ACE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投标人资格条件及其他要求</w:t>
            </w:r>
          </w:p>
        </w:tc>
        <w:tc>
          <w:tcPr>
            <w:tcW w:w="6610" w:type="dxa"/>
            <w:vAlign w:val="center"/>
          </w:tcPr>
          <w:p w14:paraId="21954D9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详见第一章“招标公告”</w:t>
            </w:r>
          </w:p>
        </w:tc>
      </w:tr>
      <w:tr w14:paraId="57BD77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C8A6CC6">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9.1</w:t>
            </w:r>
          </w:p>
        </w:tc>
        <w:tc>
          <w:tcPr>
            <w:tcW w:w="2140" w:type="dxa"/>
            <w:gridSpan w:val="2"/>
            <w:vAlign w:val="center"/>
          </w:tcPr>
          <w:p w14:paraId="425AD6E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踏勘现场</w:t>
            </w:r>
          </w:p>
        </w:tc>
        <w:tc>
          <w:tcPr>
            <w:tcW w:w="6610" w:type="dxa"/>
            <w:vAlign w:val="center"/>
          </w:tcPr>
          <w:p w14:paraId="034305FC">
            <w:pPr>
              <w:pStyle w:val="19"/>
              <w:spacing w:line="500" w:lineRule="exact"/>
              <w:rPr>
                <w:rFonts w:hint="eastAsia" w:hAnsi="宋体" w:cs="宋体"/>
                <w:color w:val="auto"/>
                <w:szCs w:val="21"/>
                <w:highlight w:val="none"/>
              </w:rPr>
            </w:pPr>
            <w:r>
              <w:rPr>
                <w:rFonts w:hint="eastAsia" w:hAnsi="宋体" w:cs="宋体"/>
                <w:color w:val="auto"/>
                <w:szCs w:val="21"/>
                <w:highlight w:val="none"/>
              </w:rPr>
              <w:t>不组织,投标人自行踏勘。</w:t>
            </w:r>
          </w:p>
        </w:tc>
      </w:tr>
      <w:tr w14:paraId="7123BC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4C113F7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10.1</w:t>
            </w:r>
          </w:p>
        </w:tc>
        <w:tc>
          <w:tcPr>
            <w:tcW w:w="2140" w:type="dxa"/>
            <w:gridSpan w:val="2"/>
            <w:vAlign w:val="center"/>
          </w:tcPr>
          <w:p w14:paraId="2C613BF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投标预备会</w:t>
            </w:r>
          </w:p>
        </w:tc>
        <w:tc>
          <w:tcPr>
            <w:tcW w:w="6610" w:type="dxa"/>
            <w:vAlign w:val="center"/>
          </w:tcPr>
          <w:p w14:paraId="4A0B0AB2">
            <w:pPr>
              <w:pStyle w:val="19"/>
              <w:spacing w:line="500" w:lineRule="exact"/>
              <w:rPr>
                <w:rFonts w:hint="eastAsia" w:hAnsi="宋体" w:cs="宋体"/>
                <w:color w:val="auto"/>
                <w:szCs w:val="21"/>
                <w:highlight w:val="none"/>
              </w:rPr>
            </w:pPr>
            <w:r>
              <w:rPr>
                <w:rFonts w:hint="eastAsia" w:hAnsi="宋体" w:cs="宋体"/>
                <w:color w:val="auto"/>
                <w:szCs w:val="21"/>
                <w:highlight w:val="none"/>
              </w:rPr>
              <w:t>不召开</w:t>
            </w:r>
          </w:p>
        </w:tc>
      </w:tr>
      <w:tr w14:paraId="55BF47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F30874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10.2</w:t>
            </w:r>
          </w:p>
        </w:tc>
        <w:tc>
          <w:tcPr>
            <w:tcW w:w="2140" w:type="dxa"/>
            <w:gridSpan w:val="2"/>
            <w:vAlign w:val="center"/>
          </w:tcPr>
          <w:p w14:paraId="7F439331">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投标人提出疑问的截止时间及方式</w:t>
            </w:r>
          </w:p>
        </w:tc>
        <w:tc>
          <w:tcPr>
            <w:tcW w:w="6610" w:type="dxa"/>
            <w:vAlign w:val="center"/>
          </w:tcPr>
          <w:p w14:paraId="39B180DF">
            <w:pPr>
              <w:pStyle w:val="19"/>
              <w:spacing w:line="500" w:lineRule="exact"/>
              <w:rPr>
                <w:rFonts w:hint="eastAsia" w:hAnsi="宋体" w:cs="宋体"/>
                <w:color w:val="auto"/>
                <w:szCs w:val="21"/>
                <w:highlight w:val="none"/>
              </w:rPr>
            </w:pPr>
            <w:r>
              <w:rPr>
                <w:rFonts w:hint="eastAsia" w:hAnsi="宋体" w:cs="宋体"/>
                <w:color w:val="auto"/>
                <w:szCs w:val="21"/>
                <w:highlight w:val="none"/>
              </w:rPr>
              <w:t>如投标人对招标文件有疑问，请于</w:t>
            </w:r>
            <w:r>
              <w:rPr>
                <w:rFonts w:hint="eastAsia" w:hAnsi="宋体" w:cs="宋体"/>
                <w:b/>
                <w:bCs/>
                <w:color w:val="auto"/>
                <w:szCs w:val="21"/>
                <w:highlight w:val="none"/>
              </w:rPr>
              <w:t>2026年</w:t>
            </w:r>
            <w:r>
              <w:rPr>
                <w:rFonts w:hint="eastAsia" w:hAnsi="宋体" w:cs="宋体"/>
                <w:b/>
                <w:bCs/>
                <w:color w:val="auto"/>
                <w:szCs w:val="21"/>
                <w:highlight w:val="none"/>
                <w:lang w:val="en-US" w:eastAsia="zh-CN"/>
              </w:rPr>
              <w:t>9</w:t>
            </w:r>
            <w:r>
              <w:rPr>
                <w:rFonts w:hint="eastAsia" w:hAnsi="宋体" w:cs="宋体"/>
                <w:b/>
                <w:bCs/>
                <w:color w:val="auto"/>
                <w:szCs w:val="21"/>
                <w:highlight w:val="none"/>
              </w:rPr>
              <w:t>月</w:t>
            </w:r>
            <w:r>
              <w:rPr>
                <w:rFonts w:hint="eastAsia" w:hAnsi="宋体" w:cs="宋体"/>
                <w:b/>
                <w:bCs/>
                <w:color w:val="auto"/>
                <w:szCs w:val="21"/>
                <w:highlight w:val="none"/>
                <w:lang w:val="en-US" w:eastAsia="zh-CN"/>
              </w:rPr>
              <w:t>1</w:t>
            </w:r>
            <w:r>
              <w:rPr>
                <w:rFonts w:hint="eastAsia" w:hAnsi="宋体" w:cs="宋体"/>
                <w:b/>
                <w:bCs/>
                <w:color w:val="auto"/>
                <w:szCs w:val="21"/>
                <w:highlight w:val="none"/>
              </w:rPr>
              <w:t>日</w:t>
            </w:r>
            <w:r>
              <w:rPr>
                <w:rFonts w:hint="eastAsia" w:hAnsi="宋体" w:cs="宋体"/>
                <w:b/>
                <w:bCs/>
                <w:color w:val="auto"/>
                <w:szCs w:val="21"/>
                <w:highlight w:val="none"/>
                <w:lang w:val="en-US" w:eastAsia="zh-CN"/>
              </w:rPr>
              <w:t>8</w:t>
            </w:r>
            <w:r>
              <w:rPr>
                <w:rFonts w:hint="eastAsia" w:hAnsi="宋体" w:cs="宋体"/>
                <w:b/>
                <w:bCs/>
                <w:color w:val="auto"/>
                <w:szCs w:val="21"/>
                <w:highlight w:val="none"/>
              </w:rPr>
              <w:t>时</w:t>
            </w:r>
            <w:r>
              <w:rPr>
                <w:rFonts w:hint="eastAsia" w:hAnsi="宋体" w:cs="宋体"/>
                <w:b/>
                <w:bCs/>
                <w:color w:val="auto"/>
                <w:szCs w:val="21"/>
                <w:highlight w:val="none"/>
                <w:lang w:val="en-US" w:eastAsia="zh-CN"/>
              </w:rPr>
              <w:t>50</w:t>
            </w:r>
            <w:r>
              <w:rPr>
                <w:rFonts w:hint="eastAsia" w:hAnsi="宋体" w:cs="宋体"/>
                <w:b/>
                <w:bCs/>
                <w:color w:val="auto"/>
                <w:szCs w:val="21"/>
                <w:highlight w:val="none"/>
              </w:rPr>
              <w:t>分</w:t>
            </w:r>
            <w:r>
              <w:rPr>
                <w:rFonts w:hint="eastAsia" w:hAnsi="宋体" w:cs="宋体"/>
                <w:color w:val="auto"/>
                <w:szCs w:val="21"/>
                <w:highlight w:val="none"/>
              </w:rPr>
              <w:t>（投标截止10日）前</w:t>
            </w:r>
            <w:bookmarkStart w:id="31" w:name="_Hlk61815279"/>
            <w:r>
              <w:rPr>
                <w:rFonts w:hint="eastAsia" w:hAnsi="宋体" w:cs="宋体"/>
                <w:color w:val="auto"/>
                <w:szCs w:val="21"/>
                <w:highlight w:val="none"/>
              </w:rPr>
              <w:t xml:space="preserve">在滁州市公共资源交易中心网电子交易系统中进行异议（质疑），具体操作步骤和程序请参见服务指南&gt;交易须知&gt;在线异议、质疑和投诉操作手册。 </w:t>
            </w:r>
            <w:bookmarkEnd w:id="31"/>
          </w:p>
        </w:tc>
      </w:tr>
      <w:tr w14:paraId="38F0A9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3AB6C9E4">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10.3</w:t>
            </w:r>
          </w:p>
        </w:tc>
        <w:tc>
          <w:tcPr>
            <w:tcW w:w="2140" w:type="dxa"/>
            <w:gridSpan w:val="2"/>
            <w:vAlign w:val="center"/>
          </w:tcPr>
          <w:p w14:paraId="47DB05B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招标人澄清的时间及方式</w:t>
            </w:r>
          </w:p>
        </w:tc>
        <w:tc>
          <w:tcPr>
            <w:tcW w:w="6610" w:type="dxa"/>
            <w:vAlign w:val="center"/>
          </w:tcPr>
          <w:p w14:paraId="5BD32FC9">
            <w:pPr>
              <w:spacing w:line="500" w:lineRule="exact"/>
              <w:rPr>
                <w:rFonts w:hint="eastAsia" w:ascii="宋体" w:hAnsi="宋体" w:cs="宋体"/>
                <w:color w:val="auto"/>
                <w:szCs w:val="21"/>
                <w:highlight w:val="none"/>
              </w:rPr>
            </w:pPr>
            <w:r>
              <w:rPr>
                <w:rFonts w:hint="eastAsia" w:ascii="宋体" w:hAnsi="宋体" w:cs="宋体"/>
                <w:b/>
                <w:bCs/>
                <w:color w:val="auto"/>
                <w:szCs w:val="21"/>
                <w:highlight w:val="none"/>
                <w:u w:color="000000"/>
              </w:rPr>
              <w:t>2026年</w:t>
            </w:r>
            <w:r>
              <w:rPr>
                <w:rFonts w:hint="eastAsia" w:ascii="宋体" w:hAnsi="宋体" w:cs="宋体"/>
                <w:b/>
                <w:bCs/>
                <w:color w:val="auto"/>
                <w:szCs w:val="21"/>
                <w:highlight w:val="none"/>
                <w:u w:color="000000"/>
                <w:lang w:val="en-US" w:eastAsia="zh-CN"/>
              </w:rPr>
              <w:t>9</w:t>
            </w:r>
            <w:r>
              <w:rPr>
                <w:rFonts w:hint="eastAsia" w:ascii="宋体" w:hAnsi="宋体" w:cs="宋体"/>
                <w:b/>
                <w:bCs/>
                <w:color w:val="auto"/>
                <w:szCs w:val="21"/>
                <w:highlight w:val="none"/>
                <w:u w:color="000000"/>
              </w:rPr>
              <w:t>月</w:t>
            </w:r>
            <w:r>
              <w:rPr>
                <w:rFonts w:hint="eastAsia" w:ascii="宋体" w:hAnsi="宋体" w:cs="宋体"/>
                <w:b/>
                <w:bCs/>
                <w:color w:val="auto"/>
                <w:szCs w:val="21"/>
                <w:highlight w:val="none"/>
                <w:u w:color="000000"/>
                <w:lang w:val="en-US" w:eastAsia="zh-CN"/>
              </w:rPr>
              <w:t>3</w:t>
            </w:r>
            <w:r>
              <w:rPr>
                <w:rFonts w:hint="eastAsia" w:ascii="宋体" w:hAnsi="宋体" w:cs="宋体"/>
                <w:b/>
                <w:bCs/>
                <w:color w:val="auto"/>
                <w:szCs w:val="21"/>
                <w:highlight w:val="none"/>
                <w:u w:color="000000"/>
              </w:rPr>
              <w:t>日17时</w:t>
            </w:r>
            <w:r>
              <w:rPr>
                <w:rFonts w:hint="eastAsia" w:ascii="宋体" w:hAnsi="宋体" w:cs="宋体"/>
                <w:b/>
                <w:bCs/>
                <w:color w:val="auto"/>
                <w:szCs w:val="21"/>
                <w:highlight w:val="none"/>
              </w:rPr>
              <w:t>前</w:t>
            </w:r>
            <w:r>
              <w:rPr>
                <w:rFonts w:hint="eastAsia" w:ascii="宋体" w:hAnsi="宋体" w:cs="宋体"/>
                <w:color w:val="auto"/>
                <w:szCs w:val="21"/>
                <w:highlight w:val="none"/>
              </w:rPr>
              <w:t>以澄清公告形式在滁州市公共资源交易网（http://ggzy.chuzhou.gov.cn /）“答疑澄清文件”栏目予以公告。</w:t>
            </w:r>
          </w:p>
        </w:tc>
      </w:tr>
      <w:tr w14:paraId="36F274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1048" w:type="dxa"/>
            <w:vAlign w:val="center"/>
          </w:tcPr>
          <w:p w14:paraId="10D83F4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11.1</w:t>
            </w:r>
          </w:p>
        </w:tc>
        <w:tc>
          <w:tcPr>
            <w:tcW w:w="2140" w:type="dxa"/>
            <w:gridSpan w:val="2"/>
            <w:vAlign w:val="center"/>
          </w:tcPr>
          <w:p w14:paraId="170D9521">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联合体投标</w:t>
            </w:r>
          </w:p>
        </w:tc>
        <w:tc>
          <w:tcPr>
            <w:tcW w:w="6610" w:type="dxa"/>
            <w:vAlign w:val="center"/>
          </w:tcPr>
          <w:p w14:paraId="24C49B3E">
            <w:pPr>
              <w:pStyle w:val="19"/>
              <w:spacing w:line="500" w:lineRule="exact"/>
              <w:rPr>
                <w:rFonts w:hint="eastAsia" w:hAnsi="宋体" w:cs="宋体"/>
                <w:color w:val="auto"/>
                <w:szCs w:val="21"/>
                <w:highlight w:val="none"/>
              </w:rPr>
            </w:pPr>
            <w:r>
              <w:rPr>
                <w:rFonts w:hint="eastAsia" w:hAnsi="宋体" w:cs="宋体"/>
                <w:color w:val="auto"/>
                <w:szCs w:val="21"/>
                <w:highlight w:val="none"/>
              </w:rPr>
              <w:t>本次招标不接受联合体投标</w:t>
            </w:r>
          </w:p>
        </w:tc>
      </w:tr>
      <w:tr w14:paraId="731AC3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58E3FFA7">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12.1</w:t>
            </w:r>
          </w:p>
        </w:tc>
        <w:tc>
          <w:tcPr>
            <w:tcW w:w="2140" w:type="dxa"/>
            <w:gridSpan w:val="2"/>
            <w:vAlign w:val="center"/>
          </w:tcPr>
          <w:p w14:paraId="068559A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招标代理费</w:t>
            </w:r>
          </w:p>
        </w:tc>
        <w:tc>
          <w:tcPr>
            <w:tcW w:w="6610" w:type="dxa"/>
            <w:vAlign w:val="center"/>
          </w:tcPr>
          <w:p w14:paraId="25ECEFD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代理服务费金额：8000元（参考计价格[2002]1980号文件80%）</w:t>
            </w:r>
          </w:p>
          <w:p w14:paraId="7B314D9A">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代理服务费支付主体：中标单位。</w:t>
            </w:r>
          </w:p>
          <w:p w14:paraId="066D7ED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专家评审费支付主体：代理机构。</w:t>
            </w:r>
          </w:p>
        </w:tc>
      </w:tr>
      <w:tr w14:paraId="5C5C3E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1048" w:type="dxa"/>
            <w:vAlign w:val="center"/>
          </w:tcPr>
          <w:p w14:paraId="1D6911D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16.3</w:t>
            </w:r>
          </w:p>
        </w:tc>
        <w:tc>
          <w:tcPr>
            <w:tcW w:w="2140" w:type="dxa"/>
            <w:gridSpan w:val="2"/>
            <w:vAlign w:val="center"/>
          </w:tcPr>
          <w:p w14:paraId="656082E4">
            <w:pPr>
              <w:spacing w:line="500" w:lineRule="exact"/>
              <w:ind w:right="-27" w:rightChars="-13"/>
              <w:jc w:val="center"/>
              <w:rPr>
                <w:rFonts w:hint="eastAsia" w:ascii="宋体" w:hAnsi="宋体" w:cs="宋体"/>
                <w:color w:val="auto"/>
                <w:szCs w:val="21"/>
                <w:highlight w:val="none"/>
              </w:rPr>
            </w:pPr>
            <w:r>
              <w:rPr>
                <w:rFonts w:hint="eastAsia" w:ascii="宋体" w:hAnsi="宋体" w:cs="宋体"/>
                <w:color w:val="auto"/>
                <w:szCs w:val="21"/>
                <w:highlight w:val="none"/>
              </w:rPr>
              <w:t>投标人要求澄清招标文件的截止时间及方式</w:t>
            </w:r>
          </w:p>
        </w:tc>
        <w:tc>
          <w:tcPr>
            <w:tcW w:w="6610" w:type="dxa"/>
            <w:vAlign w:val="center"/>
          </w:tcPr>
          <w:p w14:paraId="1B2709C9">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同表10.2款</w:t>
            </w:r>
          </w:p>
        </w:tc>
      </w:tr>
      <w:tr w14:paraId="4543CE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028BA62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23.1</w:t>
            </w:r>
          </w:p>
        </w:tc>
        <w:tc>
          <w:tcPr>
            <w:tcW w:w="2140" w:type="dxa"/>
            <w:gridSpan w:val="2"/>
            <w:vAlign w:val="center"/>
          </w:tcPr>
          <w:p w14:paraId="277EFE33">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投标有效期</w:t>
            </w:r>
          </w:p>
        </w:tc>
        <w:tc>
          <w:tcPr>
            <w:tcW w:w="6610" w:type="dxa"/>
            <w:vAlign w:val="center"/>
          </w:tcPr>
          <w:p w14:paraId="25D466E0">
            <w:pPr>
              <w:pStyle w:val="19"/>
              <w:spacing w:line="500" w:lineRule="exact"/>
              <w:rPr>
                <w:rFonts w:hint="eastAsia" w:hAnsi="宋体" w:cs="宋体"/>
                <w:color w:val="auto"/>
                <w:szCs w:val="21"/>
                <w:highlight w:val="none"/>
              </w:rPr>
            </w:pPr>
            <w:r>
              <w:rPr>
                <w:rFonts w:hint="eastAsia" w:hAnsi="宋体" w:cs="宋体"/>
                <w:color w:val="auto"/>
                <w:szCs w:val="21"/>
                <w:highlight w:val="none"/>
              </w:rPr>
              <w:t>投标有效期为</w:t>
            </w:r>
            <w:r>
              <w:rPr>
                <w:rFonts w:hint="eastAsia" w:hAnsi="宋体" w:cs="宋体"/>
                <w:color w:val="auto"/>
                <w:szCs w:val="21"/>
                <w:highlight w:val="none"/>
                <w:u w:val="single"/>
              </w:rPr>
              <w:t xml:space="preserve"> 90  </w:t>
            </w:r>
            <w:r>
              <w:rPr>
                <w:rFonts w:hint="eastAsia" w:hAnsi="宋体" w:cs="宋体"/>
                <w:color w:val="auto"/>
                <w:szCs w:val="21"/>
                <w:highlight w:val="none"/>
              </w:rPr>
              <w:t>日历天（从投标截止之日算起）。在此期限内，凡符合本招标文件要求的投标文件均保持有效。</w:t>
            </w:r>
          </w:p>
        </w:tc>
      </w:tr>
      <w:tr w14:paraId="30CD4E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1048" w:type="dxa"/>
            <w:vAlign w:val="center"/>
          </w:tcPr>
          <w:p w14:paraId="71E5F0D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24</w:t>
            </w:r>
          </w:p>
        </w:tc>
        <w:tc>
          <w:tcPr>
            <w:tcW w:w="2140" w:type="dxa"/>
            <w:gridSpan w:val="2"/>
            <w:vAlign w:val="center"/>
          </w:tcPr>
          <w:p w14:paraId="73CB23F5">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6610" w:type="dxa"/>
          </w:tcPr>
          <w:p w14:paraId="205D745D">
            <w:pPr>
              <w:widowControl/>
              <w:shd w:val="clear" w:color="auto" w:fill="FFFFFF"/>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u w:color="000000"/>
              </w:rPr>
              <w:t>详见第一章“招标公告”</w:t>
            </w:r>
          </w:p>
        </w:tc>
      </w:tr>
      <w:tr w14:paraId="0F324D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4005727B">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25.1</w:t>
            </w:r>
          </w:p>
        </w:tc>
        <w:tc>
          <w:tcPr>
            <w:tcW w:w="2140" w:type="dxa"/>
            <w:gridSpan w:val="2"/>
            <w:vAlign w:val="center"/>
          </w:tcPr>
          <w:p w14:paraId="546CAAB9">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投标文件数量</w:t>
            </w:r>
          </w:p>
        </w:tc>
        <w:tc>
          <w:tcPr>
            <w:tcW w:w="6610" w:type="dxa"/>
            <w:vAlign w:val="center"/>
          </w:tcPr>
          <w:p w14:paraId="1BD25900">
            <w:pPr>
              <w:widowControl/>
              <w:spacing w:line="500" w:lineRule="exact"/>
              <w:ind w:firstLine="88" w:firstLineChars="42"/>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网上递交的电子投标文件：一份。以投标人在投标截止时间前网上递交的电子投标文件为准，逾期提交的，投标文件将被拒绝。</w:t>
            </w:r>
          </w:p>
          <w:p w14:paraId="2F2BE6F5">
            <w:pPr>
              <w:widowControl/>
              <w:spacing w:line="500" w:lineRule="exact"/>
              <w:ind w:firstLine="88" w:firstLineChars="42"/>
              <w:jc w:val="left"/>
              <w:rPr>
                <w:rFonts w:hint="eastAsia" w:ascii="宋体" w:hAnsi="宋体" w:cs="宋体"/>
                <w:bCs/>
                <w:color w:val="auto"/>
                <w:szCs w:val="21"/>
                <w:highlight w:val="none"/>
              </w:rPr>
            </w:pPr>
            <w:r>
              <w:rPr>
                <w:rFonts w:hint="eastAsia" w:ascii="宋体" w:hAnsi="宋体" w:cs="宋体"/>
                <w:bCs/>
                <w:color w:val="auto"/>
                <w:kern w:val="0"/>
                <w:szCs w:val="21"/>
                <w:highlight w:val="none"/>
              </w:rPr>
              <w:t>（投标单位中标后须递交与网上电子投标文件完全一致的纸质版投标文件，并按要求加盖公章；份数：正本1份，中标单位领取中标通知书时，一并递交给代理机构）</w:t>
            </w:r>
          </w:p>
        </w:tc>
      </w:tr>
      <w:tr w14:paraId="6CCEA1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279FA33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25.2</w:t>
            </w:r>
          </w:p>
        </w:tc>
        <w:tc>
          <w:tcPr>
            <w:tcW w:w="2140" w:type="dxa"/>
            <w:gridSpan w:val="2"/>
            <w:vAlign w:val="center"/>
          </w:tcPr>
          <w:p w14:paraId="221E3655">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签字或盖章要求</w:t>
            </w:r>
          </w:p>
        </w:tc>
        <w:tc>
          <w:tcPr>
            <w:tcW w:w="6610" w:type="dxa"/>
            <w:vAlign w:val="center"/>
          </w:tcPr>
          <w:p w14:paraId="41234D0D">
            <w:pPr>
              <w:widowControl/>
              <w:spacing w:line="500" w:lineRule="exact"/>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电子投标文件须按格式文件要求签字或盖章（电子签章），招标文件格式中要求“签章”部位，指电子签章或盖章后扫描上传均可。</w:t>
            </w:r>
          </w:p>
          <w:p w14:paraId="1446C6F2">
            <w:pPr>
              <w:widowControl/>
              <w:spacing w:line="500" w:lineRule="exact"/>
              <w:ind w:firstLine="88" w:firstLineChars="42"/>
              <w:jc w:val="left"/>
              <w:rPr>
                <w:rFonts w:hint="eastAsia" w:ascii="宋体" w:hAnsi="宋体" w:cs="宋体"/>
                <w:bCs/>
                <w:color w:val="auto"/>
                <w:szCs w:val="21"/>
                <w:highlight w:val="none"/>
              </w:rPr>
            </w:pPr>
            <w:r>
              <w:rPr>
                <w:rFonts w:hint="eastAsia" w:ascii="宋体" w:hAnsi="宋体" w:cs="宋体"/>
                <w:bCs/>
                <w:color w:val="auto"/>
                <w:kern w:val="0"/>
                <w:szCs w:val="21"/>
                <w:highlight w:val="none"/>
              </w:rPr>
              <w:t>否则经评委会一致认定且经过招投标监管部门批准后，按照无效投标处理。</w:t>
            </w:r>
          </w:p>
        </w:tc>
      </w:tr>
      <w:tr w14:paraId="22CF6A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1048" w:type="dxa"/>
            <w:vAlign w:val="center"/>
          </w:tcPr>
          <w:p w14:paraId="009C8EB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26.1</w:t>
            </w:r>
          </w:p>
        </w:tc>
        <w:tc>
          <w:tcPr>
            <w:tcW w:w="2140" w:type="dxa"/>
            <w:gridSpan w:val="2"/>
            <w:vAlign w:val="center"/>
          </w:tcPr>
          <w:p w14:paraId="4AECF73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投标文件提交截止时间</w:t>
            </w:r>
          </w:p>
        </w:tc>
        <w:tc>
          <w:tcPr>
            <w:tcW w:w="6610" w:type="dxa"/>
            <w:vAlign w:val="center"/>
          </w:tcPr>
          <w:p w14:paraId="0FAB9F1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网上递交投标文件截止时间：</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50</w:t>
            </w:r>
            <w:r>
              <w:rPr>
                <w:rFonts w:hint="eastAsia" w:ascii="宋体" w:hAnsi="宋体" w:cs="宋体"/>
                <w:b/>
                <w:bCs/>
                <w:color w:val="auto"/>
                <w:szCs w:val="21"/>
                <w:highlight w:val="none"/>
              </w:rPr>
              <w:t>分（北京时间）</w:t>
            </w:r>
          </w:p>
          <w:p w14:paraId="043CC658">
            <w:pPr>
              <w:spacing w:line="500" w:lineRule="exact"/>
              <w:rPr>
                <w:rFonts w:hint="eastAsia" w:ascii="宋体" w:hAnsi="宋体" w:cs="宋体"/>
                <w:bCs/>
                <w:color w:val="auto"/>
                <w:szCs w:val="21"/>
                <w:highlight w:val="none"/>
              </w:rPr>
            </w:pPr>
            <w:r>
              <w:rPr>
                <w:rFonts w:hint="eastAsia" w:ascii="宋体" w:hAnsi="宋体" w:cs="宋体"/>
                <w:b/>
                <w:color w:val="auto"/>
                <w:szCs w:val="21"/>
                <w:highlight w:val="none"/>
              </w:rPr>
              <w:t>注：以投标人在投标截止时间前网上递交的电子投标文件为准，逾期提交的，投标文件将被拒绝。</w:t>
            </w:r>
          </w:p>
          <w:p w14:paraId="22911DEE">
            <w:pPr>
              <w:wordWrap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1.解密程序开始后60分钟内（以本项目网上招投标系统解密倒计时为准）。</w:t>
            </w:r>
          </w:p>
          <w:p w14:paraId="2CB05AAA">
            <w:pPr>
              <w:wordWrap w:val="0"/>
              <w:spacing w:line="500" w:lineRule="exact"/>
              <w:rPr>
                <w:rFonts w:hint="eastAsia" w:ascii="宋体" w:hAnsi="宋体" w:cs="宋体"/>
                <w:color w:val="auto"/>
                <w:szCs w:val="21"/>
                <w:highlight w:val="none"/>
              </w:rPr>
            </w:pPr>
            <w:r>
              <w:rPr>
                <w:rFonts w:hint="eastAsia" w:ascii="宋体" w:hAnsi="宋体" w:cs="宋体"/>
                <w:b/>
                <w:bCs/>
                <w:color w:val="auto"/>
                <w:szCs w:val="21"/>
                <w:highlight w:val="none"/>
              </w:rPr>
              <w:t>2.解密时间为2026年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50</w:t>
            </w:r>
            <w:r>
              <w:rPr>
                <w:rFonts w:hint="eastAsia" w:ascii="宋体" w:hAnsi="宋体" w:cs="宋体"/>
                <w:b/>
                <w:bCs/>
                <w:color w:val="auto"/>
                <w:szCs w:val="21"/>
                <w:highlight w:val="none"/>
              </w:rPr>
              <w:t>分至2026年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50</w:t>
            </w:r>
            <w:r>
              <w:rPr>
                <w:rFonts w:hint="eastAsia" w:ascii="宋体" w:hAnsi="宋体" w:cs="宋体"/>
                <w:b/>
                <w:bCs/>
                <w:color w:val="auto"/>
                <w:szCs w:val="21"/>
                <w:highlight w:val="none"/>
              </w:rPr>
              <w:t>分。</w:t>
            </w:r>
          </w:p>
        </w:tc>
      </w:tr>
      <w:tr w14:paraId="218160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1048" w:type="dxa"/>
            <w:vAlign w:val="center"/>
          </w:tcPr>
          <w:p w14:paraId="6C33AF4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27.3</w:t>
            </w:r>
          </w:p>
        </w:tc>
        <w:tc>
          <w:tcPr>
            <w:tcW w:w="2140" w:type="dxa"/>
            <w:gridSpan w:val="2"/>
            <w:vAlign w:val="center"/>
          </w:tcPr>
          <w:p w14:paraId="7CA6D7A7">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是否退还投标文件</w:t>
            </w:r>
          </w:p>
        </w:tc>
        <w:tc>
          <w:tcPr>
            <w:tcW w:w="6610" w:type="dxa"/>
            <w:vAlign w:val="center"/>
          </w:tcPr>
          <w:p w14:paraId="721ACDB6">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否</w:t>
            </w:r>
          </w:p>
        </w:tc>
      </w:tr>
      <w:tr w14:paraId="4D3073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4DAB4809">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2140" w:type="dxa"/>
            <w:gridSpan w:val="2"/>
            <w:vAlign w:val="center"/>
          </w:tcPr>
          <w:p w14:paraId="452E026A">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开标时间及地点</w:t>
            </w:r>
          </w:p>
        </w:tc>
        <w:tc>
          <w:tcPr>
            <w:tcW w:w="6610" w:type="dxa"/>
            <w:vAlign w:val="center"/>
          </w:tcPr>
          <w:p w14:paraId="017DC649">
            <w:pPr>
              <w:spacing w:line="500" w:lineRule="exact"/>
              <w:rPr>
                <w:rFonts w:hint="eastAsia" w:ascii="宋体" w:hAnsi="宋体" w:cs="宋体"/>
                <w:b/>
                <w:bCs/>
                <w:color w:val="auto"/>
                <w:szCs w:val="21"/>
                <w:highlight w:val="none"/>
              </w:rPr>
            </w:pPr>
            <w:r>
              <w:rPr>
                <w:rFonts w:hint="eastAsia" w:ascii="宋体" w:hAnsi="宋体" w:cs="宋体"/>
                <w:color w:val="auto"/>
                <w:szCs w:val="21"/>
                <w:highlight w:val="none"/>
              </w:rPr>
              <w:t>开标时间：</w:t>
            </w:r>
            <w:r>
              <w:rPr>
                <w:rFonts w:hint="eastAsia" w:ascii="宋体" w:hAnsi="宋体" w:cs="宋体"/>
                <w:b/>
                <w:bCs/>
                <w:color w:val="auto"/>
                <w:szCs w:val="21"/>
                <w:highlight w:val="none"/>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50</w:t>
            </w:r>
            <w:r>
              <w:rPr>
                <w:rFonts w:hint="eastAsia" w:ascii="宋体" w:hAnsi="宋体" w:cs="宋体"/>
                <w:b/>
                <w:bCs/>
                <w:color w:val="auto"/>
                <w:szCs w:val="21"/>
                <w:highlight w:val="none"/>
              </w:rPr>
              <w:t>分（北京时间）</w:t>
            </w:r>
          </w:p>
          <w:p w14:paraId="4627F3BC">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标地点：网上开标，投标人登录滁州市不见面开标系统参与网上开标（网址：https://ggzy.chuzhou.gov.cn/BidOpening/bidopeninghallaction/hall/login）。操作手册见https://ggzy.chuzhou.gov.cn/fwzn/011006/20240510/f0637388-583d-4c69-8331-05b6adfcf24d.html。</w:t>
            </w:r>
          </w:p>
        </w:tc>
      </w:tr>
      <w:tr w14:paraId="78A772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48" w:type="dxa"/>
            <w:vAlign w:val="center"/>
          </w:tcPr>
          <w:p w14:paraId="6849465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28.3</w:t>
            </w:r>
          </w:p>
        </w:tc>
        <w:tc>
          <w:tcPr>
            <w:tcW w:w="2140" w:type="dxa"/>
            <w:gridSpan w:val="2"/>
            <w:vAlign w:val="center"/>
          </w:tcPr>
          <w:p w14:paraId="740F909E">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开标程序</w:t>
            </w:r>
          </w:p>
        </w:tc>
        <w:tc>
          <w:tcPr>
            <w:tcW w:w="6610" w:type="dxa"/>
            <w:vAlign w:val="center"/>
          </w:tcPr>
          <w:p w14:paraId="04664B7F">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开标顺序：解密电子投标文件后，由评标委员会评审。</w:t>
            </w:r>
          </w:p>
        </w:tc>
      </w:tr>
      <w:tr w14:paraId="66D647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1048" w:type="dxa"/>
            <w:vAlign w:val="center"/>
          </w:tcPr>
          <w:p w14:paraId="48973052">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29.1</w:t>
            </w:r>
          </w:p>
        </w:tc>
        <w:tc>
          <w:tcPr>
            <w:tcW w:w="2140" w:type="dxa"/>
            <w:gridSpan w:val="2"/>
            <w:vAlign w:val="center"/>
          </w:tcPr>
          <w:p w14:paraId="52526561">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评标委员会的组建</w:t>
            </w:r>
          </w:p>
        </w:tc>
        <w:tc>
          <w:tcPr>
            <w:tcW w:w="6610" w:type="dxa"/>
          </w:tcPr>
          <w:p w14:paraId="0832636F">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评标委员会构成：5人，其中招标人代表0人，评标专家5人。</w:t>
            </w:r>
          </w:p>
          <w:p w14:paraId="33A0037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评标专家确定方式：评标专家由招标人在评标活动开始前24小时内，通过抽取终端从专家库中随机抽取。</w:t>
            </w:r>
          </w:p>
        </w:tc>
      </w:tr>
      <w:tr w14:paraId="38DE42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48" w:type="dxa"/>
            <w:vAlign w:val="center"/>
          </w:tcPr>
          <w:p w14:paraId="0681B718">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32.1.1</w:t>
            </w:r>
          </w:p>
        </w:tc>
        <w:tc>
          <w:tcPr>
            <w:tcW w:w="2140" w:type="dxa"/>
            <w:gridSpan w:val="2"/>
            <w:vAlign w:val="center"/>
          </w:tcPr>
          <w:p w14:paraId="7BFC2EF7">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是否授权评标委员会确定中标候选人</w:t>
            </w:r>
          </w:p>
        </w:tc>
        <w:tc>
          <w:tcPr>
            <w:tcW w:w="6610" w:type="dxa"/>
            <w:vAlign w:val="center"/>
          </w:tcPr>
          <w:p w14:paraId="3404A08C">
            <w:pPr>
              <w:pStyle w:val="19"/>
              <w:spacing w:line="500" w:lineRule="exact"/>
              <w:rPr>
                <w:rFonts w:hint="eastAsia" w:hAnsi="宋体" w:cs="宋体"/>
                <w:color w:val="auto"/>
                <w:szCs w:val="21"/>
                <w:highlight w:val="none"/>
              </w:rPr>
            </w:pPr>
            <w:r>
              <w:rPr>
                <w:rFonts w:hint="eastAsia" w:hAnsi="宋体" w:cs="宋体"/>
                <w:color w:val="auto"/>
                <w:szCs w:val="21"/>
                <w:highlight w:val="none"/>
              </w:rPr>
              <w:t>是，评标委员会推荐3名中标候选人。</w:t>
            </w:r>
          </w:p>
        </w:tc>
      </w:tr>
      <w:tr w14:paraId="1F390D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1048" w:type="dxa"/>
            <w:vAlign w:val="center"/>
          </w:tcPr>
          <w:p w14:paraId="6EEE9378">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32.1.2</w:t>
            </w:r>
          </w:p>
        </w:tc>
        <w:tc>
          <w:tcPr>
            <w:tcW w:w="2140" w:type="dxa"/>
            <w:gridSpan w:val="2"/>
            <w:vAlign w:val="center"/>
          </w:tcPr>
          <w:p w14:paraId="224C6AAE">
            <w:pPr>
              <w:pStyle w:val="19"/>
              <w:spacing w:line="500" w:lineRule="exact"/>
              <w:jc w:val="center"/>
              <w:rPr>
                <w:rFonts w:hint="eastAsia" w:hAnsi="宋体" w:cs="宋体"/>
                <w:color w:val="auto"/>
                <w:szCs w:val="21"/>
                <w:highlight w:val="none"/>
              </w:rPr>
            </w:pPr>
            <w:r>
              <w:rPr>
                <w:rFonts w:hint="eastAsia" w:hAnsi="宋体" w:cs="宋体"/>
                <w:color w:val="auto"/>
                <w:szCs w:val="21"/>
                <w:highlight w:val="none"/>
              </w:rPr>
              <w:t>中标结果公告媒介及期限</w:t>
            </w:r>
          </w:p>
        </w:tc>
        <w:tc>
          <w:tcPr>
            <w:tcW w:w="6610" w:type="dxa"/>
          </w:tcPr>
          <w:p w14:paraId="364728AF">
            <w:pPr>
              <w:pStyle w:val="19"/>
              <w:spacing w:line="500" w:lineRule="exact"/>
              <w:rPr>
                <w:rFonts w:hint="eastAsia" w:hAnsi="宋体" w:cs="宋体"/>
                <w:color w:val="auto"/>
                <w:szCs w:val="21"/>
                <w:highlight w:val="none"/>
              </w:rPr>
            </w:pPr>
            <w:r>
              <w:rPr>
                <w:rFonts w:hint="eastAsia" w:hAnsi="宋体" w:cs="宋体"/>
                <w:color w:val="auto"/>
                <w:szCs w:val="21"/>
                <w:highlight w:val="none"/>
              </w:rPr>
              <w:t>公示媒介：同招标公告发布媒介</w:t>
            </w:r>
          </w:p>
          <w:p w14:paraId="367BBAB7">
            <w:pPr>
              <w:pStyle w:val="19"/>
              <w:spacing w:line="500" w:lineRule="exact"/>
              <w:rPr>
                <w:rFonts w:hint="eastAsia" w:hAnsi="宋体" w:cs="宋体"/>
                <w:color w:val="auto"/>
                <w:spacing w:val="-4"/>
                <w:szCs w:val="21"/>
                <w:highlight w:val="none"/>
              </w:rPr>
            </w:pPr>
            <w:r>
              <w:rPr>
                <w:rFonts w:hint="eastAsia" w:hAnsi="宋体" w:cs="宋体"/>
                <w:color w:val="auto"/>
                <w:szCs w:val="21"/>
                <w:highlight w:val="none"/>
              </w:rPr>
              <w:t>公示期限：公示发布次日起3日（如公示第三日为休息日或节假日，则顺延至休息日或节假日后第一个工作日）</w:t>
            </w:r>
          </w:p>
        </w:tc>
      </w:tr>
      <w:tr w14:paraId="2CF7AD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restart"/>
            <w:vAlign w:val="center"/>
          </w:tcPr>
          <w:p w14:paraId="38FD7FC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32.2</w:t>
            </w:r>
          </w:p>
        </w:tc>
        <w:tc>
          <w:tcPr>
            <w:tcW w:w="2140" w:type="dxa"/>
            <w:gridSpan w:val="2"/>
            <w:vAlign w:val="center"/>
          </w:tcPr>
          <w:p w14:paraId="6FD2972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中标通知书</w:t>
            </w:r>
          </w:p>
        </w:tc>
        <w:tc>
          <w:tcPr>
            <w:tcW w:w="6610" w:type="dxa"/>
            <w:vAlign w:val="center"/>
          </w:tcPr>
          <w:p w14:paraId="33D2F248">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中标通知书须加盖公共资源交易中心见证章后方可发出。</w:t>
            </w:r>
          </w:p>
        </w:tc>
      </w:tr>
      <w:tr w14:paraId="7F90BC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continue"/>
            <w:vAlign w:val="center"/>
          </w:tcPr>
          <w:p w14:paraId="7270C092">
            <w:pPr>
              <w:spacing w:line="500" w:lineRule="exact"/>
              <w:jc w:val="center"/>
              <w:rPr>
                <w:rFonts w:hint="eastAsia" w:ascii="宋体" w:hAnsi="宋体" w:cs="宋体"/>
                <w:color w:val="auto"/>
                <w:szCs w:val="21"/>
                <w:highlight w:val="none"/>
              </w:rPr>
            </w:pPr>
          </w:p>
        </w:tc>
        <w:tc>
          <w:tcPr>
            <w:tcW w:w="2140" w:type="dxa"/>
            <w:gridSpan w:val="2"/>
            <w:vAlign w:val="center"/>
          </w:tcPr>
          <w:p w14:paraId="02875CB4">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中标通知书发出形式</w:t>
            </w:r>
          </w:p>
        </w:tc>
        <w:tc>
          <w:tcPr>
            <w:tcW w:w="6610" w:type="dxa"/>
            <w:vAlign w:val="center"/>
          </w:tcPr>
          <w:p w14:paraId="482DFBBC">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数据电文</w:t>
            </w:r>
          </w:p>
        </w:tc>
      </w:tr>
      <w:tr w14:paraId="4C94ED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1048" w:type="dxa"/>
            <w:vAlign w:val="center"/>
          </w:tcPr>
          <w:p w14:paraId="5E177BAF">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36.1</w:t>
            </w:r>
          </w:p>
        </w:tc>
        <w:tc>
          <w:tcPr>
            <w:tcW w:w="2140" w:type="dxa"/>
            <w:gridSpan w:val="2"/>
            <w:vAlign w:val="center"/>
          </w:tcPr>
          <w:p w14:paraId="4CB31D8C">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610" w:type="dxa"/>
            <w:vAlign w:val="center"/>
          </w:tcPr>
          <w:p w14:paraId="5A004A32">
            <w:pPr>
              <w:tabs>
                <w:tab w:val="left" w:pos="5034"/>
              </w:tabs>
              <w:spacing w:line="500" w:lineRule="exact"/>
              <w:rPr>
                <w:rFonts w:hint="eastAsia" w:ascii="宋体" w:hAnsi="宋体" w:cs="宋体"/>
                <w:color w:val="auto"/>
                <w:szCs w:val="21"/>
                <w:highlight w:val="none"/>
              </w:rPr>
            </w:pPr>
            <w:r>
              <w:rPr>
                <w:rFonts w:hint="eastAsia" w:ascii="宋体" w:hAnsi="宋体" w:cs="宋体"/>
                <w:color w:val="auto"/>
                <w:szCs w:val="21"/>
                <w:highlight w:val="none"/>
              </w:rPr>
              <w:t>是否收取履约担保：收取</w:t>
            </w:r>
          </w:p>
          <w:p w14:paraId="4EC6782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履约担保的形式：支持银行转账、银行电汇、银行保函、担保机构担保、保证保险使用 </w:t>
            </w:r>
          </w:p>
          <w:p w14:paraId="6D4892A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履约担保的金额：中标价*2%</w:t>
            </w:r>
          </w:p>
          <w:p w14:paraId="597BA1E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收款单位：另行通知</w:t>
            </w:r>
          </w:p>
          <w:p w14:paraId="636D5ED5">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开户行、账号：另行通知</w:t>
            </w:r>
          </w:p>
          <w:p w14:paraId="559A6731">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缴纳时间：签订合同前缴纳。</w:t>
            </w:r>
          </w:p>
          <w:p w14:paraId="16981C4B">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履约保证金退还方式：合同期满后，全部货物运至指定地点并验收合格后，履约保证金直接转为质保金，一年后退还。</w:t>
            </w:r>
          </w:p>
          <w:p w14:paraId="12AB14ED">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其他相关要求：保函内容及格式等均须经招标人认可。</w:t>
            </w:r>
          </w:p>
        </w:tc>
      </w:tr>
      <w:tr w14:paraId="50E6EC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1926" w:type="dxa"/>
            <w:gridSpan w:val="2"/>
            <w:vAlign w:val="center"/>
          </w:tcPr>
          <w:p w14:paraId="0778036F">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付款方式、时间、条件</w:t>
            </w:r>
          </w:p>
        </w:tc>
        <w:tc>
          <w:tcPr>
            <w:tcW w:w="7872" w:type="dxa"/>
            <w:gridSpan w:val="2"/>
            <w:vAlign w:val="center"/>
          </w:tcPr>
          <w:p w14:paraId="7DEE8916">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合同履行期间，中标人将货物运至指定地点并验收合格后，招标人将于3</w:t>
            </w:r>
            <w:r>
              <w:rPr>
                <w:rFonts w:ascii="宋体" w:hAnsi="宋体" w:cs="宋体"/>
                <w:color w:val="auto"/>
                <w:szCs w:val="21"/>
                <w:highlight w:val="none"/>
              </w:rPr>
              <w:t>0</w:t>
            </w:r>
            <w:r>
              <w:rPr>
                <w:rFonts w:hint="eastAsia" w:ascii="宋体" w:hAnsi="宋体" w:cs="宋体"/>
                <w:color w:val="auto"/>
                <w:szCs w:val="21"/>
                <w:highlight w:val="none"/>
              </w:rPr>
              <w:t>个工作日内支付验收合格且入库货物货款的100%。合同期满后，全部货物运至指定地点并验收合格后，履约保证金直接转为质保金，质保期从合同最后一批货验收合格起开始计算，质保期（12个月）满后一个月内一次性付清。</w:t>
            </w:r>
          </w:p>
          <w:p w14:paraId="598BC743">
            <w:pPr>
              <w:snapToGrid w:val="0"/>
              <w:spacing w:line="500" w:lineRule="exact"/>
              <w:rPr>
                <w:rFonts w:hint="eastAsia" w:ascii="宋体" w:hAnsi="宋体" w:cs="宋体"/>
                <w:color w:val="auto"/>
                <w:szCs w:val="21"/>
                <w:highlight w:val="none"/>
              </w:rPr>
            </w:pPr>
            <w:r>
              <w:rPr>
                <w:rFonts w:hint="eastAsia" w:ascii="宋体" w:hAnsi="宋体" w:cs="宋体"/>
                <w:b/>
                <w:bCs/>
                <w:color w:val="auto"/>
                <w:szCs w:val="21"/>
                <w:highlight w:val="none"/>
              </w:rPr>
              <w:t>注：中标人与滁州市水暖建材有限公司签订采购合同，且由其公司支付合同价款。</w:t>
            </w:r>
          </w:p>
        </w:tc>
      </w:tr>
      <w:tr w14:paraId="31F9B4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018415DC">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招标文件获取方式和时间</w:t>
            </w:r>
          </w:p>
        </w:tc>
        <w:tc>
          <w:tcPr>
            <w:tcW w:w="7872" w:type="dxa"/>
            <w:gridSpan w:val="2"/>
          </w:tcPr>
          <w:p w14:paraId="08A1E311">
            <w:pPr>
              <w:topLinePunct/>
              <w:spacing w:line="500" w:lineRule="exact"/>
              <w:rPr>
                <w:rFonts w:hint="eastAsia" w:ascii="宋体" w:hAnsi="宋体" w:cs="宋体"/>
                <w:color w:val="auto"/>
                <w:szCs w:val="21"/>
                <w:highlight w:val="none"/>
              </w:rPr>
            </w:pPr>
            <w:r>
              <w:rPr>
                <w:rFonts w:hint="eastAsia" w:ascii="宋体" w:hAnsi="宋体" w:cs="宋体"/>
                <w:color w:val="auto"/>
                <w:szCs w:val="21"/>
                <w:highlight w:val="none"/>
              </w:rPr>
              <w:t>招标文件获取方式：网上下载；</w:t>
            </w:r>
          </w:p>
          <w:p w14:paraId="55B108E3">
            <w:pPr>
              <w:topLinePunct/>
              <w:spacing w:line="500" w:lineRule="exact"/>
              <w:rPr>
                <w:rFonts w:hint="eastAsia" w:ascii="宋体" w:hAnsi="宋体" w:cs="宋体"/>
                <w:color w:val="auto"/>
                <w:szCs w:val="21"/>
                <w:highlight w:val="none"/>
              </w:rPr>
            </w:pPr>
            <w:r>
              <w:rPr>
                <w:rFonts w:hint="eastAsia" w:ascii="宋体" w:hAnsi="宋体" w:cs="宋体"/>
                <w:color w:val="auto"/>
                <w:szCs w:val="21"/>
                <w:highlight w:val="none"/>
              </w:rPr>
              <w:t>获取时间：招标文件发布至投标截止时间。</w:t>
            </w:r>
          </w:p>
        </w:tc>
      </w:tr>
      <w:tr w14:paraId="33BA2A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0A9BBC86">
            <w:pPr>
              <w:adjustRightInd w:val="0"/>
              <w:snapToGrid w:val="0"/>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投诉</w:t>
            </w:r>
          </w:p>
        </w:tc>
        <w:tc>
          <w:tcPr>
            <w:tcW w:w="7872" w:type="dxa"/>
            <w:gridSpan w:val="2"/>
          </w:tcPr>
          <w:p w14:paraId="684F1D05">
            <w:pPr>
              <w:adjustRightInd w:val="0"/>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投标人或者其他利害关系人认为招标投标活动违反法律、法规和规章规定的，有权向相关行政监督部门投诉。在线投诉具体步骤和程序请参照服务指南&gt;投诉渠道 </w:t>
            </w:r>
            <w:r>
              <w:rPr>
                <w:color w:val="auto"/>
                <w:highlight w:val="none"/>
              </w:rPr>
              <w:fldChar w:fldCharType="begin"/>
            </w:r>
            <w:r>
              <w:rPr>
                <w:color w:val="auto"/>
                <w:highlight w:val="none"/>
              </w:rPr>
              <w:instrText xml:space="preserve"> HYPERLINK "https://ggzy.chuzhou.gov.cn/fwzn/011001/serviceGuide.html" </w:instrText>
            </w:r>
            <w:r>
              <w:rPr>
                <w:color w:val="auto"/>
                <w:highlight w:val="none"/>
              </w:rPr>
              <w:fldChar w:fldCharType="separate"/>
            </w:r>
            <w:r>
              <w:rPr>
                <w:rFonts w:hint="eastAsia" w:ascii="宋体" w:hAnsi="宋体" w:cs="宋体"/>
                <w:color w:val="auto"/>
                <w:szCs w:val="21"/>
                <w:highlight w:val="none"/>
              </w:rPr>
              <w:t>https://ggzy.chuzhou.gov.cn/fwzn/011001/serviceGuide.html</w:t>
            </w:r>
            <w:r>
              <w:rPr>
                <w:rFonts w:hint="eastAsia" w:ascii="宋体" w:hAnsi="宋体" w:cs="宋体"/>
                <w:color w:val="auto"/>
                <w:szCs w:val="21"/>
                <w:highlight w:val="none"/>
              </w:rPr>
              <w:fldChar w:fldCharType="end"/>
            </w:r>
            <w:r>
              <w:rPr>
                <w:rFonts w:hint="eastAsia" w:ascii="宋体" w:hAnsi="宋体" w:cs="宋体"/>
                <w:color w:val="auto"/>
                <w:szCs w:val="21"/>
                <w:highlight w:val="none"/>
              </w:rPr>
              <w:t>；投诉书格式等内容参见服务指南&gt;办事指南&gt;投标人服务&gt;投诉受理一次告知书https://ggzy.chuzhou.gov.cn/fwzn/011001/011001001/011001001003/20211022/4b7d87ec-2c58-49b0-b76c-3a6277377930.html。</w:t>
            </w:r>
          </w:p>
        </w:tc>
      </w:tr>
      <w:tr w14:paraId="4E8046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77599654">
            <w:pPr>
              <w:widowControl/>
              <w:spacing w:line="5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特别提示</w:t>
            </w:r>
          </w:p>
        </w:tc>
        <w:tc>
          <w:tcPr>
            <w:tcW w:w="7872" w:type="dxa"/>
            <w:gridSpan w:val="2"/>
          </w:tcPr>
          <w:p w14:paraId="10EE8CFD">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1.本项目投标保证金、履约保证金均支持保函使用。以现金形式提交保证金的，应当同时退还保证金本金和银行同期存款利息。</w:t>
            </w:r>
          </w:p>
          <w:p w14:paraId="01555877">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2.投标人应填写投标信息并下载招标文件，否则无法上传投标文件。</w:t>
            </w:r>
          </w:p>
          <w:p w14:paraId="1729968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4F6351C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4.如果过程中出现招标文件更改，应以最后发布的招标答疑澄清文件中的模板制作本项目最新投标文件。</w:t>
            </w:r>
          </w:p>
          <w:p w14:paraId="75A815C6">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5.投标人应当用本单位CA数字证书制作投标文件，制作成功后进行投标文件上传。 </w:t>
            </w:r>
          </w:p>
          <w:p w14:paraId="1BA6322D">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7B467278">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7.请投标人注意加密投标文件CA数字证书的有效期，不在有效期的CA数字证书无法解密投标文件。</w:t>
            </w:r>
          </w:p>
          <w:p w14:paraId="29E2016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8.投标人投标MAC地址一致或申请开具电子保函MAC地址一致的，由评标委员会否决其投标。</w:t>
            </w:r>
          </w:p>
          <w:p w14:paraId="3D574067">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9.投标人投标文件中单方面出现其他投标人材料的（依法组成联合体投标的除外），由评标委员会否决其投标。</w:t>
            </w:r>
          </w:p>
          <w:p w14:paraId="084B45F2">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5582C8E0">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11.若存在不予退还投标人投标保证金的情形，银行转账的，由公共资源交易中心代为收缴，递交保函的，由招标人予以追缴。</w:t>
            </w:r>
          </w:p>
          <w:p w14:paraId="0C9FD00A">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53B38D0C">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kern w:val="0"/>
                <w:szCs w:val="21"/>
                <w:highlight w:val="none"/>
              </w:rPr>
              <w:t>投标人联系人或联系电话相同的，由评标委员会否决其投标，并报告监管部门作不良行为处理和进一步调查。</w:t>
            </w:r>
          </w:p>
          <w:p w14:paraId="109FF3E5">
            <w:pPr>
              <w:spacing w:line="500" w:lineRule="exact"/>
              <w:jc w:val="left"/>
              <w:rPr>
                <w:rFonts w:hint="eastAsia" w:ascii="宋体" w:hAnsi="宋体" w:cs="宋体"/>
                <w:b/>
                <w:bCs/>
                <w:color w:val="auto"/>
                <w:szCs w:val="21"/>
                <w:highlight w:val="none"/>
                <w:lang w:bidi="ar"/>
              </w:rPr>
            </w:pPr>
            <w:r>
              <w:rPr>
                <w:rFonts w:hint="eastAsia" w:ascii="宋体" w:hAnsi="宋体" w:cs="宋体"/>
                <w:color w:val="auto"/>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2D3B20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5C9122B9">
            <w:pPr>
              <w:spacing w:line="500" w:lineRule="exact"/>
              <w:jc w:val="center"/>
              <w:rPr>
                <w:rFonts w:hint="eastAsia" w:ascii="宋体" w:hAnsi="宋体" w:cs="宋体"/>
                <w:bCs/>
                <w:color w:val="auto"/>
                <w:szCs w:val="21"/>
                <w:highlight w:val="none"/>
                <w:lang w:bidi="ar"/>
              </w:rPr>
            </w:pPr>
            <w:r>
              <w:rPr>
                <w:rFonts w:hint="eastAsia" w:ascii="宋体" w:hAnsi="宋体" w:cs="宋体"/>
                <w:bCs/>
                <w:color w:val="auto"/>
                <w:szCs w:val="21"/>
                <w:highlight w:val="none"/>
                <w:lang w:bidi="ar"/>
              </w:rPr>
              <w:t>其他</w:t>
            </w:r>
          </w:p>
        </w:tc>
        <w:tc>
          <w:tcPr>
            <w:tcW w:w="7872" w:type="dxa"/>
            <w:gridSpan w:val="2"/>
          </w:tcPr>
          <w:p w14:paraId="0EE72171">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1.项目负责人必须是投标人本单位工作人员，提供虚假资料谋取中标将被依法处罚。投标人对所提交的投标人或拟派项目负责人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滁州市公共资源交易监督管理局）依法处理。</w:t>
            </w:r>
          </w:p>
          <w:p w14:paraId="3797DB0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2.中标人未履行下述义务的，滁州市公共资源交易监督管理局将依法对中标人进行处理，追究相关责任：</w:t>
            </w:r>
          </w:p>
          <w:p w14:paraId="37CEACE1">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12D75EB9">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②合同签订后，中标人存在规定时间内不组织人员进场开工、不履行供货安装义务等情况，招标人有权解除合同，并追究违约责任，同时将相关违约行为报送监管部门处理。</w:t>
            </w:r>
          </w:p>
        </w:tc>
      </w:tr>
      <w:tr w14:paraId="1A22FE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2A720CF1">
            <w:pPr>
              <w:adjustRightInd w:val="0"/>
              <w:snapToGrid w:val="0"/>
              <w:spacing w:line="500" w:lineRule="exact"/>
              <w:jc w:val="center"/>
              <w:rPr>
                <w:rFonts w:hint="eastAsia" w:ascii="宋体" w:hAnsi="宋体" w:cs="宋体"/>
                <w:bCs/>
                <w:color w:val="auto"/>
                <w:szCs w:val="21"/>
                <w:highlight w:val="none"/>
                <w:lang w:bidi="ar"/>
              </w:rPr>
            </w:pPr>
            <w:r>
              <w:rPr>
                <w:rFonts w:hint="eastAsia" w:ascii="宋体" w:hAnsi="宋体" w:cs="宋体"/>
                <w:bCs/>
                <w:color w:val="auto"/>
                <w:szCs w:val="21"/>
                <w:highlight w:val="none"/>
                <w:lang w:bidi="ar"/>
              </w:rPr>
              <w:t>变更招标方式</w:t>
            </w:r>
          </w:p>
        </w:tc>
        <w:tc>
          <w:tcPr>
            <w:tcW w:w="7872" w:type="dxa"/>
            <w:gridSpan w:val="2"/>
            <w:vAlign w:val="center"/>
          </w:tcPr>
          <w:p w14:paraId="63CED64B">
            <w:pPr>
              <w:pStyle w:val="17"/>
              <w:adjustRightInd w:val="0"/>
              <w:snapToGrid w:val="0"/>
              <w:spacing w:after="0" w:line="500" w:lineRule="exact"/>
              <w:rPr>
                <w:rFonts w:hint="eastAsia" w:ascii="宋体" w:hAnsi="宋体" w:cs="宋体"/>
                <w:color w:val="auto"/>
                <w:szCs w:val="21"/>
                <w:highlight w:val="none"/>
              </w:rPr>
            </w:pPr>
            <w:r>
              <w:rPr>
                <w:rFonts w:hint="eastAsia" w:ascii="宋体" w:hAnsi="宋体" w:cs="宋体"/>
                <w:color w:val="auto"/>
                <w:szCs w:val="21"/>
                <w:highlight w:val="none"/>
              </w:rPr>
              <w:t>按照滁州市公共资源交易监督管理局现行规定执行。</w:t>
            </w:r>
          </w:p>
        </w:tc>
      </w:tr>
    </w:tbl>
    <w:p w14:paraId="2AB80FFF">
      <w:pPr>
        <w:pageBreakBefore/>
        <w:spacing w:before="312" w:beforeLines="100" w:after="312" w:afterLines="100" w:line="500" w:lineRule="exact"/>
        <w:jc w:val="center"/>
        <w:outlineLvl w:val="1"/>
        <w:rPr>
          <w:rFonts w:ascii="宋体"/>
          <w:b/>
          <w:color w:val="auto"/>
          <w:sz w:val="28"/>
          <w:szCs w:val="32"/>
          <w:highlight w:val="none"/>
        </w:rPr>
      </w:pPr>
      <w:bookmarkStart w:id="32" w:name="_Toc58430315"/>
      <w:bookmarkStart w:id="33" w:name="_Toc28397"/>
      <w:bookmarkStart w:id="34" w:name="_Toc449028866"/>
      <w:r>
        <w:rPr>
          <w:rFonts w:hint="eastAsia" w:ascii="宋体"/>
          <w:b/>
          <w:color w:val="auto"/>
          <w:sz w:val="28"/>
          <w:szCs w:val="28"/>
          <w:highlight w:val="none"/>
        </w:rPr>
        <w:t>二、投标人须知</w:t>
      </w:r>
      <w:bookmarkEnd w:id="32"/>
      <w:bookmarkEnd w:id="33"/>
      <w:bookmarkEnd w:id="34"/>
    </w:p>
    <w:p w14:paraId="641A5452">
      <w:pPr>
        <w:spacing w:before="156" w:beforeLines="50" w:after="156" w:afterLines="50" w:line="500" w:lineRule="exact"/>
        <w:jc w:val="center"/>
        <w:rPr>
          <w:rFonts w:hint="eastAsia" w:ascii="宋体" w:hAnsi="宋体" w:cs="宋体"/>
          <w:color w:val="auto"/>
          <w:sz w:val="28"/>
          <w:szCs w:val="28"/>
          <w:highlight w:val="none"/>
        </w:rPr>
      </w:pPr>
      <w:bookmarkStart w:id="35" w:name="_Toc449028867"/>
      <w:r>
        <w:rPr>
          <w:rFonts w:hint="eastAsia" w:ascii="宋体" w:hAnsi="宋体" w:cs="宋体"/>
          <w:b/>
          <w:color w:val="auto"/>
          <w:sz w:val="28"/>
          <w:szCs w:val="28"/>
          <w:highlight w:val="none"/>
        </w:rPr>
        <w:t>（一）总  则</w:t>
      </w:r>
      <w:bookmarkEnd w:id="35"/>
    </w:p>
    <w:p w14:paraId="4523D574">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33B07B60">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691DAE93">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4AC9E00A">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7360E161">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62738E11">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6E326D53">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18207DE5">
      <w:pPr>
        <w:snapToGrid w:val="0"/>
        <w:spacing w:line="500" w:lineRule="exact"/>
        <w:ind w:firstLine="525" w:firstLineChars="250"/>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42F5E045">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7ADFB05">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7025728F">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0A6C2AE">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04302203">
      <w:pPr>
        <w:snapToGrid w:val="0"/>
        <w:spacing w:line="50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采购内容：详见《采购内容与技术要求》。</w:t>
      </w:r>
    </w:p>
    <w:p w14:paraId="1FE1965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 技术要求：详见《采购内容与技术要求》。</w:t>
      </w:r>
    </w:p>
    <w:p w14:paraId="0FEB5D47">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5FF56492">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AFA5745">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74C1E57D">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33EACA23">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10A7A376">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固定单价 。</w:t>
      </w:r>
    </w:p>
    <w:p w14:paraId="785365BB">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538156A0">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最低评标价法  </w:t>
      </w:r>
      <w:r>
        <w:rPr>
          <w:rFonts w:hint="eastAsia" w:ascii="宋体" w:hAnsi="宋体" w:cs="宋体"/>
          <w:color w:val="auto"/>
          <w:szCs w:val="21"/>
          <w:highlight w:val="none"/>
        </w:rPr>
        <w:t>（详见第三章评标办法）</w:t>
      </w:r>
    </w:p>
    <w:p w14:paraId="3B3D6123">
      <w:pPr>
        <w:snapToGrid w:val="0"/>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2D66DF45">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3E2968D1">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7.2根据电子化采购的特点，投标人参加本项目投标，投标人参加本项目投标，需在安徽省公共资源交易市场主体库（http://61.190.70.20/ahggfwpt-zhutiku）登记并进行信息确认提交。</w:t>
      </w:r>
    </w:p>
    <w:p w14:paraId="37BF1234">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7.3投标人必须确保自己在信息库中注册的信息真实、准确，并保证投标文件中的有关信息与库中的信息相一致。否则，投标人因此蒙受损失，招标人概不负责。</w:t>
      </w:r>
    </w:p>
    <w:p w14:paraId="690111D4">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5DB5E26D">
      <w:pPr>
        <w:snapToGrid w:val="0"/>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2D6E961">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9.</w:t>
      </w:r>
      <w:bookmarkStart w:id="36" w:name="_Toc247513962"/>
      <w:bookmarkStart w:id="37" w:name="_Toc152042315"/>
      <w:bookmarkStart w:id="38" w:name="_Toc247527563"/>
      <w:bookmarkStart w:id="39" w:name="_Toc296602429"/>
      <w:bookmarkStart w:id="40" w:name="_Toc152045539"/>
      <w:bookmarkStart w:id="41" w:name="_Toc144974507"/>
      <w:bookmarkStart w:id="42" w:name="_Toc247592876"/>
      <w:r>
        <w:rPr>
          <w:rFonts w:hint="eastAsia" w:ascii="宋体" w:hAnsi="宋体" w:cs="宋体"/>
          <w:b/>
          <w:color w:val="auto"/>
          <w:szCs w:val="21"/>
          <w:highlight w:val="none"/>
        </w:rPr>
        <w:t xml:space="preserve"> 踏勘现场</w:t>
      </w:r>
      <w:bookmarkEnd w:id="36"/>
      <w:bookmarkEnd w:id="37"/>
      <w:bookmarkEnd w:id="38"/>
      <w:bookmarkEnd w:id="39"/>
      <w:bookmarkEnd w:id="40"/>
      <w:bookmarkEnd w:id="41"/>
      <w:bookmarkEnd w:id="42"/>
    </w:p>
    <w:p w14:paraId="7A9E0ECF">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投标人须知前附表规定组织踏勘现场的，招标人按投标人须知前附表规定的时间、地点组织投标人踏勘项目现场。 </w:t>
      </w:r>
    </w:p>
    <w:p w14:paraId="1ACD264F">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32A9A657">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27568AA2">
      <w:pPr>
        <w:spacing w:line="500" w:lineRule="exact"/>
        <w:ind w:firstLine="409" w:firstLineChars="195"/>
        <w:jc w:val="left"/>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3" w:name="_Toc247592877"/>
      <w:bookmarkStart w:id="44" w:name="_Toc152042316"/>
      <w:bookmarkStart w:id="45" w:name="_Toc247513963"/>
      <w:bookmarkStart w:id="46" w:name="_Toc247527564"/>
      <w:bookmarkStart w:id="47" w:name="_Toc296602430"/>
      <w:bookmarkStart w:id="48" w:name="_Toc144974508"/>
      <w:bookmarkStart w:id="49" w:name="_Toc152045540"/>
    </w:p>
    <w:p w14:paraId="3D432C69">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3"/>
      <w:bookmarkEnd w:id="44"/>
      <w:bookmarkEnd w:id="45"/>
      <w:bookmarkEnd w:id="46"/>
      <w:bookmarkEnd w:id="47"/>
      <w:bookmarkEnd w:id="48"/>
      <w:bookmarkEnd w:id="49"/>
      <w:r>
        <w:rPr>
          <w:rFonts w:hint="eastAsia" w:ascii="宋体" w:hAnsi="宋体" w:cs="宋体"/>
          <w:b/>
          <w:color w:val="auto"/>
          <w:szCs w:val="21"/>
          <w:highlight w:val="none"/>
        </w:rPr>
        <w:t>（本项目不采用）</w:t>
      </w:r>
    </w:p>
    <w:p w14:paraId="677C24D9">
      <w:pPr>
        <w:spacing w:line="500" w:lineRule="exact"/>
        <w:ind w:firstLine="409"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556D0C05">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0CEC5FE9">
      <w:pPr>
        <w:spacing w:line="500" w:lineRule="exact"/>
        <w:ind w:firstLine="409" w:firstLineChars="195"/>
        <w:rPr>
          <w:rFonts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0B4226A9">
      <w:pPr>
        <w:spacing w:line="5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45E6EF8C">
      <w:pPr>
        <w:spacing w:line="500" w:lineRule="exact"/>
        <w:ind w:firstLine="210" w:firstLineChars="100"/>
        <w:jc w:val="left"/>
        <w:rPr>
          <w:rFonts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6A5493A0">
      <w:pPr>
        <w:spacing w:line="500" w:lineRule="exact"/>
        <w:ind w:firstLine="420" w:firstLineChars="200"/>
        <w:jc w:val="left"/>
        <w:rPr>
          <w:rFonts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2981B30B">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16DFBC8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25BDE9C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12B78AE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13.3推荐品牌有助于投标人选择所投产品，仅供参考，并无限制性，可以选择性能不低于推荐品牌的产品，但所投产品的技术参数，要最大限度满足招标文件提供的详细参数。</w:t>
      </w:r>
    </w:p>
    <w:p w14:paraId="32180E50">
      <w:pPr>
        <w:spacing w:line="50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color w:val="auto"/>
          <w:szCs w:val="21"/>
          <w:highlight w:val="none"/>
        </w:rPr>
        <w:t>（采用支票、汇票、本票、保函等的，以支票、汇票、本票、保函等递交的时间为准）</w:t>
      </w:r>
      <w:r>
        <w:rPr>
          <w:rFonts w:hint="eastAsia" w:ascii="宋体" w:hAnsi="宋体" w:cs="宋体"/>
          <w:color w:val="auto"/>
          <w:szCs w:val="21"/>
          <w:highlight w:val="none"/>
        </w:rPr>
        <w:t>。</w:t>
      </w:r>
    </w:p>
    <w:p w14:paraId="76D00E3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7244206">
      <w:pPr>
        <w:spacing w:line="50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2FD5E135">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6E765E71">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043D726C">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2D4168E2">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36FF99F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13.7凡投标人在我市公共资源交易活动中出现违法违规、破坏市场秩序等不良行为且被监管部门处罚的，一律在滁州市公共资源交易网等相关网站曝光。</w:t>
      </w:r>
    </w:p>
    <w:p w14:paraId="63149C7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13.8投标人的不良行为、失信行为及行政处罚等效力不因企业名称的变更而改变。</w:t>
      </w:r>
    </w:p>
    <w:p w14:paraId="1B4A94E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13.9中标候选人无正当理由放弃中标候选人资格的，其保证金将不予退还，并被记不良信息记录。</w:t>
      </w:r>
    </w:p>
    <w:p w14:paraId="5F276A23">
      <w:pPr>
        <w:pStyle w:val="12"/>
        <w:spacing w:after="0" w:line="500" w:lineRule="exact"/>
        <w:ind w:left="0" w:left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13.10若存在不予退还投标人投标保证金的情形，银行转账的，由市公共资源交易中心代为收缴，递交保函、支票、汇票、本票的，由招标人予以追缴。</w:t>
      </w:r>
    </w:p>
    <w:p w14:paraId="6E8AF74C">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2115626D">
      <w:pPr>
        <w:pStyle w:val="12"/>
        <w:spacing w:after="0" w:line="500" w:lineRule="exact"/>
        <w:ind w:left="0" w:left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175A6F01">
      <w:pPr>
        <w:spacing w:before="156" w:beforeLines="50" w:after="156" w:afterLines="50" w:line="500" w:lineRule="exact"/>
        <w:jc w:val="center"/>
        <w:rPr>
          <w:rFonts w:hint="eastAsia" w:ascii="宋体" w:hAnsi="宋体" w:cs="宋体"/>
          <w:b/>
          <w:color w:val="auto"/>
          <w:sz w:val="28"/>
          <w:szCs w:val="28"/>
          <w:highlight w:val="none"/>
        </w:rPr>
      </w:pPr>
      <w:bookmarkStart w:id="50" w:name="_Toc449028868"/>
      <w:r>
        <w:rPr>
          <w:rFonts w:hint="eastAsia" w:ascii="宋体" w:hAnsi="宋体" w:cs="宋体"/>
          <w:b/>
          <w:color w:val="auto"/>
          <w:sz w:val="28"/>
          <w:szCs w:val="28"/>
          <w:highlight w:val="none"/>
        </w:rPr>
        <w:t>（二）</w:t>
      </w:r>
      <w:bookmarkEnd w:id="50"/>
      <w:r>
        <w:rPr>
          <w:rFonts w:hint="eastAsia" w:ascii="宋体" w:hAnsi="宋体" w:cs="宋体"/>
          <w:b/>
          <w:color w:val="auto"/>
          <w:sz w:val="28"/>
          <w:szCs w:val="28"/>
          <w:highlight w:val="none"/>
        </w:rPr>
        <w:t>招标文件</w:t>
      </w:r>
    </w:p>
    <w:p w14:paraId="3E301B31">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3FA80646">
      <w:pPr>
        <w:spacing w:line="500" w:lineRule="exact"/>
        <w:ind w:firstLine="420" w:firstLineChars="200"/>
        <w:rPr>
          <w:rFonts w:ascii="宋体"/>
          <w:color w:val="auto"/>
          <w:szCs w:val="21"/>
          <w:highlight w:val="none"/>
        </w:rPr>
      </w:pPr>
      <w:r>
        <w:rPr>
          <w:rFonts w:hint="eastAsia" w:ascii="宋体"/>
          <w:color w:val="auto"/>
          <w:szCs w:val="21"/>
          <w:highlight w:val="none"/>
        </w:rPr>
        <w:t>根据</w:t>
      </w:r>
      <w:r>
        <w:rPr>
          <w:rFonts w:hint="eastAsia"/>
          <w:color w:val="auto"/>
          <w:highlight w:val="none"/>
        </w:rPr>
        <w:t>《中华人民共和国招标投标法》、《中华人民共和国招标投标法实施条例》</w:t>
      </w:r>
      <w:r>
        <w:rPr>
          <w:rFonts w:hint="eastAsia" w:ascii="宋体"/>
          <w:color w:val="auto"/>
          <w:szCs w:val="21"/>
          <w:highlight w:val="none"/>
        </w:rPr>
        <w:t>和</w:t>
      </w:r>
      <w:r>
        <w:rPr>
          <w:rFonts w:hint="eastAsia"/>
          <w:color w:val="auto"/>
          <w:highlight w:val="none"/>
        </w:rPr>
        <w:t>《中华人民共和国民法典》</w:t>
      </w:r>
      <w:r>
        <w:rPr>
          <w:rFonts w:hint="eastAsia" w:ascii="宋体"/>
          <w:color w:val="auto"/>
          <w:spacing w:val="-2"/>
          <w:szCs w:val="21"/>
          <w:highlight w:val="none"/>
        </w:rPr>
        <w:t>等相关法律法规和规章及部、省、市级规范性文件的规定，编制本招标文件。</w:t>
      </w:r>
    </w:p>
    <w:p w14:paraId="59922CD9">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2E703F9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5CFF919E">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E2ADC5B">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4AD6A8E7">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26C09ECD">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第四章  采购内容与技术要求</w:t>
      </w:r>
    </w:p>
    <w:p w14:paraId="44C0EF5F">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4E20F926">
      <w:pPr>
        <w:spacing w:line="500" w:lineRule="exact"/>
        <w:ind w:firstLine="1470" w:firstLineChars="700"/>
        <w:jc w:val="left"/>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1D4324A3">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0D7D8CD4">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51C615C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16.4 投标人可以通过电子交易系统对招标文件提出澄清（质疑）。招标文件的澄清将在滁州市公共资源交易中心（</w:t>
      </w:r>
      <w:r>
        <w:rPr>
          <w:rFonts w:hint="eastAsia"/>
          <w:color w:val="auto"/>
          <w:highlight w:val="none"/>
        </w:rPr>
        <w:fldChar w:fldCharType="begin"/>
      </w:r>
      <w:r>
        <w:rPr>
          <w:color w:val="auto"/>
          <w:highlight w:val="none"/>
        </w:rPr>
        <w:instrText xml:space="preserve"> HYPERLINK "qq://txfile/" </w:instrText>
      </w:r>
      <w:r>
        <w:rPr>
          <w:rFonts w:hint="eastAsia"/>
          <w:color w:val="auto"/>
          <w:highlight w:val="none"/>
        </w:rPr>
        <w:fldChar w:fldCharType="separate"/>
      </w:r>
      <w:r>
        <w:rPr>
          <w:rFonts w:hint="eastAsia" w:ascii="宋体" w:hAnsi="宋体" w:cs="宋体"/>
          <w:color w:val="auto"/>
          <w:szCs w:val="21"/>
          <w:highlight w:val="none"/>
        </w:rPr>
        <w:t>http:// ggzy.chuzhou.gov.cn/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）发布，但不指明澄清问题的来源。如果澄清内容影响投标文件编制的，将相应延长投标截止时间。</w:t>
      </w:r>
    </w:p>
    <w:p w14:paraId="362190CA">
      <w:pPr>
        <w:spacing w:line="50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17. 招标文件的异议、澄清</w:t>
      </w:r>
    </w:p>
    <w:p w14:paraId="4684397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17.1 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1BAEC179">
      <w:pPr>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17.2 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52B62C5C">
      <w:pPr>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17.3招标文件的解释</w:t>
      </w:r>
    </w:p>
    <w:p w14:paraId="0CE18F8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3289ED2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2E13A5D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2377E73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75407D7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0363CB5E">
      <w:pPr>
        <w:spacing w:line="5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18. 招标文件的发出</w:t>
      </w:r>
    </w:p>
    <w:p w14:paraId="05D8C72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18.1招标文件、招标文件的澄清、修改、补充及招标答疑等均应报公共资源交易监督管理机构备案后，方可发出。</w:t>
      </w:r>
    </w:p>
    <w:p w14:paraId="6D70E563">
      <w:pPr>
        <w:spacing w:line="500" w:lineRule="exact"/>
        <w:ind w:left="-420" w:leftChars="-200" w:right="-420" w:rightChars="-200" w:firstLine="843" w:firstLineChars="400"/>
        <w:rPr>
          <w:rFonts w:hint="eastAsia" w:ascii="宋体" w:hAnsi="宋体" w:cs="宋体"/>
          <w:b/>
          <w:bCs/>
          <w:color w:val="auto"/>
          <w:szCs w:val="21"/>
          <w:highlight w:val="none"/>
        </w:rPr>
      </w:pPr>
      <w:bookmarkStart w:id="51" w:name="_Toc449028869"/>
      <w:r>
        <w:rPr>
          <w:rFonts w:hint="eastAsia" w:ascii="宋体" w:hAnsi="宋体" w:cs="宋体"/>
          <w:b/>
          <w:bCs/>
          <w:color w:val="auto"/>
          <w:szCs w:val="21"/>
          <w:highlight w:val="none"/>
        </w:rPr>
        <w:t>19. 样品（本项目不采用）</w:t>
      </w:r>
    </w:p>
    <w:p w14:paraId="6C21D6B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5810E55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19.2招标文件中应明确样品送检方式、检测费用支付方法、投标人在规定时间内无法提供第三方权威检测机构检测报告的处理方式。</w:t>
      </w:r>
    </w:p>
    <w:p w14:paraId="19520681">
      <w:pPr>
        <w:spacing w:before="156" w:beforeLines="50" w:after="156" w:afterLines="50"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（三）投标文件的编制</w:t>
      </w:r>
      <w:bookmarkEnd w:id="51"/>
    </w:p>
    <w:p w14:paraId="716C67B0">
      <w:pPr>
        <w:spacing w:line="500" w:lineRule="exact"/>
        <w:ind w:firstLine="306" w:firstLineChars="145"/>
        <w:jc w:val="left"/>
        <w:rPr>
          <w:rFonts w:hint="eastAsia" w:ascii="宋体" w:hAnsi="宋体" w:cs="宋体"/>
          <w:b/>
          <w:color w:val="auto"/>
          <w:szCs w:val="21"/>
          <w:highlight w:val="none"/>
        </w:rPr>
      </w:pPr>
      <w:r>
        <w:rPr>
          <w:rFonts w:hint="eastAsia" w:ascii="宋体" w:hAnsi="宋体" w:cs="宋体"/>
          <w:b/>
          <w:color w:val="auto"/>
          <w:szCs w:val="21"/>
          <w:highlight w:val="none"/>
        </w:rPr>
        <w:t>20. 投标的语言及度量衡单位</w:t>
      </w:r>
    </w:p>
    <w:p w14:paraId="6EE62412">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7118CE8E">
      <w:pPr>
        <w:spacing w:line="50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0BFE46C2">
      <w:pPr>
        <w:spacing w:line="500" w:lineRule="exact"/>
        <w:ind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rPr>
        <w:t>21. 投标文件的组成、上传说明</w:t>
      </w:r>
    </w:p>
    <w:p w14:paraId="2C1270DF">
      <w:pPr>
        <w:spacing w:line="500" w:lineRule="exact"/>
        <w:ind w:firstLine="211" w:firstLineChars="100"/>
        <w:jc w:val="left"/>
        <w:rPr>
          <w:rFonts w:hint="eastAsia" w:ascii="宋体" w:hAnsi="宋体" w:cs="宋体"/>
          <w:color w:val="auto"/>
          <w:szCs w:val="21"/>
          <w:highlight w:val="none"/>
        </w:rPr>
      </w:pPr>
      <w:r>
        <w:rPr>
          <w:rFonts w:hint="eastAsia" w:ascii="宋体" w:hAnsi="宋体" w:cs="宋体"/>
          <w:b/>
          <w:color w:val="auto"/>
          <w:szCs w:val="21"/>
          <w:highlight w:val="none"/>
        </w:rPr>
        <w:t>21.1投标文件的组成</w:t>
      </w:r>
    </w:p>
    <w:p w14:paraId="65F2382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投标文件由投标文件一（资信证明文件）、投标文件二（技术标）和投标文件三（商务标）三部分组成。</w:t>
      </w:r>
      <w:r>
        <w:rPr>
          <w:rFonts w:hint="eastAsia" w:ascii="宋体" w:hAnsi="宋体" w:cs="宋体"/>
          <w:b/>
          <w:bCs/>
          <w:color w:val="auto"/>
          <w:szCs w:val="21"/>
          <w:highlight w:val="none"/>
        </w:rPr>
        <w:t>具体内容详见第六章投标文件格式内容。</w:t>
      </w:r>
    </w:p>
    <w:p w14:paraId="4E8B6B38">
      <w:pPr>
        <w:spacing w:line="500" w:lineRule="exact"/>
        <w:ind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rPr>
        <w:t>21.2投标文件的上传</w:t>
      </w:r>
    </w:p>
    <w:p w14:paraId="28D79876">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投标人在滁州市公共资源交易中心网，利用用户名或CA数字证书登录下载招标文件(.czzf格式)后，在下载投标文件制作工具安装后，在线制作投标文件，制作好的投标文件格式有2种:第一种.cztf格式加密投标文件；第二种.ncztf格式是非加密投标文件。请投标人将第一种投标文件通过系统“上传投标文件”上传到系统中。</w:t>
      </w:r>
    </w:p>
    <w:p w14:paraId="6D19F19A">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66BD377F">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474F3B59">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（4）投标人在投标文件编制、签章、上传过程中如有任何操作的疑问请及时联系技术支持，电话：0550-3801701。</w:t>
      </w:r>
    </w:p>
    <w:p w14:paraId="7D4E14C8">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5）如果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7C4F19C7">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21.3投标文件的编制</w:t>
      </w:r>
    </w:p>
    <w:p w14:paraId="62996FC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1700797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7E205290">
      <w:pPr>
        <w:spacing w:line="500" w:lineRule="exact"/>
        <w:ind w:left="-9" w:right="-199" w:rightChars="-95"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7099A543">
      <w:pPr>
        <w:spacing w:line="5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216628B4">
      <w:pPr>
        <w:spacing w:line="500" w:lineRule="exact"/>
        <w:ind w:firstLine="422" w:firstLineChars="200"/>
        <w:jc w:val="left"/>
        <w:rPr>
          <w:rFonts w:hint="eastAsia"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273404D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投标报价文件中的单价和总价全部采用人民币表示。投标人的报价应含有服务（货物）、利润、税金、政策性文件规定及合同包含的所有风险、责任、义务等，即为完成招标文件要求的服务（货物）内容所包含的一切应有费用，招标人后期不再追加费用，投标供应商自行考虑投标风险。</w:t>
      </w:r>
    </w:p>
    <w:p w14:paraId="75D8E8C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22.2投标报价表上应清楚地标明投标人拟提供货物的名称、型号、生产厂家、数量、单价和总价。</w:t>
      </w:r>
    </w:p>
    <w:p w14:paraId="530E0B5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22.3投标人只允许有一个方案、一个报价。</w:t>
      </w:r>
    </w:p>
    <w:p w14:paraId="2B4A5DB3">
      <w:pPr>
        <w:spacing w:line="50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22.4</w:t>
      </w:r>
      <w:r>
        <w:rPr>
          <w:rFonts w:hint="eastAsia" w:ascii="宋体"/>
          <w:color w:val="auto"/>
          <w:szCs w:val="21"/>
          <w:highlight w:val="none"/>
        </w:rPr>
        <w:t>投标人应按“采购内容及技术要求”所列货物逐项进行单价报价，并最终按货物总量乘以货物单价报总价，不得采用总价下浮的方式进行报价。</w:t>
      </w:r>
      <w:r>
        <w:rPr>
          <w:rFonts w:hint="eastAsia" w:ascii="宋体" w:hAnsi="宋体" w:cs="宋体"/>
          <w:b/>
          <w:bCs/>
          <w:color w:val="auto"/>
          <w:szCs w:val="21"/>
          <w:highlight w:val="none"/>
        </w:rPr>
        <w:t>综合单价包括：材料费、装卸费、运输费、管理费、利润、风险费用、招标代理费、检测费、调试、验收、培训及后期服务及国家对中标单位征收的各种税费等所有一切费用，综合单价今后将不作任何调整。</w:t>
      </w:r>
      <w:r>
        <w:rPr>
          <w:rFonts w:hint="eastAsia" w:ascii="宋体" w:hAnsi="宋体"/>
          <w:color w:val="auto"/>
          <w:szCs w:val="21"/>
          <w:highlight w:val="none"/>
        </w:rPr>
        <w:t>投标人应当保持单项价格的合理性，严禁出现不平衡报价的情况，项目采购结束后，采购人有权对各单项价格进行核查，对于严重超过市场价格的单价，将在正式合同中明确：对于认定为不平衡报价的单项，如果发生数量变动，将按照有利于甲方的单价进行认价。</w:t>
      </w:r>
    </w:p>
    <w:p w14:paraId="1FD63B8D">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22.5投标报价的价格是完成项目全部内容（包括后期的相关服务）交付验收的价格，其价格即为履行合同的固定单价。</w:t>
      </w:r>
    </w:p>
    <w:p w14:paraId="696ABF37">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22.6技术要求中规定的安装、调试和培训费用应包括在投标价格中。投标文件报价为含税价，采购人不再为此次招标支付任何费用。</w:t>
      </w:r>
    </w:p>
    <w:p w14:paraId="3C63E49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22.7投标报价应由法定代表人或被授权人签署。</w:t>
      </w:r>
    </w:p>
    <w:p w14:paraId="739AD4A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22.8投标人的报价（或单价）不得高于本次招标最高限价（或单价）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0CDFB09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22.9如投标文件中未列明全面实现投标货物功能而必须配置的配套或辅助设施及相应技术措施的费用，这些费用将被视为已包含在总投标价中。</w:t>
      </w:r>
    </w:p>
    <w:p w14:paraId="42B8D00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22.10总投标价中不得包含招标文件要求以外的内容，否则，在评标时不予核减，但在授予合同时，采购人有权将这部分价格从其中标价格中扣除。</w:t>
      </w:r>
    </w:p>
    <w:p w14:paraId="78852D8B">
      <w:pPr>
        <w:spacing w:line="500" w:lineRule="exact"/>
        <w:ind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22.11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44C2986">
      <w:pPr>
        <w:spacing w:line="500" w:lineRule="exact"/>
        <w:ind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22.12投标人不得对从第三方采购货物的随机备品、备件另行收费，否则在计算评标价时这部分费用将不予扣除，在授予合同时将从中标价格中扣除该部分费用。</w:t>
      </w:r>
    </w:p>
    <w:p w14:paraId="279818A6">
      <w:pPr>
        <w:spacing w:line="500" w:lineRule="exact"/>
        <w:ind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22.13投标人应根据货物的技术状况列出随机备品备件的清单和数量，并将该备品备件价格计入总投标价，若所提供的产品无需备件，则应在投标文件中说明；无论投标人在报价中列明随机备品备件的数量及价格多少，在质保期内采购人均无需为维护维修保养所需的专用工具和备品备件另行支付费用。</w:t>
      </w:r>
    </w:p>
    <w:p w14:paraId="01ED3B6E">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23. 投标有效期</w:t>
      </w:r>
    </w:p>
    <w:p w14:paraId="1F09567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23.1除投标人须知前附表另有规定外，投标有效期为90天。</w:t>
      </w:r>
    </w:p>
    <w:p w14:paraId="7A31F2E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6E0F59A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68CFC9A">
      <w:pPr>
        <w:spacing w:line="500" w:lineRule="exact"/>
        <w:ind w:firstLine="405" w:firstLineChars="192"/>
        <w:jc w:val="left"/>
        <w:rPr>
          <w:rFonts w:hint="eastAsia" w:ascii="宋体" w:hAnsi="宋体" w:cs="宋体"/>
          <w:b/>
          <w:color w:val="auto"/>
          <w:szCs w:val="21"/>
          <w:highlight w:val="none"/>
        </w:rPr>
      </w:pPr>
      <w:r>
        <w:rPr>
          <w:rFonts w:hint="eastAsia" w:ascii="宋体" w:hAnsi="宋体" w:cs="宋体"/>
          <w:b/>
          <w:color w:val="auto"/>
          <w:szCs w:val="21"/>
          <w:highlight w:val="none"/>
        </w:rPr>
        <w:t>24. 投标保证金</w:t>
      </w:r>
    </w:p>
    <w:p w14:paraId="15BCAECA">
      <w:pPr>
        <w:spacing w:line="500" w:lineRule="exact"/>
        <w:ind w:firstLine="420" w:firstLineChars="200"/>
        <w:jc w:val="left"/>
        <w:rPr>
          <w:rFonts w:hint="eastAsia" w:ascii="宋体" w:hAnsi="宋体" w:cs="宋体"/>
          <w:color w:val="auto"/>
          <w:szCs w:val="21"/>
          <w:highlight w:val="none"/>
        </w:rPr>
      </w:pPr>
      <w:bookmarkStart w:id="52" w:name="_Toc449028870"/>
      <w:r>
        <w:rPr>
          <w:rFonts w:hint="eastAsia" w:ascii="宋体" w:hAnsi="宋体" w:cs="宋体"/>
          <w:color w:val="auto"/>
          <w:szCs w:val="21"/>
          <w:highlight w:val="none"/>
        </w:rPr>
        <w:t>24.1投标人须知前附表规定递交投标保证金的，投标人在递交投标文件的同时，应按投标人须知前附表规定的金额、担保形式和招标文件规定的或者事先经过招标人认可的保证金格式递交保证金，并作为其投标文件的组成部分。</w:t>
      </w:r>
    </w:p>
    <w:p w14:paraId="7DB099F8">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23.3项的规定延长了投标有效期，则投标保证金的有效期也相应延长。</w:t>
      </w:r>
    </w:p>
    <w:p w14:paraId="232743E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24.2投标人不按本章第24.11项要求提交投标保证金的，评标委员会将否决其投标。</w:t>
      </w:r>
    </w:p>
    <w:p w14:paraId="0AB6AD7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24.3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3807B96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24.4有下列情形之一的，投标保证金将不予退还： </w:t>
      </w:r>
    </w:p>
    <w:p w14:paraId="0B7C422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3577925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05C940B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24.5投标保证金按《</w:t>
      </w:r>
      <w:r>
        <w:rPr>
          <w:rFonts w:hint="eastAsia"/>
          <w:color w:val="auto"/>
          <w:highlight w:val="none"/>
        </w:rPr>
        <w:fldChar w:fldCharType="begin"/>
      </w:r>
      <w:r>
        <w:rPr>
          <w:color w:val="auto"/>
          <w:highlight w:val="none"/>
        </w:rPr>
        <w:instrText xml:space="preserve"> HYPERLINK "https://www.chuzhou.gov.cn/group1/M00/12/83/CpYI8mGDiKqAD_IkAAEIAMLVghw186.doc" \t "_blank" </w:instrText>
      </w:r>
      <w:r>
        <w:rPr>
          <w:rFonts w:hint="eastAsia"/>
          <w:color w:val="auto"/>
          <w:highlight w:val="none"/>
        </w:rPr>
        <w:fldChar w:fldCharType="separate"/>
      </w:r>
      <w:r>
        <w:rPr>
          <w:rFonts w:hint="eastAsia" w:ascii="宋体" w:hAnsi="宋体" w:cs="宋体"/>
          <w:color w:val="auto"/>
          <w:szCs w:val="21"/>
          <w:highlight w:val="none"/>
        </w:rPr>
        <w:t>滁州市公共资源交易投标保证金管理规定</w:t>
      </w:r>
      <w:r>
        <w:rPr>
          <w:rFonts w:hint="eastAsia" w:ascii="宋体" w:hAnsi="宋体" w:cs="宋体"/>
          <w:color w:val="auto"/>
          <w:szCs w:val="21"/>
          <w:highlight w:val="none"/>
        </w:rPr>
        <w:fldChar w:fldCharType="end"/>
      </w:r>
      <w:r>
        <w:rPr>
          <w:rFonts w:hint="eastAsia" w:ascii="宋体" w:hAnsi="宋体" w:cs="宋体"/>
          <w:color w:val="auto"/>
          <w:szCs w:val="21"/>
          <w:highlight w:val="none"/>
        </w:rPr>
        <w:t>》（滁公管〔2021〕7号）规定执行。</w:t>
      </w:r>
    </w:p>
    <w:p w14:paraId="2BC9BFEC">
      <w:pPr>
        <w:spacing w:before="156" w:beforeLines="50" w:after="156" w:afterLines="50"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2"/>
    </w:p>
    <w:p w14:paraId="5B262D85">
      <w:pPr>
        <w:spacing w:line="5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00C97B31">
      <w:pPr>
        <w:spacing w:line="500" w:lineRule="exact"/>
        <w:ind w:firstLine="420" w:firstLineChars="200"/>
        <w:jc w:val="left"/>
        <w:rPr>
          <w:rFonts w:hint="eastAsia" w:ascii="宋体" w:hAnsi="宋体" w:cs="宋体"/>
          <w:color w:val="auto"/>
          <w:szCs w:val="21"/>
          <w:highlight w:val="none"/>
        </w:rPr>
      </w:pPr>
      <w:bookmarkStart w:id="53"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71C7351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25.2电子投标文件须按格式文件要求签字或盖章（电子签章），否则经评委会一致认定且经过公共资源交易监督部门批准后, 按照无效投标处理。</w:t>
      </w:r>
    </w:p>
    <w:p w14:paraId="5F3D974B">
      <w:pPr>
        <w:spacing w:line="50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26. 投标文件的提交</w:t>
      </w:r>
    </w:p>
    <w:p w14:paraId="10E065F1">
      <w:pPr>
        <w:spacing w:line="500" w:lineRule="exact"/>
        <w:ind w:firstLine="310" w:firstLineChars="148"/>
        <w:jc w:val="left"/>
        <w:rPr>
          <w:rFonts w:hint="eastAsia" w:ascii="宋体" w:hAnsi="宋体" w:cs="宋体"/>
          <w:b/>
          <w:color w:val="auto"/>
          <w:szCs w:val="21"/>
          <w:highlight w:val="none"/>
        </w:rPr>
      </w:pPr>
      <w:r>
        <w:rPr>
          <w:rFonts w:hint="eastAsia" w:ascii="宋体" w:hAnsi="宋体" w:cs="宋体"/>
          <w:color w:val="auto"/>
          <w:szCs w:val="21"/>
          <w:highlight w:val="none"/>
        </w:rPr>
        <w:t>26.1 投标人应在投标人须知前附表规定的投标截止时间前在网上递交投标文件。未在开标截止时间前通过网上招标投标系统递交有效电子投标文件的，开标系统不予接收，投标将被拒绝。</w:t>
      </w:r>
    </w:p>
    <w:p w14:paraId="47218780">
      <w:pPr>
        <w:spacing w:line="500" w:lineRule="exact"/>
        <w:ind w:firstLine="314" w:firstLineChars="149"/>
        <w:jc w:val="left"/>
        <w:rPr>
          <w:rFonts w:hint="eastAsia" w:ascii="宋体" w:hAnsi="宋体" w:cs="宋体"/>
          <w:b/>
          <w:color w:val="auto"/>
          <w:szCs w:val="21"/>
          <w:highlight w:val="none"/>
        </w:rPr>
      </w:pPr>
      <w:r>
        <w:rPr>
          <w:rFonts w:hint="eastAsia" w:ascii="宋体" w:hAnsi="宋体" w:cs="宋体"/>
          <w:b/>
          <w:color w:val="auto"/>
          <w:szCs w:val="21"/>
          <w:highlight w:val="none"/>
        </w:rPr>
        <w:t>27．投标文件的修改与撤回</w:t>
      </w:r>
    </w:p>
    <w:p w14:paraId="7E4F8E21">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27.1采用网上招投标的，在规定的投标截止时间前，投标人可以自行从网上招投标系统撤回已递交的投标文件，并可修改后重新上传，开标时以投标截止时间前投标人最终上传的投标文件为准。</w:t>
      </w:r>
    </w:p>
    <w:p w14:paraId="2F3B6777">
      <w:pPr>
        <w:spacing w:line="500" w:lineRule="exact"/>
        <w:ind w:firstLine="421"/>
        <w:jc w:val="left"/>
        <w:rPr>
          <w:rFonts w:ascii="宋体"/>
          <w:b/>
          <w:color w:val="auto"/>
          <w:szCs w:val="21"/>
          <w:highlight w:val="none"/>
        </w:rPr>
      </w:pPr>
      <w:r>
        <w:rPr>
          <w:rFonts w:hint="eastAsia" w:ascii="宋体"/>
          <w:b/>
          <w:color w:val="auto"/>
          <w:szCs w:val="21"/>
          <w:highlight w:val="none"/>
        </w:rPr>
        <w:t>28.偏离</w:t>
      </w:r>
    </w:p>
    <w:p w14:paraId="7B26403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5FAD154E">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4766390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7E66F83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381B757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46F2762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7B4937C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0776279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对于本章第28.1.2 项（1）目所述的细微偏差，按照第四章“评标办法”的规定予以修正并要求投标人进行澄清；</w:t>
      </w:r>
    </w:p>
    <w:p w14:paraId="53554EE7">
      <w:pPr>
        <w:spacing w:before="156" w:beforeLines="50" w:after="156" w:afterLines="50" w:line="500" w:lineRule="exact"/>
        <w:ind w:firstLine="420" w:firstLineChars="200"/>
        <w:rPr>
          <w:rFonts w:hint="eastAsia"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5FC9DC0D">
      <w:pPr>
        <w:spacing w:before="156" w:beforeLines="50" w:after="156" w:afterLines="50"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3"/>
    </w:p>
    <w:p w14:paraId="0A5DA03C">
      <w:pPr>
        <w:spacing w:line="500" w:lineRule="exact"/>
        <w:ind w:firstLine="421"/>
        <w:jc w:val="left"/>
        <w:rPr>
          <w:rFonts w:ascii="宋体"/>
          <w:b/>
          <w:color w:val="auto"/>
          <w:szCs w:val="21"/>
          <w:highlight w:val="none"/>
        </w:rPr>
      </w:pPr>
      <w:r>
        <w:rPr>
          <w:rFonts w:hint="eastAsia" w:ascii="宋体"/>
          <w:b/>
          <w:color w:val="auto"/>
          <w:szCs w:val="21"/>
          <w:highlight w:val="none"/>
        </w:rPr>
        <w:t>29. 开标</w:t>
      </w:r>
    </w:p>
    <w:p w14:paraId="0607E88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29.1 开标的时间和地点</w:t>
      </w:r>
    </w:p>
    <w:p w14:paraId="7206563A">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363ABA8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29.2 参与开标的监督部门</w:t>
      </w:r>
    </w:p>
    <w:p w14:paraId="0004035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7D28647C">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29.3开标程序</w:t>
      </w:r>
    </w:p>
    <w:p w14:paraId="62F1EA8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25B2576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3F26E8D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7713C54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（3）公布投标截止时间前，通过滁州市公共资源交易中心网上招投标系统递交投标文件的投标人名称等； </w:t>
      </w:r>
    </w:p>
    <w:p w14:paraId="119F885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01E2DD0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5DE2B5B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091B97E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多标段项目按照标段顺序按以上程序依次开标。</w:t>
      </w:r>
    </w:p>
    <w:p w14:paraId="1E603FAF">
      <w:pPr>
        <w:spacing w:line="500" w:lineRule="exact"/>
        <w:ind w:right="-155" w:rightChars="-74" w:firstLine="420" w:firstLineChars="200"/>
        <w:jc w:val="left"/>
        <w:rPr>
          <w:rFonts w:ascii="宋体"/>
          <w:color w:val="auto"/>
          <w:szCs w:val="21"/>
          <w:highlight w:val="none"/>
        </w:rPr>
      </w:pPr>
      <w:r>
        <w:rPr>
          <w:rFonts w:hint="eastAsia" w:ascii="宋体"/>
          <w:color w:val="auto"/>
          <w:szCs w:val="21"/>
          <w:highlight w:val="none"/>
        </w:rPr>
        <w:t>29.4开标异议</w:t>
      </w:r>
    </w:p>
    <w:p w14:paraId="3F53E0E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199A7564">
      <w:pPr>
        <w:spacing w:line="500" w:lineRule="exact"/>
        <w:ind w:firstLine="421"/>
        <w:jc w:val="left"/>
        <w:rPr>
          <w:rFonts w:ascii="宋体"/>
          <w:b/>
          <w:color w:val="auto"/>
          <w:szCs w:val="21"/>
          <w:highlight w:val="none"/>
        </w:rPr>
      </w:pPr>
      <w:r>
        <w:rPr>
          <w:rFonts w:hint="eastAsia" w:ascii="宋体"/>
          <w:b/>
          <w:color w:val="auto"/>
          <w:szCs w:val="21"/>
          <w:highlight w:val="none"/>
        </w:rPr>
        <w:t>30.评标委员会</w:t>
      </w:r>
    </w:p>
    <w:p w14:paraId="2AE3FD4B">
      <w:pPr>
        <w:spacing w:line="500" w:lineRule="exact"/>
        <w:ind w:firstLine="420" w:firstLineChars="200"/>
        <w:jc w:val="left"/>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E1E9D19">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0856E397">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03E491C9">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B139FDD">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03859C12">
      <w:pPr>
        <w:spacing w:line="50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57C14C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6D63AD2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46FE027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36E2BE6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71B394F5">
      <w:pPr>
        <w:spacing w:line="500" w:lineRule="exact"/>
        <w:ind w:firstLine="421"/>
        <w:jc w:val="left"/>
        <w:rPr>
          <w:rFonts w:ascii="宋体"/>
          <w:b/>
          <w:color w:val="auto"/>
          <w:szCs w:val="21"/>
          <w:highlight w:val="none"/>
        </w:rPr>
      </w:pPr>
      <w:r>
        <w:rPr>
          <w:rFonts w:hint="eastAsia" w:ascii="宋体"/>
          <w:b/>
          <w:color w:val="auto"/>
          <w:szCs w:val="21"/>
          <w:highlight w:val="none"/>
        </w:rPr>
        <w:t>31.评标</w:t>
      </w:r>
    </w:p>
    <w:p w14:paraId="3210B18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20B6D7D0">
      <w:pPr>
        <w:spacing w:line="500" w:lineRule="exact"/>
        <w:ind w:firstLine="420" w:firstLineChars="200"/>
        <w:jc w:val="left"/>
        <w:rPr>
          <w:rFonts w:hint="eastAsia" w:ascii="宋体" w:hAnsi="宋体" w:cs="宋体"/>
          <w:color w:val="auto"/>
          <w:szCs w:val="21"/>
          <w:highlight w:val="none"/>
        </w:rPr>
      </w:pPr>
      <w:bookmarkStart w:id="54"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189AF9D2">
      <w:pPr>
        <w:spacing w:line="500" w:lineRule="exact"/>
        <w:ind w:firstLine="420" w:firstLineChars="200"/>
        <w:jc w:val="left"/>
        <w:rPr>
          <w:rFonts w:ascii="宋体"/>
          <w:color w:val="auto"/>
          <w:szCs w:val="21"/>
          <w:highlight w:val="none"/>
        </w:rPr>
      </w:pPr>
      <w:r>
        <w:rPr>
          <w:rFonts w:hint="eastAsia" w:ascii="宋体"/>
          <w:color w:val="auto"/>
          <w:szCs w:val="21"/>
          <w:highlight w:val="none"/>
        </w:rPr>
        <w:t>31.3评标原则：遵循公平、公正、科学和择优的原则。</w:t>
      </w:r>
    </w:p>
    <w:p w14:paraId="19289282">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31.4投标文件的澄清</w:t>
      </w:r>
    </w:p>
    <w:p w14:paraId="15EFC466">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31.4.1在评标过程中，评标委员会认为需要，在公共资源交易监督管理部门的监督下，可要求投标人对投标文件中的有关问题进行澄清或提供补充说明及有关资料，投标人应做出书面答复。</w:t>
      </w:r>
    </w:p>
    <w:p w14:paraId="1C173C44">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8606F30">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31.5报价合理性的判断</w:t>
      </w:r>
    </w:p>
    <w:p w14:paraId="101DF238">
      <w:pPr>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95EA087">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31.6评审意见分歧的处理办法</w:t>
      </w:r>
    </w:p>
    <w:p w14:paraId="0BE28734">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59451A19">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72C61FF4">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31.7评标报告的签署</w:t>
      </w:r>
    </w:p>
    <w:p w14:paraId="75BF38AF">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6855158">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31.8评标过程的保密</w:t>
      </w:r>
    </w:p>
    <w:p w14:paraId="1D6A6CAC">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3D0E8608">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31.9评标结果公告</w:t>
      </w:r>
    </w:p>
    <w:p w14:paraId="0B1DCBC0">
      <w:pPr>
        <w:tabs>
          <w:tab w:val="left" w:pos="720"/>
        </w:tabs>
        <w:spacing w:line="500" w:lineRule="exact"/>
        <w:ind w:firstLine="420" w:firstLineChars="200"/>
        <w:jc w:val="left"/>
        <w:rPr>
          <w:color w:val="auto"/>
          <w:highlight w:val="none"/>
        </w:rPr>
      </w:pPr>
      <w:r>
        <w:rPr>
          <w:rFonts w:hint="eastAsia" w:ascii="宋体"/>
          <w:color w:val="auto"/>
          <w:szCs w:val="21"/>
          <w:highlight w:val="none"/>
        </w:rPr>
        <w:t>招标人应将中标人的情况在滁州市公共资源交易中心等网站上予以公告，公告期为3日。</w:t>
      </w:r>
    </w:p>
    <w:p w14:paraId="608C7C50">
      <w:pPr>
        <w:spacing w:line="500" w:lineRule="exact"/>
        <w:ind w:firstLine="421"/>
        <w:jc w:val="left"/>
        <w:rPr>
          <w:rFonts w:ascii="宋体"/>
          <w:b/>
          <w:color w:val="auto"/>
          <w:szCs w:val="21"/>
          <w:highlight w:val="none"/>
        </w:rPr>
      </w:pPr>
      <w:r>
        <w:rPr>
          <w:rFonts w:hint="eastAsia" w:ascii="宋体"/>
          <w:b/>
          <w:color w:val="auto"/>
          <w:szCs w:val="21"/>
          <w:highlight w:val="none"/>
        </w:rPr>
        <w:t>32.定标</w:t>
      </w:r>
    </w:p>
    <w:p w14:paraId="1019DA5F">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32.1 中标人的确定</w:t>
      </w:r>
    </w:p>
    <w:p w14:paraId="501E3673">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6C83975E">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32.1.2中标人确定后，招标人应将中标信息在滁州市公共资源交易中心等网站上公告。</w:t>
      </w:r>
    </w:p>
    <w:p w14:paraId="46576F42">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32.2 中标通知书</w:t>
      </w:r>
    </w:p>
    <w:p w14:paraId="7E2D7523">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32.2.1招标人或代理机构应在中标人确定之日起2个工作日内，在滁州市公共资源交易中心等网站公告中标结果并同时向中标人发出中标通知书。</w:t>
      </w:r>
    </w:p>
    <w:p w14:paraId="3DF222E0">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32.2.2中标通知书须加盖招标人、代理机构公章并经公共资源交易中心加盖见证章后，方可发出。</w:t>
      </w:r>
    </w:p>
    <w:p w14:paraId="65AF9D17">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2CFA01C6">
      <w:pPr>
        <w:spacing w:line="500" w:lineRule="exact"/>
        <w:ind w:firstLine="421"/>
        <w:jc w:val="left"/>
        <w:rPr>
          <w:rFonts w:ascii="宋体"/>
          <w:b/>
          <w:color w:val="auto"/>
          <w:szCs w:val="21"/>
          <w:highlight w:val="none"/>
        </w:rPr>
      </w:pPr>
      <w:r>
        <w:rPr>
          <w:rFonts w:hint="eastAsia" w:ascii="宋体"/>
          <w:b/>
          <w:color w:val="auto"/>
          <w:szCs w:val="21"/>
          <w:highlight w:val="none"/>
        </w:rPr>
        <w:t>33.开评标异常情况处理</w:t>
      </w:r>
    </w:p>
    <w:p w14:paraId="5A9F20BE">
      <w:pPr>
        <w:spacing w:line="500" w:lineRule="exact"/>
        <w:ind w:firstLine="421"/>
        <w:jc w:val="left"/>
        <w:rPr>
          <w:rFonts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3D15DDF2">
      <w:pPr>
        <w:tabs>
          <w:tab w:val="left" w:pos="720"/>
        </w:tabs>
        <w:spacing w:line="500" w:lineRule="exact"/>
        <w:ind w:firstLine="420" w:firstLineChars="200"/>
        <w:jc w:val="left"/>
        <w:rPr>
          <w:rFonts w:ascii="宋体"/>
          <w:color w:val="auto"/>
          <w:szCs w:val="21"/>
          <w:highlight w:val="none"/>
        </w:rPr>
      </w:pPr>
      <w:r>
        <w:rPr>
          <w:rFonts w:hint="eastAsia" w:ascii="宋体"/>
          <w:color w:val="auto"/>
          <w:szCs w:val="21"/>
          <w:highlight w:val="none"/>
        </w:rPr>
        <w:t>项目有下列情形之一的，招标人将重新招标：</w:t>
      </w:r>
    </w:p>
    <w:p w14:paraId="20052200">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1ED041F4">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40675912">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(3)出现影响招</w:t>
      </w:r>
      <w:bookmarkStart w:id="116" w:name="_GoBack"/>
      <w:bookmarkEnd w:id="116"/>
      <w:r>
        <w:rPr>
          <w:rFonts w:hint="eastAsia" w:ascii="宋体"/>
          <w:color w:val="auto"/>
          <w:kern w:val="10"/>
          <w:szCs w:val="21"/>
          <w:highlight w:val="none"/>
        </w:rPr>
        <w:t>标公正的违法、违规行为的；</w:t>
      </w:r>
    </w:p>
    <w:p w14:paraId="74137B72">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(4)投标人的报价均脱离实际且无充分证据的；</w:t>
      </w:r>
    </w:p>
    <w:p w14:paraId="6E8FE141">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5EE0F09E">
      <w:pPr>
        <w:adjustRightInd w:val="0"/>
        <w:snapToGrid w:val="0"/>
        <w:spacing w:line="500" w:lineRule="exact"/>
        <w:ind w:firstLine="420" w:firstLineChars="200"/>
        <w:rPr>
          <w:rFonts w:ascii="宋体"/>
          <w:color w:val="auto"/>
          <w:kern w:val="10"/>
          <w:szCs w:val="21"/>
          <w:highlight w:val="none"/>
        </w:rPr>
      </w:pPr>
      <w:r>
        <w:rPr>
          <w:rFonts w:hint="eastAsia" w:ascii="宋体"/>
          <w:color w:val="auto"/>
          <w:kern w:val="10"/>
          <w:szCs w:val="21"/>
          <w:highlight w:val="none"/>
        </w:rPr>
        <w:t>33.2变更采购方式</w:t>
      </w:r>
    </w:p>
    <w:p w14:paraId="0B41FD1E">
      <w:pPr>
        <w:tabs>
          <w:tab w:val="left" w:pos="720"/>
        </w:tabs>
        <w:spacing w:line="500" w:lineRule="exact"/>
        <w:ind w:firstLine="420" w:firstLineChars="200"/>
        <w:jc w:val="left"/>
        <w:rPr>
          <w:rFonts w:ascii="宋体"/>
          <w:color w:val="auto"/>
          <w:szCs w:val="21"/>
          <w:highlight w:val="none"/>
        </w:rPr>
      </w:pPr>
      <w:bookmarkStart w:id="55" w:name="_Toc449028872"/>
      <w:r>
        <w:rPr>
          <w:rFonts w:hint="eastAsia" w:ascii="宋体"/>
          <w:color w:val="auto"/>
          <w:szCs w:val="21"/>
          <w:highlight w:val="none"/>
        </w:rPr>
        <w:t>按照滁州市公管局相关规定执行。</w:t>
      </w:r>
      <w:bookmarkEnd w:id="55"/>
    </w:p>
    <w:p w14:paraId="16F3C947">
      <w:pPr>
        <w:spacing w:line="500" w:lineRule="exact"/>
        <w:jc w:val="center"/>
        <w:rPr>
          <w:rFonts w:ascii="黑体" w:eastAsia="黑体"/>
          <w:color w:val="auto"/>
          <w:sz w:val="24"/>
          <w:highlight w:val="none"/>
        </w:rPr>
      </w:pPr>
      <w:r>
        <w:rPr>
          <w:rFonts w:hint="eastAsia" w:ascii="黑体" w:eastAsia="黑体"/>
          <w:color w:val="auto"/>
          <w:sz w:val="28"/>
          <w:szCs w:val="28"/>
          <w:highlight w:val="none"/>
        </w:rPr>
        <w:t>（六）合同的授予</w:t>
      </w:r>
      <w:bookmarkEnd w:id="54"/>
    </w:p>
    <w:p w14:paraId="0637C40B">
      <w:pPr>
        <w:spacing w:line="50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34. 合同授予标准</w:t>
      </w:r>
    </w:p>
    <w:p w14:paraId="344F4EDE">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34.1本招标项目的合同将授予按本投标须知第32.1.1条规定所确定的中标人。</w:t>
      </w:r>
    </w:p>
    <w:p w14:paraId="46607530">
      <w:pPr>
        <w:spacing w:line="50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35. 合同协议书的签订</w:t>
      </w:r>
    </w:p>
    <w:p w14:paraId="68E7E6FF">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35.1招标人与中标人将于中标通知书发出之日起30日内，按照招标文件和中标人的投标文件订立书面采购合同。招标人和中标人不得再行订立背离合同实质性内容的其他协议。</w:t>
      </w:r>
    </w:p>
    <w:p w14:paraId="333A8394">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35.2发出中标通知书后，招标人无正当理由拒签合同的，招标人向中标人退还投标保证金；给中标人造成损失的，还应当赔偿损失。</w:t>
      </w:r>
    </w:p>
    <w:p w14:paraId="4F611FB3">
      <w:pPr>
        <w:spacing w:line="50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14:paraId="00403CB4">
      <w:pPr>
        <w:spacing w:line="500" w:lineRule="exact"/>
        <w:rPr>
          <w:rFonts w:hint="eastAsia" w:ascii="宋体" w:hAnsi="宋体" w:cs="宋体"/>
          <w:b/>
          <w:color w:val="auto"/>
          <w:szCs w:val="21"/>
          <w:highlight w:val="none"/>
        </w:rPr>
      </w:pPr>
      <w:r>
        <w:rPr>
          <w:rFonts w:hint="eastAsia" w:ascii="宋体" w:hAnsi="宋体" w:cs="宋体"/>
          <w:color w:val="auto"/>
          <w:szCs w:val="21"/>
          <w:highlight w:val="none"/>
        </w:rPr>
        <w:t xml:space="preserve">    36.</w:t>
      </w:r>
      <w:bookmarkStart w:id="56" w:name="_Toc217446068"/>
      <w:r>
        <w:rPr>
          <w:rFonts w:hint="eastAsia" w:ascii="宋体" w:hAnsi="宋体" w:cs="宋体"/>
          <w:b/>
          <w:color w:val="auto"/>
          <w:szCs w:val="21"/>
          <w:highlight w:val="none"/>
        </w:rPr>
        <w:t>履约</w:t>
      </w:r>
      <w:bookmarkEnd w:id="56"/>
      <w:r>
        <w:rPr>
          <w:rFonts w:hint="eastAsia" w:ascii="宋体" w:hAnsi="宋体" w:cs="宋体"/>
          <w:b/>
          <w:color w:val="auto"/>
          <w:szCs w:val="21"/>
          <w:highlight w:val="none"/>
        </w:rPr>
        <w:t>担保</w:t>
      </w:r>
    </w:p>
    <w:p w14:paraId="543C6EDD">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4C4986A7">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36.2中标人不能按本章第36.1项要求提交履约担保的，视为放弃中标，其投标保证金不予退还，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4C0B4D1A">
      <w:pPr>
        <w:spacing w:before="312" w:beforeLines="100" w:after="312" w:afterLines="100" w:line="500" w:lineRule="exact"/>
        <w:jc w:val="center"/>
        <w:rPr>
          <w:rFonts w:ascii="宋体"/>
          <w:b/>
          <w:color w:val="auto"/>
          <w:sz w:val="28"/>
          <w:szCs w:val="28"/>
          <w:highlight w:val="none"/>
        </w:rPr>
      </w:pPr>
      <w:bookmarkStart w:id="57" w:name="_Toc449028874"/>
      <w:r>
        <w:rPr>
          <w:rFonts w:hint="eastAsia" w:ascii="宋体"/>
          <w:b/>
          <w:color w:val="auto"/>
          <w:sz w:val="28"/>
          <w:szCs w:val="28"/>
          <w:highlight w:val="none"/>
        </w:rPr>
        <w:t>（七）纪律和监督</w:t>
      </w:r>
      <w:bookmarkEnd w:id="57"/>
    </w:p>
    <w:p w14:paraId="1F901C93">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37.对招标人的纪律要求 </w:t>
      </w:r>
    </w:p>
    <w:p w14:paraId="09E4C285">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04095F83">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38.对投标人的纪律要求 </w:t>
      </w:r>
    </w:p>
    <w:p w14:paraId="79C573F2">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46C0FF31">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39.对评标委员会成员的纪律要求 </w:t>
      </w:r>
    </w:p>
    <w:p w14:paraId="13BEBCBF">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3ED8255">
      <w:pPr>
        <w:spacing w:line="500" w:lineRule="exact"/>
        <w:ind w:firstLine="310" w:firstLineChars="147"/>
        <w:jc w:val="left"/>
        <w:rPr>
          <w:rFonts w:ascii="宋体"/>
          <w:b/>
          <w:color w:val="auto"/>
          <w:szCs w:val="21"/>
          <w:highlight w:val="none"/>
        </w:rPr>
      </w:pPr>
      <w:r>
        <w:rPr>
          <w:rFonts w:hint="eastAsia" w:ascii="宋体"/>
          <w:b/>
          <w:color w:val="auto"/>
          <w:szCs w:val="21"/>
          <w:highlight w:val="none"/>
        </w:rPr>
        <w:t xml:space="preserve">40.对与评标活动有关的工作人员的纪律要求 </w:t>
      </w:r>
    </w:p>
    <w:p w14:paraId="30255809">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3E1E07E8">
      <w:pPr>
        <w:spacing w:before="312" w:beforeLines="100" w:after="312" w:afterLines="100" w:line="500" w:lineRule="exact"/>
        <w:jc w:val="center"/>
        <w:rPr>
          <w:rFonts w:ascii="宋体"/>
          <w:b/>
          <w:color w:val="auto"/>
          <w:sz w:val="28"/>
          <w:szCs w:val="28"/>
          <w:highlight w:val="none"/>
        </w:rPr>
      </w:pPr>
      <w:r>
        <w:rPr>
          <w:rFonts w:hint="eastAsia" w:ascii="宋体"/>
          <w:b/>
          <w:color w:val="auto"/>
          <w:sz w:val="28"/>
          <w:szCs w:val="28"/>
          <w:highlight w:val="none"/>
        </w:rPr>
        <w:t>（八）投诉</w:t>
      </w:r>
    </w:p>
    <w:p w14:paraId="19FB63ED">
      <w:pPr>
        <w:spacing w:line="500" w:lineRule="exact"/>
        <w:ind w:firstLine="314" w:firstLineChars="149"/>
        <w:jc w:val="left"/>
        <w:rPr>
          <w:rFonts w:hint="eastAsia" w:ascii="宋体" w:hAnsi="宋体"/>
          <w:b/>
          <w:color w:val="auto"/>
          <w:szCs w:val="21"/>
          <w:highlight w:val="none"/>
        </w:rPr>
      </w:pPr>
      <w:r>
        <w:rPr>
          <w:rFonts w:hint="eastAsia" w:ascii="宋体" w:hAnsi="宋体"/>
          <w:b/>
          <w:color w:val="auto"/>
          <w:szCs w:val="21"/>
          <w:highlight w:val="none"/>
        </w:rPr>
        <w:t>41. 投诉</w:t>
      </w:r>
    </w:p>
    <w:p w14:paraId="1C883C89">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41.1投标人或者其他利害关系人认为招标投标活动违反法律、法规和规章规定的，有权向相关行政监督部门投诉。投诉应当有明确的请求和必要的证明材料。</w:t>
      </w:r>
    </w:p>
    <w:p w14:paraId="27E08C67">
      <w:pPr>
        <w:adjustRightInd w:val="0"/>
        <w:snapToGrid w:val="0"/>
        <w:spacing w:line="500" w:lineRule="exact"/>
        <w:ind w:firstLine="315" w:firstLineChars="150"/>
        <w:rPr>
          <w:rFonts w:ascii="宋体"/>
          <w:color w:val="auto"/>
          <w:kern w:val="10"/>
          <w:szCs w:val="21"/>
          <w:highlight w:val="none"/>
        </w:rPr>
      </w:pPr>
      <w:r>
        <w:rPr>
          <w:rFonts w:hint="eastAsia" w:ascii="宋体"/>
          <w:color w:val="auto"/>
          <w:kern w:val="10"/>
          <w:szCs w:val="21"/>
          <w:highlight w:val="none"/>
        </w:rPr>
        <w:t>41.2投标人和其他利害关系人对招标文件、开标和评标结果事项投诉的，应当按照投标人须知的规定先向招标人提出异议。异议答复期间不计算在第41.1项规定的期限内。</w:t>
      </w:r>
    </w:p>
    <w:p w14:paraId="13D3B01F">
      <w:pPr>
        <w:spacing w:line="440" w:lineRule="exact"/>
        <w:ind w:firstLine="600" w:firstLineChars="200"/>
        <w:jc w:val="left"/>
        <w:rPr>
          <w:rFonts w:ascii="黑体" w:eastAsia="黑体"/>
          <w:color w:val="auto"/>
          <w:sz w:val="30"/>
          <w:szCs w:val="30"/>
          <w:highlight w:val="none"/>
        </w:rPr>
      </w:pPr>
    </w:p>
    <w:p w14:paraId="779260C8">
      <w:pPr>
        <w:spacing w:line="440" w:lineRule="exact"/>
        <w:ind w:firstLine="450" w:firstLineChars="150"/>
        <w:jc w:val="left"/>
        <w:rPr>
          <w:rFonts w:ascii="黑体" w:eastAsia="黑体"/>
          <w:color w:val="auto"/>
          <w:sz w:val="30"/>
          <w:szCs w:val="30"/>
          <w:highlight w:val="none"/>
        </w:rPr>
      </w:pPr>
    </w:p>
    <w:p w14:paraId="4925729A">
      <w:pPr>
        <w:pStyle w:val="2"/>
        <w:spacing w:line="280" w:lineRule="exact"/>
        <w:rPr>
          <w:rFonts w:ascii="宋体"/>
          <w:b w:val="0"/>
          <w:color w:val="auto"/>
          <w:szCs w:val="32"/>
          <w:highlight w:val="none"/>
        </w:rPr>
      </w:pPr>
      <w:r>
        <w:rPr>
          <w:rFonts w:ascii="宋体"/>
          <w:b w:val="0"/>
          <w:color w:val="auto"/>
          <w:szCs w:val="32"/>
          <w:highlight w:val="none"/>
        </w:rPr>
        <w:br w:type="page"/>
      </w:r>
      <w:bookmarkStart w:id="58" w:name="_Toc28871"/>
      <w:r>
        <w:rPr>
          <w:rFonts w:hint="eastAsia" w:ascii="宋体"/>
          <w:bCs w:val="0"/>
          <w:color w:val="auto"/>
          <w:szCs w:val="32"/>
          <w:highlight w:val="none"/>
        </w:rPr>
        <w:t>第三章 评标办法（最低评标价法）</w:t>
      </w:r>
      <w:bookmarkEnd w:id="58"/>
    </w:p>
    <w:p w14:paraId="512131A4">
      <w:pPr>
        <w:spacing w:before="156" w:beforeLines="50" w:after="156" w:afterLines="50" w:line="500" w:lineRule="exact"/>
        <w:jc w:val="center"/>
        <w:outlineLvl w:val="1"/>
        <w:rPr>
          <w:rFonts w:hint="eastAsia" w:ascii="宋体" w:hAnsi="宋体" w:cs="宋体"/>
          <w:b/>
          <w:color w:val="auto"/>
          <w:sz w:val="28"/>
          <w:szCs w:val="28"/>
          <w:highlight w:val="none"/>
        </w:rPr>
      </w:pPr>
      <w:bookmarkStart w:id="59" w:name="_Toc362983801"/>
      <w:bookmarkStart w:id="60" w:name="_Toc58430317"/>
      <w:bookmarkStart w:id="61" w:name="_Toc449028877"/>
      <w:bookmarkStart w:id="62" w:name="_Toc20697"/>
      <w:bookmarkStart w:id="63" w:name="_Toc267320058"/>
      <w:bookmarkStart w:id="64" w:name="_Toc363135205"/>
      <w:r>
        <w:rPr>
          <w:rFonts w:hint="eastAsia" w:ascii="宋体" w:hAnsi="宋体" w:cs="宋体"/>
          <w:b/>
          <w:color w:val="auto"/>
          <w:sz w:val="28"/>
          <w:szCs w:val="28"/>
          <w:highlight w:val="none"/>
        </w:rPr>
        <w:t>一、总则</w:t>
      </w:r>
      <w:bookmarkEnd w:id="59"/>
      <w:bookmarkEnd w:id="60"/>
      <w:bookmarkEnd w:id="61"/>
      <w:bookmarkEnd w:id="62"/>
    </w:p>
    <w:p w14:paraId="1D5C4DE8">
      <w:pPr>
        <w:spacing w:line="500" w:lineRule="exact"/>
        <w:ind w:firstLine="316" w:firstLineChars="15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 </w:t>
      </w:r>
      <w:bookmarkStart w:id="65" w:name="_Toc362983802"/>
      <w:bookmarkStart w:id="66" w:name="_Toc58430318"/>
      <w:bookmarkStart w:id="67" w:name="_Toc449028878"/>
      <w:r>
        <w:rPr>
          <w:rFonts w:hint="eastAsia" w:ascii="宋体" w:hAnsi="宋体" w:cs="宋体"/>
          <w:b/>
          <w:color w:val="auto"/>
          <w:szCs w:val="21"/>
          <w:highlight w:val="none"/>
        </w:rPr>
        <w:t>1. 本次评标采用最低评标价法</w:t>
      </w:r>
    </w:p>
    <w:p w14:paraId="072AF38B">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1.1最低评标价法，是指响应文件满足采购文件全部实质性要求且投标报价由低到高的供应商为中标候选人的评标方法。</w:t>
      </w:r>
    </w:p>
    <w:p w14:paraId="4ABF1BB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1.2最低评标价法一般适用于标准定制商品及通用服务项目的项目评审。</w:t>
      </w:r>
    </w:p>
    <w:p w14:paraId="2C244127">
      <w:pPr>
        <w:spacing w:line="50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2．评标程序</w:t>
      </w:r>
    </w:p>
    <w:p w14:paraId="297B8CF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2.1投标文件的初审</w:t>
      </w:r>
    </w:p>
    <w:p w14:paraId="147BB9AF">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2.1.1资格性检查。依据法律法规和招标文件的规定，对投标文件中的资格证明、投标保证金等进行审查，以确定投标人是否具备投标资格。 </w:t>
      </w:r>
    </w:p>
    <w:p w14:paraId="547D14B0">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1B0FFB3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2.2投标文件的澄清</w:t>
      </w:r>
    </w:p>
    <w:p w14:paraId="0F95343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7867EA28">
      <w:pPr>
        <w:wordWrap w:val="0"/>
        <w:spacing w:line="50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本项目采用远程开标，具体操作方法详见服务指南&gt;交易须知&gt;开标大厅远程解密、质疑(异议)及回复以及评标过程中询标流程操作手册。</w:t>
      </w:r>
    </w:p>
    <w:p w14:paraId="301FF42D">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4CC88623">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2.2.3  招标人不接受投标人主动提出的澄清。</w:t>
      </w:r>
    </w:p>
    <w:p w14:paraId="2566D776">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2.3比较与评价</w:t>
      </w:r>
    </w:p>
    <w:p w14:paraId="56712CF9">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2．3.1按招标文件中规定的评标方法和标准，对资格性检查和符合性检查合格的投标文件进行综合比较与评价。 </w:t>
      </w:r>
    </w:p>
    <w:p w14:paraId="3792A1C1">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2.4推荐中标候选人名单</w:t>
      </w:r>
    </w:p>
    <w:p w14:paraId="0BC882C4">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2.4.1中标候选人数量应当根据采购需要确定，但必须按顺序排列中标候选人。</w:t>
      </w:r>
    </w:p>
    <w:p w14:paraId="072CD3D1">
      <w:pPr>
        <w:spacing w:line="50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2.5在投标文件的审查、澄清、评价和比较以及授予合同过程中，投标人对招标人和评标委员会成员施加影响的任何行为，都将导致取消其中标资格。</w:t>
      </w:r>
    </w:p>
    <w:p w14:paraId="51A634FF">
      <w:pPr>
        <w:spacing w:before="156" w:beforeLines="50" w:after="156" w:afterLines="50" w:line="500" w:lineRule="exact"/>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二、投标文件初审</w:t>
      </w:r>
      <w:bookmarkEnd w:id="65"/>
      <w:bookmarkEnd w:id="66"/>
      <w:bookmarkEnd w:id="67"/>
    </w:p>
    <w:p w14:paraId="6D8CC56E">
      <w:pPr>
        <w:spacing w:line="50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79B6D8F0">
      <w:pPr>
        <w:spacing w:line="500" w:lineRule="exact"/>
        <w:ind w:firstLine="308" w:firstLineChars="147"/>
        <w:jc w:val="left"/>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3C69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vAlign w:val="center"/>
          </w:tcPr>
          <w:p w14:paraId="6CDAEED1">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6030" w:type="dxa"/>
            <w:gridSpan w:val="2"/>
            <w:vAlign w:val="center"/>
          </w:tcPr>
          <w:p w14:paraId="4C736979">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3176" w:type="dxa"/>
            <w:vAlign w:val="center"/>
          </w:tcPr>
          <w:p w14:paraId="4F1DC8F6">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6E54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vAlign w:val="center"/>
          </w:tcPr>
          <w:p w14:paraId="086AD635">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725" w:type="dxa"/>
            <w:vAlign w:val="center"/>
          </w:tcPr>
          <w:p w14:paraId="0F37F91D">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4305" w:type="dxa"/>
            <w:vAlign w:val="center"/>
          </w:tcPr>
          <w:p w14:paraId="40EEE13F">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176" w:type="dxa"/>
            <w:vAlign w:val="center"/>
          </w:tcPr>
          <w:p w14:paraId="3E888FCB">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检验电子标书</w:t>
            </w:r>
          </w:p>
        </w:tc>
      </w:tr>
      <w:tr w14:paraId="0423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vAlign w:val="center"/>
          </w:tcPr>
          <w:p w14:paraId="1C89C92B">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725" w:type="dxa"/>
            <w:vMerge w:val="restart"/>
            <w:vAlign w:val="center"/>
          </w:tcPr>
          <w:p w14:paraId="5FA5F034">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4305" w:type="dxa"/>
            <w:vAlign w:val="center"/>
          </w:tcPr>
          <w:p w14:paraId="250B9627">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（2）具有独立承担民事责任能力及相应供货能力</w:t>
            </w:r>
          </w:p>
        </w:tc>
        <w:tc>
          <w:tcPr>
            <w:tcW w:w="3176" w:type="dxa"/>
            <w:vAlign w:val="center"/>
          </w:tcPr>
          <w:p w14:paraId="08591DAD">
            <w:pPr>
              <w:spacing w:line="500" w:lineRule="exact"/>
              <w:rPr>
                <w:rFonts w:hint="eastAsia" w:ascii="宋体" w:hAnsi="宋体" w:cs="宋体"/>
                <w:color w:val="auto"/>
                <w:szCs w:val="21"/>
                <w:highlight w:val="none"/>
              </w:rPr>
            </w:pPr>
            <w:r>
              <w:rPr>
                <w:rFonts w:hint="eastAsia" w:ascii="宋体" w:hAnsi="宋体" w:cs="宋体"/>
                <w:b/>
                <w:color w:val="auto"/>
                <w:szCs w:val="21"/>
                <w:highlight w:val="none"/>
              </w:rPr>
              <w:t>评审核验电子标书中的下列证书、证明材料：</w:t>
            </w:r>
          </w:p>
          <w:p w14:paraId="5AD86302">
            <w:pPr>
              <w:spacing w:line="500" w:lineRule="exact"/>
              <w:rPr>
                <w:rFonts w:hint="eastAsia" w:ascii="宋体" w:hAnsi="宋体" w:cs="宋体"/>
                <w:color w:val="auto"/>
                <w:szCs w:val="21"/>
                <w:highlight w:val="none"/>
              </w:rPr>
            </w:pPr>
            <w:r>
              <w:rPr>
                <w:rFonts w:hint="eastAsia" w:ascii="宋体" w:hAnsi="宋体" w:cs="宋体"/>
                <w:color w:val="auto"/>
                <w:szCs w:val="21"/>
                <w:highlight w:val="none"/>
              </w:rPr>
              <w:t>投标人有效的营业执照（或“三证合一证书”）</w:t>
            </w:r>
          </w:p>
        </w:tc>
      </w:tr>
      <w:tr w14:paraId="492B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20" w:type="dxa"/>
            <w:vMerge w:val="continue"/>
            <w:vAlign w:val="center"/>
          </w:tcPr>
          <w:p w14:paraId="72DA5FBC">
            <w:pPr>
              <w:spacing w:line="500" w:lineRule="exact"/>
              <w:jc w:val="center"/>
              <w:rPr>
                <w:rFonts w:hint="eastAsia" w:ascii="宋体" w:hAnsi="宋体" w:cs="宋体"/>
                <w:color w:val="auto"/>
                <w:szCs w:val="21"/>
                <w:highlight w:val="none"/>
              </w:rPr>
            </w:pPr>
          </w:p>
        </w:tc>
        <w:tc>
          <w:tcPr>
            <w:tcW w:w="1725" w:type="dxa"/>
            <w:vMerge w:val="continue"/>
            <w:vAlign w:val="center"/>
          </w:tcPr>
          <w:p w14:paraId="60F3040E">
            <w:pPr>
              <w:spacing w:line="500" w:lineRule="exact"/>
              <w:rPr>
                <w:rFonts w:hint="eastAsia" w:ascii="宋体" w:hAnsi="宋体" w:cs="宋体"/>
                <w:color w:val="auto"/>
                <w:szCs w:val="21"/>
                <w:highlight w:val="none"/>
              </w:rPr>
            </w:pPr>
          </w:p>
        </w:tc>
        <w:tc>
          <w:tcPr>
            <w:tcW w:w="4305" w:type="dxa"/>
            <w:vAlign w:val="center"/>
          </w:tcPr>
          <w:p w14:paraId="6ADF7C06">
            <w:pPr>
              <w:spacing w:line="500" w:lineRule="exact"/>
              <w:jc w:val="left"/>
              <w:rPr>
                <w:rFonts w:hint="eastAsia" w:ascii="宋体" w:hAnsi="宋体" w:cs="宋体"/>
                <w:b/>
                <w:color w:val="auto"/>
                <w:szCs w:val="21"/>
                <w:highlight w:val="none"/>
              </w:rPr>
            </w:pPr>
            <w:r>
              <w:rPr>
                <w:rFonts w:hint="eastAsia" w:ascii="宋体" w:hAnsi="宋体" w:cs="宋体"/>
                <w:color w:val="auto"/>
                <w:szCs w:val="21"/>
                <w:highlight w:val="none"/>
              </w:rPr>
              <w:t>（3）诚信投标承诺书或公共信用信息报告（无违法违规证明版或核查版）</w:t>
            </w:r>
          </w:p>
        </w:tc>
        <w:tc>
          <w:tcPr>
            <w:tcW w:w="3176" w:type="dxa"/>
            <w:vAlign w:val="center"/>
          </w:tcPr>
          <w:p w14:paraId="246275A6">
            <w:pPr>
              <w:spacing w:line="500" w:lineRule="exact"/>
              <w:jc w:val="left"/>
              <w:rPr>
                <w:rFonts w:hint="eastAsia" w:ascii="宋体" w:hAnsi="宋体" w:cs="宋体"/>
                <w:b/>
                <w:color w:val="auto"/>
                <w:szCs w:val="21"/>
                <w:highlight w:val="none"/>
              </w:rPr>
            </w:pPr>
            <w:r>
              <w:rPr>
                <w:rFonts w:hint="eastAsia" w:ascii="宋体" w:hAnsi="宋体" w:cs="宋体"/>
                <w:color w:val="auto"/>
                <w:szCs w:val="21"/>
                <w:highlight w:val="none"/>
              </w:rPr>
              <w:t>格式见附件，检验电子标书</w:t>
            </w:r>
          </w:p>
        </w:tc>
      </w:tr>
    </w:tbl>
    <w:p w14:paraId="123E2869">
      <w:pPr>
        <w:spacing w:line="50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3.2资格审查材料必须上传到投标人系统-安徽省公共资源交易市场主体库中对应栏目，制作资格审查文件时插上CA数字证书，从投标企业注册信息中挑选相关材料。若所需材料无对应栏目，则将该材料上传至“其他投标用证明材料”里或电子投标文件对应栏中，做电子投标文件时从“其他所需材料”里获取。请各投标人位自行完善主体库管理中的单位信息，保证信息最新且有效。</w:t>
      </w:r>
    </w:p>
    <w:p w14:paraId="38996DA5">
      <w:pPr>
        <w:spacing w:line="50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3.3如评标专家在检验电子投标文件过程中，如果由于投标人自身原因导致评标专家无法查看并检验电子投标文件中相关资料的，否决其投标。即使投标人将原件携带至现场的，同样按否决投标处理。</w:t>
      </w:r>
    </w:p>
    <w:p w14:paraId="7BDB207C">
      <w:pPr>
        <w:spacing w:line="50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527D650B">
      <w:pPr>
        <w:spacing w:line="50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752B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49993AC4">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vAlign w:val="center"/>
          </w:tcPr>
          <w:p w14:paraId="1BB32DA0">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vAlign w:val="center"/>
          </w:tcPr>
          <w:p w14:paraId="5636289F">
            <w:pPr>
              <w:spacing w:line="5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5340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261A6895">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vAlign w:val="center"/>
          </w:tcPr>
          <w:p w14:paraId="46BA2FFD">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vAlign w:val="center"/>
          </w:tcPr>
          <w:p w14:paraId="502EC2BF">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vAlign w:val="center"/>
          </w:tcPr>
          <w:p w14:paraId="46F2E478">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签字、盖章符合要求。</w:t>
            </w:r>
          </w:p>
        </w:tc>
      </w:tr>
      <w:tr w14:paraId="1352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764D7A21">
            <w:pPr>
              <w:spacing w:line="500" w:lineRule="exact"/>
              <w:jc w:val="left"/>
              <w:rPr>
                <w:rFonts w:hint="eastAsia" w:ascii="宋体" w:hAnsi="宋体" w:cs="宋体"/>
                <w:color w:val="auto"/>
                <w:szCs w:val="21"/>
                <w:highlight w:val="none"/>
              </w:rPr>
            </w:pPr>
          </w:p>
        </w:tc>
        <w:tc>
          <w:tcPr>
            <w:tcW w:w="1318" w:type="dxa"/>
            <w:vMerge w:val="continue"/>
            <w:vAlign w:val="center"/>
          </w:tcPr>
          <w:p w14:paraId="441C4D06">
            <w:pPr>
              <w:spacing w:line="500" w:lineRule="exact"/>
              <w:jc w:val="left"/>
              <w:rPr>
                <w:rFonts w:hint="eastAsia" w:ascii="宋体" w:hAnsi="宋体" w:cs="宋体"/>
                <w:color w:val="auto"/>
                <w:szCs w:val="21"/>
                <w:highlight w:val="none"/>
              </w:rPr>
            </w:pPr>
          </w:p>
        </w:tc>
        <w:tc>
          <w:tcPr>
            <w:tcW w:w="2931" w:type="dxa"/>
            <w:vAlign w:val="center"/>
          </w:tcPr>
          <w:p w14:paraId="4A99E96A">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vAlign w:val="center"/>
          </w:tcPr>
          <w:p w14:paraId="0FB08359">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1077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61EAC2E2">
            <w:pPr>
              <w:spacing w:line="500" w:lineRule="exact"/>
              <w:jc w:val="left"/>
              <w:rPr>
                <w:rFonts w:hint="eastAsia" w:ascii="宋体" w:hAnsi="宋体" w:cs="宋体"/>
                <w:color w:val="auto"/>
                <w:szCs w:val="21"/>
                <w:highlight w:val="none"/>
              </w:rPr>
            </w:pPr>
          </w:p>
        </w:tc>
        <w:tc>
          <w:tcPr>
            <w:tcW w:w="1318" w:type="dxa"/>
            <w:vMerge w:val="continue"/>
            <w:vAlign w:val="center"/>
          </w:tcPr>
          <w:p w14:paraId="7B55FFD7">
            <w:pPr>
              <w:spacing w:line="500" w:lineRule="exact"/>
              <w:jc w:val="left"/>
              <w:rPr>
                <w:rFonts w:hint="eastAsia" w:ascii="宋体" w:hAnsi="宋体" w:cs="宋体"/>
                <w:color w:val="auto"/>
                <w:szCs w:val="21"/>
                <w:highlight w:val="none"/>
              </w:rPr>
            </w:pPr>
          </w:p>
        </w:tc>
        <w:tc>
          <w:tcPr>
            <w:tcW w:w="2931" w:type="dxa"/>
            <w:vAlign w:val="center"/>
          </w:tcPr>
          <w:p w14:paraId="2FC44105">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vAlign w:val="center"/>
          </w:tcPr>
          <w:p w14:paraId="5836F0F4">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724B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23FACB2B">
            <w:pPr>
              <w:spacing w:line="500" w:lineRule="exact"/>
              <w:jc w:val="left"/>
              <w:rPr>
                <w:rFonts w:hint="eastAsia" w:ascii="宋体" w:hAnsi="宋体" w:cs="宋体"/>
                <w:color w:val="auto"/>
                <w:szCs w:val="21"/>
                <w:highlight w:val="none"/>
              </w:rPr>
            </w:pPr>
          </w:p>
        </w:tc>
        <w:tc>
          <w:tcPr>
            <w:tcW w:w="1318" w:type="dxa"/>
            <w:vMerge w:val="continue"/>
            <w:vAlign w:val="center"/>
          </w:tcPr>
          <w:p w14:paraId="6583FAB9">
            <w:pPr>
              <w:spacing w:line="500" w:lineRule="exact"/>
              <w:jc w:val="left"/>
              <w:rPr>
                <w:rFonts w:hint="eastAsia" w:ascii="宋体" w:hAnsi="宋体" w:cs="宋体"/>
                <w:color w:val="auto"/>
                <w:szCs w:val="21"/>
                <w:highlight w:val="none"/>
              </w:rPr>
            </w:pPr>
          </w:p>
        </w:tc>
        <w:tc>
          <w:tcPr>
            <w:tcW w:w="2931" w:type="dxa"/>
            <w:vAlign w:val="center"/>
          </w:tcPr>
          <w:p w14:paraId="0EAC31BB">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vAlign w:val="center"/>
          </w:tcPr>
          <w:p w14:paraId="03C2CD6F">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66C7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4A214BA0">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vAlign w:val="center"/>
          </w:tcPr>
          <w:p w14:paraId="722171E1">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vAlign w:val="center"/>
          </w:tcPr>
          <w:p w14:paraId="700ED12B">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vAlign w:val="center"/>
          </w:tcPr>
          <w:p w14:paraId="6DB713DE">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2234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64861DC6">
            <w:pPr>
              <w:spacing w:line="500" w:lineRule="exact"/>
              <w:jc w:val="left"/>
              <w:rPr>
                <w:rFonts w:hint="eastAsia" w:ascii="宋体" w:hAnsi="宋体" w:cs="宋体"/>
                <w:color w:val="auto"/>
                <w:szCs w:val="21"/>
                <w:highlight w:val="none"/>
              </w:rPr>
            </w:pPr>
          </w:p>
        </w:tc>
        <w:tc>
          <w:tcPr>
            <w:tcW w:w="1318" w:type="dxa"/>
            <w:vMerge w:val="continue"/>
            <w:vAlign w:val="center"/>
          </w:tcPr>
          <w:p w14:paraId="50DA4CEC">
            <w:pPr>
              <w:spacing w:line="500" w:lineRule="exact"/>
              <w:jc w:val="left"/>
              <w:rPr>
                <w:rFonts w:hint="eastAsia" w:ascii="宋体" w:hAnsi="宋体" w:cs="宋体"/>
                <w:color w:val="auto"/>
                <w:szCs w:val="21"/>
                <w:highlight w:val="none"/>
              </w:rPr>
            </w:pPr>
          </w:p>
        </w:tc>
        <w:tc>
          <w:tcPr>
            <w:tcW w:w="2931" w:type="dxa"/>
            <w:vAlign w:val="center"/>
          </w:tcPr>
          <w:p w14:paraId="1F54978E">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vAlign w:val="center"/>
          </w:tcPr>
          <w:p w14:paraId="2318CAEB">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2035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72B7DC37">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vAlign w:val="center"/>
          </w:tcPr>
          <w:p w14:paraId="1F445382">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vAlign w:val="center"/>
          </w:tcPr>
          <w:p w14:paraId="2E4E2EA5">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91" w:type="dxa"/>
            <w:vAlign w:val="center"/>
          </w:tcPr>
          <w:p w14:paraId="0E56B08C">
            <w:pPr>
              <w:spacing w:line="500" w:lineRule="exact"/>
              <w:jc w:val="left"/>
              <w:rPr>
                <w:rFonts w:hint="eastAsia" w:ascii="宋体" w:hAnsi="宋体" w:cs="宋体"/>
                <w:color w:val="auto"/>
                <w:highlight w:val="none"/>
              </w:rPr>
            </w:pPr>
            <w:r>
              <w:rPr>
                <w:rFonts w:hint="eastAsia" w:ascii="宋体" w:hAnsi="宋体" w:cs="宋体"/>
                <w:color w:val="auto"/>
                <w:highlight w:val="none"/>
              </w:rPr>
              <w:t>最大限度响应</w:t>
            </w:r>
            <w:r>
              <w:rPr>
                <w:rFonts w:hint="eastAsia" w:ascii="宋体" w:hAnsi="宋体" w:cs="宋体"/>
                <w:color w:val="auto"/>
                <w:highlight w:val="none"/>
                <w:lang w:val="zh-CN"/>
              </w:rPr>
              <w:t>招标文件要求。</w:t>
            </w:r>
          </w:p>
        </w:tc>
      </w:tr>
      <w:tr w14:paraId="7144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vAlign w:val="center"/>
          </w:tcPr>
          <w:p w14:paraId="35C235CD">
            <w:pPr>
              <w:spacing w:line="500" w:lineRule="exact"/>
              <w:jc w:val="left"/>
              <w:rPr>
                <w:rFonts w:hint="eastAsia" w:ascii="宋体" w:hAnsi="宋体" w:cs="宋体"/>
                <w:color w:val="auto"/>
                <w:szCs w:val="21"/>
                <w:highlight w:val="none"/>
              </w:rPr>
            </w:pPr>
          </w:p>
        </w:tc>
        <w:tc>
          <w:tcPr>
            <w:tcW w:w="1318" w:type="dxa"/>
            <w:vMerge w:val="continue"/>
            <w:vAlign w:val="center"/>
          </w:tcPr>
          <w:p w14:paraId="71B07229">
            <w:pPr>
              <w:spacing w:line="500" w:lineRule="exact"/>
              <w:jc w:val="left"/>
              <w:rPr>
                <w:rFonts w:hint="eastAsia" w:ascii="宋体" w:hAnsi="宋体" w:cs="宋体"/>
                <w:color w:val="auto"/>
                <w:szCs w:val="21"/>
                <w:highlight w:val="none"/>
              </w:rPr>
            </w:pPr>
          </w:p>
        </w:tc>
        <w:tc>
          <w:tcPr>
            <w:tcW w:w="2931" w:type="dxa"/>
            <w:vAlign w:val="center"/>
          </w:tcPr>
          <w:p w14:paraId="0CCC0804">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（8）商务条款响应程度（包括不限于业绩、</w:t>
            </w:r>
            <w:r>
              <w:rPr>
                <w:rFonts w:hint="eastAsia" w:ascii="宋体" w:hAnsi="宋体" w:cs="宋体"/>
                <w:color w:val="auto"/>
                <w:szCs w:val="21"/>
                <w:highlight w:val="none"/>
              </w:rPr>
              <w:t>供货</w:t>
            </w:r>
            <w:r>
              <w:rPr>
                <w:rFonts w:hint="eastAsia" w:ascii="宋体" w:hAnsi="宋体" w:cs="宋体"/>
                <w:color w:val="auto"/>
                <w:szCs w:val="21"/>
                <w:highlight w:val="none"/>
                <w:lang w:val="zh-CN"/>
              </w:rPr>
              <w:t>期、售后服务、技术培训等）</w:t>
            </w:r>
          </w:p>
        </w:tc>
        <w:tc>
          <w:tcPr>
            <w:tcW w:w="4691" w:type="dxa"/>
            <w:vAlign w:val="center"/>
          </w:tcPr>
          <w:p w14:paraId="68A084F6">
            <w:pPr>
              <w:spacing w:line="50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响应招标文件要求。</w:t>
            </w:r>
          </w:p>
        </w:tc>
      </w:tr>
    </w:tbl>
    <w:p w14:paraId="7B8E1F03">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4.2资格审查及评审细则中涉及的有关证明材料及相关证书，电子投标文件中须按招标文件要求上传</w:t>
      </w:r>
      <w:r>
        <w:rPr>
          <w:rFonts w:hint="eastAsia" w:ascii="宋体" w:hAnsi="宋体" w:cs="宋体"/>
          <w:b/>
          <w:color w:val="auto"/>
          <w:szCs w:val="21"/>
          <w:highlight w:val="none"/>
        </w:rPr>
        <w:t>扫描件</w:t>
      </w:r>
      <w:r>
        <w:rPr>
          <w:rFonts w:hint="eastAsia" w:ascii="宋体" w:hAnsi="宋体" w:cs="宋体"/>
          <w:color w:val="auto"/>
          <w:szCs w:val="21"/>
          <w:highlight w:val="none"/>
        </w:rPr>
        <w:t>，以供审查。</w:t>
      </w:r>
    </w:p>
    <w:p w14:paraId="36F088EC">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164ED9C0">
      <w:pPr>
        <w:spacing w:line="50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6BC8ADE2">
      <w:pPr>
        <w:spacing w:line="50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03D92F18">
      <w:pPr>
        <w:spacing w:line="500" w:lineRule="exact"/>
        <w:ind w:right="36" w:rightChars="17"/>
        <w:jc w:val="left"/>
        <w:rPr>
          <w:rFonts w:hint="eastAsia" w:ascii="宋体" w:hAnsi="宋体" w:cs="宋体"/>
          <w:b/>
          <w:color w:val="auto"/>
          <w:szCs w:val="21"/>
          <w:highlight w:val="none"/>
        </w:rPr>
      </w:pPr>
      <w:r>
        <w:rPr>
          <w:rFonts w:hint="eastAsia" w:ascii="宋体" w:hAnsi="宋体" w:cs="宋体"/>
          <w:b/>
          <w:color w:val="auto"/>
          <w:szCs w:val="21"/>
          <w:highlight w:val="none"/>
        </w:rPr>
        <w:t>温馨提示：1.请各投标人自行完善安徽省公共资源交易市场主体库中的单位基本信息，保证信息最新且有效。</w:t>
      </w:r>
    </w:p>
    <w:p w14:paraId="756039F1">
      <w:pPr>
        <w:spacing w:line="500" w:lineRule="exact"/>
        <w:ind w:right="36" w:rightChars="17"/>
        <w:jc w:val="left"/>
        <w:rPr>
          <w:rFonts w:hint="eastAsia" w:ascii="宋体" w:hAnsi="宋体" w:cs="宋体"/>
          <w:color w:val="auto"/>
          <w:szCs w:val="21"/>
          <w:highlight w:val="none"/>
        </w:rPr>
      </w:pPr>
      <w:r>
        <w:rPr>
          <w:rFonts w:hint="eastAsia" w:ascii="宋体" w:hAnsi="宋体" w:cs="宋体"/>
          <w:b/>
          <w:color w:val="auto"/>
          <w:szCs w:val="21"/>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64E50E4C">
      <w:pPr>
        <w:spacing w:before="156" w:beforeLines="50" w:after="156" w:afterLines="50"/>
        <w:jc w:val="center"/>
        <w:outlineLvl w:val="1"/>
        <w:rPr>
          <w:rFonts w:ascii="宋体"/>
          <w:b/>
          <w:color w:val="auto"/>
          <w:sz w:val="28"/>
          <w:szCs w:val="28"/>
          <w:highlight w:val="none"/>
        </w:rPr>
      </w:pPr>
      <w:bookmarkStart w:id="68" w:name="_Toc58430319"/>
      <w:bookmarkStart w:id="69" w:name="_Toc449028879"/>
      <w:bookmarkStart w:id="70" w:name="_Toc14002"/>
      <w:bookmarkStart w:id="71" w:name="_Toc362983803"/>
      <w:r>
        <w:rPr>
          <w:rFonts w:hint="eastAsia" w:ascii="宋体"/>
          <w:b/>
          <w:color w:val="auto"/>
          <w:sz w:val="28"/>
          <w:szCs w:val="28"/>
          <w:highlight w:val="none"/>
        </w:rPr>
        <w:t>三、投标文件的澄清和补正</w:t>
      </w:r>
      <w:bookmarkEnd w:id="68"/>
      <w:bookmarkEnd w:id="69"/>
      <w:bookmarkEnd w:id="70"/>
      <w:bookmarkEnd w:id="71"/>
    </w:p>
    <w:p w14:paraId="0DCB00DE">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如因投标人未参加开标导致开评标过程中无法澄清、说明或补正的，视同投标人放弃该权利。</w:t>
      </w:r>
    </w:p>
    <w:p w14:paraId="0951A136">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5BECDB4A">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587147F3">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54BDEE82">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6393DB8">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3"/>
    <w:p w14:paraId="675FCDA9">
      <w:pPr>
        <w:spacing w:before="156" w:beforeLines="50" w:after="156" w:afterLines="50"/>
        <w:jc w:val="center"/>
        <w:outlineLvl w:val="1"/>
        <w:rPr>
          <w:rFonts w:ascii="宋体"/>
          <w:b/>
          <w:color w:val="auto"/>
          <w:sz w:val="28"/>
          <w:szCs w:val="28"/>
          <w:highlight w:val="none"/>
        </w:rPr>
      </w:pPr>
      <w:bookmarkStart w:id="72" w:name="_Toc58430320"/>
      <w:bookmarkStart w:id="73" w:name="_Toc449028880"/>
      <w:bookmarkStart w:id="74" w:name="_Toc3630"/>
      <w:bookmarkStart w:id="75" w:name="_Hlk101517174"/>
      <w:r>
        <w:rPr>
          <w:rFonts w:hint="eastAsia" w:ascii="宋体"/>
          <w:b/>
          <w:color w:val="auto"/>
          <w:sz w:val="28"/>
          <w:szCs w:val="28"/>
          <w:highlight w:val="none"/>
        </w:rPr>
        <w:t>四、比较与评价</w:t>
      </w:r>
      <w:bookmarkEnd w:id="72"/>
      <w:bookmarkEnd w:id="73"/>
      <w:bookmarkEnd w:id="74"/>
    </w:p>
    <w:p w14:paraId="7F5C09E7">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bookmarkEnd w:id="75"/>
      <w:bookmarkStart w:id="76" w:name="_Toc362983805"/>
      <w:bookmarkStart w:id="77" w:name="_Toc449028881"/>
      <w:bookmarkStart w:id="78" w:name="_Toc58430321"/>
      <w:bookmarkStart w:id="79" w:name="_Toc23311"/>
      <w:r>
        <w:rPr>
          <w:rFonts w:hint="eastAsia" w:ascii="宋体" w:hAnsi="宋体" w:cs="宋体"/>
          <w:color w:val="auto"/>
          <w:szCs w:val="21"/>
          <w:highlight w:val="none"/>
        </w:rPr>
        <w:t>6.详细评审即按招标文件中规定的评标方法和标准，评标委员会将对通过符合性审查的投标文件，进行商务报价评审，综合比较与评价。</w:t>
      </w:r>
    </w:p>
    <w:p w14:paraId="7E27354E">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6.1商务报价评审</w:t>
      </w:r>
    </w:p>
    <w:p w14:paraId="08FD77AE">
      <w:pPr>
        <w:spacing w:line="50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6.1.1按照最低评标价法的原则确定中标候选人，在有效报价中按有效报价最低原则，推荐有效投标报价最低的为第一中标候选人，次低的为第二中标候选人，依次类推，推荐3名中标候选人，并标明排序，但投标报价低于其成本的除外。有效投标报价最低的有效投标人有两名或两名以上相同时，由招标人或评标委员会主任抽签确定第一中标候选人。</w:t>
      </w:r>
    </w:p>
    <w:p w14:paraId="647BF181">
      <w:pPr>
        <w:spacing w:before="156" w:beforeLines="50" w:after="156" w:afterLines="50" w:line="500" w:lineRule="exact"/>
        <w:jc w:val="center"/>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五、推荐中标候选人</w:t>
      </w:r>
      <w:bookmarkEnd w:id="76"/>
      <w:bookmarkEnd w:id="77"/>
      <w:bookmarkEnd w:id="78"/>
      <w:bookmarkEnd w:id="79"/>
    </w:p>
    <w:p w14:paraId="6C62FC26">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7.评标委员会按有效报价由低到高的顺序推荐3名中标候选人。 </w:t>
      </w:r>
    </w:p>
    <w:p w14:paraId="3AEB97C9">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7.1如出现有效投标报价最低的有效投标人有两名或两名以上相同时，由招标人或评标委员会主任抽签确定第一中标候选人。</w:t>
      </w:r>
    </w:p>
    <w:p w14:paraId="5E52D297">
      <w:pPr>
        <w:snapToGrid w:val="0"/>
        <w:spacing w:line="500" w:lineRule="exact"/>
        <w:ind w:right="-420" w:rightChars="-200"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在专家评审结束后，根据评标委员会评审初步结论，招标人（代理机构）将对推荐的中标候选人、法定代表人及其项目负责人是否存在联合惩戒失信行为进行网上核查（网上查询要求及渠道按附件1执行）。若核查结果与投标人承诺不一致，则提交评标委员会取消其预中标候选人资格，依次替补，并再次对替补单位进行核查。核查结果不改变原评标基准值。</w:t>
      </w:r>
    </w:p>
    <w:p w14:paraId="6BB828D4">
      <w:pPr>
        <w:snapToGrid w:val="0"/>
        <w:spacing w:line="500" w:lineRule="exact"/>
        <w:ind w:right="-212" w:rightChars="-101"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8.无效投标条款</w:t>
      </w:r>
    </w:p>
    <w:p w14:paraId="5D4FE9C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58AE26C1">
      <w:pPr>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154D0183">
      <w:pPr>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63FDAE1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EF1262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18436E5B">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72466F8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32AFCDB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690CEA21">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56351AE5">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4442BA52">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68DC7073">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289C01F6">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7574FDA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(10)投标人未办理省主体库登记入库手续的；</w:t>
      </w:r>
    </w:p>
    <w:p w14:paraId="071541A2">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(11)投标人申请开具电子保函 MAC 地址一致的；</w:t>
      </w:r>
    </w:p>
    <w:p w14:paraId="1B9485C4">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(12)投标人基本资格条件和特定资格条件中有一项及以上不符合要求的；</w:t>
      </w:r>
    </w:p>
    <w:p w14:paraId="7A8ABA9C">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FB15149">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(14)其它情形，经评标委员会委提出按无效投标处理，并经公共资源交易监督部门核准的；</w:t>
      </w:r>
    </w:p>
    <w:p w14:paraId="7B128401">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(15)投标人投标MAC地址或投标人联系人或联系电话相同的，由评标委员会否决其投标，并报告监管部门作不良行为处理和进一步调查；</w:t>
      </w:r>
    </w:p>
    <w:p w14:paraId="6D1A392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(16)投标人单方面出现其他投标人材料的；</w:t>
      </w:r>
    </w:p>
    <w:p w14:paraId="7C4973B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(17)招标文件规定的其它无效投标情形。</w:t>
      </w:r>
    </w:p>
    <w:p w14:paraId="398BCF3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32EC0C40">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(1)投标文件签字、盖章不全，经评标委员会一致认定对开评标内容有实质性影响并经公共资源交易监督部门核准的；</w:t>
      </w:r>
    </w:p>
    <w:p w14:paraId="791BDFA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(2)未按规定的格式填写导致实质性内容不全以及实质上不响应，或者关键字迹模糊、无法辨认； 经公共资源交易监督部门核准的；</w:t>
      </w:r>
    </w:p>
    <w:p w14:paraId="52CB13BB">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7C98921">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58FD56A4">
      <w:pPr>
        <w:spacing w:line="500" w:lineRule="exact"/>
        <w:ind w:right="-212" w:rightChars="-101" w:firstLine="420" w:firstLineChars="200"/>
        <w:jc w:val="left"/>
        <w:rPr>
          <w:rFonts w:hint="eastAsia" w:ascii="宋体" w:hAnsi="宋体" w:cs="宋体"/>
          <w:b/>
          <w:bCs/>
          <w:color w:val="auto"/>
          <w:szCs w:val="21"/>
          <w:highlight w:val="none"/>
        </w:rPr>
      </w:pPr>
      <w:r>
        <w:rPr>
          <w:rFonts w:hint="eastAsia" w:ascii="宋体" w:hAnsi="宋体" w:cs="宋体"/>
          <w:color w:val="auto"/>
          <w:szCs w:val="21"/>
          <w:highlight w:val="none"/>
        </w:rPr>
        <w:t>(5)投标报价超出规定的投标限价或公布的采购预算的或投标人的投标报价各项单价高于招标文件给定的单价最高限价；</w:t>
      </w:r>
    </w:p>
    <w:p w14:paraId="1B870A7A">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6D1D488B">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（7）其它情形，经评标委员会委提出按无效投标处理，并经公共资源交易监督部门核准的；</w:t>
      </w:r>
    </w:p>
    <w:p w14:paraId="26003E82">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3D53EC8A">
      <w:pPr>
        <w:tabs>
          <w:tab w:val="left" w:pos="1123"/>
        </w:tabs>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7DB57E4E">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275FB221">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0DFF3F6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58EB06A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(3)投标文件含有违反国家法律、法规的内容，或附有招标人不能接受的条件的；</w:t>
      </w:r>
    </w:p>
    <w:p w14:paraId="32C669F8">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3E0EE12F">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03540B67">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（6）其它情形，经评标委员会委提出按无效投标处理，并经公共资源交易监督部门核准的；</w:t>
      </w:r>
    </w:p>
    <w:p w14:paraId="6348D5DD">
      <w:pPr>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（8）招标文件规定的其它无效投标情形。</w:t>
      </w:r>
    </w:p>
    <w:bookmarkEnd w:id="64"/>
    <w:p w14:paraId="1525D758">
      <w:pPr>
        <w:numPr>
          <w:ilvl w:val="0"/>
          <w:numId w:val="8"/>
        </w:numPr>
        <w:snapToGrid w:val="0"/>
        <w:spacing w:line="440" w:lineRule="exact"/>
        <w:ind w:left="-10" w:leftChars="-5" w:right="-334" w:rightChars="-159" w:firstLine="14"/>
        <w:jc w:val="center"/>
        <w:outlineLvl w:val="0"/>
        <w:rPr>
          <w:rFonts w:hint="eastAsia" w:hAnsi="宋体"/>
          <w:b/>
          <w:bCs/>
          <w:color w:val="auto"/>
          <w:sz w:val="32"/>
          <w:szCs w:val="32"/>
          <w:highlight w:val="none"/>
        </w:rPr>
      </w:pPr>
      <w:bookmarkStart w:id="80" w:name="_Toc30417"/>
      <w:bookmarkStart w:id="81" w:name="_Toc449028945"/>
      <w:bookmarkStart w:id="82" w:name="_Toc22340"/>
      <w:r>
        <w:rPr>
          <w:rFonts w:hint="eastAsia" w:ascii="宋体"/>
          <w:b/>
          <w:color w:val="auto"/>
          <w:sz w:val="32"/>
          <w:szCs w:val="32"/>
          <w:highlight w:val="none"/>
        </w:rPr>
        <w:br w:type="page"/>
      </w:r>
      <w:r>
        <w:rPr>
          <w:rFonts w:hint="eastAsia" w:ascii="宋体"/>
          <w:b/>
          <w:color w:val="auto"/>
          <w:sz w:val="32"/>
          <w:szCs w:val="32"/>
          <w:highlight w:val="none"/>
        </w:rPr>
        <w:t xml:space="preserve"> </w:t>
      </w:r>
      <w:r>
        <w:rPr>
          <w:rFonts w:hint="eastAsia" w:hAnsi="宋体"/>
          <w:b/>
          <w:bCs/>
          <w:color w:val="auto"/>
          <w:sz w:val="32"/>
          <w:szCs w:val="32"/>
          <w:highlight w:val="none"/>
        </w:rPr>
        <w:t>采购内容及技术要求</w:t>
      </w:r>
      <w:bookmarkEnd w:id="80"/>
    </w:p>
    <w:p w14:paraId="743C03B4">
      <w:pPr>
        <w:spacing w:before="156" w:beforeLines="50" w:after="156" w:afterLines="50" w:line="440" w:lineRule="exact"/>
        <w:jc w:val="center"/>
        <w:outlineLvl w:val="2"/>
        <w:rPr>
          <w:rFonts w:hint="eastAsia" w:ascii="宋体" w:hAnsi="宋体" w:cs="宋体"/>
          <w:b/>
          <w:color w:val="auto"/>
          <w:sz w:val="28"/>
          <w:szCs w:val="28"/>
          <w:highlight w:val="none"/>
        </w:rPr>
      </w:pPr>
      <w:r>
        <w:rPr>
          <w:rFonts w:hint="eastAsia" w:ascii="宋体" w:hAnsi="宋体" w:cs="宋体"/>
          <w:b/>
          <w:color w:val="auto"/>
          <w:sz w:val="28"/>
          <w:szCs w:val="28"/>
          <w:highlight w:val="none"/>
        </w:rPr>
        <w:t>一、采购需求</w:t>
      </w:r>
    </w:p>
    <w:tbl>
      <w:tblPr>
        <w:tblStyle w:val="130"/>
        <w:tblW w:w="99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7"/>
        <w:gridCol w:w="2220"/>
        <w:gridCol w:w="1095"/>
        <w:gridCol w:w="1185"/>
        <w:gridCol w:w="765"/>
        <w:gridCol w:w="1110"/>
        <w:gridCol w:w="1335"/>
        <w:gridCol w:w="1575"/>
      </w:tblGrid>
      <w:tr w14:paraId="62966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637" w:type="dxa"/>
            <w:vAlign w:val="center"/>
          </w:tcPr>
          <w:p w14:paraId="16531DE7">
            <w:pPr>
              <w:pStyle w:val="131"/>
              <w:spacing w:line="440" w:lineRule="exact"/>
              <w:jc w:val="center"/>
              <w:rPr>
                <w:rFonts w:hint="eastAsia"/>
                <w:b/>
                <w:bCs/>
                <w:color w:val="auto"/>
                <w:spacing w:val="3"/>
                <w:sz w:val="21"/>
                <w:szCs w:val="21"/>
                <w:highlight w:val="none"/>
                <w:lang w:eastAsia="zh-CN"/>
              </w:rPr>
            </w:pPr>
            <w:r>
              <w:rPr>
                <w:rFonts w:hint="eastAsia"/>
                <w:b/>
                <w:bCs/>
                <w:color w:val="auto"/>
                <w:spacing w:val="3"/>
                <w:sz w:val="21"/>
                <w:szCs w:val="21"/>
                <w:highlight w:val="none"/>
                <w:lang w:eastAsia="zh-CN"/>
              </w:rPr>
              <w:t>序号</w:t>
            </w:r>
          </w:p>
        </w:tc>
        <w:tc>
          <w:tcPr>
            <w:tcW w:w="2220" w:type="dxa"/>
            <w:vAlign w:val="center"/>
          </w:tcPr>
          <w:p w14:paraId="5E9D84FF">
            <w:pPr>
              <w:pStyle w:val="131"/>
              <w:spacing w:line="440" w:lineRule="exact"/>
              <w:jc w:val="center"/>
              <w:rPr>
                <w:rFonts w:hint="eastAsia"/>
                <w:b/>
                <w:bCs/>
                <w:color w:val="auto"/>
                <w:sz w:val="21"/>
                <w:szCs w:val="21"/>
                <w:highlight w:val="none"/>
              </w:rPr>
            </w:pPr>
            <w:r>
              <w:rPr>
                <w:rFonts w:hint="eastAsia"/>
                <w:b/>
                <w:bCs/>
                <w:color w:val="auto"/>
                <w:spacing w:val="3"/>
                <w:sz w:val="21"/>
                <w:szCs w:val="21"/>
                <w:highlight w:val="none"/>
              </w:rPr>
              <w:t>产品名称</w:t>
            </w:r>
          </w:p>
        </w:tc>
        <w:tc>
          <w:tcPr>
            <w:tcW w:w="1095" w:type="dxa"/>
            <w:vAlign w:val="center"/>
          </w:tcPr>
          <w:p w14:paraId="02527CC1">
            <w:pPr>
              <w:widowControl/>
              <w:jc w:val="center"/>
              <w:textAlignment w:val="center"/>
              <w:rPr>
                <w:b/>
                <w:bCs/>
                <w:color w:val="auto"/>
                <w:spacing w:val="3"/>
                <w:szCs w:val="21"/>
                <w:highlight w:val="none"/>
              </w:rPr>
            </w:pPr>
            <w:r>
              <w:rPr>
                <w:rFonts w:hint="eastAsia" w:ascii="宋体" w:hAnsi="宋体" w:cs="宋体"/>
                <w:b/>
                <w:bCs/>
                <w:color w:val="auto"/>
                <w:kern w:val="0"/>
                <w:sz w:val="24"/>
                <w:highlight w:val="none"/>
                <w:lang w:bidi="ar"/>
              </w:rPr>
              <w:t>压力等级</w:t>
            </w:r>
          </w:p>
        </w:tc>
        <w:tc>
          <w:tcPr>
            <w:tcW w:w="1185" w:type="dxa"/>
            <w:vAlign w:val="center"/>
          </w:tcPr>
          <w:p w14:paraId="16DEAFFB">
            <w:pPr>
              <w:widowControl/>
              <w:jc w:val="center"/>
              <w:textAlignment w:val="center"/>
              <w:rPr>
                <w:b/>
                <w:bCs/>
                <w:color w:val="auto"/>
                <w:spacing w:val="3"/>
                <w:szCs w:val="21"/>
                <w:highlight w:val="none"/>
              </w:rPr>
            </w:pPr>
            <w:r>
              <w:rPr>
                <w:rFonts w:hint="eastAsia" w:ascii="宋体" w:hAnsi="宋体" w:cs="宋体"/>
                <w:b/>
                <w:bCs/>
                <w:color w:val="auto"/>
                <w:kern w:val="0"/>
                <w:sz w:val="24"/>
                <w:highlight w:val="none"/>
                <w:lang w:bidi="ar"/>
              </w:rPr>
              <w:t>产品型号</w:t>
            </w:r>
          </w:p>
        </w:tc>
        <w:tc>
          <w:tcPr>
            <w:tcW w:w="765" w:type="dxa"/>
            <w:vAlign w:val="center"/>
          </w:tcPr>
          <w:p w14:paraId="6AFF519C">
            <w:pPr>
              <w:widowControl/>
              <w:jc w:val="center"/>
              <w:textAlignment w:val="center"/>
              <w:rPr>
                <w:b/>
                <w:bCs/>
                <w:color w:val="auto"/>
                <w:spacing w:val="3"/>
                <w:szCs w:val="21"/>
                <w:highlight w:val="none"/>
              </w:rPr>
            </w:pPr>
            <w:r>
              <w:rPr>
                <w:rFonts w:hint="eastAsia" w:ascii="宋体" w:hAnsi="宋体" w:cs="宋体"/>
                <w:b/>
                <w:bCs/>
                <w:color w:val="auto"/>
                <w:kern w:val="0"/>
                <w:sz w:val="24"/>
                <w:highlight w:val="none"/>
                <w:lang w:bidi="ar"/>
              </w:rPr>
              <w:t>单位</w:t>
            </w:r>
          </w:p>
        </w:tc>
        <w:tc>
          <w:tcPr>
            <w:tcW w:w="1110" w:type="dxa"/>
            <w:vAlign w:val="center"/>
          </w:tcPr>
          <w:p w14:paraId="2C3EA091">
            <w:pPr>
              <w:widowControl/>
              <w:jc w:val="center"/>
              <w:textAlignment w:val="center"/>
              <w:rPr>
                <w:b/>
                <w:bCs/>
                <w:color w:val="auto"/>
                <w:spacing w:val="3"/>
                <w:szCs w:val="21"/>
                <w:highlight w:val="none"/>
              </w:rPr>
            </w:pPr>
            <w:r>
              <w:rPr>
                <w:rFonts w:hint="eastAsia" w:ascii="宋体" w:hAnsi="宋体" w:cs="宋体"/>
                <w:b/>
                <w:bCs/>
                <w:color w:val="auto"/>
                <w:kern w:val="0"/>
                <w:sz w:val="24"/>
                <w:highlight w:val="none"/>
                <w:lang w:bidi="ar"/>
              </w:rPr>
              <w:t>数量</w:t>
            </w:r>
          </w:p>
        </w:tc>
        <w:tc>
          <w:tcPr>
            <w:tcW w:w="1335" w:type="dxa"/>
            <w:vAlign w:val="center"/>
          </w:tcPr>
          <w:p w14:paraId="2CCD184F">
            <w:pPr>
              <w:pStyle w:val="131"/>
              <w:spacing w:line="440" w:lineRule="exact"/>
              <w:jc w:val="center"/>
              <w:rPr>
                <w:rFonts w:hint="eastAsia"/>
                <w:b/>
                <w:bCs/>
                <w:color w:val="auto"/>
                <w:sz w:val="21"/>
                <w:szCs w:val="21"/>
                <w:highlight w:val="none"/>
                <w:lang w:eastAsia="zh-CN"/>
              </w:rPr>
            </w:pPr>
            <w:r>
              <w:rPr>
                <w:rFonts w:hint="eastAsia"/>
                <w:b/>
                <w:bCs/>
                <w:color w:val="auto"/>
                <w:sz w:val="21"/>
                <w:szCs w:val="21"/>
                <w:highlight w:val="none"/>
                <w:lang w:eastAsia="zh-CN"/>
              </w:rPr>
              <w:t>最高综合单价（元）</w:t>
            </w:r>
          </w:p>
        </w:tc>
        <w:tc>
          <w:tcPr>
            <w:tcW w:w="1575" w:type="dxa"/>
            <w:vAlign w:val="center"/>
          </w:tcPr>
          <w:p w14:paraId="4ED6657E">
            <w:pPr>
              <w:pStyle w:val="131"/>
              <w:spacing w:line="440" w:lineRule="exact"/>
              <w:ind w:left="231" w:right="-73" w:rightChars="-35"/>
              <w:jc w:val="center"/>
              <w:rPr>
                <w:rFonts w:hint="eastAsia"/>
                <w:b/>
                <w:bCs/>
                <w:color w:val="auto"/>
                <w:sz w:val="21"/>
                <w:szCs w:val="21"/>
                <w:highlight w:val="none"/>
                <w:lang w:eastAsia="zh-CN"/>
              </w:rPr>
            </w:pPr>
            <w:r>
              <w:rPr>
                <w:rFonts w:hint="eastAsia"/>
                <w:b/>
                <w:bCs/>
                <w:color w:val="auto"/>
                <w:sz w:val="21"/>
                <w:szCs w:val="21"/>
                <w:highlight w:val="none"/>
                <w:lang w:eastAsia="zh-CN"/>
              </w:rPr>
              <w:t>小计（元）</w:t>
            </w:r>
          </w:p>
        </w:tc>
      </w:tr>
      <w:tr w14:paraId="397F6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157BD3C9">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1</w:t>
            </w:r>
          </w:p>
        </w:tc>
        <w:tc>
          <w:tcPr>
            <w:tcW w:w="2220" w:type="dxa"/>
            <w:vAlign w:val="center"/>
          </w:tcPr>
          <w:p w14:paraId="308C553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钢制法兰片(DN100)</w:t>
            </w:r>
          </w:p>
        </w:tc>
        <w:tc>
          <w:tcPr>
            <w:tcW w:w="1095" w:type="dxa"/>
            <w:vAlign w:val="center"/>
          </w:tcPr>
          <w:p w14:paraId="7EEC4D9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5739D73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DN100</w:t>
            </w:r>
          </w:p>
        </w:tc>
        <w:tc>
          <w:tcPr>
            <w:tcW w:w="765" w:type="dxa"/>
            <w:vAlign w:val="center"/>
          </w:tcPr>
          <w:p w14:paraId="080E2208">
            <w:pPr>
              <w:widowControl/>
              <w:jc w:val="center"/>
              <w:textAlignment w:val="center"/>
              <w:rPr>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4A853C3A">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40.00 </w:t>
            </w:r>
          </w:p>
        </w:tc>
        <w:tc>
          <w:tcPr>
            <w:tcW w:w="1335" w:type="dxa"/>
            <w:vAlign w:val="center"/>
          </w:tcPr>
          <w:p w14:paraId="08B3D701">
            <w:pPr>
              <w:widowControl/>
              <w:jc w:val="center"/>
              <w:textAlignment w:val="center"/>
              <w:rPr>
                <w:color w:val="auto"/>
                <w:szCs w:val="21"/>
                <w:highlight w:val="none"/>
              </w:rPr>
            </w:pPr>
            <w:r>
              <w:rPr>
                <w:rFonts w:hint="eastAsia" w:ascii="宋体" w:hAnsi="宋体" w:cs="宋体"/>
                <w:color w:val="auto"/>
                <w:kern w:val="0"/>
                <w:sz w:val="24"/>
                <w:highlight w:val="none"/>
                <w:lang w:bidi="ar"/>
              </w:rPr>
              <w:t>48</w:t>
            </w:r>
          </w:p>
        </w:tc>
        <w:tc>
          <w:tcPr>
            <w:tcW w:w="1575" w:type="dxa"/>
            <w:vAlign w:val="center"/>
          </w:tcPr>
          <w:p w14:paraId="481E7B7C">
            <w:pPr>
              <w:widowControl/>
              <w:jc w:val="center"/>
              <w:textAlignment w:val="center"/>
              <w:rPr>
                <w:color w:val="auto"/>
                <w:szCs w:val="21"/>
                <w:highlight w:val="none"/>
              </w:rPr>
            </w:pPr>
            <w:r>
              <w:rPr>
                <w:rFonts w:hint="eastAsia" w:ascii="宋体" w:hAnsi="宋体" w:cs="宋体"/>
                <w:color w:val="auto"/>
                <w:kern w:val="0"/>
                <w:sz w:val="24"/>
                <w:highlight w:val="none"/>
                <w:lang w:bidi="ar"/>
              </w:rPr>
              <w:t>1920</w:t>
            </w:r>
          </w:p>
        </w:tc>
      </w:tr>
      <w:tr w14:paraId="67781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9C0B767">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2</w:t>
            </w:r>
          </w:p>
        </w:tc>
        <w:tc>
          <w:tcPr>
            <w:tcW w:w="2220" w:type="dxa"/>
            <w:vAlign w:val="center"/>
          </w:tcPr>
          <w:p w14:paraId="533CB04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钢制法兰片(DN150)</w:t>
            </w:r>
          </w:p>
        </w:tc>
        <w:tc>
          <w:tcPr>
            <w:tcW w:w="1095" w:type="dxa"/>
            <w:vAlign w:val="center"/>
          </w:tcPr>
          <w:p w14:paraId="79A2AB5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0B9132B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DN150</w:t>
            </w:r>
          </w:p>
        </w:tc>
        <w:tc>
          <w:tcPr>
            <w:tcW w:w="765" w:type="dxa"/>
            <w:vAlign w:val="center"/>
          </w:tcPr>
          <w:p w14:paraId="0CE951D9">
            <w:pPr>
              <w:widowControl/>
              <w:jc w:val="center"/>
              <w:textAlignment w:val="center"/>
              <w:rPr>
                <w:rFonts w:hint="eastAsia" w:ascii="宋体" w:hAnsi="宋体" w:cs="宋体"/>
                <w:color w:val="auto"/>
                <w:spacing w:val="5"/>
                <w:szCs w:val="21"/>
                <w:highlight w:val="none"/>
              </w:rPr>
            </w:pPr>
            <w:r>
              <w:rPr>
                <w:rFonts w:hint="eastAsia" w:ascii="宋体" w:hAnsi="宋体" w:cs="宋体"/>
                <w:color w:val="auto"/>
                <w:kern w:val="0"/>
                <w:sz w:val="24"/>
                <w:highlight w:val="none"/>
                <w:lang w:bidi="ar"/>
              </w:rPr>
              <w:t>片</w:t>
            </w:r>
          </w:p>
        </w:tc>
        <w:tc>
          <w:tcPr>
            <w:tcW w:w="1110" w:type="dxa"/>
            <w:vAlign w:val="center"/>
          </w:tcPr>
          <w:p w14:paraId="316EA3EE">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 </w:t>
            </w:r>
          </w:p>
        </w:tc>
        <w:tc>
          <w:tcPr>
            <w:tcW w:w="1335" w:type="dxa"/>
            <w:vAlign w:val="center"/>
          </w:tcPr>
          <w:p w14:paraId="594B1D99">
            <w:pPr>
              <w:widowControl/>
              <w:jc w:val="center"/>
              <w:textAlignment w:val="center"/>
              <w:rPr>
                <w:color w:val="auto"/>
                <w:szCs w:val="21"/>
                <w:highlight w:val="none"/>
              </w:rPr>
            </w:pPr>
            <w:r>
              <w:rPr>
                <w:rFonts w:hint="eastAsia" w:ascii="宋体" w:hAnsi="宋体" w:cs="宋体"/>
                <w:color w:val="auto"/>
                <w:kern w:val="0"/>
                <w:sz w:val="24"/>
                <w:highlight w:val="none"/>
                <w:lang w:bidi="ar"/>
              </w:rPr>
              <w:t>75</w:t>
            </w:r>
          </w:p>
        </w:tc>
        <w:tc>
          <w:tcPr>
            <w:tcW w:w="1575" w:type="dxa"/>
            <w:vAlign w:val="center"/>
          </w:tcPr>
          <w:p w14:paraId="48260E95">
            <w:pPr>
              <w:widowControl/>
              <w:jc w:val="center"/>
              <w:textAlignment w:val="center"/>
              <w:rPr>
                <w:color w:val="auto"/>
                <w:szCs w:val="21"/>
                <w:highlight w:val="none"/>
              </w:rPr>
            </w:pPr>
            <w:r>
              <w:rPr>
                <w:rFonts w:hint="eastAsia" w:ascii="宋体" w:hAnsi="宋体" w:cs="宋体"/>
                <w:color w:val="auto"/>
                <w:kern w:val="0"/>
                <w:sz w:val="24"/>
                <w:highlight w:val="none"/>
                <w:lang w:bidi="ar"/>
              </w:rPr>
              <w:t>750</w:t>
            </w:r>
          </w:p>
        </w:tc>
      </w:tr>
      <w:tr w14:paraId="58D2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27DB7B60">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3</w:t>
            </w:r>
          </w:p>
        </w:tc>
        <w:tc>
          <w:tcPr>
            <w:tcW w:w="2220" w:type="dxa"/>
            <w:vAlign w:val="center"/>
          </w:tcPr>
          <w:p w14:paraId="3F11EF8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钢制法兰片(DN200)</w:t>
            </w:r>
          </w:p>
        </w:tc>
        <w:tc>
          <w:tcPr>
            <w:tcW w:w="1095" w:type="dxa"/>
            <w:vAlign w:val="center"/>
          </w:tcPr>
          <w:p w14:paraId="5DBCD30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355A14B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DN200</w:t>
            </w:r>
          </w:p>
        </w:tc>
        <w:tc>
          <w:tcPr>
            <w:tcW w:w="765" w:type="dxa"/>
            <w:vAlign w:val="center"/>
          </w:tcPr>
          <w:p w14:paraId="39A6B386">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633B35B6">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100.00 </w:t>
            </w:r>
          </w:p>
        </w:tc>
        <w:tc>
          <w:tcPr>
            <w:tcW w:w="1335" w:type="dxa"/>
            <w:vAlign w:val="center"/>
          </w:tcPr>
          <w:p w14:paraId="4B42E763">
            <w:pPr>
              <w:widowControl/>
              <w:jc w:val="center"/>
              <w:textAlignment w:val="center"/>
              <w:rPr>
                <w:color w:val="auto"/>
                <w:szCs w:val="21"/>
                <w:highlight w:val="none"/>
              </w:rPr>
            </w:pPr>
            <w:r>
              <w:rPr>
                <w:rFonts w:hint="eastAsia" w:ascii="宋体" w:hAnsi="宋体" w:cs="宋体"/>
                <w:color w:val="auto"/>
                <w:kern w:val="0"/>
                <w:sz w:val="24"/>
                <w:highlight w:val="none"/>
                <w:lang w:bidi="ar"/>
              </w:rPr>
              <w:t>90</w:t>
            </w:r>
          </w:p>
        </w:tc>
        <w:tc>
          <w:tcPr>
            <w:tcW w:w="1575" w:type="dxa"/>
            <w:vAlign w:val="center"/>
          </w:tcPr>
          <w:p w14:paraId="05CFE74F">
            <w:pPr>
              <w:widowControl/>
              <w:jc w:val="center"/>
              <w:textAlignment w:val="center"/>
              <w:rPr>
                <w:color w:val="auto"/>
                <w:szCs w:val="21"/>
                <w:highlight w:val="none"/>
              </w:rPr>
            </w:pPr>
            <w:r>
              <w:rPr>
                <w:rFonts w:hint="eastAsia" w:ascii="宋体" w:hAnsi="宋体" w:cs="宋体"/>
                <w:color w:val="auto"/>
                <w:kern w:val="0"/>
                <w:sz w:val="24"/>
                <w:highlight w:val="none"/>
                <w:lang w:bidi="ar"/>
              </w:rPr>
              <w:t>9000</w:t>
            </w:r>
          </w:p>
        </w:tc>
      </w:tr>
      <w:tr w14:paraId="1EC30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0C719AF7">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4</w:t>
            </w:r>
          </w:p>
        </w:tc>
        <w:tc>
          <w:tcPr>
            <w:tcW w:w="2220" w:type="dxa"/>
            <w:vAlign w:val="center"/>
          </w:tcPr>
          <w:p w14:paraId="0FED0AE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钢制法兰片(DN300)</w:t>
            </w:r>
          </w:p>
        </w:tc>
        <w:tc>
          <w:tcPr>
            <w:tcW w:w="1095" w:type="dxa"/>
            <w:vAlign w:val="center"/>
          </w:tcPr>
          <w:p w14:paraId="77B0F56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2C67D2A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DN300</w:t>
            </w:r>
          </w:p>
        </w:tc>
        <w:tc>
          <w:tcPr>
            <w:tcW w:w="765" w:type="dxa"/>
            <w:vAlign w:val="center"/>
          </w:tcPr>
          <w:p w14:paraId="175A1FD6">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片</w:t>
            </w:r>
          </w:p>
        </w:tc>
        <w:tc>
          <w:tcPr>
            <w:tcW w:w="1110" w:type="dxa"/>
            <w:vAlign w:val="center"/>
          </w:tcPr>
          <w:p w14:paraId="233AA316">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40.00 </w:t>
            </w:r>
          </w:p>
        </w:tc>
        <w:tc>
          <w:tcPr>
            <w:tcW w:w="1335" w:type="dxa"/>
            <w:vAlign w:val="center"/>
          </w:tcPr>
          <w:p w14:paraId="531282E7">
            <w:pPr>
              <w:widowControl/>
              <w:jc w:val="center"/>
              <w:textAlignment w:val="center"/>
              <w:rPr>
                <w:color w:val="auto"/>
                <w:szCs w:val="21"/>
                <w:highlight w:val="none"/>
              </w:rPr>
            </w:pPr>
            <w:r>
              <w:rPr>
                <w:rFonts w:hint="eastAsia" w:ascii="宋体" w:hAnsi="宋体" w:cs="宋体"/>
                <w:color w:val="auto"/>
                <w:kern w:val="0"/>
                <w:sz w:val="24"/>
                <w:highlight w:val="none"/>
                <w:lang w:bidi="ar"/>
              </w:rPr>
              <w:t>141</w:t>
            </w:r>
          </w:p>
        </w:tc>
        <w:tc>
          <w:tcPr>
            <w:tcW w:w="1575" w:type="dxa"/>
            <w:vAlign w:val="center"/>
          </w:tcPr>
          <w:p w14:paraId="09E7362D">
            <w:pPr>
              <w:widowControl/>
              <w:jc w:val="center"/>
              <w:textAlignment w:val="center"/>
              <w:rPr>
                <w:color w:val="auto"/>
                <w:szCs w:val="21"/>
                <w:highlight w:val="none"/>
              </w:rPr>
            </w:pPr>
            <w:r>
              <w:rPr>
                <w:rFonts w:hint="eastAsia" w:ascii="宋体" w:hAnsi="宋体" w:cs="宋体"/>
                <w:color w:val="auto"/>
                <w:kern w:val="0"/>
                <w:sz w:val="24"/>
                <w:highlight w:val="none"/>
                <w:lang w:bidi="ar"/>
              </w:rPr>
              <w:t>5640</w:t>
            </w:r>
          </w:p>
        </w:tc>
      </w:tr>
      <w:tr w14:paraId="6F5E4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7E8EF496">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5</w:t>
            </w:r>
          </w:p>
        </w:tc>
        <w:tc>
          <w:tcPr>
            <w:tcW w:w="2220" w:type="dxa"/>
            <w:vAlign w:val="center"/>
          </w:tcPr>
          <w:p w14:paraId="140DC20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钢制法兰片(DN400)</w:t>
            </w:r>
          </w:p>
        </w:tc>
        <w:tc>
          <w:tcPr>
            <w:tcW w:w="1095" w:type="dxa"/>
            <w:vAlign w:val="center"/>
          </w:tcPr>
          <w:p w14:paraId="0E8D9AFF">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36FD190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DN400</w:t>
            </w:r>
          </w:p>
        </w:tc>
        <w:tc>
          <w:tcPr>
            <w:tcW w:w="765" w:type="dxa"/>
            <w:vAlign w:val="center"/>
          </w:tcPr>
          <w:p w14:paraId="31D1DEC4">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片</w:t>
            </w:r>
          </w:p>
        </w:tc>
        <w:tc>
          <w:tcPr>
            <w:tcW w:w="1110" w:type="dxa"/>
            <w:vAlign w:val="center"/>
          </w:tcPr>
          <w:p w14:paraId="6E1F7565">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50.00 </w:t>
            </w:r>
          </w:p>
        </w:tc>
        <w:tc>
          <w:tcPr>
            <w:tcW w:w="1335" w:type="dxa"/>
            <w:vAlign w:val="center"/>
          </w:tcPr>
          <w:p w14:paraId="33514C1B">
            <w:pPr>
              <w:widowControl/>
              <w:jc w:val="center"/>
              <w:textAlignment w:val="center"/>
              <w:rPr>
                <w:color w:val="auto"/>
                <w:szCs w:val="21"/>
                <w:highlight w:val="none"/>
              </w:rPr>
            </w:pPr>
            <w:r>
              <w:rPr>
                <w:rFonts w:hint="eastAsia" w:ascii="宋体" w:hAnsi="宋体" w:cs="宋体"/>
                <w:color w:val="auto"/>
                <w:kern w:val="0"/>
                <w:sz w:val="24"/>
                <w:highlight w:val="none"/>
                <w:lang w:bidi="ar"/>
              </w:rPr>
              <w:t>240</w:t>
            </w:r>
          </w:p>
        </w:tc>
        <w:tc>
          <w:tcPr>
            <w:tcW w:w="1575" w:type="dxa"/>
            <w:vAlign w:val="center"/>
          </w:tcPr>
          <w:p w14:paraId="25E550F1">
            <w:pPr>
              <w:widowControl/>
              <w:jc w:val="center"/>
              <w:textAlignment w:val="center"/>
              <w:rPr>
                <w:color w:val="auto"/>
                <w:szCs w:val="21"/>
                <w:highlight w:val="none"/>
              </w:rPr>
            </w:pPr>
            <w:r>
              <w:rPr>
                <w:rFonts w:hint="eastAsia" w:ascii="宋体" w:hAnsi="宋体" w:cs="宋体"/>
                <w:color w:val="auto"/>
                <w:kern w:val="0"/>
                <w:sz w:val="24"/>
                <w:highlight w:val="none"/>
                <w:lang w:bidi="ar"/>
              </w:rPr>
              <w:t>12000</w:t>
            </w:r>
          </w:p>
        </w:tc>
      </w:tr>
      <w:tr w14:paraId="7B5D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442AC79">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6</w:t>
            </w:r>
          </w:p>
        </w:tc>
        <w:tc>
          <w:tcPr>
            <w:tcW w:w="2220" w:type="dxa"/>
            <w:vAlign w:val="center"/>
          </w:tcPr>
          <w:p w14:paraId="249CAFF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钢制法兰片(DN500)</w:t>
            </w:r>
          </w:p>
        </w:tc>
        <w:tc>
          <w:tcPr>
            <w:tcW w:w="1095" w:type="dxa"/>
            <w:vAlign w:val="center"/>
          </w:tcPr>
          <w:p w14:paraId="1243D71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430A304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DN500</w:t>
            </w:r>
          </w:p>
        </w:tc>
        <w:tc>
          <w:tcPr>
            <w:tcW w:w="765" w:type="dxa"/>
            <w:vAlign w:val="center"/>
          </w:tcPr>
          <w:p w14:paraId="622ABF04">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片</w:t>
            </w:r>
          </w:p>
        </w:tc>
        <w:tc>
          <w:tcPr>
            <w:tcW w:w="1110" w:type="dxa"/>
            <w:vAlign w:val="center"/>
          </w:tcPr>
          <w:p w14:paraId="592D4507">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2A133C49">
            <w:pPr>
              <w:widowControl/>
              <w:jc w:val="center"/>
              <w:textAlignment w:val="center"/>
              <w:rPr>
                <w:color w:val="auto"/>
                <w:szCs w:val="21"/>
                <w:highlight w:val="none"/>
              </w:rPr>
            </w:pPr>
            <w:r>
              <w:rPr>
                <w:rFonts w:hint="eastAsia" w:ascii="宋体" w:hAnsi="宋体" w:cs="宋体"/>
                <w:color w:val="auto"/>
                <w:kern w:val="0"/>
                <w:sz w:val="24"/>
                <w:highlight w:val="none"/>
                <w:lang w:bidi="ar"/>
              </w:rPr>
              <w:t>350</w:t>
            </w:r>
          </w:p>
        </w:tc>
        <w:tc>
          <w:tcPr>
            <w:tcW w:w="1575" w:type="dxa"/>
            <w:vAlign w:val="center"/>
          </w:tcPr>
          <w:p w14:paraId="0ECCD2BD">
            <w:pPr>
              <w:widowControl/>
              <w:jc w:val="center"/>
              <w:textAlignment w:val="center"/>
              <w:rPr>
                <w:color w:val="auto"/>
                <w:szCs w:val="21"/>
                <w:highlight w:val="none"/>
              </w:rPr>
            </w:pPr>
            <w:r>
              <w:rPr>
                <w:rFonts w:hint="eastAsia" w:ascii="宋体" w:hAnsi="宋体" w:cs="宋体"/>
                <w:color w:val="auto"/>
                <w:kern w:val="0"/>
                <w:sz w:val="24"/>
                <w:highlight w:val="none"/>
                <w:lang w:bidi="ar"/>
              </w:rPr>
              <w:t>700</w:t>
            </w:r>
          </w:p>
        </w:tc>
      </w:tr>
      <w:tr w14:paraId="524F6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4855D896">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7</w:t>
            </w:r>
          </w:p>
        </w:tc>
        <w:tc>
          <w:tcPr>
            <w:tcW w:w="2220" w:type="dxa"/>
            <w:vAlign w:val="center"/>
          </w:tcPr>
          <w:p w14:paraId="73B446D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钢制法兰片(DN600)</w:t>
            </w:r>
          </w:p>
        </w:tc>
        <w:tc>
          <w:tcPr>
            <w:tcW w:w="1095" w:type="dxa"/>
            <w:vAlign w:val="center"/>
          </w:tcPr>
          <w:p w14:paraId="39D4856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5243F9F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DN600</w:t>
            </w:r>
          </w:p>
        </w:tc>
        <w:tc>
          <w:tcPr>
            <w:tcW w:w="765" w:type="dxa"/>
            <w:vAlign w:val="center"/>
          </w:tcPr>
          <w:p w14:paraId="0B97CA19">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2FFDB8E3">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50.00 </w:t>
            </w:r>
          </w:p>
        </w:tc>
        <w:tc>
          <w:tcPr>
            <w:tcW w:w="1335" w:type="dxa"/>
            <w:vAlign w:val="center"/>
          </w:tcPr>
          <w:p w14:paraId="538D307E">
            <w:pPr>
              <w:widowControl/>
              <w:jc w:val="center"/>
              <w:textAlignment w:val="center"/>
              <w:rPr>
                <w:color w:val="auto"/>
                <w:szCs w:val="21"/>
                <w:highlight w:val="none"/>
              </w:rPr>
            </w:pPr>
            <w:r>
              <w:rPr>
                <w:rFonts w:hint="eastAsia" w:ascii="宋体" w:hAnsi="宋体" w:cs="宋体"/>
                <w:color w:val="auto"/>
                <w:kern w:val="0"/>
                <w:sz w:val="24"/>
                <w:highlight w:val="none"/>
                <w:lang w:bidi="ar"/>
              </w:rPr>
              <w:t>478</w:t>
            </w:r>
          </w:p>
        </w:tc>
        <w:tc>
          <w:tcPr>
            <w:tcW w:w="1575" w:type="dxa"/>
            <w:vAlign w:val="center"/>
          </w:tcPr>
          <w:p w14:paraId="7FA73BB3">
            <w:pPr>
              <w:widowControl/>
              <w:jc w:val="center"/>
              <w:textAlignment w:val="center"/>
              <w:rPr>
                <w:color w:val="auto"/>
                <w:szCs w:val="21"/>
                <w:highlight w:val="none"/>
              </w:rPr>
            </w:pPr>
            <w:r>
              <w:rPr>
                <w:rFonts w:hint="eastAsia" w:ascii="宋体" w:hAnsi="宋体" w:cs="宋体"/>
                <w:color w:val="auto"/>
                <w:kern w:val="0"/>
                <w:sz w:val="24"/>
                <w:highlight w:val="none"/>
                <w:lang w:bidi="ar"/>
              </w:rPr>
              <w:t>23900</w:t>
            </w:r>
          </w:p>
        </w:tc>
      </w:tr>
      <w:tr w14:paraId="0AA8A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4EA348C1">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8</w:t>
            </w:r>
          </w:p>
        </w:tc>
        <w:tc>
          <w:tcPr>
            <w:tcW w:w="2220" w:type="dxa"/>
            <w:vAlign w:val="center"/>
          </w:tcPr>
          <w:p w14:paraId="4A93D76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钢制法兰片(DN700)</w:t>
            </w:r>
          </w:p>
        </w:tc>
        <w:tc>
          <w:tcPr>
            <w:tcW w:w="1095" w:type="dxa"/>
            <w:vAlign w:val="center"/>
          </w:tcPr>
          <w:p w14:paraId="38A12F7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6C5D226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DN700</w:t>
            </w:r>
          </w:p>
        </w:tc>
        <w:tc>
          <w:tcPr>
            <w:tcW w:w="765" w:type="dxa"/>
            <w:vAlign w:val="center"/>
          </w:tcPr>
          <w:p w14:paraId="0DAF72E8">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4614A9FB">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1A8B097F">
            <w:pPr>
              <w:widowControl/>
              <w:jc w:val="center"/>
              <w:textAlignment w:val="center"/>
              <w:rPr>
                <w:color w:val="auto"/>
                <w:szCs w:val="21"/>
                <w:highlight w:val="none"/>
              </w:rPr>
            </w:pPr>
            <w:r>
              <w:rPr>
                <w:rFonts w:hint="eastAsia" w:ascii="宋体" w:hAnsi="宋体" w:cs="宋体"/>
                <w:color w:val="auto"/>
                <w:kern w:val="0"/>
                <w:sz w:val="24"/>
                <w:highlight w:val="none"/>
                <w:lang w:bidi="ar"/>
              </w:rPr>
              <w:t>740</w:t>
            </w:r>
          </w:p>
        </w:tc>
        <w:tc>
          <w:tcPr>
            <w:tcW w:w="1575" w:type="dxa"/>
            <w:vAlign w:val="center"/>
          </w:tcPr>
          <w:p w14:paraId="2ACE1358">
            <w:pPr>
              <w:widowControl/>
              <w:jc w:val="center"/>
              <w:textAlignment w:val="center"/>
              <w:rPr>
                <w:color w:val="auto"/>
                <w:szCs w:val="21"/>
                <w:highlight w:val="none"/>
              </w:rPr>
            </w:pPr>
            <w:r>
              <w:rPr>
                <w:rFonts w:hint="eastAsia" w:ascii="宋体" w:hAnsi="宋体" w:cs="宋体"/>
                <w:color w:val="auto"/>
                <w:kern w:val="0"/>
                <w:sz w:val="24"/>
                <w:highlight w:val="none"/>
                <w:lang w:bidi="ar"/>
              </w:rPr>
              <w:t>1480</w:t>
            </w:r>
          </w:p>
        </w:tc>
      </w:tr>
      <w:tr w14:paraId="0865D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2F80756B">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9</w:t>
            </w:r>
          </w:p>
        </w:tc>
        <w:tc>
          <w:tcPr>
            <w:tcW w:w="2220" w:type="dxa"/>
            <w:vAlign w:val="center"/>
          </w:tcPr>
          <w:p w14:paraId="3E63BC8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钢制法兰片(DN800)</w:t>
            </w:r>
          </w:p>
        </w:tc>
        <w:tc>
          <w:tcPr>
            <w:tcW w:w="1095" w:type="dxa"/>
            <w:vAlign w:val="center"/>
          </w:tcPr>
          <w:p w14:paraId="172A3ED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7928F20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DN800</w:t>
            </w:r>
          </w:p>
        </w:tc>
        <w:tc>
          <w:tcPr>
            <w:tcW w:w="765" w:type="dxa"/>
            <w:vAlign w:val="center"/>
          </w:tcPr>
          <w:p w14:paraId="4331621B">
            <w:pPr>
              <w:widowControl/>
              <w:jc w:val="center"/>
              <w:textAlignment w:val="center"/>
              <w:rPr>
                <w:rFonts w:hint="eastAsia" w:ascii="宋体" w:hAnsi="宋体" w:cs="宋体"/>
                <w:color w:val="auto"/>
                <w:spacing w:val="7"/>
                <w:szCs w:val="21"/>
                <w:highlight w:val="none"/>
              </w:rPr>
            </w:pPr>
            <w:r>
              <w:rPr>
                <w:rFonts w:hint="eastAsia" w:ascii="宋体" w:hAnsi="宋体" w:cs="宋体"/>
                <w:color w:val="auto"/>
                <w:kern w:val="0"/>
                <w:sz w:val="24"/>
                <w:highlight w:val="none"/>
                <w:lang w:bidi="ar"/>
              </w:rPr>
              <w:t>片</w:t>
            </w:r>
          </w:p>
        </w:tc>
        <w:tc>
          <w:tcPr>
            <w:tcW w:w="1110" w:type="dxa"/>
            <w:vAlign w:val="center"/>
          </w:tcPr>
          <w:p w14:paraId="3616DD2F">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5.00 </w:t>
            </w:r>
          </w:p>
        </w:tc>
        <w:tc>
          <w:tcPr>
            <w:tcW w:w="1335" w:type="dxa"/>
            <w:vAlign w:val="center"/>
          </w:tcPr>
          <w:p w14:paraId="7A15205B">
            <w:pPr>
              <w:widowControl/>
              <w:jc w:val="center"/>
              <w:textAlignment w:val="center"/>
              <w:rPr>
                <w:color w:val="auto"/>
                <w:szCs w:val="21"/>
                <w:highlight w:val="none"/>
              </w:rPr>
            </w:pPr>
            <w:r>
              <w:rPr>
                <w:rFonts w:hint="eastAsia" w:ascii="宋体" w:hAnsi="宋体" w:cs="宋体"/>
                <w:color w:val="auto"/>
                <w:kern w:val="0"/>
                <w:sz w:val="24"/>
                <w:highlight w:val="none"/>
                <w:lang w:bidi="ar"/>
              </w:rPr>
              <w:t>1035</w:t>
            </w:r>
          </w:p>
        </w:tc>
        <w:tc>
          <w:tcPr>
            <w:tcW w:w="1575" w:type="dxa"/>
            <w:vAlign w:val="center"/>
          </w:tcPr>
          <w:p w14:paraId="470A63EB">
            <w:pPr>
              <w:widowControl/>
              <w:jc w:val="center"/>
              <w:textAlignment w:val="center"/>
              <w:rPr>
                <w:color w:val="auto"/>
                <w:szCs w:val="21"/>
                <w:highlight w:val="none"/>
              </w:rPr>
            </w:pPr>
            <w:r>
              <w:rPr>
                <w:rFonts w:hint="eastAsia" w:ascii="宋体" w:hAnsi="宋体" w:cs="宋体"/>
                <w:color w:val="auto"/>
                <w:kern w:val="0"/>
                <w:sz w:val="24"/>
                <w:highlight w:val="none"/>
                <w:lang w:bidi="ar"/>
              </w:rPr>
              <w:t>5175</w:t>
            </w:r>
          </w:p>
        </w:tc>
      </w:tr>
      <w:tr w14:paraId="46E4D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2AA79BEA">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10</w:t>
            </w:r>
          </w:p>
        </w:tc>
        <w:tc>
          <w:tcPr>
            <w:tcW w:w="2220" w:type="dxa"/>
            <w:vAlign w:val="center"/>
          </w:tcPr>
          <w:p w14:paraId="034BA47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钢制法兰片(DN900)</w:t>
            </w:r>
          </w:p>
        </w:tc>
        <w:tc>
          <w:tcPr>
            <w:tcW w:w="1095" w:type="dxa"/>
            <w:vAlign w:val="center"/>
          </w:tcPr>
          <w:p w14:paraId="0A107F9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67382EF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DN900</w:t>
            </w:r>
          </w:p>
        </w:tc>
        <w:tc>
          <w:tcPr>
            <w:tcW w:w="765" w:type="dxa"/>
            <w:vAlign w:val="center"/>
          </w:tcPr>
          <w:p w14:paraId="5ADFBB4E">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6CDDDB0A">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44787B10">
            <w:pPr>
              <w:widowControl/>
              <w:jc w:val="center"/>
              <w:textAlignment w:val="center"/>
              <w:rPr>
                <w:color w:val="auto"/>
                <w:szCs w:val="21"/>
                <w:highlight w:val="none"/>
              </w:rPr>
            </w:pPr>
            <w:r>
              <w:rPr>
                <w:rFonts w:hint="eastAsia" w:ascii="宋体" w:hAnsi="宋体" w:cs="宋体"/>
                <w:color w:val="auto"/>
                <w:kern w:val="0"/>
                <w:sz w:val="24"/>
                <w:highlight w:val="none"/>
                <w:lang w:bidi="ar"/>
              </w:rPr>
              <w:t>1317</w:t>
            </w:r>
          </w:p>
        </w:tc>
        <w:tc>
          <w:tcPr>
            <w:tcW w:w="1575" w:type="dxa"/>
            <w:vAlign w:val="center"/>
          </w:tcPr>
          <w:p w14:paraId="15EA8B81">
            <w:pPr>
              <w:widowControl/>
              <w:jc w:val="center"/>
              <w:textAlignment w:val="center"/>
              <w:rPr>
                <w:color w:val="auto"/>
                <w:szCs w:val="21"/>
                <w:highlight w:val="none"/>
              </w:rPr>
            </w:pPr>
            <w:r>
              <w:rPr>
                <w:rFonts w:hint="eastAsia" w:ascii="宋体" w:hAnsi="宋体" w:cs="宋体"/>
                <w:color w:val="auto"/>
                <w:kern w:val="0"/>
                <w:sz w:val="24"/>
                <w:highlight w:val="none"/>
                <w:lang w:bidi="ar"/>
              </w:rPr>
              <w:t>2634</w:t>
            </w:r>
          </w:p>
        </w:tc>
      </w:tr>
      <w:tr w14:paraId="2A3ED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7374372E">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11</w:t>
            </w:r>
          </w:p>
        </w:tc>
        <w:tc>
          <w:tcPr>
            <w:tcW w:w="2220" w:type="dxa"/>
            <w:vAlign w:val="center"/>
          </w:tcPr>
          <w:p w14:paraId="5946BC1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钢制法兰片(DN1000)</w:t>
            </w:r>
          </w:p>
        </w:tc>
        <w:tc>
          <w:tcPr>
            <w:tcW w:w="1095" w:type="dxa"/>
            <w:vAlign w:val="center"/>
          </w:tcPr>
          <w:p w14:paraId="5FA57CC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72816EF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DN1000</w:t>
            </w:r>
          </w:p>
        </w:tc>
        <w:tc>
          <w:tcPr>
            <w:tcW w:w="765" w:type="dxa"/>
            <w:vAlign w:val="center"/>
          </w:tcPr>
          <w:p w14:paraId="60876D70">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30A0E77E">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213080FF">
            <w:pPr>
              <w:widowControl/>
              <w:jc w:val="center"/>
              <w:textAlignment w:val="center"/>
              <w:rPr>
                <w:color w:val="auto"/>
                <w:szCs w:val="21"/>
                <w:highlight w:val="none"/>
              </w:rPr>
            </w:pPr>
            <w:r>
              <w:rPr>
                <w:rFonts w:hint="eastAsia" w:ascii="宋体" w:hAnsi="宋体" w:cs="宋体"/>
                <w:color w:val="auto"/>
                <w:kern w:val="0"/>
                <w:sz w:val="24"/>
                <w:highlight w:val="none"/>
                <w:lang w:bidi="ar"/>
              </w:rPr>
              <w:t>1747</w:t>
            </w:r>
          </w:p>
        </w:tc>
        <w:tc>
          <w:tcPr>
            <w:tcW w:w="1575" w:type="dxa"/>
            <w:vAlign w:val="center"/>
          </w:tcPr>
          <w:p w14:paraId="4DF12DAB">
            <w:pPr>
              <w:widowControl/>
              <w:jc w:val="center"/>
              <w:textAlignment w:val="center"/>
              <w:rPr>
                <w:color w:val="auto"/>
                <w:szCs w:val="21"/>
                <w:highlight w:val="none"/>
              </w:rPr>
            </w:pPr>
            <w:r>
              <w:rPr>
                <w:rFonts w:hint="eastAsia" w:ascii="宋体" w:hAnsi="宋体" w:cs="宋体"/>
                <w:color w:val="auto"/>
                <w:kern w:val="0"/>
                <w:sz w:val="24"/>
                <w:highlight w:val="none"/>
                <w:lang w:bidi="ar"/>
              </w:rPr>
              <w:t>3494</w:t>
            </w:r>
          </w:p>
        </w:tc>
      </w:tr>
      <w:tr w14:paraId="0E60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02B4ACEE">
            <w:pPr>
              <w:spacing w:line="440" w:lineRule="exact"/>
              <w:ind w:left="132"/>
              <w:rPr>
                <w:rFonts w:hint="eastAsia" w:ascii="宋体" w:hAnsi="宋体" w:cs="宋体"/>
                <w:color w:val="auto"/>
                <w:spacing w:val="12"/>
                <w:szCs w:val="21"/>
                <w:highlight w:val="none"/>
              </w:rPr>
            </w:pPr>
            <w:r>
              <w:rPr>
                <w:rFonts w:hint="eastAsia" w:ascii="宋体" w:hAnsi="宋体" w:cs="宋体"/>
                <w:color w:val="auto"/>
                <w:spacing w:val="12"/>
                <w:szCs w:val="21"/>
                <w:highlight w:val="none"/>
              </w:rPr>
              <w:t>12</w:t>
            </w:r>
          </w:p>
        </w:tc>
        <w:tc>
          <w:tcPr>
            <w:tcW w:w="2220" w:type="dxa"/>
            <w:vAlign w:val="center"/>
          </w:tcPr>
          <w:p w14:paraId="1E447B2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钢制法兰片(DN1200)</w:t>
            </w:r>
          </w:p>
        </w:tc>
        <w:tc>
          <w:tcPr>
            <w:tcW w:w="1095" w:type="dxa"/>
            <w:vAlign w:val="center"/>
          </w:tcPr>
          <w:p w14:paraId="57A1662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4B2D77B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DN1200</w:t>
            </w:r>
          </w:p>
        </w:tc>
        <w:tc>
          <w:tcPr>
            <w:tcW w:w="765" w:type="dxa"/>
            <w:vAlign w:val="center"/>
          </w:tcPr>
          <w:p w14:paraId="061E7E67">
            <w:pPr>
              <w:widowControl/>
              <w:jc w:val="center"/>
              <w:textAlignment w:val="center"/>
              <w:rPr>
                <w:rFonts w:hint="eastAsia" w:ascii="宋体" w:hAnsi="宋体" w:cs="宋体"/>
                <w:color w:val="auto"/>
                <w:spacing w:val="3"/>
                <w:szCs w:val="21"/>
                <w:highlight w:val="none"/>
              </w:rPr>
            </w:pPr>
            <w:r>
              <w:rPr>
                <w:rFonts w:hint="eastAsia" w:ascii="宋体" w:hAnsi="宋体" w:cs="宋体"/>
                <w:color w:val="auto"/>
                <w:kern w:val="0"/>
                <w:sz w:val="24"/>
                <w:highlight w:val="none"/>
                <w:lang w:bidi="ar"/>
              </w:rPr>
              <w:t>片</w:t>
            </w:r>
          </w:p>
        </w:tc>
        <w:tc>
          <w:tcPr>
            <w:tcW w:w="1110" w:type="dxa"/>
            <w:vAlign w:val="center"/>
          </w:tcPr>
          <w:p w14:paraId="7CAF632D">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77FC40EF">
            <w:pPr>
              <w:widowControl/>
              <w:jc w:val="center"/>
              <w:textAlignment w:val="center"/>
              <w:rPr>
                <w:color w:val="auto"/>
                <w:szCs w:val="21"/>
                <w:highlight w:val="none"/>
              </w:rPr>
            </w:pPr>
            <w:r>
              <w:rPr>
                <w:rFonts w:hint="eastAsia" w:ascii="宋体" w:hAnsi="宋体" w:cs="宋体"/>
                <w:color w:val="auto"/>
                <w:kern w:val="0"/>
                <w:sz w:val="24"/>
                <w:highlight w:val="none"/>
                <w:lang w:bidi="ar"/>
              </w:rPr>
              <w:t>2270</w:t>
            </w:r>
          </w:p>
        </w:tc>
        <w:tc>
          <w:tcPr>
            <w:tcW w:w="1575" w:type="dxa"/>
            <w:vAlign w:val="center"/>
          </w:tcPr>
          <w:p w14:paraId="65E80E2E">
            <w:pPr>
              <w:widowControl/>
              <w:jc w:val="center"/>
              <w:textAlignment w:val="center"/>
              <w:rPr>
                <w:color w:val="auto"/>
                <w:szCs w:val="21"/>
                <w:highlight w:val="none"/>
              </w:rPr>
            </w:pPr>
            <w:r>
              <w:rPr>
                <w:rFonts w:hint="eastAsia" w:ascii="宋体" w:hAnsi="宋体" w:cs="宋体"/>
                <w:color w:val="auto"/>
                <w:kern w:val="0"/>
                <w:sz w:val="24"/>
                <w:highlight w:val="none"/>
                <w:lang w:bidi="ar"/>
              </w:rPr>
              <w:t>4540</w:t>
            </w:r>
          </w:p>
        </w:tc>
      </w:tr>
      <w:tr w14:paraId="13163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5BA1A9A">
            <w:pPr>
              <w:spacing w:line="440" w:lineRule="exact"/>
              <w:ind w:left="132"/>
              <w:rPr>
                <w:rFonts w:hint="eastAsia" w:ascii="宋体" w:hAnsi="宋体" w:cs="宋体"/>
                <w:color w:val="auto"/>
                <w:spacing w:val="10"/>
                <w:szCs w:val="21"/>
                <w:highlight w:val="none"/>
              </w:rPr>
            </w:pPr>
            <w:r>
              <w:rPr>
                <w:rFonts w:hint="eastAsia" w:ascii="宋体" w:hAnsi="宋体" w:cs="宋体"/>
                <w:color w:val="auto"/>
                <w:spacing w:val="10"/>
                <w:szCs w:val="21"/>
                <w:highlight w:val="none"/>
              </w:rPr>
              <w:t>13</w:t>
            </w:r>
          </w:p>
        </w:tc>
        <w:tc>
          <w:tcPr>
            <w:tcW w:w="2220" w:type="dxa"/>
            <w:vAlign w:val="center"/>
          </w:tcPr>
          <w:p w14:paraId="757AC30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钢制盲板(DN100)</w:t>
            </w:r>
          </w:p>
        </w:tc>
        <w:tc>
          <w:tcPr>
            <w:tcW w:w="1095" w:type="dxa"/>
            <w:vAlign w:val="center"/>
          </w:tcPr>
          <w:p w14:paraId="2339A32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1C31BA5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DN100</w:t>
            </w:r>
          </w:p>
        </w:tc>
        <w:tc>
          <w:tcPr>
            <w:tcW w:w="765" w:type="dxa"/>
            <w:vAlign w:val="center"/>
          </w:tcPr>
          <w:p w14:paraId="333689BF">
            <w:pPr>
              <w:widowControl/>
              <w:jc w:val="center"/>
              <w:textAlignment w:val="center"/>
              <w:rPr>
                <w:rFonts w:hint="eastAsia" w:ascii="宋体" w:hAnsi="宋体" w:cs="宋体"/>
                <w:color w:val="auto"/>
                <w:spacing w:val="3"/>
                <w:szCs w:val="21"/>
                <w:highlight w:val="none"/>
              </w:rPr>
            </w:pPr>
            <w:r>
              <w:rPr>
                <w:rFonts w:hint="eastAsia" w:ascii="宋体" w:hAnsi="宋体" w:cs="宋体"/>
                <w:color w:val="auto"/>
                <w:kern w:val="0"/>
                <w:sz w:val="24"/>
                <w:highlight w:val="none"/>
                <w:lang w:bidi="ar"/>
              </w:rPr>
              <w:t>片</w:t>
            </w:r>
          </w:p>
        </w:tc>
        <w:tc>
          <w:tcPr>
            <w:tcW w:w="1110" w:type="dxa"/>
            <w:vAlign w:val="center"/>
          </w:tcPr>
          <w:p w14:paraId="1C57DC0F">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20.00 </w:t>
            </w:r>
          </w:p>
        </w:tc>
        <w:tc>
          <w:tcPr>
            <w:tcW w:w="1335" w:type="dxa"/>
            <w:vAlign w:val="center"/>
          </w:tcPr>
          <w:p w14:paraId="294E8578">
            <w:pPr>
              <w:widowControl/>
              <w:jc w:val="center"/>
              <w:textAlignment w:val="center"/>
              <w:rPr>
                <w:color w:val="auto"/>
                <w:szCs w:val="21"/>
                <w:highlight w:val="none"/>
              </w:rPr>
            </w:pPr>
            <w:r>
              <w:rPr>
                <w:rFonts w:hint="eastAsia" w:ascii="宋体" w:hAnsi="宋体" w:cs="宋体"/>
                <w:color w:val="auto"/>
                <w:kern w:val="0"/>
                <w:sz w:val="24"/>
                <w:highlight w:val="none"/>
                <w:lang w:bidi="ar"/>
              </w:rPr>
              <w:t>55</w:t>
            </w:r>
          </w:p>
        </w:tc>
        <w:tc>
          <w:tcPr>
            <w:tcW w:w="1575" w:type="dxa"/>
            <w:vAlign w:val="center"/>
          </w:tcPr>
          <w:p w14:paraId="64799850">
            <w:pPr>
              <w:widowControl/>
              <w:jc w:val="center"/>
              <w:textAlignment w:val="center"/>
              <w:rPr>
                <w:color w:val="auto"/>
                <w:szCs w:val="21"/>
                <w:highlight w:val="none"/>
              </w:rPr>
            </w:pPr>
            <w:r>
              <w:rPr>
                <w:rFonts w:hint="eastAsia" w:ascii="宋体" w:hAnsi="宋体" w:cs="宋体"/>
                <w:color w:val="auto"/>
                <w:kern w:val="0"/>
                <w:sz w:val="24"/>
                <w:highlight w:val="none"/>
                <w:lang w:bidi="ar"/>
              </w:rPr>
              <w:t>1100</w:t>
            </w:r>
          </w:p>
        </w:tc>
      </w:tr>
      <w:tr w14:paraId="2C97B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66F905A1">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14</w:t>
            </w:r>
          </w:p>
        </w:tc>
        <w:tc>
          <w:tcPr>
            <w:tcW w:w="2220" w:type="dxa"/>
            <w:vAlign w:val="center"/>
          </w:tcPr>
          <w:p w14:paraId="587D5D7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钢制盲板(DN150)</w:t>
            </w:r>
          </w:p>
        </w:tc>
        <w:tc>
          <w:tcPr>
            <w:tcW w:w="1095" w:type="dxa"/>
            <w:vAlign w:val="center"/>
          </w:tcPr>
          <w:p w14:paraId="37257FD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540CFFF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DN150</w:t>
            </w:r>
          </w:p>
        </w:tc>
        <w:tc>
          <w:tcPr>
            <w:tcW w:w="765" w:type="dxa"/>
            <w:vAlign w:val="center"/>
          </w:tcPr>
          <w:p w14:paraId="2BB60255">
            <w:pPr>
              <w:widowControl/>
              <w:jc w:val="center"/>
              <w:textAlignment w:val="center"/>
              <w:rPr>
                <w:rFonts w:hint="eastAsia" w:ascii="宋体" w:hAnsi="宋体" w:cs="宋体"/>
                <w:color w:val="auto"/>
                <w:spacing w:val="5"/>
                <w:szCs w:val="21"/>
                <w:highlight w:val="none"/>
              </w:rPr>
            </w:pPr>
            <w:r>
              <w:rPr>
                <w:rFonts w:hint="eastAsia" w:ascii="宋体" w:hAnsi="宋体" w:cs="宋体"/>
                <w:color w:val="auto"/>
                <w:kern w:val="0"/>
                <w:sz w:val="24"/>
                <w:highlight w:val="none"/>
                <w:lang w:bidi="ar"/>
              </w:rPr>
              <w:t>片</w:t>
            </w:r>
          </w:p>
        </w:tc>
        <w:tc>
          <w:tcPr>
            <w:tcW w:w="1110" w:type="dxa"/>
            <w:vAlign w:val="center"/>
          </w:tcPr>
          <w:p w14:paraId="2C301D99">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20.00 </w:t>
            </w:r>
          </w:p>
        </w:tc>
        <w:tc>
          <w:tcPr>
            <w:tcW w:w="1335" w:type="dxa"/>
            <w:vAlign w:val="center"/>
          </w:tcPr>
          <w:p w14:paraId="57A6512B">
            <w:pPr>
              <w:widowControl/>
              <w:jc w:val="center"/>
              <w:textAlignment w:val="center"/>
              <w:rPr>
                <w:color w:val="auto"/>
                <w:szCs w:val="21"/>
                <w:highlight w:val="none"/>
              </w:rPr>
            </w:pPr>
            <w:r>
              <w:rPr>
                <w:rFonts w:hint="eastAsia" w:ascii="宋体" w:hAnsi="宋体" w:cs="宋体"/>
                <w:color w:val="auto"/>
                <w:kern w:val="0"/>
                <w:sz w:val="24"/>
                <w:highlight w:val="none"/>
                <w:lang w:bidi="ar"/>
              </w:rPr>
              <w:t>94</w:t>
            </w:r>
          </w:p>
        </w:tc>
        <w:tc>
          <w:tcPr>
            <w:tcW w:w="1575" w:type="dxa"/>
            <w:vAlign w:val="center"/>
          </w:tcPr>
          <w:p w14:paraId="561033E6">
            <w:pPr>
              <w:widowControl/>
              <w:jc w:val="center"/>
              <w:textAlignment w:val="center"/>
              <w:rPr>
                <w:color w:val="auto"/>
                <w:szCs w:val="21"/>
                <w:highlight w:val="none"/>
              </w:rPr>
            </w:pPr>
            <w:r>
              <w:rPr>
                <w:rFonts w:hint="eastAsia" w:ascii="宋体" w:hAnsi="宋体" w:cs="宋体"/>
                <w:color w:val="auto"/>
                <w:kern w:val="0"/>
                <w:sz w:val="24"/>
                <w:highlight w:val="none"/>
                <w:lang w:bidi="ar"/>
              </w:rPr>
              <w:t>1880</w:t>
            </w:r>
          </w:p>
        </w:tc>
      </w:tr>
      <w:tr w14:paraId="76CB2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280DEEDD">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15</w:t>
            </w:r>
          </w:p>
        </w:tc>
        <w:tc>
          <w:tcPr>
            <w:tcW w:w="2220" w:type="dxa"/>
            <w:vAlign w:val="center"/>
          </w:tcPr>
          <w:p w14:paraId="1B71BDD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钢制盲板(DN200)</w:t>
            </w:r>
          </w:p>
        </w:tc>
        <w:tc>
          <w:tcPr>
            <w:tcW w:w="1095" w:type="dxa"/>
            <w:vAlign w:val="center"/>
          </w:tcPr>
          <w:p w14:paraId="21101C3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3CDDD8E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DN200</w:t>
            </w:r>
          </w:p>
        </w:tc>
        <w:tc>
          <w:tcPr>
            <w:tcW w:w="765" w:type="dxa"/>
            <w:vAlign w:val="center"/>
          </w:tcPr>
          <w:p w14:paraId="1D925A1F">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片</w:t>
            </w:r>
          </w:p>
        </w:tc>
        <w:tc>
          <w:tcPr>
            <w:tcW w:w="1110" w:type="dxa"/>
            <w:vAlign w:val="center"/>
          </w:tcPr>
          <w:p w14:paraId="77E19193">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40.00 </w:t>
            </w:r>
          </w:p>
        </w:tc>
        <w:tc>
          <w:tcPr>
            <w:tcW w:w="1335" w:type="dxa"/>
            <w:vAlign w:val="center"/>
          </w:tcPr>
          <w:p w14:paraId="7410A292">
            <w:pPr>
              <w:widowControl/>
              <w:jc w:val="center"/>
              <w:textAlignment w:val="center"/>
              <w:rPr>
                <w:color w:val="auto"/>
                <w:szCs w:val="21"/>
                <w:highlight w:val="none"/>
              </w:rPr>
            </w:pPr>
            <w:r>
              <w:rPr>
                <w:rFonts w:hint="eastAsia" w:ascii="宋体" w:hAnsi="宋体" w:cs="宋体"/>
                <w:color w:val="auto"/>
                <w:kern w:val="0"/>
                <w:sz w:val="24"/>
                <w:highlight w:val="none"/>
                <w:lang w:bidi="ar"/>
              </w:rPr>
              <w:t>154</w:t>
            </w:r>
          </w:p>
        </w:tc>
        <w:tc>
          <w:tcPr>
            <w:tcW w:w="1575" w:type="dxa"/>
            <w:vAlign w:val="center"/>
          </w:tcPr>
          <w:p w14:paraId="3FCFC37A">
            <w:pPr>
              <w:widowControl/>
              <w:jc w:val="center"/>
              <w:textAlignment w:val="center"/>
              <w:rPr>
                <w:color w:val="auto"/>
                <w:szCs w:val="21"/>
                <w:highlight w:val="none"/>
              </w:rPr>
            </w:pPr>
            <w:r>
              <w:rPr>
                <w:rFonts w:hint="eastAsia" w:ascii="宋体" w:hAnsi="宋体" w:cs="宋体"/>
                <w:color w:val="auto"/>
                <w:kern w:val="0"/>
                <w:sz w:val="24"/>
                <w:highlight w:val="none"/>
                <w:lang w:bidi="ar"/>
              </w:rPr>
              <w:t>6160</w:t>
            </w:r>
          </w:p>
        </w:tc>
      </w:tr>
      <w:tr w14:paraId="0EFEF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jc w:val="center"/>
        </w:trPr>
        <w:tc>
          <w:tcPr>
            <w:tcW w:w="637" w:type="dxa"/>
          </w:tcPr>
          <w:p w14:paraId="5CFBE4DE">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16</w:t>
            </w:r>
          </w:p>
        </w:tc>
        <w:tc>
          <w:tcPr>
            <w:tcW w:w="2220" w:type="dxa"/>
            <w:vAlign w:val="center"/>
          </w:tcPr>
          <w:p w14:paraId="171B081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钢制盲板(DN300)</w:t>
            </w:r>
          </w:p>
        </w:tc>
        <w:tc>
          <w:tcPr>
            <w:tcW w:w="1095" w:type="dxa"/>
            <w:vAlign w:val="center"/>
          </w:tcPr>
          <w:p w14:paraId="04D49B7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214361C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DN300</w:t>
            </w:r>
          </w:p>
        </w:tc>
        <w:tc>
          <w:tcPr>
            <w:tcW w:w="765" w:type="dxa"/>
            <w:vAlign w:val="center"/>
          </w:tcPr>
          <w:p w14:paraId="1F07086C">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片</w:t>
            </w:r>
          </w:p>
        </w:tc>
        <w:tc>
          <w:tcPr>
            <w:tcW w:w="1110" w:type="dxa"/>
            <w:vAlign w:val="center"/>
          </w:tcPr>
          <w:p w14:paraId="51E0AC94">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 </w:t>
            </w:r>
          </w:p>
        </w:tc>
        <w:tc>
          <w:tcPr>
            <w:tcW w:w="1335" w:type="dxa"/>
            <w:vAlign w:val="center"/>
          </w:tcPr>
          <w:p w14:paraId="7B34D11D">
            <w:pPr>
              <w:widowControl/>
              <w:jc w:val="center"/>
              <w:textAlignment w:val="center"/>
              <w:rPr>
                <w:color w:val="auto"/>
                <w:szCs w:val="21"/>
                <w:highlight w:val="none"/>
              </w:rPr>
            </w:pPr>
            <w:r>
              <w:rPr>
                <w:rFonts w:hint="eastAsia" w:ascii="宋体" w:hAnsi="宋体" w:cs="宋体"/>
                <w:color w:val="auto"/>
                <w:kern w:val="0"/>
                <w:sz w:val="24"/>
                <w:highlight w:val="none"/>
                <w:lang w:bidi="ar"/>
              </w:rPr>
              <w:t>312</w:t>
            </w:r>
          </w:p>
        </w:tc>
        <w:tc>
          <w:tcPr>
            <w:tcW w:w="1575" w:type="dxa"/>
            <w:vAlign w:val="center"/>
          </w:tcPr>
          <w:p w14:paraId="3A757A66">
            <w:pPr>
              <w:widowControl/>
              <w:jc w:val="center"/>
              <w:textAlignment w:val="center"/>
              <w:rPr>
                <w:color w:val="auto"/>
                <w:szCs w:val="21"/>
                <w:highlight w:val="none"/>
              </w:rPr>
            </w:pPr>
            <w:r>
              <w:rPr>
                <w:rFonts w:hint="eastAsia" w:ascii="宋体" w:hAnsi="宋体" w:cs="宋体"/>
                <w:color w:val="auto"/>
                <w:kern w:val="0"/>
                <w:sz w:val="24"/>
                <w:highlight w:val="none"/>
                <w:lang w:bidi="ar"/>
              </w:rPr>
              <w:t>3120</w:t>
            </w:r>
          </w:p>
        </w:tc>
      </w:tr>
      <w:tr w14:paraId="0B3AA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5FA5069">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17</w:t>
            </w:r>
          </w:p>
        </w:tc>
        <w:tc>
          <w:tcPr>
            <w:tcW w:w="2220" w:type="dxa"/>
            <w:vAlign w:val="center"/>
          </w:tcPr>
          <w:p w14:paraId="11EB2FEA">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钢制盲板(DN400)</w:t>
            </w:r>
          </w:p>
        </w:tc>
        <w:tc>
          <w:tcPr>
            <w:tcW w:w="1095" w:type="dxa"/>
            <w:vAlign w:val="center"/>
          </w:tcPr>
          <w:p w14:paraId="5497040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5C1C3CEA">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DN400</w:t>
            </w:r>
          </w:p>
        </w:tc>
        <w:tc>
          <w:tcPr>
            <w:tcW w:w="765" w:type="dxa"/>
            <w:vAlign w:val="center"/>
          </w:tcPr>
          <w:p w14:paraId="07264910">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1A646442">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 </w:t>
            </w:r>
          </w:p>
        </w:tc>
        <w:tc>
          <w:tcPr>
            <w:tcW w:w="1335" w:type="dxa"/>
            <w:vAlign w:val="center"/>
          </w:tcPr>
          <w:p w14:paraId="36575432">
            <w:pPr>
              <w:widowControl/>
              <w:jc w:val="center"/>
              <w:textAlignment w:val="center"/>
              <w:rPr>
                <w:color w:val="auto"/>
                <w:szCs w:val="21"/>
                <w:highlight w:val="none"/>
              </w:rPr>
            </w:pPr>
            <w:r>
              <w:rPr>
                <w:rFonts w:hint="eastAsia" w:ascii="宋体" w:hAnsi="宋体" w:cs="宋体"/>
                <w:color w:val="auto"/>
                <w:kern w:val="0"/>
                <w:sz w:val="24"/>
                <w:highlight w:val="none"/>
                <w:lang w:bidi="ar"/>
              </w:rPr>
              <w:t>520</w:t>
            </w:r>
          </w:p>
        </w:tc>
        <w:tc>
          <w:tcPr>
            <w:tcW w:w="1575" w:type="dxa"/>
            <w:vAlign w:val="center"/>
          </w:tcPr>
          <w:p w14:paraId="59D14D58">
            <w:pPr>
              <w:widowControl/>
              <w:jc w:val="center"/>
              <w:textAlignment w:val="center"/>
              <w:rPr>
                <w:color w:val="auto"/>
                <w:szCs w:val="21"/>
                <w:highlight w:val="none"/>
              </w:rPr>
            </w:pPr>
            <w:r>
              <w:rPr>
                <w:rFonts w:hint="eastAsia" w:ascii="宋体" w:hAnsi="宋体" w:cs="宋体"/>
                <w:color w:val="auto"/>
                <w:kern w:val="0"/>
                <w:sz w:val="24"/>
                <w:highlight w:val="none"/>
                <w:lang w:bidi="ar"/>
              </w:rPr>
              <w:t>5200</w:t>
            </w:r>
          </w:p>
        </w:tc>
      </w:tr>
      <w:tr w14:paraId="794AF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jc w:val="center"/>
        </w:trPr>
        <w:tc>
          <w:tcPr>
            <w:tcW w:w="637" w:type="dxa"/>
          </w:tcPr>
          <w:p w14:paraId="0DEB0CD4">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18</w:t>
            </w:r>
          </w:p>
        </w:tc>
        <w:tc>
          <w:tcPr>
            <w:tcW w:w="2220" w:type="dxa"/>
            <w:vAlign w:val="center"/>
          </w:tcPr>
          <w:p w14:paraId="5010C34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钢制盲板(DN500)</w:t>
            </w:r>
          </w:p>
        </w:tc>
        <w:tc>
          <w:tcPr>
            <w:tcW w:w="1095" w:type="dxa"/>
            <w:vAlign w:val="center"/>
          </w:tcPr>
          <w:p w14:paraId="02E9D0F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102F7CE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DN500</w:t>
            </w:r>
          </w:p>
        </w:tc>
        <w:tc>
          <w:tcPr>
            <w:tcW w:w="765" w:type="dxa"/>
            <w:vAlign w:val="center"/>
          </w:tcPr>
          <w:p w14:paraId="213FB5F9">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4FC723E5">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39CABC4E">
            <w:pPr>
              <w:widowControl/>
              <w:jc w:val="center"/>
              <w:textAlignment w:val="center"/>
              <w:rPr>
                <w:color w:val="auto"/>
                <w:szCs w:val="21"/>
                <w:highlight w:val="none"/>
              </w:rPr>
            </w:pPr>
            <w:r>
              <w:rPr>
                <w:rFonts w:hint="eastAsia" w:ascii="宋体" w:hAnsi="宋体" w:cs="宋体"/>
                <w:color w:val="auto"/>
                <w:kern w:val="0"/>
                <w:sz w:val="24"/>
                <w:highlight w:val="none"/>
                <w:lang w:bidi="ar"/>
              </w:rPr>
              <w:t>832</w:t>
            </w:r>
          </w:p>
        </w:tc>
        <w:tc>
          <w:tcPr>
            <w:tcW w:w="1575" w:type="dxa"/>
            <w:vAlign w:val="center"/>
          </w:tcPr>
          <w:p w14:paraId="0C7C0A92">
            <w:pPr>
              <w:widowControl/>
              <w:jc w:val="center"/>
              <w:textAlignment w:val="center"/>
              <w:rPr>
                <w:color w:val="auto"/>
                <w:szCs w:val="21"/>
                <w:highlight w:val="none"/>
              </w:rPr>
            </w:pPr>
            <w:r>
              <w:rPr>
                <w:rFonts w:hint="eastAsia" w:ascii="宋体" w:hAnsi="宋体" w:cs="宋体"/>
                <w:color w:val="auto"/>
                <w:kern w:val="0"/>
                <w:sz w:val="24"/>
                <w:highlight w:val="none"/>
                <w:lang w:bidi="ar"/>
              </w:rPr>
              <w:t>1664</w:t>
            </w:r>
          </w:p>
        </w:tc>
      </w:tr>
      <w:tr w14:paraId="73A35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9BD3291">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19</w:t>
            </w:r>
          </w:p>
        </w:tc>
        <w:tc>
          <w:tcPr>
            <w:tcW w:w="2220" w:type="dxa"/>
            <w:vAlign w:val="center"/>
          </w:tcPr>
          <w:p w14:paraId="0BB7FE5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钢制盲板(DN600)</w:t>
            </w:r>
          </w:p>
        </w:tc>
        <w:tc>
          <w:tcPr>
            <w:tcW w:w="1095" w:type="dxa"/>
            <w:vAlign w:val="center"/>
          </w:tcPr>
          <w:p w14:paraId="5F62E87A">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72C26CF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DN600</w:t>
            </w:r>
          </w:p>
        </w:tc>
        <w:tc>
          <w:tcPr>
            <w:tcW w:w="765" w:type="dxa"/>
            <w:vAlign w:val="center"/>
          </w:tcPr>
          <w:p w14:paraId="394C1A89">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片</w:t>
            </w:r>
          </w:p>
        </w:tc>
        <w:tc>
          <w:tcPr>
            <w:tcW w:w="1110" w:type="dxa"/>
            <w:vAlign w:val="center"/>
          </w:tcPr>
          <w:p w14:paraId="40469142">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 </w:t>
            </w:r>
          </w:p>
        </w:tc>
        <w:tc>
          <w:tcPr>
            <w:tcW w:w="1335" w:type="dxa"/>
            <w:vAlign w:val="center"/>
          </w:tcPr>
          <w:p w14:paraId="626B86BC">
            <w:pPr>
              <w:widowControl/>
              <w:jc w:val="center"/>
              <w:textAlignment w:val="center"/>
              <w:rPr>
                <w:color w:val="auto"/>
                <w:szCs w:val="21"/>
                <w:highlight w:val="none"/>
              </w:rPr>
            </w:pPr>
            <w:r>
              <w:rPr>
                <w:rFonts w:hint="eastAsia" w:ascii="宋体" w:hAnsi="宋体" w:cs="宋体"/>
                <w:color w:val="auto"/>
                <w:kern w:val="0"/>
                <w:sz w:val="24"/>
                <w:highlight w:val="none"/>
                <w:lang w:bidi="ar"/>
              </w:rPr>
              <w:t>1214</w:t>
            </w:r>
          </w:p>
        </w:tc>
        <w:tc>
          <w:tcPr>
            <w:tcW w:w="1575" w:type="dxa"/>
            <w:vAlign w:val="center"/>
          </w:tcPr>
          <w:p w14:paraId="0D3D21C6">
            <w:pPr>
              <w:widowControl/>
              <w:jc w:val="center"/>
              <w:textAlignment w:val="center"/>
              <w:rPr>
                <w:color w:val="auto"/>
                <w:szCs w:val="21"/>
                <w:highlight w:val="none"/>
              </w:rPr>
            </w:pPr>
            <w:r>
              <w:rPr>
                <w:rFonts w:hint="eastAsia" w:ascii="宋体" w:hAnsi="宋体" w:cs="宋体"/>
                <w:color w:val="auto"/>
                <w:kern w:val="0"/>
                <w:sz w:val="24"/>
                <w:highlight w:val="none"/>
                <w:lang w:bidi="ar"/>
              </w:rPr>
              <w:t>12140</w:t>
            </w:r>
          </w:p>
        </w:tc>
      </w:tr>
      <w:tr w14:paraId="0FF69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4D3E74C5">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20</w:t>
            </w:r>
          </w:p>
        </w:tc>
        <w:tc>
          <w:tcPr>
            <w:tcW w:w="2220" w:type="dxa"/>
            <w:vAlign w:val="center"/>
          </w:tcPr>
          <w:p w14:paraId="0F8B4F6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钢制盲板(DN700)</w:t>
            </w:r>
          </w:p>
        </w:tc>
        <w:tc>
          <w:tcPr>
            <w:tcW w:w="1095" w:type="dxa"/>
            <w:vAlign w:val="center"/>
          </w:tcPr>
          <w:p w14:paraId="31CDB8B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67A5ED7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DN700</w:t>
            </w:r>
          </w:p>
        </w:tc>
        <w:tc>
          <w:tcPr>
            <w:tcW w:w="765" w:type="dxa"/>
            <w:vAlign w:val="center"/>
          </w:tcPr>
          <w:p w14:paraId="472F6466">
            <w:pPr>
              <w:widowControl/>
              <w:jc w:val="center"/>
              <w:textAlignment w:val="center"/>
              <w:rPr>
                <w:rFonts w:hint="eastAsia" w:ascii="宋体" w:hAnsi="宋体" w:cs="宋体"/>
                <w:color w:val="auto"/>
                <w:spacing w:val="3"/>
                <w:szCs w:val="21"/>
                <w:highlight w:val="none"/>
              </w:rPr>
            </w:pPr>
            <w:r>
              <w:rPr>
                <w:rFonts w:hint="eastAsia" w:ascii="宋体" w:hAnsi="宋体" w:cs="宋体"/>
                <w:color w:val="auto"/>
                <w:kern w:val="0"/>
                <w:sz w:val="24"/>
                <w:highlight w:val="none"/>
                <w:lang w:bidi="ar"/>
              </w:rPr>
              <w:t>片</w:t>
            </w:r>
          </w:p>
        </w:tc>
        <w:tc>
          <w:tcPr>
            <w:tcW w:w="1110" w:type="dxa"/>
            <w:vAlign w:val="center"/>
          </w:tcPr>
          <w:p w14:paraId="7678C7BA">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454C240D">
            <w:pPr>
              <w:widowControl/>
              <w:jc w:val="center"/>
              <w:textAlignment w:val="center"/>
              <w:rPr>
                <w:color w:val="auto"/>
                <w:szCs w:val="21"/>
                <w:highlight w:val="none"/>
              </w:rPr>
            </w:pPr>
            <w:r>
              <w:rPr>
                <w:rFonts w:hint="eastAsia" w:ascii="宋体" w:hAnsi="宋体" w:cs="宋体"/>
                <w:color w:val="auto"/>
                <w:kern w:val="0"/>
                <w:sz w:val="24"/>
                <w:highlight w:val="none"/>
                <w:lang w:bidi="ar"/>
              </w:rPr>
              <w:t>1771</w:t>
            </w:r>
          </w:p>
        </w:tc>
        <w:tc>
          <w:tcPr>
            <w:tcW w:w="1575" w:type="dxa"/>
            <w:vAlign w:val="center"/>
          </w:tcPr>
          <w:p w14:paraId="0CD29332">
            <w:pPr>
              <w:widowControl/>
              <w:jc w:val="center"/>
              <w:textAlignment w:val="center"/>
              <w:rPr>
                <w:color w:val="auto"/>
                <w:szCs w:val="21"/>
                <w:highlight w:val="none"/>
              </w:rPr>
            </w:pPr>
            <w:r>
              <w:rPr>
                <w:rFonts w:hint="eastAsia" w:ascii="宋体" w:hAnsi="宋体" w:cs="宋体"/>
                <w:color w:val="auto"/>
                <w:kern w:val="0"/>
                <w:sz w:val="24"/>
                <w:highlight w:val="none"/>
                <w:lang w:bidi="ar"/>
              </w:rPr>
              <w:t>3542</w:t>
            </w:r>
          </w:p>
        </w:tc>
      </w:tr>
      <w:tr w14:paraId="5F6C0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18E0513D">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21</w:t>
            </w:r>
          </w:p>
        </w:tc>
        <w:tc>
          <w:tcPr>
            <w:tcW w:w="2220" w:type="dxa"/>
            <w:vAlign w:val="center"/>
          </w:tcPr>
          <w:p w14:paraId="1B84CD5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钢制盲板(DN800)</w:t>
            </w:r>
          </w:p>
        </w:tc>
        <w:tc>
          <w:tcPr>
            <w:tcW w:w="1095" w:type="dxa"/>
            <w:vAlign w:val="center"/>
          </w:tcPr>
          <w:p w14:paraId="2130F90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6E1D801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DN800</w:t>
            </w:r>
          </w:p>
        </w:tc>
        <w:tc>
          <w:tcPr>
            <w:tcW w:w="765" w:type="dxa"/>
            <w:vAlign w:val="center"/>
          </w:tcPr>
          <w:p w14:paraId="0512C743">
            <w:pPr>
              <w:widowControl/>
              <w:jc w:val="center"/>
              <w:textAlignment w:val="center"/>
              <w:rPr>
                <w:rFonts w:hint="eastAsia" w:ascii="宋体" w:hAnsi="宋体" w:cs="宋体"/>
                <w:color w:val="auto"/>
                <w:spacing w:val="5"/>
                <w:szCs w:val="21"/>
                <w:highlight w:val="none"/>
              </w:rPr>
            </w:pPr>
            <w:r>
              <w:rPr>
                <w:rFonts w:hint="eastAsia" w:ascii="宋体" w:hAnsi="宋体" w:cs="宋体"/>
                <w:color w:val="auto"/>
                <w:kern w:val="0"/>
                <w:sz w:val="24"/>
                <w:highlight w:val="none"/>
                <w:lang w:bidi="ar"/>
              </w:rPr>
              <w:t>片</w:t>
            </w:r>
          </w:p>
        </w:tc>
        <w:tc>
          <w:tcPr>
            <w:tcW w:w="1110" w:type="dxa"/>
            <w:vAlign w:val="center"/>
          </w:tcPr>
          <w:p w14:paraId="03AF70AB">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4D0D4862">
            <w:pPr>
              <w:widowControl/>
              <w:jc w:val="center"/>
              <w:textAlignment w:val="center"/>
              <w:rPr>
                <w:color w:val="auto"/>
                <w:szCs w:val="21"/>
                <w:highlight w:val="none"/>
              </w:rPr>
            </w:pPr>
            <w:r>
              <w:rPr>
                <w:rFonts w:hint="eastAsia" w:ascii="宋体" w:hAnsi="宋体" w:cs="宋体"/>
                <w:color w:val="auto"/>
                <w:kern w:val="0"/>
                <w:sz w:val="24"/>
                <w:highlight w:val="none"/>
                <w:lang w:bidi="ar"/>
              </w:rPr>
              <w:t>2506</w:t>
            </w:r>
          </w:p>
        </w:tc>
        <w:tc>
          <w:tcPr>
            <w:tcW w:w="1575" w:type="dxa"/>
            <w:vAlign w:val="center"/>
          </w:tcPr>
          <w:p w14:paraId="582D0EBB">
            <w:pPr>
              <w:widowControl/>
              <w:jc w:val="center"/>
              <w:textAlignment w:val="center"/>
              <w:rPr>
                <w:color w:val="auto"/>
                <w:szCs w:val="21"/>
                <w:highlight w:val="none"/>
              </w:rPr>
            </w:pPr>
            <w:r>
              <w:rPr>
                <w:rFonts w:hint="eastAsia" w:ascii="宋体" w:hAnsi="宋体" w:cs="宋体"/>
                <w:color w:val="auto"/>
                <w:kern w:val="0"/>
                <w:sz w:val="24"/>
                <w:highlight w:val="none"/>
                <w:lang w:bidi="ar"/>
              </w:rPr>
              <w:t>5012</w:t>
            </w:r>
          </w:p>
        </w:tc>
      </w:tr>
      <w:tr w14:paraId="2CE32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14E9B690">
            <w:pPr>
              <w:spacing w:line="440" w:lineRule="exact"/>
              <w:ind w:left="132"/>
              <w:rPr>
                <w:rFonts w:hint="eastAsia" w:ascii="宋体" w:hAnsi="宋体" w:cs="宋体"/>
                <w:color w:val="auto"/>
                <w:spacing w:val="11"/>
                <w:szCs w:val="21"/>
                <w:highlight w:val="none"/>
              </w:rPr>
            </w:pPr>
            <w:r>
              <w:rPr>
                <w:rFonts w:hint="eastAsia" w:ascii="宋体" w:hAnsi="宋体" w:cs="宋体"/>
                <w:color w:val="auto"/>
                <w:spacing w:val="11"/>
                <w:szCs w:val="21"/>
                <w:highlight w:val="none"/>
              </w:rPr>
              <w:t>22</w:t>
            </w:r>
          </w:p>
        </w:tc>
        <w:tc>
          <w:tcPr>
            <w:tcW w:w="2220" w:type="dxa"/>
            <w:vAlign w:val="center"/>
          </w:tcPr>
          <w:p w14:paraId="6ADB296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钢制盲板(DN1000)</w:t>
            </w:r>
          </w:p>
        </w:tc>
        <w:tc>
          <w:tcPr>
            <w:tcW w:w="1095" w:type="dxa"/>
            <w:vAlign w:val="center"/>
          </w:tcPr>
          <w:p w14:paraId="3F7030D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51D6B2A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DN1000</w:t>
            </w:r>
          </w:p>
        </w:tc>
        <w:tc>
          <w:tcPr>
            <w:tcW w:w="765" w:type="dxa"/>
            <w:vAlign w:val="center"/>
          </w:tcPr>
          <w:p w14:paraId="3BA9F4FD">
            <w:pPr>
              <w:widowControl/>
              <w:jc w:val="center"/>
              <w:textAlignment w:val="center"/>
              <w:rPr>
                <w:rFonts w:hint="eastAsia" w:ascii="宋体" w:hAnsi="宋体" w:cs="宋体"/>
                <w:color w:val="auto"/>
                <w:spacing w:val="5"/>
                <w:szCs w:val="21"/>
                <w:highlight w:val="none"/>
              </w:rPr>
            </w:pPr>
            <w:r>
              <w:rPr>
                <w:rFonts w:hint="eastAsia" w:ascii="宋体" w:hAnsi="宋体" w:cs="宋体"/>
                <w:color w:val="auto"/>
                <w:kern w:val="0"/>
                <w:sz w:val="24"/>
                <w:highlight w:val="none"/>
                <w:lang w:bidi="ar"/>
              </w:rPr>
              <w:t>片</w:t>
            </w:r>
          </w:p>
        </w:tc>
        <w:tc>
          <w:tcPr>
            <w:tcW w:w="1110" w:type="dxa"/>
            <w:vAlign w:val="center"/>
          </w:tcPr>
          <w:p w14:paraId="2059FDD4">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049955AD">
            <w:pPr>
              <w:widowControl/>
              <w:jc w:val="center"/>
              <w:textAlignment w:val="center"/>
              <w:rPr>
                <w:color w:val="auto"/>
                <w:szCs w:val="21"/>
                <w:highlight w:val="none"/>
              </w:rPr>
            </w:pPr>
            <w:r>
              <w:rPr>
                <w:rFonts w:hint="eastAsia" w:ascii="宋体" w:hAnsi="宋体" w:cs="宋体"/>
                <w:color w:val="auto"/>
                <w:kern w:val="0"/>
                <w:sz w:val="24"/>
                <w:highlight w:val="none"/>
                <w:lang w:bidi="ar"/>
              </w:rPr>
              <w:t>4821</w:t>
            </w:r>
          </w:p>
        </w:tc>
        <w:tc>
          <w:tcPr>
            <w:tcW w:w="1575" w:type="dxa"/>
            <w:vAlign w:val="center"/>
          </w:tcPr>
          <w:p w14:paraId="06B44C0A">
            <w:pPr>
              <w:widowControl/>
              <w:jc w:val="center"/>
              <w:textAlignment w:val="center"/>
              <w:rPr>
                <w:color w:val="auto"/>
                <w:szCs w:val="21"/>
                <w:highlight w:val="none"/>
              </w:rPr>
            </w:pPr>
            <w:r>
              <w:rPr>
                <w:rFonts w:hint="eastAsia" w:ascii="宋体" w:hAnsi="宋体" w:cs="宋体"/>
                <w:color w:val="auto"/>
                <w:kern w:val="0"/>
                <w:sz w:val="24"/>
                <w:highlight w:val="none"/>
                <w:lang w:bidi="ar"/>
              </w:rPr>
              <w:t>9642</w:t>
            </w:r>
          </w:p>
        </w:tc>
      </w:tr>
      <w:tr w14:paraId="15A61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2D8722A6">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23</w:t>
            </w:r>
          </w:p>
        </w:tc>
        <w:tc>
          <w:tcPr>
            <w:tcW w:w="2220" w:type="dxa"/>
            <w:vAlign w:val="center"/>
          </w:tcPr>
          <w:p w14:paraId="6E0E072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钢制盲板(DN1200)</w:t>
            </w:r>
          </w:p>
        </w:tc>
        <w:tc>
          <w:tcPr>
            <w:tcW w:w="1095" w:type="dxa"/>
            <w:vAlign w:val="center"/>
          </w:tcPr>
          <w:p w14:paraId="11C05C9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1.0Mpa</w:t>
            </w:r>
          </w:p>
        </w:tc>
        <w:tc>
          <w:tcPr>
            <w:tcW w:w="1185" w:type="dxa"/>
            <w:vAlign w:val="center"/>
          </w:tcPr>
          <w:p w14:paraId="4BA997D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DN1200</w:t>
            </w:r>
          </w:p>
        </w:tc>
        <w:tc>
          <w:tcPr>
            <w:tcW w:w="765" w:type="dxa"/>
            <w:vAlign w:val="center"/>
          </w:tcPr>
          <w:p w14:paraId="44BD9557">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片</w:t>
            </w:r>
          </w:p>
        </w:tc>
        <w:tc>
          <w:tcPr>
            <w:tcW w:w="1110" w:type="dxa"/>
            <w:vAlign w:val="center"/>
          </w:tcPr>
          <w:p w14:paraId="25C9B8F7">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 </w:t>
            </w:r>
          </w:p>
        </w:tc>
        <w:tc>
          <w:tcPr>
            <w:tcW w:w="1335" w:type="dxa"/>
            <w:vAlign w:val="center"/>
          </w:tcPr>
          <w:p w14:paraId="7AB2825D">
            <w:pPr>
              <w:widowControl/>
              <w:jc w:val="center"/>
              <w:textAlignment w:val="center"/>
              <w:rPr>
                <w:color w:val="auto"/>
                <w:szCs w:val="21"/>
                <w:highlight w:val="none"/>
              </w:rPr>
            </w:pPr>
            <w:r>
              <w:rPr>
                <w:rFonts w:hint="eastAsia" w:ascii="宋体" w:hAnsi="宋体" w:cs="宋体"/>
                <w:color w:val="auto"/>
                <w:kern w:val="0"/>
                <w:sz w:val="24"/>
                <w:highlight w:val="none"/>
                <w:lang w:bidi="ar"/>
              </w:rPr>
              <w:t>7023</w:t>
            </w:r>
          </w:p>
        </w:tc>
        <w:tc>
          <w:tcPr>
            <w:tcW w:w="1575" w:type="dxa"/>
            <w:vAlign w:val="center"/>
          </w:tcPr>
          <w:p w14:paraId="4A3E3F39">
            <w:pPr>
              <w:widowControl/>
              <w:jc w:val="center"/>
              <w:textAlignment w:val="center"/>
              <w:rPr>
                <w:color w:val="auto"/>
                <w:szCs w:val="21"/>
                <w:highlight w:val="none"/>
              </w:rPr>
            </w:pPr>
            <w:r>
              <w:rPr>
                <w:rFonts w:hint="eastAsia" w:ascii="宋体" w:hAnsi="宋体" w:cs="宋体"/>
                <w:color w:val="auto"/>
                <w:kern w:val="0"/>
                <w:sz w:val="24"/>
                <w:highlight w:val="none"/>
                <w:lang w:bidi="ar"/>
              </w:rPr>
              <w:t>14046</w:t>
            </w:r>
          </w:p>
        </w:tc>
      </w:tr>
      <w:tr w14:paraId="4C870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347E111D">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24</w:t>
            </w:r>
          </w:p>
        </w:tc>
        <w:tc>
          <w:tcPr>
            <w:tcW w:w="2220" w:type="dxa"/>
            <w:vAlign w:val="center"/>
          </w:tcPr>
          <w:p w14:paraId="4EFD7B1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螺栓(M16*70)付</w:t>
            </w:r>
          </w:p>
        </w:tc>
        <w:tc>
          <w:tcPr>
            <w:tcW w:w="1095" w:type="dxa"/>
            <w:vAlign w:val="center"/>
          </w:tcPr>
          <w:p w14:paraId="4B31C42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5A1866B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M16*70</w:t>
            </w:r>
          </w:p>
        </w:tc>
        <w:tc>
          <w:tcPr>
            <w:tcW w:w="765" w:type="dxa"/>
            <w:vAlign w:val="center"/>
          </w:tcPr>
          <w:p w14:paraId="5789B387">
            <w:pPr>
              <w:widowControl/>
              <w:jc w:val="center"/>
              <w:textAlignment w:val="center"/>
              <w:rPr>
                <w:rFonts w:hint="eastAsia" w:ascii="宋体" w:hAnsi="宋体"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238CF7C1">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30000.00 </w:t>
            </w:r>
          </w:p>
        </w:tc>
        <w:tc>
          <w:tcPr>
            <w:tcW w:w="1335" w:type="dxa"/>
            <w:vAlign w:val="center"/>
          </w:tcPr>
          <w:p w14:paraId="787997EB">
            <w:pPr>
              <w:widowControl/>
              <w:jc w:val="center"/>
              <w:textAlignment w:val="center"/>
              <w:rPr>
                <w:color w:val="auto"/>
                <w:szCs w:val="21"/>
                <w:highlight w:val="none"/>
              </w:rPr>
            </w:pPr>
            <w:r>
              <w:rPr>
                <w:rFonts w:hint="eastAsia" w:ascii="宋体" w:hAnsi="宋体" w:cs="宋体"/>
                <w:color w:val="auto"/>
                <w:kern w:val="0"/>
                <w:sz w:val="24"/>
                <w:highlight w:val="none"/>
                <w:lang w:bidi="ar"/>
              </w:rPr>
              <w:t>2</w:t>
            </w:r>
          </w:p>
        </w:tc>
        <w:tc>
          <w:tcPr>
            <w:tcW w:w="1575" w:type="dxa"/>
            <w:vAlign w:val="center"/>
          </w:tcPr>
          <w:p w14:paraId="2F12CBAC">
            <w:pPr>
              <w:widowControl/>
              <w:jc w:val="center"/>
              <w:textAlignment w:val="center"/>
              <w:rPr>
                <w:color w:val="auto"/>
                <w:szCs w:val="21"/>
                <w:highlight w:val="none"/>
              </w:rPr>
            </w:pPr>
            <w:r>
              <w:rPr>
                <w:rFonts w:hint="eastAsia" w:ascii="宋体" w:hAnsi="宋体" w:cs="宋体"/>
                <w:color w:val="auto"/>
                <w:kern w:val="0"/>
                <w:sz w:val="24"/>
                <w:highlight w:val="none"/>
                <w:lang w:bidi="ar"/>
              </w:rPr>
              <w:t>60000</w:t>
            </w:r>
          </w:p>
        </w:tc>
      </w:tr>
      <w:tr w14:paraId="04113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001CAF6F">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25</w:t>
            </w:r>
          </w:p>
        </w:tc>
        <w:tc>
          <w:tcPr>
            <w:tcW w:w="2220" w:type="dxa"/>
            <w:vAlign w:val="center"/>
          </w:tcPr>
          <w:p w14:paraId="0C2655B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螺栓(M16*80)付</w:t>
            </w:r>
          </w:p>
        </w:tc>
        <w:tc>
          <w:tcPr>
            <w:tcW w:w="1095" w:type="dxa"/>
            <w:vAlign w:val="center"/>
          </w:tcPr>
          <w:p w14:paraId="2E1BECD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3228BD0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M16*80</w:t>
            </w:r>
          </w:p>
        </w:tc>
        <w:tc>
          <w:tcPr>
            <w:tcW w:w="765" w:type="dxa"/>
            <w:vAlign w:val="center"/>
          </w:tcPr>
          <w:p w14:paraId="4F504980">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付</w:t>
            </w:r>
          </w:p>
        </w:tc>
        <w:tc>
          <w:tcPr>
            <w:tcW w:w="1110" w:type="dxa"/>
            <w:vAlign w:val="center"/>
          </w:tcPr>
          <w:p w14:paraId="47A8998E">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10000.00 </w:t>
            </w:r>
          </w:p>
        </w:tc>
        <w:tc>
          <w:tcPr>
            <w:tcW w:w="1335" w:type="dxa"/>
            <w:vAlign w:val="center"/>
          </w:tcPr>
          <w:p w14:paraId="4A7D001F">
            <w:pPr>
              <w:widowControl/>
              <w:jc w:val="center"/>
              <w:textAlignment w:val="center"/>
              <w:rPr>
                <w:color w:val="auto"/>
                <w:szCs w:val="21"/>
                <w:highlight w:val="none"/>
              </w:rPr>
            </w:pPr>
            <w:r>
              <w:rPr>
                <w:rFonts w:hint="eastAsia" w:ascii="宋体" w:hAnsi="宋体" w:cs="宋体"/>
                <w:color w:val="auto"/>
                <w:kern w:val="0"/>
                <w:sz w:val="24"/>
                <w:highlight w:val="none"/>
                <w:lang w:bidi="ar"/>
              </w:rPr>
              <w:t>2</w:t>
            </w:r>
          </w:p>
        </w:tc>
        <w:tc>
          <w:tcPr>
            <w:tcW w:w="1575" w:type="dxa"/>
            <w:vAlign w:val="center"/>
          </w:tcPr>
          <w:p w14:paraId="42AD1B56">
            <w:pPr>
              <w:widowControl/>
              <w:jc w:val="center"/>
              <w:textAlignment w:val="center"/>
              <w:rPr>
                <w:color w:val="auto"/>
                <w:szCs w:val="21"/>
                <w:highlight w:val="none"/>
              </w:rPr>
            </w:pPr>
            <w:r>
              <w:rPr>
                <w:rFonts w:hint="eastAsia" w:ascii="宋体" w:hAnsi="宋体" w:cs="宋体"/>
                <w:color w:val="auto"/>
                <w:kern w:val="0"/>
                <w:sz w:val="24"/>
                <w:highlight w:val="none"/>
                <w:lang w:bidi="ar"/>
              </w:rPr>
              <w:t>20000</w:t>
            </w:r>
          </w:p>
        </w:tc>
      </w:tr>
      <w:tr w14:paraId="6AC68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0EF2096D">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26</w:t>
            </w:r>
          </w:p>
        </w:tc>
        <w:tc>
          <w:tcPr>
            <w:tcW w:w="2220" w:type="dxa"/>
            <w:vAlign w:val="center"/>
          </w:tcPr>
          <w:p w14:paraId="657623D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螺栓(M16*100)付</w:t>
            </w:r>
          </w:p>
        </w:tc>
        <w:tc>
          <w:tcPr>
            <w:tcW w:w="1095" w:type="dxa"/>
            <w:vAlign w:val="center"/>
          </w:tcPr>
          <w:p w14:paraId="220C914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59CAA76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M16*100</w:t>
            </w:r>
          </w:p>
        </w:tc>
        <w:tc>
          <w:tcPr>
            <w:tcW w:w="765" w:type="dxa"/>
            <w:vAlign w:val="center"/>
          </w:tcPr>
          <w:p w14:paraId="401BDB8E">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付</w:t>
            </w:r>
          </w:p>
        </w:tc>
        <w:tc>
          <w:tcPr>
            <w:tcW w:w="1110" w:type="dxa"/>
            <w:vAlign w:val="center"/>
          </w:tcPr>
          <w:p w14:paraId="3AF6931F">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2000.00 </w:t>
            </w:r>
          </w:p>
        </w:tc>
        <w:tc>
          <w:tcPr>
            <w:tcW w:w="1335" w:type="dxa"/>
            <w:vAlign w:val="center"/>
          </w:tcPr>
          <w:p w14:paraId="1D21046D">
            <w:pPr>
              <w:widowControl/>
              <w:jc w:val="center"/>
              <w:textAlignment w:val="center"/>
              <w:rPr>
                <w:color w:val="auto"/>
                <w:szCs w:val="21"/>
                <w:highlight w:val="none"/>
              </w:rPr>
            </w:pPr>
            <w:r>
              <w:rPr>
                <w:rFonts w:hint="eastAsia" w:ascii="宋体" w:hAnsi="宋体" w:cs="宋体"/>
                <w:color w:val="auto"/>
                <w:kern w:val="0"/>
                <w:sz w:val="24"/>
                <w:highlight w:val="none"/>
                <w:lang w:bidi="ar"/>
              </w:rPr>
              <w:t>3</w:t>
            </w:r>
          </w:p>
        </w:tc>
        <w:tc>
          <w:tcPr>
            <w:tcW w:w="1575" w:type="dxa"/>
            <w:vAlign w:val="center"/>
          </w:tcPr>
          <w:p w14:paraId="14D5AE7D">
            <w:pPr>
              <w:widowControl/>
              <w:jc w:val="center"/>
              <w:textAlignment w:val="center"/>
              <w:rPr>
                <w:color w:val="auto"/>
                <w:szCs w:val="21"/>
                <w:highlight w:val="none"/>
              </w:rPr>
            </w:pPr>
            <w:r>
              <w:rPr>
                <w:rFonts w:hint="eastAsia" w:ascii="宋体" w:hAnsi="宋体" w:cs="宋体"/>
                <w:color w:val="auto"/>
                <w:kern w:val="0"/>
                <w:sz w:val="24"/>
                <w:highlight w:val="none"/>
                <w:lang w:bidi="ar"/>
              </w:rPr>
              <w:t>6000</w:t>
            </w:r>
          </w:p>
        </w:tc>
      </w:tr>
      <w:tr w14:paraId="18542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685B739E">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27</w:t>
            </w:r>
          </w:p>
        </w:tc>
        <w:tc>
          <w:tcPr>
            <w:tcW w:w="2220" w:type="dxa"/>
            <w:vAlign w:val="center"/>
          </w:tcPr>
          <w:p w14:paraId="5BB92B4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螺栓(M20*80)付</w:t>
            </w:r>
          </w:p>
        </w:tc>
        <w:tc>
          <w:tcPr>
            <w:tcW w:w="1095" w:type="dxa"/>
            <w:vAlign w:val="center"/>
          </w:tcPr>
          <w:p w14:paraId="2B9832CB">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40676D9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M20*80</w:t>
            </w:r>
          </w:p>
        </w:tc>
        <w:tc>
          <w:tcPr>
            <w:tcW w:w="765" w:type="dxa"/>
            <w:vAlign w:val="center"/>
          </w:tcPr>
          <w:p w14:paraId="20749A10">
            <w:pPr>
              <w:widowControl/>
              <w:jc w:val="center"/>
              <w:textAlignment w:val="center"/>
              <w:rPr>
                <w:rFonts w:hint="eastAsia" w:ascii="宋体" w:hAnsi="宋体" w:cs="宋体"/>
                <w:color w:val="auto"/>
                <w:spacing w:val="6"/>
                <w:szCs w:val="21"/>
                <w:highlight w:val="none"/>
              </w:rPr>
            </w:pPr>
            <w:r>
              <w:rPr>
                <w:rFonts w:hint="eastAsia" w:ascii="宋体" w:hAnsi="宋体" w:cs="宋体"/>
                <w:color w:val="auto"/>
                <w:kern w:val="0"/>
                <w:sz w:val="24"/>
                <w:highlight w:val="none"/>
                <w:lang w:bidi="ar"/>
              </w:rPr>
              <w:t>付</w:t>
            </w:r>
          </w:p>
        </w:tc>
        <w:tc>
          <w:tcPr>
            <w:tcW w:w="1110" w:type="dxa"/>
            <w:vAlign w:val="center"/>
          </w:tcPr>
          <w:p w14:paraId="1F462CAB">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15000.00 </w:t>
            </w:r>
          </w:p>
        </w:tc>
        <w:tc>
          <w:tcPr>
            <w:tcW w:w="1335" w:type="dxa"/>
            <w:vAlign w:val="center"/>
          </w:tcPr>
          <w:p w14:paraId="6CAC5B55">
            <w:pPr>
              <w:widowControl/>
              <w:jc w:val="center"/>
              <w:textAlignment w:val="center"/>
              <w:rPr>
                <w:color w:val="auto"/>
                <w:szCs w:val="21"/>
                <w:highlight w:val="none"/>
              </w:rPr>
            </w:pPr>
            <w:r>
              <w:rPr>
                <w:rFonts w:hint="eastAsia" w:ascii="宋体" w:hAnsi="宋体" w:cs="宋体"/>
                <w:color w:val="auto"/>
                <w:kern w:val="0"/>
                <w:sz w:val="24"/>
                <w:highlight w:val="none"/>
                <w:lang w:bidi="ar"/>
              </w:rPr>
              <w:t>4</w:t>
            </w:r>
          </w:p>
        </w:tc>
        <w:tc>
          <w:tcPr>
            <w:tcW w:w="1575" w:type="dxa"/>
            <w:vAlign w:val="center"/>
          </w:tcPr>
          <w:p w14:paraId="6BC0DA25">
            <w:pPr>
              <w:widowControl/>
              <w:jc w:val="center"/>
              <w:textAlignment w:val="center"/>
              <w:rPr>
                <w:color w:val="auto"/>
                <w:szCs w:val="21"/>
                <w:highlight w:val="none"/>
              </w:rPr>
            </w:pPr>
            <w:r>
              <w:rPr>
                <w:rFonts w:hint="eastAsia" w:ascii="宋体" w:hAnsi="宋体" w:cs="宋体"/>
                <w:color w:val="auto"/>
                <w:kern w:val="0"/>
                <w:sz w:val="24"/>
                <w:highlight w:val="none"/>
                <w:lang w:bidi="ar"/>
              </w:rPr>
              <w:t>60000</w:t>
            </w:r>
          </w:p>
        </w:tc>
      </w:tr>
      <w:tr w14:paraId="0BFB9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65D7C42F">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28</w:t>
            </w:r>
          </w:p>
        </w:tc>
        <w:tc>
          <w:tcPr>
            <w:tcW w:w="2220" w:type="dxa"/>
            <w:vAlign w:val="center"/>
          </w:tcPr>
          <w:p w14:paraId="21BBAEB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螺栓(M20*100)付</w:t>
            </w:r>
          </w:p>
        </w:tc>
        <w:tc>
          <w:tcPr>
            <w:tcW w:w="1095" w:type="dxa"/>
            <w:vAlign w:val="center"/>
          </w:tcPr>
          <w:p w14:paraId="631AE93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07A9EBC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M20*100</w:t>
            </w:r>
          </w:p>
        </w:tc>
        <w:tc>
          <w:tcPr>
            <w:tcW w:w="765" w:type="dxa"/>
            <w:vAlign w:val="center"/>
          </w:tcPr>
          <w:p w14:paraId="5C0183E0">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付</w:t>
            </w:r>
          </w:p>
        </w:tc>
        <w:tc>
          <w:tcPr>
            <w:tcW w:w="1110" w:type="dxa"/>
            <w:vAlign w:val="center"/>
          </w:tcPr>
          <w:p w14:paraId="623DEAFD">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5000.00 </w:t>
            </w:r>
          </w:p>
        </w:tc>
        <w:tc>
          <w:tcPr>
            <w:tcW w:w="1335" w:type="dxa"/>
            <w:vAlign w:val="center"/>
          </w:tcPr>
          <w:p w14:paraId="607F5C6A">
            <w:pPr>
              <w:widowControl/>
              <w:jc w:val="center"/>
              <w:textAlignment w:val="center"/>
              <w:rPr>
                <w:color w:val="auto"/>
                <w:szCs w:val="21"/>
                <w:highlight w:val="none"/>
              </w:rPr>
            </w:pPr>
            <w:r>
              <w:rPr>
                <w:rFonts w:hint="eastAsia" w:ascii="宋体" w:hAnsi="宋体" w:cs="宋体"/>
                <w:color w:val="auto"/>
                <w:kern w:val="0"/>
                <w:sz w:val="24"/>
                <w:highlight w:val="none"/>
                <w:lang w:bidi="ar"/>
              </w:rPr>
              <w:t>4.5</w:t>
            </w:r>
          </w:p>
        </w:tc>
        <w:tc>
          <w:tcPr>
            <w:tcW w:w="1575" w:type="dxa"/>
            <w:vAlign w:val="center"/>
          </w:tcPr>
          <w:p w14:paraId="75CD7CB5">
            <w:pPr>
              <w:widowControl/>
              <w:jc w:val="center"/>
              <w:textAlignment w:val="center"/>
              <w:rPr>
                <w:color w:val="auto"/>
                <w:szCs w:val="21"/>
                <w:highlight w:val="none"/>
              </w:rPr>
            </w:pPr>
            <w:r>
              <w:rPr>
                <w:rFonts w:hint="eastAsia" w:ascii="宋体" w:hAnsi="宋体" w:cs="宋体"/>
                <w:color w:val="auto"/>
                <w:kern w:val="0"/>
                <w:sz w:val="24"/>
                <w:highlight w:val="none"/>
                <w:lang w:bidi="ar"/>
              </w:rPr>
              <w:t>22500</w:t>
            </w:r>
          </w:p>
        </w:tc>
      </w:tr>
      <w:tr w14:paraId="04676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jc w:val="center"/>
        </w:trPr>
        <w:tc>
          <w:tcPr>
            <w:tcW w:w="637" w:type="dxa"/>
          </w:tcPr>
          <w:p w14:paraId="6F9DECFF">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29</w:t>
            </w:r>
          </w:p>
        </w:tc>
        <w:tc>
          <w:tcPr>
            <w:tcW w:w="2220" w:type="dxa"/>
            <w:vAlign w:val="center"/>
          </w:tcPr>
          <w:p w14:paraId="53C5D94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螺栓(M20*120)付</w:t>
            </w:r>
          </w:p>
        </w:tc>
        <w:tc>
          <w:tcPr>
            <w:tcW w:w="1095" w:type="dxa"/>
            <w:vAlign w:val="center"/>
          </w:tcPr>
          <w:p w14:paraId="47E4E95A">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74A16B3C">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M20*120</w:t>
            </w:r>
          </w:p>
        </w:tc>
        <w:tc>
          <w:tcPr>
            <w:tcW w:w="765" w:type="dxa"/>
            <w:vAlign w:val="center"/>
          </w:tcPr>
          <w:p w14:paraId="192E5FD5">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付</w:t>
            </w:r>
          </w:p>
        </w:tc>
        <w:tc>
          <w:tcPr>
            <w:tcW w:w="1110" w:type="dxa"/>
            <w:vAlign w:val="center"/>
          </w:tcPr>
          <w:p w14:paraId="788E39E7">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1000.00 </w:t>
            </w:r>
          </w:p>
        </w:tc>
        <w:tc>
          <w:tcPr>
            <w:tcW w:w="1335" w:type="dxa"/>
            <w:vAlign w:val="center"/>
          </w:tcPr>
          <w:p w14:paraId="36E470AA">
            <w:pPr>
              <w:widowControl/>
              <w:jc w:val="center"/>
              <w:textAlignment w:val="center"/>
              <w:rPr>
                <w:color w:val="auto"/>
                <w:szCs w:val="21"/>
                <w:highlight w:val="none"/>
              </w:rPr>
            </w:pPr>
            <w:r>
              <w:rPr>
                <w:rFonts w:hint="eastAsia" w:ascii="宋体" w:hAnsi="宋体" w:cs="宋体"/>
                <w:color w:val="auto"/>
                <w:kern w:val="0"/>
                <w:sz w:val="24"/>
                <w:highlight w:val="none"/>
                <w:lang w:bidi="ar"/>
              </w:rPr>
              <w:t>5.6</w:t>
            </w:r>
          </w:p>
        </w:tc>
        <w:tc>
          <w:tcPr>
            <w:tcW w:w="1575" w:type="dxa"/>
            <w:vAlign w:val="center"/>
          </w:tcPr>
          <w:p w14:paraId="19CBD485">
            <w:pPr>
              <w:widowControl/>
              <w:jc w:val="center"/>
              <w:textAlignment w:val="center"/>
              <w:rPr>
                <w:color w:val="auto"/>
                <w:szCs w:val="21"/>
                <w:highlight w:val="none"/>
              </w:rPr>
            </w:pPr>
            <w:r>
              <w:rPr>
                <w:rFonts w:hint="eastAsia" w:ascii="宋体" w:hAnsi="宋体" w:cs="宋体"/>
                <w:color w:val="auto"/>
                <w:kern w:val="0"/>
                <w:sz w:val="24"/>
                <w:highlight w:val="none"/>
                <w:lang w:bidi="ar"/>
              </w:rPr>
              <w:t>5600</w:t>
            </w:r>
          </w:p>
        </w:tc>
      </w:tr>
      <w:tr w14:paraId="168C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2C920105">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30</w:t>
            </w:r>
          </w:p>
        </w:tc>
        <w:tc>
          <w:tcPr>
            <w:tcW w:w="2220" w:type="dxa"/>
            <w:vAlign w:val="center"/>
          </w:tcPr>
          <w:p w14:paraId="4BF344E3">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螺栓(M20*140)付</w:t>
            </w:r>
          </w:p>
        </w:tc>
        <w:tc>
          <w:tcPr>
            <w:tcW w:w="1095" w:type="dxa"/>
            <w:vAlign w:val="center"/>
          </w:tcPr>
          <w:p w14:paraId="610D5AE8">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8.8级</w:t>
            </w:r>
          </w:p>
        </w:tc>
        <w:tc>
          <w:tcPr>
            <w:tcW w:w="1185" w:type="dxa"/>
            <w:vAlign w:val="center"/>
          </w:tcPr>
          <w:p w14:paraId="2E232026">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M20*140</w:t>
            </w:r>
          </w:p>
        </w:tc>
        <w:tc>
          <w:tcPr>
            <w:tcW w:w="765" w:type="dxa"/>
            <w:vAlign w:val="center"/>
          </w:tcPr>
          <w:p w14:paraId="7341E920">
            <w:pPr>
              <w:widowControl/>
              <w:jc w:val="center"/>
              <w:textAlignment w:val="center"/>
              <w:rPr>
                <w:rFonts w:hint="eastAsia" w:ascii="宋体" w:hAnsi="宋体" w:cs="宋体"/>
                <w:color w:val="auto"/>
                <w:spacing w:val="-4"/>
                <w:szCs w:val="21"/>
                <w:highlight w:val="none"/>
              </w:rPr>
            </w:pPr>
            <w:r>
              <w:rPr>
                <w:rFonts w:hint="eastAsia" w:ascii="宋体" w:hAnsi="宋体" w:cs="宋体"/>
                <w:color w:val="auto"/>
                <w:kern w:val="0"/>
                <w:sz w:val="24"/>
                <w:highlight w:val="none"/>
                <w:lang w:bidi="ar"/>
              </w:rPr>
              <w:t>付</w:t>
            </w:r>
          </w:p>
        </w:tc>
        <w:tc>
          <w:tcPr>
            <w:tcW w:w="1110" w:type="dxa"/>
            <w:vAlign w:val="center"/>
          </w:tcPr>
          <w:p w14:paraId="56C447B3">
            <w:pPr>
              <w:widowControl/>
              <w:jc w:val="center"/>
              <w:textAlignment w:val="center"/>
              <w:rPr>
                <w:color w:val="auto"/>
                <w:szCs w:val="21"/>
                <w:highlight w:val="none"/>
              </w:rPr>
            </w:pPr>
            <w:r>
              <w:rPr>
                <w:rFonts w:hint="eastAsia" w:ascii="宋体" w:hAnsi="宋体" w:cs="宋体"/>
                <w:color w:val="auto"/>
                <w:kern w:val="0"/>
                <w:sz w:val="24"/>
                <w:highlight w:val="none"/>
                <w:lang w:bidi="ar"/>
              </w:rPr>
              <w:t xml:space="preserve">500.00 </w:t>
            </w:r>
          </w:p>
        </w:tc>
        <w:tc>
          <w:tcPr>
            <w:tcW w:w="1335" w:type="dxa"/>
            <w:vAlign w:val="center"/>
          </w:tcPr>
          <w:p w14:paraId="6BE8CA62">
            <w:pPr>
              <w:widowControl/>
              <w:jc w:val="center"/>
              <w:textAlignment w:val="center"/>
              <w:rPr>
                <w:color w:val="auto"/>
                <w:szCs w:val="21"/>
                <w:highlight w:val="none"/>
              </w:rPr>
            </w:pPr>
            <w:r>
              <w:rPr>
                <w:rFonts w:hint="eastAsia" w:ascii="宋体" w:hAnsi="宋体" w:cs="宋体"/>
                <w:color w:val="auto"/>
                <w:kern w:val="0"/>
                <w:sz w:val="24"/>
                <w:highlight w:val="none"/>
                <w:lang w:bidi="ar"/>
              </w:rPr>
              <w:t>6</w:t>
            </w:r>
          </w:p>
        </w:tc>
        <w:tc>
          <w:tcPr>
            <w:tcW w:w="1575" w:type="dxa"/>
            <w:vAlign w:val="center"/>
          </w:tcPr>
          <w:p w14:paraId="7D6629E1">
            <w:pPr>
              <w:widowControl/>
              <w:jc w:val="center"/>
              <w:textAlignment w:val="center"/>
              <w:rPr>
                <w:color w:val="auto"/>
                <w:szCs w:val="21"/>
                <w:highlight w:val="none"/>
              </w:rPr>
            </w:pPr>
            <w:r>
              <w:rPr>
                <w:rFonts w:hint="eastAsia" w:ascii="宋体" w:hAnsi="宋体" w:cs="宋体"/>
                <w:color w:val="auto"/>
                <w:kern w:val="0"/>
                <w:sz w:val="24"/>
                <w:highlight w:val="none"/>
                <w:lang w:bidi="ar"/>
              </w:rPr>
              <w:t>3000</w:t>
            </w:r>
          </w:p>
        </w:tc>
      </w:tr>
      <w:tr w14:paraId="097A5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6E376160">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31</w:t>
            </w:r>
          </w:p>
        </w:tc>
        <w:tc>
          <w:tcPr>
            <w:tcW w:w="2220" w:type="dxa"/>
            <w:vAlign w:val="center"/>
          </w:tcPr>
          <w:p w14:paraId="1C5FFAD6">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螺栓(M24*100)付</w:t>
            </w:r>
          </w:p>
        </w:tc>
        <w:tc>
          <w:tcPr>
            <w:tcW w:w="1095" w:type="dxa"/>
            <w:vAlign w:val="center"/>
          </w:tcPr>
          <w:p w14:paraId="6A10DAF6">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8.8级</w:t>
            </w:r>
          </w:p>
        </w:tc>
        <w:tc>
          <w:tcPr>
            <w:tcW w:w="1185" w:type="dxa"/>
            <w:vAlign w:val="center"/>
          </w:tcPr>
          <w:p w14:paraId="6AF6C04B">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M24*100</w:t>
            </w:r>
          </w:p>
        </w:tc>
        <w:tc>
          <w:tcPr>
            <w:tcW w:w="765" w:type="dxa"/>
            <w:vAlign w:val="center"/>
          </w:tcPr>
          <w:p w14:paraId="418547DF">
            <w:pPr>
              <w:widowControl/>
              <w:jc w:val="center"/>
              <w:textAlignment w:val="center"/>
              <w:rPr>
                <w:rFonts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525C2D2B">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 xml:space="preserve">3000.00 </w:t>
            </w:r>
          </w:p>
        </w:tc>
        <w:tc>
          <w:tcPr>
            <w:tcW w:w="1335" w:type="dxa"/>
            <w:vAlign w:val="center"/>
          </w:tcPr>
          <w:p w14:paraId="45BE02C7">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7</w:t>
            </w:r>
          </w:p>
        </w:tc>
        <w:tc>
          <w:tcPr>
            <w:tcW w:w="1575" w:type="dxa"/>
            <w:vAlign w:val="center"/>
          </w:tcPr>
          <w:p w14:paraId="47CCEF29">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21000</w:t>
            </w:r>
          </w:p>
        </w:tc>
      </w:tr>
      <w:tr w14:paraId="76745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00FC28DA">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32</w:t>
            </w:r>
          </w:p>
        </w:tc>
        <w:tc>
          <w:tcPr>
            <w:tcW w:w="2220" w:type="dxa"/>
            <w:vAlign w:val="center"/>
          </w:tcPr>
          <w:p w14:paraId="0305C095">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螺栓(M24*120)付</w:t>
            </w:r>
          </w:p>
        </w:tc>
        <w:tc>
          <w:tcPr>
            <w:tcW w:w="1095" w:type="dxa"/>
            <w:vAlign w:val="center"/>
          </w:tcPr>
          <w:p w14:paraId="017EA7DC">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8.8级</w:t>
            </w:r>
          </w:p>
        </w:tc>
        <w:tc>
          <w:tcPr>
            <w:tcW w:w="1185" w:type="dxa"/>
            <w:vAlign w:val="center"/>
          </w:tcPr>
          <w:p w14:paraId="7240FC67">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M24*120</w:t>
            </w:r>
          </w:p>
        </w:tc>
        <w:tc>
          <w:tcPr>
            <w:tcW w:w="765" w:type="dxa"/>
            <w:vAlign w:val="center"/>
          </w:tcPr>
          <w:p w14:paraId="078ACA31">
            <w:pPr>
              <w:widowControl/>
              <w:jc w:val="center"/>
              <w:textAlignment w:val="center"/>
              <w:rPr>
                <w:rFonts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63DAC0E8">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 xml:space="preserve">500.00 </w:t>
            </w:r>
          </w:p>
        </w:tc>
        <w:tc>
          <w:tcPr>
            <w:tcW w:w="1335" w:type="dxa"/>
            <w:vAlign w:val="center"/>
          </w:tcPr>
          <w:p w14:paraId="17DADD16">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8</w:t>
            </w:r>
          </w:p>
        </w:tc>
        <w:tc>
          <w:tcPr>
            <w:tcW w:w="1575" w:type="dxa"/>
            <w:vAlign w:val="center"/>
          </w:tcPr>
          <w:p w14:paraId="3C9BDFFA">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4000</w:t>
            </w:r>
          </w:p>
        </w:tc>
      </w:tr>
      <w:tr w14:paraId="2DBB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20E0ED83">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33</w:t>
            </w:r>
          </w:p>
        </w:tc>
        <w:tc>
          <w:tcPr>
            <w:tcW w:w="2220" w:type="dxa"/>
            <w:vAlign w:val="center"/>
          </w:tcPr>
          <w:p w14:paraId="28CB67EE">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螺栓(M24*140)付</w:t>
            </w:r>
          </w:p>
        </w:tc>
        <w:tc>
          <w:tcPr>
            <w:tcW w:w="1095" w:type="dxa"/>
            <w:vAlign w:val="center"/>
          </w:tcPr>
          <w:p w14:paraId="17E8A568">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8.8级</w:t>
            </w:r>
          </w:p>
        </w:tc>
        <w:tc>
          <w:tcPr>
            <w:tcW w:w="1185" w:type="dxa"/>
            <w:vAlign w:val="center"/>
          </w:tcPr>
          <w:p w14:paraId="413DBEC7">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M24*140</w:t>
            </w:r>
          </w:p>
        </w:tc>
        <w:tc>
          <w:tcPr>
            <w:tcW w:w="765" w:type="dxa"/>
            <w:vAlign w:val="center"/>
          </w:tcPr>
          <w:p w14:paraId="3F2614D7">
            <w:pPr>
              <w:widowControl/>
              <w:jc w:val="center"/>
              <w:textAlignment w:val="center"/>
              <w:rPr>
                <w:rFonts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50EA1E86">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 xml:space="preserve">500.00 </w:t>
            </w:r>
          </w:p>
        </w:tc>
        <w:tc>
          <w:tcPr>
            <w:tcW w:w="1335" w:type="dxa"/>
            <w:vAlign w:val="center"/>
          </w:tcPr>
          <w:p w14:paraId="50783AF7">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9</w:t>
            </w:r>
          </w:p>
        </w:tc>
        <w:tc>
          <w:tcPr>
            <w:tcW w:w="1575" w:type="dxa"/>
            <w:vAlign w:val="center"/>
          </w:tcPr>
          <w:p w14:paraId="38292833">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4500</w:t>
            </w:r>
          </w:p>
        </w:tc>
      </w:tr>
      <w:tr w14:paraId="2A501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50CB5865">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34</w:t>
            </w:r>
          </w:p>
        </w:tc>
        <w:tc>
          <w:tcPr>
            <w:tcW w:w="2220" w:type="dxa"/>
            <w:vAlign w:val="center"/>
          </w:tcPr>
          <w:p w14:paraId="1B64401A">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螺栓(M30*120)付</w:t>
            </w:r>
          </w:p>
        </w:tc>
        <w:tc>
          <w:tcPr>
            <w:tcW w:w="1095" w:type="dxa"/>
            <w:vAlign w:val="center"/>
          </w:tcPr>
          <w:p w14:paraId="73D0C607">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8.8级</w:t>
            </w:r>
          </w:p>
        </w:tc>
        <w:tc>
          <w:tcPr>
            <w:tcW w:w="1185" w:type="dxa"/>
            <w:vAlign w:val="center"/>
          </w:tcPr>
          <w:p w14:paraId="6A5E1AD1">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M30*120</w:t>
            </w:r>
          </w:p>
        </w:tc>
        <w:tc>
          <w:tcPr>
            <w:tcW w:w="765" w:type="dxa"/>
            <w:vAlign w:val="center"/>
          </w:tcPr>
          <w:p w14:paraId="7B3EB992">
            <w:pPr>
              <w:widowControl/>
              <w:jc w:val="center"/>
              <w:textAlignment w:val="center"/>
              <w:rPr>
                <w:rFonts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183CA660">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 xml:space="preserve">500.00 </w:t>
            </w:r>
          </w:p>
        </w:tc>
        <w:tc>
          <w:tcPr>
            <w:tcW w:w="1335" w:type="dxa"/>
            <w:vAlign w:val="center"/>
          </w:tcPr>
          <w:p w14:paraId="75BD6E27">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14</w:t>
            </w:r>
          </w:p>
        </w:tc>
        <w:tc>
          <w:tcPr>
            <w:tcW w:w="1575" w:type="dxa"/>
            <w:vAlign w:val="center"/>
          </w:tcPr>
          <w:p w14:paraId="53F20FFD">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7000</w:t>
            </w:r>
          </w:p>
        </w:tc>
      </w:tr>
      <w:tr w14:paraId="34E6D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637" w:type="dxa"/>
          </w:tcPr>
          <w:p w14:paraId="0F8FF665">
            <w:pPr>
              <w:spacing w:line="440" w:lineRule="exact"/>
              <w:ind w:left="135"/>
              <w:rPr>
                <w:rFonts w:hint="eastAsia" w:ascii="宋体" w:hAnsi="宋体" w:cs="宋体"/>
                <w:color w:val="auto"/>
                <w:spacing w:val="8"/>
                <w:szCs w:val="21"/>
                <w:highlight w:val="none"/>
              </w:rPr>
            </w:pPr>
            <w:r>
              <w:rPr>
                <w:rFonts w:hint="eastAsia" w:ascii="宋体" w:hAnsi="宋体" w:cs="宋体"/>
                <w:color w:val="auto"/>
                <w:spacing w:val="8"/>
                <w:szCs w:val="21"/>
                <w:highlight w:val="none"/>
              </w:rPr>
              <w:t>35</w:t>
            </w:r>
          </w:p>
        </w:tc>
        <w:tc>
          <w:tcPr>
            <w:tcW w:w="2220" w:type="dxa"/>
            <w:vAlign w:val="center"/>
          </w:tcPr>
          <w:p w14:paraId="1FBC20BC">
            <w:pPr>
              <w:widowControl/>
              <w:jc w:val="center"/>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螺栓(M36*140)付</w:t>
            </w:r>
          </w:p>
        </w:tc>
        <w:tc>
          <w:tcPr>
            <w:tcW w:w="1095" w:type="dxa"/>
            <w:vAlign w:val="center"/>
          </w:tcPr>
          <w:p w14:paraId="1FE30EAA">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8.9级</w:t>
            </w:r>
          </w:p>
        </w:tc>
        <w:tc>
          <w:tcPr>
            <w:tcW w:w="1185" w:type="dxa"/>
            <w:vAlign w:val="center"/>
          </w:tcPr>
          <w:p w14:paraId="74CDDF97">
            <w:pPr>
              <w:widowControl/>
              <w:jc w:val="center"/>
              <w:textAlignment w:val="center"/>
              <w:rPr>
                <w:rFonts w:hint="eastAsia" w:ascii="宋体" w:hAnsi="宋体" w:cs="宋体"/>
                <w:color w:val="auto"/>
                <w:spacing w:val="8"/>
                <w:szCs w:val="21"/>
                <w:highlight w:val="none"/>
              </w:rPr>
            </w:pPr>
            <w:r>
              <w:rPr>
                <w:rFonts w:hint="eastAsia" w:ascii="宋体" w:hAnsi="宋体" w:cs="宋体"/>
                <w:color w:val="auto"/>
                <w:kern w:val="0"/>
                <w:sz w:val="24"/>
                <w:highlight w:val="none"/>
                <w:lang w:bidi="ar"/>
              </w:rPr>
              <w:t>M36*140</w:t>
            </w:r>
          </w:p>
        </w:tc>
        <w:tc>
          <w:tcPr>
            <w:tcW w:w="765" w:type="dxa"/>
            <w:vAlign w:val="center"/>
          </w:tcPr>
          <w:p w14:paraId="563569F1">
            <w:pPr>
              <w:widowControl/>
              <w:jc w:val="center"/>
              <w:textAlignment w:val="center"/>
              <w:rPr>
                <w:rFonts w:cs="宋体"/>
                <w:color w:val="auto"/>
                <w:spacing w:val="5"/>
                <w:szCs w:val="21"/>
                <w:highlight w:val="none"/>
              </w:rPr>
            </w:pPr>
            <w:r>
              <w:rPr>
                <w:rFonts w:hint="eastAsia" w:ascii="宋体" w:hAnsi="宋体" w:cs="宋体"/>
                <w:color w:val="auto"/>
                <w:kern w:val="0"/>
                <w:sz w:val="24"/>
                <w:highlight w:val="none"/>
                <w:lang w:bidi="ar"/>
              </w:rPr>
              <w:t>付</w:t>
            </w:r>
          </w:p>
        </w:tc>
        <w:tc>
          <w:tcPr>
            <w:tcW w:w="1110" w:type="dxa"/>
            <w:vAlign w:val="center"/>
          </w:tcPr>
          <w:p w14:paraId="3AAB1F09">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 xml:space="preserve">500.00 </w:t>
            </w:r>
          </w:p>
        </w:tc>
        <w:tc>
          <w:tcPr>
            <w:tcW w:w="1335" w:type="dxa"/>
            <w:vAlign w:val="center"/>
          </w:tcPr>
          <w:p w14:paraId="5CBB6A77">
            <w:pPr>
              <w:widowControl/>
              <w:jc w:val="center"/>
              <w:textAlignment w:val="center"/>
              <w:rPr>
                <w:color w:val="auto"/>
                <w:spacing w:val="5"/>
                <w:szCs w:val="21"/>
                <w:highlight w:val="none"/>
              </w:rPr>
            </w:pPr>
            <w:r>
              <w:rPr>
                <w:rFonts w:hint="eastAsia" w:ascii="宋体" w:hAnsi="宋体" w:cs="宋体"/>
                <w:color w:val="auto"/>
                <w:kern w:val="0"/>
                <w:sz w:val="24"/>
                <w:highlight w:val="none"/>
                <w:lang w:bidi="ar"/>
              </w:rPr>
              <w:t>24.5</w:t>
            </w:r>
          </w:p>
        </w:tc>
        <w:tc>
          <w:tcPr>
            <w:tcW w:w="1575" w:type="dxa"/>
            <w:vAlign w:val="center"/>
          </w:tcPr>
          <w:p w14:paraId="3AB0CF13">
            <w:pPr>
              <w:widowControl/>
              <w:jc w:val="center"/>
              <w:textAlignment w:val="center"/>
              <w:rPr>
                <w:color w:val="auto"/>
                <w:spacing w:val="4"/>
                <w:szCs w:val="21"/>
                <w:highlight w:val="none"/>
              </w:rPr>
            </w:pPr>
            <w:r>
              <w:rPr>
                <w:rFonts w:hint="eastAsia" w:ascii="宋体" w:hAnsi="宋体" w:cs="宋体"/>
                <w:color w:val="auto"/>
                <w:kern w:val="0"/>
                <w:sz w:val="24"/>
                <w:highlight w:val="none"/>
                <w:lang w:bidi="ar"/>
              </w:rPr>
              <w:t>12250</w:t>
            </w:r>
          </w:p>
        </w:tc>
      </w:tr>
      <w:tr w14:paraId="4A8A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jc w:val="center"/>
        </w:trPr>
        <w:tc>
          <w:tcPr>
            <w:tcW w:w="2857" w:type="dxa"/>
            <w:gridSpan w:val="2"/>
            <w:vAlign w:val="center"/>
          </w:tcPr>
          <w:p w14:paraId="04EB3E88">
            <w:pPr>
              <w:widowControl/>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val="en-US" w:eastAsia="zh-CN" w:bidi="ar"/>
              </w:rPr>
              <w:t>年</w:t>
            </w:r>
            <w:r>
              <w:rPr>
                <w:rFonts w:hint="eastAsia" w:ascii="宋体" w:hAnsi="宋体" w:cs="宋体"/>
                <w:b/>
                <w:bCs/>
                <w:color w:val="auto"/>
                <w:kern w:val="0"/>
                <w:sz w:val="24"/>
                <w:highlight w:val="none"/>
                <w:lang w:bidi="ar"/>
              </w:rPr>
              <w:t>最高限价</w:t>
            </w:r>
          </w:p>
        </w:tc>
        <w:tc>
          <w:tcPr>
            <w:tcW w:w="7065" w:type="dxa"/>
            <w:gridSpan w:val="6"/>
            <w:vAlign w:val="center"/>
          </w:tcPr>
          <w:p w14:paraId="4FDA3937">
            <w:pPr>
              <w:widowControl/>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叁拾陆万零伍佰捌拾玖元零角零分（360589元/年）</w:t>
            </w:r>
          </w:p>
        </w:tc>
      </w:tr>
      <w:tr w14:paraId="6310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jc w:val="center"/>
        </w:trPr>
        <w:tc>
          <w:tcPr>
            <w:tcW w:w="2857" w:type="dxa"/>
            <w:gridSpan w:val="2"/>
            <w:vAlign w:val="center"/>
          </w:tcPr>
          <w:p w14:paraId="62B72D1D">
            <w:pPr>
              <w:widowControl/>
              <w:textAlignment w:val="center"/>
              <w:rPr>
                <w:rFonts w:hint="default" w:ascii="宋体" w:hAnsi="宋体" w:eastAsia="宋体" w:cs="宋体"/>
                <w:b/>
                <w:bCs/>
                <w:color w:val="auto"/>
                <w:kern w:val="0"/>
                <w:sz w:val="24"/>
                <w:highlight w:val="none"/>
                <w:lang w:val="en-US" w:eastAsia="zh-CN" w:bidi="ar"/>
              </w:rPr>
            </w:pPr>
            <w:r>
              <w:rPr>
                <w:rFonts w:hint="eastAsia" w:ascii="宋体" w:hAnsi="宋体" w:cs="宋体"/>
                <w:b/>
                <w:bCs/>
                <w:color w:val="auto"/>
                <w:kern w:val="0"/>
                <w:sz w:val="24"/>
                <w:highlight w:val="none"/>
                <w:lang w:val="en-US" w:eastAsia="zh-CN" w:bidi="ar"/>
              </w:rPr>
              <w:t>最高限价（两年）</w:t>
            </w:r>
          </w:p>
        </w:tc>
        <w:tc>
          <w:tcPr>
            <w:tcW w:w="7065" w:type="dxa"/>
            <w:gridSpan w:val="6"/>
            <w:vAlign w:val="center"/>
          </w:tcPr>
          <w:p w14:paraId="51CAFBF0">
            <w:pPr>
              <w:widowControl/>
              <w:textAlignment w:val="center"/>
              <w:rPr>
                <w:rFonts w:hint="eastAsia" w:ascii="宋体" w:hAnsi="宋体" w:eastAsia="宋体" w:cs="宋体"/>
                <w:b/>
                <w:bCs/>
                <w:color w:val="auto"/>
                <w:kern w:val="0"/>
                <w:sz w:val="24"/>
                <w:highlight w:val="none"/>
                <w:lang w:val="en-US" w:eastAsia="zh-CN" w:bidi="ar"/>
              </w:rPr>
            </w:pPr>
            <w:r>
              <w:rPr>
                <w:rFonts w:hint="eastAsia" w:ascii="宋体" w:hAnsi="宋体" w:cs="宋体"/>
                <w:b/>
                <w:bCs/>
                <w:color w:val="auto"/>
                <w:kern w:val="0"/>
                <w:sz w:val="24"/>
                <w:highlight w:val="none"/>
                <w:lang w:val="en-US" w:eastAsia="zh-CN" w:bidi="ar"/>
              </w:rPr>
              <w:t>柒拾贰万壹仟壹佰柒拾捌元整</w:t>
            </w:r>
            <w:r>
              <w:rPr>
                <w:rFonts w:hint="eastAsia" w:ascii="宋体" w:hAnsi="宋体" w:cs="宋体"/>
                <w:b/>
                <w:bCs/>
                <w:color w:val="auto"/>
                <w:kern w:val="0"/>
                <w:sz w:val="24"/>
                <w:highlight w:val="none"/>
                <w:lang w:eastAsia="zh-CN" w:bidi="ar"/>
              </w:rPr>
              <w:t>（</w:t>
            </w:r>
            <w:r>
              <w:rPr>
                <w:rFonts w:hint="eastAsia" w:ascii="宋体" w:hAnsi="宋体" w:cs="宋体"/>
                <w:b/>
                <w:bCs/>
                <w:color w:val="auto"/>
                <w:kern w:val="0"/>
                <w:sz w:val="24"/>
                <w:highlight w:val="none"/>
                <w:lang w:bidi="ar"/>
              </w:rPr>
              <w:t>721178</w:t>
            </w:r>
            <w:r>
              <w:rPr>
                <w:rFonts w:hint="eastAsia" w:ascii="宋体" w:hAnsi="宋体" w:cs="宋体"/>
                <w:b/>
                <w:bCs/>
                <w:color w:val="auto"/>
                <w:kern w:val="0"/>
                <w:sz w:val="24"/>
                <w:highlight w:val="none"/>
                <w:lang w:val="en-US" w:eastAsia="zh-CN" w:bidi="ar"/>
              </w:rPr>
              <w:t>元）</w:t>
            </w:r>
          </w:p>
        </w:tc>
      </w:tr>
    </w:tbl>
    <w:p w14:paraId="72DDD92E">
      <w:pPr>
        <w:widowControl/>
        <w:autoSpaceDE w:val="0"/>
        <w:autoSpaceDN w:val="0"/>
        <w:spacing w:line="520" w:lineRule="exact"/>
        <w:ind w:firstLine="422" w:firstLineChars="200"/>
        <w:jc w:val="left"/>
        <w:textAlignment w:val="baseline"/>
        <w:rPr>
          <w:rFonts w:hint="eastAsia" w:ascii="宋体" w:hAnsi="宋体"/>
          <w:b/>
          <w:color w:val="auto"/>
          <w:kern w:val="0"/>
          <w:szCs w:val="21"/>
          <w:highlight w:val="none"/>
        </w:rPr>
      </w:pPr>
      <w:r>
        <w:rPr>
          <w:rFonts w:hint="eastAsia" w:ascii="宋体" w:hAnsi="宋体"/>
          <w:b/>
          <w:color w:val="auto"/>
          <w:kern w:val="0"/>
          <w:szCs w:val="21"/>
          <w:highlight w:val="none"/>
        </w:rPr>
        <w:t>注：1.螺栓为成套价格，中标人在签订合同时需分别注明螺栓、螺母、垫片等单项价格。</w:t>
      </w:r>
    </w:p>
    <w:p w14:paraId="5238754E">
      <w:pPr>
        <w:widowControl/>
        <w:autoSpaceDE w:val="0"/>
        <w:autoSpaceDN w:val="0"/>
        <w:spacing w:line="520" w:lineRule="exact"/>
        <w:ind w:firstLine="422" w:firstLineChars="200"/>
        <w:jc w:val="left"/>
        <w:textAlignment w:val="baseline"/>
        <w:rPr>
          <w:rFonts w:hint="eastAsia" w:ascii="宋体" w:hAnsi="宋体"/>
          <w:b/>
          <w:color w:val="auto"/>
          <w:kern w:val="0"/>
          <w:szCs w:val="21"/>
          <w:highlight w:val="none"/>
        </w:rPr>
      </w:pPr>
      <w:r>
        <w:rPr>
          <w:rFonts w:hint="eastAsia" w:ascii="宋体" w:hAnsi="宋体"/>
          <w:b/>
          <w:color w:val="auto"/>
          <w:kern w:val="0"/>
          <w:szCs w:val="21"/>
          <w:highlight w:val="none"/>
        </w:rPr>
        <w:t>2.以上采购数量为一年暂定数量，仅供评标用，实际供货与结算时有可能发生变化，实际供货以招标人通知为准。具体数量以招标人要求的实际合格供货量为准。投标报价均保留两位小数点。中标后所报单价不予调整。</w:t>
      </w:r>
    </w:p>
    <w:p w14:paraId="052A1152">
      <w:pPr>
        <w:pStyle w:val="12"/>
        <w:spacing w:after="0" w:line="520" w:lineRule="exact"/>
        <w:ind w:left="0" w:leftChars="0" w:firstLine="422"/>
        <w:jc w:val="left"/>
        <w:rPr>
          <w:rFonts w:hint="eastAsia" w:ascii="宋体" w:hAnsi="宋体"/>
          <w:b/>
          <w:color w:val="auto"/>
          <w:sz w:val="21"/>
          <w:szCs w:val="21"/>
          <w:highlight w:val="none"/>
        </w:rPr>
      </w:pPr>
      <w:r>
        <w:rPr>
          <w:rFonts w:hint="eastAsia" w:ascii="宋体" w:hAnsi="宋体"/>
          <w:b/>
          <w:color w:val="auto"/>
          <w:sz w:val="21"/>
          <w:szCs w:val="21"/>
          <w:highlight w:val="none"/>
        </w:rPr>
        <w:t>3.在后续实施过程中，如产生不在本次招标清单里的材料，由中标单位按比例核算和业主双方协商确定单价。</w:t>
      </w:r>
    </w:p>
    <w:p w14:paraId="443936F3">
      <w:pPr>
        <w:pStyle w:val="12"/>
        <w:spacing w:after="0" w:line="520" w:lineRule="exact"/>
        <w:ind w:left="0" w:leftChars="0" w:firstLine="422"/>
        <w:jc w:val="left"/>
        <w:rPr>
          <w:color w:val="auto"/>
          <w:highlight w:val="none"/>
        </w:rPr>
      </w:pPr>
      <w:r>
        <w:rPr>
          <w:rFonts w:hint="eastAsia" w:hAnsi="宋体"/>
          <w:b/>
          <w:color w:val="auto"/>
          <w:sz w:val="21"/>
          <w:szCs w:val="21"/>
          <w:highlight w:val="none"/>
        </w:rPr>
        <w:t>4.</w:t>
      </w:r>
      <w:r>
        <w:rPr>
          <w:rFonts w:hint="eastAsia" w:ascii="宋体" w:hAnsi="宋体"/>
          <w:b/>
          <w:color w:val="auto"/>
          <w:sz w:val="21"/>
          <w:szCs w:val="21"/>
          <w:highlight w:val="none"/>
        </w:rPr>
        <w:t>中标单位将货物运送至招标人指定地点后，招标</w:t>
      </w:r>
      <w:r>
        <w:rPr>
          <w:rFonts w:hint="eastAsia" w:hAnsi="宋体"/>
          <w:b/>
          <w:color w:val="auto"/>
          <w:sz w:val="21"/>
          <w:szCs w:val="21"/>
          <w:highlight w:val="none"/>
        </w:rPr>
        <w:t>人</w:t>
      </w:r>
      <w:r>
        <w:rPr>
          <w:rFonts w:hint="eastAsia" w:ascii="宋体" w:hAnsi="宋体"/>
          <w:b/>
          <w:color w:val="auto"/>
          <w:sz w:val="21"/>
          <w:szCs w:val="21"/>
          <w:highlight w:val="none"/>
        </w:rPr>
        <w:t>将随机抽取货物送至第三方检测机构进行检测，其过程中发生的检测费用及与之相关的费用均包含在投标报价中。</w:t>
      </w:r>
    </w:p>
    <w:p w14:paraId="4DE43A6A">
      <w:pPr>
        <w:spacing w:before="156" w:beforeLines="50" w:after="156" w:afterLines="50" w:line="440" w:lineRule="exact"/>
        <w:jc w:val="center"/>
        <w:outlineLvl w:val="2"/>
        <w:rPr>
          <w:rFonts w:hint="eastAsia" w:ascii="宋体" w:hAnsi="宋体" w:cs="宋体"/>
          <w:b/>
          <w:color w:val="auto"/>
          <w:sz w:val="28"/>
          <w:szCs w:val="28"/>
          <w:highlight w:val="none"/>
        </w:rPr>
      </w:pPr>
      <w:r>
        <w:rPr>
          <w:rFonts w:hint="eastAsia" w:ascii="宋体" w:hAnsi="宋体" w:cs="宋体"/>
          <w:b/>
          <w:color w:val="auto"/>
          <w:sz w:val="28"/>
          <w:szCs w:val="28"/>
          <w:highlight w:val="none"/>
        </w:rPr>
        <w:t>二、技术参数要求</w:t>
      </w:r>
    </w:p>
    <w:p w14:paraId="0795A6C1">
      <w:pPr>
        <w:snapToGrid w:val="0"/>
        <w:spacing w:line="520" w:lineRule="exact"/>
        <w:ind w:right="-212" w:rightChars="-101"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钢制焊接法兰片、法兰盲板技术要求：</w:t>
      </w:r>
    </w:p>
    <w:p w14:paraId="1B565052">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1.适用范围</w:t>
      </w:r>
    </w:p>
    <w:p w14:paraId="59541535">
      <w:pPr>
        <w:snapToGrid w:val="0"/>
        <w:spacing w:line="52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本技术要求适用于市政供水管网工程钢制板式平焊法兰片（</w:t>
      </w:r>
      <w:r>
        <w:rPr>
          <w:rFonts w:ascii="宋体" w:hAnsi="宋体" w:cs="宋体"/>
          <w:color w:val="auto"/>
          <w:szCs w:val="21"/>
          <w:highlight w:val="none"/>
        </w:rPr>
        <w:t>PL</w:t>
      </w:r>
      <w:r>
        <w:rPr>
          <w:rFonts w:hint="eastAsia" w:ascii="宋体" w:hAnsi="宋体" w:cs="宋体"/>
          <w:color w:val="auto"/>
          <w:szCs w:val="21"/>
          <w:highlight w:val="none"/>
        </w:rPr>
        <w:t>）、钢制法兰盲板（法兰盖</w:t>
      </w:r>
      <w:r>
        <w:rPr>
          <w:rFonts w:ascii="宋体" w:hAnsi="宋体" w:cs="宋体"/>
          <w:color w:val="auto"/>
          <w:szCs w:val="21"/>
          <w:highlight w:val="none"/>
        </w:rPr>
        <w:t xml:space="preserve"> BL</w:t>
      </w:r>
      <w:r>
        <w:rPr>
          <w:rFonts w:hint="eastAsia" w:ascii="宋体" w:hAnsi="宋体" w:cs="宋体"/>
          <w:color w:val="auto"/>
          <w:szCs w:val="21"/>
          <w:highlight w:val="none"/>
        </w:rPr>
        <w:t>）的供货、制造、检验、试验、防腐、包装及交付；介质为市政自来水，公称压力不低于 1.0Mpa，工作温度</w:t>
      </w:r>
      <w:r>
        <w:rPr>
          <w:rFonts w:ascii="宋体" w:hAnsi="宋体" w:cs="宋体"/>
          <w:color w:val="auto"/>
          <w:szCs w:val="21"/>
          <w:highlight w:val="none"/>
        </w:rPr>
        <w:t xml:space="preserve"> 0</w:t>
      </w:r>
      <w:r>
        <w:rPr>
          <w:rFonts w:ascii="Cambria Math" w:hAnsi="Cambria Math" w:cs="Cambria Math"/>
          <w:color w:val="auto"/>
          <w:szCs w:val="21"/>
          <w:highlight w:val="none"/>
        </w:rPr>
        <w:t>‑</w:t>
      </w:r>
      <w:r>
        <w:rPr>
          <w:rFonts w:ascii="宋体" w:hAnsi="宋体" w:cs="宋体"/>
          <w:color w:val="auto"/>
          <w:szCs w:val="21"/>
          <w:highlight w:val="none"/>
        </w:rPr>
        <w:t>60</w:t>
      </w:r>
      <w:r>
        <w:rPr>
          <w:rFonts w:hint="eastAsia" w:ascii="宋体" w:hAnsi="宋体" w:cs="宋体"/>
          <w:color w:val="auto"/>
          <w:szCs w:val="21"/>
          <w:highlight w:val="none"/>
        </w:rPr>
        <w:t>℃。</w:t>
      </w:r>
    </w:p>
    <w:p w14:paraId="09BE6DAC">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 执行标准（全部采用现行有效版本）</w:t>
      </w:r>
    </w:p>
    <w:p w14:paraId="4862AC54">
      <w:pPr>
        <w:snapToGrid w:val="0"/>
        <w:spacing w:line="52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w:t>
      </w:r>
      <w:r>
        <w:rPr>
          <w:rFonts w:ascii="宋体" w:hAnsi="宋体" w:cs="宋体"/>
          <w:color w:val="auto"/>
          <w:szCs w:val="21"/>
          <w:highlight w:val="none"/>
        </w:rPr>
        <w:t>GB/T 9124.1</w:t>
      </w:r>
      <w:r>
        <w:rPr>
          <w:rFonts w:ascii="Cambria Math" w:hAnsi="Cambria Math" w:cs="Cambria Math"/>
          <w:color w:val="auto"/>
          <w:szCs w:val="21"/>
          <w:highlight w:val="none"/>
        </w:rPr>
        <w:t>‑</w:t>
      </w:r>
      <w:r>
        <w:rPr>
          <w:rFonts w:ascii="宋体" w:hAnsi="宋体" w:cs="宋体"/>
          <w:color w:val="auto"/>
          <w:szCs w:val="21"/>
          <w:highlight w:val="none"/>
        </w:rPr>
        <w:t>2019</w:t>
      </w:r>
      <w:r>
        <w:rPr>
          <w:rFonts w:hint="eastAsia" w:ascii="宋体" w:hAnsi="宋体" w:cs="宋体"/>
          <w:color w:val="auto"/>
          <w:szCs w:val="21"/>
          <w:highlight w:val="none"/>
        </w:rPr>
        <w:t>《钢制管法兰</w:t>
      </w:r>
      <w:r>
        <w:rPr>
          <w:rFonts w:ascii="宋体" w:hAnsi="宋体" w:cs="宋体"/>
          <w:color w:val="auto"/>
          <w:szCs w:val="21"/>
          <w:highlight w:val="none"/>
        </w:rPr>
        <w:t xml:space="preserve"> </w:t>
      </w:r>
      <w:r>
        <w:rPr>
          <w:rFonts w:hint="eastAsia" w:ascii="宋体" w:hAnsi="宋体" w:cs="宋体"/>
          <w:color w:val="auto"/>
          <w:szCs w:val="21"/>
          <w:highlight w:val="none"/>
        </w:rPr>
        <w:t>第</w:t>
      </w:r>
      <w:r>
        <w:rPr>
          <w:rFonts w:ascii="宋体" w:hAnsi="宋体" w:cs="宋体"/>
          <w:color w:val="auto"/>
          <w:szCs w:val="21"/>
          <w:highlight w:val="none"/>
        </w:rPr>
        <w:t xml:space="preserve"> 1 </w:t>
      </w:r>
      <w:r>
        <w:rPr>
          <w:rFonts w:hint="eastAsia" w:ascii="宋体" w:hAnsi="宋体" w:cs="宋体"/>
          <w:color w:val="auto"/>
          <w:szCs w:val="21"/>
          <w:highlight w:val="none"/>
        </w:rPr>
        <w:t>部分：</w:t>
      </w:r>
      <w:r>
        <w:rPr>
          <w:rFonts w:ascii="宋体" w:hAnsi="宋体" w:cs="宋体"/>
          <w:color w:val="auto"/>
          <w:szCs w:val="21"/>
          <w:highlight w:val="none"/>
        </w:rPr>
        <w:t xml:space="preserve">PN </w:t>
      </w:r>
      <w:r>
        <w:rPr>
          <w:rFonts w:hint="eastAsia" w:ascii="宋体" w:hAnsi="宋体" w:cs="宋体"/>
          <w:color w:val="auto"/>
          <w:szCs w:val="21"/>
          <w:highlight w:val="none"/>
        </w:rPr>
        <w:t>系列》技术条件</w:t>
      </w:r>
    </w:p>
    <w:p w14:paraId="0C79E10B">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 GB/T 700《碳素结构钢》</w:t>
      </w:r>
    </w:p>
    <w:p w14:paraId="3ABB2442">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 JB/T4730 承压设备无损检测</w:t>
      </w:r>
    </w:p>
    <w:p w14:paraId="386AD9D5">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 GB/T 8923 涂覆涂料前钢材表面处理 表面清洁度的目视评定 </w:t>
      </w:r>
    </w:p>
    <w:p w14:paraId="4CEC072E">
      <w:pPr>
        <w:snapToGrid w:val="0"/>
        <w:spacing w:line="52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所有产品必须锻造生产，严禁铸造法兰，不允许钢板切割卷制法兰。</w:t>
      </w:r>
    </w:p>
    <w:p w14:paraId="7511DA82">
      <w:pPr>
        <w:snapToGrid w:val="0"/>
        <w:spacing w:line="52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3.材料技术要求</w:t>
      </w:r>
    </w:p>
    <w:p w14:paraId="1BEBEE27">
      <w:pPr>
        <w:snapToGrid w:val="0"/>
        <w:spacing w:line="520" w:lineRule="exact"/>
        <w:ind w:right="-212" w:rightChars="-101"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3.1 </w:t>
      </w:r>
      <w:r>
        <w:rPr>
          <w:rFonts w:ascii="宋体" w:hAnsi="宋体" w:cs="宋体"/>
          <w:color w:val="auto"/>
          <w:szCs w:val="21"/>
          <w:highlight w:val="none"/>
        </w:rPr>
        <w:t>法兰片</w:t>
      </w:r>
      <w:r>
        <w:rPr>
          <w:rFonts w:hint="eastAsia" w:ascii="宋体" w:hAnsi="宋体" w:cs="宋体"/>
          <w:color w:val="auto"/>
          <w:szCs w:val="21"/>
          <w:highlight w:val="none"/>
        </w:rPr>
        <w:t>材质选用 20#钢</w:t>
      </w:r>
      <w:r>
        <w:rPr>
          <w:rFonts w:ascii="宋体" w:hAnsi="宋体" w:cs="宋体"/>
          <w:color w:val="auto"/>
          <w:szCs w:val="21"/>
          <w:highlight w:val="none"/>
        </w:rPr>
        <w:t>锻件</w:t>
      </w:r>
      <w:r>
        <w:rPr>
          <w:rFonts w:hint="eastAsia" w:ascii="宋体" w:hAnsi="宋体" w:cs="宋体"/>
          <w:color w:val="auto"/>
          <w:szCs w:val="21"/>
          <w:highlight w:val="none"/>
        </w:rPr>
        <w:t>，</w:t>
      </w:r>
      <w:r>
        <w:rPr>
          <w:rFonts w:ascii="宋体" w:hAnsi="宋体" w:cs="宋体"/>
          <w:color w:val="auto"/>
          <w:szCs w:val="21"/>
          <w:highlight w:val="none"/>
        </w:rPr>
        <w:t>法兰盲板材质</w:t>
      </w:r>
      <w:r>
        <w:rPr>
          <w:rFonts w:hint="eastAsia" w:ascii="宋体" w:hAnsi="宋体" w:cs="宋体"/>
          <w:color w:val="auto"/>
          <w:szCs w:val="21"/>
          <w:highlight w:val="none"/>
        </w:rPr>
        <w:t>选用</w:t>
      </w:r>
      <w:r>
        <w:rPr>
          <w:rFonts w:ascii="宋体" w:hAnsi="宋体" w:cs="宋体"/>
          <w:color w:val="auto"/>
          <w:szCs w:val="21"/>
          <w:highlight w:val="none"/>
        </w:rPr>
        <w:t>Q235</w:t>
      </w:r>
      <w:r>
        <w:rPr>
          <w:rFonts w:ascii="宋体" w:hAnsi="宋体" w:cs="宋体"/>
          <w:color w:val="auto"/>
          <w:szCs w:val="21"/>
          <w:highlight w:val="none"/>
        </w:rPr>
        <w:noBreakHyphen/>
      </w:r>
      <w:r>
        <w:rPr>
          <w:rFonts w:ascii="宋体" w:hAnsi="宋体" w:cs="宋体"/>
          <w:color w:val="auto"/>
          <w:szCs w:val="21"/>
          <w:highlight w:val="none"/>
        </w:rPr>
        <w:t>B锻件</w:t>
      </w:r>
      <w:r>
        <w:rPr>
          <w:rFonts w:hint="eastAsia" w:ascii="宋体" w:hAnsi="宋体" w:cs="宋体"/>
          <w:color w:val="auto"/>
          <w:szCs w:val="21"/>
          <w:highlight w:val="none"/>
        </w:rPr>
        <w:t>。</w:t>
      </w:r>
    </w:p>
    <w:p w14:paraId="1340CAC0">
      <w:pPr>
        <w:snapToGrid w:val="0"/>
        <w:spacing w:line="520" w:lineRule="exact"/>
        <w:ind w:right="-212" w:rightChars="-101"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3.2不允许使用回炉料、边角料锻造；同一批次提供光谱或力学性能复验报告。</w:t>
      </w:r>
    </w:p>
    <w:p w14:paraId="37AEEA70">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3.3盲板厚度严格按对应 PN 等级国标厚度，不得减薄；大口径 DN≥600 盲板必要时增加加强筋，满足管网水压试验、运行承压要求。</w:t>
      </w:r>
    </w:p>
    <w:p w14:paraId="4C64977D">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3.4密封面型式：RF 突面密封；粗糙度 Ra≤3.2μm，无划痕、磕碰、凹坑，密封面禁止刷漆、涂防腐涂层，只允许涂薄层防锈油保护。</w:t>
      </w:r>
    </w:p>
    <w:p w14:paraId="03047DA6">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3.5螺栓孔位置、孔径、螺栓孔中心圆、外径、内径、法兰厚度、凸台高度全部符合</w:t>
      </w:r>
      <w:r>
        <w:rPr>
          <w:rFonts w:hint="eastAsia" w:ascii="宋体" w:hAnsi="宋体" w:cs="宋体"/>
          <w:color w:val="auto"/>
          <w:szCs w:val="21"/>
          <w:highlight w:val="none"/>
          <w:lang w:val="en-US" w:eastAsia="zh-CN"/>
        </w:rPr>
        <w:t>国标对应</w:t>
      </w:r>
      <w:r>
        <w:rPr>
          <w:rFonts w:ascii="宋体" w:hAnsi="宋体" w:cs="宋体"/>
          <w:color w:val="auto"/>
          <w:szCs w:val="21"/>
          <w:highlight w:val="none"/>
        </w:rPr>
        <w:t xml:space="preserve">PN </w:t>
      </w:r>
      <w:r>
        <w:rPr>
          <w:rFonts w:hint="eastAsia" w:ascii="宋体" w:hAnsi="宋体" w:cs="宋体"/>
          <w:color w:val="auto"/>
          <w:szCs w:val="21"/>
          <w:highlight w:val="none"/>
        </w:rPr>
        <w:t>等级，螺栓孔跨中布置，尺寸公差满足</w:t>
      </w:r>
      <w:r>
        <w:rPr>
          <w:rFonts w:ascii="宋体" w:hAnsi="宋体" w:cs="宋体"/>
          <w:color w:val="auto"/>
          <w:szCs w:val="21"/>
          <w:highlight w:val="none"/>
        </w:rPr>
        <w:t xml:space="preserve"> GB/T9124.1</w:t>
      </w:r>
      <w:r>
        <w:rPr>
          <w:rFonts w:ascii="Cambria Math" w:hAnsi="Cambria Math" w:cs="Cambria Math"/>
          <w:color w:val="auto"/>
          <w:szCs w:val="21"/>
          <w:highlight w:val="none"/>
        </w:rPr>
        <w:t>‑</w:t>
      </w:r>
      <w:r>
        <w:rPr>
          <w:rFonts w:ascii="宋体" w:hAnsi="宋体" w:cs="宋体"/>
          <w:color w:val="auto"/>
          <w:szCs w:val="21"/>
          <w:highlight w:val="none"/>
        </w:rPr>
        <w:t xml:space="preserve">2019 </w:t>
      </w:r>
      <w:r>
        <w:rPr>
          <w:rFonts w:hint="eastAsia" w:ascii="宋体" w:hAnsi="宋体" w:cs="宋体"/>
          <w:color w:val="auto"/>
          <w:szCs w:val="21"/>
          <w:highlight w:val="none"/>
        </w:rPr>
        <w:t>要求。</w:t>
      </w:r>
    </w:p>
    <w:p w14:paraId="362BEF5E">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 制造工艺要求</w:t>
      </w:r>
    </w:p>
    <w:p w14:paraId="4E8AAEFB">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4.1坯料采用模锻 / 自由锻成型，锻件完成后进行正火热处理消除内应力，不得存在夹层、裂纹、气孔、重皮、折叠等缺陷。</w:t>
      </w:r>
    </w:p>
    <w:p w14:paraId="3967B81D">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4.2全部数控机加工；法兰内孔与钢管匹配，平焊法兰满足钢管插入双面焊接工艺。</w:t>
      </w:r>
    </w:p>
    <w:p w14:paraId="5B0EFDB6">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4.3法兰盲板（法兰盖）为整体锻件，不得拼接、补焊。</w:t>
      </w:r>
    </w:p>
    <w:p w14:paraId="69280C67">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4.4外观：法兰盘平面平整无翘曲变形；边缘无毛刺飞边；不得补焊修补缺陷件。</w:t>
      </w:r>
    </w:p>
    <w:p w14:paraId="1DAC1B2A">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4.5标识：每件产品必须钢印永久标识：公称通径 DN、公称压力 PN、材质牌号、制造厂代号；标识不得打在密封面及螺栓孔位置。</w:t>
      </w:r>
    </w:p>
    <w:p w14:paraId="1DBB2494">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w:t>
      </w:r>
      <w:r>
        <w:rPr>
          <w:color w:val="auto"/>
          <w:highlight w:val="none"/>
        </w:rPr>
        <w:t xml:space="preserve"> </w:t>
      </w:r>
      <w:r>
        <w:rPr>
          <w:rFonts w:ascii="宋体" w:hAnsi="宋体" w:cs="宋体"/>
          <w:color w:val="auto"/>
          <w:szCs w:val="21"/>
          <w:highlight w:val="none"/>
        </w:rPr>
        <w:t>密封面涂抹可剥离防锈保护油，装配塑料保护盖板，防止运输磕碰损伤密封面。</w:t>
      </w:r>
    </w:p>
    <w:p w14:paraId="6B83C3EC">
      <w:pPr>
        <w:snapToGrid w:val="0"/>
        <w:spacing w:line="520" w:lineRule="exact"/>
        <w:ind w:right="-212" w:rightChars="-101"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螺栓技术要求：</w:t>
      </w:r>
    </w:p>
    <w:p w14:paraId="192B2B64">
      <w:pPr>
        <w:snapToGrid w:val="0"/>
        <w:spacing w:line="52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1、外六角螺栓、不锈钢外六角螺栓须执行或优于GB/T 5783《紧固件 六角头螺栓 全螺纹》最新国家标准要求；六角螺母，不锈钢六角螺母须执行或优于GB/T 6170《1 型六角螺母》最新国家标准要求；平垫圈及弹簧垫圈须执行或优于GB/T 97.1《平垫圈A级》和GB/T 94.1《弹性垫圈技术条件 弹簧垫圈》最新国家标准要求；金属膨胀螺栓须执行或优于JB/ZQ 4763《膨胀螺栓》最新标准要求。</w:t>
      </w:r>
    </w:p>
    <w:p w14:paraId="3703B759">
      <w:pPr>
        <w:snapToGrid w:val="0"/>
        <w:spacing w:line="52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外六角螺栓，六角螺母以及金属膨胀紧固件材质选用Q195低碳钢热轧圆盘条或Q235低碳钢热轧圆盘条或SWRCH8A 热轧空冷盘条（投标人须明确所投产品材质），表面应热浸镀锌处理；螺栓性能等级为8.8级，螺母性能等级为8级。</w:t>
      </w:r>
    </w:p>
    <w:p w14:paraId="50A94F11">
      <w:pPr>
        <w:pStyle w:val="12"/>
        <w:spacing w:after="0" w:line="520" w:lineRule="exact"/>
        <w:ind w:left="0" w:leftChars="0"/>
        <w:jc w:val="left"/>
        <w:rPr>
          <w:rFonts w:hint="eastAsia" w:ascii="宋体" w:hAnsi="宋体" w:cs="宋体"/>
          <w:bCs/>
          <w:color w:val="auto"/>
          <w:szCs w:val="21"/>
          <w:highlight w:val="none"/>
        </w:rPr>
      </w:pPr>
      <w:r>
        <w:rPr>
          <w:rFonts w:hint="eastAsia" w:ascii="宋体" w:hAnsi="宋体" w:cs="宋体"/>
          <w:bCs/>
          <w:color w:val="auto"/>
          <w:kern w:val="2"/>
          <w:sz w:val="21"/>
          <w:szCs w:val="21"/>
          <w:highlight w:val="none"/>
        </w:rPr>
        <w:t>3、应符合科学、牢固、经济、美观的要求。以确保在正常的流通过程中，能抗御环境条件的影响而不发生破损、损坏等现象，保证安全、完整、迅速地将产品运至目的地。 产品运输包装材料、辅助材料和容器，均应符合有关国家标准的规定。无标准的材料和容器须经试验验证，其性能应能满足流通环境条件的要求。产品包装箱、盒（不允许袋装散装）外表应有标志或标签。标志应正确、清晰、齐全、牢固。内货与标志一致。标志一般应印刷或标打，也允许拴挂或粘贴，标志不得有褪色、脱落。</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标志内容如下：</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a）紧固件制造者（或经销者）名称；</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b）紧固件产品名称（全称或简称）；</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c）紧固件产品标准规定的标记；</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d）紧固件产品数量或净重；</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e）制造或出厂日期；</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f） 产品质量标记；</w:t>
      </w:r>
      <w:r>
        <w:rPr>
          <w:rFonts w:hint="eastAsia" w:ascii="宋体" w:hAnsi="宋体" w:cs="宋体"/>
          <w:bCs/>
          <w:color w:val="auto"/>
          <w:kern w:val="2"/>
          <w:sz w:val="21"/>
          <w:szCs w:val="21"/>
          <w:highlight w:val="none"/>
        </w:rPr>
        <w:br w:type="textWrapping"/>
      </w:r>
      <w:r>
        <w:rPr>
          <w:rFonts w:hint="eastAsia" w:ascii="宋体" w:hAnsi="宋体" w:cs="宋体"/>
          <w:bCs/>
          <w:color w:val="auto"/>
          <w:kern w:val="2"/>
          <w:sz w:val="21"/>
          <w:szCs w:val="21"/>
          <w:highlight w:val="none"/>
        </w:rPr>
        <w:t>      g）其他：有关标准或运输部门规定的，或制造、销售和使用者要求的标志</w:t>
      </w:r>
    </w:p>
    <w:p w14:paraId="3C2693A9">
      <w:pPr>
        <w:spacing w:before="156" w:beforeLines="50" w:after="156" w:afterLines="50" w:line="440" w:lineRule="exact"/>
        <w:jc w:val="center"/>
        <w:outlineLvl w:val="2"/>
        <w:rPr>
          <w:rFonts w:hint="eastAsia" w:ascii="宋体" w:hAnsi="宋体" w:cs="宋体"/>
          <w:b/>
          <w:color w:val="auto"/>
          <w:sz w:val="28"/>
          <w:szCs w:val="28"/>
          <w:highlight w:val="none"/>
        </w:rPr>
      </w:pPr>
      <w:r>
        <w:rPr>
          <w:rFonts w:hint="eastAsia" w:ascii="宋体" w:hAnsi="宋体" w:cs="宋体"/>
          <w:b/>
          <w:color w:val="auto"/>
          <w:sz w:val="28"/>
          <w:szCs w:val="28"/>
          <w:highlight w:val="none"/>
        </w:rPr>
        <w:t>三、商务要求</w:t>
      </w:r>
    </w:p>
    <w:p w14:paraId="42C2DDFF">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（一）货物的生产、维修、检验、验收等按照以下原则执行：有国家标准的执行国家标准；无国家标准的执行行业标准；无行业标准的执行地方标准；无地方标准的执行企业标准。</w:t>
      </w:r>
    </w:p>
    <w:p w14:paraId="01634371">
      <w:pPr>
        <w:spacing w:line="52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二）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3ABD0C1D">
      <w:pPr>
        <w:spacing w:line="52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（三）</w:t>
      </w:r>
      <w:r>
        <w:rPr>
          <w:rFonts w:hint="eastAsia" w:ascii="宋体" w:hAnsi="宋体" w:cs="宋体"/>
          <w:bCs/>
          <w:color w:val="auto"/>
          <w:szCs w:val="21"/>
          <w:highlight w:val="none"/>
        </w:rPr>
        <w:t>供货时所有货物</w:t>
      </w:r>
      <w:r>
        <w:rPr>
          <w:rFonts w:hint="eastAsia" w:ascii="宋体" w:hAnsi="宋体" w:cs="宋体"/>
          <w:color w:val="auto"/>
          <w:szCs w:val="21"/>
          <w:highlight w:val="none"/>
        </w:rPr>
        <w:t>（包括零部件）</w:t>
      </w:r>
      <w:r>
        <w:rPr>
          <w:rFonts w:hint="eastAsia" w:ascii="宋体" w:hAnsi="宋体" w:cs="宋体"/>
          <w:bCs/>
          <w:color w:val="auto"/>
          <w:szCs w:val="21"/>
          <w:highlight w:val="none"/>
        </w:rPr>
        <w:t>须为</w:t>
      </w:r>
      <w:r>
        <w:rPr>
          <w:rFonts w:hint="eastAsia" w:ascii="宋体" w:hAnsi="宋体" w:cs="宋体"/>
          <w:color w:val="auto"/>
          <w:szCs w:val="21"/>
          <w:highlight w:val="none"/>
        </w:rPr>
        <w:t>全新的、未使用过的</w:t>
      </w:r>
      <w:r>
        <w:rPr>
          <w:rFonts w:hint="eastAsia" w:ascii="宋体" w:hAnsi="宋体" w:cs="宋体"/>
          <w:bCs/>
          <w:color w:val="auto"/>
          <w:szCs w:val="21"/>
          <w:highlight w:val="none"/>
        </w:rPr>
        <w:t>原装正品，</w:t>
      </w:r>
      <w:r>
        <w:rPr>
          <w:rFonts w:hint="eastAsia" w:ascii="宋体" w:hAnsi="宋体" w:cs="宋体"/>
          <w:color w:val="auto"/>
          <w:szCs w:val="21"/>
          <w:highlight w:val="none"/>
        </w:rPr>
        <w:t>并完全符合国家质量标准，</w:t>
      </w:r>
      <w:r>
        <w:rPr>
          <w:rFonts w:hint="eastAsia" w:ascii="宋体" w:hAnsi="宋体" w:cs="宋体"/>
          <w:bCs/>
          <w:color w:val="auto"/>
          <w:szCs w:val="21"/>
          <w:highlight w:val="none"/>
        </w:rPr>
        <w:t>提供厂家出具的合格证书、有国家强制性认证要求的产品须提供相应证书，</w:t>
      </w:r>
      <w:r>
        <w:rPr>
          <w:rFonts w:hint="eastAsia" w:ascii="宋体" w:hAnsi="宋体" w:cs="宋体"/>
          <w:color w:val="auto"/>
          <w:szCs w:val="21"/>
          <w:highlight w:val="none"/>
        </w:rPr>
        <w:t xml:space="preserve">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宋体" w:cs="宋体"/>
          <w:b/>
          <w:color w:val="auto"/>
          <w:szCs w:val="21"/>
          <w:highlight w:val="none"/>
        </w:rPr>
        <w:t>(厂家出具的合格证书供货时提供)</w:t>
      </w:r>
    </w:p>
    <w:p w14:paraId="14E22397">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（四）技术支持</w:t>
      </w:r>
    </w:p>
    <w:p w14:paraId="032CD543">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1、中标人应向招标人提供全方位、及时而有效的技术支持和服务。</w:t>
      </w:r>
    </w:p>
    <w:p w14:paraId="7FF8B481">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2、中标人负责供货、调试等。</w:t>
      </w:r>
    </w:p>
    <w:p w14:paraId="382ED43E">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中标人负责将货物的全部有关技术文件（外文应提供中文翻译资料，下同）、施工图纸、资料、测试、验收报告等汇集成册交付招标人，涉及进口的产品或部件配件软件等须提供中国海关进口货物报关单、完税证明及商检证明等材料。</w:t>
      </w:r>
    </w:p>
    <w:p w14:paraId="5BFC47E3">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（五）质保及售后服务：</w:t>
      </w:r>
    </w:p>
    <w:p w14:paraId="2AAC338B">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1、中标人须提供至少</w:t>
      </w:r>
      <w:r>
        <w:rPr>
          <w:rFonts w:hint="eastAsia" w:ascii="宋体" w:hAnsi="宋体" w:cs="宋体"/>
          <w:color w:val="auto"/>
          <w:szCs w:val="21"/>
          <w:highlight w:val="none"/>
          <w:u w:val="single"/>
        </w:rPr>
        <w:t xml:space="preserve"> 一 </w:t>
      </w:r>
      <w:r>
        <w:rPr>
          <w:rFonts w:hint="eastAsia" w:ascii="宋体" w:hAnsi="宋体" w:cs="宋体"/>
          <w:color w:val="auto"/>
          <w:szCs w:val="21"/>
          <w:highlight w:val="none"/>
        </w:rPr>
        <w:t>年的免费质保服务，所有质保费用均已包含在投标报价中，质保期满后，应提供优先的有偿售后服务及按不高于投标文件中主要配件、易损件清单所报价格供应原厂零配件等。</w:t>
      </w:r>
    </w:p>
    <w:p w14:paraId="20EF36D0">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2、中标人须设有维修服务电话，负责解答用户在货物使用中遇到的问题，及时提出解决问题的建议和操作方法。</w:t>
      </w:r>
    </w:p>
    <w:p w14:paraId="5F8DC062">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（六）培训：中标人负责为招标方操作人员提供操作及维护培训，直至其能熟练独立操作及日常维护与保养，简单故障诊断与排除。</w:t>
      </w:r>
    </w:p>
    <w:p w14:paraId="19AD1D83">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七）交货期:合同有效期为两年，招标人可以根据产品质量、供货时间及售后等因素续签一年，具体以合同签订时间为准。合同签订并接到供货通知后法兰片在10日内，配套标准紧固件在7日内必须按照招标人要求供货至指定地点。</w:t>
      </w:r>
    </w:p>
    <w:p w14:paraId="4D8B9CCC">
      <w:pPr>
        <w:spacing w:line="52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（八）交货地点：货物运至招标人指定地点。</w:t>
      </w:r>
    </w:p>
    <w:p w14:paraId="11F8E679">
      <w:pPr>
        <w:pStyle w:val="3"/>
        <w:keepNext w:val="0"/>
        <w:keepLines w:val="0"/>
        <w:numPr>
          <w:ilvl w:val="0"/>
          <w:numId w:val="0"/>
        </w:numPr>
        <w:tabs>
          <w:tab w:val="left" w:pos="7545"/>
        </w:tabs>
        <w:spacing w:line="52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（九）验收：</w:t>
      </w:r>
    </w:p>
    <w:p w14:paraId="6FFDE84D">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招标人和相关部门按照国家规定标准验收，没有国家标准的按行业标准验收，无行业标准的按地方或企业标准验收，中标人予以配合。涉及安全、消防、环保等其他需要由质检或行业主管部门验收的项目，招标人须约请相关部门和专家参加项目验收。</w:t>
      </w:r>
    </w:p>
    <w:p w14:paraId="22D2DC57">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投标人提供的必要文件。</w:t>
      </w:r>
    </w:p>
    <w:p w14:paraId="73FA7775">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材料运至指定地点后，招标人将组织验收，若所供货物质量、规格、参数等任意一项与招标文件不符的，将扣除质保金的50%作为违约金；第二次随机抽样后发现仍有不合格的，质保金将不予支付，同时招标人有权单方解除合同，并报送滁州市公共资源交易监督管理局加入滁州市招投标黑名单。</w:t>
      </w:r>
    </w:p>
    <w:p w14:paraId="10B16A5E">
      <w:pPr>
        <w:spacing w:line="5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（十）付款方式：见投标人须知前附表。</w:t>
      </w:r>
    </w:p>
    <w:p w14:paraId="5F67B700">
      <w:pPr>
        <w:rPr>
          <w:rFonts w:ascii="宋体"/>
          <w:b/>
          <w:bCs/>
          <w:color w:val="auto"/>
          <w:sz w:val="36"/>
          <w:szCs w:val="52"/>
          <w:highlight w:val="none"/>
        </w:rPr>
      </w:pPr>
    </w:p>
    <w:p w14:paraId="6BD695E9">
      <w:pPr>
        <w:rPr>
          <w:rFonts w:ascii="宋体"/>
          <w:b/>
          <w:bCs/>
          <w:color w:val="auto"/>
          <w:sz w:val="36"/>
          <w:szCs w:val="52"/>
          <w:highlight w:val="none"/>
        </w:rPr>
      </w:pPr>
      <w:r>
        <w:rPr>
          <w:rFonts w:hint="eastAsia" w:ascii="宋体"/>
          <w:b/>
          <w:bCs/>
          <w:color w:val="auto"/>
          <w:sz w:val="36"/>
          <w:szCs w:val="52"/>
          <w:highlight w:val="none"/>
        </w:rPr>
        <w:br w:type="page"/>
      </w:r>
    </w:p>
    <w:p w14:paraId="600BE527">
      <w:pPr>
        <w:spacing w:line="440" w:lineRule="exact"/>
        <w:ind w:firstLine="542" w:firstLineChars="150"/>
        <w:jc w:val="center"/>
        <w:rPr>
          <w:rFonts w:ascii="宋体"/>
          <w:color w:val="auto"/>
          <w:szCs w:val="32"/>
          <w:highlight w:val="none"/>
        </w:rPr>
      </w:pPr>
      <w:r>
        <w:rPr>
          <w:rFonts w:hint="eastAsia" w:ascii="宋体"/>
          <w:b/>
          <w:bCs/>
          <w:color w:val="auto"/>
          <w:sz w:val="36"/>
          <w:szCs w:val="52"/>
          <w:highlight w:val="none"/>
        </w:rPr>
        <w:t>第五章  合同条款及格式</w:t>
      </w:r>
      <w:bookmarkEnd w:id="81"/>
      <w:bookmarkEnd w:id="82"/>
    </w:p>
    <w:p w14:paraId="08C2EA82">
      <w:pPr>
        <w:pStyle w:val="3"/>
        <w:numPr>
          <w:ilvl w:val="0"/>
          <w:numId w:val="9"/>
        </w:numPr>
        <w:ind w:left="1260" w:hanging="420"/>
        <w:jc w:val="center"/>
        <w:rPr>
          <w:b/>
          <w:bCs/>
          <w:color w:val="auto"/>
          <w:szCs w:val="24"/>
          <w:highlight w:val="none"/>
        </w:rPr>
      </w:pPr>
      <w:bookmarkStart w:id="83" w:name="_Toc11690"/>
      <w:bookmarkStart w:id="84" w:name="_Toc4982"/>
      <w:bookmarkStart w:id="85" w:name="_Toc29433"/>
      <w:bookmarkStart w:id="86" w:name="_Toc449028948"/>
      <w:r>
        <w:rPr>
          <w:rFonts w:hint="eastAsia"/>
          <w:b/>
          <w:bCs/>
          <w:color w:val="auto"/>
          <w:szCs w:val="24"/>
          <w:highlight w:val="none"/>
        </w:rPr>
        <w:t>合同协议书（格式）</w:t>
      </w:r>
      <w:bookmarkEnd w:id="83"/>
      <w:bookmarkEnd w:id="84"/>
      <w:bookmarkEnd w:id="85"/>
    </w:p>
    <w:p w14:paraId="2F6F72A4">
      <w:pPr>
        <w:rPr>
          <w:color w:val="auto"/>
          <w:highlight w:val="none"/>
        </w:rPr>
      </w:pPr>
    </w:p>
    <w:p w14:paraId="007DCCB4">
      <w:pPr>
        <w:spacing w:line="44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022535A9">
      <w:pPr>
        <w:spacing w:line="440" w:lineRule="exact"/>
        <w:ind w:firstLine="420" w:firstLineChars="200"/>
        <w:rPr>
          <w:rFonts w:hint="eastAsia" w:ascii="宋体" w:hAnsi="宋体" w:cs="宋体"/>
          <w:color w:val="auto"/>
          <w:szCs w:val="21"/>
          <w:highlight w:val="none"/>
        </w:rPr>
      </w:pPr>
      <w:bookmarkStart w:id="87" w:name="_Toc246996996"/>
      <w:bookmarkStart w:id="88" w:name="_Toc152042388"/>
      <w:bookmarkStart w:id="89" w:name="_Toc246996253"/>
      <w:bookmarkStart w:id="90" w:name="_Toc144974578"/>
      <w:bookmarkStart w:id="91" w:name="_Toc469495742"/>
      <w:bookmarkStart w:id="92" w:name="_Toc296602498"/>
      <w:bookmarkStart w:id="93" w:name="_Toc247085768"/>
      <w:bookmarkStart w:id="94" w:name="_Toc152045610"/>
      <w:bookmarkStart w:id="95" w:name="_Toc179632628"/>
      <w:r>
        <w:rPr>
          <w:rFonts w:hint="eastAsia" w:ascii="宋体" w:hAnsi="宋体" w:cs="宋体"/>
          <w:color w:val="auto"/>
          <w:szCs w:val="21"/>
          <w:highlight w:val="none"/>
        </w:rPr>
        <w:t>买    方：                                   卖    方：</w:t>
      </w:r>
    </w:p>
    <w:p w14:paraId="2D5798D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6E0E4C0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094B386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14:paraId="53A1A69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14:paraId="7957BAC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5199F80B">
      <w:pPr>
        <w:numPr>
          <w:ilvl w:val="0"/>
          <w:numId w:val="10"/>
        </w:numPr>
        <w:spacing w:line="4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14:paraId="074DB85F">
      <w:pPr>
        <w:numPr>
          <w:ilvl w:val="0"/>
          <w:numId w:val="10"/>
        </w:numPr>
        <w:spacing w:line="4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14:paraId="4B13BD8D">
      <w:pPr>
        <w:numPr>
          <w:ilvl w:val="0"/>
          <w:numId w:val="10"/>
        </w:numPr>
        <w:spacing w:line="4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14:paraId="31CF207C">
      <w:pPr>
        <w:spacing w:line="44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14:paraId="77E5AA2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2.采购标的、数量、质量要求</w:t>
      </w:r>
    </w:p>
    <w:p w14:paraId="2B548EC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3.综合单价合同</w:t>
      </w:r>
    </w:p>
    <w:p w14:paraId="0C090066">
      <w:pPr>
        <w:spacing w:line="348"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5D1A632C">
      <w:pPr>
        <w:spacing w:line="44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注：1）实际供货与结算时有可能发生变化，实际供货以招标人通知数量，结算时以实际供货数量为准，请供应商在报价时考虑，供货期内中标综合单价不予调整。</w:t>
      </w:r>
    </w:p>
    <w:p w14:paraId="0618FE2A">
      <w:pPr>
        <w:numPr>
          <w:ilvl w:val="0"/>
          <w:numId w:val="11"/>
        </w:numPr>
        <w:spacing w:line="44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在后续实施过程中，如产生不在本次招标清单里的材料，由中标单位按比例核算和业主双方协商确定单价。</w:t>
      </w:r>
    </w:p>
    <w:p w14:paraId="17810F0F">
      <w:pPr>
        <w:spacing w:line="440" w:lineRule="exact"/>
        <w:ind w:firstLine="420" w:firstLineChars="200"/>
        <w:jc w:val="left"/>
        <w:rPr>
          <w:rFonts w:hint="eastAsia" w:ascii="宋体" w:hAnsi="宋体" w:cs="宋体"/>
          <w:b/>
          <w:bCs/>
          <w:color w:val="auto"/>
          <w:szCs w:val="21"/>
          <w:highlight w:val="none"/>
        </w:rPr>
      </w:pPr>
      <w:r>
        <w:rPr>
          <w:rFonts w:hint="eastAsia" w:ascii="宋体" w:hAnsi="宋体" w:cs="宋体"/>
          <w:color w:val="auto"/>
          <w:szCs w:val="21"/>
          <w:highlight w:val="none"/>
        </w:rPr>
        <w:t>4、付款方式</w:t>
      </w:r>
      <w:r>
        <w:rPr>
          <w:rFonts w:hint="eastAsia" w:ascii="宋体" w:hAnsi="宋体" w:cs="宋体"/>
          <w:b/>
          <w:bCs/>
          <w:color w:val="auto"/>
          <w:szCs w:val="21"/>
          <w:highlight w:val="none"/>
        </w:rPr>
        <w:t>：合同履行期间，中标人将货物运至指定地点并验收合格后，招标人将于30个工作日内支付验收合格且入库货物货款的100%。合同期满后，全部货物运至指定地点并验收合格后，履约保证金直接转为质保金，质保期从合同最后一批货验收合格起开始计算，质保期（12个月）满后一个月内一次性付清。</w:t>
      </w:r>
    </w:p>
    <w:p w14:paraId="3106A8EA">
      <w:pPr>
        <w:spacing w:line="44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注：中标人与滁州市水暖建材有限公司签订采购合同，且由其公司支付合同价款。</w:t>
      </w:r>
    </w:p>
    <w:p w14:paraId="5A5F64CF">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合同供货期限：合同有效期为两年，招标人可以根据产品质量、供货时间及售后等因素续签一年，具体以合同签订时间为准。合同签订并接到供货通知后法兰片在10日内，配套标准紧固件在7日内必须按照招标人要求供货至指定地点。</w:t>
      </w:r>
    </w:p>
    <w:p w14:paraId="6B983B54">
      <w:pPr>
        <w:spacing w:line="440" w:lineRule="exact"/>
        <w:ind w:left="416" w:leftChars="198"/>
        <w:rPr>
          <w:rFonts w:hint="eastAsia" w:ascii="宋体" w:hAnsi="宋体" w:cs="宋体"/>
          <w:color w:val="auto"/>
          <w:szCs w:val="21"/>
          <w:highlight w:val="none"/>
        </w:rPr>
      </w:pPr>
      <w:r>
        <w:rPr>
          <w:rFonts w:hint="eastAsia" w:ascii="宋体" w:hAnsi="宋体" w:cs="宋体"/>
          <w:color w:val="auto"/>
          <w:szCs w:val="21"/>
          <w:highlight w:val="none"/>
        </w:rPr>
        <w:t>6.供货地点：货物运至招标人指定地点。</w:t>
      </w:r>
    </w:p>
    <w:p w14:paraId="0D70919F">
      <w:pPr>
        <w:spacing w:line="440" w:lineRule="exact"/>
        <w:ind w:left="420" w:leftChars="200"/>
        <w:rPr>
          <w:rFonts w:hint="eastAsia" w:ascii="宋体" w:hAnsi="宋体" w:cs="宋体"/>
          <w:b/>
          <w:bCs/>
          <w:color w:val="auto"/>
          <w:szCs w:val="21"/>
          <w:highlight w:val="none"/>
        </w:rPr>
      </w:pPr>
      <w:r>
        <w:rPr>
          <w:rFonts w:hint="eastAsia" w:ascii="宋体" w:hAnsi="宋体" w:cs="宋体"/>
          <w:color w:val="auto"/>
          <w:szCs w:val="21"/>
          <w:highlight w:val="none"/>
        </w:rPr>
        <w:t>7.验收要求及违约责任：</w:t>
      </w:r>
    </w:p>
    <w:p w14:paraId="5C388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w:t>
      </w:r>
      <w:r>
        <w:rPr>
          <w:rFonts w:hint="eastAsia" w:ascii="宋体" w:cs="宋体"/>
          <w:color w:val="auto"/>
          <w:szCs w:val="21"/>
          <w:highlight w:val="none"/>
        </w:rPr>
        <w:t>违约责任及解决争议方法</w:t>
      </w:r>
    </w:p>
    <w:p w14:paraId="67049CD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9.合同的生效</w:t>
      </w:r>
    </w:p>
    <w:p w14:paraId="632F1295">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合同经双方授权代表签署，买卖双方加盖印章之后生效。</w:t>
      </w:r>
    </w:p>
    <w:p w14:paraId="17105E4C">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本合同一式     份，双方各执     份。</w:t>
      </w:r>
    </w:p>
    <w:p w14:paraId="4611904D">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买  方：                          卖  方：</w:t>
      </w:r>
    </w:p>
    <w:p w14:paraId="0AAD23AB">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名  称：（盖章）                   名  称：（盖章）</w:t>
      </w:r>
    </w:p>
    <w:p w14:paraId="05DC866C">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法定代表人（或委托代理人）：       法定代表人（或委托代理人）：</w:t>
      </w:r>
    </w:p>
    <w:p w14:paraId="3ABF43EC">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（签字）                        （签字）</w:t>
      </w:r>
    </w:p>
    <w:p w14:paraId="63AC3F9A">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地    址：                        地    址：</w:t>
      </w:r>
    </w:p>
    <w:p w14:paraId="71BD4254">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邮政编码：                        邮政编码：</w:t>
      </w:r>
    </w:p>
    <w:p w14:paraId="4CB60C26">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电    话：                        电    话：</w:t>
      </w:r>
    </w:p>
    <w:p w14:paraId="240F4F8B">
      <w:pPr>
        <w:pStyle w:val="13"/>
        <w:spacing w:after="0" w:line="440" w:lineRule="exact"/>
        <w:ind w:left="0" w:leftChars="0" w:firstLine="420" w:firstLineChars="200"/>
        <w:rPr>
          <w:rFonts w:hint="eastAsia" w:ascii="宋体" w:hAnsi="宋体" w:cs="宋体"/>
          <w:color w:val="auto"/>
          <w:kern w:val="0"/>
          <w:szCs w:val="21"/>
          <w:highlight w:val="none"/>
          <w:u w:color="000000"/>
        </w:rPr>
      </w:pPr>
      <w:r>
        <w:rPr>
          <w:rFonts w:hint="eastAsia" w:ascii="宋体" w:hAnsi="宋体" w:cs="宋体"/>
          <w:color w:val="auto"/>
          <w:kern w:val="0"/>
          <w:szCs w:val="21"/>
          <w:highlight w:val="none"/>
          <w:u w:color="000000"/>
        </w:rPr>
        <w:t>开户银行：                        开户银行：</w:t>
      </w:r>
    </w:p>
    <w:p w14:paraId="6F5153AF">
      <w:pPr>
        <w:pStyle w:val="13"/>
        <w:spacing w:after="0" w:line="44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color="000000"/>
        </w:rPr>
        <w:t>帐    号：                        帐    号：</w:t>
      </w:r>
    </w:p>
    <w:p w14:paraId="54DCB26B">
      <w:pPr>
        <w:rPr>
          <w:color w:val="auto"/>
          <w:highlight w:val="none"/>
        </w:rPr>
      </w:pPr>
      <w:r>
        <w:rPr>
          <w:rFonts w:hint="eastAsia"/>
          <w:color w:val="auto"/>
          <w:highlight w:val="none"/>
        </w:rPr>
        <w:br w:type="page"/>
      </w:r>
    </w:p>
    <w:p w14:paraId="07842D99">
      <w:pPr>
        <w:pStyle w:val="3"/>
        <w:numPr>
          <w:ilvl w:val="0"/>
          <w:numId w:val="9"/>
        </w:numPr>
        <w:ind w:left="1260" w:hanging="420"/>
        <w:jc w:val="center"/>
        <w:rPr>
          <w:b/>
          <w:bCs/>
          <w:color w:val="auto"/>
          <w:szCs w:val="24"/>
          <w:highlight w:val="none"/>
        </w:rPr>
      </w:pPr>
      <w:bookmarkStart w:id="96" w:name="_Toc8755"/>
      <w:bookmarkStart w:id="97" w:name="_Toc4456"/>
      <w:bookmarkStart w:id="98" w:name="_Toc16580"/>
      <w:r>
        <w:rPr>
          <w:rFonts w:hint="eastAsia"/>
          <w:b/>
          <w:bCs/>
          <w:color w:val="auto"/>
          <w:szCs w:val="24"/>
          <w:highlight w:val="none"/>
        </w:rPr>
        <w:t>合同条款</w:t>
      </w:r>
      <w:bookmarkEnd w:id="87"/>
      <w:bookmarkEnd w:id="88"/>
      <w:bookmarkEnd w:id="89"/>
      <w:bookmarkEnd w:id="90"/>
      <w:bookmarkEnd w:id="91"/>
      <w:bookmarkEnd w:id="92"/>
      <w:bookmarkEnd w:id="93"/>
      <w:bookmarkEnd w:id="94"/>
      <w:bookmarkEnd w:id="95"/>
      <w:bookmarkEnd w:id="96"/>
      <w:bookmarkEnd w:id="97"/>
      <w:bookmarkEnd w:id="98"/>
    </w:p>
    <w:p w14:paraId="32C1C4D3">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14:paraId="21F7172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14:paraId="73D0814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适用于合同文件的法律是中华人民共和国现行法律、法规及招标人所在地的地方性法规。</w:t>
      </w:r>
    </w:p>
    <w:p w14:paraId="69870FD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14:paraId="2485BA4C">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14:paraId="7BB420D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14:paraId="4CA1AB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14:paraId="52703A2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14:paraId="275A608C">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14:paraId="3A964A3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14:paraId="0095E11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14:paraId="214D182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14:paraId="5DCEA000">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(1)合同文件使用中文书写、解释和说明。</w:t>
      </w:r>
    </w:p>
    <w:p w14:paraId="3D3A036B">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 xml:space="preserve">(2)合同文件使用技术性条款约定的为国家标准和规范；国家没有相应标准、规范时，可使用行业标准、规范。非标货物应按约定的技术性条款的标准和规范。 </w:t>
      </w:r>
    </w:p>
    <w:p w14:paraId="61CC55D5">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14:paraId="5912ECB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4、完整物权</w:t>
      </w:r>
    </w:p>
    <w:p w14:paraId="73EF2EBF">
      <w:pPr>
        <w:tabs>
          <w:tab w:val="left" w:pos="660"/>
        </w:tabs>
        <w:spacing w:line="440" w:lineRule="exact"/>
        <w:rPr>
          <w:rFonts w:hint="eastAsia" w:ascii="宋体" w:hAnsi="宋体" w:cs="宋体"/>
          <w:color w:val="auto"/>
          <w:szCs w:val="21"/>
          <w:highlight w:val="none"/>
        </w:rPr>
      </w:pPr>
      <w:r>
        <w:rPr>
          <w:rFonts w:hint="eastAsia" w:ascii="宋体" w:hAnsi="宋体" w:cs="宋体"/>
          <w:color w:val="auto"/>
          <w:szCs w:val="21"/>
          <w:highlight w:val="none"/>
        </w:rPr>
        <w:t>对于出卖的标的物，卖方应当拥有完整物权，并且卖方负有保证第三人不得向买方主张任何权利（包括知识产权）的义务。</w:t>
      </w:r>
    </w:p>
    <w:p w14:paraId="6E74E88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5、质量保证</w:t>
      </w:r>
    </w:p>
    <w:p w14:paraId="2B937496">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021E1F25">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065848B8">
      <w:pPr>
        <w:pStyle w:val="11"/>
        <w:tabs>
          <w:tab w:val="left" w:pos="900"/>
        </w:tabs>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67BB2B4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6、包装</w:t>
      </w:r>
    </w:p>
    <w:p w14:paraId="7B82A4CA">
      <w:pPr>
        <w:pStyle w:val="11"/>
        <w:tabs>
          <w:tab w:val="left" w:pos="900"/>
        </w:tabs>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16DD841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7、伴随服务</w:t>
      </w:r>
    </w:p>
    <w:p w14:paraId="081BBDA5">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(1)卖方除应履行按期按量交付合格标的物的义务之外，还应提供下列服务：</w:t>
      </w:r>
    </w:p>
    <w:p w14:paraId="3EDC532C">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&lt;1&gt;标的物的现场安装或指导安装、启动、调试、监督（如果必须安装、调试的话）；</w:t>
      </w:r>
    </w:p>
    <w:p w14:paraId="5D0CA329">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&lt;2&gt;提供标的物组装和一般维修所必须的工具；</w:t>
      </w:r>
    </w:p>
    <w:p w14:paraId="45561DE7">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&lt;3&gt;在合同规定的期限内对所提供标的物实行运行监督、维修服务的前提条件是该服务并不能免除卖方在质量保证期内所承担的义务；</w:t>
      </w:r>
    </w:p>
    <w:p w14:paraId="1B656102">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&lt;4&gt;对买方技术人员的技术指导或培训。</w:t>
      </w:r>
    </w:p>
    <w:p w14:paraId="0C69E595">
      <w:pPr>
        <w:pStyle w:val="11"/>
        <w:numPr>
          <w:ilvl w:val="0"/>
          <w:numId w:val="12"/>
        </w:numPr>
        <w:overflowPunct w:val="0"/>
        <w:spacing w:line="440" w:lineRule="exact"/>
        <w:ind w:firstLine="0"/>
        <w:rPr>
          <w:color w:val="auto"/>
          <w:highlight w:val="none"/>
        </w:rPr>
      </w:pPr>
      <w:r>
        <w:rPr>
          <w:rFonts w:hint="eastAsia" w:ascii="宋体" w:hAnsi="宋体" w:cs="宋体"/>
          <w:color w:val="auto"/>
          <w:sz w:val="21"/>
          <w:szCs w:val="21"/>
          <w:highlight w:val="none"/>
          <w:u w:color="000000"/>
        </w:rPr>
        <w:t>除合同另有规定之外，伴随服务的费用均已含在合同价款中，买方不再另行进行支付。</w:t>
      </w:r>
    </w:p>
    <w:p w14:paraId="655064D4">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14:paraId="46C6754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8、标的物的交付</w:t>
      </w:r>
    </w:p>
    <w:p w14:paraId="59EB2716">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(1)标的物的所有权自标的物交付时转移。</w:t>
      </w:r>
    </w:p>
    <w:p w14:paraId="6957911B">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(2)卖方应当按照约定的期限和约定的地点交付符合招标文件要求的标的物。</w:t>
      </w:r>
    </w:p>
    <w:p w14:paraId="4CC3B1CE">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(3)卖方应当按照约定或者交易习惯向招标人交付提取标的物单证以外的有关单证和资料。</w:t>
      </w:r>
    </w:p>
    <w:p w14:paraId="030DA5C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9、检验和验收</w:t>
      </w:r>
    </w:p>
    <w:p w14:paraId="061CB791">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75FC1369">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(2)买方根据合同规定的内容和验收标准进行验收，经检验无误后出具验收合格证明，该证明作为最终付款所需文件的组成部分。</w:t>
      </w:r>
    </w:p>
    <w:p w14:paraId="4D643D88">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(3)验收期限自标的物交付之日起三十天内。特殊情况需延长的，双方应在合同条款中约定。</w:t>
      </w:r>
    </w:p>
    <w:p w14:paraId="62127DCE">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14:paraId="3BB0514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14:paraId="30650646">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(1)买方在验收过程中，应当于双方约定的检验期间内将标的物的数量或质量不符合约定的情形及处理方式以书面形式通知卖方。</w:t>
      </w:r>
    </w:p>
    <w:p w14:paraId="0F832A26">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(2)如买方在验收期满后既不出具验收合格证明又未提出书面异议的视为卖方所交标的物符合合同规定。</w:t>
      </w:r>
    </w:p>
    <w:p w14:paraId="27EE457A">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(3)卖方应在收到买方书面异议后七天内负责处理问题，否则将视为默认买方提出的异议和处理意见。</w:t>
      </w:r>
    </w:p>
    <w:p w14:paraId="096A12B4">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14:paraId="1B9D19C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14:paraId="5351D143">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(1)本合同的结算货币为人民币，单位元。</w:t>
      </w:r>
    </w:p>
    <w:p w14:paraId="49640A5C">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(2)卖方应按照双方签订的合同规定交货并在合同主要条款规定的期限内持下列单据结算货款：</w:t>
      </w:r>
    </w:p>
    <w:p w14:paraId="48FFA323">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&lt;1&gt;合格的销售发票；</w:t>
      </w:r>
    </w:p>
    <w:p w14:paraId="7758651B">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&lt;2&gt;买方盖章签收后的送货回单和验收合格证明。</w:t>
      </w:r>
    </w:p>
    <w:p w14:paraId="7866B72E">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(3)买方应按合同主要条款规定的期限和方式付款。</w:t>
      </w:r>
    </w:p>
    <w:p w14:paraId="3651D894">
      <w:pPr>
        <w:pStyle w:val="11"/>
        <w:tabs>
          <w:tab w:val="left" w:pos="540"/>
        </w:tabs>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(4)根据现行税法对买方征收的与本合同有关的一切税费均由买方承担；根据现行税法对卖方征收的与本合同有关的一切税费均由卖方承担。</w:t>
      </w:r>
    </w:p>
    <w:p w14:paraId="048A3B11">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14:paraId="1A3E0CC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12、违约责任</w:t>
      </w:r>
    </w:p>
    <w:p w14:paraId="217ECE73">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合同一方不履行合同义务或者履行合同义务不符合约定的，应当承担继续履行、采取补救措施或者赔偿损失等违约责任。</w:t>
      </w:r>
    </w:p>
    <w:p w14:paraId="347CB1C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13、买方违约责任</w:t>
      </w:r>
    </w:p>
    <w:p w14:paraId="20220C32">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(1)在合同生效后，买方要求退货的，应向卖方偿付合同总价款的5%，作为违约金，违约金不足以补偿损失的，卖方有权要求甲方补足。</w:t>
      </w:r>
    </w:p>
    <w:p w14:paraId="702F363D">
      <w:pPr>
        <w:pStyle w:val="11"/>
        <w:overflowPunct w:val="0"/>
        <w:spacing w:line="440" w:lineRule="exact"/>
        <w:ind w:right="-334" w:rightChars="-159"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(2)买方逾期付款的应按照逾期付款金额的每天万分之四支付逾期付款违约金。</w:t>
      </w:r>
    </w:p>
    <w:p w14:paraId="35EAD14A">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(3)买方违反合同规定，拒绝接收卖方交付的符合招标文件要求的合格标的物，应当承担卖方由此造成的损失。</w:t>
      </w:r>
    </w:p>
    <w:p w14:paraId="6DB153E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14、卖方违约责任</w:t>
      </w:r>
    </w:p>
    <w:p w14:paraId="1B036D69">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(1)卖方不能交货（逾期超过五天视为不能交货），或交货不合格从而影响买方按期正常使用的，应向买方偿付合同总价款5%的违约金，违约金不足以补偿损失的，买方有权要求卖方补足。</w:t>
      </w:r>
    </w:p>
    <w:p w14:paraId="706492B5">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09C7BE13">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15、不可抗力</w:t>
      </w:r>
    </w:p>
    <w:p w14:paraId="4BC9959B">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(1)因水灾、火灾、地震、战争等不可抗力不能履行合同的，根据不可抗力的影响，部分或者全部免除责任。但合同一方迟延履行后发生不可抗力的，不能免除责任。</w:t>
      </w:r>
    </w:p>
    <w:p w14:paraId="79C3E241">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(2)合同一方因不可抗力不能履行合同的，应当及时通知对方，以减轻可能给对方造成的损失，并应当在合理期限内提供证明。</w:t>
      </w:r>
    </w:p>
    <w:p w14:paraId="49EF2A2A">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七. 索赔</w:t>
      </w:r>
    </w:p>
    <w:p w14:paraId="29145E1F">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16、索赔</w:t>
      </w:r>
    </w:p>
    <w:p w14:paraId="25D903F6">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(1)买方有权根据当地产品质量检验机构或其它有权威部门出具的检验证书向卖方提出索赔。</w:t>
      </w:r>
    </w:p>
    <w:p w14:paraId="32C2BA5F">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(2)在本合同规定的检验期和质量保证期内，如果卖方对买方提出的索赔或差异有责任，则卖方应按买方同意的下列一种或多种方式解决索赔事宜：</w:t>
      </w:r>
    </w:p>
    <w:p w14:paraId="1EFFF694">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60E01D91">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&lt;2&gt;根据标的物的低劣程度、损坏程度以及甲方遭受损失的数额，经双方协商确定降低标的物的价格；</w:t>
      </w:r>
    </w:p>
    <w:p w14:paraId="1B0DC706">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5005B4F7">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1E65457C">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(4)买方提出索赔的书面材料应报当地政府采购管理部门备案。卖方同意的索赔方案应报当地政府采购管理部门审核。</w:t>
      </w:r>
    </w:p>
    <w:p w14:paraId="40820BFB">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14:paraId="7C27E01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17、履约保证金</w:t>
      </w:r>
    </w:p>
    <w:p w14:paraId="4A7CAFEA">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(1)卖方应在本合同签订时，按招标文件的约定提供相应的履约保证金，保证金的有效期应不低于合同有效期。</w:t>
      </w:r>
    </w:p>
    <w:p w14:paraId="648E3994">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(2)如果卖方未能履行合同规定的任何义务，买方有权从履约保证金中取得补偿。</w:t>
      </w:r>
    </w:p>
    <w:p w14:paraId="4AEC7781">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（3）合同期满后，全部货物运至指定地点并验收合格后，履约保证金直接转为质保金，质保期从合同最后一批货验收合格起开始计算，质保期（12个月）满后一个月内一次性付清。</w:t>
      </w:r>
    </w:p>
    <w:p w14:paraId="57D59C15">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九.  合同的解除和转让</w:t>
      </w:r>
    </w:p>
    <w:p w14:paraId="796FCD5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18、合同的解除</w:t>
      </w:r>
    </w:p>
    <w:p w14:paraId="12071083">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(1)买方和卖方协商一致，可以解除合同。</w:t>
      </w:r>
    </w:p>
    <w:p w14:paraId="1D60B739">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(2)有下列情形之一，合同一方可以解除合同：</w:t>
      </w:r>
    </w:p>
    <w:p w14:paraId="4CBF71A6">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&lt;1&gt;因不可抗力致使不能实现合同目的，未受不可抗力影响的一方有权解除合同；</w:t>
      </w:r>
    </w:p>
    <w:p w14:paraId="2A4FBA6F">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&lt;2&gt;因合同一方违约导致合同不能履行，另一方有权解除合同。</w:t>
      </w:r>
    </w:p>
    <w:p w14:paraId="18226C31">
      <w:pPr>
        <w:pStyle w:val="11"/>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(3)有权解除合同的一方，应当在违约事实或不可抗力发生之后三十天内书面通知对方以主张解除合同，合同在书面通知到达对方时解除。</w:t>
      </w:r>
    </w:p>
    <w:p w14:paraId="1F219D6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19、合同的转让</w:t>
      </w:r>
    </w:p>
    <w:p w14:paraId="699B27A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合同的部分和全部都不得转让。</w:t>
      </w:r>
    </w:p>
    <w:p w14:paraId="5558CD4E">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14:paraId="5EC1E40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20、合同的生效</w:t>
      </w:r>
    </w:p>
    <w:p w14:paraId="3344F30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本合同在双方签字盖章并在招标人收到中标人提交的履约保证金后，经招标采购管理部门备案后生效。</w:t>
      </w:r>
    </w:p>
    <w:p w14:paraId="16502C21">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14:paraId="5657A44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21、争议解决</w:t>
      </w:r>
    </w:p>
    <w:p w14:paraId="6DE1C5EA">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 xml:space="preserve"> 买卖双方因合同发生争议，进行调解，协商不成，可选择：</w:t>
      </w:r>
    </w:p>
    <w:p w14:paraId="1A21DA81">
      <w:pPr>
        <w:pStyle w:val="11"/>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(1)双方同时申请仲裁；</w:t>
      </w:r>
    </w:p>
    <w:p w14:paraId="1A3E2AB1">
      <w:pPr>
        <w:pStyle w:val="11"/>
        <w:tabs>
          <w:tab w:val="left" w:pos="900"/>
        </w:tabs>
        <w:overflowPunct w:val="0"/>
        <w:spacing w:line="440" w:lineRule="exact"/>
        <w:ind w:firstLine="0"/>
        <w:rPr>
          <w:rFonts w:hint="eastAsia" w:ascii="宋体" w:hAnsi="宋体" w:cs="宋体"/>
          <w:color w:val="auto"/>
          <w:sz w:val="21"/>
          <w:szCs w:val="21"/>
          <w:highlight w:val="none"/>
          <w:u w:color="000000"/>
        </w:rPr>
      </w:pPr>
      <w:r>
        <w:rPr>
          <w:rFonts w:hint="eastAsia" w:ascii="宋体" w:hAnsi="宋体" w:cs="宋体"/>
          <w:color w:val="auto"/>
          <w:sz w:val="21"/>
          <w:szCs w:val="21"/>
          <w:highlight w:val="none"/>
          <w:u w:color="000000"/>
        </w:rPr>
        <w:t>(2)向买方所在地人民法院提起诉讼。</w:t>
      </w:r>
    </w:p>
    <w:p w14:paraId="5446ABFE">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十二 .附则</w:t>
      </w:r>
    </w:p>
    <w:p w14:paraId="149E9FC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22、合同份数。</w:t>
      </w:r>
    </w:p>
    <w:p w14:paraId="73AFA9F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本合同一式陆份，买卖双方各执二份，招标代理机构一份，招标采购管理部门一份。</w:t>
      </w:r>
    </w:p>
    <w:p w14:paraId="2564344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23、未尽事宜</w:t>
      </w:r>
    </w:p>
    <w:p w14:paraId="09AD094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本合同未尽事宜应按《中华人民共和国民法典》、《中华人民共和国产品质量法》之规定解释。</w:t>
      </w:r>
    </w:p>
    <w:p w14:paraId="620EA57A">
      <w:pPr>
        <w:rPr>
          <w:color w:val="auto"/>
          <w:highlight w:val="none"/>
        </w:rPr>
      </w:pPr>
      <w:r>
        <w:rPr>
          <w:rFonts w:hint="eastAsia"/>
          <w:color w:val="auto"/>
          <w:highlight w:val="none"/>
        </w:rPr>
        <w:br w:type="page"/>
      </w:r>
    </w:p>
    <w:p w14:paraId="6E214EAD">
      <w:pPr>
        <w:pStyle w:val="2"/>
        <w:rPr>
          <w:color w:val="auto"/>
          <w:highlight w:val="none"/>
        </w:rPr>
      </w:pPr>
      <w:bookmarkStart w:id="99" w:name="_Toc8628"/>
      <w:r>
        <w:rPr>
          <w:rFonts w:hint="eastAsia"/>
          <w:color w:val="auto"/>
          <w:highlight w:val="none"/>
        </w:rPr>
        <w:t>第六章  投标文件格式</w:t>
      </w:r>
      <w:bookmarkEnd w:id="86"/>
      <w:bookmarkEnd w:id="99"/>
    </w:p>
    <w:p w14:paraId="0E538A62">
      <w:pPr>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33D07AE3">
      <w:pPr>
        <w:jc w:val="center"/>
        <w:rPr>
          <w:rFonts w:eastAsia="黑体"/>
          <w:color w:val="auto"/>
          <w:sz w:val="20"/>
          <w:highlight w:val="none"/>
        </w:rPr>
      </w:pPr>
    </w:p>
    <w:p w14:paraId="4EF642F7">
      <w:pPr>
        <w:rPr>
          <w:rFonts w:eastAsia="黑体"/>
          <w:color w:val="auto"/>
          <w:sz w:val="20"/>
          <w:highlight w:val="none"/>
        </w:rPr>
      </w:pPr>
    </w:p>
    <w:p w14:paraId="5D0D2422">
      <w:pPr>
        <w:jc w:val="center"/>
        <w:rPr>
          <w:rFonts w:ascii="宋体"/>
          <w:b/>
          <w:color w:val="auto"/>
          <w:sz w:val="44"/>
          <w:szCs w:val="44"/>
          <w:highlight w:val="none"/>
        </w:rPr>
      </w:pPr>
      <w:bookmarkStart w:id="100" w:name="_Toc350698753"/>
      <w:bookmarkStart w:id="101" w:name="_Toc449028949"/>
      <w:r>
        <w:rPr>
          <w:rFonts w:hint="eastAsia" w:ascii="宋体"/>
          <w:b/>
          <w:color w:val="auto"/>
          <w:sz w:val="44"/>
          <w:szCs w:val="44"/>
          <w:highlight w:val="none"/>
        </w:rPr>
        <w:t>资信证明文件</w:t>
      </w:r>
      <w:bookmarkEnd w:id="100"/>
      <w:bookmarkEnd w:id="101"/>
    </w:p>
    <w:p w14:paraId="5FCA9C45">
      <w:pPr>
        <w:jc w:val="center"/>
        <w:rPr>
          <w:rFonts w:ascii="宋体"/>
          <w:color w:val="auto"/>
          <w:sz w:val="32"/>
          <w:szCs w:val="32"/>
          <w:highlight w:val="none"/>
        </w:rPr>
      </w:pPr>
      <w:r>
        <w:rPr>
          <w:rFonts w:hint="eastAsia" w:ascii="宋体"/>
          <w:color w:val="auto"/>
          <w:sz w:val="32"/>
          <w:szCs w:val="32"/>
          <w:highlight w:val="none"/>
        </w:rPr>
        <w:t>（投标文件一）</w:t>
      </w:r>
    </w:p>
    <w:p w14:paraId="3116C3DD">
      <w:pPr>
        <w:jc w:val="center"/>
        <w:rPr>
          <w:rFonts w:eastAsia="黑体"/>
          <w:color w:val="auto"/>
          <w:sz w:val="44"/>
          <w:szCs w:val="44"/>
          <w:highlight w:val="none"/>
        </w:rPr>
      </w:pPr>
    </w:p>
    <w:p w14:paraId="4EE16524">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19CE6A07">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1B63022">
      <w:pPr>
        <w:rPr>
          <w:rFonts w:ascii="宋体"/>
          <w:color w:val="auto"/>
          <w:sz w:val="28"/>
          <w:szCs w:val="28"/>
          <w:highlight w:val="none"/>
        </w:rPr>
      </w:pPr>
    </w:p>
    <w:p w14:paraId="3C0E4555">
      <w:pPr>
        <w:rPr>
          <w:rFonts w:ascii="宋体"/>
          <w:color w:val="auto"/>
          <w:sz w:val="28"/>
          <w:szCs w:val="28"/>
          <w:highlight w:val="none"/>
        </w:rPr>
      </w:pPr>
    </w:p>
    <w:p w14:paraId="38E1E146">
      <w:pPr>
        <w:rPr>
          <w:rFonts w:ascii="宋体"/>
          <w:color w:val="auto"/>
          <w:sz w:val="28"/>
          <w:szCs w:val="28"/>
          <w:highlight w:val="none"/>
        </w:rPr>
      </w:pPr>
    </w:p>
    <w:p w14:paraId="3FA82B2B">
      <w:pPr>
        <w:rPr>
          <w:rFonts w:ascii="宋体"/>
          <w:color w:val="auto"/>
          <w:sz w:val="28"/>
          <w:szCs w:val="28"/>
          <w:highlight w:val="none"/>
        </w:rPr>
      </w:pPr>
    </w:p>
    <w:p w14:paraId="0EE78803">
      <w:pPr>
        <w:rPr>
          <w:rFonts w:ascii="宋体"/>
          <w:color w:val="auto"/>
          <w:sz w:val="28"/>
          <w:szCs w:val="28"/>
          <w:highlight w:val="none"/>
        </w:rPr>
      </w:pPr>
    </w:p>
    <w:p w14:paraId="01482B87">
      <w:pPr>
        <w:rPr>
          <w:rFonts w:ascii="宋体"/>
          <w:color w:val="auto"/>
          <w:sz w:val="28"/>
          <w:szCs w:val="28"/>
          <w:highlight w:val="none"/>
        </w:rPr>
      </w:pPr>
    </w:p>
    <w:p w14:paraId="38163972">
      <w:pPr>
        <w:rPr>
          <w:rFonts w:ascii="宋体"/>
          <w:color w:val="auto"/>
          <w:sz w:val="28"/>
          <w:szCs w:val="28"/>
          <w:highlight w:val="none"/>
        </w:rPr>
      </w:pPr>
    </w:p>
    <w:p w14:paraId="159A6850">
      <w:pPr>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206269D8">
      <w:pPr>
        <w:ind w:firstLine="560" w:firstLineChars="20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7839AC8B">
      <w:pPr>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1099CAC">
      <w:pPr>
        <w:spacing w:line="720" w:lineRule="auto"/>
        <w:jc w:val="center"/>
        <w:rPr>
          <w:rFonts w:ascii="宋体"/>
          <w:b/>
          <w:color w:val="auto"/>
          <w:sz w:val="36"/>
          <w:szCs w:val="36"/>
          <w:highlight w:val="none"/>
        </w:rPr>
      </w:pPr>
    </w:p>
    <w:p w14:paraId="2C85C5F3">
      <w:pPr>
        <w:spacing w:line="400" w:lineRule="exact"/>
        <w:ind w:firstLine="4130" w:firstLineChars="935"/>
        <w:rPr>
          <w:b/>
          <w:color w:val="auto"/>
          <w:sz w:val="44"/>
          <w:szCs w:val="44"/>
          <w:highlight w:val="none"/>
        </w:rPr>
      </w:pPr>
    </w:p>
    <w:p w14:paraId="6D05ECBD">
      <w:pPr>
        <w:pStyle w:val="34"/>
        <w:ind w:firstLine="210"/>
        <w:rPr>
          <w:color w:val="auto"/>
          <w:highlight w:val="none"/>
        </w:rPr>
      </w:pPr>
    </w:p>
    <w:p w14:paraId="083F3473">
      <w:pPr>
        <w:jc w:val="center"/>
        <w:rPr>
          <w:b/>
          <w:color w:val="auto"/>
          <w:sz w:val="44"/>
          <w:szCs w:val="44"/>
          <w:highlight w:val="none"/>
        </w:rPr>
      </w:pPr>
      <w:r>
        <w:rPr>
          <w:rFonts w:hint="eastAsia"/>
          <w:b/>
          <w:color w:val="auto"/>
          <w:sz w:val="36"/>
          <w:szCs w:val="36"/>
          <w:highlight w:val="none"/>
        </w:rPr>
        <w:t>目   录</w:t>
      </w:r>
    </w:p>
    <w:p w14:paraId="722A55C7">
      <w:pPr>
        <w:spacing w:line="400" w:lineRule="exact"/>
        <w:ind w:firstLine="562" w:firstLineChars="200"/>
        <w:rPr>
          <w:b/>
          <w:color w:val="auto"/>
          <w:sz w:val="28"/>
          <w:szCs w:val="28"/>
          <w:highlight w:val="none"/>
        </w:rPr>
      </w:pPr>
    </w:p>
    <w:p w14:paraId="54671ADF">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（1）法定代表人身份证明及其有效身份证（或法定代表人授权委托书及其有效身份证）（格式见附件）；</w:t>
      </w:r>
    </w:p>
    <w:p w14:paraId="7B552A02">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（2）投标人有效的营业执照（或三合一证书）；</w:t>
      </w:r>
    </w:p>
    <w:p w14:paraId="5FF523C1">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诚信投标承诺书（格式见附件）或公共信用信息报告（无违法违规证明版或核查版）</w:t>
      </w:r>
      <w:r>
        <w:rPr>
          <w:rFonts w:hint="eastAsia" w:ascii="宋体" w:hAnsi="宋体" w:cs="宋体"/>
          <w:bCs/>
          <w:color w:val="auto"/>
          <w:szCs w:val="21"/>
          <w:highlight w:val="none"/>
        </w:rPr>
        <w:t>；</w:t>
      </w:r>
    </w:p>
    <w:p w14:paraId="767EE691">
      <w:pPr>
        <w:spacing w:line="44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（4）招标文件中要求的资信标评审及其他支持资料</w:t>
      </w:r>
    </w:p>
    <w:p w14:paraId="3F809A39">
      <w:pPr>
        <w:spacing w:line="400" w:lineRule="exact"/>
        <w:ind w:firstLine="562" w:firstLineChars="200"/>
        <w:rPr>
          <w:b/>
          <w:color w:val="auto"/>
          <w:sz w:val="28"/>
          <w:szCs w:val="28"/>
          <w:highlight w:val="none"/>
        </w:rPr>
      </w:pPr>
    </w:p>
    <w:p w14:paraId="02058433">
      <w:pPr>
        <w:spacing w:line="400" w:lineRule="exact"/>
        <w:ind w:firstLine="562" w:firstLineChars="200"/>
        <w:rPr>
          <w:b/>
          <w:color w:val="auto"/>
          <w:sz w:val="28"/>
          <w:szCs w:val="28"/>
          <w:highlight w:val="none"/>
        </w:rPr>
      </w:pPr>
    </w:p>
    <w:p w14:paraId="07F0D1E7">
      <w:pPr>
        <w:spacing w:line="400" w:lineRule="exact"/>
        <w:ind w:firstLine="562" w:firstLineChars="200"/>
        <w:rPr>
          <w:b/>
          <w:color w:val="auto"/>
          <w:sz w:val="28"/>
          <w:szCs w:val="28"/>
          <w:highlight w:val="none"/>
        </w:rPr>
      </w:pPr>
    </w:p>
    <w:p w14:paraId="0D601075">
      <w:pPr>
        <w:spacing w:line="400" w:lineRule="exact"/>
        <w:ind w:firstLine="562" w:firstLineChars="200"/>
        <w:rPr>
          <w:b/>
          <w:color w:val="auto"/>
          <w:sz w:val="28"/>
          <w:szCs w:val="28"/>
          <w:highlight w:val="none"/>
        </w:rPr>
      </w:pPr>
    </w:p>
    <w:p w14:paraId="7805A122">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NumType w:fmt="numberInDash" w:start="1"/>
          <w:cols w:space="720" w:num="1"/>
          <w:docGrid w:type="lines" w:linePitch="312" w:charSpace="0"/>
        </w:sectPr>
      </w:pPr>
    </w:p>
    <w:p w14:paraId="56DD8D1B">
      <w:pPr>
        <w:spacing w:line="360" w:lineRule="auto"/>
        <w:rPr>
          <w:b/>
          <w:color w:val="auto"/>
          <w:sz w:val="28"/>
          <w:szCs w:val="28"/>
          <w:highlight w:val="none"/>
        </w:rPr>
      </w:pPr>
      <w:r>
        <w:rPr>
          <w:rFonts w:hint="eastAsia"/>
          <w:b/>
          <w:color w:val="auto"/>
          <w:sz w:val="28"/>
          <w:szCs w:val="28"/>
          <w:highlight w:val="none"/>
        </w:rPr>
        <w:t>附件1</w:t>
      </w:r>
    </w:p>
    <w:p w14:paraId="3E374068">
      <w:pP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5098C5DA">
      <w:pPr>
        <w:pStyle w:val="103"/>
        <w:spacing w:before="312" w:beforeLines="100" w:after="312"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3303FB9">
      <w:pPr>
        <w:spacing w:line="480" w:lineRule="exact"/>
        <w:ind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78DEE100">
      <w:pP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3FE36EA0">
      <w:pP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330A3587">
      <w:pP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712D8326">
      <w:pP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72D0321">
      <w:pP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1E55A449">
      <w:pP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64908F0F">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3F389FE4">
      <w:pPr>
        <w:spacing w:line="360" w:lineRule="auto"/>
        <w:ind w:firstLine="3480" w:firstLineChars="14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33736C9A">
      <w:pP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166DC7E8">
      <w:pPr>
        <w:spacing w:before="312" w:beforeLines="100" w:after="312"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4EF75635">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76D5BD2">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7FFC3934">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5CCA2A1C">
      <w:pPr>
        <w:spacing w:line="48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6C9CE94E">
      <w:pPr>
        <w:spacing w:line="480" w:lineRule="exact"/>
        <w:rPr>
          <w:rFonts w:ascii="宋体"/>
          <w:color w:val="auto"/>
          <w:sz w:val="24"/>
          <w:highlight w:val="none"/>
        </w:rPr>
      </w:pPr>
      <w:r>
        <w:rPr>
          <w:rFonts w:hint="eastAsia" w:ascii="宋体"/>
          <w:color w:val="auto"/>
          <w:sz w:val="24"/>
          <w:highlight w:val="none"/>
        </w:rPr>
        <w:t xml:space="preserve">                                     投标人：             （盖单位章）</w:t>
      </w:r>
    </w:p>
    <w:p w14:paraId="49D64B04">
      <w:pPr>
        <w:spacing w:line="480" w:lineRule="exact"/>
        <w:jc w:val="right"/>
        <w:rPr>
          <w:rFonts w:ascii="宋体"/>
          <w:color w:val="auto"/>
          <w:sz w:val="24"/>
          <w:highlight w:val="none"/>
        </w:rPr>
      </w:pPr>
      <w:r>
        <w:rPr>
          <w:rFonts w:hint="eastAsia" w:ascii="宋体"/>
          <w:color w:val="auto"/>
          <w:sz w:val="24"/>
          <w:highlight w:val="none"/>
        </w:rPr>
        <w:t>法定代表人（身份证号码）：             （签章）</w:t>
      </w:r>
    </w:p>
    <w:p w14:paraId="7BBDEE6C">
      <w:pPr>
        <w:spacing w:line="480" w:lineRule="exact"/>
        <w:ind w:firstLine="2820" w:firstLineChars="1175"/>
        <w:rPr>
          <w:rFonts w:ascii="宋体"/>
          <w:color w:val="auto"/>
          <w:sz w:val="24"/>
          <w:highlight w:val="none"/>
        </w:rPr>
      </w:pPr>
      <w:r>
        <w:rPr>
          <w:rFonts w:hint="eastAsia" w:ascii="宋体"/>
          <w:color w:val="auto"/>
          <w:sz w:val="24"/>
          <w:highlight w:val="none"/>
        </w:rPr>
        <w:t xml:space="preserve">              年    月    日</w:t>
      </w:r>
    </w:p>
    <w:p w14:paraId="377B5AB1">
      <w:pPr>
        <w:spacing w:line="360" w:lineRule="exact"/>
        <w:ind w:firstLine="413" w:firstLineChars="147"/>
        <w:rPr>
          <w:b/>
          <w:color w:val="auto"/>
          <w:sz w:val="28"/>
          <w:szCs w:val="28"/>
          <w:highlight w:val="none"/>
          <w:u w:val="single"/>
        </w:rPr>
      </w:pPr>
    </w:p>
    <w:p w14:paraId="601F176D">
      <w:pPr>
        <w:spacing w:line="360" w:lineRule="exact"/>
        <w:ind w:firstLine="413" w:firstLineChars="147"/>
        <w:rPr>
          <w:b/>
          <w:color w:val="auto"/>
          <w:sz w:val="28"/>
          <w:szCs w:val="28"/>
          <w:highlight w:val="none"/>
          <w:u w:val="single"/>
        </w:rPr>
      </w:pPr>
    </w:p>
    <w:p w14:paraId="7C6A58EF">
      <w:pPr>
        <w:spacing w:line="360" w:lineRule="exact"/>
        <w:ind w:firstLine="443" w:firstLineChars="147"/>
        <w:rPr>
          <w:rFonts w:ascii="宋体"/>
          <w:b/>
          <w:color w:val="auto"/>
          <w:sz w:val="30"/>
          <w:szCs w:val="30"/>
          <w:highlight w:val="none"/>
        </w:rPr>
      </w:pPr>
      <w:r>
        <w:rPr>
          <w:rFonts w:hint="eastAsia" w:ascii="宋体"/>
          <w:b/>
          <w:color w:val="auto"/>
          <w:sz w:val="30"/>
          <w:szCs w:val="30"/>
          <w:highlight w:val="none"/>
        </w:rPr>
        <w:t>附件2</w:t>
      </w:r>
    </w:p>
    <w:p w14:paraId="07DD05C4">
      <w:pPr>
        <w:spacing w:line="360" w:lineRule="exact"/>
        <w:ind w:firstLine="413" w:firstLineChars="147"/>
        <w:jc w:val="center"/>
        <w:rPr>
          <w:b/>
          <w:color w:val="auto"/>
          <w:sz w:val="28"/>
          <w:szCs w:val="28"/>
          <w:highlight w:val="none"/>
        </w:rPr>
      </w:pPr>
      <w:bookmarkStart w:id="102" w:name="_Toc440443268"/>
      <w:bookmarkStart w:id="103" w:name="_Toc449028950"/>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一、将遵循公</w:t>
      </w:r>
      <w:bookmarkStart w:id="104" w:name="_Toc503196197"/>
      <w:bookmarkStart w:id="105" w:name="_Toc506107356"/>
      <w:bookmarkStart w:id="106" w:name="_Toc26598"/>
      <w:r>
        <w:rPr>
          <w:rFonts w:hint="eastAsia" w:ascii="宋体" w:hAnsi="宋体"/>
          <w:color w:val="auto"/>
          <w:szCs w:val="21"/>
          <w:highlight w:val="none"/>
        </w:rPr>
        <w:t>开、公正和诚实信用</w:t>
      </w:r>
      <w:bookmarkEnd w:id="104"/>
      <w:bookmarkEnd w:id="105"/>
      <w:r>
        <w:rPr>
          <w:rFonts w:hint="eastAsia" w:ascii="宋体" w:hAnsi="宋体"/>
          <w:color w:val="auto"/>
          <w:szCs w:val="21"/>
          <w:highlight w:val="none"/>
        </w:rPr>
        <w:t>的</w:t>
      </w:r>
      <w:bookmarkEnd w:id="106"/>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adjustRightInd w:val="0"/>
        <w:snapToGrid w:val="0"/>
        <w:spacing w:line="440" w:lineRule="exact"/>
        <w:ind w:left="-420" w:leftChars="-200" w:right="-313" w:rightChars="-149" w:firstLine="420" w:firstLineChars="200"/>
        <w:rPr>
          <w:color w:val="auto"/>
          <w:szCs w:val="21"/>
          <w:highlight w:val="none"/>
        </w:rPr>
      </w:pPr>
      <w:r>
        <w:rPr>
          <w:rFonts w:hint="eastAsia" w:ascii="宋体" w:hAnsi="宋体"/>
          <w:color w:val="auto"/>
          <w:szCs w:val="21"/>
          <w:highlight w:val="none"/>
        </w:rPr>
        <w:t>六、我公司没有下列情形：</w:t>
      </w:r>
      <w:bookmarkStart w:id="107" w:name="OLE_LINK134"/>
      <w:bookmarkStart w:id="108" w:name="OLE_LINK133"/>
      <w:r>
        <w:rPr>
          <w:rFonts w:hint="eastAsia" w:ascii="宋体" w:hAnsi="宋体"/>
          <w:color w:val="auto"/>
          <w:szCs w:val="21"/>
          <w:highlight w:val="none"/>
        </w:rPr>
        <w:t>①被列入“信用中国”网站“失信被执行人”的；②被列入“信用中国”网站“重大税收违法失信主体”的；③被列入“信用中国”网站“拖欠农民工工资失信联合惩戒对象名单”的；④被列入“信用中国”网站“</w:t>
      </w:r>
      <w:r>
        <w:rPr>
          <w:rFonts w:hint="eastAsia"/>
          <w:color w:val="auto"/>
          <w:highlight w:val="none"/>
        </w:rPr>
        <w:t>安全生产严重失信主体名单</w:t>
      </w:r>
      <w:r>
        <w:rPr>
          <w:rFonts w:hint="eastAsia" w:ascii="宋体" w:hAnsi="宋体"/>
          <w:color w:val="auto"/>
          <w:szCs w:val="21"/>
          <w:highlight w:val="none"/>
        </w:rPr>
        <w:t>”的；⑤被列入国家企业信用信息公示系统网站“严重违法失信名单”的</w:t>
      </w:r>
      <w:bookmarkEnd w:id="107"/>
      <w:bookmarkEnd w:id="108"/>
      <w:r>
        <w:rPr>
          <w:rFonts w:hint="eastAsia" w:ascii="宋体" w:hAnsi="宋体"/>
          <w:color w:val="auto"/>
          <w:szCs w:val="21"/>
          <w:highlight w:val="none"/>
        </w:rPr>
        <w:t>。</w:t>
      </w:r>
    </w:p>
    <w:p w14:paraId="37C54F48">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七、严格遵守开标现场纪律，服从监管人员管理；</w:t>
      </w:r>
    </w:p>
    <w:p w14:paraId="687CCE6C">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八、保证企业及所属相关人员在本次投标中无行贿等犯罪行为；</w:t>
      </w:r>
    </w:p>
    <w:p w14:paraId="49DCDEDA">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九、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adjustRightInd w:val="0"/>
        <w:snapToGrid w:val="0"/>
        <w:spacing w:line="440" w:lineRule="exact"/>
        <w:ind w:left="-420" w:leftChars="-200" w:right="-313" w:rightChars="-149"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31309D2F">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BA42EBE">
      <w:pPr>
        <w:rPr>
          <w:rFonts w:hint="eastAsia" w:ascii="宋体" w:hAnsi="宋体"/>
          <w:color w:val="auto"/>
          <w:szCs w:val="21"/>
          <w:highlight w:val="none"/>
        </w:rPr>
      </w:pPr>
    </w:p>
    <w:p w14:paraId="4787AE83">
      <w:pPr>
        <w:spacing w:line="280" w:lineRule="exact"/>
        <w:ind w:left="-420" w:leftChars="-200" w:right="-512" w:rightChars="-244" w:firstLine="562" w:firstLineChars="200"/>
        <w:jc w:val="right"/>
        <w:rPr>
          <w:b/>
          <w:color w:val="auto"/>
          <w:sz w:val="28"/>
          <w:szCs w:val="28"/>
          <w:highlight w:val="none"/>
        </w:rPr>
      </w:pPr>
      <w:r>
        <w:rPr>
          <w:rFonts w:hint="eastAsia"/>
          <w:b/>
          <w:color w:val="auto"/>
          <w:sz w:val="28"/>
          <w:szCs w:val="28"/>
          <w:highlight w:val="none"/>
        </w:rPr>
        <w:t>或（2）公共信用信息报告（无违法违规证明版或核查版））</w:t>
      </w:r>
    </w:p>
    <w:p w14:paraId="3418B750">
      <w:pPr>
        <w:rPr>
          <w:rFonts w:hint="eastAsia" w:ascii="宋体" w:hAnsi="宋体"/>
          <w:b/>
          <w:color w:val="auto"/>
          <w:sz w:val="24"/>
          <w:highlight w:val="none"/>
        </w:rPr>
      </w:pPr>
      <w:r>
        <w:rPr>
          <w:rFonts w:hint="eastAsia" w:ascii="宋体" w:hAnsi="宋体"/>
          <w:color w:val="auto"/>
          <w:szCs w:val="21"/>
          <w:highlight w:val="none"/>
        </w:rPr>
        <w:t>符合条件的投标人可在信用中国（安徽）网站（网址</w:t>
      </w:r>
      <w:r>
        <w:rPr>
          <w:color w:val="auto"/>
          <w:highlight w:val="none"/>
        </w:rPr>
        <w:fldChar w:fldCharType="begin"/>
      </w:r>
      <w:r>
        <w:rPr>
          <w:color w:val="auto"/>
          <w:highlight w:val="none"/>
        </w:rPr>
        <w:instrText xml:space="preserve"> HYPERLINK "https://credit.ah.gov.cn/xinyongfuwu/index.html" </w:instrText>
      </w:r>
      <w:r>
        <w:rPr>
          <w:color w:val="auto"/>
          <w:highlight w:val="none"/>
        </w:rPr>
        <w:fldChar w:fldCharType="separate"/>
      </w:r>
      <w:r>
        <w:rPr>
          <w:rFonts w:hint="eastAsia" w:ascii="宋体" w:hAnsi="宋体"/>
          <w:color w:val="auto"/>
          <w:szCs w:val="21"/>
          <w:highlight w:val="none"/>
        </w:rPr>
        <w:t>https://credit.ah.gov.cn/xinyongfuwu/index.html</w:t>
      </w:r>
      <w:r>
        <w:rPr>
          <w:rFonts w:hint="eastAsia" w:ascii="宋体" w:hAnsi="宋体"/>
          <w:color w:val="auto"/>
          <w:szCs w:val="21"/>
          <w:highlight w:val="none"/>
        </w:rPr>
        <w:fldChar w:fldCharType="end"/>
      </w:r>
      <w:r>
        <w:rPr>
          <w:rFonts w:hint="eastAsia" w:ascii="宋体" w:hAnsi="宋体"/>
          <w:color w:val="auto"/>
          <w:szCs w:val="21"/>
          <w:highlight w:val="none"/>
        </w:rPr>
        <w:t>），获取信用报告（无违法违规证明版或核查版）并上传至投标文件中。</w:t>
      </w:r>
      <w:r>
        <w:rPr>
          <w:rFonts w:hint="eastAsia" w:ascii="宋体" w:hAnsi="宋体"/>
          <w:b/>
          <w:color w:val="auto"/>
          <w:sz w:val="24"/>
          <w:highlight w:val="none"/>
        </w:rPr>
        <w:br w:type="page"/>
      </w:r>
    </w:p>
    <w:bookmarkEnd w:id="102"/>
    <w:bookmarkEnd w:id="103"/>
    <w:p w14:paraId="33410FF8">
      <w:pPr>
        <w:wordWrap w:val="0"/>
        <w:spacing w:before="100" w:beforeAutospacing="1" w:after="100" w:afterAutospacing="1"/>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二、技术标格式文件</w:t>
      </w:r>
    </w:p>
    <w:p w14:paraId="3FAA9CD7">
      <w:pPr>
        <w:jc w:val="center"/>
        <w:rPr>
          <w:rFonts w:ascii="宋体"/>
          <w:b/>
          <w:color w:val="auto"/>
          <w:sz w:val="44"/>
          <w:szCs w:val="44"/>
          <w:highlight w:val="none"/>
        </w:rPr>
      </w:pPr>
      <w:bookmarkStart w:id="109" w:name="_Toc387149626"/>
      <w:bookmarkStart w:id="110" w:name="_Toc449028953"/>
    </w:p>
    <w:p w14:paraId="4E81442D">
      <w:pPr>
        <w:jc w:val="center"/>
        <w:rPr>
          <w:rFonts w:ascii="宋体"/>
          <w:b/>
          <w:color w:val="auto"/>
          <w:sz w:val="44"/>
          <w:szCs w:val="44"/>
          <w:highlight w:val="none"/>
        </w:rPr>
      </w:pPr>
      <w:r>
        <w:rPr>
          <w:rFonts w:hint="eastAsia" w:ascii="宋体"/>
          <w:b/>
          <w:color w:val="auto"/>
          <w:sz w:val="44"/>
          <w:szCs w:val="44"/>
          <w:highlight w:val="none"/>
        </w:rPr>
        <w:t>技术标</w:t>
      </w:r>
      <w:bookmarkEnd w:id="109"/>
      <w:bookmarkEnd w:id="110"/>
    </w:p>
    <w:p w14:paraId="4B080D5A">
      <w:pPr>
        <w:jc w:val="center"/>
        <w:rPr>
          <w:rFonts w:ascii="宋体"/>
          <w:color w:val="auto"/>
          <w:sz w:val="32"/>
          <w:szCs w:val="32"/>
          <w:highlight w:val="none"/>
        </w:rPr>
      </w:pPr>
      <w:r>
        <w:rPr>
          <w:rFonts w:hint="eastAsia" w:ascii="宋体"/>
          <w:color w:val="auto"/>
          <w:sz w:val="32"/>
          <w:szCs w:val="32"/>
          <w:highlight w:val="none"/>
        </w:rPr>
        <w:t>（投标文件二）</w:t>
      </w:r>
    </w:p>
    <w:p w14:paraId="3A385EEC">
      <w:pPr>
        <w:jc w:val="center"/>
        <w:rPr>
          <w:rFonts w:eastAsia="黑体"/>
          <w:color w:val="auto"/>
          <w:sz w:val="44"/>
          <w:szCs w:val="44"/>
          <w:highlight w:val="none"/>
        </w:rPr>
      </w:pPr>
    </w:p>
    <w:p w14:paraId="7E782C91">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0324ED1">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79D80B3F">
      <w:pPr>
        <w:rPr>
          <w:rFonts w:ascii="宋体"/>
          <w:color w:val="auto"/>
          <w:sz w:val="28"/>
          <w:szCs w:val="28"/>
          <w:highlight w:val="none"/>
        </w:rPr>
      </w:pPr>
    </w:p>
    <w:p w14:paraId="39BAA0C1">
      <w:pPr>
        <w:rPr>
          <w:rFonts w:ascii="宋体"/>
          <w:color w:val="auto"/>
          <w:sz w:val="28"/>
          <w:szCs w:val="28"/>
          <w:highlight w:val="none"/>
        </w:rPr>
      </w:pPr>
    </w:p>
    <w:p w14:paraId="5F46AE48">
      <w:pPr>
        <w:rPr>
          <w:rFonts w:ascii="宋体"/>
          <w:color w:val="auto"/>
          <w:sz w:val="28"/>
          <w:szCs w:val="28"/>
          <w:highlight w:val="none"/>
        </w:rPr>
      </w:pPr>
    </w:p>
    <w:p w14:paraId="0B27F598">
      <w:pPr>
        <w:rPr>
          <w:rFonts w:ascii="宋体"/>
          <w:color w:val="auto"/>
          <w:sz w:val="28"/>
          <w:szCs w:val="28"/>
          <w:highlight w:val="none"/>
        </w:rPr>
      </w:pPr>
    </w:p>
    <w:p w14:paraId="63FDF9B5">
      <w:pPr>
        <w:rPr>
          <w:rFonts w:ascii="宋体"/>
          <w:color w:val="auto"/>
          <w:sz w:val="28"/>
          <w:szCs w:val="28"/>
          <w:highlight w:val="none"/>
        </w:rPr>
      </w:pPr>
    </w:p>
    <w:p w14:paraId="120A198D">
      <w:pPr>
        <w:rPr>
          <w:rFonts w:ascii="宋体"/>
          <w:color w:val="auto"/>
          <w:sz w:val="28"/>
          <w:szCs w:val="28"/>
          <w:highlight w:val="none"/>
        </w:rPr>
      </w:pPr>
    </w:p>
    <w:p w14:paraId="3CEEBD4F">
      <w:pPr>
        <w:rPr>
          <w:rFonts w:ascii="宋体"/>
          <w:color w:val="auto"/>
          <w:sz w:val="28"/>
          <w:szCs w:val="28"/>
          <w:highlight w:val="none"/>
        </w:rPr>
      </w:pPr>
    </w:p>
    <w:p w14:paraId="6BCAA2EA">
      <w:pPr>
        <w:rPr>
          <w:rFonts w:ascii="宋体"/>
          <w:color w:val="auto"/>
          <w:sz w:val="28"/>
          <w:szCs w:val="28"/>
          <w:highlight w:val="none"/>
        </w:rPr>
      </w:pPr>
    </w:p>
    <w:p w14:paraId="5478211A">
      <w:pPr>
        <w:jc w:val="center"/>
        <w:rPr>
          <w:rFonts w:ascii="宋体"/>
          <w:color w:val="auto"/>
          <w:sz w:val="28"/>
          <w:szCs w:val="28"/>
          <w:highlight w:val="none"/>
          <w:u w:val="single"/>
        </w:rPr>
      </w:pPr>
      <w:r>
        <w:rPr>
          <w:rFonts w:hint="eastAsia" w:ascii="宋体"/>
          <w:color w:val="auto"/>
          <w:sz w:val="28"/>
          <w:szCs w:val="28"/>
          <w:highlight w:val="none"/>
        </w:rPr>
        <w:t xml:space="preserve">   投标人：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2B0940DB">
      <w:pPr>
        <w:ind w:firstLine="560" w:firstLineChars="20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74054F01">
      <w:pPr>
        <w:jc w:val="center"/>
        <w:rPr>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42134B11">
      <w:pPr>
        <w:pStyle w:val="12"/>
        <w:ind w:firstLine="560"/>
        <w:rPr>
          <w:rFonts w:ascii="宋体"/>
          <w:color w:val="auto"/>
          <w:sz w:val="28"/>
          <w:szCs w:val="28"/>
          <w:highlight w:val="none"/>
        </w:rPr>
      </w:pPr>
      <w:r>
        <w:rPr>
          <w:rFonts w:hint="eastAsia" w:ascii="宋体"/>
          <w:color w:val="auto"/>
          <w:sz w:val="28"/>
          <w:szCs w:val="28"/>
          <w:highlight w:val="none"/>
        </w:rPr>
        <w:br w:type="page"/>
      </w:r>
    </w:p>
    <w:p w14:paraId="59F78E1C">
      <w:pPr>
        <w:rPr>
          <w:rFonts w:ascii="宋体"/>
          <w:color w:val="auto"/>
          <w:sz w:val="28"/>
          <w:szCs w:val="28"/>
          <w:highlight w:val="none"/>
        </w:rPr>
      </w:pPr>
    </w:p>
    <w:p w14:paraId="2E5BD2C4">
      <w:pPr>
        <w:pStyle w:val="12"/>
        <w:ind w:firstLine="400"/>
        <w:rPr>
          <w:color w:val="auto"/>
          <w:highlight w:val="none"/>
        </w:rPr>
      </w:pPr>
    </w:p>
    <w:p w14:paraId="369697E8">
      <w:pPr>
        <w:spacing w:line="400" w:lineRule="exact"/>
        <w:jc w:val="center"/>
        <w:rPr>
          <w:b/>
          <w:color w:val="auto"/>
          <w:sz w:val="36"/>
          <w:szCs w:val="36"/>
          <w:highlight w:val="none"/>
        </w:rPr>
      </w:pPr>
      <w:r>
        <w:rPr>
          <w:rFonts w:hint="eastAsia"/>
          <w:b/>
          <w:color w:val="auto"/>
          <w:sz w:val="36"/>
          <w:szCs w:val="36"/>
          <w:highlight w:val="none"/>
        </w:rPr>
        <w:t>目   录</w:t>
      </w:r>
    </w:p>
    <w:p w14:paraId="5C1DFEA0">
      <w:pPr>
        <w:snapToGrid w:val="0"/>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color w:val="auto"/>
          <w:szCs w:val="21"/>
          <w:highlight w:val="none"/>
        </w:rPr>
        <w:t>详细的货物名称、规格、技术参数等【附技术参数响应表、货物的详细配置清单，格式见附件】</w:t>
      </w:r>
      <w:r>
        <w:rPr>
          <w:rFonts w:hint="eastAsia" w:ascii="宋体" w:hAnsi="宋体" w:cs="宋体"/>
          <w:bCs/>
          <w:color w:val="auto"/>
          <w:szCs w:val="21"/>
          <w:highlight w:val="none"/>
        </w:rPr>
        <w:t>；</w:t>
      </w:r>
    </w:p>
    <w:p w14:paraId="18C5D2AF">
      <w:pPr>
        <w:snapToGrid w:val="0"/>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（2）技术方案：为本项目实施所采用的技术措施和实施方案等；</w:t>
      </w:r>
    </w:p>
    <w:p w14:paraId="76F47874">
      <w:pPr>
        <w:snapToGrid w:val="0"/>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（3）服务承诺：是否响应招标文件要求的书面说明和服务承诺书（格式见附件）</w:t>
      </w:r>
    </w:p>
    <w:p w14:paraId="6D3350CA">
      <w:pPr>
        <w:snapToGrid w:val="0"/>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（4）技术培训：是否响应招标文件要求的书面说明</w:t>
      </w:r>
    </w:p>
    <w:p w14:paraId="0DEF8C3B">
      <w:pPr>
        <w:snapToGrid w:val="0"/>
        <w:spacing w:line="5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（5）招标文件第四章中要求提供的技术证明材料及投标人认为需要提供的其他技术证明材料（如有）。</w:t>
      </w:r>
    </w:p>
    <w:p w14:paraId="716F4619">
      <w:pPr>
        <w:pStyle w:val="17"/>
        <w:rPr>
          <w:color w:val="auto"/>
          <w:highlight w:val="none"/>
        </w:rPr>
      </w:pPr>
    </w:p>
    <w:p w14:paraId="5449DD81">
      <w:pPr>
        <w:spacing w:line="400" w:lineRule="exact"/>
        <w:ind w:firstLine="562" w:firstLineChars="200"/>
        <w:rPr>
          <w:b/>
          <w:color w:val="auto"/>
          <w:sz w:val="28"/>
          <w:szCs w:val="28"/>
          <w:highlight w:val="none"/>
        </w:rPr>
      </w:pPr>
    </w:p>
    <w:p w14:paraId="0DDB258B">
      <w:pPr>
        <w:spacing w:line="400" w:lineRule="exact"/>
        <w:ind w:firstLine="562" w:firstLineChars="200"/>
        <w:rPr>
          <w:b/>
          <w:color w:val="auto"/>
          <w:sz w:val="28"/>
          <w:szCs w:val="28"/>
          <w:highlight w:val="none"/>
        </w:rPr>
      </w:pPr>
    </w:p>
    <w:p w14:paraId="5071C882">
      <w:pPr>
        <w:spacing w:line="400" w:lineRule="exact"/>
        <w:ind w:firstLine="562" w:firstLineChars="200"/>
        <w:rPr>
          <w:b/>
          <w:color w:val="auto"/>
          <w:sz w:val="28"/>
          <w:szCs w:val="28"/>
          <w:highlight w:val="none"/>
        </w:rPr>
      </w:pPr>
    </w:p>
    <w:p w14:paraId="30FAD4E7">
      <w:pPr>
        <w:rPr>
          <w:b/>
          <w:color w:val="auto"/>
          <w:sz w:val="28"/>
          <w:szCs w:val="28"/>
          <w:highlight w:val="none"/>
        </w:rPr>
      </w:pPr>
      <w:r>
        <w:rPr>
          <w:rFonts w:hint="eastAsia"/>
          <w:b/>
          <w:color w:val="auto"/>
          <w:sz w:val="28"/>
          <w:szCs w:val="28"/>
          <w:highlight w:val="none"/>
        </w:rPr>
        <w:br w:type="page"/>
      </w:r>
    </w:p>
    <w:p w14:paraId="59EB071C">
      <w:pPr>
        <w:rPr>
          <w:rFonts w:hint="eastAsia" w:ascii="宋体" w:hAnsi="宋体"/>
          <w:b/>
          <w:color w:val="auto"/>
          <w:sz w:val="24"/>
          <w:highlight w:val="none"/>
        </w:rPr>
      </w:pPr>
      <w:r>
        <w:rPr>
          <w:rFonts w:hint="eastAsia" w:ascii="宋体" w:hAnsi="宋体"/>
          <w:b/>
          <w:color w:val="auto"/>
          <w:sz w:val="24"/>
          <w:highlight w:val="none"/>
        </w:rPr>
        <w:t>附件1：</w:t>
      </w:r>
    </w:p>
    <w:p w14:paraId="057DE0C6">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14:paraId="38B05D69">
      <w:pPr>
        <w:rPr>
          <w:rFonts w:hint="eastAsia" w:ascii="宋体" w:hAnsi="宋体"/>
          <w:color w:val="auto"/>
          <w:sz w:val="24"/>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421"/>
        <w:gridCol w:w="1539"/>
        <w:gridCol w:w="1555"/>
        <w:gridCol w:w="1577"/>
        <w:gridCol w:w="1962"/>
      </w:tblGrid>
      <w:tr w14:paraId="220C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65" w:type="dxa"/>
            <w:vMerge w:val="restart"/>
            <w:vAlign w:val="center"/>
          </w:tcPr>
          <w:p w14:paraId="2B36E727">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421" w:type="dxa"/>
            <w:vMerge w:val="restart"/>
            <w:vAlign w:val="center"/>
          </w:tcPr>
          <w:p w14:paraId="58A13A4E">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品目名称</w:t>
            </w:r>
          </w:p>
        </w:tc>
        <w:tc>
          <w:tcPr>
            <w:tcW w:w="3094" w:type="dxa"/>
            <w:gridSpan w:val="2"/>
            <w:vAlign w:val="center"/>
          </w:tcPr>
          <w:p w14:paraId="65E1F600">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规格型号及参数</w:t>
            </w:r>
          </w:p>
        </w:tc>
        <w:tc>
          <w:tcPr>
            <w:tcW w:w="1577" w:type="dxa"/>
            <w:vMerge w:val="restart"/>
            <w:vAlign w:val="center"/>
          </w:tcPr>
          <w:p w14:paraId="674264AB">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是否响应</w:t>
            </w:r>
          </w:p>
        </w:tc>
        <w:tc>
          <w:tcPr>
            <w:tcW w:w="1962" w:type="dxa"/>
            <w:vMerge w:val="restart"/>
            <w:vAlign w:val="center"/>
          </w:tcPr>
          <w:p w14:paraId="22FDC2DB">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其他情况说明</w:t>
            </w:r>
          </w:p>
        </w:tc>
      </w:tr>
      <w:tr w14:paraId="1235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65" w:type="dxa"/>
            <w:vMerge w:val="continue"/>
          </w:tcPr>
          <w:p w14:paraId="764CCD0D">
            <w:pPr>
              <w:spacing w:line="240" w:lineRule="atLeast"/>
              <w:ind w:firstLine="105" w:firstLineChars="50"/>
              <w:rPr>
                <w:rFonts w:hint="eastAsia" w:ascii="宋体" w:hAnsi="宋体" w:cs="宋体"/>
                <w:color w:val="auto"/>
                <w:szCs w:val="21"/>
                <w:highlight w:val="none"/>
              </w:rPr>
            </w:pPr>
          </w:p>
        </w:tc>
        <w:tc>
          <w:tcPr>
            <w:tcW w:w="1421" w:type="dxa"/>
            <w:vMerge w:val="continue"/>
          </w:tcPr>
          <w:p w14:paraId="09C91C2E">
            <w:pPr>
              <w:spacing w:line="240" w:lineRule="atLeast"/>
              <w:jc w:val="center"/>
              <w:rPr>
                <w:rFonts w:hint="eastAsia" w:ascii="宋体" w:hAnsi="宋体" w:cs="宋体"/>
                <w:color w:val="auto"/>
                <w:szCs w:val="21"/>
                <w:highlight w:val="none"/>
              </w:rPr>
            </w:pPr>
          </w:p>
        </w:tc>
        <w:tc>
          <w:tcPr>
            <w:tcW w:w="1539" w:type="dxa"/>
          </w:tcPr>
          <w:p w14:paraId="575AB9E5">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55" w:type="dxa"/>
          </w:tcPr>
          <w:p w14:paraId="7DBFF58E">
            <w:pPr>
              <w:spacing w:line="240" w:lineRule="atLeast"/>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7" w:type="dxa"/>
            <w:vMerge w:val="continue"/>
          </w:tcPr>
          <w:p w14:paraId="472F7AF9">
            <w:pPr>
              <w:spacing w:line="240" w:lineRule="atLeast"/>
              <w:jc w:val="center"/>
              <w:rPr>
                <w:rFonts w:hint="eastAsia" w:ascii="宋体" w:hAnsi="宋体" w:cs="宋体"/>
                <w:color w:val="auto"/>
                <w:szCs w:val="21"/>
                <w:highlight w:val="none"/>
              </w:rPr>
            </w:pPr>
          </w:p>
        </w:tc>
        <w:tc>
          <w:tcPr>
            <w:tcW w:w="1962" w:type="dxa"/>
            <w:vMerge w:val="continue"/>
          </w:tcPr>
          <w:p w14:paraId="791E6125">
            <w:pPr>
              <w:spacing w:line="240" w:lineRule="atLeast"/>
              <w:jc w:val="center"/>
              <w:rPr>
                <w:rFonts w:hint="eastAsia" w:ascii="宋体" w:hAnsi="宋体" w:cs="宋体"/>
                <w:color w:val="auto"/>
                <w:szCs w:val="21"/>
                <w:highlight w:val="none"/>
              </w:rPr>
            </w:pPr>
          </w:p>
        </w:tc>
      </w:tr>
      <w:tr w14:paraId="6A6B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vAlign w:val="center"/>
          </w:tcPr>
          <w:p w14:paraId="05AB1B9B">
            <w:pPr>
              <w:jc w:val="center"/>
              <w:rPr>
                <w:rFonts w:hint="eastAsia" w:ascii="宋体" w:hAnsi="宋体"/>
                <w:color w:val="auto"/>
                <w:szCs w:val="21"/>
                <w:highlight w:val="none"/>
              </w:rPr>
            </w:pPr>
            <w:r>
              <w:rPr>
                <w:rFonts w:hint="eastAsia" w:ascii="宋体" w:hAnsi="宋体"/>
                <w:color w:val="auto"/>
                <w:szCs w:val="21"/>
                <w:highlight w:val="none"/>
              </w:rPr>
              <w:t>1</w:t>
            </w:r>
          </w:p>
        </w:tc>
        <w:tc>
          <w:tcPr>
            <w:tcW w:w="1421" w:type="dxa"/>
            <w:shd w:val="clear" w:color="auto" w:fill="FFFFFF"/>
            <w:vAlign w:val="center"/>
          </w:tcPr>
          <w:p w14:paraId="678A767A">
            <w:pPr>
              <w:widowControl/>
              <w:spacing w:line="360" w:lineRule="auto"/>
              <w:jc w:val="center"/>
              <w:textAlignment w:val="center"/>
              <w:rPr>
                <w:rFonts w:hint="eastAsia" w:ascii="宋体" w:hAnsi="宋体"/>
                <w:color w:val="auto"/>
                <w:szCs w:val="21"/>
                <w:highlight w:val="none"/>
              </w:rPr>
            </w:pPr>
          </w:p>
        </w:tc>
        <w:tc>
          <w:tcPr>
            <w:tcW w:w="1539" w:type="dxa"/>
            <w:vAlign w:val="center"/>
          </w:tcPr>
          <w:p w14:paraId="715810F3">
            <w:pPr>
              <w:ind w:firstLine="630" w:firstLineChars="300"/>
              <w:jc w:val="center"/>
              <w:rPr>
                <w:rFonts w:hint="eastAsia" w:ascii="宋体" w:hAnsi="宋体"/>
                <w:color w:val="auto"/>
                <w:szCs w:val="21"/>
                <w:highlight w:val="none"/>
              </w:rPr>
            </w:pPr>
          </w:p>
        </w:tc>
        <w:tc>
          <w:tcPr>
            <w:tcW w:w="1555" w:type="dxa"/>
            <w:vAlign w:val="center"/>
          </w:tcPr>
          <w:p w14:paraId="504AEF92">
            <w:pPr>
              <w:ind w:firstLine="630" w:firstLineChars="300"/>
              <w:jc w:val="center"/>
              <w:rPr>
                <w:rFonts w:hint="eastAsia" w:ascii="宋体" w:hAnsi="宋体"/>
                <w:color w:val="auto"/>
                <w:szCs w:val="21"/>
                <w:highlight w:val="none"/>
              </w:rPr>
            </w:pPr>
          </w:p>
        </w:tc>
        <w:tc>
          <w:tcPr>
            <w:tcW w:w="1577" w:type="dxa"/>
            <w:vAlign w:val="center"/>
          </w:tcPr>
          <w:p w14:paraId="3D0AB545">
            <w:pPr>
              <w:jc w:val="center"/>
              <w:rPr>
                <w:rFonts w:hint="eastAsia" w:ascii="宋体" w:hAnsi="宋体"/>
                <w:color w:val="auto"/>
                <w:szCs w:val="21"/>
                <w:highlight w:val="none"/>
              </w:rPr>
            </w:pPr>
            <w:r>
              <w:rPr>
                <w:rFonts w:hint="eastAsia" w:ascii="宋体" w:hAnsi="宋体" w:cs="宋体"/>
                <w:color w:val="auto"/>
                <w:szCs w:val="21"/>
                <w:highlight w:val="none"/>
              </w:rPr>
              <w:t>是/否</w:t>
            </w:r>
          </w:p>
        </w:tc>
        <w:tc>
          <w:tcPr>
            <w:tcW w:w="1962" w:type="dxa"/>
            <w:vAlign w:val="center"/>
          </w:tcPr>
          <w:p w14:paraId="1A0DACAD">
            <w:pPr>
              <w:jc w:val="center"/>
              <w:rPr>
                <w:rFonts w:hint="eastAsia" w:ascii="宋体" w:hAnsi="宋体"/>
                <w:color w:val="auto"/>
                <w:szCs w:val="21"/>
                <w:highlight w:val="none"/>
              </w:rPr>
            </w:pPr>
          </w:p>
        </w:tc>
      </w:tr>
      <w:tr w14:paraId="3973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vAlign w:val="center"/>
          </w:tcPr>
          <w:p w14:paraId="21B83C6C">
            <w:pPr>
              <w:jc w:val="center"/>
              <w:rPr>
                <w:rFonts w:hint="eastAsia" w:ascii="宋体" w:hAnsi="宋体"/>
                <w:color w:val="auto"/>
                <w:szCs w:val="21"/>
                <w:highlight w:val="none"/>
              </w:rPr>
            </w:pPr>
            <w:r>
              <w:rPr>
                <w:rFonts w:hint="eastAsia" w:ascii="宋体" w:hAnsi="宋体"/>
                <w:color w:val="auto"/>
                <w:szCs w:val="21"/>
                <w:highlight w:val="none"/>
              </w:rPr>
              <w:t>2</w:t>
            </w:r>
          </w:p>
        </w:tc>
        <w:tc>
          <w:tcPr>
            <w:tcW w:w="1421" w:type="dxa"/>
            <w:shd w:val="clear" w:color="auto" w:fill="FFFFFF"/>
            <w:vAlign w:val="center"/>
          </w:tcPr>
          <w:p w14:paraId="27567554">
            <w:pPr>
              <w:widowControl/>
              <w:spacing w:line="360" w:lineRule="auto"/>
              <w:jc w:val="center"/>
              <w:textAlignment w:val="center"/>
              <w:rPr>
                <w:rFonts w:hint="eastAsia" w:ascii="宋体" w:hAnsi="宋体"/>
                <w:color w:val="auto"/>
                <w:sz w:val="24"/>
                <w:highlight w:val="none"/>
              </w:rPr>
            </w:pPr>
          </w:p>
        </w:tc>
        <w:tc>
          <w:tcPr>
            <w:tcW w:w="1539" w:type="dxa"/>
            <w:vAlign w:val="center"/>
          </w:tcPr>
          <w:p w14:paraId="65EF1D93">
            <w:pPr>
              <w:ind w:firstLine="630" w:firstLineChars="300"/>
              <w:jc w:val="center"/>
              <w:rPr>
                <w:rFonts w:hint="eastAsia" w:ascii="宋体" w:hAnsi="宋体"/>
                <w:color w:val="auto"/>
                <w:szCs w:val="21"/>
                <w:highlight w:val="none"/>
              </w:rPr>
            </w:pPr>
          </w:p>
        </w:tc>
        <w:tc>
          <w:tcPr>
            <w:tcW w:w="1555" w:type="dxa"/>
            <w:vAlign w:val="center"/>
          </w:tcPr>
          <w:p w14:paraId="11BDDDEF">
            <w:pPr>
              <w:ind w:firstLine="630" w:firstLineChars="300"/>
              <w:jc w:val="center"/>
              <w:rPr>
                <w:rFonts w:hint="eastAsia" w:ascii="宋体" w:hAnsi="宋体"/>
                <w:color w:val="auto"/>
                <w:szCs w:val="21"/>
                <w:highlight w:val="none"/>
              </w:rPr>
            </w:pPr>
          </w:p>
        </w:tc>
        <w:tc>
          <w:tcPr>
            <w:tcW w:w="1577" w:type="dxa"/>
            <w:vAlign w:val="center"/>
          </w:tcPr>
          <w:p w14:paraId="64EBD240">
            <w:pPr>
              <w:jc w:val="center"/>
              <w:rPr>
                <w:color w:val="auto"/>
                <w:highlight w:val="none"/>
              </w:rPr>
            </w:pPr>
            <w:r>
              <w:rPr>
                <w:rFonts w:hint="eastAsia" w:ascii="宋体" w:hAnsi="宋体" w:cs="宋体"/>
                <w:color w:val="auto"/>
                <w:szCs w:val="21"/>
                <w:highlight w:val="none"/>
              </w:rPr>
              <w:t>是/否</w:t>
            </w:r>
          </w:p>
        </w:tc>
        <w:tc>
          <w:tcPr>
            <w:tcW w:w="1962" w:type="dxa"/>
            <w:vAlign w:val="center"/>
          </w:tcPr>
          <w:p w14:paraId="35180F5D">
            <w:pPr>
              <w:jc w:val="center"/>
              <w:rPr>
                <w:rFonts w:hint="eastAsia" w:ascii="宋体" w:hAnsi="宋体"/>
                <w:color w:val="auto"/>
                <w:szCs w:val="21"/>
                <w:highlight w:val="none"/>
              </w:rPr>
            </w:pPr>
          </w:p>
        </w:tc>
      </w:tr>
      <w:tr w14:paraId="3F7F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vAlign w:val="center"/>
          </w:tcPr>
          <w:p w14:paraId="4A587691">
            <w:pPr>
              <w:jc w:val="center"/>
              <w:rPr>
                <w:rFonts w:hint="eastAsia" w:ascii="宋体" w:hAnsi="宋体"/>
                <w:color w:val="auto"/>
                <w:szCs w:val="21"/>
                <w:highlight w:val="none"/>
              </w:rPr>
            </w:pPr>
            <w:r>
              <w:rPr>
                <w:rFonts w:hint="eastAsia" w:ascii="宋体" w:hAnsi="宋体"/>
                <w:color w:val="auto"/>
                <w:szCs w:val="21"/>
                <w:highlight w:val="none"/>
              </w:rPr>
              <w:t>3</w:t>
            </w:r>
          </w:p>
        </w:tc>
        <w:tc>
          <w:tcPr>
            <w:tcW w:w="1421" w:type="dxa"/>
            <w:shd w:val="clear" w:color="auto" w:fill="FFFFFF"/>
            <w:vAlign w:val="center"/>
          </w:tcPr>
          <w:p w14:paraId="78F6B5E2">
            <w:pPr>
              <w:widowControl/>
              <w:spacing w:line="360" w:lineRule="auto"/>
              <w:jc w:val="center"/>
              <w:textAlignment w:val="center"/>
              <w:rPr>
                <w:rFonts w:hint="eastAsia" w:ascii="宋体" w:hAnsi="宋体"/>
                <w:color w:val="auto"/>
                <w:sz w:val="24"/>
                <w:highlight w:val="none"/>
              </w:rPr>
            </w:pPr>
          </w:p>
        </w:tc>
        <w:tc>
          <w:tcPr>
            <w:tcW w:w="1539" w:type="dxa"/>
            <w:vAlign w:val="center"/>
          </w:tcPr>
          <w:p w14:paraId="5FD8D1E2">
            <w:pPr>
              <w:ind w:firstLine="630" w:firstLineChars="300"/>
              <w:jc w:val="center"/>
              <w:rPr>
                <w:rFonts w:hint="eastAsia" w:ascii="宋体" w:hAnsi="宋体"/>
                <w:color w:val="auto"/>
                <w:szCs w:val="21"/>
                <w:highlight w:val="none"/>
              </w:rPr>
            </w:pPr>
          </w:p>
        </w:tc>
        <w:tc>
          <w:tcPr>
            <w:tcW w:w="1555" w:type="dxa"/>
            <w:vAlign w:val="center"/>
          </w:tcPr>
          <w:p w14:paraId="5D93BB96">
            <w:pPr>
              <w:ind w:firstLine="630" w:firstLineChars="300"/>
              <w:jc w:val="center"/>
              <w:rPr>
                <w:rFonts w:hint="eastAsia" w:ascii="宋体" w:hAnsi="宋体"/>
                <w:color w:val="auto"/>
                <w:szCs w:val="21"/>
                <w:highlight w:val="none"/>
              </w:rPr>
            </w:pPr>
          </w:p>
        </w:tc>
        <w:tc>
          <w:tcPr>
            <w:tcW w:w="1577" w:type="dxa"/>
            <w:vAlign w:val="center"/>
          </w:tcPr>
          <w:p w14:paraId="07D50342">
            <w:pPr>
              <w:jc w:val="center"/>
              <w:rPr>
                <w:color w:val="auto"/>
                <w:highlight w:val="none"/>
              </w:rPr>
            </w:pPr>
            <w:r>
              <w:rPr>
                <w:rFonts w:hint="eastAsia" w:ascii="宋体" w:hAnsi="宋体" w:cs="宋体"/>
                <w:color w:val="auto"/>
                <w:szCs w:val="21"/>
                <w:highlight w:val="none"/>
              </w:rPr>
              <w:t>是/否</w:t>
            </w:r>
          </w:p>
        </w:tc>
        <w:tc>
          <w:tcPr>
            <w:tcW w:w="1962" w:type="dxa"/>
            <w:vAlign w:val="center"/>
          </w:tcPr>
          <w:p w14:paraId="7D35CA09">
            <w:pPr>
              <w:jc w:val="center"/>
              <w:rPr>
                <w:rFonts w:hint="eastAsia" w:ascii="宋体" w:hAnsi="宋体"/>
                <w:color w:val="auto"/>
                <w:szCs w:val="21"/>
                <w:highlight w:val="none"/>
              </w:rPr>
            </w:pPr>
          </w:p>
        </w:tc>
      </w:tr>
      <w:tr w14:paraId="12DD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vAlign w:val="center"/>
          </w:tcPr>
          <w:p w14:paraId="7244A2A1">
            <w:pPr>
              <w:jc w:val="center"/>
              <w:rPr>
                <w:rFonts w:hint="eastAsia" w:ascii="宋体" w:hAnsi="宋体"/>
                <w:color w:val="auto"/>
                <w:szCs w:val="21"/>
                <w:highlight w:val="none"/>
              </w:rPr>
            </w:pPr>
            <w:r>
              <w:rPr>
                <w:rFonts w:ascii="宋体" w:hAnsi="宋体"/>
                <w:color w:val="auto"/>
                <w:szCs w:val="21"/>
                <w:highlight w:val="none"/>
              </w:rPr>
              <w:t>…</w:t>
            </w:r>
          </w:p>
        </w:tc>
        <w:tc>
          <w:tcPr>
            <w:tcW w:w="1421" w:type="dxa"/>
            <w:shd w:val="clear" w:color="auto" w:fill="FFFFFF"/>
            <w:vAlign w:val="center"/>
          </w:tcPr>
          <w:p w14:paraId="6CB3A1F3">
            <w:pPr>
              <w:widowControl/>
              <w:spacing w:line="360" w:lineRule="auto"/>
              <w:jc w:val="center"/>
              <w:textAlignment w:val="center"/>
              <w:rPr>
                <w:rFonts w:hint="eastAsia" w:ascii="宋体" w:hAnsi="宋体"/>
                <w:color w:val="auto"/>
                <w:sz w:val="24"/>
                <w:highlight w:val="none"/>
              </w:rPr>
            </w:pPr>
          </w:p>
        </w:tc>
        <w:tc>
          <w:tcPr>
            <w:tcW w:w="1539" w:type="dxa"/>
            <w:vAlign w:val="center"/>
          </w:tcPr>
          <w:p w14:paraId="18444557">
            <w:pPr>
              <w:ind w:firstLine="630" w:firstLineChars="300"/>
              <w:jc w:val="center"/>
              <w:rPr>
                <w:rFonts w:hint="eastAsia" w:ascii="宋体" w:hAnsi="宋体"/>
                <w:color w:val="auto"/>
                <w:szCs w:val="21"/>
                <w:highlight w:val="none"/>
              </w:rPr>
            </w:pPr>
          </w:p>
        </w:tc>
        <w:tc>
          <w:tcPr>
            <w:tcW w:w="1555" w:type="dxa"/>
            <w:vAlign w:val="center"/>
          </w:tcPr>
          <w:p w14:paraId="4B15978D">
            <w:pPr>
              <w:ind w:firstLine="630" w:firstLineChars="300"/>
              <w:jc w:val="center"/>
              <w:rPr>
                <w:rFonts w:hint="eastAsia" w:ascii="宋体" w:hAnsi="宋体"/>
                <w:color w:val="auto"/>
                <w:szCs w:val="21"/>
                <w:highlight w:val="none"/>
              </w:rPr>
            </w:pPr>
          </w:p>
        </w:tc>
        <w:tc>
          <w:tcPr>
            <w:tcW w:w="1577" w:type="dxa"/>
            <w:vAlign w:val="center"/>
          </w:tcPr>
          <w:p w14:paraId="4D6A4865">
            <w:pPr>
              <w:jc w:val="center"/>
              <w:rPr>
                <w:rFonts w:hint="eastAsia" w:ascii="宋体" w:hAnsi="宋体" w:cs="宋体"/>
                <w:color w:val="auto"/>
                <w:szCs w:val="21"/>
                <w:highlight w:val="none"/>
              </w:rPr>
            </w:pPr>
            <w:r>
              <w:rPr>
                <w:rFonts w:ascii="宋体" w:hAnsi="宋体" w:cs="宋体"/>
                <w:color w:val="auto"/>
                <w:szCs w:val="21"/>
                <w:highlight w:val="none"/>
              </w:rPr>
              <w:t>…</w:t>
            </w:r>
          </w:p>
        </w:tc>
        <w:tc>
          <w:tcPr>
            <w:tcW w:w="1962" w:type="dxa"/>
            <w:vAlign w:val="center"/>
          </w:tcPr>
          <w:p w14:paraId="039591D4">
            <w:pPr>
              <w:jc w:val="center"/>
              <w:rPr>
                <w:rFonts w:hint="eastAsia" w:ascii="宋体" w:hAnsi="宋体"/>
                <w:color w:val="auto"/>
                <w:szCs w:val="21"/>
                <w:highlight w:val="none"/>
              </w:rPr>
            </w:pPr>
          </w:p>
        </w:tc>
      </w:tr>
    </w:tbl>
    <w:p w14:paraId="4FB2A2FB">
      <w:pPr>
        <w:autoSpaceDE w:val="0"/>
        <w:autoSpaceDN w:val="0"/>
        <w:adjustRightInd w:val="0"/>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p>
    <w:p w14:paraId="745622AC">
      <w:pPr>
        <w:autoSpaceDE w:val="0"/>
        <w:autoSpaceDN w:val="0"/>
        <w:adjustRightInd w:val="0"/>
        <w:ind w:firstLine="562" w:firstLineChars="200"/>
        <w:rPr>
          <w:rFonts w:hint="eastAsia" w:ascii="宋体" w:hAnsi="宋体"/>
          <w:b/>
          <w:color w:val="auto"/>
          <w:sz w:val="28"/>
          <w:szCs w:val="28"/>
          <w:highlight w:val="none"/>
          <w:lang w:val="zh-CN"/>
        </w:rPr>
      </w:pPr>
      <w:r>
        <w:rPr>
          <w:rFonts w:ascii="宋体" w:hAnsi="宋体"/>
          <w:b/>
          <w:color w:val="auto"/>
          <w:sz w:val="28"/>
          <w:szCs w:val="28"/>
          <w:highlight w:val="none"/>
          <w:lang w:val="zh-CN"/>
        </w:rPr>
        <w:t>1</w:t>
      </w:r>
      <w:r>
        <w:rPr>
          <w:rFonts w:hint="eastAsia" w:ascii="宋体" w:hAnsi="宋体"/>
          <w:b/>
          <w:color w:val="auto"/>
          <w:sz w:val="28"/>
          <w:szCs w:val="28"/>
          <w:highlight w:val="none"/>
          <w:lang w:val="zh-CN"/>
        </w:rPr>
        <w:t>.供应商应逐一说明投标产品和服务响应，直接拷贝招标文件技术要求的按照无效投标处理；</w:t>
      </w:r>
    </w:p>
    <w:p w14:paraId="2252BCD5">
      <w:pPr>
        <w:autoSpaceDE w:val="0"/>
        <w:autoSpaceDN w:val="0"/>
        <w:adjustRightInd w:val="0"/>
        <w:ind w:firstLine="420" w:firstLineChars="200"/>
        <w:rPr>
          <w:rFonts w:hint="eastAsia" w:ascii="宋体" w:hAnsi="宋体"/>
          <w:color w:val="auto"/>
          <w:szCs w:val="21"/>
          <w:highlight w:val="none"/>
        </w:rPr>
      </w:pPr>
      <w:r>
        <w:rPr>
          <w:rFonts w:ascii="宋体" w:hAnsi="宋体" w:cs="宋体"/>
          <w:color w:val="auto"/>
          <w:szCs w:val="21"/>
          <w:highlight w:val="none"/>
          <w:lang w:val="zh-CN"/>
        </w:rPr>
        <w:t>2</w:t>
      </w:r>
      <w:r>
        <w:rPr>
          <w:rFonts w:hint="eastAsia" w:ascii="宋体" w:hAnsi="宋体" w:cs="宋体"/>
          <w:color w:val="auto"/>
          <w:szCs w:val="21"/>
          <w:highlight w:val="none"/>
          <w:lang w:val="zh-CN"/>
        </w:rPr>
        <w:t>.如果行数不够，请自行增加。</w:t>
      </w:r>
    </w:p>
    <w:p w14:paraId="2587EC2B">
      <w:pPr>
        <w:spacing w:line="360" w:lineRule="auto"/>
        <w:ind w:firstLine="420" w:firstLineChars="200"/>
        <w:jc w:val="right"/>
        <w:rPr>
          <w:rFonts w:hint="eastAsia"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29AD3B30">
      <w:pPr>
        <w:spacing w:line="360" w:lineRule="auto"/>
        <w:ind w:firstLine="420" w:firstLineChars="200"/>
        <w:jc w:val="right"/>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2A3C4548">
      <w:pPr>
        <w:spacing w:line="360" w:lineRule="auto"/>
        <w:jc w:val="right"/>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Start w:id="111" w:name="_Toc20556"/>
    </w:p>
    <w:p w14:paraId="170D904F">
      <w:pPr>
        <w:jc w:val="center"/>
        <w:rPr>
          <w:b/>
          <w:bCs/>
          <w:color w:val="auto"/>
          <w:sz w:val="28"/>
          <w:szCs w:val="28"/>
          <w:highlight w:val="none"/>
        </w:rPr>
      </w:pPr>
      <w:r>
        <w:rPr>
          <w:rFonts w:hint="eastAsia"/>
          <w:b/>
          <w:bCs/>
          <w:color w:val="auto"/>
          <w:sz w:val="28"/>
          <w:szCs w:val="28"/>
          <w:highlight w:val="none"/>
        </w:rPr>
        <w:t>货物的详细配置清单</w:t>
      </w:r>
      <w:bookmarkEnd w:id="111"/>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436"/>
        <w:gridCol w:w="2154"/>
        <w:gridCol w:w="1171"/>
        <w:gridCol w:w="2180"/>
        <w:gridCol w:w="1532"/>
      </w:tblGrid>
      <w:tr w14:paraId="3BB5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vAlign w:val="center"/>
          </w:tcPr>
          <w:p w14:paraId="1B46A976">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1436" w:type="dxa"/>
            <w:vAlign w:val="center"/>
          </w:tcPr>
          <w:p w14:paraId="1551AB42">
            <w:pPr>
              <w:spacing w:line="360" w:lineRule="auto"/>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54" w:type="dxa"/>
            <w:vAlign w:val="center"/>
          </w:tcPr>
          <w:p w14:paraId="5F909CA4">
            <w:pPr>
              <w:spacing w:line="360" w:lineRule="auto"/>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71" w:type="dxa"/>
            <w:vAlign w:val="center"/>
          </w:tcPr>
          <w:p w14:paraId="524E5839">
            <w:pPr>
              <w:spacing w:line="360" w:lineRule="auto"/>
              <w:jc w:val="center"/>
              <w:rPr>
                <w:rFonts w:hint="eastAsia" w:ascii="宋体" w:hAnsi="宋体"/>
                <w:color w:val="auto"/>
                <w:szCs w:val="21"/>
                <w:highlight w:val="none"/>
              </w:rPr>
            </w:pPr>
            <w:r>
              <w:rPr>
                <w:rFonts w:hint="eastAsia" w:ascii="宋体" w:hAnsi="宋体"/>
                <w:color w:val="auto"/>
                <w:szCs w:val="21"/>
                <w:highlight w:val="none"/>
              </w:rPr>
              <w:t>产地</w:t>
            </w:r>
          </w:p>
        </w:tc>
        <w:tc>
          <w:tcPr>
            <w:tcW w:w="2180" w:type="dxa"/>
            <w:vAlign w:val="center"/>
          </w:tcPr>
          <w:p w14:paraId="64B28E7E">
            <w:pPr>
              <w:spacing w:line="360" w:lineRule="auto"/>
              <w:ind w:left="261"/>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32" w:type="dxa"/>
            <w:vAlign w:val="center"/>
          </w:tcPr>
          <w:p w14:paraId="28189A11">
            <w:pPr>
              <w:spacing w:line="360" w:lineRule="auto"/>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1954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tcPr>
          <w:p w14:paraId="13C0FA17">
            <w:pPr>
              <w:numPr>
                <w:ilvl w:val="0"/>
                <w:numId w:val="13"/>
              </w:numPr>
              <w:spacing w:line="360" w:lineRule="auto"/>
              <w:rPr>
                <w:rFonts w:hint="eastAsia" w:ascii="宋体" w:hAnsi="宋体"/>
                <w:color w:val="auto"/>
                <w:szCs w:val="21"/>
                <w:highlight w:val="none"/>
              </w:rPr>
            </w:pPr>
          </w:p>
        </w:tc>
        <w:tc>
          <w:tcPr>
            <w:tcW w:w="1436" w:type="dxa"/>
            <w:shd w:val="clear" w:color="auto" w:fill="FFFFFF"/>
            <w:vAlign w:val="center"/>
          </w:tcPr>
          <w:p w14:paraId="2E0B5580">
            <w:pPr>
              <w:widowControl/>
              <w:spacing w:line="360" w:lineRule="auto"/>
              <w:jc w:val="center"/>
              <w:textAlignment w:val="center"/>
              <w:rPr>
                <w:rFonts w:hint="eastAsia" w:ascii="宋体" w:hAnsi="宋体"/>
                <w:color w:val="auto"/>
                <w:szCs w:val="21"/>
                <w:highlight w:val="none"/>
              </w:rPr>
            </w:pPr>
          </w:p>
        </w:tc>
        <w:tc>
          <w:tcPr>
            <w:tcW w:w="2154" w:type="dxa"/>
          </w:tcPr>
          <w:p w14:paraId="15ED6AE9">
            <w:pPr>
              <w:spacing w:line="360" w:lineRule="auto"/>
              <w:rPr>
                <w:rFonts w:hint="eastAsia" w:ascii="宋体" w:hAnsi="宋体"/>
                <w:color w:val="auto"/>
                <w:szCs w:val="21"/>
                <w:highlight w:val="none"/>
              </w:rPr>
            </w:pPr>
          </w:p>
        </w:tc>
        <w:tc>
          <w:tcPr>
            <w:tcW w:w="1171" w:type="dxa"/>
          </w:tcPr>
          <w:p w14:paraId="1B2629A5">
            <w:pPr>
              <w:spacing w:line="360" w:lineRule="auto"/>
              <w:rPr>
                <w:rFonts w:hint="eastAsia" w:ascii="宋体" w:hAnsi="宋体"/>
                <w:color w:val="auto"/>
                <w:szCs w:val="21"/>
                <w:highlight w:val="none"/>
              </w:rPr>
            </w:pPr>
          </w:p>
        </w:tc>
        <w:tc>
          <w:tcPr>
            <w:tcW w:w="2180" w:type="dxa"/>
          </w:tcPr>
          <w:p w14:paraId="2D3F867B">
            <w:pPr>
              <w:spacing w:line="360" w:lineRule="auto"/>
              <w:rPr>
                <w:rFonts w:hint="eastAsia" w:ascii="宋体" w:hAnsi="宋体"/>
                <w:color w:val="auto"/>
                <w:szCs w:val="21"/>
                <w:highlight w:val="none"/>
              </w:rPr>
            </w:pPr>
          </w:p>
        </w:tc>
        <w:tc>
          <w:tcPr>
            <w:tcW w:w="1532" w:type="dxa"/>
          </w:tcPr>
          <w:p w14:paraId="63EA4908">
            <w:pPr>
              <w:spacing w:line="360" w:lineRule="auto"/>
              <w:rPr>
                <w:rFonts w:hint="eastAsia" w:ascii="宋体" w:hAnsi="宋体"/>
                <w:color w:val="auto"/>
                <w:szCs w:val="21"/>
                <w:highlight w:val="none"/>
              </w:rPr>
            </w:pPr>
          </w:p>
        </w:tc>
      </w:tr>
      <w:tr w14:paraId="245A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tcPr>
          <w:p w14:paraId="31CA43DD">
            <w:pPr>
              <w:numPr>
                <w:ilvl w:val="0"/>
                <w:numId w:val="13"/>
              </w:numPr>
              <w:spacing w:line="360" w:lineRule="auto"/>
              <w:rPr>
                <w:rFonts w:hint="eastAsia" w:ascii="宋体" w:hAnsi="宋体"/>
                <w:color w:val="auto"/>
                <w:szCs w:val="21"/>
                <w:highlight w:val="none"/>
              </w:rPr>
            </w:pPr>
          </w:p>
        </w:tc>
        <w:tc>
          <w:tcPr>
            <w:tcW w:w="1436" w:type="dxa"/>
            <w:shd w:val="clear" w:color="auto" w:fill="FFFFFF"/>
            <w:vAlign w:val="center"/>
          </w:tcPr>
          <w:p w14:paraId="24905419">
            <w:pPr>
              <w:widowControl/>
              <w:spacing w:line="360" w:lineRule="auto"/>
              <w:jc w:val="center"/>
              <w:textAlignment w:val="center"/>
              <w:rPr>
                <w:rFonts w:hint="eastAsia" w:ascii="宋体" w:hAnsi="宋体"/>
                <w:color w:val="auto"/>
                <w:szCs w:val="21"/>
                <w:highlight w:val="none"/>
              </w:rPr>
            </w:pPr>
          </w:p>
        </w:tc>
        <w:tc>
          <w:tcPr>
            <w:tcW w:w="2154" w:type="dxa"/>
          </w:tcPr>
          <w:p w14:paraId="775CE998">
            <w:pPr>
              <w:spacing w:line="360" w:lineRule="auto"/>
              <w:rPr>
                <w:rFonts w:hint="eastAsia" w:ascii="宋体" w:hAnsi="宋体"/>
                <w:color w:val="auto"/>
                <w:szCs w:val="21"/>
                <w:highlight w:val="none"/>
              </w:rPr>
            </w:pPr>
          </w:p>
        </w:tc>
        <w:tc>
          <w:tcPr>
            <w:tcW w:w="1171" w:type="dxa"/>
          </w:tcPr>
          <w:p w14:paraId="3177FCA7">
            <w:pPr>
              <w:spacing w:line="360" w:lineRule="auto"/>
              <w:rPr>
                <w:rFonts w:hint="eastAsia" w:ascii="宋体" w:hAnsi="宋体"/>
                <w:color w:val="auto"/>
                <w:szCs w:val="21"/>
                <w:highlight w:val="none"/>
              </w:rPr>
            </w:pPr>
          </w:p>
        </w:tc>
        <w:tc>
          <w:tcPr>
            <w:tcW w:w="2180" w:type="dxa"/>
          </w:tcPr>
          <w:p w14:paraId="3CFBCEDF">
            <w:pPr>
              <w:spacing w:line="360" w:lineRule="auto"/>
              <w:rPr>
                <w:rFonts w:hint="eastAsia" w:ascii="宋体" w:hAnsi="宋体"/>
                <w:color w:val="auto"/>
                <w:szCs w:val="21"/>
                <w:highlight w:val="none"/>
              </w:rPr>
            </w:pPr>
          </w:p>
        </w:tc>
        <w:tc>
          <w:tcPr>
            <w:tcW w:w="1532" w:type="dxa"/>
          </w:tcPr>
          <w:p w14:paraId="2BB09CF5">
            <w:pPr>
              <w:spacing w:line="360" w:lineRule="auto"/>
              <w:rPr>
                <w:rFonts w:hint="eastAsia" w:ascii="宋体" w:hAnsi="宋体"/>
                <w:color w:val="auto"/>
                <w:szCs w:val="21"/>
                <w:highlight w:val="none"/>
              </w:rPr>
            </w:pPr>
          </w:p>
        </w:tc>
      </w:tr>
      <w:tr w14:paraId="15FB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tcPr>
          <w:p w14:paraId="3EA2E2B5">
            <w:pPr>
              <w:numPr>
                <w:ilvl w:val="0"/>
                <w:numId w:val="13"/>
              </w:numPr>
              <w:spacing w:line="360" w:lineRule="auto"/>
              <w:rPr>
                <w:rFonts w:hint="eastAsia" w:ascii="宋体" w:hAnsi="宋体"/>
                <w:color w:val="auto"/>
                <w:szCs w:val="21"/>
                <w:highlight w:val="none"/>
              </w:rPr>
            </w:pPr>
          </w:p>
        </w:tc>
        <w:tc>
          <w:tcPr>
            <w:tcW w:w="1436" w:type="dxa"/>
            <w:shd w:val="clear" w:color="auto" w:fill="FFFFFF"/>
            <w:vAlign w:val="center"/>
          </w:tcPr>
          <w:p w14:paraId="678B956E">
            <w:pPr>
              <w:widowControl/>
              <w:spacing w:line="360" w:lineRule="auto"/>
              <w:jc w:val="center"/>
              <w:textAlignment w:val="center"/>
              <w:rPr>
                <w:rFonts w:hint="eastAsia" w:ascii="宋体" w:hAnsi="宋体"/>
                <w:color w:val="auto"/>
                <w:szCs w:val="21"/>
                <w:highlight w:val="none"/>
              </w:rPr>
            </w:pPr>
          </w:p>
        </w:tc>
        <w:tc>
          <w:tcPr>
            <w:tcW w:w="2154" w:type="dxa"/>
          </w:tcPr>
          <w:p w14:paraId="46A59A6E">
            <w:pPr>
              <w:spacing w:line="360" w:lineRule="auto"/>
              <w:rPr>
                <w:rFonts w:hint="eastAsia" w:ascii="宋体" w:hAnsi="宋体"/>
                <w:color w:val="auto"/>
                <w:szCs w:val="21"/>
                <w:highlight w:val="none"/>
              </w:rPr>
            </w:pPr>
          </w:p>
        </w:tc>
        <w:tc>
          <w:tcPr>
            <w:tcW w:w="1171" w:type="dxa"/>
          </w:tcPr>
          <w:p w14:paraId="3D9B207F">
            <w:pPr>
              <w:spacing w:line="360" w:lineRule="auto"/>
              <w:rPr>
                <w:rFonts w:hint="eastAsia" w:ascii="宋体" w:hAnsi="宋体"/>
                <w:color w:val="auto"/>
                <w:szCs w:val="21"/>
                <w:highlight w:val="none"/>
              </w:rPr>
            </w:pPr>
          </w:p>
        </w:tc>
        <w:tc>
          <w:tcPr>
            <w:tcW w:w="2180" w:type="dxa"/>
          </w:tcPr>
          <w:p w14:paraId="0F8CBC7F">
            <w:pPr>
              <w:spacing w:line="360" w:lineRule="auto"/>
              <w:rPr>
                <w:rFonts w:hint="eastAsia" w:ascii="宋体" w:hAnsi="宋体"/>
                <w:color w:val="auto"/>
                <w:szCs w:val="21"/>
                <w:highlight w:val="none"/>
              </w:rPr>
            </w:pPr>
          </w:p>
        </w:tc>
        <w:tc>
          <w:tcPr>
            <w:tcW w:w="1532" w:type="dxa"/>
          </w:tcPr>
          <w:p w14:paraId="5188485A">
            <w:pPr>
              <w:spacing w:line="360" w:lineRule="auto"/>
              <w:rPr>
                <w:rFonts w:hint="eastAsia" w:ascii="宋体" w:hAnsi="宋体"/>
                <w:color w:val="auto"/>
                <w:szCs w:val="21"/>
                <w:highlight w:val="none"/>
              </w:rPr>
            </w:pPr>
          </w:p>
        </w:tc>
      </w:tr>
      <w:tr w14:paraId="0BE1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tcPr>
          <w:p w14:paraId="15DF46F5">
            <w:pPr>
              <w:spacing w:line="360" w:lineRule="auto"/>
              <w:rPr>
                <w:rFonts w:hint="eastAsia" w:ascii="宋体" w:hAnsi="宋体"/>
                <w:color w:val="auto"/>
                <w:szCs w:val="21"/>
                <w:highlight w:val="none"/>
              </w:rPr>
            </w:pPr>
            <w:r>
              <w:rPr>
                <w:rFonts w:ascii="宋体" w:hAnsi="宋体"/>
                <w:color w:val="auto"/>
                <w:szCs w:val="21"/>
                <w:highlight w:val="none"/>
              </w:rPr>
              <w:t>…</w:t>
            </w:r>
          </w:p>
        </w:tc>
        <w:tc>
          <w:tcPr>
            <w:tcW w:w="1436" w:type="dxa"/>
            <w:shd w:val="clear" w:color="auto" w:fill="FFFFFF"/>
            <w:vAlign w:val="center"/>
          </w:tcPr>
          <w:p w14:paraId="5EFF2A40">
            <w:pPr>
              <w:widowControl/>
              <w:spacing w:line="360" w:lineRule="auto"/>
              <w:jc w:val="center"/>
              <w:textAlignment w:val="center"/>
              <w:rPr>
                <w:rFonts w:hint="eastAsia" w:ascii="宋体" w:hAnsi="宋体"/>
                <w:color w:val="auto"/>
                <w:szCs w:val="21"/>
                <w:highlight w:val="none"/>
              </w:rPr>
            </w:pPr>
          </w:p>
        </w:tc>
        <w:tc>
          <w:tcPr>
            <w:tcW w:w="2154" w:type="dxa"/>
          </w:tcPr>
          <w:p w14:paraId="61E5494D">
            <w:pPr>
              <w:spacing w:line="360" w:lineRule="auto"/>
              <w:rPr>
                <w:rFonts w:hint="eastAsia" w:ascii="宋体" w:hAnsi="宋体"/>
                <w:color w:val="auto"/>
                <w:szCs w:val="21"/>
                <w:highlight w:val="none"/>
              </w:rPr>
            </w:pPr>
          </w:p>
        </w:tc>
        <w:tc>
          <w:tcPr>
            <w:tcW w:w="1171" w:type="dxa"/>
          </w:tcPr>
          <w:p w14:paraId="6DBA00C6">
            <w:pPr>
              <w:spacing w:line="360" w:lineRule="auto"/>
              <w:rPr>
                <w:rFonts w:hint="eastAsia" w:ascii="宋体" w:hAnsi="宋体"/>
                <w:color w:val="auto"/>
                <w:szCs w:val="21"/>
                <w:highlight w:val="none"/>
              </w:rPr>
            </w:pPr>
          </w:p>
        </w:tc>
        <w:tc>
          <w:tcPr>
            <w:tcW w:w="2180" w:type="dxa"/>
          </w:tcPr>
          <w:p w14:paraId="0C0B0ADD">
            <w:pPr>
              <w:spacing w:line="360" w:lineRule="auto"/>
              <w:rPr>
                <w:rFonts w:hint="eastAsia" w:ascii="宋体" w:hAnsi="宋体"/>
                <w:color w:val="auto"/>
                <w:szCs w:val="21"/>
                <w:highlight w:val="none"/>
              </w:rPr>
            </w:pPr>
          </w:p>
        </w:tc>
        <w:tc>
          <w:tcPr>
            <w:tcW w:w="1532" w:type="dxa"/>
          </w:tcPr>
          <w:p w14:paraId="1DFF2A69">
            <w:pPr>
              <w:spacing w:line="360" w:lineRule="auto"/>
              <w:rPr>
                <w:rFonts w:hint="eastAsia" w:ascii="宋体" w:hAnsi="宋体"/>
                <w:color w:val="auto"/>
                <w:szCs w:val="21"/>
                <w:highlight w:val="none"/>
              </w:rPr>
            </w:pPr>
          </w:p>
        </w:tc>
      </w:tr>
    </w:tbl>
    <w:p w14:paraId="3616123E">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cs="宋体"/>
          <w:color w:val="auto"/>
          <w:szCs w:val="21"/>
          <w:highlight w:val="none"/>
          <w:lang w:val="zh-CN"/>
        </w:rPr>
        <w:t>如果行数不够，请自行增加。</w:t>
      </w:r>
    </w:p>
    <w:p w14:paraId="13C44CE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F3AD41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6BAD6F3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hint="eastAsia" w:ascii="宋体" w:hAnsi="宋体"/>
          <w:color w:val="auto"/>
          <w:szCs w:val="21"/>
          <w:highlight w:val="none"/>
        </w:rPr>
        <w:br w:type="page"/>
      </w:r>
    </w:p>
    <w:p w14:paraId="154B3BF0">
      <w:pPr>
        <w:spacing w:line="360" w:lineRule="auto"/>
        <w:rPr>
          <w:b/>
          <w:color w:val="auto"/>
          <w:sz w:val="28"/>
          <w:szCs w:val="28"/>
          <w:highlight w:val="none"/>
        </w:rPr>
      </w:pPr>
      <w:r>
        <w:rPr>
          <w:rFonts w:hint="eastAsia"/>
          <w:b/>
          <w:color w:val="auto"/>
          <w:sz w:val="28"/>
          <w:szCs w:val="28"/>
          <w:highlight w:val="none"/>
        </w:rPr>
        <w:t>附件2</w:t>
      </w:r>
    </w:p>
    <w:p w14:paraId="728F4471">
      <w:pPr>
        <w:spacing w:line="400" w:lineRule="exact"/>
        <w:ind w:firstLine="562" w:firstLineChars="200"/>
        <w:rPr>
          <w:b/>
          <w:color w:val="auto"/>
          <w:sz w:val="28"/>
          <w:szCs w:val="28"/>
          <w:highlight w:val="none"/>
        </w:rPr>
      </w:pPr>
    </w:p>
    <w:p w14:paraId="091DC10B">
      <w:pPr>
        <w:jc w:val="center"/>
        <w:rPr>
          <w:rFonts w:ascii="宋体"/>
          <w:b/>
          <w:color w:val="auto"/>
          <w:sz w:val="30"/>
          <w:szCs w:val="30"/>
          <w:highlight w:val="none"/>
        </w:rPr>
      </w:pPr>
      <w:r>
        <w:rPr>
          <w:rFonts w:hint="eastAsia" w:ascii="宋体"/>
          <w:b/>
          <w:color w:val="auto"/>
          <w:sz w:val="30"/>
          <w:szCs w:val="30"/>
          <w:highlight w:val="none"/>
        </w:rPr>
        <w:t>服务承诺书</w:t>
      </w:r>
    </w:p>
    <w:p w14:paraId="5B8E61E2">
      <w:pPr>
        <w:ind w:firstLine="480" w:firstLineChars="200"/>
        <w:rPr>
          <w:rFonts w:ascii="宋体"/>
          <w:color w:val="auto"/>
          <w:sz w:val="24"/>
          <w:highlight w:val="none"/>
        </w:rPr>
      </w:pPr>
    </w:p>
    <w:p w14:paraId="064D1A63">
      <w:pPr>
        <w:rPr>
          <w:rFonts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7DD76FAB">
      <w:pPr>
        <w:spacing w:line="800" w:lineRule="exact"/>
        <w:ind w:firstLine="480" w:firstLineChars="200"/>
        <w:rPr>
          <w:rFonts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78EAF00C">
      <w:pPr>
        <w:spacing w:line="800" w:lineRule="exact"/>
        <w:ind w:firstLine="480" w:firstLineChars="200"/>
        <w:rPr>
          <w:rFonts w:ascii="宋体"/>
          <w:color w:val="auto"/>
          <w:sz w:val="24"/>
          <w:highlight w:val="none"/>
        </w:rPr>
      </w:pPr>
      <w:r>
        <w:rPr>
          <w:rFonts w:hint="eastAsia" w:ascii="宋体"/>
          <w:color w:val="auto"/>
          <w:sz w:val="24"/>
          <w:highlight w:val="none"/>
        </w:rPr>
        <w:t>特此声明。</w:t>
      </w:r>
    </w:p>
    <w:p w14:paraId="151C4FE5">
      <w:pPr>
        <w:spacing w:line="600" w:lineRule="exact"/>
        <w:rPr>
          <w:rFonts w:ascii="宋体"/>
          <w:color w:val="auto"/>
          <w:sz w:val="24"/>
          <w:highlight w:val="none"/>
        </w:rPr>
      </w:pPr>
      <w:r>
        <w:rPr>
          <w:rFonts w:hint="eastAsia" w:ascii="宋体"/>
          <w:color w:val="auto"/>
          <w:sz w:val="24"/>
          <w:highlight w:val="none"/>
        </w:rPr>
        <w:t> </w:t>
      </w:r>
    </w:p>
    <w:p w14:paraId="2849A0FB">
      <w:pPr>
        <w:spacing w:line="480" w:lineRule="auto"/>
        <w:ind w:firstLine="480" w:firstLineChars="200"/>
        <w:rPr>
          <w:rFonts w:hint="eastAsia"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2167DFFF">
      <w:pPr>
        <w:spacing w:line="480" w:lineRule="auto"/>
        <w:ind w:firstLine="480" w:firstLineChars="200"/>
        <w:jc w:val="right"/>
        <w:rPr>
          <w:rFonts w:hint="eastAsia"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1A9A25B0">
      <w:pPr>
        <w:spacing w:line="480" w:lineRule="auto"/>
        <w:jc w:val="right"/>
        <w:rPr>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2262DF35">
      <w:pPr>
        <w:spacing w:line="360" w:lineRule="auto"/>
        <w:rPr>
          <w:rFonts w:hint="eastAsia" w:ascii="宋体" w:hAnsi="宋体"/>
          <w:color w:val="auto"/>
          <w:szCs w:val="21"/>
          <w:highlight w:val="none"/>
        </w:rPr>
      </w:pPr>
    </w:p>
    <w:p w14:paraId="2D5CF03A">
      <w:pPr>
        <w:spacing w:line="480" w:lineRule="auto"/>
        <w:rPr>
          <w:b/>
          <w:color w:val="auto"/>
          <w:sz w:val="28"/>
          <w:szCs w:val="28"/>
          <w:highlight w:val="none"/>
        </w:rPr>
      </w:pPr>
    </w:p>
    <w:p w14:paraId="5AD0335D">
      <w:pPr>
        <w:rPr>
          <w:rFonts w:ascii="宋体"/>
          <w:color w:val="auto"/>
          <w:sz w:val="24"/>
          <w:highlight w:val="none"/>
          <w:u w:val="single"/>
        </w:rPr>
      </w:pPr>
      <w:r>
        <w:rPr>
          <w:rFonts w:ascii="宋体"/>
          <w:color w:val="auto"/>
          <w:sz w:val="24"/>
          <w:highlight w:val="none"/>
          <w:u w:val="single"/>
        </w:rPr>
        <w:br w:type="page"/>
      </w:r>
    </w:p>
    <w:p w14:paraId="4BBC88B0">
      <w:pPr>
        <w:spacing w:line="300" w:lineRule="exact"/>
        <w:rPr>
          <w:rFonts w:ascii="宋体"/>
          <w:color w:val="auto"/>
          <w:sz w:val="24"/>
          <w:highlight w:val="none"/>
          <w:u w:val="single"/>
        </w:rPr>
      </w:pPr>
    </w:p>
    <w:p w14:paraId="51C20DBF">
      <w:pPr>
        <w:spacing w:line="300" w:lineRule="exact"/>
        <w:rPr>
          <w:rFonts w:ascii="宋体"/>
          <w:color w:val="auto"/>
          <w:sz w:val="24"/>
          <w:highlight w:val="none"/>
          <w:u w:val="single"/>
        </w:rPr>
      </w:pPr>
      <w:r>
        <w:rPr>
          <w:rFonts w:hint="eastAsia" w:ascii="宋体"/>
          <w:color w:val="auto"/>
          <w:sz w:val="24"/>
          <w:highlight w:val="none"/>
          <w:u w:val="single"/>
        </w:rPr>
        <w:t xml:space="preserve">      </w:t>
      </w:r>
    </w:p>
    <w:p w14:paraId="7ABE7A1A">
      <w:pPr>
        <w:jc w:val="center"/>
        <w:rPr>
          <w:rFonts w:ascii="宋体"/>
          <w:color w:val="auto"/>
          <w:sz w:val="24"/>
          <w:highlight w:val="none"/>
        </w:rPr>
      </w:pPr>
      <w:r>
        <w:rPr>
          <w:rFonts w:hint="eastAsia" w:ascii="宋体" w:hAnsi="宋体"/>
          <w:b/>
          <w:color w:val="auto"/>
          <w:sz w:val="28"/>
          <w:szCs w:val="28"/>
          <w:highlight w:val="none"/>
        </w:rPr>
        <w:t>三、商务标格式文件</w:t>
      </w:r>
    </w:p>
    <w:p w14:paraId="7E032D0C">
      <w:pPr>
        <w:jc w:val="center"/>
        <w:rPr>
          <w:rFonts w:eastAsia="黑体"/>
          <w:color w:val="auto"/>
          <w:sz w:val="20"/>
          <w:highlight w:val="none"/>
        </w:rPr>
      </w:pPr>
    </w:p>
    <w:p w14:paraId="04B8936E">
      <w:pPr>
        <w:rPr>
          <w:rFonts w:ascii="宋体"/>
          <w:color w:val="auto"/>
          <w:sz w:val="20"/>
          <w:highlight w:val="none"/>
        </w:rPr>
      </w:pPr>
    </w:p>
    <w:p w14:paraId="4A943AA7">
      <w:pPr>
        <w:pStyle w:val="12"/>
        <w:ind w:firstLine="400"/>
        <w:rPr>
          <w:color w:val="auto"/>
          <w:highlight w:val="none"/>
        </w:rPr>
      </w:pPr>
    </w:p>
    <w:p w14:paraId="3ED4C3E5">
      <w:pPr>
        <w:jc w:val="center"/>
        <w:rPr>
          <w:rFonts w:ascii="宋体"/>
          <w:b/>
          <w:color w:val="auto"/>
          <w:sz w:val="44"/>
          <w:szCs w:val="44"/>
          <w:highlight w:val="none"/>
        </w:rPr>
      </w:pPr>
      <w:bookmarkStart w:id="112" w:name="_Toc449028954"/>
      <w:r>
        <w:rPr>
          <w:rFonts w:hint="eastAsia" w:ascii="宋体"/>
          <w:b/>
          <w:color w:val="auto"/>
          <w:sz w:val="44"/>
          <w:szCs w:val="44"/>
          <w:highlight w:val="none"/>
        </w:rPr>
        <w:t>商务标</w:t>
      </w:r>
      <w:bookmarkEnd w:id="112"/>
    </w:p>
    <w:p w14:paraId="4D35A9B6">
      <w:pPr>
        <w:jc w:val="center"/>
        <w:rPr>
          <w:rFonts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08726819">
      <w:pPr>
        <w:jc w:val="center"/>
        <w:rPr>
          <w:rFonts w:ascii="宋体"/>
          <w:color w:val="auto"/>
          <w:sz w:val="36"/>
          <w:szCs w:val="36"/>
          <w:highlight w:val="none"/>
        </w:rPr>
      </w:pPr>
    </w:p>
    <w:p w14:paraId="564348A0">
      <w:pPr>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79DA7E99">
      <w:pPr>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F4C542A">
      <w:pPr>
        <w:rPr>
          <w:rFonts w:ascii="宋体"/>
          <w:color w:val="auto"/>
          <w:sz w:val="28"/>
          <w:szCs w:val="28"/>
          <w:highlight w:val="none"/>
        </w:rPr>
      </w:pPr>
    </w:p>
    <w:p w14:paraId="397DAB9D">
      <w:pPr>
        <w:rPr>
          <w:rFonts w:ascii="宋体"/>
          <w:color w:val="auto"/>
          <w:sz w:val="28"/>
          <w:szCs w:val="28"/>
          <w:highlight w:val="none"/>
        </w:rPr>
      </w:pPr>
    </w:p>
    <w:p w14:paraId="60847598">
      <w:pPr>
        <w:rPr>
          <w:rFonts w:ascii="宋体"/>
          <w:color w:val="auto"/>
          <w:sz w:val="28"/>
          <w:szCs w:val="28"/>
          <w:highlight w:val="none"/>
        </w:rPr>
      </w:pPr>
    </w:p>
    <w:p w14:paraId="3093E004">
      <w:pPr>
        <w:rPr>
          <w:rFonts w:ascii="宋体"/>
          <w:color w:val="auto"/>
          <w:sz w:val="28"/>
          <w:szCs w:val="28"/>
          <w:highlight w:val="none"/>
        </w:rPr>
      </w:pPr>
    </w:p>
    <w:p w14:paraId="43C54BE0">
      <w:pPr>
        <w:rPr>
          <w:rFonts w:ascii="宋体"/>
          <w:color w:val="auto"/>
          <w:sz w:val="28"/>
          <w:szCs w:val="28"/>
          <w:highlight w:val="none"/>
        </w:rPr>
      </w:pPr>
    </w:p>
    <w:p w14:paraId="75BC99D7">
      <w:pPr>
        <w:rPr>
          <w:rFonts w:ascii="宋体"/>
          <w:color w:val="auto"/>
          <w:sz w:val="28"/>
          <w:szCs w:val="28"/>
          <w:highlight w:val="none"/>
        </w:rPr>
      </w:pPr>
    </w:p>
    <w:p w14:paraId="08548BE9">
      <w:pPr>
        <w:rPr>
          <w:rFonts w:ascii="宋体"/>
          <w:color w:val="auto"/>
          <w:sz w:val="28"/>
          <w:szCs w:val="28"/>
          <w:highlight w:val="none"/>
        </w:rPr>
      </w:pPr>
    </w:p>
    <w:p w14:paraId="3146E923">
      <w:pPr>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543B6D0D">
      <w:pPr>
        <w:ind w:firstLine="700" w:firstLineChars="25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361C0BBA">
      <w:pPr>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B3E006C">
      <w:pPr>
        <w:spacing w:line="720" w:lineRule="auto"/>
        <w:jc w:val="center"/>
        <w:rPr>
          <w:rFonts w:ascii="宋体"/>
          <w:b/>
          <w:color w:val="auto"/>
          <w:sz w:val="36"/>
          <w:szCs w:val="36"/>
          <w:highlight w:val="none"/>
        </w:rPr>
      </w:pPr>
    </w:p>
    <w:p w14:paraId="77122876">
      <w:pPr>
        <w:spacing w:line="400" w:lineRule="exact"/>
        <w:ind w:firstLine="562" w:firstLineChars="200"/>
        <w:rPr>
          <w:b/>
          <w:color w:val="auto"/>
          <w:sz w:val="28"/>
          <w:szCs w:val="28"/>
          <w:highlight w:val="none"/>
        </w:rPr>
      </w:pPr>
    </w:p>
    <w:p w14:paraId="0B28C4E4">
      <w:pPr>
        <w:spacing w:line="400" w:lineRule="exact"/>
        <w:jc w:val="center"/>
        <w:rPr>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2814F467">
      <w:pPr>
        <w:spacing w:line="400" w:lineRule="exact"/>
        <w:ind w:firstLine="4130" w:firstLineChars="935"/>
        <w:rPr>
          <w:b/>
          <w:color w:val="auto"/>
          <w:sz w:val="44"/>
          <w:szCs w:val="44"/>
          <w:highlight w:val="none"/>
        </w:rPr>
      </w:pPr>
    </w:p>
    <w:p w14:paraId="4B72FC54">
      <w:pPr>
        <w:spacing w:line="440" w:lineRule="exact"/>
        <w:ind w:left="420"/>
        <w:jc w:val="left"/>
        <w:rPr>
          <w:rFonts w:ascii="宋体"/>
          <w:color w:val="auto"/>
          <w:szCs w:val="21"/>
          <w:highlight w:val="none"/>
        </w:rPr>
      </w:pPr>
      <w:r>
        <w:rPr>
          <w:rFonts w:hint="eastAsia" w:ascii="宋体"/>
          <w:color w:val="auto"/>
          <w:szCs w:val="21"/>
          <w:highlight w:val="none"/>
        </w:rPr>
        <w:t>（1）开标一览表（格式见附件）；</w:t>
      </w:r>
    </w:p>
    <w:p w14:paraId="46240CB7">
      <w:pPr>
        <w:spacing w:line="440" w:lineRule="exact"/>
        <w:ind w:left="420"/>
        <w:jc w:val="left"/>
        <w:rPr>
          <w:rFonts w:ascii="宋体"/>
          <w:color w:val="auto"/>
          <w:szCs w:val="21"/>
          <w:highlight w:val="none"/>
        </w:rPr>
      </w:pPr>
      <w:r>
        <w:rPr>
          <w:rFonts w:hint="eastAsia" w:ascii="宋体"/>
          <w:color w:val="auto"/>
          <w:szCs w:val="21"/>
          <w:highlight w:val="none"/>
        </w:rPr>
        <w:t>（2）投标函（格式见附件）；</w:t>
      </w:r>
    </w:p>
    <w:p w14:paraId="346EE7AB">
      <w:pPr>
        <w:spacing w:line="440" w:lineRule="exact"/>
        <w:ind w:firstLine="424" w:firstLineChars="202"/>
        <w:jc w:val="left"/>
        <w:rPr>
          <w:rFonts w:ascii="宋体"/>
          <w:color w:val="auto"/>
          <w:szCs w:val="21"/>
          <w:highlight w:val="none"/>
        </w:rPr>
      </w:pPr>
      <w:r>
        <w:rPr>
          <w:rFonts w:hint="eastAsia" w:ascii="宋体"/>
          <w:color w:val="auto"/>
          <w:szCs w:val="21"/>
          <w:highlight w:val="none"/>
        </w:rPr>
        <w:t>（3）分项报价清单（格式见附件）；</w:t>
      </w:r>
    </w:p>
    <w:p w14:paraId="7200D49B">
      <w:pPr>
        <w:spacing w:line="440" w:lineRule="exact"/>
        <w:ind w:firstLine="424" w:firstLineChars="202"/>
        <w:jc w:val="left"/>
        <w:rPr>
          <w:rFonts w:ascii="宋体"/>
          <w:b/>
          <w:color w:val="auto"/>
          <w:sz w:val="28"/>
          <w:szCs w:val="28"/>
          <w:highlight w:val="none"/>
        </w:rPr>
      </w:pPr>
      <w:r>
        <w:rPr>
          <w:rFonts w:hint="eastAsia" w:ascii="宋体"/>
          <w:color w:val="auto"/>
          <w:szCs w:val="21"/>
          <w:highlight w:val="none"/>
        </w:rPr>
        <w:t>（4）招标文件商务评审中要求提供的其他相关资料；</w:t>
      </w:r>
    </w:p>
    <w:p w14:paraId="38CBF0F5">
      <w:pPr>
        <w:snapToGrid w:val="0"/>
        <w:spacing w:line="460" w:lineRule="exact"/>
        <w:ind w:left="2940" w:leftChars="1400" w:firstLine="964" w:firstLineChars="300"/>
        <w:rPr>
          <w:rFonts w:ascii="宋体"/>
          <w:b/>
          <w:color w:val="auto"/>
          <w:sz w:val="32"/>
          <w:szCs w:val="32"/>
          <w:highlight w:val="none"/>
        </w:rPr>
      </w:pPr>
    </w:p>
    <w:p w14:paraId="46A83A92">
      <w:pPr>
        <w:snapToGrid w:val="0"/>
        <w:spacing w:line="460" w:lineRule="exact"/>
        <w:ind w:left="2940" w:leftChars="1400" w:firstLine="964" w:firstLineChars="300"/>
        <w:rPr>
          <w:rFonts w:ascii="宋体"/>
          <w:b/>
          <w:color w:val="auto"/>
          <w:sz w:val="32"/>
          <w:szCs w:val="32"/>
          <w:highlight w:val="none"/>
        </w:rPr>
      </w:pPr>
    </w:p>
    <w:p w14:paraId="00259FBC">
      <w:pPr>
        <w:snapToGrid w:val="0"/>
        <w:spacing w:line="460" w:lineRule="exact"/>
        <w:ind w:left="2940" w:leftChars="1400" w:firstLine="964" w:firstLineChars="300"/>
        <w:rPr>
          <w:rFonts w:ascii="宋体"/>
          <w:b/>
          <w:color w:val="auto"/>
          <w:sz w:val="32"/>
          <w:szCs w:val="32"/>
          <w:highlight w:val="none"/>
        </w:rPr>
      </w:pPr>
    </w:p>
    <w:p w14:paraId="455CF073">
      <w:pPr>
        <w:snapToGrid w:val="0"/>
        <w:spacing w:line="460" w:lineRule="exact"/>
        <w:ind w:left="2940" w:leftChars="1400" w:firstLine="964" w:firstLineChars="300"/>
        <w:rPr>
          <w:rFonts w:ascii="宋体"/>
          <w:b/>
          <w:color w:val="auto"/>
          <w:sz w:val="32"/>
          <w:szCs w:val="32"/>
          <w:highlight w:val="none"/>
        </w:rPr>
      </w:pPr>
    </w:p>
    <w:p w14:paraId="602EE89E">
      <w:pPr>
        <w:snapToGrid w:val="0"/>
        <w:spacing w:line="460" w:lineRule="exact"/>
        <w:ind w:left="2940" w:leftChars="1400" w:firstLine="964" w:firstLineChars="300"/>
        <w:rPr>
          <w:rFonts w:ascii="宋体"/>
          <w:b/>
          <w:color w:val="auto"/>
          <w:sz w:val="32"/>
          <w:szCs w:val="32"/>
          <w:highlight w:val="none"/>
        </w:rPr>
      </w:pPr>
    </w:p>
    <w:p w14:paraId="34702B71">
      <w:pPr>
        <w:snapToGrid w:val="0"/>
        <w:spacing w:line="460" w:lineRule="exact"/>
        <w:ind w:left="2940" w:leftChars="1400" w:firstLine="964" w:firstLineChars="300"/>
        <w:rPr>
          <w:rFonts w:ascii="宋体"/>
          <w:b/>
          <w:color w:val="auto"/>
          <w:sz w:val="32"/>
          <w:szCs w:val="32"/>
          <w:highlight w:val="none"/>
        </w:rPr>
      </w:pPr>
    </w:p>
    <w:p w14:paraId="1544C9CE">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498969FE">
      <w:pPr>
        <w:spacing w:line="360" w:lineRule="exact"/>
        <w:ind w:firstLine="472" w:firstLineChars="147"/>
        <w:jc w:val="center"/>
        <w:rPr>
          <w:rFonts w:ascii="宋体"/>
          <w:b/>
          <w:color w:val="auto"/>
          <w:sz w:val="32"/>
          <w:szCs w:val="32"/>
          <w:highlight w:val="none"/>
        </w:rPr>
      </w:pPr>
    </w:p>
    <w:p w14:paraId="1DF31836">
      <w:pP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开标一览表</w:t>
      </w:r>
    </w:p>
    <w:p w14:paraId="404A4363">
      <w:pPr>
        <w:spacing w:line="360" w:lineRule="exact"/>
        <w:ind w:firstLine="354" w:firstLineChars="147"/>
        <w:rPr>
          <w:rFonts w:ascii="宋体"/>
          <w:b/>
          <w:color w:val="auto"/>
          <w:sz w:val="24"/>
          <w:highlight w:val="none"/>
        </w:rPr>
      </w:pPr>
    </w:p>
    <w:p w14:paraId="1422416F">
      <w:pPr>
        <w:spacing w:line="360" w:lineRule="exact"/>
        <w:ind w:firstLine="240" w:firstLineChars="100"/>
        <w:rPr>
          <w:rFonts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3BE55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vAlign w:val="center"/>
          </w:tcPr>
          <w:p w14:paraId="23A98576">
            <w:pPr>
              <w:spacing w:line="700" w:lineRule="exact"/>
              <w:jc w:val="center"/>
              <w:rPr>
                <w:rFonts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vAlign w:val="center"/>
          </w:tcPr>
          <w:p w14:paraId="0893B134">
            <w:pPr>
              <w:spacing w:line="700" w:lineRule="exact"/>
              <w:jc w:val="left"/>
              <w:rPr>
                <w:color w:val="auto"/>
                <w:sz w:val="24"/>
                <w:highlight w:val="none"/>
              </w:rPr>
            </w:pPr>
            <w:r>
              <w:rPr>
                <w:rFonts w:hint="eastAsia"/>
                <w:color w:val="auto"/>
                <w:sz w:val="24"/>
                <w:highlight w:val="none"/>
              </w:rPr>
              <w:t xml:space="preserve">         </w:t>
            </w:r>
          </w:p>
        </w:tc>
      </w:tr>
      <w:tr w14:paraId="2122F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2AA047CB">
            <w:pPr>
              <w:spacing w:line="700" w:lineRule="exact"/>
              <w:jc w:val="center"/>
              <w:rPr>
                <w:rFonts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vAlign w:val="center"/>
          </w:tcPr>
          <w:p w14:paraId="2F278316">
            <w:pPr>
              <w:spacing w:line="700" w:lineRule="exact"/>
              <w:rPr>
                <w:rFonts w:ascii="宋体"/>
                <w:color w:val="auto"/>
                <w:sz w:val="24"/>
                <w:highlight w:val="none"/>
              </w:rPr>
            </w:pPr>
          </w:p>
        </w:tc>
      </w:tr>
      <w:tr w14:paraId="1E7CE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7731841D">
            <w:pPr>
              <w:spacing w:line="700" w:lineRule="exact"/>
              <w:ind w:firstLine="120" w:firstLineChars="50"/>
              <w:rPr>
                <w:rFonts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tcPr>
          <w:p w14:paraId="2C963B21">
            <w:pPr>
              <w:pStyle w:val="20"/>
              <w:spacing w:line="700" w:lineRule="exact"/>
              <w:ind w:left="86" w:leftChars="41"/>
              <w:rPr>
                <w:rFonts w:ascii="宋体" w:eastAsia="宋体"/>
                <w:color w:val="auto"/>
                <w:sz w:val="24"/>
                <w:szCs w:val="24"/>
                <w:highlight w:val="none"/>
              </w:rPr>
            </w:pPr>
          </w:p>
        </w:tc>
      </w:tr>
      <w:tr w14:paraId="76F9D1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vAlign w:val="center"/>
          </w:tcPr>
          <w:p w14:paraId="44A4D232">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vAlign w:val="center"/>
          </w:tcPr>
          <w:p w14:paraId="4D7B778B">
            <w:pPr>
              <w:spacing w:line="360" w:lineRule="auto"/>
              <w:jc w:val="left"/>
              <w:rPr>
                <w:rFonts w:hint="eastAsia" w:ascii="宋体" w:hAnsi="宋体"/>
                <w:color w:val="auto"/>
                <w:sz w:val="24"/>
                <w:highlight w:val="none"/>
              </w:rPr>
            </w:pPr>
            <w:r>
              <w:rPr>
                <w:rFonts w:hint="eastAsia" w:ascii="宋体" w:hAnsi="宋体"/>
                <w:color w:val="auto"/>
                <w:sz w:val="24"/>
                <w:highlight w:val="none"/>
              </w:rPr>
              <w:t>投标</w:t>
            </w:r>
            <w:r>
              <w:rPr>
                <w:rFonts w:hint="eastAsia" w:ascii="宋体" w:hAnsi="宋体"/>
                <w:color w:val="auto"/>
                <w:sz w:val="24"/>
                <w:highlight w:val="none"/>
                <w:lang w:val="en-US" w:eastAsia="zh-CN"/>
              </w:rPr>
              <w:t>总</w:t>
            </w:r>
            <w:r>
              <w:rPr>
                <w:rFonts w:hint="eastAsia" w:ascii="宋体" w:hAnsi="宋体"/>
                <w:color w:val="auto"/>
                <w:sz w:val="24"/>
                <w:highlight w:val="none"/>
              </w:rPr>
              <w:t>报价 ：（大写）：</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526E0FD7">
            <w:pPr>
              <w:spacing w:line="360" w:lineRule="auto"/>
              <w:ind w:firstLine="1440" w:firstLineChars="600"/>
              <w:jc w:val="left"/>
              <w:rPr>
                <w:rFonts w:hint="eastAsia" w:ascii="宋体" w:hAnsi="宋体"/>
                <w:color w:val="auto"/>
                <w:sz w:val="24"/>
                <w:highlight w:val="none"/>
              </w:rPr>
            </w:pPr>
            <w:r>
              <w:rPr>
                <w:rFonts w:hint="eastAsia" w:ascii="宋体" w:hAnsi="宋体"/>
                <w:color w:val="auto"/>
                <w:sz w:val="24"/>
                <w:highlight w:val="none"/>
              </w:rPr>
              <w:t>(小写) ：</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其中</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元/年）</w:t>
            </w:r>
            <w:r>
              <w:rPr>
                <w:rFonts w:hint="eastAsia" w:ascii="宋体" w:hAnsi="宋体"/>
                <w:color w:val="auto"/>
                <w:sz w:val="24"/>
                <w:highlight w:val="none"/>
              </w:rPr>
              <w:t>。</w:t>
            </w:r>
            <w:r>
              <w:rPr>
                <w:rFonts w:hint="eastAsia" w:ascii="宋体" w:hAnsi="宋体"/>
                <w:color w:val="auto"/>
                <w:sz w:val="24"/>
                <w:highlight w:val="none"/>
              </w:rPr>
              <w:br w:type="textWrapping"/>
            </w:r>
            <w:r>
              <w:rPr>
                <w:rFonts w:hint="eastAsia" w:ascii="宋体" w:hAnsi="宋体"/>
                <w:color w:val="auto"/>
                <w:sz w:val="24"/>
                <w:highlight w:val="none"/>
              </w:rPr>
              <w:t xml:space="preserve">          </w:t>
            </w:r>
          </w:p>
          <w:p w14:paraId="1C0F7056">
            <w:pPr>
              <w:spacing w:line="360" w:lineRule="auto"/>
              <w:rPr>
                <w:color w:val="auto"/>
                <w:sz w:val="24"/>
                <w:highlight w:val="none"/>
              </w:rPr>
            </w:pPr>
            <w:r>
              <w:rPr>
                <w:rFonts w:hint="eastAsia"/>
                <w:color w:val="auto"/>
                <w:sz w:val="24"/>
                <w:highlight w:val="none"/>
              </w:rPr>
              <w:t xml:space="preserve">合同履行期限：响应招标文件要求。 </w:t>
            </w:r>
          </w:p>
        </w:tc>
      </w:tr>
    </w:tbl>
    <w:p w14:paraId="6BC47FF1">
      <w:pPr>
        <w:snapToGrid w:val="0"/>
        <w:spacing w:line="460" w:lineRule="exact"/>
        <w:ind w:left="2940" w:leftChars="1400" w:firstLine="723" w:firstLineChars="300"/>
        <w:rPr>
          <w:rFonts w:ascii="宋体"/>
          <w:b/>
          <w:color w:val="auto"/>
          <w:sz w:val="24"/>
          <w:highlight w:val="none"/>
        </w:rPr>
      </w:pPr>
    </w:p>
    <w:p w14:paraId="207AF1F2">
      <w:pPr>
        <w:rPr>
          <w:rFonts w:ascii="宋体"/>
          <w:color w:val="auto"/>
          <w:sz w:val="24"/>
          <w:highlight w:val="none"/>
        </w:rPr>
      </w:pPr>
      <w:r>
        <w:rPr>
          <w:rFonts w:hint="eastAsia" w:ascii="宋体"/>
          <w:color w:val="auto"/>
          <w:sz w:val="24"/>
          <w:highlight w:val="none"/>
        </w:rPr>
        <w:t>法定代表人（签章）：         投标人（盖单位章）：</w:t>
      </w:r>
    </w:p>
    <w:p w14:paraId="24B8BF76">
      <w:pPr>
        <w:snapToGrid w:val="0"/>
        <w:spacing w:before="312" w:beforeLines="100" w:after="312" w:afterLines="100" w:line="360" w:lineRule="auto"/>
        <w:jc w:val="center"/>
        <w:rPr>
          <w:rFonts w:cs="Arial"/>
          <w:b/>
          <w:bCs/>
          <w:color w:val="auto"/>
          <w:sz w:val="30"/>
          <w:szCs w:val="30"/>
          <w:highlight w:val="none"/>
        </w:rPr>
        <w:sectPr>
          <w:pgSz w:w="11906" w:h="16838"/>
          <w:pgMar w:top="1440" w:right="1800" w:bottom="1440" w:left="1800" w:header="851" w:footer="992" w:gutter="0"/>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226ABE70">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45C1C82A">
      <w:pPr>
        <w:spacing w:line="360" w:lineRule="exact"/>
        <w:ind w:firstLine="531" w:firstLineChars="147"/>
        <w:jc w:val="center"/>
        <w:rPr>
          <w:rFonts w:ascii="宋体"/>
          <w:b/>
          <w:color w:val="auto"/>
          <w:sz w:val="36"/>
          <w:szCs w:val="36"/>
          <w:highlight w:val="none"/>
        </w:rPr>
      </w:pPr>
      <w:r>
        <w:rPr>
          <w:rFonts w:hint="eastAsia" w:ascii="宋体"/>
          <w:b/>
          <w:color w:val="auto"/>
          <w:sz w:val="36"/>
          <w:szCs w:val="36"/>
          <w:highlight w:val="none"/>
        </w:rPr>
        <w:t>投  标  函</w:t>
      </w:r>
    </w:p>
    <w:p w14:paraId="1EE89A1C">
      <w:pPr>
        <w:spacing w:line="440" w:lineRule="exact"/>
        <w:rPr>
          <w:rFonts w:ascii="宋体"/>
          <w:color w:val="auto"/>
          <w:sz w:val="24"/>
          <w:highlight w:val="none"/>
        </w:rPr>
      </w:pPr>
    </w:p>
    <w:p w14:paraId="0F292D05">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55BD4CA0">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A81B76D">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（项目编号）”项目的货物与服务，投标</w:t>
      </w:r>
      <w:r>
        <w:rPr>
          <w:rFonts w:hint="eastAsia" w:ascii="宋体" w:hAnsi="宋体" w:cs="宋体"/>
          <w:color w:val="auto"/>
          <w:sz w:val="24"/>
          <w:highlight w:val="none"/>
          <w:lang w:val="en-US" w:eastAsia="zh-CN"/>
        </w:rPr>
        <w:t>总</w:t>
      </w:r>
      <w:r>
        <w:rPr>
          <w:rFonts w:hint="eastAsia" w:ascii="宋体" w:hAnsi="宋体" w:cs="宋体"/>
          <w:color w:val="auto"/>
          <w:sz w:val="24"/>
          <w:highlight w:val="none"/>
        </w:rPr>
        <w:t>报价为</w:t>
      </w:r>
      <w:r>
        <w:rPr>
          <w:rFonts w:hint="eastAsia" w:ascii="宋体" w:hAnsi="宋体" w:cs="宋体"/>
          <w:color w:val="auto"/>
          <w:sz w:val="24"/>
          <w:highlight w:val="none"/>
          <w:u w:val="single"/>
        </w:rPr>
        <w:t xml:space="preserve">（大写）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（小写）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元</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其中                  </w:t>
      </w:r>
      <w:r>
        <w:rPr>
          <w:rFonts w:hint="eastAsia" w:ascii="宋体" w:hAnsi="宋体" w:cs="宋体"/>
          <w:color w:val="auto"/>
          <w:sz w:val="24"/>
          <w:highlight w:val="none"/>
          <w:u w:val="single"/>
        </w:rPr>
        <w:t>元/年</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w:t>
      </w:r>
    </w:p>
    <w:p w14:paraId="6AF88B80">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05356CF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4.若我方中标，愿意为本项目提交纸质投标文件。</w:t>
      </w:r>
    </w:p>
    <w:p w14:paraId="5910F46B">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703B8294">
      <w:pPr>
        <w:pStyle w:val="12"/>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07D28423">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5CA27C6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479D38F0">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276079F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67D6C8D7">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2345A60F">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6C1BBB1A">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0F4754D3">
      <w:pPr>
        <w:spacing w:line="500" w:lineRule="exact"/>
        <w:ind w:right="-178" w:rightChars="-85" w:firstLine="3240" w:firstLineChars="1350"/>
        <w:jc w:val="left"/>
        <w:rPr>
          <w:rFonts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4B04A82A">
      <w:pPr>
        <w:rPr>
          <w:rFonts w:hint="eastAsia" w:ascii="宋体" w:hAnsi="宋体"/>
          <w:b/>
          <w:color w:val="auto"/>
          <w:sz w:val="30"/>
          <w:szCs w:val="30"/>
          <w:highlight w:val="none"/>
        </w:rPr>
      </w:pPr>
    </w:p>
    <w:p w14:paraId="01DFF359">
      <w:pPr>
        <w:rPr>
          <w:rFonts w:hint="eastAsia" w:ascii="宋体" w:hAnsi="宋体"/>
          <w:b/>
          <w:color w:val="auto"/>
          <w:sz w:val="30"/>
          <w:szCs w:val="30"/>
          <w:highlight w:val="none"/>
        </w:rPr>
      </w:pPr>
    </w:p>
    <w:p w14:paraId="1611188E">
      <w:pPr>
        <w:rPr>
          <w:rFonts w:hint="eastAsia" w:ascii="宋体" w:hAnsi="宋体"/>
          <w:b/>
          <w:color w:val="auto"/>
          <w:sz w:val="30"/>
          <w:szCs w:val="30"/>
          <w:highlight w:val="none"/>
        </w:rPr>
      </w:pPr>
    </w:p>
    <w:p w14:paraId="1C43C0C8">
      <w:pPr>
        <w:rPr>
          <w:color w:val="auto"/>
          <w:sz w:val="24"/>
          <w:highlight w:val="none"/>
        </w:rPr>
      </w:pPr>
      <w:r>
        <w:rPr>
          <w:rFonts w:hint="eastAsia" w:ascii="宋体" w:hAnsi="宋体"/>
          <w:b/>
          <w:color w:val="auto"/>
          <w:sz w:val="30"/>
          <w:szCs w:val="30"/>
          <w:highlight w:val="none"/>
        </w:rPr>
        <w:t>附件3</w:t>
      </w:r>
    </w:p>
    <w:p w14:paraId="1626EE96">
      <w:pPr>
        <w:spacing w:line="360" w:lineRule="auto"/>
        <w:ind w:left="720"/>
        <w:jc w:val="center"/>
        <w:rPr>
          <w:rFonts w:hint="eastAsia" w:ascii="宋体" w:hAnsi="宋体"/>
          <w:b/>
          <w:color w:val="auto"/>
          <w:sz w:val="36"/>
          <w:szCs w:val="36"/>
          <w:highlight w:val="none"/>
        </w:rPr>
      </w:pPr>
      <w:r>
        <w:rPr>
          <w:rFonts w:hint="eastAsia"/>
          <w:b/>
          <w:color w:val="auto"/>
          <w:sz w:val="28"/>
          <w:szCs w:val="28"/>
          <w:highlight w:val="none"/>
        </w:rPr>
        <w:t>分项报价清单</w:t>
      </w:r>
    </w:p>
    <w:tbl>
      <w:tblPr>
        <w:tblStyle w:val="35"/>
        <w:tblW w:w="0" w:type="auto"/>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972"/>
        <w:gridCol w:w="1494"/>
      </w:tblGrid>
      <w:tr w14:paraId="28CA0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vAlign w:val="center"/>
          </w:tcPr>
          <w:p w14:paraId="18623F07">
            <w:pPr>
              <w:spacing w:line="30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vAlign w:val="center"/>
          </w:tcPr>
          <w:p w14:paraId="68F8F00C">
            <w:pPr>
              <w:spacing w:line="300" w:lineRule="exact"/>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242" w:type="dxa"/>
            <w:tcBorders>
              <w:left w:val="single" w:color="auto" w:sz="4" w:space="0"/>
            </w:tcBorders>
            <w:vAlign w:val="center"/>
          </w:tcPr>
          <w:p w14:paraId="5F537E1B">
            <w:pPr>
              <w:spacing w:line="300" w:lineRule="exact"/>
              <w:jc w:val="center"/>
              <w:rPr>
                <w:rFonts w:hint="eastAsia" w:ascii="宋体" w:hAnsi="宋体"/>
                <w:color w:val="auto"/>
                <w:szCs w:val="21"/>
                <w:highlight w:val="none"/>
              </w:rPr>
            </w:pPr>
            <w:r>
              <w:rPr>
                <w:rFonts w:hint="eastAsia" w:ascii="宋体" w:hAnsi="宋体"/>
                <w:color w:val="auto"/>
                <w:szCs w:val="21"/>
                <w:highlight w:val="none"/>
              </w:rPr>
              <w:t>规格型号</w:t>
            </w:r>
          </w:p>
          <w:p w14:paraId="7040D1B0">
            <w:pPr>
              <w:spacing w:line="30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784" w:type="dxa"/>
            <w:vAlign w:val="center"/>
          </w:tcPr>
          <w:p w14:paraId="4D66E90E">
            <w:pPr>
              <w:spacing w:line="300" w:lineRule="exact"/>
              <w:jc w:val="center"/>
              <w:rPr>
                <w:rFonts w:hint="eastAsia" w:ascii="宋体" w:hAnsi="宋体"/>
                <w:color w:val="auto"/>
                <w:szCs w:val="21"/>
                <w:highlight w:val="none"/>
              </w:rPr>
            </w:pPr>
            <w:r>
              <w:rPr>
                <w:rFonts w:hint="eastAsia" w:ascii="宋体" w:hAnsi="宋体"/>
                <w:color w:val="auto"/>
                <w:szCs w:val="21"/>
                <w:highlight w:val="none"/>
              </w:rPr>
              <w:t>单位</w:t>
            </w:r>
          </w:p>
        </w:tc>
        <w:tc>
          <w:tcPr>
            <w:tcW w:w="782" w:type="dxa"/>
            <w:vAlign w:val="center"/>
          </w:tcPr>
          <w:p w14:paraId="128FF22B">
            <w:pPr>
              <w:spacing w:line="300" w:lineRule="exact"/>
              <w:jc w:val="center"/>
              <w:rPr>
                <w:rFonts w:hint="eastAsia" w:ascii="宋体" w:hAnsi="宋体"/>
                <w:color w:val="auto"/>
                <w:szCs w:val="21"/>
                <w:highlight w:val="none"/>
              </w:rPr>
            </w:pPr>
            <w:r>
              <w:rPr>
                <w:rFonts w:hint="eastAsia" w:ascii="宋体" w:hAnsi="宋体"/>
                <w:color w:val="auto"/>
                <w:szCs w:val="21"/>
                <w:highlight w:val="none"/>
              </w:rPr>
              <w:t>数量</w:t>
            </w:r>
          </w:p>
        </w:tc>
        <w:tc>
          <w:tcPr>
            <w:tcW w:w="898" w:type="dxa"/>
            <w:tcBorders>
              <w:left w:val="single" w:color="auto" w:sz="4" w:space="0"/>
            </w:tcBorders>
            <w:vAlign w:val="center"/>
          </w:tcPr>
          <w:p w14:paraId="1B39BAF8">
            <w:pPr>
              <w:spacing w:line="300" w:lineRule="exact"/>
              <w:jc w:val="center"/>
              <w:rPr>
                <w:rFonts w:hint="eastAsia" w:ascii="宋体" w:hAnsi="宋体"/>
                <w:color w:val="auto"/>
                <w:szCs w:val="21"/>
                <w:highlight w:val="none"/>
              </w:rPr>
            </w:pPr>
            <w:r>
              <w:rPr>
                <w:rFonts w:hint="eastAsia" w:ascii="宋体" w:hAnsi="宋体"/>
                <w:color w:val="auto"/>
                <w:szCs w:val="21"/>
                <w:highlight w:val="none"/>
              </w:rPr>
              <w:t>单 价（元）</w:t>
            </w:r>
          </w:p>
        </w:tc>
        <w:tc>
          <w:tcPr>
            <w:tcW w:w="972" w:type="dxa"/>
            <w:vAlign w:val="center"/>
          </w:tcPr>
          <w:p w14:paraId="14C5AE6D">
            <w:pPr>
              <w:spacing w:line="300" w:lineRule="exact"/>
              <w:jc w:val="center"/>
              <w:rPr>
                <w:rFonts w:hint="eastAsia" w:ascii="宋体" w:hAnsi="宋体"/>
                <w:color w:val="auto"/>
                <w:szCs w:val="21"/>
                <w:highlight w:val="none"/>
              </w:rPr>
            </w:pPr>
            <w:r>
              <w:rPr>
                <w:rFonts w:hint="eastAsia" w:ascii="宋体" w:hAnsi="宋体"/>
                <w:color w:val="auto"/>
                <w:szCs w:val="21"/>
                <w:highlight w:val="none"/>
              </w:rPr>
              <w:t>合 价（元）</w:t>
            </w:r>
          </w:p>
        </w:tc>
        <w:tc>
          <w:tcPr>
            <w:tcW w:w="1494" w:type="dxa"/>
            <w:vAlign w:val="center"/>
          </w:tcPr>
          <w:p w14:paraId="58B1225F">
            <w:pPr>
              <w:spacing w:line="300" w:lineRule="exact"/>
              <w:ind w:left="-80" w:leftChars="-38" w:right="-94" w:rightChars="-45"/>
              <w:jc w:val="center"/>
              <w:rPr>
                <w:rFonts w:hint="eastAsia" w:ascii="宋体" w:hAnsi="宋体"/>
                <w:color w:val="auto"/>
                <w:szCs w:val="21"/>
                <w:highlight w:val="none"/>
              </w:rPr>
            </w:pPr>
            <w:r>
              <w:rPr>
                <w:rFonts w:hint="eastAsia" w:ascii="宋体" w:hAnsi="宋体"/>
                <w:color w:val="auto"/>
                <w:szCs w:val="21"/>
                <w:highlight w:val="none"/>
              </w:rPr>
              <w:t>备注</w:t>
            </w:r>
          </w:p>
        </w:tc>
      </w:tr>
      <w:tr w14:paraId="2B14BD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tcPr>
          <w:p w14:paraId="44982F42">
            <w:pP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vAlign w:val="center"/>
          </w:tcPr>
          <w:p w14:paraId="4D36376A">
            <w:pPr>
              <w:widowControl/>
              <w:spacing w:line="440" w:lineRule="exact"/>
              <w:ind w:left="-10" w:right="-420" w:rightChars="-200" w:firstLine="10"/>
              <w:jc w:val="center"/>
              <w:textAlignment w:val="center"/>
              <w:rPr>
                <w:rFonts w:hint="eastAsia" w:ascii="宋体" w:hAnsi="宋体" w:cs="宋体"/>
                <w:color w:val="auto"/>
                <w:szCs w:val="21"/>
                <w:highlight w:val="none"/>
              </w:rPr>
            </w:pPr>
          </w:p>
        </w:tc>
        <w:tc>
          <w:tcPr>
            <w:tcW w:w="1242" w:type="dxa"/>
            <w:tcBorders>
              <w:left w:val="single" w:color="auto" w:sz="4" w:space="0"/>
            </w:tcBorders>
            <w:vAlign w:val="center"/>
          </w:tcPr>
          <w:p w14:paraId="0254B0BB">
            <w:pPr>
              <w:spacing w:line="300" w:lineRule="exact"/>
              <w:jc w:val="center"/>
              <w:rPr>
                <w:rFonts w:hint="eastAsia" w:ascii="宋体" w:hAnsi="宋体"/>
                <w:color w:val="auto"/>
                <w:sz w:val="24"/>
                <w:highlight w:val="none"/>
              </w:rPr>
            </w:pPr>
          </w:p>
        </w:tc>
        <w:tc>
          <w:tcPr>
            <w:tcW w:w="784" w:type="dxa"/>
            <w:shd w:val="clear" w:color="auto" w:fill="FFFFFF"/>
            <w:vAlign w:val="center"/>
          </w:tcPr>
          <w:p w14:paraId="5C193DE1">
            <w:pPr>
              <w:widowControl/>
              <w:spacing w:line="360" w:lineRule="auto"/>
              <w:jc w:val="center"/>
              <w:textAlignment w:val="center"/>
              <w:rPr>
                <w:rFonts w:hint="eastAsia" w:ascii="宋体" w:hAnsi="宋体"/>
                <w:color w:val="auto"/>
                <w:sz w:val="24"/>
                <w:highlight w:val="none"/>
              </w:rPr>
            </w:pPr>
          </w:p>
        </w:tc>
        <w:tc>
          <w:tcPr>
            <w:tcW w:w="782" w:type="dxa"/>
            <w:shd w:val="clear" w:color="auto" w:fill="FFFFFF"/>
            <w:vAlign w:val="center"/>
          </w:tcPr>
          <w:p w14:paraId="2CC96BAF">
            <w:pPr>
              <w:widowControl/>
              <w:spacing w:line="360" w:lineRule="auto"/>
              <w:jc w:val="center"/>
              <w:textAlignment w:val="center"/>
              <w:rPr>
                <w:rFonts w:hint="eastAsia" w:ascii="宋体" w:hAnsi="宋体"/>
                <w:color w:val="auto"/>
                <w:sz w:val="24"/>
                <w:highlight w:val="none"/>
              </w:rPr>
            </w:pPr>
          </w:p>
        </w:tc>
        <w:tc>
          <w:tcPr>
            <w:tcW w:w="898" w:type="dxa"/>
            <w:tcBorders>
              <w:left w:val="single" w:color="auto" w:sz="4" w:space="0"/>
            </w:tcBorders>
            <w:vAlign w:val="center"/>
          </w:tcPr>
          <w:p w14:paraId="7613E827">
            <w:pPr>
              <w:spacing w:line="300" w:lineRule="exact"/>
              <w:rPr>
                <w:rFonts w:hint="eastAsia" w:ascii="宋体" w:hAnsi="宋体"/>
                <w:color w:val="auto"/>
                <w:sz w:val="24"/>
                <w:highlight w:val="none"/>
              </w:rPr>
            </w:pPr>
          </w:p>
        </w:tc>
        <w:tc>
          <w:tcPr>
            <w:tcW w:w="972" w:type="dxa"/>
            <w:vAlign w:val="center"/>
          </w:tcPr>
          <w:p w14:paraId="09E7DC17">
            <w:pPr>
              <w:spacing w:line="300" w:lineRule="exact"/>
              <w:rPr>
                <w:rFonts w:hint="eastAsia" w:ascii="宋体" w:hAnsi="宋体"/>
                <w:color w:val="auto"/>
                <w:sz w:val="24"/>
                <w:highlight w:val="none"/>
              </w:rPr>
            </w:pPr>
          </w:p>
        </w:tc>
        <w:tc>
          <w:tcPr>
            <w:tcW w:w="1494" w:type="dxa"/>
          </w:tcPr>
          <w:p w14:paraId="5436BC65">
            <w:pPr>
              <w:spacing w:line="300" w:lineRule="exact"/>
              <w:rPr>
                <w:rFonts w:hint="eastAsia" w:ascii="宋体" w:hAnsi="宋体"/>
                <w:color w:val="auto"/>
                <w:sz w:val="24"/>
                <w:highlight w:val="none"/>
              </w:rPr>
            </w:pPr>
          </w:p>
        </w:tc>
      </w:tr>
      <w:tr w14:paraId="34FF36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tcPr>
          <w:p w14:paraId="7EB7DF5E">
            <w:pPr>
              <w:textAlignment w:val="baseline"/>
              <w:rPr>
                <w:rFonts w:hint="eastAsia" w:ascii="宋体" w:hAnsi="宋体"/>
                <w:color w:val="auto"/>
                <w:szCs w:val="21"/>
                <w:highlight w:val="none"/>
              </w:rPr>
            </w:pPr>
            <w:r>
              <w:rPr>
                <w:rFonts w:hint="eastAsia" w:ascii="宋体" w:hAnsi="宋体"/>
                <w:color w:val="auto"/>
                <w:szCs w:val="21"/>
                <w:highlight w:val="none"/>
              </w:rPr>
              <w:t>2</w:t>
            </w:r>
          </w:p>
        </w:tc>
        <w:tc>
          <w:tcPr>
            <w:tcW w:w="2038" w:type="dxa"/>
            <w:tcBorders>
              <w:right w:val="single" w:color="auto" w:sz="4" w:space="0"/>
            </w:tcBorders>
            <w:vAlign w:val="center"/>
          </w:tcPr>
          <w:p w14:paraId="7585F4EF">
            <w:pPr>
              <w:widowControl/>
              <w:spacing w:line="440" w:lineRule="exact"/>
              <w:ind w:left="-10" w:right="-420" w:rightChars="-200" w:firstLine="10"/>
              <w:jc w:val="center"/>
              <w:textAlignment w:val="center"/>
              <w:rPr>
                <w:rFonts w:hint="eastAsia" w:ascii="宋体" w:hAnsi="宋体" w:cs="宋体"/>
                <w:color w:val="auto"/>
                <w:szCs w:val="21"/>
                <w:highlight w:val="none"/>
              </w:rPr>
            </w:pPr>
          </w:p>
        </w:tc>
        <w:tc>
          <w:tcPr>
            <w:tcW w:w="1242" w:type="dxa"/>
            <w:tcBorders>
              <w:left w:val="single" w:color="auto" w:sz="4" w:space="0"/>
            </w:tcBorders>
            <w:vAlign w:val="center"/>
          </w:tcPr>
          <w:p w14:paraId="22A4A163">
            <w:pPr>
              <w:spacing w:line="300" w:lineRule="exact"/>
              <w:jc w:val="center"/>
              <w:rPr>
                <w:rFonts w:hint="eastAsia" w:ascii="宋体" w:hAnsi="宋体"/>
                <w:color w:val="auto"/>
                <w:sz w:val="24"/>
                <w:highlight w:val="none"/>
              </w:rPr>
            </w:pPr>
          </w:p>
        </w:tc>
        <w:tc>
          <w:tcPr>
            <w:tcW w:w="784" w:type="dxa"/>
            <w:shd w:val="clear" w:color="auto" w:fill="FFFFFF"/>
            <w:vAlign w:val="center"/>
          </w:tcPr>
          <w:p w14:paraId="25C98F10">
            <w:pPr>
              <w:widowControl/>
              <w:spacing w:line="360" w:lineRule="auto"/>
              <w:jc w:val="center"/>
              <w:textAlignment w:val="center"/>
              <w:rPr>
                <w:rFonts w:hint="eastAsia" w:ascii="宋体" w:hAnsi="宋体"/>
                <w:color w:val="auto"/>
                <w:sz w:val="24"/>
                <w:highlight w:val="none"/>
              </w:rPr>
            </w:pPr>
          </w:p>
        </w:tc>
        <w:tc>
          <w:tcPr>
            <w:tcW w:w="782" w:type="dxa"/>
            <w:shd w:val="clear" w:color="auto" w:fill="FFFFFF"/>
            <w:vAlign w:val="center"/>
          </w:tcPr>
          <w:p w14:paraId="1D8ACB63">
            <w:pPr>
              <w:widowControl/>
              <w:spacing w:line="360" w:lineRule="auto"/>
              <w:jc w:val="center"/>
              <w:textAlignment w:val="center"/>
              <w:rPr>
                <w:rFonts w:hint="eastAsia" w:ascii="宋体" w:hAnsi="宋体"/>
                <w:color w:val="auto"/>
                <w:sz w:val="24"/>
                <w:highlight w:val="none"/>
              </w:rPr>
            </w:pPr>
          </w:p>
        </w:tc>
        <w:tc>
          <w:tcPr>
            <w:tcW w:w="898" w:type="dxa"/>
            <w:tcBorders>
              <w:left w:val="single" w:color="auto" w:sz="4" w:space="0"/>
            </w:tcBorders>
            <w:vAlign w:val="center"/>
          </w:tcPr>
          <w:p w14:paraId="1CA9EC45">
            <w:pPr>
              <w:spacing w:line="300" w:lineRule="exact"/>
              <w:rPr>
                <w:rFonts w:hint="eastAsia" w:ascii="宋体" w:hAnsi="宋体"/>
                <w:color w:val="auto"/>
                <w:sz w:val="24"/>
                <w:highlight w:val="none"/>
              </w:rPr>
            </w:pPr>
          </w:p>
        </w:tc>
        <w:tc>
          <w:tcPr>
            <w:tcW w:w="972" w:type="dxa"/>
            <w:vAlign w:val="center"/>
          </w:tcPr>
          <w:p w14:paraId="1242BE2D">
            <w:pPr>
              <w:spacing w:line="300" w:lineRule="exact"/>
              <w:rPr>
                <w:rFonts w:hint="eastAsia" w:ascii="宋体" w:hAnsi="宋体"/>
                <w:color w:val="auto"/>
                <w:sz w:val="24"/>
                <w:highlight w:val="none"/>
              </w:rPr>
            </w:pPr>
          </w:p>
        </w:tc>
        <w:tc>
          <w:tcPr>
            <w:tcW w:w="1494" w:type="dxa"/>
          </w:tcPr>
          <w:p w14:paraId="482AA913">
            <w:pPr>
              <w:spacing w:line="300" w:lineRule="exact"/>
              <w:rPr>
                <w:rFonts w:hint="eastAsia" w:ascii="宋体" w:hAnsi="宋体"/>
                <w:color w:val="auto"/>
                <w:sz w:val="24"/>
                <w:highlight w:val="none"/>
              </w:rPr>
            </w:pPr>
          </w:p>
        </w:tc>
      </w:tr>
      <w:tr w14:paraId="40E24D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tcPr>
          <w:p w14:paraId="1CC1CC08">
            <w:pPr>
              <w:textAlignment w:val="baseline"/>
              <w:rPr>
                <w:rFonts w:hint="eastAsia" w:ascii="宋体" w:hAnsi="宋体"/>
                <w:color w:val="auto"/>
                <w:szCs w:val="21"/>
                <w:highlight w:val="none"/>
              </w:rPr>
            </w:pPr>
            <w:r>
              <w:rPr>
                <w:rFonts w:hint="eastAsia" w:ascii="宋体" w:hAnsi="宋体"/>
                <w:color w:val="auto"/>
                <w:szCs w:val="21"/>
                <w:highlight w:val="none"/>
              </w:rPr>
              <w:t>3</w:t>
            </w:r>
          </w:p>
        </w:tc>
        <w:tc>
          <w:tcPr>
            <w:tcW w:w="2038" w:type="dxa"/>
            <w:tcBorders>
              <w:right w:val="single" w:color="auto" w:sz="4" w:space="0"/>
            </w:tcBorders>
            <w:vAlign w:val="center"/>
          </w:tcPr>
          <w:p w14:paraId="1F20889D">
            <w:pPr>
              <w:widowControl/>
              <w:spacing w:line="440" w:lineRule="exact"/>
              <w:ind w:left="-10" w:right="-420" w:rightChars="-200" w:firstLine="10"/>
              <w:jc w:val="center"/>
              <w:textAlignment w:val="center"/>
              <w:rPr>
                <w:rFonts w:hint="eastAsia" w:ascii="宋体" w:hAnsi="宋体" w:cs="宋体"/>
                <w:color w:val="auto"/>
                <w:szCs w:val="21"/>
                <w:highlight w:val="none"/>
              </w:rPr>
            </w:pPr>
          </w:p>
        </w:tc>
        <w:tc>
          <w:tcPr>
            <w:tcW w:w="1242" w:type="dxa"/>
            <w:tcBorders>
              <w:left w:val="single" w:color="auto" w:sz="4" w:space="0"/>
            </w:tcBorders>
            <w:vAlign w:val="center"/>
          </w:tcPr>
          <w:p w14:paraId="649339A6">
            <w:pPr>
              <w:spacing w:line="300" w:lineRule="exact"/>
              <w:jc w:val="center"/>
              <w:rPr>
                <w:rFonts w:hint="eastAsia" w:ascii="宋体" w:hAnsi="宋体"/>
                <w:color w:val="auto"/>
                <w:sz w:val="24"/>
                <w:highlight w:val="none"/>
              </w:rPr>
            </w:pPr>
          </w:p>
        </w:tc>
        <w:tc>
          <w:tcPr>
            <w:tcW w:w="784" w:type="dxa"/>
            <w:shd w:val="clear" w:color="auto" w:fill="FFFFFF"/>
            <w:vAlign w:val="center"/>
          </w:tcPr>
          <w:p w14:paraId="05574533">
            <w:pPr>
              <w:widowControl/>
              <w:spacing w:line="360" w:lineRule="auto"/>
              <w:jc w:val="center"/>
              <w:textAlignment w:val="center"/>
              <w:rPr>
                <w:rFonts w:hint="eastAsia" w:ascii="宋体" w:hAnsi="宋体"/>
                <w:color w:val="auto"/>
                <w:sz w:val="24"/>
                <w:highlight w:val="none"/>
              </w:rPr>
            </w:pPr>
          </w:p>
        </w:tc>
        <w:tc>
          <w:tcPr>
            <w:tcW w:w="782" w:type="dxa"/>
            <w:shd w:val="clear" w:color="auto" w:fill="FFFFFF"/>
            <w:vAlign w:val="center"/>
          </w:tcPr>
          <w:p w14:paraId="5BA96494">
            <w:pPr>
              <w:widowControl/>
              <w:spacing w:line="360" w:lineRule="auto"/>
              <w:jc w:val="center"/>
              <w:textAlignment w:val="center"/>
              <w:rPr>
                <w:rFonts w:hint="eastAsia" w:ascii="宋体" w:hAnsi="宋体"/>
                <w:color w:val="auto"/>
                <w:sz w:val="24"/>
                <w:highlight w:val="none"/>
              </w:rPr>
            </w:pPr>
          </w:p>
        </w:tc>
        <w:tc>
          <w:tcPr>
            <w:tcW w:w="898" w:type="dxa"/>
            <w:tcBorders>
              <w:left w:val="single" w:color="auto" w:sz="4" w:space="0"/>
            </w:tcBorders>
            <w:vAlign w:val="center"/>
          </w:tcPr>
          <w:p w14:paraId="56858F88">
            <w:pPr>
              <w:spacing w:line="300" w:lineRule="exact"/>
              <w:rPr>
                <w:rFonts w:hint="eastAsia" w:ascii="宋体" w:hAnsi="宋体"/>
                <w:color w:val="auto"/>
                <w:sz w:val="24"/>
                <w:highlight w:val="none"/>
              </w:rPr>
            </w:pPr>
          </w:p>
        </w:tc>
        <w:tc>
          <w:tcPr>
            <w:tcW w:w="972" w:type="dxa"/>
            <w:vAlign w:val="center"/>
          </w:tcPr>
          <w:p w14:paraId="59064EF4">
            <w:pPr>
              <w:spacing w:line="300" w:lineRule="exact"/>
              <w:rPr>
                <w:rFonts w:hint="eastAsia" w:ascii="宋体" w:hAnsi="宋体"/>
                <w:color w:val="auto"/>
                <w:sz w:val="24"/>
                <w:highlight w:val="none"/>
              </w:rPr>
            </w:pPr>
          </w:p>
        </w:tc>
        <w:tc>
          <w:tcPr>
            <w:tcW w:w="1494" w:type="dxa"/>
          </w:tcPr>
          <w:p w14:paraId="22DFF689">
            <w:pPr>
              <w:spacing w:line="300" w:lineRule="exact"/>
              <w:rPr>
                <w:rFonts w:hint="eastAsia" w:ascii="宋体" w:hAnsi="宋体"/>
                <w:color w:val="auto"/>
                <w:sz w:val="24"/>
                <w:highlight w:val="none"/>
              </w:rPr>
            </w:pPr>
          </w:p>
        </w:tc>
      </w:tr>
      <w:tr w14:paraId="7E24D6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tcPr>
          <w:p w14:paraId="570629C9">
            <w:pPr>
              <w:textAlignment w:val="baseline"/>
              <w:rPr>
                <w:rFonts w:hint="eastAsia" w:ascii="宋体" w:hAnsi="宋体"/>
                <w:color w:val="auto"/>
                <w:szCs w:val="21"/>
                <w:highlight w:val="none"/>
              </w:rPr>
            </w:pPr>
            <w:r>
              <w:rPr>
                <w:rFonts w:hint="eastAsia" w:ascii="宋体" w:hAnsi="宋体"/>
                <w:color w:val="auto"/>
                <w:szCs w:val="21"/>
                <w:highlight w:val="none"/>
              </w:rPr>
              <w:t>...</w:t>
            </w:r>
          </w:p>
        </w:tc>
        <w:tc>
          <w:tcPr>
            <w:tcW w:w="2038" w:type="dxa"/>
            <w:tcBorders>
              <w:right w:val="single" w:color="auto" w:sz="4" w:space="0"/>
            </w:tcBorders>
            <w:vAlign w:val="center"/>
          </w:tcPr>
          <w:p w14:paraId="1B8432E0">
            <w:pPr>
              <w:widowControl/>
              <w:spacing w:line="440" w:lineRule="exact"/>
              <w:ind w:left="-10" w:right="-420" w:rightChars="-200" w:firstLine="10"/>
              <w:jc w:val="center"/>
              <w:textAlignment w:val="center"/>
              <w:rPr>
                <w:rFonts w:hint="eastAsia" w:ascii="宋体" w:hAnsi="宋体" w:cs="宋体"/>
                <w:color w:val="auto"/>
                <w:szCs w:val="21"/>
                <w:highlight w:val="none"/>
              </w:rPr>
            </w:pPr>
          </w:p>
        </w:tc>
        <w:tc>
          <w:tcPr>
            <w:tcW w:w="1242" w:type="dxa"/>
            <w:tcBorders>
              <w:left w:val="single" w:color="auto" w:sz="4" w:space="0"/>
            </w:tcBorders>
            <w:vAlign w:val="center"/>
          </w:tcPr>
          <w:p w14:paraId="35BF5DCA">
            <w:pPr>
              <w:spacing w:line="300" w:lineRule="exact"/>
              <w:jc w:val="center"/>
              <w:rPr>
                <w:rFonts w:hint="eastAsia" w:ascii="宋体" w:hAnsi="宋体"/>
                <w:color w:val="auto"/>
                <w:sz w:val="24"/>
                <w:highlight w:val="none"/>
              </w:rPr>
            </w:pPr>
          </w:p>
        </w:tc>
        <w:tc>
          <w:tcPr>
            <w:tcW w:w="784" w:type="dxa"/>
            <w:shd w:val="clear" w:color="auto" w:fill="FFFFFF"/>
            <w:vAlign w:val="center"/>
          </w:tcPr>
          <w:p w14:paraId="30B67071">
            <w:pPr>
              <w:widowControl/>
              <w:spacing w:line="360" w:lineRule="auto"/>
              <w:jc w:val="center"/>
              <w:textAlignment w:val="center"/>
              <w:rPr>
                <w:rFonts w:hint="eastAsia" w:ascii="宋体" w:hAnsi="宋体"/>
                <w:color w:val="auto"/>
                <w:sz w:val="24"/>
                <w:highlight w:val="none"/>
              </w:rPr>
            </w:pPr>
          </w:p>
        </w:tc>
        <w:tc>
          <w:tcPr>
            <w:tcW w:w="782" w:type="dxa"/>
            <w:shd w:val="clear" w:color="auto" w:fill="FFFFFF"/>
            <w:vAlign w:val="center"/>
          </w:tcPr>
          <w:p w14:paraId="6849B739">
            <w:pPr>
              <w:widowControl/>
              <w:spacing w:line="360" w:lineRule="auto"/>
              <w:jc w:val="center"/>
              <w:textAlignment w:val="center"/>
              <w:rPr>
                <w:rFonts w:hint="eastAsia" w:ascii="宋体" w:hAnsi="宋体"/>
                <w:color w:val="auto"/>
                <w:sz w:val="24"/>
                <w:highlight w:val="none"/>
              </w:rPr>
            </w:pPr>
          </w:p>
        </w:tc>
        <w:tc>
          <w:tcPr>
            <w:tcW w:w="898" w:type="dxa"/>
            <w:tcBorders>
              <w:left w:val="single" w:color="auto" w:sz="4" w:space="0"/>
            </w:tcBorders>
            <w:vAlign w:val="center"/>
          </w:tcPr>
          <w:p w14:paraId="5C171F74">
            <w:pPr>
              <w:spacing w:line="300" w:lineRule="exact"/>
              <w:rPr>
                <w:rFonts w:hint="eastAsia" w:ascii="宋体" w:hAnsi="宋体"/>
                <w:color w:val="auto"/>
                <w:sz w:val="24"/>
                <w:highlight w:val="none"/>
              </w:rPr>
            </w:pPr>
          </w:p>
        </w:tc>
        <w:tc>
          <w:tcPr>
            <w:tcW w:w="972" w:type="dxa"/>
            <w:vAlign w:val="center"/>
          </w:tcPr>
          <w:p w14:paraId="70BFC284">
            <w:pPr>
              <w:spacing w:line="300" w:lineRule="exact"/>
              <w:rPr>
                <w:rFonts w:hint="eastAsia" w:ascii="宋体" w:hAnsi="宋体"/>
                <w:color w:val="auto"/>
                <w:sz w:val="24"/>
                <w:highlight w:val="none"/>
              </w:rPr>
            </w:pPr>
          </w:p>
        </w:tc>
        <w:tc>
          <w:tcPr>
            <w:tcW w:w="1494" w:type="dxa"/>
          </w:tcPr>
          <w:p w14:paraId="5911C3C7">
            <w:pPr>
              <w:spacing w:line="300" w:lineRule="exact"/>
              <w:rPr>
                <w:rFonts w:hint="eastAsia" w:ascii="宋体" w:hAnsi="宋体"/>
                <w:color w:val="auto"/>
                <w:sz w:val="24"/>
                <w:highlight w:val="none"/>
              </w:rPr>
            </w:pPr>
          </w:p>
        </w:tc>
      </w:tr>
      <w:tr w14:paraId="3954F4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tcPr>
          <w:p w14:paraId="02E21E46">
            <w:pPr>
              <w:spacing w:line="300" w:lineRule="exact"/>
              <w:rPr>
                <w:rFonts w:hint="eastAsia" w:ascii="宋体" w:hAnsi="宋体"/>
                <w:b/>
                <w:color w:val="auto"/>
                <w:sz w:val="24"/>
                <w:highlight w:val="none"/>
              </w:rPr>
            </w:pPr>
            <w:r>
              <w:rPr>
                <w:rFonts w:hint="eastAsia" w:ascii="宋体" w:hAnsi="宋体"/>
                <w:b/>
                <w:color w:val="auto"/>
                <w:sz w:val="24"/>
                <w:highlight w:val="none"/>
                <w:lang w:val="en-US" w:eastAsia="zh-CN"/>
              </w:rPr>
              <w:t>每年</w:t>
            </w:r>
            <w:r>
              <w:rPr>
                <w:rFonts w:hint="eastAsia" w:ascii="宋体" w:hAnsi="宋体"/>
                <w:b/>
                <w:color w:val="auto"/>
                <w:sz w:val="24"/>
                <w:highlight w:val="none"/>
              </w:rPr>
              <w:t>投标报价（1+2</w:t>
            </w:r>
            <w:r>
              <w:rPr>
                <w:rFonts w:hint="eastAsia" w:ascii="宋体" w:hAnsi="宋体"/>
                <w:b/>
                <w:color w:val="auto"/>
                <w:sz w:val="24"/>
                <w:highlight w:val="none"/>
                <w:lang w:val="en-US" w:eastAsia="zh-CN"/>
              </w:rPr>
              <w:t>+...</w:t>
            </w:r>
            <w:r>
              <w:rPr>
                <w:rFonts w:hint="eastAsia" w:ascii="宋体" w:hAnsi="宋体"/>
                <w:b/>
                <w:color w:val="auto"/>
                <w:sz w:val="24"/>
                <w:highlight w:val="none"/>
              </w:rPr>
              <w:t>）：</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w:t>
            </w:r>
            <w:r>
              <w:rPr>
                <w:rFonts w:hint="eastAsia" w:ascii="宋体" w:hAnsi="宋体"/>
                <w:b/>
                <w:color w:val="auto"/>
                <w:sz w:val="24"/>
                <w:highlight w:val="none"/>
                <w:lang w:val="en-US" w:eastAsia="zh-CN"/>
              </w:rPr>
              <w:t>/年</w:t>
            </w:r>
            <w:r>
              <w:rPr>
                <w:rFonts w:hint="eastAsia" w:ascii="宋体" w:hAnsi="宋体"/>
                <w:b/>
                <w:color w:val="auto"/>
                <w:sz w:val="24"/>
                <w:highlight w:val="none"/>
              </w:rPr>
              <w:t>；</w:t>
            </w:r>
          </w:p>
          <w:p w14:paraId="27028D17">
            <w:pPr>
              <w:spacing w:line="300" w:lineRule="exact"/>
              <w:rPr>
                <w:rFonts w:hint="default" w:ascii="宋体" w:hAnsi="宋体"/>
                <w:b/>
                <w:color w:val="auto"/>
                <w:sz w:val="24"/>
                <w:highlight w:val="none"/>
                <w:lang w:val="en-US"/>
              </w:rPr>
            </w:pPr>
            <w:r>
              <w:rPr>
                <w:rFonts w:hint="eastAsia" w:ascii="宋体" w:hAnsi="宋体"/>
                <w:b/>
                <w:color w:val="auto"/>
                <w:sz w:val="24"/>
                <w:highlight w:val="none"/>
              </w:rPr>
              <w:t>投标</w:t>
            </w:r>
            <w:r>
              <w:rPr>
                <w:rFonts w:hint="eastAsia" w:ascii="宋体" w:hAnsi="宋体"/>
                <w:b/>
                <w:color w:val="auto"/>
                <w:sz w:val="24"/>
                <w:highlight w:val="none"/>
                <w:lang w:val="en-US" w:eastAsia="zh-CN"/>
              </w:rPr>
              <w:t>总</w:t>
            </w:r>
            <w:r>
              <w:rPr>
                <w:rFonts w:hint="eastAsia" w:ascii="宋体" w:hAnsi="宋体"/>
                <w:b/>
                <w:color w:val="auto"/>
                <w:sz w:val="24"/>
                <w:highlight w:val="none"/>
              </w:rPr>
              <w:t>报价：</w:t>
            </w:r>
            <w:r>
              <w:rPr>
                <w:rFonts w:hint="eastAsia" w:ascii="宋体" w:hAnsi="宋体"/>
                <w:b/>
                <w:color w:val="auto"/>
                <w:sz w:val="24"/>
                <w:highlight w:val="none"/>
                <w:u w:val="single"/>
              </w:rPr>
              <w:t xml:space="preserve">    </w:t>
            </w:r>
            <w:r>
              <w:rPr>
                <w:rFonts w:hint="eastAsia" w:ascii="宋体" w:hAnsi="宋体"/>
                <w:b/>
                <w:color w:val="auto"/>
                <w:sz w:val="24"/>
                <w:highlight w:val="none"/>
                <w:u w:val="single"/>
                <w:lang w:val="en-US" w:eastAsia="zh-CN"/>
              </w:rPr>
              <w:t xml:space="preserve">        </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u w:val="single"/>
                <w:lang w:val="en-US" w:eastAsia="zh-CN"/>
              </w:rPr>
              <w:t xml:space="preserve">     </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w:t>
            </w:r>
            <w:r>
              <w:rPr>
                <w:rFonts w:hint="eastAsia" w:ascii="宋体" w:hAnsi="宋体"/>
                <w:b/>
                <w:color w:val="auto"/>
                <w:sz w:val="24"/>
                <w:highlight w:val="none"/>
                <w:lang w:val="en-US" w:eastAsia="zh-CN"/>
              </w:rPr>
              <w:t>。</w:t>
            </w:r>
          </w:p>
          <w:p w14:paraId="1C6AD1CC">
            <w:pPr>
              <w:spacing w:line="300" w:lineRule="exact"/>
              <w:rPr>
                <w:rFonts w:hint="eastAsia" w:ascii="宋体" w:hAnsi="宋体"/>
                <w:color w:val="auto"/>
                <w:sz w:val="24"/>
                <w:highlight w:val="none"/>
              </w:rPr>
            </w:pPr>
            <w:r>
              <w:rPr>
                <w:rFonts w:hint="eastAsia" w:ascii="宋体" w:hAnsi="宋体"/>
                <w:b/>
                <w:color w:val="auto"/>
                <w:sz w:val="24"/>
                <w:highlight w:val="none"/>
              </w:rPr>
              <w:t>（填入投标函和开标一览表）</w:t>
            </w:r>
          </w:p>
        </w:tc>
      </w:tr>
    </w:tbl>
    <w:p w14:paraId="046D4559">
      <w:pPr>
        <w:spacing w:line="440" w:lineRule="exact"/>
        <w:ind w:firstLine="420" w:firstLineChars="20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注：1.所有投标只能选择一种方案，单价和合价的报价只能是唯一，且须列出详细的分项报价。（与采购清单项相一致，不得缺项，否则视同包含在其他项目。）</w:t>
      </w:r>
    </w:p>
    <w:p w14:paraId="18B101C6">
      <w:pPr>
        <w:spacing w:line="44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2.投标报价采用综合单价法，</w:t>
      </w:r>
      <w:r>
        <w:rPr>
          <w:rFonts w:hint="eastAsia" w:ascii="宋体" w:hAnsi="宋体" w:cs="宋体"/>
          <w:b/>
          <w:bCs/>
          <w:color w:val="auto"/>
          <w:szCs w:val="21"/>
          <w:highlight w:val="none"/>
        </w:rPr>
        <w:t>综合单价包括：材料费、装卸费、运输费、管理费、利润、风险费用、招标代理费、检测费、调试、验收、培训及后期服务及国家对中标单位征收的各种税费等所有一切费用，综合单价今后将不作任何调整。</w:t>
      </w:r>
    </w:p>
    <w:p w14:paraId="21033600">
      <w:pPr>
        <w:spacing w:line="480" w:lineRule="auto"/>
        <w:rPr>
          <w:rFonts w:hint="eastAsia" w:ascii="宋体" w:hAnsi="宋体" w:cs="宋体"/>
          <w:color w:val="auto"/>
          <w:szCs w:val="21"/>
          <w:highlight w:val="none"/>
        </w:rPr>
      </w:pPr>
    </w:p>
    <w:p w14:paraId="7F5AE3A9">
      <w:pPr>
        <w:pStyle w:val="12"/>
        <w:ind w:firstLine="400"/>
        <w:rPr>
          <w:color w:val="auto"/>
          <w:highlight w:val="none"/>
        </w:rPr>
      </w:pPr>
    </w:p>
    <w:p w14:paraId="76F317CD">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投标单位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（公 章）</w:t>
      </w:r>
    </w:p>
    <w:p w14:paraId="33D8DD0D">
      <w:pPr>
        <w:spacing w:line="480" w:lineRule="auto"/>
        <w:rPr>
          <w:rFonts w:hint="eastAsia" w:ascii="宋体" w:hAnsi="宋体" w:cs="宋体"/>
          <w:color w:val="auto"/>
          <w:szCs w:val="21"/>
          <w:highlight w:val="none"/>
          <w:u w:val="single"/>
        </w:rPr>
      </w:pPr>
      <w:r>
        <w:rPr>
          <w:rFonts w:hint="eastAsia" w:ascii="宋体" w:hAnsi="宋体" w:cs="Arial"/>
          <w:color w:val="auto"/>
          <w:kern w:val="0"/>
          <w:szCs w:val="21"/>
          <w:highlight w:val="none"/>
        </w:rPr>
        <w:t xml:space="preserve">法定代表人（签章）：      </w:t>
      </w:r>
      <w:r>
        <w:rPr>
          <w:rFonts w:hint="eastAsia" w:ascii="宋体" w:hAnsi="宋体" w:cs="宋体"/>
          <w:color w:val="auto"/>
          <w:szCs w:val="21"/>
          <w:highlight w:val="none"/>
          <w:u w:val="single"/>
        </w:rPr>
        <w:t xml:space="preserve">            </w:t>
      </w:r>
    </w:p>
    <w:p w14:paraId="531D3C79">
      <w:pPr>
        <w:adjustRightInd w:val="0"/>
        <w:snapToGrid w:val="0"/>
        <w:spacing w:line="340" w:lineRule="exact"/>
        <w:rPr>
          <w:rFonts w:ascii="仿宋_GB2312" w:eastAsia="仿宋_GB2312"/>
          <w:b/>
          <w:color w:val="auto"/>
          <w:sz w:val="24"/>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p>
    <w:p w14:paraId="1ED89581">
      <w:pPr>
        <w:rPr>
          <w:rFonts w:hint="eastAsia" w:ascii="宋体" w:hAnsi="宋体"/>
          <w:b/>
          <w:color w:val="auto"/>
          <w:sz w:val="30"/>
          <w:szCs w:val="30"/>
          <w:highlight w:val="none"/>
        </w:rPr>
      </w:pPr>
    </w:p>
    <w:p w14:paraId="40168FEB">
      <w:pPr>
        <w:pStyle w:val="12"/>
        <w:ind w:firstLine="400"/>
        <w:rPr>
          <w:color w:val="auto"/>
          <w:highlight w:val="none"/>
        </w:rPr>
      </w:pPr>
    </w:p>
    <w:p w14:paraId="3F91F005">
      <w:pPr>
        <w:rPr>
          <w:color w:val="auto"/>
          <w:sz w:val="24"/>
          <w:highlight w:val="none"/>
        </w:rPr>
      </w:pPr>
      <w:r>
        <w:rPr>
          <w:rFonts w:hint="eastAsia" w:ascii="宋体" w:hAnsi="宋体"/>
          <w:b/>
          <w:color w:val="auto"/>
          <w:sz w:val="30"/>
          <w:szCs w:val="30"/>
          <w:highlight w:val="none"/>
        </w:rPr>
        <w:t>附件</w:t>
      </w:r>
      <w:r>
        <w:rPr>
          <w:rFonts w:ascii="宋体" w:hAnsi="宋体"/>
          <w:b/>
          <w:color w:val="auto"/>
          <w:sz w:val="30"/>
          <w:szCs w:val="30"/>
          <w:highlight w:val="none"/>
        </w:rPr>
        <w:t>4</w:t>
      </w:r>
    </w:p>
    <w:p w14:paraId="7411D46B">
      <w:pPr>
        <w:spacing w:line="380" w:lineRule="exact"/>
        <w:ind w:firstLine="424" w:firstLineChars="202"/>
        <w:rPr>
          <w:rFonts w:ascii="宋体"/>
          <w:color w:val="auto"/>
          <w:szCs w:val="21"/>
          <w:highlight w:val="none"/>
        </w:rPr>
      </w:pPr>
      <w:r>
        <w:rPr>
          <w:rFonts w:hint="eastAsia" w:ascii="宋体"/>
          <w:color w:val="auto"/>
          <w:szCs w:val="21"/>
          <w:highlight w:val="none"/>
        </w:rPr>
        <w:t>投标人认为需要提供的其他材料（如有）。</w:t>
      </w:r>
    </w:p>
    <w:p w14:paraId="6F048979">
      <w:pPr>
        <w:pStyle w:val="2"/>
        <w:rPr>
          <w:rFonts w:ascii="宋体"/>
          <w:b w:val="0"/>
          <w:color w:val="auto"/>
          <w:szCs w:val="32"/>
          <w:highlight w:val="none"/>
        </w:rPr>
      </w:pPr>
      <w:r>
        <w:rPr>
          <w:rFonts w:hint="eastAsia"/>
          <w:color w:val="auto"/>
          <w:highlight w:val="none"/>
        </w:rPr>
        <w:br w:type="page"/>
      </w:r>
      <w:bookmarkStart w:id="113" w:name="_Toc58430333"/>
      <w:bookmarkStart w:id="114" w:name="_Toc25631"/>
      <w:bookmarkStart w:id="115" w:name="_Toc449028957"/>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113"/>
      <w:bookmarkEnd w:id="114"/>
      <w:bookmarkEnd w:id="115"/>
    </w:p>
    <w:p w14:paraId="4622EF40">
      <w:pPr>
        <w:spacing w:line="440" w:lineRule="exact"/>
        <w:rPr>
          <w:rFonts w:ascii="宋体"/>
          <w:color w:val="auto"/>
          <w:sz w:val="24"/>
          <w:highlight w:val="none"/>
          <w:u w:val="single"/>
        </w:rPr>
      </w:pPr>
    </w:p>
    <w:bookmarkEnd w:id="0"/>
    <w:tbl>
      <w:tblPr>
        <w:tblStyle w:val="35"/>
        <w:tblW w:w="0" w:type="auto"/>
        <w:jc w:val="center"/>
        <w:tblLayout w:type="fixed"/>
        <w:tblCellMar>
          <w:top w:w="0" w:type="dxa"/>
          <w:left w:w="108" w:type="dxa"/>
          <w:bottom w:w="0" w:type="dxa"/>
          <w:right w:w="108" w:type="dxa"/>
        </w:tblCellMar>
      </w:tblPr>
      <w:tblGrid>
        <w:gridCol w:w="9460"/>
      </w:tblGrid>
      <w:tr w14:paraId="303B8484">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tcPr>
          <w:p w14:paraId="18E45722">
            <w:pPr>
              <w:spacing w:line="440" w:lineRule="exact"/>
              <w:ind w:firstLine="560" w:firstLineChars="200"/>
              <w:rPr>
                <w:rFonts w:ascii="宋体" w:cs="宋体"/>
                <w:color w:val="auto"/>
                <w:sz w:val="28"/>
                <w:szCs w:val="28"/>
                <w:highlight w:val="none"/>
              </w:rPr>
            </w:pPr>
          </w:p>
          <w:p w14:paraId="5B73DFAC">
            <w:pPr>
              <w:spacing w:after="156" w:afterLines="50"/>
              <w:rPr>
                <w:rFonts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滁州市自来水有限公司2026年钢制焊接法兰、法兰盲板及配套标准紧固件年度供应商招标采购 </w:t>
            </w:r>
            <w:r>
              <w:rPr>
                <w:rFonts w:hint="eastAsia" w:ascii="宋体" w:cs="宋体"/>
                <w:color w:val="auto"/>
                <w:sz w:val="28"/>
                <w:szCs w:val="28"/>
                <w:highlight w:val="none"/>
              </w:rPr>
              <w:t>的招标文件进行确认。</w:t>
            </w:r>
          </w:p>
          <w:p w14:paraId="68B6EBE1">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招标单位：滁州市自来水有限公司</w:t>
            </w:r>
          </w:p>
          <w:p w14:paraId="42CE69DF">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委托代理人：余磊</w:t>
            </w:r>
          </w:p>
          <w:p w14:paraId="59839CF4">
            <w:pPr>
              <w:spacing w:line="54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联系电话：0550-3062913</w:t>
            </w:r>
          </w:p>
          <w:p w14:paraId="6AD990A6">
            <w:pPr>
              <w:spacing w:line="540" w:lineRule="exact"/>
              <w:ind w:firstLine="7140" w:firstLineChars="2550"/>
              <w:rPr>
                <w:rFonts w:ascii="宋体" w:cs="宋体"/>
                <w:color w:val="auto"/>
                <w:sz w:val="28"/>
                <w:szCs w:val="28"/>
                <w:highlight w:val="none"/>
              </w:rPr>
            </w:pPr>
          </w:p>
          <w:p w14:paraId="15BC7017">
            <w:pPr>
              <w:spacing w:line="540" w:lineRule="exact"/>
              <w:ind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737D6D59">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2026年8月</w:t>
            </w:r>
          </w:p>
        </w:tc>
      </w:tr>
      <w:tr w14:paraId="58F133A4">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tcPr>
          <w:p w14:paraId="60CCD4B0">
            <w:pPr>
              <w:spacing w:line="440" w:lineRule="exact"/>
              <w:rPr>
                <w:rFonts w:ascii="宋体" w:cs="宋体"/>
                <w:color w:val="auto"/>
                <w:sz w:val="28"/>
                <w:szCs w:val="28"/>
                <w:highlight w:val="none"/>
              </w:rPr>
            </w:pPr>
          </w:p>
          <w:p w14:paraId="1B309B9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40C892F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1C61CB4B">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222B2237">
            <w:pPr>
              <w:spacing w:line="520" w:lineRule="exact"/>
              <w:ind w:firstLine="6300" w:firstLineChars="2250"/>
              <w:rPr>
                <w:rFonts w:ascii="宋体" w:cs="宋体"/>
                <w:color w:val="auto"/>
                <w:sz w:val="28"/>
                <w:szCs w:val="28"/>
                <w:highlight w:val="none"/>
              </w:rPr>
            </w:pPr>
          </w:p>
          <w:p w14:paraId="1135599A">
            <w:pPr>
              <w:pStyle w:val="12"/>
              <w:rPr>
                <w:color w:val="auto"/>
                <w:kern w:val="2"/>
                <w:sz w:val="21"/>
                <w:szCs w:val="24"/>
                <w:highlight w:val="none"/>
              </w:rPr>
            </w:pPr>
          </w:p>
          <w:p w14:paraId="6B967311">
            <w:pPr>
              <w:spacing w:line="520" w:lineRule="exact"/>
              <w:ind w:firstLine="6580" w:firstLineChars="2350"/>
              <w:rPr>
                <w:rFonts w:ascii="宋体" w:cs="宋体"/>
                <w:color w:val="auto"/>
                <w:sz w:val="28"/>
                <w:szCs w:val="28"/>
                <w:highlight w:val="none"/>
              </w:rPr>
            </w:pPr>
          </w:p>
          <w:p w14:paraId="3CB7A91C">
            <w:pPr>
              <w:spacing w:line="520" w:lineRule="exact"/>
              <w:ind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33ECBB8E">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2026年8月</w:t>
            </w:r>
          </w:p>
        </w:tc>
      </w:tr>
    </w:tbl>
    <w:p w14:paraId="7F0B1C1A">
      <w:pPr>
        <w:rPr>
          <w:color w:val="auto"/>
          <w:highlight w:val="none"/>
        </w:rPr>
      </w:pPr>
    </w:p>
    <w:sectPr>
      <w:pgSz w:w="11906" w:h="16838"/>
      <w:pgMar w:top="1440"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3C7636-E8F6-47EE-BAA2-311906F2B204}"/>
  </w:font>
  <w:font w:name="黑体">
    <w:panose1 w:val="02010609060101010101"/>
    <w:charset w:val="86"/>
    <w:family w:val="auto"/>
    <w:pitch w:val="default"/>
    <w:sig w:usb0="800002BF" w:usb1="38CF7CFA" w:usb2="00000016" w:usb3="00000000" w:csb0="00040001" w:csb1="00000000"/>
    <w:embedRegular r:id="rId2" w:fontKey="{229524B7-0CCD-41D9-848D-E738BA0E5C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3" w:fontKey="{19F75881-F88B-4C06-B779-602EF237BE12}"/>
  </w:font>
  <w:font w:name="仿宋">
    <w:panose1 w:val="02010609060101010101"/>
    <w:charset w:val="86"/>
    <w:family w:val="modern"/>
    <w:pitch w:val="default"/>
    <w:sig w:usb0="800002BF" w:usb1="38CF7CFA" w:usb2="00000016" w:usb3="00000000" w:csb0="00040001" w:csb1="00000000"/>
    <w:embedRegular r:id="rId4" w:fontKey="{6C99FA8C-00F7-4E61-A8C6-D237661379C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Microsoft Sans Serif"/>
    <w:panose1 w:val="00000000000000000000"/>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5" w:fontKey="{1141317D-B016-49A9-860C-0C417EC00174}"/>
  </w:font>
  <w:font w:name="华文中宋">
    <w:panose1 w:val="02010600040101010101"/>
    <w:charset w:val="86"/>
    <w:family w:val="auto"/>
    <w:pitch w:val="default"/>
    <w:sig w:usb0="00000287" w:usb1="080F0000" w:usb2="00000000" w:usb3="00000000" w:csb0="0004009F" w:csb1="DFD70000"/>
    <w:embedRegular r:id="rId6" w:fontKey="{D67EDA1C-9C92-401F-A8CE-D232BC8BE202}"/>
  </w:font>
  <w:font w:name="Cambria Math">
    <w:panose1 w:val="02040503050406030204"/>
    <w:charset w:val="00"/>
    <w:family w:val="roman"/>
    <w:pitch w:val="default"/>
    <w:sig w:usb0="E00006FF" w:usb1="420024FF" w:usb2="02000000" w:usb3="00000000" w:csb0="2000019F" w:csb1="00000000"/>
    <w:embedRegular r:id="rId7" w:fontKey="{80751EEA-267A-410A-B7B2-7DF25BCF61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1C5C0">
    <w:pPr>
      <w:pStyle w:val="23"/>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98718">
    <w:pPr>
      <w:pStyle w:val="23"/>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3E69502">
                          <w:pPr>
                            <w:pStyle w:val="23"/>
                          </w:pPr>
                          <w:r>
                            <w:fldChar w:fldCharType="begin"/>
                          </w:r>
                          <w:r>
                            <w:instrText xml:space="preserve"> PAGE  \* MERGEFORMAT </w:instrText>
                          </w:r>
                          <w:r>
                            <w:fldChar w:fldCharType="separate"/>
                          </w:r>
                          <w:r>
                            <w:t>- 37 -</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M4YSorKAQAAlwMAAA4AAAAAAAAAAQAgAAAAIgEAAGRycy9l&#10;Mm9Eb2MueG1sUEsFBgAAAAAGAAYAWQEAAF4FAAAAAA==&#10;">
              <v:fill on="f" focussize="0,0"/>
              <v:stroke on="f" weight="1.25pt"/>
              <v:imagedata o:title=""/>
              <o:lock v:ext="edit" aspectratio="f"/>
              <v:textbox inset="0mm,0mm,0mm,0mm" style="mso-fit-shape-to-text:t;">
                <w:txbxContent>
                  <w:p w14:paraId="63E69502">
                    <w:pPr>
                      <w:pStyle w:val="23"/>
                    </w:pPr>
                    <w:r>
                      <w:fldChar w:fldCharType="begin"/>
                    </w:r>
                    <w:r>
                      <w:instrText xml:space="preserve"> PAGE  \* MERGEFORMAT </w:instrText>
                    </w:r>
                    <w:r>
                      <w:fldChar w:fldCharType="separate"/>
                    </w:r>
                    <w:r>
                      <w:t>- 37 -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B265E">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634E5">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81D8C"/>
    <w:multiLevelType w:val="singleLevel"/>
    <w:tmpl w:val="88581D8C"/>
    <w:lvl w:ilvl="0" w:tentative="0">
      <w:start w:val="2"/>
      <w:numFmt w:val="decimal"/>
      <w:suff w:val="nothing"/>
      <w:lvlText w:val="%1）"/>
      <w:lvlJc w:val="left"/>
    </w:lvl>
  </w:abstractNum>
  <w:abstractNum w:abstractNumId="1">
    <w:nsid w:val="C660B736"/>
    <w:multiLevelType w:val="singleLevel"/>
    <w:tmpl w:val="C660B736"/>
    <w:lvl w:ilvl="0" w:tentative="0">
      <w:start w:val="2"/>
      <w:numFmt w:val="decimal"/>
      <w:lvlText w:val="(%1)"/>
      <w:lvlJc w:val="left"/>
      <w:pPr>
        <w:tabs>
          <w:tab w:val="left" w:pos="312"/>
        </w:tabs>
      </w:pPr>
    </w:lvl>
  </w:abstractNum>
  <w:abstractNum w:abstractNumId="2">
    <w:nsid w:val="00000005"/>
    <w:multiLevelType w:val="multilevel"/>
    <w:tmpl w:val="00000005"/>
    <w:lvl w:ilvl="0" w:tentative="0">
      <w:start w:val="1"/>
      <w:numFmt w:val="chineseCountingThousand"/>
      <w:pStyle w:val="101"/>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3">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14:shadow w14:blurRad="0" w14:dist="0" w14:dir="0" w14:sx="0" w14:sy="0" w14:kx="0" w14:ky="0" w14:algn="none">
          <w14:srgbClr w14:val="000000"/>
        </w14:shadow>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decimal"/>
      <w:pStyle w:val="94"/>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00000012"/>
    <w:multiLevelType w:val="multilevel"/>
    <w:tmpl w:val="00000012"/>
    <w:lvl w:ilvl="0" w:tentative="0">
      <w:start w:val="1"/>
      <w:numFmt w:val="chineseCountingThousand"/>
      <w:pStyle w:val="117"/>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8">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14:shadow w14:blurRad="0" w14:dist="0" w14:dir="0" w14:sx="0" w14:sy="0" w14:kx="0" w14:ky="0" w14:algn="none">
          <w14:srgbClr w14:val="000000"/>
        </w14:shadow>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93AC9C0"/>
    <w:multiLevelType w:val="singleLevel"/>
    <w:tmpl w:val="493AC9C0"/>
    <w:lvl w:ilvl="0" w:tentative="0">
      <w:start w:val="1"/>
      <w:numFmt w:val="chineseCounting"/>
      <w:suff w:val="nothing"/>
      <w:lvlText w:val="（%1）"/>
      <w:lvlJc w:val="left"/>
      <w:pPr>
        <w:ind w:left="409" w:firstLine="420"/>
      </w:pPr>
      <w:rPr>
        <w:rFonts w:hint="eastAsia"/>
      </w:rPr>
    </w:lvl>
  </w:abstractNum>
  <w:abstractNum w:abstractNumId="10">
    <w:nsid w:val="58E8E588"/>
    <w:multiLevelType w:val="singleLevel"/>
    <w:tmpl w:val="58E8E588"/>
    <w:lvl w:ilvl="0" w:tentative="0">
      <w:start w:val="1"/>
      <w:numFmt w:val="decimal"/>
      <w:lvlText w:val="%1."/>
      <w:lvlJc w:val="left"/>
      <w:pPr>
        <w:ind w:left="425" w:hanging="425"/>
      </w:pPr>
      <w:rPr>
        <w:rFonts w:hint="default"/>
      </w:rPr>
    </w:lvl>
  </w:abstractNum>
  <w:abstractNum w:abstractNumId="11">
    <w:nsid w:val="5D873223"/>
    <w:multiLevelType w:val="singleLevel"/>
    <w:tmpl w:val="5D873223"/>
    <w:lvl w:ilvl="0" w:tentative="0">
      <w:start w:val="1"/>
      <w:numFmt w:val="decimal"/>
      <w:suff w:val="nothing"/>
      <w:lvlText w:val="（%1）"/>
      <w:lvlJc w:val="left"/>
    </w:lvl>
  </w:abstractNum>
  <w:abstractNum w:abstractNumId="12">
    <w:nsid w:val="78460BCF"/>
    <w:multiLevelType w:val="singleLevel"/>
    <w:tmpl w:val="78460BCF"/>
    <w:lvl w:ilvl="0" w:tentative="0">
      <w:start w:val="4"/>
      <w:numFmt w:val="chineseCounting"/>
      <w:suff w:val="space"/>
      <w:lvlText w:val="第%1章"/>
      <w:lvlJc w:val="left"/>
      <w:rPr>
        <w:rFonts w:hint="eastAsia"/>
      </w:rPr>
    </w:lvl>
  </w:abstractNum>
  <w:num w:numId="1">
    <w:abstractNumId w:val="5"/>
  </w:num>
  <w:num w:numId="2">
    <w:abstractNumId w:val="6"/>
  </w:num>
  <w:num w:numId="3">
    <w:abstractNumId w:val="8"/>
  </w:num>
  <w:num w:numId="4">
    <w:abstractNumId w:val="3"/>
  </w:num>
  <w:num w:numId="5">
    <w:abstractNumId w:val="4"/>
  </w:num>
  <w:num w:numId="6">
    <w:abstractNumId w:val="2"/>
  </w:num>
  <w:num w:numId="7">
    <w:abstractNumId w:val="7"/>
  </w:num>
  <w:num w:numId="8">
    <w:abstractNumId w:val="12"/>
  </w:num>
  <w:num w:numId="9">
    <w:abstractNumId w:val="9"/>
  </w:num>
  <w:num w:numId="10">
    <w:abstractNumId w:val="11"/>
  </w:num>
  <w:num w:numId="11">
    <w:abstractNumId w:val="0"/>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5MGI3YTdkMjVkZTZjM2ZjZTQ5YjMxYTJjZjRlOWEifQ=="/>
  </w:docVars>
  <w:rsids>
    <w:rsidRoot w:val="00172A27"/>
    <w:rsid w:val="000126F2"/>
    <w:rsid w:val="00086696"/>
    <w:rsid w:val="0009024D"/>
    <w:rsid w:val="000F5645"/>
    <w:rsid w:val="00115C78"/>
    <w:rsid w:val="00153AFF"/>
    <w:rsid w:val="00172A27"/>
    <w:rsid w:val="00186C2B"/>
    <w:rsid w:val="001E4713"/>
    <w:rsid w:val="00212728"/>
    <w:rsid w:val="00233C4E"/>
    <w:rsid w:val="00235B8F"/>
    <w:rsid w:val="00251036"/>
    <w:rsid w:val="002E50F8"/>
    <w:rsid w:val="003225FB"/>
    <w:rsid w:val="00330766"/>
    <w:rsid w:val="003419E5"/>
    <w:rsid w:val="003955F9"/>
    <w:rsid w:val="00395E25"/>
    <w:rsid w:val="003A5980"/>
    <w:rsid w:val="003B16A1"/>
    <w:rsid w:val="003C55D2"/>
    <w:rsid w:val="003E670B"/>
    <w:rsid w:val="00401F67"/>
    <w:rsid w:val="00403054"/>
    <w:rsid w:val="00466F77"/>
    <w:rsid w:val="004C4A9A"/>
    <w:rsid w:val="004F3A79"/>
    <w:rsid w:val="004F431B"/>
    <w:rsid w:val="004F5165"/>
    <w:rsid w:val="00506947"/>
    <w:rsid w:val="00510AFB"/>
    <w:rsid w:val="005214EA"/>
    <w:rsid w:val="00533663"/>
    <w:rsid w:val="005868F5"/>
    <w:rsid w:val="005931B7"/>
    <w:rsid w:val="005A3C00"/>
    <w:rsid w:val="005B5679"/>
    <w:rsid w:val="005C1BE9"/>
    <w:rsid w:val="00620A2A"/>
    <w:rsid w:val="00665339"/>
    <w:rsid w:val="00677F31"/>
    <w:rsid w:val="0069368B"/>
    <w:rsid w:val="007442B5"/>
    <w:rsid w:val="007678C6"/>
    <w:rsid w:val="007D541D"/>
    <w:rsid w:val="007F45BE"/>
    <w:rsid w:val="008005F7"/>
    <w:rsid w:val="00815C56"/>
    <w:rsid w:val="008201B4"/>
    <w:rsid w:val="00833AB6"/>
    <w:rsid w:val="00853109"/>
    <w:rsid w:val="008766D7"/>
    <w:rsid w:val="00881334"/>
    <w:rsid w:val="008C7661"/>
    <w:rsid w:val="008E0C60"/>
    <w:rsid w:val="00902C2A"/>
    <w:rsid w:val="00916CE2"/>
    <w:rsid w:val="009255FE"/>
    <w:rsid w:val="009269A2"/>
    <w:rsid w:val="009343AA"/>
    <w:rsid w:val="00937817"/>
    <w:rsid w:val="009A6D0F"/>
    <w:rsid w:val="009B2C38"/>
    <w:rsid w:val="009D17C8"/>
    <w:rsid w:val="009E196C"/>
    <w:rsid w:val="009F2CCC"/>
    <w:rsid w:val="00A012AB"/>
    <w:rsid w:val="00A42CCF"/>
    <w:rsid w:val="00A54152"/>
    <w:rsid w:val="00A67D58"/>
    <w:rsid w:val="00A975DD"/>
    <w:rsid w:val="00AF40A6"/>
    <w:rsid w:val="00AF43B5"/>
    <w:rsid w:val="00B22528"/>
    <w:rsid w:val="00B41BDC"/>
    <w:rsid w:val="00B45701"/>
    <w:rsid w:val="00B502D3"/>
    <w:rsid w:val="00B627A9"/>
    <w:rsid w:val="00B77363"/>
    <w:rsid w:val="00B8500A"/>
    <w:rsid w:val="00BC1716"/>
    <w:rsid w:val="00BF0751"/>
    <w:rsid w:val="00C069E8"/>
    <w:rsid w:val="00C24AE6"/>
    <w:rsid w:val="00C57688"/>
    <w:rsid w:val="00C61954"/>
    <w:rsid w:val="00C81120"/>
    <w:rsid w:val="00CD391E"/>
    <w:rsid w:val="00CD4DF4"/>
    <w:rsid w:val="00CF1FFF"/>
    <w:rsid w:val="00D24FF0"/>
    <w:rsid w:val="00D25ACB"/>
    <w:rsid w:val="00D46C3D"/>
    <w:rsid w:val="00D50329"/>
    <w:rsid w:val="00D651BA"/>
    <w:rsid w:val="00DD6A62"/>
    <w:rsid w:val="00E4156B"/>
    <w:rsid w:val="00E700A9"/>
    <w:rsid w:val="00E70847"/>
    <w:rsid w:val="00E87AA3"/>
    <w:rsid w:val="00EA50A3"/>
    <w:rsid w:val="00F13E63"/>
    <w:rsid w:val="00F21540"/>
    <w:rsid w:val="00F37FCB"/>
    <w:rsid w:val="00F449F3"/>
    <w:rsid w:val="00F768E1"/>
    <w:rsid w:val="00FB15EA"/>
    <w:rsid w:val="00FC3E1B"/>
    <w:rsid w:val="00FF16F3"/>
    <w:rsid w:val="013E61E2"/>
    <w:rsid w:val="016947F9"/>
    <w:rsid w:val="01826A17"/>
    <w:rsid w:val="01CB7DA6"/>
    <w:rsid w:val="01D9415D"/>
    <w:rsid w:val="01DA5E9C"/>
    <w:rsid w:val="01DB6127"/>
    <w:rsid w:val="01DE01EE"/>
    <w:rsid w:val="01E202A3"/>
    <w:rsid w:val="01E95BFE"/>
    <w:rsid w:val="01F71A6A"/>
    <w:rsid w:val="01FD42EF"/>
    <w:rsid w:val="0219028B"/>
    <w:rsid w:val="022E6257"/>
    <w:rsid w:val="023850C1"/>
    <w:rsid w:val="023A1A46"/>
    <w:rsid w:val="02477318"/>
    <w:rsid w:val="0255285E"/>
    <w:rsid w:val="026B1259"/>
    <w:rsid w:val="027520D7"/>
    <w:rsid w:val="02827B99"/>
    <w:rsid w:val="028F3D32"/>
    <w:rsid w:val="029F2E1F"/>
    <w:rsid w:val="02BC3AEB"/>
    <w:rsid w:val="02D079EE"/>
    <w:rsid w:val="02D8739A"/>
    <w:rsid w:val="02E1227E"/>
    <w:rsid w:val="02E54D69"/>
    <w:rsid w:val="02F254D6"/>
    <w:rsid w:val="02F53218"/>
    <w:rsid w:val="030355FF"/>
    <w:rsid w:val="03045209"/>
    <w:rsid w:val="033440AD"/>
    <w:rsid w:val="0341645D"/>
    <w:rsid w:val="035241C7"/>
    <w:rsid w:val="036363D4"/>
    <w:rsid w:val="03675EC4"/>
    <w:rsid w:val="03681C3C"/>
    <w:rsid w:val="037E320E"/>
    <w:rsid w:val="038A570F"/>
    <w:rsid w:val="039E11BA"/>
    <w:rsid w:val="03A2514E"/>
    <w:rsid w:val="03B409DD"/>
    <w:rsid w:val="03B43BF6"/>
    <w:rsid w:val="03C03826"/>
    <w:rsid w:val="03C30C20"/>
    <w:rsid w:val="03D1158F"/>
    <w:rsid w:val="03D96696"/>
    <w:rsid w:val="03DB41BC"/>
    <w:rsid w:val="03EF7C67"/>
    <w:rsid w:val="03FE7EAB"/>
    <w:rsid w:val="041C543C"/>
    <w:rsid w:val="04221DEB"/>
    <w:rsid w:val="043F299D"/>
    <w:rsid w:val="04435676"/>
    <w:rsid w:val="04461F7D"/>
    <w:rsid w:val="04472DF8"/>
    <w:rsid w:val="044E498E"/>
    <w:rsid w:val="04616819"/>
    <w:rsid w:val="04651CD8"/>
    <w:rsid w:val="046A5576"/>
    <w:rsid w:val="04754611"/>
    <w:rsid w:val="049F37E8"/>
    <w:rsid w:val="04A942BA"/>
    <w:rsid w:val="04AB3862"/>
    <w:rsid w:val="04BF3332"/>
    <w:rsid w:val="04CB5FDF"/>
    <w:rsid w:val="04F01EE9"/>
    <w:rsid w:val="04F76DD4"/>
    <w:rsid w:val="05085485"/>
    <w:rsid w:val="050B6D23"/>
    <w:rsid w:val="05304EB2"/>
    <w:rsid w:val="053242B0"/>
    <w:rsid w:val="05373674"/>
    <w:rsid w:val="053E4A03"/>
    <w:rsid w:val="05455577"/>
    <w:rsid w:val="05465FAD"/>
    <w:rsid w:val="054B0F4A"/>
    <w:rsid w:val="05513478"/>
    <w:rsid w:val="057E12A3"/>
    <w:rsid w:val="058F1702"/>
    <w:rsid w:val="05A351AD"/>
    <w:rsid w:val="05B861BC"/>
    <w:rsid w:val="05CC0260"/>
    <w:rsid w:val="05DE3CE5"/>
    <w:rsid w:val="05E82BC0"/>
    <w:rsid w:val="05F477B7"/>
    <w:rsid w:val="05F652DD"/>
    <w:rsid w:val="061816F7"/>
    <w:rsid w:val="062278D0"/>
    <w:rsid w:val="06370ACC"/>
    <w:rsid w:val="06632AA3"/>
    <w:rsid w:val="06695AAF"/>
    <w:rsid w:val="06836B5F"/>
    <w:rsid w:val="06A50AB1"/>
    <w:rsid w:val="06A55ADF"/>
    <w:rsid w:val="06A64F55"/>
    <w:rsid w:val="06C453DB"/>
    <w:rsid w:val="06D82C35"/>
    <w:rsid w:val="06DA075B"/>
    <w:rsid w:val="06E415DA"/>
    <w:rsid w:val="06F224DF"/>
    <w:rsid w:val="06F57187"/>
    <w:rsid w:val="06F9554A"/>
    <w:rsid w:val="070659F4"/>
    <w:rsid w:val="0721282E"/>
    <w:rsid w:val="07371FAF"/>
    <w:rsid w:val="075239E7"/>
    <w:rsid w:val="07750484"/>
    <w:rsid w:val="07811C07"/>
    <w:rsid w:val="0788465B"/>
    <w:rsid w:val="07941252"/>
    <w:rsid w:val="07950B26"/>
    <w:rsid w:val="07996868"/>
    <w:rsid w:val="07AD2313"/>
    <w:rsid w:val="07B611C8"/>
    <w:rsid w:val="07B76CEE"/>
    <w:rsid w:val="07D4164E"/>
    <w:rsid w:val="07E0529D"/>
    <w:rsid w:val="07ED2710"/>
    <w:rsid w:val="07F613C5"/>
    <w:rsid w:val="08140B8B"/>
    <w:rsid w:val="08143A40"/>
    <w:rsid w:val="081E6D6D"/>
    <w:rsid w:val="08293B60"/>
    <w:rsid w:val="082C4FE6"/>
    <w:rsid w:val="08362309"/>
    <w:rsid w:val="08395955"/>
    <w:rsid w:val="084A1910"/>
    <w:rsid w:val="084F5934"/>
    <w:rsid w:val="085D1644"/>
    <w:rsid w:val="08607386"/>
    <w:rsid w:val="08713341"/>
    <w:rsid w:val="088A4403"/>
    <w:rsid w:val="088A5A8D"/>
    <w:rsid w:val="088C6B87"/>
    <w:rsid w:val="089761EA"/>
    <w:rsid w:val="08A13C26"/>
    <w:rsid w:val="08BF40AC"/>
    <w:rsid w:val="08C07429"/>
    <w:rsid w:val="08D35DAA"/>
    <w:rsid w:val="08D51B22"/>
    <w:rsid w:val="08E27D9B"/>
    <w:rsid w:val="08E92ED7"/>
    <w:rsid w:val="08EE00FD"/>
    <w:rsid w:val="08FA50E4"/>
    <w:rsid w:val="092B6141"/>
    <w:rsid w:val="0935241C"/>
    <w:rsid w:val="09524F20"/>
    <w:rsid w:val="096E7880"/>
    <w:rsid w:val="097035F9"/>
    <w:rsid w:val="0972111F"/>
    <w:rsid w:val="099217C1"/>
    <w:rsid w:val="0993299C"/>
    <w:rsid w:val="09963123"/>
    <w:rsid w:val="09981838"/>
    <w:rsid w:val="09B5283E"/>
    <w:rsid w:val="09C166B7"/>
    <w:rsid w:val="09C851E3"/>
    <w:rsid w:val="09CB469C"/>
    <w:rsid w:val="09CF3948"/>
    <w:rsid w:val="09D678FF"/>
    <w:rsid w:val="09E71B0D"/>
    <w:rsid w:val="09EF44EC"/>
    <w:rsid w:val="09F14739"/>
    <w:rsid w:val="0A03621B"/>
    <w:rsid w:val="0A193C90"/>
    <w:rsid w:val="0A2D3F49"/>
    <w:rsid w:val="0A300AD6"/>
    <w:rsid w:val="0A3927A2"/>
    <w:rsid w:val="0A8712AB"/>
    <w:rsid w:val="0AA04DDE"/>
    <w:rsid w:val="0AA479FE"/>
    <w:rsid w:val="0AB12DCE"/>
    <w:rsid w:val="0AB45767"/>
    <w:rsid w:val="0AB5670D"/>
    <w:rsid w:val="0AC43BFC"/>
    <w:rsid w:val="0AD16319"/>
    <w:rsid w:val="0AD96F7B"/>
    <w:rsid w:val="0AE75B3C"/>
    <w:rsid w:val="0AEC4F01"/>
    <w:rsid w:val="0AEE5856"/>
    <w:rsid w:val="0AF3628F"/>
    <w:rsid w:val="0B343101"/>
    <w:rsid w:val="0B4B60CB"/>
    <w:rsid w:val="0B627EDA"/>
    <w:rsid w:val="0B704808"/>
    <w:rsid w:val="0B982B0E"/>
    <w:rsid w:val="0BA94BA0"/>
    <w:rsid w:val="0BAB31B1"/>
    <w:rsid w:val="0BAF62FB"/>
    <w:rsid w:val="0BB92EE4"/>
    <w:rsid w:val="0BC66C7D"/>
    <w:rsid w:val="0BE77549"/>
    <w:rsid w:val="0BED3778"/>
    <w:rsid w:val="0C06355D"/>
    <w:rsid w:val="0C1404FD"/>
    <w:rsid w:val="0C232BA4"/>
    <w:rsid w:val="0C2A577B"/>
    <w:rsid w:val="0C2D26E3"/>
    <w:rsid w:val="0C373ADB"/>
    <w:rsid w:val="0C37733F"/>
    <w:rsid w:val="0C3856AB"/>
    <w:rsid w:val="0C3C5A14"/>
    <w:rsid w:val="0C4274CE"/>
    <w:rsid w:val="0C594818"/>
    <w:rsid w:val="0C6952DD"/>
    <w:rsid w:val="0C913FB2"/>
    <w:rsid w:val="0CAD06C0"/>
    <w:rsid w:val="0CC53C5B"/>
    <w:rsid w:val="0CDB7B95"/>
    <w:rsid w:val="0CE95B9C"/>
    <w:rsid w:val="0CEA5470"/>
    <w:rsid w:val="0D077DD0"/>
    <w:rsid w:val="0D2233E1"/>
    <w:rsid w:val="0D27282F"/>
    <w:rsid w:val="0D2B3B79"/>
    <w:rsid w:val="0D2B61B4"/>
    <w:rsid w:val="0D3E4B53"/>
    <w:rsid w:val="0D467F7C"/>
    <w:rsid w:val="0D6B65B1"/>
    <w:rsid w:val="0D8544BC"/>
    <w:rsid w:val="0DA20C83"/>
    <w:rsid w:val="0DA707B9"/>
    <w:rsid w:val="0DD73C46"/>
    <w:rsid w:val="0DE01542"/>
    <w:rsid w:val="0DF2282E"/>
    <w:rsid w:val="0DFD3DA4"/>
    <w:rsid w:val="0E062939"/>
    <w:rsid w:val="0E1F47FE"/>
    <w:rsid w:val="0E24538F"/>
    <w:rsid w:val="0E46735F"/>
    <w:rsid w:val="0E4969BD"/>
    <w:rsid w:val="0E5928AD"/>
    <w:rsid w:val="0E5B4877"/>
    <w:rsid w:val="0E707BF7"/>
    <w:rsid w:val="0E7D0D45"/>
    <w:rsid w:val="0E8611C8"/>
    <w:rsid w:val="0E975183"/>
    <w:rsid w:val="0EAD1661"/>
    <w:rsid w:val="0EBE21D3"/>
    <w:rsid w:val="0EBF7B36"/>
    <w:rsid w:val="0EC51CF1"/>
    <w:rsid w:val="0ECC307F"/>
    <w:rsid w:val="0ED8141D"/>
    <w:rsid w:val="0F0C791F"/>
    <w:rsid w:val="0F1A6FD6"/>
    <w:rsid w:val="0F2F360E"/>
    <w:rsid w:val="0F4E7F38"/>
    <w:rsid w:val="0F582B65"/>
    <w:rsid w:val="0F7200CA"/>
    <w:rsid w:val="0F891446"/>
    <w:rsid w:val="0F9A13CF"/>
    <w:rsid w:val="0F9B000F"/>
    <w:rsid w:val="0F9D2C6D"/>
    <w:rsid w:val="0FB747DD"/>
    <w:rsid w:val="0FB775B8"/>
    <w:rsid w:val="0FC91CB4"/>
    <w:rsid w:val="0FD10D03"/>
    <w:rsid w:val="0FD710A5"/>
    <w:rsid w:val="0FD77F2D"/>
    <w:rsid w:val="0FD83CA6"/>
    <w:rsid w:val="10131364"/>
    <w:rsid w:val="101822F4"/>
    <w:rsid w:val="10207B26"/>
    <w:rsid w:val="105514CC"/>
    <w:rsid w:val="105B218F"/>
    <w:rsid w:val="10616837"/>
    <w:rsid w:val="107E794C"/>
    <w:rsid w:val="10857989"/>
    <w:rsid w:val="10AC25CA"/>
    <w:rsid w:val="10B4201D"/>
    <w:rsid w:val="10CA7A92"/>
    <w:rsid w:val="10EF574B"/>
    <w:rsid w:val="10F845FF"/>
    <w:rsid w:val="110C1E59"/>
    <w:rsid w:val="110D0173"/>
    <w:rsid w:val="11125CD9"/>
    <w:rsid w:val="111D5E14"/>
    <w:rsid w:val="112951FE"/>
    <w:rsid w:val="11317B11"/>
    <w:rsid w:val="116E6670"/>
    <w:rsid w:val="117A3C75"/>
    <w:rsid w:val="11826A7D"/>
    <w:rsid w:val="118616F9"/>
    <w:rsid w:val="11904838"/>
    <w:rsid w:val="11990174"/>
    <w:rsid w:val="11A6405B"/>
    <w:rsid w:val="11B83956"/>
    <w:rsid w:val="11C40985"/>
    <w:rsid w:val="11CC786A"/>
    <w:rsid w:val="11E93F48"/>
    <w:rsid w:val="11EC68FB"/>
    <w:rsid w:val="12046FD4"/>
    <w:rsid w:val="12071881"/>
    <w:rsid w:val="121420F8"/>
    <w:rsid w:val="12214445"/>
    <w:rsid w:val="12273D08"/>
    <w:rsid w:val="12324FEA"/>
    <w:rsid w:val="123D2FB3"/>
    <w:rsid w:val="124538DB"/>
    <w:rsid w:val="125067AE"/>
    <w:rsid w:val="12637655"/>
    <w:rsid w:val="12A12A75"/>
    <w:rsid w:val="12C04A67"/>
    <w:rsid w:val="12C80001"/>
    <w:rsid w:val="12CF56B4"/>
    <w:rsid w:val="12DB0575"/>
    <w:rsid w:val="12EF558E"/>
    <w:rsid w:val="12F92791"/>
    <w:rsid w:val="13033659"/>
    <w:rsid w:val="130354DD"/>
    <w:rsid w:val="13066050"/>
    <w:rsid w:val="13132BFE"/>
    <w:rsid w:val="132A7687"/>
    <w:rsid w:val="133236CD"/>
    <w:rsid w:val="134F1DF4"/>
    <w:rsid w:val="13557827"/>
    <w:rsid w:val="13631AD8"/>
    <w:rsid w:val="137F4B64"/>
    <w:rsid w:val="138B3117"/>
    <w:rsid w:val="138E7538"/>
    <w:rsid w:val="13904FC3"/>
    <w:rsid w:val="13AE71F7"/>
    <w:rsid w:val="13C06B9F"/>
    <w:rsid w:val="13CD2CC1"/>
    <w:rsid w:val="140B464A"/>
    <w:rsid w:val="140D6614"/>
    <w:rsid w:val="14172FEE"/>
    <w:rsid w:val="14364B2C"/>
    <w:rsid w:val="1438503B"/>
    <w:rsid w:val="144933C4"/>
    <w:rsid w:val="145F3F52"/>
    <w:rsid w:val="146239D8"/>
    <w:rsid w:val="14694230"/>
    <w:rsid w:val="146A303F"/>
    <w:rsid w:val="14720C0D"/>
    <w:rsid w:val="147D0BDA"/>
    <w:rsid w:val="14860A3B"/>
    <w:rsid w:val="14972381"/>
    <w:rsid w:val="14AA2FD3"/>
    <w:rsid w:val="14AB3737"/>
    <w:rsid w:val="14B06F9F"/>
    <w:rsid w:val="14B52807"/>
    <w:rsid w:val="14BA1BCC"/>
    <w:rsid w:val="14C724CE"/>
    <w:rsid w:val="14CA5427"/>
    <w:rsid w:val="14D013EF"/>
    <w:rsid w:val="14DD669C"/>
    <w:rsid w:val="14DE1D5E"/>
    <w:rsid w:val="14E07884"/>
    <w:rsid w:val="14EA0703"/>
    <w:rsid w:val="150572EB"/>
    <w:rsid w:val="150A448F"/>
    <w:rsid w:val="150C68CB"/>
    <w:rsid w:val="152229F1"/>
    <w:rsid w:val="154461CC"/>
    <w:rsid w:val="15597637"/>
    <w:rsid w:val="15804BC3"/>
    <w:rsid w:val="15A7575B"/>
    <w:rsid w:val="15BD23EA"/>
    <w:rsid w:val="15C9430D"/>
    <w:rsid w:val="15D373E9"/>
    <w:rsid w:val="15E213DA"/>
    <w:rsid w:val="15E52C78"/>
    <w:rsid w:val="15E64EAD"/>
    <w:rsid w:val="15F87D5A"/>
    <w:rsid w:val="16210154"/>
    <w:rsid w:val="1633342F"/>
    <w:rsid w:val="164E6A70"/>
    <w:rsid w:val="165D4F05"/>
    <w:rsid w:val="16683008"/>
    <w:rsid w:val="168E3310"/>
    <w:rsid w:val="169107A3"/>
    <w:rsid w:val="16A36DBB"/>
    <w:rsid w:val="16A50D85"/>
    <w:rsid w:val="16AE750E"/>
    <w:rsid w:val="16B81E85"/>
    <w:rsid w:val="16CF7F44"/>
    <w:rsid w:val="16F94C2D"/>
    <w:rsid w:val="16FE3FF2"/>
    <w:rsid w:val="171323AA"/>
    <w:rsid w:val="1724330A"/>
    <w:rsid w:val="173B5246"/>
    <w:rsid w:val="17B63456"/>
    <w:rsid w:val="17DA4A5F"/>
    <w:rsid w:val="17DF189D"/>
    <w:rsid w:val="17F2764F"/>
    <w:rsid w:val="1833416F"/>
    <w:rsid w:val="18524B4C"/>
    <w:rsid w:val="185C36C6"/>
    <w:rsid w:val="18737F6A"/>
    <w:rsid w:val="187D1E98"/>
    <w:rsid w:val="187D53EA"/>
    <w:rsid w:val="18833979"/>
    <w:rsid w:val="188E687B"/>
    <w:rsid w:val="18A817AE"/>
    <w:rsid w:val="18B21538"/>
    <w:rsid w:val="18BB7749"/>
    <w:rsid w:val="18C44192"/>
    <w:rsid w:val="18D9512F"/>
    <w:rsid w:val="18ED431E"/>
    <w:rsid w:val="18F558C8"/>
    <w:rsid w:val="18F877F3"/>
    <w:rsid w:val="1901601B"/>
    <w:rsid w:val="19070275"/>
    <w:rsid w:val="19106B6F"/>
    <w:rsid w:val="19235F91"/>
    <w:rsid w:val="192C753C"/>
    <w:rsid w:val="193C7053"/>
    <w:rsid w:val="193F7C64"/>
    <w:rsid w:val="19644F5C"/>
    <w:rsid w:val="196C36C2"/>
    <w:rsid w:val="196D1903"/>
    <w:rsid w:val="19724162"/>
    <w:rsid w:val="198F1879"/>
    <w:rsid w:val="19B47531"/>
    <w:rsid w:val="19C214C4"/>
    <w:rsid w:val="19E90074"/>
    <w:rsid w:val="19F70AC5"/>
    <w:rsid w:val="19F85670"/>
    <w:rsid w:val="19F94F44"/>
    <w:rsid w:val="1A1324AA"/>
    <w:rsid w:val="1A2B77F4"/>
    <w:rsid w:val="1A2F16BB"/>
    <w:rsid w:val="1A501008"/>
    <w:rsid w:val="1A766595"/>
    <w:rsid w:val="1A8C59F8"/>
    <w:rsid w:val="1AA57FC0"/>
    <w:rsid w:val="1AAC1FB7"/>
    <w:rsid w:val="1AAE61FB"/>
    <w:rsid w:val="1AB01AA7"/>
    <w:rsid w:val="1AB23324"/>
    <w:rsid w:val="1ADF554D"/>
    <w:rsid w:val="1AED13C7"/>
    <w:rsid w:val="1B1069E9"/>
    <w:rsid w:val="1B193AF0"/>
    <w:rsid w:val="1B2D30F7"/>
    <w:rsid w:val="1B590390"/>
    <w:rsid w:val="1B7747F3"/>
    <w:rsid w:val="1B79254B"/>
    <w:rsid w:val="1B972C67"/>
    <w:rsid w:val="1BA55384"/>
    <w:rsid w:val="1BD712B5"/>
    <w:rsid w:val="1BDD4B1E"/>
    <w:rsid w:val="1BE76F28"/>
    <w:rsid w:val="1C177904"/>
    <w:rsid w:val="1C284B16"/>
    <w:rsid w:val="1C5A26D3"/>
    <w:rsid w:val="1C5D0DA4"/>
    <w:rsid w:val="1C5F6917"/>
    <w:rsid w:val="1C6F5742"/>
    <w:rsid w:val="1C76287C"/>
    <w:rsid w:val="1C7B0977"/>
    <w:rsid w:val="1C872925"/>
    <w:rsid w:val="1C9E0082"/>
    <w:rsid w:val="1CAA693B"/>
    <w:rsid w:val="1CB14442"/>
    <w:rsid w:val="1CC66428"/>
    <w:rsid w:val="1CC80B99"/>
    <w:rsid w:val="1CCB0E1A"/>
    <w:rsid w:val="1D0113C9"/>
    <w:rsid w:val="1D0A2DA7"/>
    <w:rsid w:val="1D1140B4"/>
    <w:rsid w:val="1D1722B1"/>
    <w:rsid w:val="1D2B18B9"/>
    <w:rsid w:val="1D3E783E"/>
    <w:rsid w:val="1D630F86"/>
    <w:rsid w:val="1D7019C1"/>
    <w:rsid w:val="1D752B34"/>
    <w:rsid w:val="1D7E5E8C"/>
    <w:rsid w:val="1D836591"/>
    <w:rsid w:val="1DB55626"/>
    <w:rsid w:val="1DB7314C"/>
    <w:rsid w:val="1DC15D79"/>
    <w:rsid w:val="1DC53ABB"/>
    <w:rsid w:val="1DC85AE6"/>
    <w:rsid w:val="1DDB503E"/>
    <w:rsid w:val="1DE57CB9"/>
    <w:rsid w:val="1DE84D03"/>
    <w:rsid w:val="1DE85A9D"/>
    <w:rsid w:val="1DF13B3B"/>
    <w:rsid w:val="1E0E2B0B"/>
    <w:rsid w:val="1E1660C5"/>
    <w:rsid w:val="1E205195"/>
    <w:rsid w:val="1E276322"/>
    <w:rsid w:val="1E5F2F8D"/>
    <w:rsid w:val="1E650DFA"/>
    <w:rsid w:val="1E8C413B"/>
    <w:rsid w:val="1E982F7E"/>
    <w:rsid w:val="1EAC45D3"/>
    <w:rsid w:val="1EC71AB5"/>
    <w:rsid w:val="1ECF4FD3"/>
    <w:rsid w:val="1ED0096A"/>
    <w:rsid w:val="1ED7455A"/>
    <w:rsid w:val="1EDB6610"/>
    <w:rsid w:val="1EF34658"/>
    <w:rsid w:val="1F02489B"/>
    <w:rsid w:val="1F095D51"/>
    <w:rsid w:val="1F132604"/>
    <w:rsid w:val="1F242A63"/>
    <w:rsid w:val="1F2627EB"/>
    <w:rsid w:val="1F294332"/>
    <w:rsid w:val="1F2A62AD"/>
    <w:rsid w:val="1F3233D2"/>
    <w:rsid w:val="1F4713AC"/>
    <w:rsid w:val="1F4804CC"/>
    <w:rsid w:val="1FB90D87"/>
    <w:rsid w:val="1FEB1DE0"/>
    <w:rsid w:val="1FEF6DB8"/>
    <w:rsid w:val="1FF64400"/>
    <w:rsid w:val="200D799B"/>
    <w:rsid w:val="201E4F4F"/>
    <w:rsid w:val="20256A93"/>
    <w:rsid w:val="20384A18"/>
    <w:rsid w:val="20390790"/>
    <w:rsid w:val="203F5E7C"/>
    <w:rsid w:val="205055EF"/>
    <w:rsid w:val="206C46C2"/>
    <w:rsid w:val="20976AB4"/>
    <w:rsid w:val="20A43E5C"/>
    <w:rsid w:val="20A81514"/>
    <w:rsid w:val="20AB6760"/>
    <w:rsid w:val="20B16579"/>
    <w:rsid w:val="20C95670"/>
    <w:rsid w:val="20D65FDF"/>
    <w:rsid w:val="20E85D1A"/>
    <w:rsid w:val="210055F8"/>
    <w:rsid w:val="21052421"/>
    <w:rsid w:val="2126121F"/>
    <w:rsid w:val="21380A48"/>
    <w:rsid w:val="216B1A91"/>
    <w:rsid w:val="217B0F40"/>
    <w:rsid w:val="218A192D"/>
    <w:rsid w:val="219E7E1A"/>
    <w:rsid w:val="21A972E1"/>
    <w:rsid w:val="21BF0821"/>
    <w:rsid w:val="21F816C1"/>
    <w:rsid w:val="221C5C74"/>
    <w:rsid w:val="222B0959"/>
    <w:rsid w:val="222F1E4B"/>
    <w:rsid w:val="223C6316"/>
    <w:rsid w:val="223F755C"/>
    <w:rsid w:val="2240564F"/>
    <w:rsid w:val="224F6049"/>
    <w:rsid w:val="22575E31"/>
    <w:rsid w:val="22816594"/>
    <w:rsid w:val="22A00653"/>
    <w:rsid w:val="22A52EFA"/>
    <w:rsid w:val="22A567AC"/>
    <w:rsid w:val="22A77054"/>
    <w:rsid w:val="22AA3280"/>
    <w:rsid w:val="22BD2FB3"/>
    <w:rsid w:val="22CB1F7F"/>
    <w:rsid w:val="22CC31F6"/>
    <w:rsid w:val="22D43C96"/>
    <w:rsid w:val="22DB5B2F"/>
    <w:rsid w:val="22EC6903"/>
    <w:rsid w:val="22FB3ADB"/>
    <w:rsid w:val="23046E34"/>
    <w:rsid w:val="23076924"/>
    <w:rsid w:val="2318468D"/>
    <w:rsid w:val="23214B81"/>
    <w:rsid w:val="23250B58"/>
    <w:rsid w:val="23287A3B"/>
    <w:rsid w:val="23364AC9"/>
    <w:rsid w:val="234C2589"/>
    <w:rsid w:val="234E0C74"/>
    <w:rsid w:val="235D595F"/>
    <w:rsid w:val="2366667A"/>
    <w:rsid w:val="236B1B92"/>
    <w:rsid w:val="23725A46"/>
    <w:rsid w:val="23874206"/>
    <w:rsid w:val="239F4DAE"/>
    <w:rsid w:val="23A75A11"/>
    <w:rsid w:val="23D46034"/>
    <w:rsid w:val="23DD1433"/>
    <w:rsid w:val="23ED1676"/>
    <w:rsid w:val="23ED5B1A"/>
    <w:rsid w:val="23EF1892"/>
    <w:rsid w:val="23F37F14"/>
    <w:rsid w:val="23F956E8"/>
    <w:rsid w:val="23FA0237"/>
    <w:rsid w:val="24015121"/>
    <w:rsid w:val="240B6932"/>
    <w:rsid w:val="241B6079"/>
    <w:rsid w:val="24264B88"/>
    <w:rsid w:val="24305A06"/>
    <w:rsid w:val="2447702E"/>
    <w:rsid w:val="24765B0F"/>
    <w:rsid w:val="247C0C4C"/>
    <w:rsid w:val="247C50B5"/>
    <w:rsid w:val="248F4E23"/>
    <w:rsid w:val="249B0281"/>
    <w:rsid w:val="24A55645"/>
    <w:rsid w:val="24C22B02"/>
    <w:rsid w:val="24D570AE"/>
    <w:rsid w:val="24D6035C"/>
    <w:rsid w:val="24E01EF1"/>
    <w:rsid w:val="24E2777A"/>
    <w:rsid w:val="24F51DFC"/>
    <w:rsid w:val="250C30B2"/>
    <w:rsid w:val="25423C43"/>
    <w:rsid w:val="256B13EC"/>
    <w:rsid w:val="25924268"/>
    <w:rsid w:val="25A55F80"/>
    <w:rsid w:val="25E67FEE"/>
    <w:rsid w:val="25F3318F"/>
    <w:rsid w:val="2629095F"/>
    <w:rsid w:val="26355556"/>
    <w:rsid w:val="263B7010"/>
    <w:rsid w:val="263C7979"/>
    <w:rsid w:val="264B2FCC"/>
    <w:rsid w:val="264E5249"/>
    <w:rsid w:val="2650413E"/>
    <w:rsid w:val="265359DC"/>
    <w:rsid w:val="26551754"/>
    <w:rsid w:val="26834513"/>
    <w:rsid w:val="26A10E3D"/>
    <w:rsid w:val="26AC3A6A"/>
    <w:rsid w:val="26B96187"/>
    <w:rsid w:val="26BE763B"/>
    <w:rsid w:val="26E730BC"/>
    <w:rsid w:val="26EE3450"/>
    <w:rsid w:val="26F7280B"/>
    <w:rsid w:val="270135A4"/>
    <w:rsid w:val="271635D9"/>
    <w:rsid w:val="2751016E"/>
    <w:rsid w:val="27602AA7"/>
    <w:rsid w:val="278A3E0D"/>
    <w:rsid w:val="278F1DC9"/>
    <w:rsid w:val="279F3713"/>
    <w:rsid w:val="27B45CC5"/>
    <w:rsid w:val="27B84691"/>
    <w:rsid w:val="27BA1AB1"/>
    <w:rsid w:val="27BD1CA7"/>
    <w:rsid w:val="27C923FA"/>
    <w:rsid w:val="27CA464D"/>
    <w:rsid w:val="27CB7F20"/>
    <w:rsid w:val="27E91720"/>
    <w:rsid w:val="27F136A9"/>
    <w:rsid w:val="27F21934"/>
    <w:rsid w:val="27F6382B"/>
    <w:rsid w:val="27FD20A3"/>
    <w:rsid w:val="280F14ED"/>
    <w:rsid w:val="280F3776"/>
    <w:rsid w:val="281C4C20"/>
    <w:rsid w:val="284F39D7"/>
    <w:rsid w:val="28527CD1"/>
    <w:rsid w:val="287C7ABF"/>
    <w:rsid w:val="28844573"/>
    <w:rsid w:val="2895052E"/>
    <w:rsid w:val="28AA3FD9"/>
    <w:rsid w:val="28AD1D1C"/>
    <w:rsid w:val="28C52BC1"/>
    <w:rsid w:val="28D472A8"/>
    <w:rsid w:val="28E9787B"/>
    <w:rsid w:val="28F72F97"/>
    <w:rsid w:val="293D309F"/>
    <w:rsid w:val="29441132"/>
    <w:rsid w:val="29581C87"/>
    <w:rsid w:val="29890753"/>
    <w:rsid w:val="298962E5"/>
    <w:rsid w:val="29934A6D"/>
    <w:rsid w:val="29B50E88"/>
    <w:rsid w:val="29B72649"/>
    <w:rsid w:val="29CB3CC6"/>
    <w:rsid w:val="29CD1E2A"/>
    <w:rsid w:val="29CF7F37"/>
    <w:rsid w:val="2A0C29B8"/>
    <w:rsid w:val="2A0E5104"/>
    <w:rsid w:val="2A131C98"/>
    <w:rsid w:val="2A161AF2"/>
    <w:rsid w:val="2A39664F"/>
    <w:rsid w:val="2A570E85"/>
    <w:rsid w:val="2A830F86"/>
    <w:rsid w:val="2A8745B6"/>
    <w:rsid w:val="2A922F77"/>
    <w:rsid w:val="2A9860B3"/>
    <w:rsid w:val="2A9A1E2C"/>
    <w:rsid w:val="2A9F5694"/>
    <w:rsid w:val="2AA23A25"/>
    <w:rsid w:val="2AAA6513"/>
    <w:rsid w:val="2AD15C14"/>
    <w:rsid w:val="2AE71AF4"/>
    <w:rsid w:val="2AF66B88"/>
    <w:rsid w:val="2B045837"/>
    <w:rsid w:val="2B07429B"/>
    <w:rsid w:val="2B0D0850"/>
    <w:rsid w:val="2B154372"/>
    <w:rsid w:val="2B230073"/>
    <w:rsid w:val="2B520958"/>
    <w:rsid w:val="2B634913"/>
    <w:rsid w:val="2B85488A"/>
    <w:rsid w:val="2BA07916"/>
    <w:rsid w:val="2BEC2B5B"/>
    <w:rsid w:val="2BFF63EA"/>
    <w:rsid w:val="2C002162"/>
    <w:rsid w:val="2C063C1D"/>
    <w:rsid w:val="2C0E0D23"/>
    <w:rsid w:val="2C246995"/>
    <w:rsid w:val="2C3562B0"/>
    <w:rsid w:val="2C385DA0"/>
    <w:rsid w:val="2C4944EB"/>
    <w:rsid w:val="2C4B162F"/>
    <w:rsid w:val="2C5D1363"/>
    <w:rsid w:val="2C5F50DB"/>
    <w:rsid w:val="2C614E21"/>
    <w:rsid w:val="2C792640"/>
    <w:rsid w:val="2C8B4122"/>
    <w:rsid w:val="2C9C1E8B"/>
    <w:rsid w:val="2CA91FCE"/>
    <w:rsid w:val="2CB847EB"/>
    <w:rsid w:val="2CD540BF"/>
    <w:rsid w:val="2CD72C54"/>
    <w:rsid w:val="2CEA709A"/>
    <w:rsid w:val="2D022235"/>
    <w:rsid w:val="2D031F0A"/>
    <w:rsid w:val="2D0F08AF"/>
    <w:rsid w:val="2D1C7470"/>
    <w:rsid w:val="2D2125B0"/>
    <w:rsid w:val="2D2C76B3"/>
    <w:rsid w:val="2D371BB4"/>
    <w:rsid w:val="2D3B78F6"/>
    <w:rsid w:val="2D624F61"/>
    <w:rsid w:val="2D6C32C4"/>
    <w:rsid w:val="2D7C1CBC"/>
    <w:rsid w:val="2D8017AD"/>
    <w:rsid w:val="2D8868B3"/>
    <w:rsid w:val="2DAC4350"/>
    <w:rsid w:val="2DB544D7"/>
    <w:rsid w:val="2DDB7535"/>
    <w:rsid w:val="2DEA30CA"/>
    <w:rsid w:val="2E0F1AF1"/>
    <w:rsid w:val="2E1755ED"/>
    <w:rsid w:val="2E24482E"/>
    <w:rsid w:val="2E255EB0"/>
    <w:rsid w:val="2E3A7BAD"/>
    <w:rsid w:val="2E4D78B3"/>
    <w:rsid w:val="2E56250D"/>
    <w:rsid w:val="2E623354"/>
    <w:rsid w:val="2E6A4E27"/>
    <w:rsid w:val="2E876B6B"/>
    <w:rsid w:val="2E9B12B3"/>
    <w:rsid w:val="2ED33B5E"/>
    <w:rsid w:val="2EDA313F"/>
    <w:rsid w:val="2EE53D89"/>
    <w:rsid w:val="2EEC10D1"/>
    <w:rsid w:val="2F030EDA"/>
    <w:rsid w:val="2F0412C1"/>
    <w:rsid w:val="2F171C9D"/>
    <w:rsid w:val="2F202F46"/>
    <w:rsid w:val="2F2E6FE6"/>
    <w:rsid w:val="2F401A78"/>
    <w:rsid w:val="2F43007A"/>
    <w:rsid w:val="2F47268D"/>
    <w:rsid w:val="2F484F80"/>
    <w:rsid w:val="2F8F5CD7"/>
    <w:rsid w:val="2F926074"/>
    <w:rsid w:val="2F971630"/>
    <w:rsid w:val="2FA774C5"/>
    <w:rsid w:val="2FB44E46"/>
    <w:rsid w:val="2FCA005B"/>
    <w:rsid w:val="2FFF4CAE"/>
    <w:rsid w:val="30042C3B"/>
    <w:rsid w:val="30136908"/>
    <w:rsid w:val="301F1BC4"/>
    <w:rsid w:val="30204B81"/>
    <w:rsid w:val="30286891"/>
    <w:rsid w:val="302E5110"/>
    <w:rsid w:val="303A5A64"/>
    <w:rsid w:val="304E74D7"/>
    <w:rsid w:val="305111DE"/>
    <w:rsid w:val="30561A98"/>
    <w:rsid w:val="30823A8E"/>
    <w:rsid w:val="30901D07"/>
    <w:rsid w:val="309317F7"/>
    <w:rsid w:val="30C85944"/>
    <w:rsid w:val="30D95A3C"/>
    <w:rsid w:val="30DD2A72"/>
    <w:rsid w:val="30E12562"/>
    <w:rsid w:val="30E84AF7"/>
    <w:rsid w:val="31103BE8"/>
    <w:rsid w:val="31490108"/>
    <w:rsid w:val="314F17D6"/>
    <w:rsid w:val="315736D8"/>
    <w:rsid w:val="3166515D"/>
    <w:rsid w:val="31684A32"/>
    <w:rsid w:val="316D029A"/>
    <w:rsid w:val="317403C7"/>
    <w:rsid w:val="3179559F"/>
    <w:rsid w:val="317E6003"/>
    <w:rsid w:val="319B6BB5"/>
    <w:rsid w:val="31A1154D"/>
    <w:rsid w:val="31A17F44"/>
    <w:rsid w:val="31AD053C"/>
    <w:rsid w:val="31CB6D6E"/>
    <w:rsid w:val="31D64091"/>
    <w:rsid w:val="31DE2F46"/>
    <w:rsid w:val="31E340B8"/>
    <w:rsid w:val="32056724"/>
    <w:rsid w:val="320B1E88"/>
    <w:rsid w:val="3220530C"/>
    <w:rsid w:val="322E4D64"/>
    <w:rsid w:val="325B29A2"/>
    <w:rsid w:val="3268280F"/>
    <w:rsid w:val="32690A61"/>
    <w:rsid w:val="326D226F"/>
    <w:rsid w:val="32755BEE"/>
    <w:rsid w:val="32785148"/>
    <w:rsid w:val="327B2543"/>
    <w:rsid w:val="328533C1"/>
    <w:rsid w:val="32A4546A"/>
    <w:rsid w:val="32B1065A"/>
    <w:rsid w:val="32B31CDC"/>
    <w:rsid w:val="32E0684A"/>
    <w:rsid w:val="32ED1980"/>
    <w:rsid w:val="32F1304C"/>
    <w:rsid w:val="32F50547"/>
    <w:rsid w:val="33094881"/>
    <w:rsid w:val="333F3794"/>
    <w:rsid w:val="335A57BD"/>
    <w:rsid w:val="339E5D33"/>
    <w:rsid w:val="33EC17CD"/>
    <w:rsid w:val="33EF143A"/>
    <w:rsid w:val="33EF1C73"/>
    <w:rsid w:val="33FA6F1E"/>
    <w:rsid w:val="340661A5"/>
    <w:rsid w:val="34076784"/>
    <w:rsid w:val="340903E3"/>
    <w:rsid w:val="340E30B9"/>
    <w:rsid w:val="341E3ACD"/>
    <w:rsid w:val="343678CD"/>
    <w:rsid w:val="34480B4A"/>
    <w:rsid w:val="34525525"/>
    <w:rsid w:val="345968B4"/>
    <w:rsid w:val="345A0C5F"/>
    <w:rsid w:val="345B087E"/>
    <w:rsid w:val="346D120F"/>
    <w:rsid w:val="34702AF7"/>
    <w:rsid w:val="347A2085"/>
    <w:rsid w:val="347F27BE"/>
    <w:rsid w:val="34897199"/>
    <w:rsid w:val="34945B3E"/>
    <w:rsid w:val="34A43FD3"/>
    <w:rsid w:val="34AD7661"/>
    <w:rsid w:val="34B01E1E"/>
    <w:rsid w:val="34DD3641"/>
    <w:rsid w:val="34E16FD5"/>
    <w:rsid w:val="34E94961"/>
    <w:rsid w:val="34EA39B0"/>
    <w:rsid w:val="35064C8D"/>
    <w:rsid w:val="35171719"/>
    <w:rsid w:val="352E7D40"/>
    <w:rsid w:val="35352E7D"/>
    <w:rsid w:val="354B26A0"/>
    <w:rsid w:val="35656D09"/>
    <w:rsid w:val="357243F8"/>
    <w:rsid w:val="35853917"/>
    <w:rsid w:val="359009FB"/>
    <w:rsid w:val="35906305"/>
    <w:rsid w:val="359C73A0"/>
    <w:rsid w:val="35A10512"/>
    <w:rsid w:val="35A26038"/>
    <w:rsid w:val="35AA3A3A"/>
    <w:rsid w:val="35AA4722"/>
    <w:rsid w:val="35CF507F"/>
    <w:rsid w:val="35D54660"/>
    <w:rsid w:val="35E96F6C"/>
    <w:rsid w:val="360B340E"/>
    <w:rsid w:val="365E28A7"/>
    <w:rsid w:val="366B14C0"/>
    <w:rsid w:val="369342FF"/>
    <w:rsid w:val="369D456C"/>
    <w:rsid w:val="36A4475E"/>
    <w:rsid w:val="36A8455A"/>
    <w:rsid w:val="36AE738B"/>
    <w:rsid w:val="36BD19ED"/>
    <w:rsid w:val="36C95F72"/>
    <w:rsid w:val="36DF3C16"/>
    <w:rsid w:val="36E27034"/>
    <w:rsid w:val="36ED1FA3"/>
    <w:rsid w:val="36F36DEE"/>
    <w:rsid w:val="36F6663C"/>
    <w:rsid w:val="370E607B"/>
    <w:rsid w:val="372E4027"/>
    <w:rsid w:val="373F79B1"/>
    <w:rsid w:val="37537F32"/>
    <w:rsid w:val="376C4F8C"/>
    <w:rsid w:val="376F2F1F"/>
    <w:rsid w:val="378400EB"/>
    <w:rsid w:val="37904CE2"/>
    <w:rsid w:val="37976071"/>
    <w:rsid w:val="37991DE9"/>
    <w:rsid w:val="379D00C8"/>
    <w:rsid w:val="379F2985"/>
    <w:rsid w:val="37C03BF9"/>
    <w:rsid w:val="37E1109A"/>
    <w:rsid w:val="37E97122"/>
    <w:rsid w:val="37F35CB8"/>
    <w:rsid w:val="382D2531"/>
    <w:rsid w:val="383A697D"/>
    <w:rsid w:val="383C09C6"/>
    <w:rsid w:val="384F4255"/>
    <w:rsid w:val="385633E2"/>
    <w:rsid w:val="386F79F1"/>
    <w:rsid w:val="38767A34"/>
    <w:rsid w:val="38795776"/>
    <w:rsid w:val="388D2FD0"/>
    <w:rsid w:val="389205E6"/>
    <w:rsid w:val="38983E4E"/>
    <w:rsid w:val="389B1225"/>
    <w:rsid w:val="38A84A79"/>
    <w:rsid w:val="38C52C46"/>
    <w:rsid w:val="39226139"/>
    <w:rsid w:val="392C0A3B"/>
    <w:rsid w:val="39400042"/>
    <w:rsid w:val="39490357"/>
    <w:rsid w:val="397877DC"/>
    <w:rsid w:val="3983796A"/>
    <w:rsid w:val="398606D3"/>
    <w:rsid w:val="3999678C"/>
    <w:rsid w:val="39A35D1A"/>
    <w:rsid w:val="39A6259B"/>
    <w:rsid w:val="39BC3D54"/>
    <w:rsid w:val="39D377DB"/>
    <w:rsid w:val="3A223DCB"/>
    <w:rsid w:val="3A3462BA"/>
    <w:rsid w:val="3A58475F"/>
    <w:rsid w:val="3A5E7E93"/>
    <w:rsid w:val="3A6E6C87"/>
    <w:rsid w:val="3A810912"/>
    <w:rsid w:val="3AB46F3A"/>
    <w:rsid w:val="3ABD5DEE"/>
    <w:rsid w:val="3AD13648"/>
    <w:rsid w:val="3AE0388B"/>
    <w:rsid w:val="3AF9494C"/>
    <w:rsid w:val="3B0532F1"/>
    <w:rsid w:val="3B1C0596"/>
    <w:rsid w:val="3B20637D"/>
    <w:rsid w:val="3B2319C9"/>
    <w:rsid w:val="3B5B1163"/>
    <w:rsid w:val="3B7A3054"/>
    <w:rsid w:val="3B84063D"/>
    <w:rsid w:val="3B8701AA"/>
    <w:rsid w:val="3B8875E3"/>
    <w:rsid w:val="3B955700"/>
    <w:rsid w:val="3B9E18E7"/>
    <w:rsid w:val="3BBE589B"/>
    <w:rsid w:val="3BC27434"/>
    <w:rsid w:val="3BC30935"/>
    <w:rsid w:val="3BC95C98"/>
    <w:rsid w:val="3BCB453B"/>
    <w:rsid w:val="3BD75940"/>
    <w:rsid w:val="3BDD7DCA"/>
    <w:rsid w:val="3BE21884"/>
    <w:rsid w:val="3BF42260"/>
    <w:rsid w:val="3C265C15"/>
    <w:rsid w:val="3C284C49"/>
    <w:rsid w:val="3C522566"/>
    <w:rsid w:val="3C541BC5"/>
    <w:rsid w:val="3C65673D"/>
    <w:rsid w:val="3C722C08"/>
    <w:rsid w:val="3C7C5F7D"/>
    <w:rsid w:val="3C873516"/>
    <w:rsid w:val="3C9506A5"/>
    <w:rsid w:val="3C9C7C85"/>
    <w:rsid w:val="3C9E3DCB"/>
    <w:rsid w:val="3CA31014"/>
    <w:rsid w:val="3CAC0D1D"/>
    <w:rsid w:val="3CB123E6"/>
    <w:rsid w:val="3CDB6174"/>
    <w:rsid w:val="3D050477"/>
    <w:rsid w:val="3D14341C"/>
    <w:rsid w:val="3D162EFA"/>
    <w:rsid w:val="3D3D4FC4"/>
    <w:rsid w:val="3D404852"/>
    <w:rsid w:val="3D477BF1"/>
    <w:rsid w:val="3D4A76E1"/>
    <w:rsid w:val="3D5D5666"/>
    <w:rsid w:val="3DB668C6"/>
    <w:rsid w:val="3DCB0822"/>
    <w:rsid w:val="3DEB4A20"/>
    <w:rsid w:val="3DF062BF"/>
    <w:rsid w:val="3E0618F6"/>
    <w:rsid w:val="3E0869AC"/>
    <w:rsid w:val="3E246184"/>
    <w:rsid w:val="3E2C6DE7"/>
    <w:rsid w:val="3E3068D7"/>
    <w:rsid w:val="3E3175F3"/>
    <w:rsid w:val="3E32264F"/>
    <w:rsid w:val="3E3E1A04"/>
    <w:rsid w:val="3E53454B"/>
    <w:rsid w:val="3E6F204E"/>
    <w:rsid w:val="3E815973"/>
    <w:rsid w:val="3E88151A"/>
    <w:rsid w:val="3E894239"/>
    <w:rsid w:val="3E8D3D29"/>
    <w:rsid w:val="3E9450B8"/>
    <w:rsid w:val="3EB63280"/>
    <w:rsid w:val="3EC62D97"/>
    <w:rsid w:val="3EF913BF"/>
    <w:rsid w:val="3F0D6C18"/>
    <w:rsid w:val="3F1735F3"/>
    <w:rsid w:val="3F2B709E"/>
    <w:rsid w:val="3F364D39"/>
    <w:rsid w:val="3F505A98"/>
    <w:rsid w:val="3F6207BA"/>
    <w:rsid w:val="3F672E55"/>
    <w:rsid w:val="3F7B1DD4"/>
    <w:rsid w:val="3F810615"/>
    <w:rsid w:val="3F843560"/>
    <w:rsid w:val="3F8C5D8F"/>
    <w:rsid w:val="3F8E7D59"/>
    <w:rsid w:val="3F984C13"/>
    <w:rsid w:val="3FA15AA1"/>
    <w:rsid w:val="3FA72BC9"/>
    <w:rsid w:val="3FBB6674"/>
    <w:rsid w:val="3FBD063E"/>
    <w:rsid w:val="3FC90D91"/>
    <w:rsid w:val="3FCF3ECE"/>
    <w:rsid w:val="3FD8444B"/>
    <w:rsid w:val="3FD919BA"/>
    <w:rsid w:val="3FDC2B4A"/>
    <w:rsid w:val="3FFD010D"/>
    <w:rsid w:val="400A40D9"/>
    <w:rsid w:val="401A783F"/>
    <w:rsid w:val="401F452F"/>
    <w:rsid w:val="40330901"/>
    <w:rsid w:val="40515724"/>
    <w:rsid w:val="405F16F6"/>
    <w:rsid w:val="408B38B3"/>
    <w:rsid w:val="40955117"/>
    <w:rsid w:val="40B27A77"/>
    <w:rsid w:val="40D40AAB"/>
    <w:rsid w:val="40D77011"/>
    <w:rsid w:val="40E90FBF"/>
    <w:rsid w:val="40F40090"/>
    <w:rsid w:val="40FB76BC"/>
    <w:rsid w:val="41036525"/>
    <w:rsid w:val="41072D28"/>
    <w:rsid w:val="41173D7E"/>
    <w:rsid w:val="411E335F"/>
    <w:rsid w:val="412344D1"/>
    <w:rsid w:val="4125450E"/>
    <w:rsid w:val="412973EA"/>
    <w:rsid w:val="41AA69A0"/>
    <w:rsid w:val="41B45A71"/>
    <w:rsid w:val="41F71B81"/>
    <w:rsid w:val="42010DBE"/>
    <w:rsid w:val="42044303"/>
    <w:rsid w:val="42075BA1"/>
    <w:rsid w:val="42424E2B"/>
    <w:rsid w:val="426B25D4"/>
    <w:rsid w:val="4278084D"/>
    <w:rsid w:val="428611BC"/>
    <w:rsid w:val="42927B60"/>
    <w:rsid w:val="42BD2703"/>
    <w:rsid w:val="42C27D1A"/>
    <w:rsid w:val="42E04834"/>
    <w:rsid w:val="43140A2D"/>
    <w:rsid w:val="431B5DA8"/>
    <w:rsid w:val="43301127"/>
    <w:rsid w:val="43364990"/>
    <w:rsid w:val="434150E2"/>
    <w:rsid w:val="4355293C"/>
    <w:rsid w:val="4359067E"/>
    <w:rsid w:val="436117D4"/>
    <w:rsid w:val="437049F2"/>
    <w:rsid w:val="43842246"/>
    <w:rsid w:val="4387343D"/>
    <w:rsid w:val="43A7763B"/>
    <w:rsid w:val="43B92ECB"/>
    <w:rsid w:val="43BE0166"/>
    <w:rsid w:val="440E3217"/>
    <w:rsid w:val="440F0504"/>
    <w:rsid w:val="4421185F"/>
    <w:rsid w:val="442962A2"/>
    <w:rsid w:val="4437557C"/>
    <w:rsid w:val="44380293"/>
    <w:rsid w:val="444C2BC0"/>
    <w:rsid w:val="444F71A2"/>
    <w:rsid w:val="445361E5"/>
    <w:rsid w:val="44692B43"/>
    <w:rsid w:val="447C0AC8"/>
    <w:rsid w:val="4482717F"/>
    <w:rsid w:val="44A21CDC"/>
    <w:rsid w:val="44B6565C"/>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7128F"/>
    <w:rsid w:val="45952817"/>
    <w:rsid w:val="45A863B8"/>
    <w:rsid w:val="45BB6D3C"/>
    <w:rsid w:val="45C73FC5"/>
    <w:rsid w:val="45F91CA4"/>
    <w:rsid w:val="46004DE1"/>
    <w:rsid w:val="46017508"/>
    <w:rsid w:val="460F14C8"/>
    <w:rsid w:val="46130FB8"/>
    <w:rsid w:val="46132D66"/>
    <w:rsid w:val="4614088C"/>
    <w:rsid w:val="46230380"/>
    <w:rsid w:val="46342CDD"/>
    <w:rsid w:val="46431B1A"/>
    <w:rsid w:val="464E1FF0"/>
    <w:rsid w:val="466366B9"/>
    <w:rsid w:val="46821C9A"/>
    <w:rsid w:val="46955E71"/>
    <w:rsid w:val="4698326B"/>
    <w:rsid w:val="469C7200"/>
    <w:rsid w:val="46A00003"/>
    <w:rsid w:val="46C10A14"/>
    <w:rsid w:val="46D67F86"/>
    <w:rsid w:val="46E75FA1"/>
    <w:rsid w:val="46F448C2"/>
    <w:rsid w:val="46F56910"/>
    <w:rsid w:val="47060D7D"/>
    <w:rsid w:val="471F573B"/>
    <w:rsid w:val="47242D51"/>
    <w:rsid w:val="473276AB"/>
    <w:rsid w:val="473F67A2"/>
    <w:rsid w:val="474536E0"/>
    <w:rsid w:val="47463365"/>
    <w:rsid w:val="47596E9F"/>
    <w:rsid w:val="476017DF"/>
    <w:rsid w:val="476B55F6"/>
    <w:rsid w:val="47777325"/>
    <w:rsid w:val="477E4B57"/>
    <w:rsid w:val="47863A0C"/>
    <w:rsid w:val="478A52AA"/>
    <w:rsid w:val="47925F0D"/>
    <w:rsid w:val="47A876DF"/>
    <w:rsid w:val="47AA76FA"/>
    <w:rsid w:val="47B370C9"/>
    <w:rsid w:val="47D429C9"/>
    <w:rsid w:val="48027536"/>
    <w:rsid w:val="48042FA6"/>
    <w:rsid w:val="480C2163"/>
    <w:rsid w:val="481C57BF"/>
    <w:rsid w:val="48240342"/>
    <w:rsid w:val="48343468"/>
    <w:rsid w:val="485578E8"/>
    <w:rsid w:val="48680CE3"/>
    <w:rsid w:val="487516C9"/>
    <w:rsid w:val="488B752C"/>
    <w:rsid w:val="488C32A4"/>
    <w:rsid w:val="48A003F4"/>
    <w:rsid w:val="48A147B6"/>
    <w:rsid w:val="48A73C3A"/>
    <w:rsid w:val="48D367DD"/>
    <w:rsid w:val="48E82D4D"/>
    <w:rsid w:val="48F007F6"/>
    <w:rsid w:val="48F14EB5"/>
    <w:rsid w:val="491D5CAA"/>
    <w:rsid w:val="49537DE0"/>
    <w:rsid w:val="495518E8"/>
    <w:rsid w:val="49584F34"/>
    <w:rsid w:val="4977360C"/>
    <w:rsid w:val="497C0C22"/>
    <w:rsid w:val="498703ED"/>
    <w:rsid w:val="49C425C9"/>
    <w:rsid w:val="49C72B69"/>
    <w:rsid w:val="49E62540"/>
    <w:rsid w:val="4A0E6954"/>
    <w:rsid w:val="4A1A47F4"/>
    <w:rsid w:val="4A275032"/>
    <w:rsid w:val="4A275F90"/>
    <w:rsid w:val="4A280DAA"/>
    <w:rsid w:val="4A29760D"/>
    <w:rsid w:val="4A2D4613"/>
    <w:rsid w:val="4A392FB7"/>
    <w:rsid w:val="4A64191B"/>
    <w:rsid w:val="4A722025"/>
    <w:rsid w:val="4A745F18"/>
    <w:rsid w:val="4A8B3EC0"/>
    <w:rsid w:val="4AAC4A05"/>
    <w:rsid w:val="4AB112AD"/>
    <w:rsid w:val="4AB4263E"/>
    <w:rsid w:val="4AB918F6"/>
    <w:rsid w:val="4AD14F9E"/>
    <w:rsid w:val="4AEB42B2"/>
    <w:rsid w:val="4AF403AA"/>
    <w:rsid w:val="4AFD616C"/>
    <w:rsid w:val="4B0B04B0"/>
    <w:rsid w:val="4B3E2640"/>
    <w:rsid w:val="4B447AD4"/>
    <w:rsid w:val="4B4506C9"/>
    <w:rsid w:val="4B7050AD"/>
    <w:rsid w:val="4B717B63"/>
    <w:rsid w:val="4BA30828"/>
    <w:rsid w:val="4BA93D64"/>
    <w:rsid w:val="4BB74194"/>
    <w:rsid w:val="4BBE0554"/>
    <w:rsid w:val="4BBF20A9"/>
    <w:rsid w:val="4BCB40E3"/>
    <w:rsid w:val="4BD20FCE"/>
    <w:rsid w:val="4BD74836"/>
    <w:rsid w:val="4BED5E07"/>
    <w:rsid w:val="4BF4363A"/>
    <w:rsid w:val="4BF70A34"/>
    <w:rsid w:val="4BFD1393"/>
    <w:rsid w:val="4C0849EF"/>
    <w:rsid w:val="4C194E4E"/>
    <w:rsid w:val="4C1C26CD"/>
    <w:rsid w:val="4C2555A1"/>
    <w:rsid w:val="4C2C2DD4"/>
    <w:rsid w:val="4C3F1BAE"/>
    <w:rsid w:val="4C5C4D3B"/>
    <w:rsid w:val="4C5D5CA7"/>
    <w:rsid w:val="4C76404F"/>
    <w:rsid w:val="4C79769B"/>
    <w:rsid w:val="4C8147A2"/>
    <w:rsid w:val="4C96649F"/>
    <w:rsid w:val="4CB26A62"/>
    <w:rsid w:val="4CCA7AE1"/>
    <w:rsid w:val="4CE216E4"/>
    <w:rsid w:val="4CEE0366"/>
    <w:rsid w:val="4CF569B5"/>
    <w:rsid w:val="4CFB4947"/>
    <w:rsid w:val="4D04165B"/>
    <w:rsid w:val="4D11448E"/>
    <w:rsid w:val="4D267823"/>
    <w:rsid w:val="4D275D07"/>
    <w:rsid w:val="4D3A507C"/>
    <w:rsid w:val="4D5325E2"/>
    <w:rsid w:val="4D5F2D35"/>
    <w:rsid w:val="4D6848C0"/>
    <w:rsid w:val="4D8602C2"/>
    <w:rsid w:val="4D9E5143"/>
    <w:rsid w:val="4D9F75D5"/>
    <w:rsid w:val="4DAE03C1"/>
    <w:rsid w:val="4DC97603"/>
    <w:rsid w:val="4DE163BF"/>
    <w:rsid w:val="4DF72F6D"/>
    <w:rsid w:val="4DFE10C7"/>
    <w:rsid w:val="4E086F29"/>
    <w:rsid w:val="4E0D280B"/>
    <w:rsid w:val="4E0F02B7"/>
    <w:rsid w:val="4E140B6A"/>
    <w:rsid w:val="4E1B739A"/>
    <w:rsid w:val="4E21448E"/>
    <w:rsid w:val="4E233D62"/>
    <w:rsid w:val="4E2875CB"/>
    <w:rsid w:val="4E407F3C"/>
    <w:rsid w:val="4E41243B"/>
    <w:rsid w:val="4E676345"/>
    <w:rsid w:val="4E6C17FA"/>
    <w:rsid w:val="4E870795"/>
    <w:rsid w:val="4E8B5D8F"/>
    <w:rsid w:val="4E943545"/>
    <w:rsid w:val="4EB86BA1"/>
    <w:rsid w:val="4EBD4210"/>
    <w:rsid w:val="4ECC43FA"/>
    <w:rsid w:val="4EE94FAC"/>
    <w:rsid w:val="4F0973FC"/>
    <w:rsid w:val="4F0B3CA6"/>
    <w:rsid w:val="4F107345"/>
    <w:rsid w:val="4F1847B3"/>
    <w:rsid w:val="4F2314B3"/>
    <w:rsid w:val="4F261681"/>
    <w:rsid w:val="4F3B50DC"/>
    <w:rsid w:val="4F4A531F"/>
    <w:rsid w:val="4F5D5052"/>
    <w:rsid w:val="4F691C49"/>
    <w:rsid w:val="4F781E8C"/>
    <w:rsid w:val="4F813436"/>
    <w:rsid w:val="4FB619EF"/>
    <w:rsid w:val="4FBD1F95"/>
    <w:rsid w:val="4FC861DA"/>
    <w:rsid w:val="4FFB544B"/>
    <w:rsid w:val="500A342C"/>
    <w:rsid w:val="500D6A78"/>
    <w:rsid w:val="500F69BB"/>
    <w:rsid w:val="50334005"/>
    <w:rsid w:val="50406E4E"/>
    <w:rsid w:val="505B77CA"/>
    <w:rsid w:val="50884351"/>
    <w:rsid w:val="50970A38"/>
    <w:rsid w:val="509B22D6"/>
    <w:rsid w:val="50A126B7"/>
    <w:rsid w:val="50A82C45"/>
    <w:rsid w:val="50AE094F"/>
    <w:rsid w:val="50DB294E"/>
    <w:rsid w:val="50DC3D6E"/>
    <w:rsid w:val="510936E3"/>
    <w:rsid w:val="510A2FB8"/>
    <w:rsid w:val="51145BE4"/>
    <w:rsid w:val="511856D5"/>
    <w:rsid w:val="51321C80"/>
    <w:rsid w:val="515661FD"/>
    <w:rsid w:val="516A3A56"/>
    <w:rsid w:val="517255BD"/>
    <w:rsid w:val="517B5C63"/>
    <w:rsid w:val="518232FD"/>
    <w:rsid w:val="518C4D4D"/>
    <w:rsid w:val="51A46F68"/>
    <w:rsid w:val="51B13335"/>
    <w:rsid w:val="51D75590"/>
    <w:rsid w:val="521D3CB5"/>
    <w:rsid w:val="522956BF"/>
    <w:rsid w:val="523302EC"/>
    <w:rsid w:val="52426781"/>
    <w:rsid w:val="52454FAD"/>
    <w:rsid w:val="524B15B3"/>
    <w:rsid w:val="52712BCF"/>
    <w:rsid w:val="528374C6"/>
    <w:rsid w:val="528B1ED6"/>
    <w:rsid w:val="52A70D2C"/>
    <w:rsid w:val="52BE405A"/>
    <w:rsid w:val="52E361B6"/>
    <w:rsid w:val="52E837CD"/>
    <w:rsid w:val="52FB52AE"/>
    <w:rsid w:val="531210C9"/>
    <w:rsid w:val="532529C3"/>
    <w:rsid w:val="532742F5"/>
    <w:rsid w:val="535635F6"/>
    <w:rsid w:val="53607807"/>
    <w:rsid w:val="538434F5"/>
    <w:rsid w:val="538A03E0"/>
    <w:rsid w:val="539835FD"/>
    <w:rsid w:val="53A2397B"/>
    <w:rsid w:val="53B92A73"/>
    <w:rsid w:val="53BB67EB"/>
    <w:rsid w:val="53C71634"/>
    <w:rsid w:val="53D224B3"/>
    <w:rsid w:val="53EB1FF8"/>
    <w:rsid w:val="53EC2E48"/>
    <w:rsid w:val="53F45760"/>
    <w:rsid w:val="53FB308C"/>
    <w:rsid w:val="5406215C"/>
    <w:rsid w:val="54216F96"/>
    <w:rsid w:val="54387E3C"/>
    <w:rsid w:val="547A48F8"/>
    <w:rsid w:val="547B176D"/>
    <w:rsid w:val="547C41CC"/>
    <w:rsid w:val="549E694A"/>
    <w:rsid w:val="54A379AB"/>
    <w:rsid w:val="54A9774A"/>
    <w:rsid w:val="54B27BEE"/>
    <w:rsid w:val="54BD0C40"/>
    <w:rsid w:val="54D659D2"/>
    <w:rsid w:val="54F75F49"/>
    <w:rsid w:val="54FC355F"/>
    <w:rsid w:val="55284354"/>
    <w:rsid w:val="55432F3C"/>
    <w:rsid w:val="554A42CB"/>
    <w:rsid w:val="55507BAA"/>
    <w:rsid w:val="5560589C"/>
    <w:rsid w:val="55621614"/>
    <w:rsid w:val="556C4241"/>
    <w:rsid w:val="5579695E"/>
    <w:rsid w:val="558C043F"/>
    <w:rsid w:val="559807C9"/>
    <w:rsid w:val="55A133E3"/>
    <w:rsid w:val="55B87486"/>
    <w:rsid w:val="55C25119"/>
    <w:rsid w:val="55C404FA"/>
    <w:rsid w:val="55C45E2B"/>
    <w:rsid w:val="55CC345F"/>
    <w:rsid w:val="55EA33B8"/>
    <w:rsid w:val="55F04E72"/>
    <w:rsid w:val="56203207"/>
    <w:rsid w:val="562A2C28"/>
    <w:rsid w:val="562C2ED7"/>
    <w:rsid w:val="563F3703"/>
    <w:rsid w:val="564D4072"/>
    <w:rsid w:val="56610227"/>
    <w:rsid w:val="56680EAC"/>
    <w:rsid w:val="567B54EE"/>
    <w:rsid w:val="567C4958"/>
    <w:rsid w:val="56846C29"/>
    <w:rsid w:val="5689497F"/>
    <w:rsid w:val="56917593"/>
    <w:rsid w:val="56A703F5"/>
    <w:rsid w:val="56C97471"/>
    <w:rsid w:val="56D64EB7"/>
    <w:rsid w:val="56E314E0"/>
    <w:rsid w:val="57282705"/>
    <w:rsid w:val="574C75A3"/>
    <w:rsid w:val="574D2F08"/>
    <w:rsid w:val="5774562F"/>
    <w:rsid w:val="57750120"/>
    <w:rsid w:val="57754BF2"/>
    <w:rsid w:val="57862A11"/>
    <w:rsid w:val="578C4726"/>
    <w:rsid w:val="57B10631"/>
    <w:rsid w:val="57BD6FD6"/>
    <w:rsid w:val="57CA16F3"/>
    <w:rsid w:val="57CA3880"/>
    <w:rsid w:val="57E417E0"/>
    <w:rsid w:val="57EE53E1"/>
    <w:rsid w:val="57F32A52"/>
    <w:rsid w:val="57FE50EE"/>
    <w:rsid w:val="58073B8C"/>
    <w:rsid w:val="580E7831"/>
    <w:rsid w:val="58256929"/>
    <w:rsid w:val="583F3E8F"/>
    <w:rsid w:val="58A40196"/>
    <w:rsid w:val="58BF0B2C"/>
    <w:rsid w:val="58D67320"/>
    <w:rsid w:val="58F534B4"/>
    <w:rsid w:val="593432C8"/>
    <w:rsid w:val="593E026C"/>
    <w:rsid w:val="593E5EF4"/>
    <w:rsid w:val="593F3A1A"/>
    <w:rsid w:val="594D6137"/>
    <w:rsid w:val="597A4A53"/>
    <w:rsid w:val="5989503C"/>
    <w:rsid w:val="59977C6E"/>
    <w:rsid w:val="599B50F5"/>
    <w:rsid w:val="59A25D4A"/>
    <w:rsid w:val="59AA17DC"/>
    <w:rsid w:val="59B14918"/>
    <w:rsid w:val="59B15C2B"/>
    <w:rsid w:val="59B25F2D"/>
    <w:rsid w:val="59BC4885"/>
    <w:rsid w:val="59D86349"/>
    <w:rsid w:val="59DB3743"/>
    <w:rsid w:val="59DD0C04"/>
    <w:rsid w:val="59EC76FE"/>
    <w:rsid w:val="5A034978"/>
    <w:rsid w:val="5A040EEC"/>
    <w:rsid w:val="5A16280E"/>
    <w:rsid w:val="5A1B5A10"/>
    <w:rsid w:val="5A266807"/>
    <w:rsid w:val="5A2C21F1"/>
    <w:rsid w:val="5A596C30"/>
    <w:rsid w:val="5A6977D7"/>
    <w:rsid w:val="5A6E45B7"/>
    <w:rsid w:val="5A963B0E"/>
    <w:rsid w:val="5AA955EF"/>
    <w:rsid w:val="5AB41F84"/>
    <w:rsid w:val="5ACC2E57"/>
    <w:rsid w:val="5AEB3E5A"/>
    <w:rsid w:val="5B044F1C"/>
    <w:rsid w:val="5B070568"/>
    <w:rsid w:val="5B1C2265"/>
    <w:rsid w:val="5B1F41C6"/>
    <w:rsid w:val="5B2E3D47"/>
    <w:rsid w:val="5B33135D"/>
    <w:rsid w:val="5B435A44"/>
    <w:rsid w:val="5B4672E2"/>
    <w:rsid w:val="5B486DE4"/>
    <w:rsid w:val="5B4A6DD2"/>
    <w:rsid w:val="5B572513"/>
    <w:rsid w:val="5B5B0FE0"/>
    <w:rsid w:val="5B773CF2"/>
    <w:rsid w:val="5B814E44"/>
    <w:rsid w:val="5B953DC6"/>
    <w:rsid w:val="5B9B5880"/>
    <w:rsid w:val="5BB7600F"/>
    <w:rsid w:val="5BCD355F"/>
    <w:rsid w:val="5BF037E6"/>
    <w:rsid w:val="5BF741A2"/>
    <w:rsid w:val="5BFD3E45"/>
    <w:rsid w:val="5C0F2714"/>
    <w:rsid w:val="5C250ECD"/>
    <w:rsid w:val="5C2A09B2"/>
    <w:rsid w:val="5C3A263A"/>
    <w:rsid w:val="5C441F61"/>
    <w:rsid w:val="5C48778D"/>
    <w:rsid w:val="5C4A4BB0"/>
    <w:rsid w:val="5C531CB7"/>
    <w:rsid w:val="5C814A76"/>
    <w:rsid w:val="5CAE513F"/>
    <w:rsid w:val="5CAF25EE"/>
    <w:rsid w:val="5CAF7F16"/>
    <w:rsid w:val="5CBE74EA"/>
    <w:rsid w:val="5CC56713"/>
    <w:rsid w:val="5CC71DD8"/>
    <w:rsid w:val="5CCE3A33"/>
    <w:rsid w:val="5CD66444"/>
    <w:rsid w:val="5CF82EF2"/>
    <w:rsid w:val="5CF9414D"/>
    <w:rsid w:val="5CF9552F"/>
    <w:rsid w:val="5D0631CD"/>
    <w:rsid w:val="5D0B433F"/>
    <w:rsid w:val="5D17501F"/>
    <w:rsid w:val="5D213B63"/>
    <w:rsid w:val="5D2E44D2"/>
    <w:rsid w:val="5D3C6BEF"/>
    <w:rsid w:val="5D431D2B"/>
    <w:rsid w:val="5D4569AE"/>
    <w:rsid w:val="5D5E0913"/>
    <w:rsid w:val="5D683540"/>
    <w:rsid w:val="5D6F2B20"/>
    <w:rsid w:val="5D79399F"/>
    <w:rsid w:val="5D7C6FEB"/>
    <w:rsid w:val="5D883BE2"/>
    <w:rsid w:val="5D9B5E1F"/>
    <w:rsid w:val="5DA36C6E"/>
    <w:rsid w:val="5DAF116F"/>
    <w:rsid w:val="5DB426F2"/>
    <w:rsid w:val="5DF11787"/>
    <w:rsid w:val="5E0771FD"/>
    <w:rsid w:val="5E2733FB"/>
    <w:rsid w:val="5E2B5FA2"/>
    <w:rsid w:val="5E647215"/>
    <w:rsid w:val="5E6F6B70"/>
    <w:rsid w:val="5E7128C8"/>
    <w:rsid w:val="5E785A05"/>
    <w:rsid w:val="5E7E5BC7"/>
    <w:rsid w:val="5EA467FA"/>
    <w:rsid w:val="5EAC5CC5"/>
    <w:rsid w:val="5EBB3B43"/>
    <w:rsid w:val="5EC24ED2"/>
    <w:rsid w:val="5ECC54B0"/>
    <w:rsid w:val="5ECF669A"/>
    <w:rsid w:val="5EF64B7B"/>
    <w:rsid w:val="5F131BD1"/>
    <w:rsid w:val="5F1C68EB"/>
    <w:rsid w:val="5F2B376C"/>
    <w:rsid w:val="5F304531"/>
    <w:rsid w:val="5F335DCF"/>
    <w:rsid w:val="5F3A658F"/>
    <w:rsid w:val="5F4B6DF9"/>
    <w:rsid w:val="5F5244A8"/>
    <w:rsid w:val="5F5C70D4"/>
    <w:rsid w:val="5F5E109E"/>
    <w:rsid w:val="5F675CE8"/>
    <w:rsid w:val="5F6D7533"/>
    <w:rsid w:val="5F904FD0"/>
    <w:rsid w:val="5F9E101E"/>
    <w:rsid w:val="5FD80582"/>
    <w:rsid w:val="5FE377F5"/>
    <w:rsid w:val="60326087"/>
    <w:rsid w:val="603E7754"/>
    <w:rsid w:val="604D407A"/>
    <w:rsid w:val="605E0C2A"/>
    <w:rsid w:val="6061582C"/>
    <w:rsid w:val="60787F3E"/>
    <w:rsid w:val="60940AF0"/>
    <w:rsid w:val="609D64AA"/>
    <w:rsid w:val="60A27B32"/>
    <w:rsid w:val="60BE5D83"/>
    <w:rsid w:val="60DD3A26"/>
    <w:rsid w:val="60E51508"/>
    <w:rsid w:val="60F82E2D"/>
    <w:rsid w:val="60FC0223"/>
    <w:rsid w:val="614A3DAA"/>
    <w:rsid w:val="6155027F"/>
    <w:rsid w:val="615803DD"/>
    <w:rsid w:val="616821E1"/>
    <w:rsid w:val="61730B8F"/>
    <w:rsid w:val="618463A2"/>
    <w:rsid w:val="618741B1"/>
    <w:rsid w:val="61B2747F"/>
    <w:rsid w:val="61B90451"/>
    <w:rsid w:val="61DE0274"/>
    <w:rsid w:val="61E73B15"/>
    <w:rsid w:val="61EA259B"/>
    <w:rsid w:val="61EB473F"/>
    <w:rsid w:val="61FC3833"/>
    <w:rsid w:val="622540F5"/>
    <w:rsid w:val="623B7475"/>
    <w:rsid w:val="62405FC3"/>
    <w:rsid w:val="62482F7C"/>
    <w:rsid w:val="62677DAD"/>
    <w:rsid w:val="6281113E"/>
    <w:rsid w:val="62854B94"/>
    <w:rsid w:val="62935219"/>
    <w:rsid w:val="62CD6AEC"/>
    <w:rsid w:val="62D94595"/>
    <w:rsid w:val="63103C43"/>
    <w:rsid w:val="631E6C0A"/>
    <w:rsid w:val="633B34A5"/>
    <w:rsid w:val="6347009B"/>
    <w:rsid w:val="63495BC1"/>
    <w:rsid w:val="63566066"/>
    <w:rsid w:val="637A0C9C"/>
    <w:rsid w:val="63901A42"/>
    <w:rsid w:val="63AE604C"/>
    <w:rsid w:val="63C45248"/>
    <w:rsid w:val="63C60FC0"/>
    <w:rsid w:val="63CB65D6"/>
    <w:rsid w:val="63D41366"/>
    <w:rsid w:val="640E2967"/>
    <w:rsid w:val="64153CF6"/>
    <w:rsid w:val="6419594B"/>
    <w:rsid w:val="64264155"/>
    <w:rsid w:val="64356146"/>
    <w:rsid w:val="643F7FB7"/>
    <w:rsid w:val="644C769A"/>
    <w:rsid w:val="64520AA6"/>
    <w:rsid w:val="646627A3"/>
    <w:rsid w:val="64664551"/>
    <w:rsid w:val="647153D0"/>
    <w:rsid w:val="64805613"/>
    <w:rsid w:val="6486074F"/>
    <w:rsid w:val="6488707F"/>
    <w:rsid w:val="648B51F9"/>
    <w:rsid w:val="64B90B25"/>
    <w:rsid w:val="64B96D77"/>
    <w:rsid w:val="64BB2AEF"/>
    <w:rsid w:val="64CB26DD"/>
    <w:rsid w:val="64FD6C64"/>
    <w:rsid w:val="650171EE"/>
    <w:rsid w:val="65055B18"/>
    <w:rsid w:val="65297A59"/>
    <w:rsid w:val="65433804"/>
    <w:rsid w:val="65556AA0"/>
    <w:rsid w:val="65684D07"/>
    <w:rsid w:val="657D2B9C"/>
    <w:rsid w:val="6593581A"/>
    <w:rsid w:val="65956E9C"/>
    <w:rsid w:val="65A215B9"/>
    <w:rsid w:val="65BD63F3"/>
    <w:rsid w:val="65D406EA"/>
    <w:rsid w:val="65E529C8"/>
    <w:rsid w:val="66383CCB"/>
    <w:rsid w:val="66542B2C"/>
    <w:rsid w:val="665723A3"/>
    <w:rsid w:val="667B400E"/>
    <w:rsid w:val="66911D59"/>
    <w:rsid w:val="66E005EB"/>
    <w:rsid w:val="66E53E53"/>
    <w:rsid w:val="66E55C01"/>
    <w:rsid w:val="66EA7812"/>
    <w:rsid w:val="6704527C"/>
    <w:rsid w:val="673F1F3F"/>
    <w:rsid w:val="673F79B4"/>
    <w:rsid w:val="67442824"/>
    <w:rsid w:val="674A1F08"/>
    <w:rsid w:val="67795693"/>
    <w:rsid w:val="677A0A3F"/>
    <w:rsid w:val="67987117"/>
    <w:rsid w:val="67A43BE0"/>
    <w:rsid w:val="67AB6E4B"/>
    <w:rsid w:val="67B37F71"/>
    <w:rsid w:val="67CE6C86"/>
    <w:rsid w:val="67D31319"/>
    <w:rsid w:val="67D72D6F"/>
    <w:rsid w:val="67DC6D5A"/>
    <w:rsid w:val="67E206D5"/>
    <w:rsid w:val="683055A2"/>
    <w:rsid w:val="683E4D48"/>
    <w:rsid w:val="684E58C1"/>
    <w:rsid w:val="685A261F"/>
    <w:rsid w:val="6865349E"/>
    <w:rsid w:val="68655F18"/>
    <w:rsid w:val="68B00491"/>
    <w:rsid w:val="68C14BF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C531FC"/>
    <w:rsid w:val="69DF2DDC"/>
    <w:rsid w:val="69EA352F"/>
    <w:rsid w:val="69EB2192"/>
    <w:rsid w:val="6A026ACA"/>
    <w:rsid w:val="6A0E6EBA"/>
    <w:rsid w:val="6A14419B"/>
    <w:rsid w:val="6A3C0286"/>
    <w:rsid w:val="6A570136"/>
    <w:rsid w:val="6A695DCD"/>
    <w:rsid w:val="6A6D03E7"/>
    <w:rsid w:val="6A731776"/>
    <w:rsid w:val="6A753740"/>
    <w:rsid w:val="6A7A6FA8"/>
    <w:rsid w:val="6A7E2C0A"/>
    <w:rsid w:val="6A802F8E"/>
    <w:rsid w:val="6AAD4C88"/>
    <w:rsid w:val="6AAE0F26"/>
    <w:rsid w:val="6ABA55F7"/>
    <w:rsid w:val="6AC10733"/>
    <w:rsid w:val="6ACA3A8C"/>
    <w:rsid w:val="6ACD7255"/>
    <w:rsid w:val="6AD2649C"/>
    <w:rsid w:val="6AE17565"/>
    <w:rsid w:val="6AEF52A0"/>
    <w:rsid w:val="6AF01018"/>
    <w:rsid w:val="6AFE3735"/>
    <w:rsid w:val="6B2111D2"/>
    <w:rsid w:val="6B361E7E"/>
    <w:rsid w:val="6B3C7DBA"/>
    <w:rsid w:val="6B3D4EC2"/>
    <w:rsid w:val="6B43383E"/>
    <w:rsid w:val="6B623CC4"/>
    <w:rsid w:val="6B6F63E1"/>
    <w:rsid w:val="6B797260"/>
    <w:rsid w:val="6B8071BE"/>
    <w:rsid w:val="6B9D0DAB"/>
    <w:rsid w:val="6BB16221"/>
    <w:rsid w:val="6BE40B7D"/>
    <w:rsid w:val="6BE45953"/>
    <w:rsid w:val="6BE94F3A"/>
    <w:rsid w:val="6BF40694"/>
    <w:rsid w:val="6BF57173"/>
    <w:rsid w:val="6C061F17"/>
    <w:rsid w:val="6C0E5BFA"/>
    <w:rsid w:val="6C150D37"/>
    <w:rsid w:val="6C2F1E55"/>
    <w:rsid w:val="6C376EFF"/>
    <w:rsid w:val="6C661592"/>
    <w:rsid w:val="6C741E4F"/>
    <w:rsid w:val="6C787517"/>
    <w:rsid w:val="6C914D27"/>
    <w:rsid w:val="6CAA6CFE"/>
    <w:rsid w:val="6CB44727"/>
    <w:rsid w:val="6CC369E5"/>
    <w:rsid w:val="6CDC7AA6"/>
    <w:rsid w:val="6D013FEB"/>
    <w:rsid w:val="6D1930EC"/>
    <w:rsid w:val="6D2F407A"/>
    <w:rsid w:val="6DA71186"/>
    <w:rsid w:val="6DB225B5"/>
    <w:rsid w:val="6DB30918"/>
    <w:rsid w:val="6DB620A5"/>
    <w:rsid w:val="6DC42A14"/>
    <w:rsid w:val="6DC5678C"/>
    <w:rsid w:val="6DCF4F15"/>
    <w:rsid w:val="6DD036A3"/>
    <w:rsid w:val="6DD8201C"/>
    <w:rsid w:val="6DE81D0F"/>
    <w:rsid w:val="6DE85FD7"/>
    <w:rsid w:val="6DF76B0A"/>
    <w:rsid w:val="6E054DB3"/>
    <w:rsid w:val="6E056B89"/>
    <w:rsid w:val="6E0D5EB7"/>
    <w:rsid w:val="6E1A0994"/>
    <w:rsid w:val="6E7004A6"/>
    <w:rsid w:val="6E71421E"/>
    <w:rsid w:val="6EBD3E7A"/>
    <w:rsid w:val="6EBD700A"/>
    <w:rsid w:val="6EC72090"/>
    <w:rsid w:val="6ED53771"/>
    <w:rsid w:val="6EE94A61"/>
    <w:rsid w:val="6EFD2502"/>
    <w:rsid w:val="6F082DD5"/>
    <w:rsid w:val="6F1352D6"/>
    <w:rsid w:val="6F5B1156"/>
    <w:rsid w:val="6F5E1724"/>
    <w:rsid w:val="6F6618A9"/>
    <w:rsid w:val="6F71097A"/>
    <w:rsid w:val="6F743FC6"/>
    <w:rsid w:val="6F783707"/>
    <w:rsid w:val="6F7D7049"/>
    <w:rsid w:val="6F963F3C"/>
    <w:rsid w:val="6FA36659"/>
    <w:rsid w:val="6FE1043B"/>
    <w:rsid w:val="6FF670D1"/>
    <w:rsid w:val="700B760E"/>
    <w:rsid w:val="700D7F77"/>
    <w:rsid w:val="701C72EB"/>
    <w:rsid w:val="702B1403"/>
    <w:rsid w:val="703B0F88"/>
    <w:rsid w:val="703B4AE4"/>
    <w:rsid w:val="706E310B"/>
    <w:rsid w:val="70794B97"/>
    <w:rsid w:val="70860455"/>
    <w:rsid w:val="70860D62"/>
    <w:rsid w:val="70891C83"/>
    <w:rsid w:val="708C17E3"/>
    <w:rsid w:val="70981F36"/>
    <w:rsid w:val="70AB7EBB"/>
    <w:rsid w:val="70CD6084"/>
    <w:rsid w:val="70D016D0"/>
    <w:rsid w:val="70ED2282"/>
    <w:rsid w:val="70F35BF8"/>
    <w:rsid w:val="71160F53"/>
    <w:rsid w:val="711A0B9D"/>
    <w:rsid w:val="713C4FB8"/>
    <w:rsid w:val="7141612A"/>
    <w:rsid w:val="71491244"/>
    <w:rsid w:val="714B51FB"/>
    <w:rsid w:val="71582A07"/>
    <w:rsid w:val="717943B6"/>
    <w:rsid w:val="718C1A9B"/>
    <w:rsid w:val="71916F49"/>
    <w:rsid w:val="71A33B87"/>
    <w:rsid w:val="71AB63BC"/>
    <w:rsid w:val="71AE4713"/>
    <w:rsid w:val="71B27028"/>
    <w:rsid w:val="71D13952"/>
    <w:rsid w:val="71D25565"/>
    <w:rsid w:val="71D945B4"/>
    <w:rsid w:val="71F11C1F"/>
    <w:rsid w:val="72225745"/>
    <w:rsid w:val="723314F1"/>
    <w:rsid w:val="724A62A9"/>
    <w:rsid w:val="72646574"/>
    <w:rsid w:val="726C367A"/>
    <w:rsid w:val="726F18BA"/>
    <w:rsid w:val="727F33AE"/>
    <w:rsid w:val="72802C82"/>
    <w:rsid w:val="72A8433C"/>
    <w:rsid w:val="72AA7CFF"/>
    <w:rsid w:val="72BD1CA1"/>
    <w:rsid w:val="72C07522"/>
    <w:rsid w:val="72D468CD"/>
    <w:rsid w:val="72FF629D"/>
    <w:rsid w:val="73156124"/>
    <w:rsid w:val="731A30D6"/>
    <w:rsid w:val="7320374B"/>
    <w:rsid w:val="73426189"/>
    <w:rsid w:val="734C0DB6"/>
    <w:rsid w:val="73584999"/>
    <w:rsid w:val="735A3B0C"/>
    <w:rsid w:val="7361796E"/>
    <w:rsid w:val="737427E7"/>
    <w:rsid w:val="737C78ED"/>
    <w:rsid w:val="7392615E"/>
    <w:rsid w:val="739369E5"/>
    <w:rsid w:val="739B4217"/>
    <w:rsid w:val="73AD5CF9"/>
    <w:rsid w:val="73D94D40"/>
    <w:rsid w:val="740D2C3B"/>
    <w:rsid w:val="742E508B"/>
    <w:rsid w:val="744877CF"/>
    <w:rsid w:val="74692D8A"/>
    <w:rsid w:val="746A5998"/>
    <w:rsid w:val="74716D26"/>
    <w:rsid w:val="748142F7"/>
    <w:rsid w:val="74933140"/>
    <w:rsid w:val="74B81FE2"/>
    <w:rsid w:val="74B86703"/>
    <w:rsid w:val="74BD1F6B"/>
    <w:rsid w:val="74CE23CA"/>
    <w:rsid w:val="74E813D5"/>
    <w:rsid w:val="74FF4332"/>
    <w:rsid w:val="750E0AAE"/>
    <w:rsid w:val="751C1388"/>
    <w:rsid w:val="75581C94"/>
    <w:rsid w:val="755F3023"/>
    <w:rsid w:val="757F36C5"/>
    <w:rsid w:val="75874327"/>
    <w:rsid w:val="75995FB8"/>
    <w:rsid w:val="75A1188D"/>
    <w:rsid w:val="75B50E95"/>
    <w:rsid w:val="75CA0DE4"/>
    <w:rsid w:val="75CD4430"/>
    <w:rsid w:val="75D25EEA"/>
    <w:rsid w:val="75F75951"/>
    <w:rsid w:val="75FC4D15"/>
    <w:rsid w:val="75FE0A8D"/>
    <w:rsid w:val="76097029"/>
    <w:rsid w:val="76133C04"/>
    <w:rsid w:val="764A4CEF"/>
    <w:rsid w:val="766C1E9B"/>
    <w:rsid w:val="76880357"/>
    <w:rsid w:val="769D2054"/>
    <w:rsid w:val="76AA4771"/>
    <w:rsid w:val="76CC0B8C"/>
    <w:rsid w:val="76E13170"/>
    <w:rsid w:val="76E311A3"/>
    <w:rsid w:val="772938E8"/>
    <w:rsid w:val="7734344E"/>
    <w:rsid w:val="774424D0"/>
    <w:rsid w:val="77813724"/>
    <w:rsid w:val="778C0A15"/>
    <w:rsid w:val="77972F48"/>
    <w:rsid w:val="7798554B"/>
    <w:rsid w:val="77A2369A"/>
    <w:rsid w:val="77B561D9"/>
    <w:rsid w:val="77C32786"/>
    <w:rsid w:val="77CB0E43"/>
    <w:rsid w:val="77E141C3"/>
    <w:rsid w:val="77F008AA"/>
    <w:rsid w:val="78054355"/>
    <w:rsid w:val="78202F3D"/>
    <w:rsid w:val="782347DB"/>
    <w:rsid w:val="78300CA6"/>
    <w:rsid w:val="783267CC"/>
    <w:rsid w:val="783951EC"/>
    <w:rsid w:val="783C3AEF"/>
    <w:rsid w:val="783E1615"/>
    <w:rsid w:val="78484242"/>
    <w:rsid w:val="78485FF0"/>
    <w:rsid w:val="786646C8"/>
    <w:rsid w:val="78670B6C"/>
    <w:rsid w:val="786C4C30"/>
    <w:rsid w:val="7874661E"/>
    <w:rsid w:val="78827754"/>
    <w:rsid w:val="78B91B03"/>
    <w:rsid w:val="78BE2756"/>
    <w:rsid w:val="78D12489"/>
    <w:rsid w:val="78EA354B"/>
    <w:rsid w:val="79711576"/>
    <w:rsid w:val="7973634F"/>
    <w:rsid w:val="797F0066"/>
    <w:rsid w:val="79862855"/>
    <w:rsid w:val="79872B48"/>
    <w:rsid w:val="79A27982"/>
    <w:rsid w:val="79AB7B9C"/>
    <w:rsid w:val="79C36276"/>
    <w:rsid w:val="79C601B6"/>
    <w:rsid w:val="79D33BD7"/>
    <w:rsid w:val="79E65AC0"/>
    <w:rsid w:val="7A010B4C"/>
    <w:rsid w:val="7A0712A8"/>
    <w:rsid w:val="7A1A5F3C"/>
    <w:rsid w:val="7A266F03"/>
    <w:rsid w:val="7A293BFF"/>
    <w:rsid w:val="7A2E3F8E"/>
    <w:rsid w:val="7A440A39"/>
    <w:rsid w:val="7A486B67"/>
    <w:rsid w:val="7A5C5D83"/>
    <w:rsid w:val="7A63380E"/>
    <w:rsid w:val="7A7C01D3"/>
    <w:rsid w:val="7A7E002C"/>
    <w:rsid w:val="7A8734B8"/>
    <w:rsid w:val="7A8A6D94"/>
    <w:rsid w:val="7A911ED0"/>
    <w:rsid w:val="7AB64546"/>
    <w:rsid w:val="7AC04563"/>
    <w:rsid w:val="7ACB4729"/>
    <w:rsid w:val="7AE220D3"/>
    <w:rsid w:val="7AE70BAE"/>
    <w:rsid w:val="7AE91D0C"/>
    <w:rsid w:val="7AEA7832"/>
    <w:rsid w:val="7AEC455F"/>
    <w:rsid w:val="7AFB559C"/>
    <w:rsid w:val="7B05466C"/>
    <w:rsid w:val="7B0703E4"/>
    <w:rsid w:val="7B197943"/>
    <w:rsid w:val="7B4D1357"/>
    <w:rsid w:val="7B58479C"/>
    <w:rsid w:val="7B641393"/>
    <w:rsid w:val="7B6E2F9B"/>
    <w:rsid w:val="7B89704B"/>
    <w:rsid w:val="7B98702C"/>
    <w:rsid w:val="7BC71922"/>
    <w:rsid w:val="7BC77B74"/>
    <w:rsid w:val="7BD04C7A"/>
    <w:rsid w:val="7BD57CCF"/>
    <w:rsid w:val="7BF85AB6"/>
    <w:rsid w:val="7BFB7CB5"/>
    <w:rsid w:val="7C022E76"/>
    <w:rsid w:val="7C042B76"/>
    <w:rsid w:val="7C213B75"/>
    <w:rsid w:val="7C305719"/>
    <w:rsid w:val="7C3163FF"/>
    <w:rsid w:val="7C78717F"/>
    <w:rsid w:val="7C896BD7"/>
    <w:rsid w:val="7C8B6DF3"/>
    <w:rsid w:val="7C8D6749"/>
    <w:rsid w:val="7CA61385"/>
    <w:rsid w:val="7CB718F6"/>
    <w:rsid w:val="7CCC0C02"/>
    <w:rsid w:val="7CE24C65"/>
    <w:rsid w:val="7CE64C01"/>
    <w:rsid w:val="7CFB7AD5"/>
    <w:rsid w:val="7D07647A"/>
    <w:rsid w:val="7D0E5A5A"/>
    <w:rsid w:val="7D123C1F"/>
    <w:rsid w:val="7D1467DB"/>
    <w:rsid w:val="7D2C7C8E"/>
    <w:rsid w:val="7D625DA6"/>
    <w:rsid w:val="7D871368"/>
    <w:rsid w:val="7D8B70AB"/>
    <w:rsid w:val="7D931348"/>
    <w:rsid w:val="7DA81DEF"/>
    <w:rsid w:val="7DC12ACC"/>
    <w:rsid w:val="7DD32800"/>
    <w:rsid w:val="7DF14781"/>
    <w:rsid w:val="7DFA2E1C"/>
    <w:rsid w:val="7E0D3978"/>
    <w:rsid w:val="7E3A287F"/>
    <w:rsid w:val="7E3F7E95"/>
    <w:rsid w:val="7E6873EC"/>
    <w:rsid w:val="7E9E4BBC"/>
    <w:rsid w:val="7EB10D93"/>
    <w:rsid w:val="7EB459DD"/>
    <w:rsid w:val="7ECD724F"/>
    <w:rsid w:val="7EE22D5E"/>
    <w:rsid w:val="7EF02C27"/>
    <w:rsid w:val="7EF91AB2"/>
    <w:rsid w:val="7EFB3E85"/>
    <w:rsid w:val="7F016EF9"/>
    <w:rsid w:val="7F030EC3"/>
    <w:rsid w:val="7F0E20E8"/>
    <w:rsid w:val="7F177E9D"/>
    <w:rsid w:val="7F2729DE"/>
    <w:rsid w:val="7F351DAF"/>
    <w:rsid w:val="7F390D88"/>
    <w:rsid w:val="7F5031B5"/>
    <w:rsid w:val="7F7A3D1F"/>
    <w:rsid w:val="7F841BB1"/>
    <w:rsid w:val="7F8C2C66"/>
    <w:rsid w:val="7FC56178"/>
    <w:rsid w:val="7FCF1996"/>
    <w:rsid w:val="7FD17D13"/>
    <w:rsid w:val="7FD7406F"/>
    <w:rsid w:val="7FDF106F"/>
    <w:rsid w:val="7FF10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6"/>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7"/>
    <w:qFormat/>
    <w:uiPriority w:val="0"/>
    <w:pPr>
      <w:keepNext/>
      <w:keepLines/>
      <w:spacing w:before="280" w:after="290" w:line="376" w:lineRule="auto"/>
      <w:outlineLvl w:val="4"/>
    </w:pPr>
    <w:rPr>
      <w:b/>
      <w:bCs/>
      <w:sz w:val="28"/>
      <w:szCs w:val="28"/>
    </w:rPr>
  </w:style>
  <w:style w:type="paragraph" w:styleId="7">
    <w:name w:val="heading 6"/>
    <w:basedOn w:val="1"/>
    <w:next w:val="1"/>
    <w:link w:val="58"/>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after="64" w:line="320" w:lineRule="auto"/>
      <w:outlineLvl w:val="6"/>
    </w:pPr>
    <w:rPr>
      <w:b/>
      <w:bCs/>
      <w:sz w:val="24"/>
    </w:rPr>
  </w:style>
  <w:style w:type="character" w:default="1" w:styleId="37">
    <w:name w:val="Default Paragraph Font"/>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kern w:val="0"/>
      <w:sz w:val="24"/>
      <w:szCs w:val="20"/>
    </w:rPr>
  </w:style>
  <w:style w:type="paragraph" w:styleId="12">
    <w:name w:val="Body Text First Indent 2"/>
    <w:basedOn w:val="13"/>
    <w:next w:val="1"/>
    <w:link w:val="54"/>
    <w:qFormat/>
    <w:uiPriority w:val="0"/>
    <w:pPr>
      <w:ind w:left="420" w:firstLine="420" w:firstLineChars="200"/>
    </w:pPr>
    <w:rPr>
      <w:kern w:val="0"/>
      <w:sz w:val="20"/>
      <w:szCs w:val="20"/>
    </w:rPr>
  </w:style>
  <w:style w:type="paragraph" w:styleId="13">
    <w:name w:val="Body Text Indent"/>
    <w:basedOn w:val="1"/>
    <w:next w:val="14"/>
    <w:link w:val="53"/>
    <w:qFormat/>
    <w:uiPriority w:val="0"/>
    <w:pPr>
      <w:spacing w:after="120"/>
      <w:ind w:left="200" w:leftChars="200"/>
    </w:pPr>
  </w:style>
  <w:style w:type="paragraph" w:styleId="14">
    <w:name w:val="envelope return"/>
    <w:basedOn w:val="1"/>
    <w:next w:val="9"/>
    <w:qFormat/>
    <w:uiPriority w:val="0"/>
    <w:pPr>
      <w:snapToGrid w:val="0"/>
    </w:pPr>
    <w:rPr>
      <w:rFonts w:ascii="Arial" w:hAnsi="Arial"/>
    </w:rPr>
  </w:style>
  <w:style w:type="paragraph" w:styleId="15">
    <w:name w:val="Document Map"/>
    <w:basedOn w:val="1"/>
    <w:next w:val="1"/>
    <w:qFormat/>
    <w:uiPriority w:val="0"/>
    <w:pPr>
      <w:widowControl/>
      <w:shd w:val="clear" w:color="000000" w:fill="000080"/>
      <w:spacing w:line="357" w:lineRule="atLeast"/>
    </w:pPr>
    <w:rPr>
      <w:color w:val="000000"/>
    </w:rPr>
  </w:style>
  <w:style w:type="paragraph" w:styleId="16">
    <w:name w:val="annotation text"/>
    <w:basedOn w:val="1"/>
    <w:link w:val="60"/>
    <w:qFormat/>
    <w:uiPriority w:val="0"/>
    <w:pPr>
      <w:jc w:val="left"/>
    </w:pPr>
  </w:style>
  <w:style w:type="paragraph" w:styleId="17">
    <w:name w:val="Body Text"/>
    <w:basedOn w:val="1"/>
    <w:qFormat/>
    <w:uiPriority w:val="0"/>
    <w:pPr>
      <w:spacing w:after="120"/>
    </w:pPr>
  </w:style>
  <w:style w:type="paragraph" w:styleId="18">
    <w:name w:val="toc 3"/>
    <w:basedOn w:val="1"/>
    <w:next w:val="1"/>
    <w:qFormat/>
    <w:uiPriority w:val="0"/>
    <w:pPr>
      <w:tabs>
        <w:tab w:val="right" w:leader="dot" w:pos="9288"/>
      </w:tabs>
      <w:ind w:left="400" w:leftChars="400"/>
    </w:pPr>
    <w:rPr>
      <w:rFonts w:ascii="宋体"/>
    </w:rPr>
  </w:style>
  <w:style w:type="paragraph" w:styleId="19">
    <w:name w:val="Plain Text"/>
    <w:basedOn w:val="1"/>
    <w:link w:val="61"/>
    <w:qFormat/>
    <w:uiPriority w:val="0"/>
    <w:rPr>
      <w:rFonts w:ascii="宋体"/>
      <w:color w:val="000000"/>
      <w:szCs w:val="20"/>
      <w:u w:color="000000"/>
    </w:rPr>
  </w:style>
  <w:style w:type="paragraph" w:styleId="20">
    <w:name w:val="Date"/>
    <w:basedOn w:val="1"/>
    <w:next w:val="1"/>
    <w:link w:val="62"/>
    <w:qFormat/>
    <w:uiPriority w:val="0"/>
    <w:rPr>
      <w:rFonts w:ascii="Arial" w:hAnsi="Arial" w:eastAsia="仿宋_GB2312"/>
      <w:color w:val="000000"/>
      <w:sz w:val="32"/>
      <w:szCs w:val="20"/>
      <w:u w:color="000000"/>
    </w:rPr>
  </w:style>
  <w:style w:type="paragraph" w:styleId="21">
    <w:name w:val="Body Text Indent 2"/>
    <w:basedOn w:val="1"/>
    <w:link w:val="63"/>
    <w:qFormat/>
    <w:uiPriority w:val="0"/>
    <w:pPr>
      <w:spacing w:after="120" w:line="480" w:lineRule="auto"/>
      <w:ind w:left="420" w:leftChars="200"/>
    </w:pPr>
  </w:style>
  <w:style w:type="paragraph" w:styleId="22">
    <w:name w:val="Balloon Text"/>
    <w:basedOn w:val="1"/>
    <w:link w:val="64"/>
    <w:qFormat/>
    <w:uiPriority w:val="0"/>
    <w:rPr>
      <w:sz w:val="18"/>
      <w:szCs w:val="18"/>
    </w:rPr>
  </w:style>
  <w:style w:type="paragraph" w:styleId="23">
    <w:name w:val="footer"/>
    <w:basedOn w:val="1"/>
    <w:link w:val="65"/>
    <w:qFormat/>
    <w:uiPriority w:val="0"/>
    <w:pPr>
      <w:tabs>
        <w:tab w:val="center" w:pos="4153"/>
        <w:tab w:val="right" w:pos="8306"/>
      </w:tabs>
      <w:snapToGrid w:val="0"/>
      <w:jc w:val="left"/>
    </w:pPr>
    <w:rPr>
      <w:sz w:val="18"/>
      <w:szCs w:val="18"/>
    </w:rPr>
  </w:style>
  <w:style w:type="paragraph" w:styleId="24">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bCs/>
      <w:kern w:val="28"/>
      <w:szCs w:val="32"/>
    </w:rPr>
  </w:style>
  <w:style w:type="paragraph" w:styleId="27">
    <w:name w:val="List"/>
    <w:basedOn w:val="1"/>
    <w:next w:val="1"/>
    <w:qFormat/>
    <w:uiPriority w:val="0"/>
    <w:pPr>
      <w:ind w:left="420" w:hanging="420"/>
    </w:pPr>
    <w:rPr>
      <w:rFonts w:ascii="Arial" w:hAnsi="Arial" w:eastAsia="楷体_GB2312"/>
      <w:sz w:val="28"/>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b/>
      <w:bCs/>
      <w:sz w:val="28"/>
      <w:szCs w:val="32"/>
    </w:rPr>
  </w:style>
  <w:style w:type="paragraph" w:styleId="33">
    <w:name w:val="annotation subject"/>
    <w:basedOn w:val="16"/>
    <w:next w:val="16"/>
    <w:link w:val="67"/>
    <w:qFormat/>
    <w:uiPriority w:val="0"/>
    <w:rPr>
      <w:b/>
      <w:bCs/>
    </w:rPr>
  </w:style>
  <w:style w:type="paragraph" w:styleId="34">
    <w:name w:val="Body Text First Indent"/>
    <w:basedOn w:val="17"/>
    <w:qFormat/>
    <w:uiPriority w:val="0"/>
    <w:pPr>
      <w:ind w:firstLine="420" w:firstLineChars="100"/>
    </w:p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3">
    <w:name w:val="正文文本缩进 字符"/>
    <w:link w:val="13"/>
    <w:qFormat/>
    <w:uiPriority w:val="0"/>
    <w:rPr>
      <w:rFonts w:ascii="Times New Roman" w:hAnsi="Times New Roman" w:eastAsia="宋体" w:cs="Times New Roman"/>
      <w:kern w:val="2"/>
      <w:sz w:val="21"/>
      <w:szCs w:val="24"/>
    </w:rPr>
  </w:style>
  <w:style w:type="character" w:customStyle="1" w:styleId="54">
    <w:name w:val="正文文本首行缩进 2 字符"/>
    <w:link w:val="12"/>
    <w:qFormat/>
    <w:uiPriority w:val="0"/>
    <w:rPr>
      <w:rFonts w:ascii="Times New Roman" w:hAnsi="Times New Roman" w:eastAsia="宋体" w:cs="Times New Roman"/>
    </w:rPr>
  </w:style>
  <w:style w:type="character" w:customStyle="1" w:styleId="55">
    <w:name w:val="标题 1 字符"/>
    <w:link w:val="2"/>
    <w:qFormat/>
    <w:uiPriority w:val="0"/>
    <w:rPr>
      <w:rFonts w:ascii="Times New Roman" w:hAnsi="Times New Roman" w:eastAsia="宋体" w:cs="Times New Roman"/>
      <w:b/>
      <w:bCs/>
      <w:kern w:val="44"/>
      <w:sz w:val="32"/>
      <w:szCs w:val="44"/>
    </w:rPr>
  </w:style>
  <w:style w:type="character" w:customStyle="1" w:styleId="56">
    <w:name w:val="标题 4 字符"/>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7">
    <w:name w:val="标题 5 字符"/>
    <w:link w:val="6"/>
    <w:qFormat/>
    <w:uiPriority w:val="0"/>
    <w:rPr>
      <w:rFonts w:ascii="Times New Roman" w:hAnsi="Times New Roman" w:eastAsia="宋体" w:cs="Times New Roman"/>
      <w:b/>
      <w:bCs/>
      <w:kern w:val="2"/>
      <w:sz w:val="28"/>
      <w:szCs w:val="28"/>
    </w:rPr>
  </w:style>
  <w:style w:type="character" w:customStyle="1" w:styleId="58">
    <w:name w:val="标题 6 字符"/>
    <w:link w:val="7"/>
    <w:qFormat/>
    <w:uiPriority w:val="0"/>
    <w:rPr>
      <w:rFonts w:ascii="Cambria" w:hAnsi="Cambria" w:eastAsia="宋体" w:cs="Times New Roman"/>
      <w:b/>
      <w:bCs/>
      <w:kern w:val="2"/>
      <w:sz w:val="24"/>
      <w:szCs w:val="24"/>
    </w:rPr>
  </w:style>
  <w:style w:type="character" w:customStyle="1" w:styleId="59">
    <w:name w:val="标题 7 字符"/>
    <w:link w:val="8"/>
    <w:qFormat/>
    <w:uiPriority w:val="0"/>
    <w:rPr>
      <w:rFonts w:ascii="Times New Roman" w:hAnsi="Times New Roman" w:eastAsia="宋体" w:cs="Times New Roman"/>
      <w:b/>
      <w:bCs/>
      <w:kern w:val="2"/>
      <w:sz w:val="24"/>
      <w:szCs w:val="24"/>
    </w:rPr>
  </w:style>
  <w:style w:type="character" w:customStyle="1" w:styleId="60">
    <w:name w:val="批注文字 字符"/>
    <w:link w:val="16"/>
    <w:qFormat/>
    <w:uiPriority w:val="0"/>
    <w:rPr>
      <w:rFonts w:ascii="Times New Roman" w:hAnsi="Times New Roman" w:eastAsia="宋体" w:cs="Times New Roman"/>
      <w:kern w:val="2"/>
      <w:sz w:val="21"/>
      <w:szCs w:val="24"/>
    </w:rPr>
  </w:style>
  <w:style w:type="character" w:customStyle="1" w:styleId="61">
    <w:name w:val="纯文本 字符"/>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2">
    <w:name w:val="日期 字符"/>
    <w:link w:val="20"/>
    <w:qFormat/>
    <w:uiPriority w:val="0"/>
    <w:rPr>
      <w:rFonts w:ascii="Arial" w:hAnsi="Arial" w:eastAsia="仿宋_GB2312" w:cs="Times New Roman"/>
      <w:color w:val="000000"/>
      <w:kern w:val="2"/>
      <w:sz w:val="32"/>
      <w:u w:val="none" w:color="000000"/>
    </w:rPr>
  </w:style>
  <w:style w:type="character" w:customStyle="1" w:styleId="63">
    <w:name w:val="正文文本缩进 2 字符"/>
    <w:link w:val="21"/>
    <w:qFormat/>
    <w:uiPriority w:val="0"/>
    <w:rPr>
      <w:rFonts w:ascii="Times New Roman" w:hAnsi="Times New Roman" w:eastAsia="宋体" w:cs="Times New Roman"/>
      <w:kern w:val="2"/>
      <w:sz w:val="21"/>
      <w:szCs w:val="24"/>
    </w:rPr>
  </w:style>
  <w:style w:type="character" w:customStyle="1" w:styleId="64">
    <w:name w:val="批注框文本 字符"/>
    <w:link w:val="22"/>
    <w:qFormat/>
    <w:uiPriority w:val="0"/>
    <w:rPr>
      <w:rFonts w:ascii="Times New Roman" w:hAnsi="Times New Roman" w:eastAsia="宋体" w:cs="Times New Roman"/>
      <w:kern w:val="2"/>
      <w:sz w:val="18"/>
      <w:szCs w:val="18"/>
    </w:rPr>
  </w:style>
  <w:style w:type="character" w:customStyle="1" w:styleId="65">
    <w:name w:val="页脚 字符"/>
    <w:link w:val="23"/>
    <w:qFormat/>
    <w:uiPriority w:val="0"/>
    <w:rPr>
      <w:rFonts w:ascii="Times New Roman" w:hAnsi="Times New Roman" w:eastAsia="宋体" w:cs="Times New Roman"/>
      <w:kern w:val="2"/>
      <w:sz w:val="18"/>
      <w:szCs w:val="18"/>
    </w:rPr>
  </w:style>
  <w:style w:type="character" w:customStyle="1" w:styleId="66">
    <w:name w:val="页眉 字符"/>
    <w:link w:val="24"/>
    <w:qFormat/>
    <w:uiPriority w:val="0"/>
    <w:rPr>
      <w:rFonts w:ascii="Times New Roman" w:hAnsi="Times New Roman" w:eastAsia="宋体" w:cs="Times New Roman"/>
      <w:kern w:val="2"/>
      <w:sz w:val="18"/>
      <w:szCs w:val="18"/>
    </w:rPr>
  </w:style>
  <w:style w:type="character" w:customStyle="1" w:styleId="67">
    <w:name w:val="批注主题 字符"/>
    <w:link w:val="33"/>
    <w:qFormat/>
    <w:uiPriority w:val="0"/>
    <w:rPr>
      <w:rFonts w:ascii="Times New Roman" w:hAnsi="Times New Roman" w:eastAsia="宋体" w:cs="Times New Roman"/>
      <w:b/>
      <w:bCs/>
      <w:kern w:val="2"/>
      <w:sz w:val="21"/>
      <w:szCs w:val="24"/>
    </w:rPr>
  </w:style>
  <w:style w:type="character" w:customStyle="1" w:styleId="68">
    <w:name w:val="图表 Char Char"/>
    <w:link w:val="69"/>
    <w:qFormat/>
    <w:uiPriority w:val="0"/>
    <w:rPr>
      <w:rFonts w:ascii="Times New Roman" w:hAnsi="Times New Roman" w:eastAsia="宋体" w:cs="Times New Roman"/>
      <w:kern w:val="2"/>
      <w:sz w:val="21"/>
      <w:szCs w:val="21"/>
    </w:rPr>
  </w:style>
  <w:style w:type="paragraph" w:customStyle="1" w:styleId="69">
    <w:name w:val="图表"/>
    <w:basedOn w:val="1"/>
    <w:next w:val="1"/>
    <w:link w:val="68"/>
    <w:qFormat/>
    <w:uiPriority w:val="0"/>
    <w:pPr>
      <w:jc w:val="center"/>
    </w:pPr>
    <w:rPr>
      <w:szCs w:val="21"/>
    </w:rPr>
  </w:style>
  <w:style w:type="character" w:customStyle="1" w:styleId="70">
    <w:name w:val="【正文】 Char Char"/>
    <w:link w:val="71"/>
    <w:qFormat/>
    <w:uiPriority w:val="0"/>
    <w:rPr>
      <w:rFonts w:ascii="Times New Roman" w:hAnsi="Times New Roman" w:eastAsia="宋体" w:cs="DokChampa"/>
      <w:kern w:val="2"/>
      <w:sz w:val="24"/>
      <w:szCs w:val="22"/>
    </w:rPr>
  </w:style>
  <w:style w:type="paragraph" w:customStyle="1" w:styleId="71">
    <w:name w:val="【正文】"/>
    <w:basedOn w:val="1"/>
    <w:link w:val="70"/>
    <w:qFormat/>
    <w:uiPriority w:val="0"/>
    <w:pPr>
      <w:spacing w:line="360" w:lineRule="auto"/>
      <w:ind w:firstLine="480" w:firstLineChars="200"/>
    </w:pPr>
    <w:rPr>
      <w:sz w:val="24"/>
      <w:szCs w:val="22"/>
    </w:rPr>
  </w:style>
  <w:style w:type="character" w:customStyle="1" w:styleId="72">
    <w:name w:val="selected"/>
    <w:qFormat/>
    <w:uiPriority w:val="0"/>
    <w:rPr>
      <w:rFonts w:ascii="Times New Roman" w:hAnsi="Times New Roman" w:eastAsia="宋体" w:cs="Times New Roman"/>
      <w:shd w:val="clear" w:color="auto" w:fill="B00006"/>
    </w:rPr>
  </w:style>
  <w:style w:type="character" w:customStyle="1" w:styleId="73">
    <w:name w:val="font21"/>
    <w:basedOn w:val="37"/>
    <w:qFormat/>
    <w:uiPriority w:val="0"/>
    <w:rPr>
      <w:rFonts w:hint="eastAsia" w:ascii="宋体" w:hAnsi="宋体" w:eastAsia="宋体" w:cs="宋体"/>
      <w:color w:val="000000"/>
      <w:sz w:val="18"/>
      <w:szCs w:val="18"/>
      <w:u w:val="none"/>
    </w:rPr>
  </w:style>
  <w:style w:type="character" w:customStyle="1" w:styleId="74">
    <w:name w:val="bds_nopic"/>
    <w:qFormat/>
    <w:uiPriority w:val="0"/>
    <w:rPr>
      <w:rFonts w:ascii="Times New Roman" w:hAnsi="Times New Roman" w:eastAsia="宋体" w:cs="Times New Roman"/>
    </w:rPr>
  </w:style>
  <w:style w:type="character" w:customStyle="1" w:styleId="75">
    <w:name w:val="NormalCharacter"/>
    <w:qFormat/>
    <w:uiPriority w:val="0"/>
    <w:rPr>
      <w:rFonts w:ascii="Times New Roman" w:hAnsi="Times New Roman" w:eastAsia="宋体" w:cs="Times New Roman"/>
      <w:kern w:val="2"/>
      <w:sz w:val="21"/>
      <w:szCs w:val="24"/>
      <w:lang w:val="en-US" w:eastAsia="zh-CN" w:bidi="ar-SA"/>
    </w:rPr>
  </w:style>
  <w:style w:type="character" w:customStyle="1" w:styleId="76">
    <w:name w:val="gpa"/>
    <w:qFormat/>
    <w:uiPriority w:val="0"/>
    <w:rPr>
      <w:rFonts w:ascii="Arial" w:hAnsi="Arial" w:eastAsia="宋体" w:cs="Arial"/>
      <w:sz w:val="15"/>
      <w:szCs w:val="15"/>
    </w:rPr>
  </w:style>
  <w:style w:type="character" w:customStyle="1" w:styleId="77">
    <w:name w:val="正文首行缩进 2 Char1"/>
    <w:qFormat/>
    <w:uiPriority w:val="0"/>
    <w:rPr>
      <w:rFonts w:ascii="Times New Roman" w:hAnsi="Times New Roman" w:eastAsia="宋体" w:cs="Times New Roman"/>
    </w:rPr>
  </w:style>
  <w:style w:type="character" w:customStyle="1" w:styleId="78">
    <w:name w:val="列出段落 Char"/>
    <w:link w:val="79"/>
    <w:qFormat/>
    <w:uiPriority w:val="0"/>
    <w:rPr>
      <w:rFonts w:ascii="Calibri" w:hAnsi="Calibri" w:eastAsia="宋体" w:cs="Times New Roman"/>
      <w:kern w:val="2"/>
      <w:sz w:val="21"/>
      <w:szCs w:val="22"/>
      <w:lang w:val="en-US" w:eastAsia="zh-CN" w:bidi="ar-SA"/>
    </w:rPr>
  </w:style>
  <w:style w:type="paragraph" w:customStyle="1" w:styleId="79">
    <w:name w:val="List Paragraph1"/>
    <w:basedOn w:val="1"/>
    <w:link w:val="78"/>
    <w:qFormat/>
    <w:uiPriority w:val="0"/>
    <w:pPr>
      <w:spacing w:line="312" w:lineRule="auto"/>
      <w:ind w:firstLine="420" w:firstLineChars="200"/>
    </w:pPr>
    <w:rPr>
      <w:rFonts w:ascii="Calibri" w:hAnsi="Calibri"/>
      <w:szCs w:val="22"/>
    </w:rPr>
  </w:style>
  <w:style w:type="character" w:customStyle="1" w:styleId="80">
    <w:name w:val="bds_nopic2"/>
    <w:qFormat/>
    <w:uiPriority w:val="0"/>
    <w:rPr>
      <w:rFonts w:ascii="Times New Roman" w:hAnsi="Times New Roman" w:eastAsia="宋体" w:cs="Times New Roman"/>
    </w:rPr>
  </w:style>
  <w:style w:type="character" w:customStyle="1" w:styleId="81">
    <w:name w:val="font61"/>
    <w:qFormat/>
    <w:uiPriority w:val="0"/>
    <w:rPr>
      <w:rFonts w:hint="default" w:ascii="MS Sans Serif" w:hAnsi="MS Sans Serif" w:eastAsia="MS Sans Serif" w:cs="MS Sans Serif"/>
      <w:color w:val="000000"/>
      <w:sz w:val="18"/>
      <w:szCs w:val="18"/>
      <w:u w:val="none"/>
    </w:rPr>
  </w:style>
  <w:style w:type="character" w:customStyle="1" w:styleId="82">
    <w:name w:val="bds_more1"/>
    <w:qFormat/>
    <w:uiPriority w:val="0"/>
    <w:rPr>
      <w:rFonts w:ascii="Times New Roman" w:hAnsi="Times New Roman" w:eastAsia="宋体" w:cs="Times New Roman"/>
    </w:rPr>
  </w:style>
  <w:style w:type="character" w:customStyle="1" w:styleId="83">
    <w:name w:val="font71"/>
    <w:qFormat/>
    <w:uiPriority w:val="0"/>
    <w:rPr>
      <w:rFonts w:hint="default" w:ascii="MS Sans Serif" w:hAnsi="MS Sans Serif" w:eastAsia="MS Sans Serif" w:cs="MS Sans Serif"/>
      <w:color w:val="000000"/>
      <w:sz w:val="18"/>
      <w:szCs w:val="18"/>
      <w:u w:val="none"/>
    </w:rPr>
  </w:style>
  <w:style w:type="character" w:customStyle="1" w:styleId="84">
    <w:name w:val="first-child"/>
    <w:qFormat/>
    <w:uiPriority w:val="0"/>
    <w:rPr>
      <w:rFonts w:ascii="Times New Roman" w:hAnsi="Times New Roman" w:eastAsia="宋体" w:cs="Times New Roman"/>
    </w:rPr>
  </w:style>
  <w:style w:type="character" w:customStyle="1" w:styleId="85">
    <w:name w:val="bds_nopic1"/>
    <w:qFormat/>
    <w:uiPriority w:val="0"/>
    <w:rPr>
      <w:rFonts w:ascii="Times New Roman" w:hAnsi="Times New Roman" w:eastAsia="宋体" w:cs="Times New Roman"/>
    </w:rPr>
  </w:style>
  <w:style w:type="character" w:customStyle="1" w:styleId="86">
    <w:name w:val="layui-this"/>
    <w:qFormat/>
    <w:uiPriority w:val="0"/>
    <w:rPr>
      <w:rFonts w:ascii="Times New Roman" w:hAnsi="Times New Roman" w:eastAsia="宋体" w:cs="Times New Roman"/>
      <w:bdr w:val="single" w:color="EEEEEE" w:sz="6" w:space="0"/>
      <w:shd w:val="clear" w:color="auto" w:fill="FFFFFF"/>
    </w:rPr>
  </w:style>
  <w:style w:type="character" w:customStyle="1" w:styleId="87">
    <w:name w:val="font81"/>
    <w:qFormat/>
    <w:uiPriority w:val="0"/>
    <w:rPr>
      <w:rFonts w:ascii="Arial Unicode MS" w:hAnsi="Arial Unicode MS" w:eastAsia="Arial Unicode MS" w:cs="Arial Unicode MS"/>
      <w:color w:val="000000"/>
      <w:sz w:val="18"/>
      <w:szCs w:val="18"/>
      <w:u w:val="none"/>
    </w:rPr>
  </w:style>
  <w:style w:type="character" w:customStyle="1" w:styleId="88">
    <w:name w:val="apple-converted-space"/>
    <w:qFormat/>
    <w:uiPriority w:val="0"/>
    <w:rPr>
      <w:rFonts w:ascii="Times New Roman" w:hAnsi="Times New Roman" w:eastAsia="宋体" w:cs="Times New Roman"/>
    </w:rPr>
  </w:style>
  <w:style w:type="character" w:customStyle="1" w:styleId="89">
    <w:name w:val="displayarti"/>
    <w:qFormat/>
    <w:uiPriority w:val="0"/>
    <w:rPr>
      <w:rFonts w:ascii="Times New Roman" w:hAnsi="Times New Roman" w:eastAsia="宋体" w:cs="Times New Roman"/>
      <w:color w:val="FFFFFF"/>
      <w:shd w:val="clear" w:color="auto" w:fill="A00000"/>
    </w:rPr>
  </w:style>
  <w:style w:type="character" w:customStyle="1" w:styleId="90">
    <w:name w:val="font131"/>
    <w:qFormat/>
    <w:uiPriority w:val="0"/>
    <w:rPr>
      <w:rFonts w:hint="eastAsia" w:ascii="宋体" w:hAnsi="宋体" w:eastAsia="宋体" w:cs="宋体"/>
      <w:b/>
      <w:bCs/>
      <w:color w:val="000000"/>
      <w:sz w:val="20"/>
      <w:szCs w:val="20"/>
      <w:u w:val="none"/>
    </w:rPr>
  </w:style>
  <w:style w:type="character" w:customStyle="1" w:styleId="91">
    <w:name w:val="bds_more2"/>
    <w:qFormat/>
    <w:uiPriority w:val="0"/>
    <w:rPr>
      <w:rFonts w:ascii="Times New Roman" w:hAnsi="Times New Roman" w:eastAsia="宋体" w:cs="Times New Roman"/>
    </w:rPr>
  </w:style>
  <w:style w:type="character" w:customStyle="1" w:styleId="92">
    <w:name w:val="bds_more"/>
    <w:qFormat/>
    <w:uiPriority w:val="0"/>
    <w:rPr>
      <w:rFonts w:hint="eastAsia" w:ascii="宋体" w:hAnsi="宋体" w:eastAsia="宋体" w:cs="宋体"/>
    </w:rPr>
  </w:style>
  <w:style w:type="paragraph" w:customStyle="1" w:styleId="93">
    <w:name w:val="Char Char Char Char"/>
    <w:basedOn w:val="1"/>
    <w:qFormat/>
    <w:uiPriority w:val="0"/>
    <w:rPr>
      <w:rFonts w:ascii="Tahoma" w:hAnsi="Tahoma"/>
      <w:sz w:val="24"/>
      <w:szCs w:val="20"/>
    </w:rPr>
  </w:style>
  <w:style w:type="paragraph" w:customStyle="1" w:styleId="94">
    <w:name w:val="标题4"/>
    <w:basedOn w:val="1"/>
    <w:qFormat/>
    <w:uiPriority w:val="0"/>
    <w:pPr>
      <w:numPr>
        <w:ilvl w:val="0"/>
        <w:numId w:val="5"/>
      </w:numPr>
      <w:spacing w:line="360" w:lineRule="auto"/>
      <w:ind w:left="720" w:leftChars="300"/>
      <w:jc w:val="left"/>
    </w:pPr>
    <w:rPr>
      <w:rFonts w:ascii="宋体" w:hAnsi="宋体"/>
      <w:sz w:val="18"/>
      <w:szCs w:val="18"/>
    </w:rPr>
  </w:style>
  <w:style w:type="paragraph" w:customStyle="1" w:styleId="95">
    <w:name w:val="Table Paragraph"/>
    <w:basedOn w:val="1"/>
    <w:qFormat/>
    <w:uiPriority w:val="0"/>
    <w:rPr>
      <w:rFonts w:ascii="宋体" w:hAnsi="宋体" w:cs="宋体"/>
      <w:lang w:val="zh-CN" w:bidi="zh-CN"/>
    </w:rPr>
  </w:style>
  <w:style w:type="paragraph" w:customStyle="1" w:styleId="96">
    <w:name w:val="p0"/>
    <w:basedOn w:val="1"/>
    <w:qFormat/>
    <w:uiPriority w:val="0"/>
    <w:pPr>
      <w:widowControl/>
      <w:spacing w:line="365" w:lineRule="atLeast"/>
      <w:ind w:left="1"/>
      <w:textAlignment w:val="bottom"/>
    </w:pPr>
    <w:rPr>
      <w:rFonts w:ascii="Calibri" w:hAnsi="Calibri"/>
      <w:kern w:val="0"/>
      <w:sz w:val="20"/>
      <w:szCs w:val="22"/>
    </w:rPr>
  </w:style>
  <w:style w:type="paragraph" w:customStyle="1" w:styleId="97">
    <w:name w:val="正文 New"/>
    <w:next w:val="98"/>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8">
    <w:name w:val="正文缩进1"/>
    <w:basedOn w:val="1"/>
    <w:next w:val="15"/>
    <w:qFormat/>
    <w:uiPriority w:val="0"/>
    <w:pPr>
      <w:spacing w:line="360" w:lineRule="atLeast"/>
      <w:ind w:firstLine="482"/>
    </w:pPr>
    <w:rPr>
      <w:sz w:val="24"/>
    </w:rPr>
  </w:style>
  <w:style w:type="paragraph" w:customStyle="1" w:styleId="99">
    <w:name w:val="Char Char Char Char Char Char Char1 Char"/>
    <w:basedOn w:val="1"/>
    <w:qFormat/>
    <w:uiPriority w:val="0"/>
    <w:rPr>
      <w:rFonts w:ascii="Tahoma" w:hAnsi="Tahoma"/>
      <w:sz w:val="24"/>
      <w:szCs w:val="20"/>
    </w:rPr>
  </w:style>
  <w:style w:type="paragraph" w:customStyle="1" w:styleId="100">
    <w:name w:val="Char"/>
    <w:basedOn w:val="1"/>
    <w:qFormat/>
    <w:uiPriority w:val="0"/>
  </w:style>
  <w:style w:type="paragraph" w:customStyle="1" w:styleId="101">
    <w:name w:val="（无样式）"/>
    <w:basedOn w:val="1"/>
    <w:qFormat/>
    <w:uiPriority w:val="0"/>
    <w:pPr>
      <w:widowControl/>
      <w:numPr>
        <w:ilvl w:val="0"/>
        <w:numId w:val="6"/>
      </w:numPr>
      <w:spacing w:line="360" w:lineRule="auto"/>
      <w:ind w:firstLine="0"/>
    </w:pPr>
    <w:rPr>
      <w:sz w:val="24"/>
      <w:szCs w:val="20"/>
    </w:rPr>
  </w:style>
  <w:style w:type="paragraph" w:customStyle="1" w:styleId="10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3">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104">
    <w:name w:val="_Style 102"/>
    <w:qFormat/>
    <w:uiPriority w:val="0"/>
    <w:rPr>
      <w:rFonts w:ascii="Times New Roman" w:hAnsi="Times New Roman" w:eastAsia="宋体" w:cs="Times New Roman"/>
      <w:kern w:val="2"/>
      <w:sz w:val="21"/>
      <w:szCs w:val="24"/>
      <w:lang w:val="en-US" w:eastAsia="zh-CN" w:bidi="ar-SA"/>
    </w:rPr>
  </w:style>
  <w:style w:type="paragraph" w:customStyle="1" w:styleId="105">
    <w:name w:val="Char1"/>
    <w:basedOn w:val="1"/>
    <w:next w:val="1"/>
    <w:qFormat/>
    <w:uiPriority w:val="0"/>
    <w:pPr>
      <w:widowControl/>
      <w:spacing w:line="360" w:lineRule="auto"/>
      <w:jc w:val="left"/>
    </w:pPr>
    <w:rPr>
      <w:kern w:val="0"/>
      <w:szCs w:val="20"/>
      <w:lang w:eastAsia="en-US"/>
    </w:rPr>
  </w:style>
  <w:style w:type="paragraph" w:customStyle="1" w:styleId="106">
    <w:name w:val="_Style 2"/>
    <w:basedOn w:val="1"/>
    <w:qFormat/>
    <w:uiPriority w:val="0"/>
  </w:style>
  <w:style w:type="paragraph" w:customStyle="1" w:styleId="107">
    <w:name w:val="列出段落2"/>
    <w:basedOn w:val="1"/>
    <w:qFormat/>
    <w:uiPriority w:val="0"/>
    <w:pPr>
      <w:ind w:firstLine="420" w:firstLineChars="200"/>
    </w:pPr>
    <w:rPr>
      <w:rFonts w:ascii="Calibri" w:hAnsi="Calibri"/>
      <w:szCs w:val="22"/>
    </w:rPr>
  </w:style>
  <w:style w:type="paragraph" w:customStyle="1" w:styleId="108">
    <w:name w:val="*正文"/>
    <w:basedOn w:val="1"/>
    <w:qFormat/>
    <w:uiPriority w:val="0"/>
    <w:pPr>
      <w:widowControl/>
      <w:snapToGrid w:val="0"/>
      <w:ind w:firstLine="560"/>
      <w:jc w:val="left"/>
    </w:pPr>
    <w:rPr>
      <w:rFonts w:ascii="仿宋_GB2312"/>
      <w:color w:val="191919"/>
      <w:sz w:val="28"/>
      <w:szCs w:val="28"/>
    </w:rPr>
  </w:style>
  <w:style w:type="paragraph" w:customStyle="1" w:styleId="109">
    <w:name w:val="列出段落1"/>
    <w:basedOn w:val="1"/>
    <w:qFormat/>
    <w:uiPriority w:val="0"/>
    <w:pPr>
      <w:ind w:firstLine="420" w:firstLineChars="200"/>
    </w:pPr>
  </w:style>
  <w:style w:type="paragraph" w:customStyle="1" w:styleId="110">
    <w:name w:val="HtmlNormal"/>
    <w:basedOn w:val="1"/>
    <w:qFormat/>
    <w:uiPriority w:val="0"/>
    <w:pPr>
      <w:widowControl/>
      <w:spacing w:before="100" w:beforeAutospacing="1" w:after="100" w:afterAutospacing="1"/>
      <w:jc w:val="left"/>
    </w:pPr>
    <w:rPr>
      <w:rFonts w:ascii="宋体" w:hAnsi="宋体"/>
      <w:kern w:val="0"/>
      <w:sz w:val="24"/>
    </w:rPr>
  </w:style>
  <w:style w:type="paragraph" w:styleId="111">
    <w:name w:val="List Paragraph"/>
    <w:basedOn w:val="1"/>
    <w:qFormat/>
    <w:uiPriority w:val="0"/>
    <w:pPr>
      <w:spacing w:line="360" w:lineRule="auto"/>
      <w:ind w:firstLine="420" w:firstLineChars="200"/>
    </w:pPr>
    <w:rPr>
      <w:rFonts w:ascii="宋体" w:hAnsi="宋体" w:cs="宋体"/>
      <w:sz w:val="24"/>
    </w:rPr>
  </w:style>
  <w:style w:type="paragraph" w:customStyle="1" w:styleId="112">
    <w:name w:val="列出段落11"/>
    <w:basedOn w:val="1"/>
    <w:qFormat/>
    <w:uiPriority w:val="0"/>
    <w:pPr>
      <w:spacing w:after="120" w:line="360" w:lineRule="auto"/>
      <w:ind w:firstLine="420" w:firstLineChars="200"/>
    </w:pPr>
    <w:rPr>
      <w:rFonts w:ascii="Calibri" w:hAnsi="Calibri"/>
      <w:szCs w:val="22"/>
    </w:rPr>
  </w:style>
  <w:style w:type="paragraph" w:customStyle="1" w:styleId="113">
    <w:name w:val="_Style 4"/>
    <w:basedOn w:val="1"/>
    <w:qFormat/>
    <w:uiPriority w:val="0"/>
    <w:pPr>
      <w:adjustRightInd w:val="0"/>
      <w:ind w:firstLine="420" w:firstLineChars="200"/>
      <w:jc w:val="left"/>
      <w:textAlignment w:val="baseline"/>
    </w:pPr>
    <w:rPr>
      <w:kern w:val="0"/>
      <w:szCs w:val="20"/>
    </w:rPr>
  </w:style>
  <w:style w:type="paragraph" w:customStyle="1" w:styleId="114">
    <w:name w:val="List Paragraph2"/>
    <w:basedOn w:val="1"/>
    <w:qFormat/>
    <w:uiPriority w:val="0"/>
    <w:pPr>
      <w:spacing w:line="360" w:lineRule="auto"/>
      <w:ind w:firstLine="420"/>
    </w:pPr>
    <w:rPr>
      <w:color w:val="000000"/>
      <w:sz w:val="24"/>
      <w:szCs w:val="21"/>
    </w:rPr>
  </w:style>
  <w:style w:type="paragraph" w:customStyle="1" w:styleId="115">
    <w:name w:val="正文文字 8"/>
    <w:basedOn w:val="1"/>
    <w:next w:val="1"/>
    <w:qFormat/>
    <w:uiPriority w:val="0"/>
    <w:pPr>
      <w:ind w:left="240"/>
    </w:pPr>
    <w:rPr>
      <w:sz w:val="16"/>
    </w:rPr>
  </w:style>
  <w:style w:type="paragraph" w:customStyle="1" w:styleId="116">
    <w:name w:val="样式1"/>
    <w:basedOn w:val="1"/>
    <w:qFormat/>
    <w:uiPriority w:val="0"/>
    <w:pPr>
      <w:spacing w:line="360" w:lineRule="auto"/>
      <w:jc w:val="center"/>
    </w:pPr>
    <w:rPr>
      <w:b/>
      <w:sz w:val="30"/>
      <w:szCs w:val="30"/>
    </w:rPr>
  </w:style>
  <w:style w:type="paragraph" w:customStyle="1" w:styleId="117">
    <w:name w:val="列表2"/>
    <w:basedOn w:val="1"/>
    <w:next w:val="1"/>
    <w:qFormat/>
    <w:uiPriority w:val="0"/>
    <w:pPr>
      <w:numPr>
        <w:ilvl w:val="0"/>
        <w:numId w:val="7"/>
      </w:numPr>
      <w:spacing w:line="200" w:lineRule="atLeast"/>
    </w:pPr>
    <w:rPr>
      <w:rFonts w:eastAsia="仿宋"/>
      <w:sz w:val="28"/>
    </w:rPr>
  </w:style>
  <w:style w:type="paragraph" w:customStyle="1" w:styleId="118">
    <w:name w:val="标题3-副本"/>
    <w:basedOn w:val="26"/>
    <w:qFormat/>
    <w:uiPriority w:val="0"/>
    <w:pPr>
      <w:numPr>
        <w:ilvl w:val="0"/>
        <w:numId w:val="0"/>
      </w:numPr>
      <w:ind w:left="840"/>
    </w:pPr>
    <w:rPr>
      <w:rFonts w:ascii="Times New Roman" w:hAnsi="Times New Roman"/>
    </w:rPr>
  </w:style>
  <w:style w:type="paragraph" w:customStyle="1" w:styleId="119">
    <w:name w:val="_Style 117"/>
    <w:basedOn w:val="1"/>
    <w:next w:val="1"/>
    <w:qFormat/>
    <w:uiPriority w:val="0"/>
    <w:pPr>
      <w:pBdr>
        <w:bottom w:val="single" w:color="auto" w:sz="6" w:space="1"/>
      </w:pBdr>
      <w:jc w:val="center"/>
    </w:pPr>
    <w:rPr>
      <w:rFonts w:ascii="Arial"/>
      <w:vanish/>
      <w:sz w:val="16"/>
    </w:rPr>
  </w:style>
  <w:style w:type="paragraph" w:customStyle="1" w:styleId="120">
    <w:name w:val="_Style 118"/>
    <w:basedOn w:val="1"/>
    <w:next w:val="1"/>
    <w:qFormat/>
    <w:uiPriority w:val="0"/>
    <w:pPr>
      <w:pBdr>
        <w:top w:val="single" w:color="auto" w:sz="6" w:space="1"/>
      </w:pBdr>
      <w:jc w:val="center"/>
    </w:pPr>
    <w:rPr>
      <w:rFonts w:ascii="Arial"/>
      <w:vanish/>
      <w:sz w:val="16"/>
    </w:rPr>
  </w:style>
  <w:style w:type="paragraph" w:customStyle="1" w:styleId="121">
    <w:name w:val="无间隔1"/>
    <w:basedOn w:val="1"/>
    <w:qFormat/>
    <w:uiPriority w:val="0"/>
    <w:pPr>
      <w:widowControl/>
      <w:adjustRightInd w:val="0"/>
      <w:snapToGrid w:val="0"/>
      <w:jc w:val="left"/>
    </w:pPr>
    <w:rPr>
      <w:rFonts w:ascii="Tahoma" w:hAnsi="Tahoma" w:eastAsia="微软雅黑"/>
      <w:kern w:val="0"/>
      <w:sz w:val="24"/>
      <w:szCs w:val="22"/>
    </w:rPr>
  </w:style>
  <w:style w:type="paragraph" w:customStyle="1" w:styleId="122">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123">
    <w:name w:val="font11"/>
    <w:qFormat/>
    <w:uiPriority w:val="0"/>
    <w:rPr>
      <w:rFonts w:hint="eastAsia" w:ascii="宋体" w:hAnsi="宋体" w:eastAsia="宋体" w:cs="宋体"/>
      <w:color w:val="000000"/>
      <w:sz w:val="16"/>
      <w:szCs w:val="16"/>
      <w:u w:val="none"/>
    </w:rPr>
  </w:style>
  <w:style w:type="character" w:customStyle="1" w:styleId="124">
    <w:name w:val="font31"/>
    <w:basedOn w:val="37"/>
    <w:qFormat/>
    <w:uiPriority w:val="0"/>
    <w:rPr>
      <w:rFonts w:ascii="宋体" w:hAnsi="宋体" w:eastAsia="宋体" w:cs="宋体"/>
      <w:color w:val="000000"/>
      <w:sz w:val="16"/>
      <w:szCs w:val="16"/>
      <w:u w:val="none"/>
    </w:rPr>
  </w:style>
  <w:style w:type="character" w:customStyle="1" w:styleId="125">
    <w:name w:val="font41"/>
    <w:basedOn w:val="37"/>
    <w:qFormat/>
    <w:uiPriority w:val="0"/>
    <w:rPr>
      <w:rFonts w:hint="eastAsia" w:ascii="宋体" w:hAnsi="宋体" w:eastAsia="宋体" w:cs="宋体"/>
      <w:color w:val="000000"/>
      <w:sz w:val="21"/>
      <w:szCs w:val="21"/>
      <w:u w:val="none"/>
    </w:rPr>
  </w:style>
  <w:style w:type="character" w:customStyle="1" w:styleId="126">
    <w:name w:val="hover"/>
    <w:basedOn w:val="37"/>
    <w:qFormat/>
    <w:uiPriority w:val="0"/>
  </w:style>
  <w:style w:type="character" w:customStyle="1" w:styleId="127">
    <w:name w:val="hover1"/>
    <w:basedOn w:val="37"/>
    <w:qFormat/>
    <w:uiPriority w:val="0"/>
    <w:rPr>
      <w:color w:val="2590EB"/>
    </w:rPr>
  </w:style>
  <w:style w:type="character" w:customStyle="1" w:styleId="128">
    <w:name w:val="hover2"/>
    <w:basedOn w:val="37"/>
    <w:qFormat/>
    <w:uiPriority w:val="0"/>
    <w:rPr>
      <w:color w:val="2590EB"/>
    </w:rPr>
  </w:style>
  <w:style w:type="character" w:customStyle="1" w:styleId="129">
    <w:name w:val="hover3"/>
    <w:basedOn w:val="37"/>
    <w:qFormat/>
    <w:uiPriority w:val="0"/>
    <w:rPr>
      <w:color w:val="2590EB"/>
      <w:shd w:val="clear" w:color="auto" w:fill="E9F4FD"/>
    </w:rPr>
  </w:style>
  <w:style w:type="table" w:customStyle="1" w:styleId="130">
    <w:name w:val="Table Normal"/>
    <w:semiHidden/>
    <w:unhideWhenUsed/>
    <w:qFormat/>
    <w:uiPriority w:val="0"/>
    <w:tblPr>
      <w:tblCellMar>
        <w:top w:w="0" w:type="dxa"/>
        <w:left w:w="0" w:type="dxa"/>
        <w:bottom w:w="0" w:type="dxa"/>
        <w:right w:w="0" w:type="dxa"/>
      </w:tblCellMar>
    </w:tblPr>
  </w:style>
  <w:style w:type="paragraph" w:customStyle="1" w:styleId="131">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61</Pages>
  <Words>15756</Words>
  <Characters>17658</Characters>
  <Lines>268</Lines>
  <Paragraphs>75</Paragraphs>
  <TotalTime>1</TotalTime>
  <ScaleCrop>false</ScaleCrop>
  <LinksUpToDate>false</LinksUpToDate>
  <CharactersWithSpaces>17960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2026-08-14T10:08:00Z</dcterms:created>
  <dc:creator>陈倩倩</dc:creator>
  <cp:lastModifiedBy>韦韦</cp:lastModifiedBy>
  <cp:lastPrinted>2023-02-03T03:19:00Z</cp:lastPrinted>
  <dcterms:modified xsi:type="dcterms:W3CDTF">2026-08-21T07:36:42Z</dcterms:modified>
  <dc:title>滁州市人力资源和社会保障信息中心信息网络设备采购及安装项目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8DB45D7797904C5B98A3CC3408F11A01_13</vt:lpwstr>
  </property>
  <property fmtid="{D5CDD505-2E9C-101B-9397-08002B2CF9AE}" pid="4" name="KSOTemplateDocerSaveRecord">
    <vt:lpwstr>eyJoZGlkIjoiZmQ5MGI3YTdkMjVkZTZjM2ZjZTQ5YjMxYTJjZjRlOWEiLCJ1c2VySWQiOiIzNjE4MjQ5In0=</vt:lpwstr>
  </property>
</Properties>
</file>